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253F" w14:textId="77777777" w:rsidR="00910E23" w:rsidRPr="00910E23" w:rsidRDefault="00910E23" w:rsidP="00910E23">
      <w:pPr>
        <w:spacing w:after="5" w:line="249" w:lineRule="auto"/>
        <w:ind w:left="730" w:hanging="370"/>
        <w:jc w:val="both"/>
        <w:rPr>
          <w:rFonts w:ascii="Calibri" w:eastAsia="Calibri" w:hAnsi="Calibri" w:cs="Calibri"/>
          <w:color w:val="000000"/>
          <w:kern w:val="0"/>
          <w:sz w:val="22"/>
          <w:szCs w:val="22"/>
          <w:lang w:val="en-GB" w:eastAsia="en-GB"/>
          <w14:ligatures w14:val="none"/>
        </w:rPr>
      </w:pPr>
      <w:r w:rsidRPr="00910E23">
        <w:rPr>
          <w:rFonts w:ascii="Calibri" w:eastAsia="Calibri" w:hAnsi="Calibri" w:cs="Calibri"/>
          <w:noProof/>
          <w:color w:val="000000"/>
          <w:kern w:val="0"/>
          <w:sz w:val="22"/>
          <w:szCs w:val="22"/>
          <w:lang w:val="en-GB" w:eastAsia="en-GB"/>
          <w14:ligatures w14:val="none"/>
        </w:rPr>
        <mc:AlternateContent>
          <mc:Choice Requires="wps">
            <w:drawing>
              <wp:anchor distT="0" distB="0" distL="114300" distR="114300" simplePos="0" relativeHeight="251659264" behindDoc="0" locked="0" layoutInCell="1" allowOverlap="1" wp14:anchorId="7D43D71F" wp14:editId="2EA0BBE5">
                <wp:simplePos x="0" y="0"/>
                <wp:positionH relativeFrom="column">
                  <wp:posOffset>0</wp:posOffset>
                </wp:positionH>
                <wp:positionV relativeFrom="paragraph">
                  <wp:posOffset>0</wp:posOffset>
                </wp:positionV>
                <wp:extent cx="635000" cy="635000"/>
                <wp:effectExtent l="9525" t="9525" r="12700" b="12700"/>
                <wp:wrapNone/>
                <wp:docPr id="76855726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71DCC"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42189406" w14:textId="77777777" w:rsidR="000E7282" w:rsidRDefault="000E7282" w:rsidP="00910E23">
      <w:pPr>
        <w:spacing w:after="0" w:line="256" w:lineRule="auto"/>
        <w:rPr>
          <w:rFonts w:ascii="Calibri" w:eastAsia="Calibri" w:hAnsi="Calibri" w:cs="Calibri"/>
          <w:b/>
          <w:color w:val="000000"/>
          <w:kern w:val="0"/>
          <w:sz w:val="28"/>
          <w:szCs w:val="22"/>
          <w:lang w:val="fr-CH" w:eastAsia="en-GB"/>
          <w14:ligatures w14:val="none"/>
        </w:rPr>
      </w:pPr>
      <w:r w:rsidRPr="000E7282">
        <w:rPr>
          <w:rFonts w:ascii="Calibri" w:eastAsia="Calibri" w:hAnsi="Calibri" w:cs="Calibri"/>
          <w:b/>
          <w:color w:val="000000"/>
          <w:kern w:val="0"/>
          <w:sz w:val="28"/>
          <w:szCs w:val="22"/>
          <w:lang w:val="fr-CH" w:eastAsia="en-GB"/>
          <w14:ligatures w14:val="none"/>
        </w:rPr>
        <w:t xml:space="preserve">Installations et biens : Dépréciation, rapports de réconciliation et fonctions centralisées  </w:t>
      </w:r>
    </w:p>
    <w:p w14:paraId="7A69D80D" w14:textId="0879C21D" w:rsidR="00910E23" w:rsidRPr="000E7282" w:rsidRDefault="00910E23" w:rsidP="00910E23">
      <w:pPr>
        <w:spacing w:after="0" w:line="256" w:lineRule="auto"/>
        <w:rPr>
          <w:rFonts w:ascii="Calibri" w:eastAsia="Calibri" w:hAnsi="Calibri" w:cs="Calibri"/>
          <w:b/>
          <w:color w:val="000000"/>
          <w:kern w:val="0"/>
          <w:sz w:val="28"/>
          <w:szCs w:val="22"/>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49926827"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bCs/>
          <w:color w:val="000000"/>
          <w:kern w:val="0"/>
          <w:sz w:val="22"/>
          <w:szCs w:val="22"/>
          <w:lang w:val="fr-CH" w:eastAsia="en-GB"/>
          <w14:ligatures w14:val="none"/>
        </w:rPr>
        <w:t xml:space="preserve">L'amortissement </w:t>
      </w:r>
      <w:r w:rsidRPr="00910E23">
        <w:rPr>
          <w:rFonts w:ascii="Calibri" w:eastAsia="Calibri" w:hAnsi="Calibri" w:cs="Calibri"/>
          <w:color w:val="000000"/>
          <w:kern w:val="0"/>
          <w:sz w:val="22"/>
          <w:szCs w:val="22"/>
          <w:lang w:val="fr-CH" w:eastAsia="en-GB"/>
          <w14:ligatures w14:val="none"/>
        </w:rPr>
        <w:t xml:space="preserve">est la mesure de l'usure, de la consommation ou de toute autre perte de valeur d'un actif fixe au cours de sa durée de vie utile. Il s'agit de la dépense mensuelle imputée à un projet pour l'utilisation d'un actif sur sa durée de vie utile. </w:t>
      </w:r>
    </w:p>
    <w:p w14:paraId="10B27CB5" w14:textId="77777777" w:rsidR="00910E23" w:rsidRPr="00910E23" w:rsidRDefault="00910E23" w:rsidP="00910E23">
      <w:pPr>
        <w:spacing w:after="0" w:line="256" w:lineRule="auto"/>
        <w:ind w:left="1486"/>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2A66EBBF"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color w:val="000000"/>
          <w:kern w:val="0"/>
          <w:sz w:val="22"/>
          <w:szCs w:val="22"/>
          <w:lang w:val="fr-CH" w:eastAsia="en-GB"/>
          <w14:ligatures w14:val="none"/>
        </w:rPr>
        <w:t xml:space="preserve">Le montant amortissable </w:t>
      </w:r>
      <w:r w:rsidRPr="00910E23">
        <w:rPr>
          <w:rFonts w:ascii="Calibri" w:eastAsia="Calibri" w:hAnsi="Calibri" w:cs="Calibri"/>
          <w:color w:val="000000"/>
          <w:kern w:val="0"/>
          <w:sz w:val="22"/>
          <w:szCs w:val="22"/>
          <w:lang w:val="fr-CH" w:eastAsia="en-GB"/>
          <w14:ligatures w14:val="none"/>
        </w:rPr>
        <w:t xml:space="preserve">est le coût d'un actif, ou tout autre montant substitué au coût, diminué de sa valeur résiduelle et la valeur résiduelle d'un actif est le montant estimé qui serait actuellement obtenu de la sortie de l'actif, après déduction des coûts estimés de sortie, si l'actif avait déjà l'âge et l'état attendus à la fin de sa durée d'utilité. </w:t>
      </w:r>
    </w:p>
    <w:p w14:paraId="496EB682"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375C74F1"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Rapprochement </w:t>
      </w:r>
    </w:p>
    <w:p w14:paraId="70FF019D"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01EDC97E"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 rapprochement est un processus comptable utilisé pour comparer au moins deux ensembles d'enregistrements afin de s'assurer que les chiffres concordent et sont exacts. Étant donné que les données relatives aux installations et aux biens seront initiées dans un module et finalement enregistrées dans le module des actifs de Quantum en plus du compte du grand livre général, il sera nécessaire de réconcilier les données et les informations dans les trois modules de Quantum. Outre les rapprochements des données comptables, les résultats de l'exercice de vérification physique devront également être rapprochés des dossiers d'amélioration des locaux loués.   </w:t>
      </w:r>
    </w:p>
    <w:p w14:paraId="1A579827"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2D74DE8C"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Rapports </w:t>
      </w:r>
    </w:p>
    <w:p w14:paraId="778A6B2F"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143EF179" w14:textId="77777777" w:rsidR="00910E23" w:rsidRPr="00910E23" w:rsidRDefault="00910E23" w:rsidP="00910E23">
      <w:pPr>
        <w:numPr>
          <w:ilvl w:val="0"/>
          <w:numId w:val="1"/>
        </w:numPr>
        <w:spacing w:after="0" w:line="247" w:lineRule="auto"/>
        <w:ind w:hanging="370"/>
        <w:contextualSpacing/>
        <w:jc w:val="both"/>
        <w:rPr>
          <w:rFonts w:ascii="Calibri" w:eastAsia="Times New Roman" w:hAnsi="Calibri" w:cs="Times New Roman"/>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En raison de la nécessité de vérifier l'exactitude des enregistrements par le biais de rapprochements et de préparer des informations exactes sur les actifs pour les états financiers, il existe plusieurs rapports conçus pour aider les utilisateurs à effectuer les fonctions de rapprochement et d'examen des enregistrements d'actifs. Reportez-vous à la section relative aux rapports dans les Politiques et procédures de programme et d'opérations (POPP) sur le mobilier et l'équipement. Par exemple, il y aura des rapports de rapprochement entre la gestion des actifs et la comptabilité générale par département et par catégorie d'actifs, des rapports sur la mise en service des actifs, des rapports détaillés sur les transactions, etc. </w:t>
      </w:r>
    </w:p>
    <w:p w14:paraId="4DC26B20"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36947EFF"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lang w:val="en-GB" w:eastAsia="en-GB"/>
          <w14:ligatures w14:val="none"/>
        </w:rPr>
        <w:t>Fonctions</w:t>
      </w:r>
      <w:proofErr w:type="spellEnd"/>
      <w:r w:rsidRPr="00910E23">
        <w:rPr>
          <w:rFonts w:ascii="Calibri" w:eastAsia="Calibri" w:hAnsi="Calibri" w:cs="Calibri"/>
          <w:b/>
          <w:color w:val="000000"/>
          <w:kern w:val="0"/>
          <w:sz w:val="22"/>
          <w:szCs w:val="22"/>
          <w:lang w:val="en-GB" w:eastAsia="en-GB"/>
          <w14:ligatures w14:val="none"/>
        </w:rPr>
        <w:t xml:space="preserve"> </w:t>
      </w:r>
      <w:proofErr w:type="spellStart"/>
      <w:r w:rsidRPr="000E7282">
        <w:rPr>
          <w:rFonts w:ascii="Calibri" w:eastAsia="Calibri" w:hAnsi="Calibri" w:cs="Calibri"/>
          <w:b/>
          <w:bCs/>
          <w:color w:val="000000"/>
          <w:kern w:val="0"/>
          <w:sz w:val="22"/>
          <w:szCs w:val="22"/>
          <w:lang w:val="en-GB" w:eastAsia="en-GB"/>
          <w14:ligatures w14:val="none"/>
        </w:rPr>
        <w:t>centralisées</w:t>
      </w:r>
      <w:proofErr w:type="spellEnd"/>
      <w:r w:rsidRPr="00910E23">
        <w:rPr>
          <w:rFonts w:ascii="Calibri" w:eastAsia="Calibri" w:hAnsi="Calibri" w:cs="Calibri"/>
          <w:color w:val="000000"/>
          <w:kern w:val="0"/>
          <w:sz w:val="22"/>
          <w:szCs w:val="22"/>
          <w:lang w:val="en-GB" w:eastAsia="en-GB"/>
          <w14:ligatures w14:val="none"/>
        </w:rPr>
        <w:t xml:space="preserve"> </w:t>
      </w:r>
    </w:p>
    <w:p w14:paraId="79D8C457"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0BF1374B" w14:textId="77777777" w:rsidR="00910E23" w:rsidRPr="00910E23" w:rsidRDefault="00910E23" w:rsidP="00910E23">
      <w:pPr>
        <w:numPr>
          <w:ilvl w:val="0"/>
          <w:numId w:val="1"/>
        </w:numPr>
        <w:spacing w:after="0" w:line="247" w:lineRule="auto"/>
        <w:ind w:hanging="370"/>
        <w:contextualSpacing/>
        <w:jc w:val="both"/>
        <w:rPr>
          <w:rFonts w:ascii="Calibri" w:eastAsia="Times New Roman" w:hAnsi="Calibri" w:cs="Times New Roman"/>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fonctions centralisées sont celles qui sont exécutées uniquement par le CGSC (Global </w:t>
      </w:r>
      <w:proofErr w:type="spellStart"/>
      <w:r w:rsidRPr="00910E23">
        <w:rPr>
          <w:rFonts w:ascii="Calibri" w:eastAsia="Calibri" w:hAnsi="Calibri" w:cs="Calibri"/>
          <w:color w:val="000000"/>
          <w:kern w:val="0"/>
          <w:sz w:val="22"/>
          <w:szCs w:val="22"/>
          <w:lang w:val="fr-CH" w:eastAsia="en-GB"/>
          <w14:ligatures w14:val="none"/>
        </w:rPr>
        <w:t>Shared</w:t>
      </w:r>
      <w:proofErr w:type="spellEnd"/>
      <w:r w:rsidRPr="00910E23">
        <w:rPr>
          <w:rFonts w:ascii="Calibri" w:eastAsia="Calibri" w:hAnsi="Calibri" w:cs="Calibri"/>
          <w:color w:val="000000"/>
          <w:kern w:val="0"/>
          <w:sz w:val="22"/>
          <w:szCs w:val="22"/>
          <w:lang w:val="fr-CH" w:eastAsia="en-GB"/>
          <w14:ligatures w14:val="none"/>
        </w:rPr>
        <w:t xml:space="preserve"> Services Centre) et le NYHQ (New York </w:t>
      </w:r>
      <w:proofErr w:type="spellStart"/>
      <w:r w:rsidRPr="00910E23">
        <w:rPr>
          <w:rFonts w:ascii="Calibri" w:eastAsia="Calibri" w:hAnsi="Calibri" w:cs="Calibri"/>
          <w:color w:val="000000"/>
          <w:kern w:val="0"/>
          <w:sz w:val="22"/>
          <w:szCs w:val="22"/>
          <w:lang w:val="fr-CH" w:eastAsia="en-GB"/>
          <w14:ligatures w14:val="none"/>
        </w:rPr>
        <w:t>Headquarters</w:t>
      </w:r>
      <w:proofErr w:type="spellEnd"/>
      <w:r w:rsidRPr="00910E23">
        <w:rPr>
          <w:rFonts w:ascii="Calibri" w:eastAsia="Calibri" w:hAnsi="Calibri" w:cs="Calibri"/>
          <w:color w:val="000000"/>
          <w:kern w:val="0"/>
          <w:sz w:val="22"/>
          <w:szCs w:val="22"/>
          <w:lang w:val="fr-CH" w:eastAsia="en-GB"/>
          <w14:ligatures w14:val="none"/>
        </w:rPr>
        <w:t xml:space="preserve">) du PNUD (Programme des Nations Unies pour le développement) par l'intermédiaire de la Division des comptes, du Bureau de la gestion de l'information et de la technologie (OIMT) ou de l'unité des opérations générales du Bureau des services de gestion (BMS).  Se référer aux POPP sur l'amortissement, les rapprochements, les rapports et les fonctions centralisées de l'équipement.   </w:t>
      </w:r>
    </w:p>
    <w:p w14:paraId="3FE2EB1F"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7F62EAE9"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lang w:val="en-GB" w:eastAsia="en-GB"/>
          <w14:ligatures w14:val="none"/>
        </w:rPr>
        <w:t>Amortissement</w:t>
      </w:r>
      <w:proofErr w:type="spellEnd"/>
      <w:r w:rsidRPr="00910E23">
        <w:rPr>
          <w:rFonts w:ascii="Calibri" w:eastAsia="Calibri" w:hAnsi="Calibri" w:cs="Calibri"/>
          <w:b/>
          <w:color w:val="000000"/>
          <w:kern w:val="0"/>
          <w:sz w:val="22"/>
          <w:szCs w:val="22"/>
          <w:lang w:val="en-GB" w:eastAsia="en-GB"/>
          <w14:ligatures w14:val="none"/>
        </w:rPr>
        <w:t xml:space="preserve"> </w:t>
      </w:r>
    </w:p>
    <w:p w14:paraId="10DAE701"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38DCDCAB" w14:textId="77777777" w:rsidR="00910E23" w:rsidRP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lastRenderedPageBreak/>
        <w:t xml:space="preserve">Pour le calcul de l'amortissement des installations et des bâtiments, la méthode utilisée sera la méthode linéaire sur leur durée de vie utile, en utilisant la convention du mois en cours. Cela signifie que les immobilisations corporelles ne seront pas comptabilisées en charges au moment de l'achat, mais qu'elles seront comptabilisées en charges en montants égaux à partir du mois de l'achat jusqu'au mois précédant la fin de leur cycle de vie prédéterminé.  </w:t>
      </w:r>
    </w:p>
    <w:p w14:paraId="0C0A54A8" w14:textId="77777777" w:rsid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L'amortissement sera un processus généré par le système. Lorsqu'un article est sélectionné dans le catalogue d'approvisionnement puis capitalisé, il est affecté par défaut à un profil d'actif avec un taux d'amortissement basé sur sa durée de vie utile. Le système utilise ces informations pour effectuer l'amortissement, qui est ensuite enregistré dans le compte approprié du grand livre. L'unité des opérations générales de BMS rapprochera régulièrement les déductions d'amortissement au niveau global pour s'assurer que le système fonctionne correctement. La durée de vie utile attribuée aux installations et aux bâtiments est la suivante. </w:t>
      </w:r>
    </w:p>
    <w:p w14:paraId="7AA0993E" w14:textId="77777777" w:rsidR="00910E23" w:rsidRDefault="00910E23" w:rsidP="000E7282">
      <w:pPr>
        <w:spacing w:after="0" w:line="247" w:lineRule="auto"/>
        <w:ind w:left="1440"/>
        <w:jc w:val="both"/>
        <w:rPr>
          <w:rFonts w:ascii="Calibri" w:eastAsia="Calibri" w:hAnsi="Calibri" w:cs="Calibri"/>
          <w:color w:val="000000"/>
          <w:kern w:val="0"/>
          <w:sz w:val="22"/>
          <w:szCs w:val="22"/>
          <w:lang w:val="fr-CH" w:eastAsia="en-GB"/>
          <w14:ligatures w14:val="none"/>
        </w:rPr>
      </w:pPr>
    </w:p>
    <w:tbl>
      <w:tblPr>
        <w:tblStyle w:val="TableGrid"/>
        <w:tblW w:w="0" w:type="auto"/>
        <w:tblInd w:w="1440" w:type="dxa"/>
        <w:tblLook w:val="04A0" w:firstRow="1" w:lastRow="0" w:firstColumn="1" w:lastColumn="0" w:noHBand="0" w:noVBand="1"/>
      </w:tblPr>
      <w:tblGrid>
        <w:gridCol w:w="4001"/>
        <w:gridCol w:w="3914"/>
      </w:tblGrid>
      <w:tr w:rsidR="00910E23" w14:paraId="116F449B" w14:textId="77777777" w:rsidTr="00910E23">
        <w:tc>
          <w:tcPr>
            <w:tcW w:w="4677" w:type="dxa"/>
          </w:tcPr>
          <w:p w14:paraId="00C7A5A2" w14:textId="289655DF" w:rsidR="00910E23" w:rsidRDefault="00910E23" w:rsidP="00910E23">
            <w:pPr>
              <w:spacing w:line="247" w:lineRule="auto"/>
              <w:jc w:val="both"/>
              <w:rPr>
                <w:rFonts w:ascii="Calibri" w:eastAsia="Calibri" w:hAnsi="Calibri" w:cs="Calibri"/>
                <w:color w:val="000000"/>
                <w:kern w:val="0"/>
                <w:sz w:val="22"/>
                <w:szCs w:val="22"/>
                <w:lang w:val="fr-CH" w:eastAsia="en-GB"/>
                <w14:ligatures w14:val="none"/>
              </w:rPr>
            </w:pPr>
            <w:r>
              <w:rPr>
                <w:rFonts w:ascii="Calibri" w:eastAsia="Calibri" w:hAnsi="Calibri" w:cs="Calibri"/>
                <w:color w:val="000000"/>
                <w:kern w:val="0"/>
                <w:sz w:val="22"/>
                <w:szCs w:val="22"/>
                <w:lang w:val="fr-CH" w:eastAsia="en-GB"/>
                <w14:ligatures w14:val="none"/>
              </w:rPr>
              <w:t>Classe</w:t>
            </w:r>
          </w:p>
        </w:tc>
        <w:tc>
          <w:tcPr>
            <w:tcW w:w="4678" w:type="dxa"/>
          </w:tcPr>
          <w:p w14:paraId="0629ECD4" w14:textId="4A7F2E84" w:rsidR="00910E23" w:rsidRPr="000E7282" w:rsidRDefault="00881C7D" w:rsidP="00910E23">
            <w:pPr>
              <w:spacing w:line="247" w:lineRule="auto"/>
              <w:jc w:val="both"/>
              <w:rPr>
                <w:rFonts w:ascii="Calibri" w:eastAsia="Calibri" w:hAnsi="Calibri" w:cs="Calibri"/>
                <w:color w:val="000000"/>
                <w:kern w:val="0"/>
                <w:sz w:val="22"/>
                <w:szCs w:val="22"/>
                <w:lang w:val="en-GB" w:eastAsia="en-GB"/>
                <w14:ligatures w14:val="none"/>
              </w:rPr>
            </w:pPr>
            <w:r w:rsidRPr="00881C7D">
              <w:rPr>
                <w:rFonts w:ascii="Calibri" w:eastAsia="Calibri" w:hAnsi="Calibri" w:cs="Calibri"/>
                <w:i/>
                <w:color w:val="000000"/>
                <w:kern w:val="0"/>
                <w:sz w:val="22"/>
                <w:szCs w:val="22"/>
                <w:lang w:val="en-GB" w:eastAsia="en-GB"/>
                <w14:ligatures w14:val="none"/>
              </w:rPr>
              <w:t>Durée de vie</w:t>
            </w:r>
          </w:p>
        </w:tc>
      </w:tr>
      <w:tr w:rsidR="00910E23" w14:paraId="17A15358" w14:textId="77777777" w:rsidTr="00910E23">
        <w:tc>
          <w:tcPr>
            <w:tcW w:w="4677" w:type="dxa"/>
          </w:tcPr>
          <w:p w14:paraId="74A7A722" w14:textId="41F48B07" w:rsidR="00910E23" w:rsidRDefault="00910E23" w:rsidP="00910E23">
            <w:pPr>
              <w:spacing w:line="247" w:lineRule="auto"/>
              <w:jc w:val="both"/>
              <w:rPr>
                <w:rFonts w:ascii="Calibri" w:eastAsia="Calibri" w:hAnsi="Calibri" w:cs="Calibri"/>
                <w:color w:val="000000"/>
                <w:kern w:val="0"/>
                <w:sz w:val="22"/>
                <w:szCs w:val="22"/>
                <w:lang w:val="fr-CH" w:eastAsia="en-GB"/>
                <w14:ligatures w14:val="none"/>
              </w:rPr>
            </w:pPr>
            <w:r>
              <w:rPr>
                <w:rFonts w:ascii="Calibri" w:eastAsia="Calibri" w:hAnsi="Calibri" w:cs="Calibri"/>
                <w:color w:val="000000"/>
                <w:kern w:val="0"/>
                <w:sz w:val="22"/>
                <w:szCs w:val="22"/>
                <w:lang w:val="fr-CH" w:eastAsia="en-GB"/>
                <w14:ligatures w14:val="none"/>
              </w:rPr>
              <w:t>I</w:t>
            </w:r>
            <w:r w:rsidRPr="00910E23">
              <w:rPr>
                <w:rFonts w:ascii="Calibri" w:eastAsia="Calibri" w:hAnsi="Calibri" w:cs="Calibri"/>
                <w:color w:val="000000"/>
                <w:kern w:val="0"/>
                <w:sz w:val="22"/>
                <w:szCs w:val="22"/>
                <w:lang w:val="fr-CH" w:eastAsia="en-GB"/>
                <w14:ligatures w14:val="none"/>
              </w:rPr>
              <w:t>nstallations et bâtiments</w:t>
            </w:r>
          </w:p>
        </w:tc>
        <w:tc>
          <w:tcPr>
            <w:tcW w:w="4678" w:type="dxa"/>
          </w:tcPr>
          <w:p w14:paraId="5EC3C675" w14:textId="5E6B5488" w:rsidR="00910E23" w:rsidRPr="000E7282" w:rsidRDefault="00910E23" w:rsidP="00910E23">
            <w:pPr>
              <w:spacing w:line="247" w:lineRule="auto"/>
              <w:jc w:val="both"/>
              <w:rPr>
                <w:rFonts w:ascii="Calibri" w:eastAsia="Calibri" w:hAnsi="Calibri" w:cs="Calibri"/>
                <w:color w:val="000000"/>
                <w:kern w:val="0"/>
                <w:sz w:val="22"/>
                <w:szCs w:val="22"/>
                <w:lang w:val="en-GB" w:eastAsia="en-GB"/>
                <w14:ligatures w14:val="none"/>
              </w:rPr>
            </w:pPr>
            <w:r>
              <w:rPr>
                <w:rFonts w:ascii="Calibri" w:eastAsia="Calibri" w:hAnsi="Calibri" w:cs="Calibri"/>
                <w:color w:val="000000"/>
                <w:kern w:val="0"/>
                <w:sz w:val="22"/>
                <w:szCs w:val="22"/>
                <w:lang w:val="fr-CH" w:eastAsia="en-GB"/>
                <w14:ligatures w14:val="none"/>
              </w:rPr>
              <w:t xml:space="preserve">40 </w:t>
            </w:r>
            <w:proofErr w:type="spellStart"/>
            <w:r w:rsidR="00881C7D" w:rsidRPr="00881C7D">
              <w:rPr>
                <w:rFonts w:ascii="Calibri" w:eastAsia="Calibri" w:hAnsi="Calibri" w:cs="Calibri"/>
                <w:color w:val="000000"/>
                <w:kern w:val="0"/>
                <w:sz w:val="22"/>
                <w:szCs w:val="22"/>
                <w:lang w:val="en-GB" w:eastAsia="en-GB"/>
                <w14:ligatures w14:val="none"/>
              </w:rPr>
              <w:t>années</w:t>
            </w:r>
            <w:proofErr w:type="spellEnd"/>
          </w:p>
        </w:tc>
      </w:tr>
    </w:tbl>
    <w:p w14:paraId="035E5DEB" w14:textId="510157E1" w:rsidR="00910E23" w:rsidRPr="00910E23" w:rsidRDefault="00910E23" w:rsidP="000E7282">
      <w:pPr>
        <w:spacing w:after="0" w:line="256" w:lineRule="auto"/>
        <w:rPr>
          <w:rFonts w:ascii="Calibri" w:eastAsia="Calibri" w:hAnsi="Calibri" w:cs="Calibri"/>
          <w:color w:val="000000"/>
          <w:kern w:val="0"/>
          <w:sz w:val="22"/>
          <w:szCs w:val="22"/>
          <w:lang w:val="fr-CH" w:eastAsia="en-GB"/>
          <w14:ligatures w14:val="none"/>
        </w:rPr>
      </w:pPr>
    </w:p>
    <w:p w14:paraId="49EF0A91" w14:textId="77777777" w:rsidR="00910E23" w:rsidRP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terrains ont une durée de vie indéfinie et ne sont donc pas amortis. </w:t>
      </w:r>
    </w:p>
    <w:p w14:paraId="7275304B" w14:textId="77777777" w:rsidR="00910E23" w:rsidRPr="00910E23" w:rsidRDefault="00910E23" w:rsidP="00910E23">
      <w:pPr>
        <w:spacing w:after="0" w:line="256" w:lineRule="auto"/>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color w:val="000000"/>
          <w:kern w:val="0"/>
          <w:sz w:val="22"/>
          <w:szCs w:val="22"/>
          <w:lang w:val="fr-CH" w:eastAsia="en-GB"/>
          <w14:ligatures w14:val="none"/>
        </w:rPr>
        <w:t xml:space="preserve"> </w:t>
      </w:r>
      <w:r w:rsidRPr="00910E23">
        <w:rPr>
          <w:rFonts w:ascii="Calibri" w:eastAsia="Calibri" w:hAnsi="Calibri" w:cs="Calibri"/>
          <w:color w:val="000000"/>
          <w:kern w:val="0"/>
          <w:sz w:val="22"/>
          <w:szCs w:val="22"/>
          <w:lang w:val="fr-CH" w:eastAsia="en-GB"/>
          <w14:ligatures w14:val="none"/>
        </w:rPr>
        <w:t xml:space="preserve"> </w:t>
      </w:r>
    </w:p>
    <w:p w14:paraId="14CAA25D"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b/>
          <w:color w:val="000000"/>
          <w:kern w:val="0"/>
          <w:sz w:val="22"/>
          <w:szCs w:val="22"/>
          <w:lang w:val="en-GB" w:eastAsia="en-GB"/>
          <w14:ligatures w14:val="none"/>
        </w:rPr>
        <w:t xml:space="preserve">Rapprochements, rapports et </w:t>
      </w:r>
      <w:proofErr w:type="spellStart"/>
      <w:r w:rsidRPr="00910E23">
        <w:rPr>
          <w:rFonts w:ascii="Calibri" w:eastAsia="Calibri" w:hAnsi="Calibri" w:cs="Calibri"/>
          <w:b/>
          <w:color w:val="000000"/>
          <w:kern w:val="0"/>
          <w:sz w:val="22"/>
          <w:szCs w:val="22"/>
          <w:lang w:val="en-GB" w:eastAsia="en-GB"/>
          <w14:ligatures w14:val="none"/>
        </w:rPr>
        <w:t>fonctions</w:t>
      </w:r>
      <w:proofErr w:type="spellEnd"/>
      <w:r w:rsidRPr="00910E23">
        <w:rPr>
          <w:rFonts w:ascii="Calibri" w:eastAsia="Calibri" w:hAnsi="Calibri" w:cs="Calibri"/>
          <w:b/>
          <w:color w:val="000000"/>
          <w:kern w:val="0"/>
          <w:sz w:val="22"/>
          <w:szCs w:val="22"/>
          <w:lang w:val="en-GB" w:eastAsia="en-GB"/>
          <w14:ligatures w14:val="none"/>
        </w:rPr>
        <w:t xml:space="preserve"> </w:t>
      </w:r>
      <w:proofErr w:type="spellStart"/>
      <w:r w:rsidRPr="00910E23">
        <w:rPr>
          <w:rFonts w:ascii="Calibri" w:eastAsia="Calibri" w:hAnsi="Calibri" w:cs="Calibri"/>
          <w:b/>
          <w:color w:val="000000"/>
          <w:kern w:val="0"/>
          <w:sz w:val="22"/>
          <w:szCs w:val="22"/>
          <w:lang w:val="en-GB" w:eastAsia="en-GB"/>
          <w14:ligatures w14:val="none"/>
        </w:rPr>
        <w:t>centralisées</w:t>
      </w:r>
      <w:proofErr w:type="spellEnd"/>
      <w:r w:rsidRPr="00910E23">
        <w:rPr>
          <w:rFonts w:ascii="Calibri" w:eastAsia="Calibri" w:hAnsi="Calibri" w:cs="Calibri"/>
          <w:b/>
          <w:color w:val="000000"/>
          <w:kern w:val="0"/>
          <w:sz w:val="22"/>
          <w:szCs w:val="22"/>
          <w:lang w:val="en-GB" w:eastAsia="en-GB"/>
          <w14:ligatures w14:val="none"/>
        </w:rPr>
        <w:t xml:space="preserve"> </w:t>
      </w:r>
    </w:p>
    <w:p w14:paraId="3CC379AA" w14:textId="77777777" w:rsidR="00910E23" w:rsidRPr="00910E23" w:rsidRDefault="00910E23" w:rsidP="00910E23">
      <w:pPr>
        <w:spacing w:after="0" w:line="256" w:lineRule="auto"/>
        <w:rPr>
          <w:rFonts w:ascii="Calibri" w:eastAsia="Calibri" w:hAnsi="Calibri" w:cs="Calibri"/>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  </w:t>
      </w:r>
    </w:p>
    <w:p w14:paraId="321F4B38"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POPP relatives à l'amortissement, aux rapprochements, aux rapports et aux fonctions centralisées de l'équipement contiennent une liste de rapports et de rapprochements qui peuvent être utiles pour toutes les immobilisations corporelles (EPI).   </w:t>
      </w:r>
    </w:p>
    <w:p w14:paraId="759582B9" w14:textId="77777777" w:rsidR="00910E23" w:rsidRPr="00910E23" w:rsidRDefault="00910E23" w:rsidP="00910E23">
      <w:pPr>
        <w:spacing w:after="0" w:line="256" w:lineRule="auto"/>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  </w:t>
      </w:r>
    </w:p>
    <w:p w14:paraId="03C4FC2E" w14:textId="77777777" w:rsidR="00910E23" w:rsidRPr="00910E23" w:rsidRDefault="00910E23" w:rsidP="00910E23">
      <w:pPr>
        <w:spacing w:after="0" w:line="256" w:lineRule="auto"/>
        <w:ind w:left="-5" w:hanging="10"/>
        <w:rPr>
          <w:rFonts w:ascii="Calibri" w:eastAsia="Calibri" w:hAnsi="Calibri" w:cs="Calibri"/>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u w:val="single" w:color="000000"/>
          <w:lang w:val="en-GB" w:eastAsia="en-GB"/>
          <w14:ligatures w14:val="none"/>
        </w:rPr>
        <w:t>Siège</w:t>
      </w:r>
      <w:proofErr w:type="spellEnd"/>
      <w:r w:rsidRPr="00910E23">
        <w:rPr>
          <w:rFonts w:ascii="Calibri" w:eastAsia="Calibri" w:hAnsi="Calibri" w:cs="Calibri"/>
          <w:b/>
          <w:color w:val="000000"/>
          <w:kern w:val="0"/>
          <w:sz w:val="22"/>
          <w:szCs w:val="22"/>
          <w:u w:val="single" w:color="000000"/>
          <w:lang w:val="en-GB" w:eastAsia="en-GB"/>
          <w14:ligatures w14:val="none"/>
        </w:rPr>
        <w:t xml:space="preserve"> </w:t>
      </w:r>
      <w:proofErr w:type="gramStart"/>
      <w:r w:rsidRPr="00910E23">
        <w:rPr>
          <w:rFonts w:ascii="Calibri" w:eastAsia="Calibri" w:hAnsi="Calibri" w:cs="Calibri"/>
          <w:b/>
          <w:color w:val="000000"/>
          <w:kern w:val="0"/>
          <w:sz w:val="22"/>
          <w:szCs w:val="22"/>
          <w:u w:val="single" w:color="000000"/>
          <w:lang w:val="en-GB" w:eastAsia="en-GB"/>
          <w14:ligatures w14:val="none"/>
        </w:rPr>
        <w:t>social :</w:t>
      </w:r>
      <w:proofErr w:type="gramEnd"/>
      <w:r w:rsidRPr="00910E23">
        <w:rPr>
          <w:rFonts w:ascii="Calibri" w:eastAsia="Calibri" w:hAnsi="Calibri" w:cs="Calibri"/>
          <w:b/>
          <w:color w:val="000000"/>
          <w:kern w:val="0"/>
          <w:sz w:val="22"/>
          <w:szCs w:val="22"/>
          <w:u w:val="single" w:color="000000"/>
          <w:lang w:val="en-GB" w:eastAsia="en-GB"/>
          <w14:ligatures w14:val="none"/>
        </w:rPr>
        <w:t xml:space="preserve"> </w:t>
      </w:r>
    </w:p>
    <w:p w14:paraId="370B25B0" w14:textId="2F362AB0" w:rsidR="00910E23" w:rsidRPr="00910E23" w:rsidRDefault="00910E23" w:rsidP="00910E23">
      <w:pPr>
        <w:numPr>
          <w:ilvl w:val="0"/>
          <w:numId w:val="3"/>
        </w:numPr>
        <w:spacing w:after="0" w:line="256" w:lineRule="auto"/>
        <w:contextualSpacing/>
        <w:jc w:val="both"/>
        <w:rPr>
          <w:rFonts w:ascii="Calibri" w:eastAsia="Calibri" w:hAnsi="Calibri" w:cs="Calibri"/>
          <w:color w:val="0070C0"/>
          <w:kern w:val="0"/>
          <w:sz w:val="22"/>
          <w:szCs w:val="22"/>
          <w:u w:val="single"/>
          <w:lang w:val="fr-CH" w:eastAsia="en-GB"/>
          <w14:ligatures w14:val="none"/>
        </w:rPr>
      </w:pPr>
      <w:hyperlink r:id="rId7" w:history="1">
        <w:r>
          <w:rPr>
            <w:rFonts w:ascii="Calibri" w:eastAsia="Calibri" w:hAnsi="Calibri" w:cs="Calibri"/>
            <w:color w:val="0000FF"/>
            <w:kern w:val="0"/>
            <w:sz w:val="22"/>
            <w:szCs w:val="22"/>
            <w:u w:val="single"/>
            <w:lang w:val="fr-CH" w:eastAsia="en-GB"/>
            <w14:ligatures w14:val="none"/>
          </w:rPr>
          <w:t>Formulaire de demande de vente et de cession d'actifs (RAD) sous USD 5000</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0E7282">
        <w:rPr>
          <w:rFonts w:ascii="Calibri" w:hAnsi="Calibri" w:cs="Calibri"/>
          <w:sz w:val="22"/>
          <w:szCs w:val="22"/>
        </w:rPr>
        <w:t xml:space="preserve">: </w:t>
      </w:r>
      <w:proofErr w:type="spellStart"/>
      <w:r w:rsidRPr="000E7282">
        <w:rPr>
          <w:rFonts w:ascii="Calibri" w:hAnsi="Calibri" w:cs="Calibri"/>
          <w:sz w:val="22"/>
          <w:szCs w:val="22"/>
        </w:rPr>
        <w:t>Siège</w:t>
      </w:r>
      <w:proofErr w:type="spellEnd"/>
      <w:r w:rsidRPr="000E7282">
        <w:rPr>
          <w:rFonts w:ascii="Calibri" w:hAnsi="Calibri" w:cs="Calibri"/>
          <w:sz w:val="22"/>
          <w:szCs w:val="22"/>
        </w:rPr>
        <w:t xml:space="preserve"> </w:t>
      </w:r>
    </w:p>
    <w:p w14:paraId="41B19486" w14:textId="1E9C4A1C" w:rsidR="00910E23" w:rsidRPr="00910E23" w:rsidRDefault="00910E23" w:rsidP="00910E23">
      <w:pPr>
        <w:numPr>
          <w:ilvl w:val="0"/>
          <w:numId w:val="3"/>
        </w:numPr>
        <w:spacing w:after="60" w:line="256" w:lineRule="auto"/>
        <w:contextualSpacing/>
        <w:jc w:val="both"/>
        <w:rPr>
          <w:rFonts w:ascii="Calibri" w:eastAsia="Calibri" w:hAnsi="Calibri" w:cs="Calibri"/>
          <w:color w:val="0070C0"/>
          <w:kern w:val="0"/>
          <w:sz w:val="22"/>
          <w:szCs w:val="22"/>
          <w:u w:val="single"/>
          <w:lang w:val="fr-CH" w:eastAsia="en-GB"/>
          <w14:ligatures w14:val="none"/>
        </w:rPr>
      </w:pPr>
      <w:hyperlink r:id="rId8" w:history="1">
        <w:r>
          <w:rPr>
            <w:rFonts w:ascii="Calibri" w:eastAsia="Calibri" w:hAnsi="Calibri" w:cs="Calibri"/>
            <w:color w:val="0000FF"/>
            <w:kern w:val="0"/>
            <w:sz w:val="22"/>
            <w:szCs w:val="22"/>
            <w:u w:val="single"/>
            <w:lang w:val="fr-CH" w:eastAsia="en-GB"/>
            <w14:ligatures w14:val="none"/>
          </w:rPr>
          <w:t>Formulaire de demande pour la vente et la cession d'actifs (RAD) d'un montant égal ou supérieur à 5 000 USD</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55262A">
        <w:rPr>
          <w:rFonts w:ascii="Calibri" w:hAnsi="Calibri" w:cs="Calibri"/>
          <w:sz w:val="22"/>
          <w:szCs w:val="22"/>
        </w:rPr>
        <w:t xml:space="preserve">: </w:t>
      </w:r>
      <w:proofErr w:type="spellStart"/>
      <w:r w:rsidRPr="0055262A">
        <w:rPr>
          <w:rFonts w:ascii="Calibri" w:hAnsi="Calibri" w:cs="Calibri"/>
          <w:sz w:val="22"/>
          <w:szCs w:val="22"/>
        </w:rPr>
        <w:t>Siège</w:t>
      </w:r>
      <w:proofErr w:type="spellEnd"/>
      <w:r w:rsidRPr="0055262A">
        <w:rPr>
          <w:rFonts w:ascii="Calibri" w:hAnsi="Calibri" w:cs="Calibri"/>
          <w:sz w:val="22"/>
          <w:szCs w:val="22"/>
        </w:rPr>
        <w:t xml:space="preserve"> </w:t>
      </w:r>
      <w:r w:rsidRPr="00910E23">
        <w:rPr>
          <w:rFonts w:ascii="Calibri" w:eastAsia="Calibri" w:hAnsi="Calibri" w:cs="Calibri"/>
          <w:color w:val="0070C0"/>
          <w:kern w:val="0"/>
          <w:sz w:val="22"/>
          <w:szCs w:val="22"/>
          <w:u w:val="single"/>
          <w:lang w:val="fr-CH" w:eastAsia="en-GB"/>
          <w14:ligatures w14:val="none"/>
        </w:rPr>
        <w:t xml:space="preserve">  </w:t>
      </w:r>
    </w:p>
    <w:p w14:paraId="549BAC60" w14:textId="0BF30E41" w:rsidR="00910E23" w:rsidRPr="00910E23" w:rsidRDefault="00910E23" w:rsidP="00910E23">
      <w:pPr>
        <w:numPr>
          <w:ilvl w:val="0"/>
          <w:numId w:val="3"/>
        </w:numPr>
        <w:spacing w:after="60" w:line="256" w:lineRule="auto"/>
        <w:contextualSpacing/>
        <w:jc w:val="both"/>
        <w:rPr>
          <w:rFonts w:ascii="Calibri" w:eastAsia="Calibri" w:hAnsi="Calibri" w:cs="Calibri"/>
          <w:color w:val="0070C0"/>
          <w:kern w:val="0"/>
          <w:sz w:val="22"/>
          <w:szCs w:val="22"/>
          <w:u w:val="single"/>
          <w:lang w:val="fr-CH" w:eastAsia="en-GB"/>
          <w14:ligatures w14:val="none"/>
        </w:rPr>
      </w:pPr>
      <w:hyperlink r:id="rId9" w:history="1">
        <w:r>
          <w:rPr>
            <w:rFonts w:ascii="Calibri" w:eastAsia="Calibri" w:hAnsi="Calibri" w:cs="Calibri"/>
            <w:color w:val="0000FF"/>
            <w:kern w:val="0"/>
            <w:sz w:val="22"/>
            <w:szCs w:val="22"/>
            <w:u w:val="single"/>
            <w:lang w:val="fr-CH" w:eastAsia="en-GB"/>
            <w14:ligatures w14:val="none"/>
          </w:rPr>
          <w:t>Formulaire de demande d'approbation de l'ajustement des actifs</w:t>
        </w:r>
      </w:hyperlink>
      <w:r w:rsidRPr="000E7282">
        <w:rPr>
          <w:rFonts w:ascii="Calibri" w:eastAsia="Calibri" w:hAnsi="Calibri" w:cs="Calibri"/>
          <w:color w:val="0070C0"/>
          <w:kern w:val="0"/>
          <w:sz w:val="22"/>
          <w:szCs w:val="22"/>
          <w:lang w:val="fr-CH" w:eastAsia="en-GB"/>
          <w14:ligatures w14:val="none"/>
        </w:rPr>
        <w:t xml:space="preserve"> </w:t>
      </w:r>
      <w:r>
        <w:rPr>
          <w:rFonts w:ascii="Calibri" w:eastAsia="Calibri" w:hAnsi="Calibri" w:cs="Calibri"/>
          <w:color w:val="000000"/>
          <w:kern w:val="0"/>
          <w:sz w:val="22"/>
          <w:szCs w:val="22"/>
          <w:lang w:val="en-GB" w:eastAsia="en-GB"/>
          <w14:ligatures w14:val="none"/>
        </w:rPr>
        <w:t>(</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55262A">
        <w:rPr>
          <w:rFonts w:ascii="Calibri" w:hAnsi="Calibri" w:cs="Calibri"/>
          <w:sz w:val="22"/>
          <w:szCs w:val="22"/>
        </w:rPr>
        <w:t xml:space="preserve">: </w:t>
      </w:r>
      <w:proofErr w:type="spellStart"/>
      <w:r w:rsidRPr="0055262A">
        <w:rPr>
          <w:rFonts w:ascii="Calibri" w:hAnsi="Calibri" w:cs="Calibri"/>
          <w:sz w:val="22"/>
          <w:szCs w:val="22"/>
        </w:rPr>
        <w:t>Siège</w:t>
      </w:r>
      <w:proofErr w:type="spellEnd"/>
    </w:p>
    <w:p w14:paraId="7330B497" w14:textId="77777777" w:rsidR="00910E23" w:rsidRPr="00910E23" w:rsidRDefault="00910E23" w:rsidP="00910E23">
      <w:pPr>
        <w:spacing w:after="0" w:line="256" w:lineRule="auto"/>
        <w:ind w:left="60"/>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  </w:t>
      </w:r>
    </w:p>
    <w:p w14:paraId="2E8CFD44" w14:textId="77777777" w:rsidR="00910E23" w:rsidRPr="00910E23" w:rsidRDefault="00910E23" w:rsidP="00910E23">
      <w:pPr>
        <w:spacing w:after="0" w:line="256" w:lineRule="auto"/>
        <w:ind w:left="-5" w:hanging="10"/>
        <w:rPr>
          <w:rFonts w:ascii="Calibri" w:eastAsia="Calibri" w:hAnsi="Calibri" w:cs="Calibri"/>
          <w:color w:val="000000"/>
          <w:kern w:val="0"/>
          <w:sz w:val="22"/>
          <w:szCs w:val="22"/>
          <w:lang w:val="en-GB" w:eastAsia="en-GB"/>
          <w14:ligatures w14:val="none"/>
        </w:rPr>
      </w:pPr>
      <w:r w:rsidRPr="00910E23">
        <w:rPr>
          <w:rFonts w:ascii="Calibri" w:eastAsia="Calibri" w:hAnsi="Calibri" w:cs="Calibri"/>
          <w:b/>
          <w:color w:val="000000"/>
          <w:kern w:val="0"/>
          <w:sz w:val="22"/>
          <w:szCs w:val="22"/>
          <w:u w:val="single" w:color="000000"/>
          <w:lang w:val="fr-CH" w:eastAsia="en-GB"/>
          <w14:ligatures w14:val="none"/>
        </w:rPr>
        <w:t xml:space="preserve"> </w:t>
      </w:r>
      <w:r w:rsidRPr="00910E23">
        <w:rPr>
          <w:rFonts w:ascii="Calibri" w:eastAsia="Calibri" w:hAnsi="Calibri" w:cs="Calibri"/>
          <w:b/>
          <w:color w:val="000000"/>
          <w:kern w:val="0"/>
          <w:sz w:val="22"/>
          <w:szCs w:val="22"/>
          <w:u w:val="single" w:color="000000"/>
          <w:lang w:val="en-GB" w:eastAsia="en-GB"/>
          <w14:ligatures w14:val="none"/>
        </w:rPr>
        <w:t xml:space="preserve">Bureaux dans le </w:t>
      </w:r>
      <w:proofErr w:type="gramStart"/>
      <w:r w:rsidRPr="00910E23">
        <w:rPr>
          <w:rFonts w:ascii="Calibri" w:eastAsia="Calibri" w:hAnsi="Calibri" w:cs="Calibri"/>
          <w:b/>
          <w:color w:val="000000"/>
          <w:kern w:val="0"/>
          <w:sz w:val="22"/>
          <w:szCs w:val="22"/>
          <w:u w:val="single" w:color="000000"/>
          <w:lang w:val="en-GB" w:eastAsia="en-GB"/>
          <w14:ligatures w14:val="none"/>
        </w:rPr>
        <w:t>pays :</w:t>
      </w:r>
      <w:proofErr w:type="gramEnd"/>
      <w:r w:rsidRPr="00910E23">
        <w:rPr>
          <w:rFonts w:ascii="Calibri" w:eastAsia="Calibri" w:hAnsi="Calibri" w:cs="Calibri"/>
          <w:b/>
          <w:color w:val="000000"/>
          <w:kern w:val="0"/>
          <w:sz w:val="22"/>
          <w:szCs w:val="22"/>
          <w:u w:val="single" w:color="000000"/>
          <w:lang w:val="en-GB" w:eastAsia="en-GB"/>
          <w14:ligatures w14:val="none"/>
        </w:rPr>
        <w:t xml:space="preserve"> </w:t>
      </w:r>
    </w:p>
    <w:p w14:paraId="71DCEFA5" w14:textId="77777777" w:rsidR="00910E23" w:rsidRPr="00910E23" w:rsidRDefault="00910E23" w:rsidP="00910E23">
      <w:pPr>
        <w:spacing w:after="0" w:line="256" w:lineRule="auto"/>
        <w:rPr>
          <w:rFonts w:ascii="Calibri" w:eastAsia="Calibri" w:hAnsi="Calibri" w:cs="Calibri"/>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  </w:t>
      </w:r>
    </w:p>
    <w:p w14:paraId="43E273E5" w14:textId="5D349579" w:rsidR="00910E23" w:rsidRPr="00910E23" w:rsidRDefault="00910E23" w:rsidP="00910E23">
      <w:pPr>
        <w:numPr>
          <w:ilvl w:val="1"/>
          <w:numId w:val="4"/>
        </w:numPr>
        <w:spacing w:after="0" w:line="256" w:lineRule="auto"/>
        <w:contextualSpacing/>
        <w:jc w:val="both"/>
        <w:rPr>
          <w:rFonts w:ascii="Calibri" w:eastAsia="Calibri" w:hAnsi="Calibri" w:cs="Calibri"/>
          <w:kern w:val="0"/>
          <w:sz w:val="22"/>
          <w:szCs w:val="22"/>
          <w:lang w:val="fr-CH" w:eastAsia="en-GB"/>
          <w14:ligatures w14:val="none"/>
        </w:rPr>
      </w:pPr>
      <w:hyperlink r:id="rId10" w:history="1">
        <w:r>
          <w:rPr>
            <w:rFonts w:ascii="Calibri" w:eastAsia="Calibri" w:hAnsi="Calibri" w:cs="Calibri"/>
            <w:color w:val="0000FF"/>
            <w:kern w:val="0"/>
            <w:sz w:val="22"/>
            <w:szCs w:val="22"/>
            <w:u w:val="single"/>
            <w:lang w:val="fr-CH" w:eastAsia="en-GB"/>
            <w14:ligatures w14:val="none"/>
          </w:rPr>
          <w:t>Formulaire de demande d'autorisation de vente et de cession d'actifs (RAD) pour un montant inférieur à 5000 USD</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w:t>
      </w:r>
      <w:r w:rsidRPr="00910E23">
        <w:rPr>
          <w:rFonts w:ascii="Calibri" w:eastAsia="Calibri" w:hAnsi="Calibri" w:cs="Calibri"/>
          <w:color w:val="000000"/>
          <w:kern w:val="0"/>
          <w:sz w:val="22"/>
          <w:szCs w:val="22"/>
          <w:lang w:val="en-GB" w:eastAsia="en-GB"/>
          <w14:ligatures w14:val="none"/>
        </w:rPr>
        <w:t xml:space="preserve">anglais) : </w:t>
      </w:r>
      <w:r w:rsidRPr="000E7282">
        <w:rPr>
          <w:rFonts w:ascii="Calibri" w:eastAsia="Calibri" w:hAnsi="Calibri" w:cs="Calibri"/>
          <w:kern w:val="0"/>
          <w:sz w:val="22"/>
          <w:szCs w:val="22"/>
          <w:lang w:val="fr-CH" w:eastAsia="en-GB"/>
          <w14:ligatures w14:val="none"/>
        </w:rPr>
        <w:t>Bureau national</w:t>
      </w:r>
      <w:r w:rsidRPr="00910E23">
        <w:rPr>
          <w:rFonts w:ascii="Calibri" w:eastAsia="Calibri" w:hAnsi="Calibri" w:cs="Calibri"/>
          <w:kern w:val="0"/>
          <w:sz w:val="22"/>
          <w:szCs w:val="22"/>
          <w:u w:val="single"/>
          <w:lang w:val="fr-CH" w:eastAsia="en-GB"/>
          <w14:ligatures w14:val="none"/>
        </w:rPr>
        <w:t xml:space="preserve"> </w:t>
      </w:r>
    </w:p>
    <w:p w14:paraId="6184E1D8" w14:textId="3C42F566" w:rsidR="00910E23" w:rsidRPr="00910E23" w:rsidRDefault="00910E23" w:rsidP="00910E23">
      <w:pPr>
        <w:numPr>
          <w:ilvl w:val="1"/>
          <w:numId w:val="4"/>
        </w:numPr>
        <w:spacing w:after="0" w:line="256" w:lineRule="auto"/>
        <w:contextualSpacing/>
        <w:jc w:val="both"/>
        <w:rPr>
          <w:rFonts w:ascii="Calibri" w:eastAsia="Calibri" w:hAnsi="Calibri" w:cs="Calibri"/>
          <w:kern w:val="0"/>
          <w:sz w:val="22"/>
          <w:szCs w:val="22"/>
          <w:lang w:val="fr-CH" w:eastAsia="en-GB"/>
          <w14:ligatures w14:val="none"/>
        </w:rPr>
      </w:pPr>
      <w:hyperlink r:id="rId11" w:history="1">
        <w:r>
          <w:rPr>
            <w:rFonts w:ascii="Calibri" w:eastAsia="Calibri" w:hAnsi="Calibri" w:cs="Calibri"/>
            <w:color w:val="0000FF"/>
            <w:kern w:val="0"/>
            <w:sz w:val="22"/>
            <w:szCs w:val="22"/>
            <w:u w:val="single"/>
            <w:lang w:val="fr-CH" w:eastAsia="en-GB"/>
            <w14:ligatures w14:val="none"/>
          </w:rPr>
          <w:t>Formulaire de demande pour la vente et la cession d'actifs (RAD) d'un montant égal ou supérieur à 5 000 USD</w:t>
        </w:r>
      </w:hyperlink>
      <w:r w:rsidRPr="00910E23">
        <w:rPr>
          <w:rFonts w:ascii="Calibri" w:eastAsia="Calibri" w:hAnsi="Calibri" w:cs="Calibri"/>
          <w:kern w:val="0"/>
          <w:sz w:val="22"/>
          <w:szCs w:val="22"/>
          <w:lang w:val="fr-CH" w:eastAsia="en-GB"/>
          <w14:ligatures w14:val="none"/>
        </w:rPr>
        <w:t xml:space="preserve"> </w:t>
      </w:r>
      <w:r>
        <w:rPr>
          <w:rFonts w:ascii="Calibri" w:eastAsia="Calibri" w:hAnsi="Calibri" w:cs="Calibri"/>
          <w:color w:val="000000"/>
          <w:kern w:val="0"/>
          <w:sz w:val="22"/>
          <w:szCs w:val="22"/>
          <w:lang w:val="en-GB" w:eastAsia="en-GB"/>
          <w14:ligatures w14:val="none"/>
        </w:rPr>
        <w:t>(</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 </w:t>
      </w:r>
      <w:r w:rsidRPr="00910E23">
        <w:rPr>
          <w:rFonts w:ascii="Calibri" w:eastAsia="Calibri" w:hAnsi="Calibri" w:cs="Calibri"/>
          <w:kern w:val="0"/>
          <w:sz w:val="22"/>
          <w:szCs w:val="22"/>
          <w:lang w:val="fr-CH" w:eastAsia="en-GB"/>
          <w14:ligatures w14:val="none"/>
        </w:rPr>
        <w:t xml:space="preserve">Bureau national </w:t>
      </w:r>
    </w:p>
    <w:p w14:paraId="41D90A83" w14:textId="77777777" w:rsidR="00910E23" w:rsidRPr="00910E23" w:rsidRDefault="00910E23" w:rsidP="00910E23">
      <w:pPr>
        <w:shd w:val="clear" w:color="auto" w:fill="FFFFFF"/>
        <w:spacing w:after="0" w:line="240" w:lineRule="auto"/>
        <w:ind w:left="720"/>
        <w:rPr>
          <w:rFonts w:ascii="Segoe UI" w:eastAsia="Times New Roman" w:hAnsi="Segoe UI" w:cs="Segoe UI"/>
          <w:color w:val="212121"/>
          <w:kern w:val="0"/>
          <w:sz w:val="23"/>
          <w:szCs w:val="23"/>
          <w:lang w:val="fr-CH" w:eastAsia="en-GB"/>
          <w14:ligatures w14:val="none"/>
        </w:rPr>
      </w:pPr>
    </w:p>
    <w:p w14:paraId="6808A4F8" w14:textId="77777777" w:rsidR="00910E23" w:rsidRDefault="00910E23" w:rsidP="00910E23">
      <w:pPr>
        <w:shd w:val="clear" w:color="auto" w:fill="FFFFFF"/>
        <w:spacing w:after="0" w:line="240" w:lineRule="auto"/>
        <w:rPr>
          <w:rFonts w:ascii="Calibri" w:eastAsia="Times New Roman" w:hAnsi="Calibri" w:cs="Times New Roman"/>
          <w:b/>
          <w:bCs/>
          <w:i/>
          <w:color w:val="212121"/>
          <w:kern w:val="0"/>
          <w:sz w:val="22"/>
          <w:szCs w:val="22"/>
          <w:u w:val="single"/>
          <w:lang w:val="fr-FR"/>
          <w14:ligatures w14:val="none"/>
        </w:rPr>
      </w:pPr>
    </w:p>
    <w:p w14:paraId="0AF2D98E" w14:textId="77777777" w:rsidR="00910E23" w:rsidRDefault="00910E23" w:rsidP="00910E23">
      <w:pPr>
        <w:shd w:val="clear" w:color="auto" w:fill="FFFFFF"/>
        <w:spacing w:after="0" w:line="240" w:lineRule="auto"/>
        <w:rPr>
          <w:rFonts w:ascii="Calibri" w:eastAsia="Times New Roman" w:hAnsi="Calibri" w:cs="Times New Roman"/>
          <w:b/>
          <w:bCs/>
          <w:i/>
          <w:color w:val="212121"/>
          <w:kern w:val="0"/>
          <w:sz w:val="22"/>
          <w:szCs w:val="22"/>
          <w:u w:val="single"/>
          <w:lang w:val="fr-FR"/>
          <w14:ligatures w14:val="none"/>
        </w:rPr>
      </w:pPr>
    </w:p>
    <w:p w14:paraId="7D75EBC7" w14:textId="6E534109" w:rsidR="00910E23" w:rsidRPr="00A20DFF" w:rsidRDefault="00910E23" w:rsidP="00910E23">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FE33432" w14:textId="77777777" w:rsidR="00910E23" w:rsidRPr="00A20DFF" w:rsidRDefault="00910E23" w:rsidP="00910E23">
      <w:pPr>
        <w:shd w:val="clear" w:color="auto" w:fill="FFFFFF"/>
        <w:spacing w:after="0" w:line="240" w:lineRule="auto"/>
        <w:rPr>
          <w:rFonts w:ascii="Calibri" w:eastAsia="Times New Roman" w:hAnsi="Calibri" w:cs="Times New Roman"/>
          <w:i/>
          <w:color w:val="000000"/>
          <w:kern w:val="0"/>
          <w:lang w:val="fr-FR"/>
          <w14:ligatures w14:val="none"/>
        </w:rPr>
      </w:pPr>
    </w:p>
    <w:p w14:paraId="7A08E1C0" w14:textId="58D02D8E" w:rsidR="00DA504D" w:rsidRDefault="00910E23" w:rsidP="000E7282">
      <w:pPr>
        <w:spacing w:after="0" w:line="256" w:lineRule="auto"/>
      </w:pPr>
      <w:r w:rsidRPr="00A20DFF">
        <w:rPr>
          <w:rFonts w:ascii="Calibri" w:eastAsia="Times New Roman" w:hAnsi="Calibri" w:cs="Times New Roman"/>
          <w:b/>
          <w:bCs/>
          <w:i/>
          <w:color w:val="000000"/>
          <w:kern w:val="0"/>
          <w:sz w:val="22"/>
          <w:szCs w:val="22"/>
          <w:u w:val="single"/>
          <w:lang w:val="en-GB"/>
          <w14:ligatures w14:val="none"/>
        </w:rPr>
        <w:lastRenderedPageBreak/>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910E23">
      <w:headerReference w:type="default" r:id="rId12"/>
      <w:footerReference w:type="default" r:id="rId13"/>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0ECF" w14:textId="77777777" w:rsidR="005944C8" w:rsidRDefault="005944C8" w:rsidP="00910E23">
      <w:pPr>
        <w:spacing w:after="0" w:line="240" w:lineRule="auto"/>
      </w:pPr>
      <w:r>
        <w:separator/>
      </w:r>
    </w:p>
  </w:endnote>
  <w:endnote w:type="continuationSeparator" w:id="0">
    <w:p w14:paraId="7CF38931" w14:textId="77777777" w:rsidR="005944C8" w:rsidRDefault="005944C8" w:rsidP="0091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FB15" w14:textId="1E12E8D9" w:rsidR="00910E23" w:rsidRPr="000E7282" w:rsidRDefault="00910E23">
    <w:pPr>
      <w:pStyle w:val="Footer"/>
      <w:rPr>
        <w:rFonts w:ascii="Calibri" w:hAnsi="Calibri" w:cs="Calibri"/>
        <w:sz w:val="22"/>
        <w:szCs w:val="22"/>
        <w:lang w:val="fr-FR"/>
      </w:rPr>
    </w:pPr>
    <w:r w:rsidRPr="000E7282">
      <w:rPr>
        <w:rFonts w:ascii="Calibri" w:hAnsi="Calibri" w:cs="Calibri"/>
        <w:sz w:val="22"/>
        <w:szCs w:val="22"/>
        <w:lang w:val="fr-FR"/>
      </w:rPr>
      <w:t xml:space="preserve">Page </w:t>
    </w:r>
    <w:r w:rsidRPr="000E7282">
      <w:rPr>
        <w:rFonts w:ascii="Calibri" w:hAnsi="Calibri" w:cs="Calibri"/>
        <w:b/>
        <w:sz w:val="22"/>
        <w:szCs w:val="22"/>
      </w:rPr>
      <w:fldChar w:fldCharType="begin"/>
    </w:r>
    <w:r w:rsidRPr="000E7282">
      <w:rPr>
        <w:rFonts w:ascii="Calibri" w:hAnsi="Calibri" w:cs="Calibri"/>
        <w:b/>
        <w:sz w:val="22"/>
        <w:szCs w:val="22"/>
        <w:lang w:val="fr-FR"/>
      </w:rPr>
      <w:instrText xml:space="preserve"> PAGE  \* Arabic  \* MERGEFORMAT </w:instrText>
    </w:r>
    <w:r w:rsidRPr="000E7282">
      <w:rPr>
        <w:rFonts w:ascii="Calibri" w:hAnsi="Calibri" w:cs="Calibri"/>
        <w:b/>
        <w:sz w:val="22"/>
        <w:szCs w:val="22"/>
      </w:rPr>
      <w:fldChar w:fldCharType="separate"/>
    </w:r>
    <w:r w:rsidRPr="000E7282">
      <w:rPr>
        <w:rFonts w:ascii="Calibri" w:hAnsi="Calibri" w:cs="Calibri"/>
        <w:b/>
        <w:noProof/>
        <w:sz w:val="22"/>
        <w:szCs w:val="22"/>
        <w:lang w:val="fr-FR"/>
      </w:rPr>
      <w:t>3</w:t>
    </w:r>
    <w:r w:rsidRPr="000E7282">
      <w:rPr>
        <w:rFonts w:ascii="Calibri" w:hAnsi="Calibri" w:cs="Calibri"/>
        <w:b/>
        <w:sz w:val="22"/>
        <w:szCs w:val="22"/>
      </w:rPr>
      <w:fldChar w:fldCharType="end"/>
    </w:r>
    <w:r w:rsidRPr="000E7282">
      <w:rPr>
        <w:rFonts w:ascii="Calibri" w:hAnsi="Calibri" w:cs="Calibri"/>
        <w:sz w:val="22"/>
        <w:szCs w:val="22"/>
        <w:lang w:val="fr-FR"/>
      </w:rPr>
      <w:t xml:space="preserve"> de </w:t>
    </w:r>
    <w:r w:rsidRPr="000E7282">
      <w:rPr>
        <w:rFonts w:ascii="Calibri" w:hAnsi="Calibri" w:cs="Calibri"/>
        <w:sz w:val="22"/>
        <w:szCs w:val="22"/>
      </w:rPr>
      <w:fldChar w:fldCharType="begin"/>
    </w:r>
    <w:r w:rsidRPr="000E7282">
      <w:rPr>
        <w:rFonts w:ascii="Calibri" w:hAnsi="Calibri" w:cs="Calibri"/>
        <w:sz w:val="22"/>
        <w:szCs w:val="22"/>
        <w:lang w:val="fr-FR"/>
      </w:rPr>
      <w:instrText xml:space="preserve"> NUMPAGES  \* Arabic  \* MERGEFORMAT </w:instrText>
    </w:r>
    <w:r w:rsidRPr="000E7282">
      <w:rPr>
        <w:rFonts w:ascii="Calibri" w:hAnsi="Calibri" w:cs="Calibri"/>
        <w:sz w:val="22"/>
        <w:szCs w:val="22"/>
      </w:rPr>
      <w:fldChar w:fldCharType="separate"/>
    </w:r>
    <w:r w:rsidRPr="000E7282">
      <w:rPr>
        <w:rFonts w:ascii="Calibri" w:hAnsi="Calibri" w:cs="Calibri"/>
        <w:b/>
        <w:noProof/>
        <w:sz w:val="22"/>
        <w:szCs w:val="22"/>
        <w:lang w:val="fr-FR"/>
      </w:rPr>
      <w:t>3</w:t>
    </w:r>
    <w:r w:rsidRPr="000E7282">
      <w:rPr>
        <w:rFonts w:ascii="Calibri" w:hAnsi="Calibri" w:cs="Calibri"/>
        <w:b/>
        <w:noProof/>
        <w:sz w:val="22"/>
        <w:szCs w:val="22"/>
      </w:rPr>
      <w:fldChar w:fldCharType="end"/>
    </w:r>
    <w:r w:rsidRPr="000E7282">
      <w:rPr>
        <w:rFonts w:ascii="Calibri" w:hAnsi="Calibri" w:cs="Calibri"/>
        <w:sz w:val="22"/>
        <w:szCs w:val="22"/>
      </w:rPr>
      <w:ptab w:relativeTo="margin" w:alignment="center" w:leader="none"/>
    </w:r>
    <w:r w:rsidRPr="000E7282">
      <w:rPr>
        <w:rFonts w:ascii="Calibri" w:hAnsi="Calibri" w:cs="Calibri"/>
        <w:sz w:val="22"/>
        <w:szCs w:val="22"/>
        <w:lang w:val="fr-FR"/>
      </w:rPr>
      <w:t xml:space="preserve">Date d’entrée en vigueur : 25/07/2016 </w:t>
    </w:r>
    <w:r w:rsidRPr="000E7282">
      <w:rPr>
        <w:rFonts w:ascii="Calibri" w:hAnsi="Calibri" w:cs="Calibri"/>
        <w:sz w:val="22"/>
        <w:szCs w:val="22"/>
      </w:rPr>
      <w:ptab w:relativeTo="margin" w:alignment="right" w:leader="none"/>
    </w:r>
    <w:r w:rsidRPr="000E7282">
      <w:rPr>
        <w:rFonts w:ascii="Calibri" w:hAnsi="Calibri" w:cs="Calibri"/>
        <w:sz w:val="22"/>
        <w:szCs w:val="22"/>
        <w:lang w:val="fr-FR"/>
      </w:rPr>
      <w:t>Version</w:t>
    </w:r>
    <w:r>
      <w:rPr>
        <w:rFonts w:ascii="Calibri" w:hAnsi="Calibri" w:cs="Calibri"/>
        <w:sz w:val="22"/>
        <w:szCs w:val="22"/>
        <w:vertAlign w:val="superscript"/>
        <w:lang w:val="fr-FR"/>
      </w:rPr>
      <w:t xml:space="preserve"> </w:t>
    </w:r>
    <w:r>
      <w:rPr>
        <w:rFonts w:ascii="Calibri" w:hAnsi="Calibri" w:cs="Calibri"/>
        <w:sz w:val="22"/>
        <w:szCs w:val="22"/>
        <w:lang w:val="fr-FR"/>
      </w:rPr>
      <w:t>#</w:t>
    </w:r>
    <w:r w:rsidRPr="000E7282">
      <w:rPr>
        <w:rFonts w:ascii="Calibri" w:hAnsi="Calibri" w:cs="Calibri"/>
        <w:sz w:val="22"/>
        <w:szCs w:val="22"/>
        <w:lang w:val="fr-FR"/>
      </w:rPr>
      <w:t xml:space="preserve"> : </w:t>
    </w:r>
    <w:sdt>
      <w:sdtPr>
        <w:rPr>
          <w:rFonts w:ascii="Calibri" w:hAnsi="Calibri" w:cs="Calibri"/>
          <w:sz w:val="22"/>
          <w:szCs w:val="22"/>
          <w:lang w:val="fr-FR"/>
        </w:rPr>
        <w:alias w:val="POPPRefItemVersion"/>
        <w:tag w:val="UNDP_POPP_REFITEM_VERSION"/>
        <w:id w:val="1071767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Pr="000E7282">
          <w:rPr>
            <w:rFonts w:ascii="Calibri" w:hAnsi="Calibri" w:cs="Calibri"/>
            <w:sz w:val="22"/>
            <w:szCs w:val="22"/>
            <w:lang w:val="fr-FR"/>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8DBE" w14:textId="77777777" w:rsidR="005944C8" w:rsidRDefault="005944C8" w:rsidP="00910E23">
      <w:pPr>
        <w:spacing w:after="0" w:line="240" w:lineRule="auto"/>
      </w:pPr>
      <w:r>
        <w:separator/>
      </w:r>
    </w:p>
  </w:footnote>
  <w:footnote w:type="continuationSeparator" w:id="0">
    <w:p w14:paraId="7CADA4DE" w14:textId="77777777" w:rsidR="005944C8" w:rsidRDefault="005944C8" w:rsidP="0091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449E" w14:textId="457098FF" w:rsidR="00910E23" w:rsidRDefault="00910E23" w:rsidP="00C10DF5">
    <w:pPr>
      <w:pStyle w:val="Header"/>
      <w:jc w:val="right"/>
    </w:pPr>
    <w:r>
      <w:rPr>
        <w:noProof/>
      </w:rPr>
      <w:drawing>
        <wp:inline distT="0" distB="0" distL="0" distR="0" wp14:anchorId="7D6B73C6" wp14:editId="1E456486">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426FF80" w14:textId="77777777" w:rsidR="00910E23" w:rsidRDefault="00910E23" w:rsidP="00C10D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BBF"/>
    <w:multiLevelType w:val="multilevel"/>
    <w:tmpl w:val="A33A6C70"/>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
      <w:lvlJc w:val="left"/>
      <w:pPr>
        <w:tabs>
          <w:tab w:val="num" w:pos="900"/>
        </w:tabs>
        <w:ind w:left="90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3C4C27"/>
    <w:multiLevelType w:val="hybridMultilevel"/>
    <w:tmpl w:val="656E9022"/>
    <w:lvl w:ilvl="0" w:tplc="FFFFFFFF">
      <w:start w:val="1"/>
      <w:numFmt w:val="decimal"/>
      <w:lvlText w:val="%1."/>
      <w:lvlJc w:val="left"/>
      <w:pPr>
        <w:ind w:left="705" w:firstLine="0"/>
      </w:pPr>
      <w:rPr>
        <w:b w:val="0"/>
        <w:i w:val="0"/>
        <w:strike w:val="0"/>
        <w:dstrike w:val="0"/>
        <w:color w:val="000000"/>
        <w:sz w:val="22"/>
        <w:szCs w:val="22"/>
        <w:u w:val="none" w:color="000000"/>
        <w:effect w:val="none"/>
        <w:bdr w:val="none" w:sz="0" w:space="0" w:color="auto" w:frame="1"/>
        <w:vertAlign w:val="baseline"/>
      </w:rPr>
    </w:lvl>
    <w:lvl w:ilvl="1" w:tplc="9EC441CA">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EE4FF6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A7EDA6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62EE42">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1E6C45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FBA344E">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54AD79A">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34804C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564C62BD"/>
    <w:multiLevelType w:val="hybridMultilevel"/>
    <w:tmpl w:val="759A3694"/>
    <w:lvl w:ilvl="0" w:tplc="5A2CC544">
      <w:start w:val="1"/>
      <w:numFmt w:val="lowerLetter"/>
      <w:lvlText w:val="%1)"/>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9C1A8A">
      <w:start w:val="1"/>
      <w:numFmt w:val="lowerLetter"/>
      <w:lvlText w:val="%2"/>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38E1C86">
      <w:start w:val="1"/>
      <w:numFmt w:val="lowerRoman"/>
      <w:lvlText w:val="%3"/>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EA23B64">
      <w:start w:val="1"/>
      <w:numFmt w:val="decimal"/>
      <w:lvlText w:val="%4"/>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40A518">
      <w:start w:val="1"/>
      <w:numFmt w:val="lowerLetter"/>
      <w:lvlText w:val="%5"/>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9366A18">
      <w:start w:val="1"/>
      <w:numFmt w:val="lowerRoman"/>
      <w:lvlText w:val="%6"/>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298D0AA">
      <w:start w:val="1"/>
      <w:numFmt w:val="decimal"/>
      <w:lvlText w:val="%7"/>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0EC1276">
      <w:start w:val="1"/>
      <w:numFmt w:val="lowerLetter"/>
      <w:lvlText w:val="%8"/>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407A24">
      <w:start w:val="1"/>
      <w:numFmt w:val="lowerRoman"/>
      <w:lvlText w:val="%9"/>
      <w:lvlJc w:val="left"/>
      <w:pPr>
        <w:ind w:left="72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FDE1678"/>
    <w:multiLevelType w:val="hybridMultilevel"/>
    <w:tmpl w:val="5D8655DC"/>
    <w:lvl w:ilvl="0" w:tplc="5B2031E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16cid:durableId="2081751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169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977498">
    <w:abstractNumId w:val="3"/>
  </w:num>
  <w:num w:numId="4" w16cid:durableId="28057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23"/>
    <w:rsid w:val="000E7282"/>
    <w:rsid w:val="00573BF3"/>
    <w:rsid w:val="005944C8"/>
    <w:rsid w:val="007C315F"/>
    <w:rsid w:val="00881C7D"/>
    <w:rsid w:val="00890832"/>
    <w:rsid w:val="00901C15"/>
    <w:rsid w:val="009073F5"/>
    <w:rsid w:val="00910E23"/>
    <w:rsid w:val="00C61B9D"/>
    <w:rsid w:val="00DA504D"/>
    <w:rsid w:val="00F7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16D"/>
  <w15:chartTrackingRefBased/>
  <w15:docId w15:val="{1DD26E36-2391-4276-974D-C4E782FE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E23"/>
    <w:rPr>
      <w:rFonts w:eastAsiaTheme="majorEastAsia" w:cstheme="majorBidi"/>
      <w:color w:val="272727" w:themeColor="text1" w:themeTint="D8"/>
    </w:rPr>
  </w:style>
  <w:style w:type="paragraph" w:styleId="Title">
    <w:name w:val="Title"/>
    <w:basedOn w:val="Normal"/>
    <w:next w:val="Normal"/>
    <w:link w:val="TitleChar"/>
    <w:uiPriority w:val="10"/>
    <w:qFormat/>
    <w:rsid w:val="0091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E23"/>
    <w:pPr>
      <w:spacing w:before="160"/>
      <w:jc w:val="center"/>
    </w:pPr>
    <w:rPr>
      <w:i/>
      <w:iCs/>
      <w:color w:val="404040" w:themeColor="text1" w:themeTint="BF"/>
    </w:rPr>
  </w:style>
  <w:style w:type="character" w:customStyle="1" w:styleId="QuoteChar">
    <w:name w:val="Quote Char"/>
    <w:basedOn w:val="DefaultParagraphFont"/>
    <w:link w:val="Quote"/>
    <w:uiPriority w:val="29"/>
    <w:rsid w:val="00910E23"/>
    <w:rPr>
      <w:i/>
      <w:iCs/>
      <w:color w:val="404040" w:themeColor="text1" w:themeTint="BF"/>
    </w:rPr>
  </w:style>
  <w:style w:type="paragraph" w:styleId="ListParagraph">
    <w:name w:val="List Paragraph"/>
    <w:basedOn w:val="Normal"/>
    <w:uiPriority w:val="34"/>
    <w:qFormat/>
    <w:rsid w:val="00910E23"/>
    <w:pPr>
      <w:ind w:left="720"/>
      <w:contextualSpacing/>
    </w:pPr>
  </w:style>
  <w:style w:type="character" w:styleId="IntenseEmphasis">
    <w:name w:val="Intense Emphasis"/>
    <w:basedOn w:val="DefaultParagraphFont"/>
    <w:uiPriority w:val="21"/>
    <w:qFormat/>
    <w:rsid w:val="00910E23"/>
    <w:rPr>
      <w:i/>
      <w:iCs/>
      <w:color w:val="0F4761" w:themeColor="accent1" w:themeShade="BF"/>
    </w:rPr>
  </w:style>
  <w:style w:type="paragraph" w:styleId="IntenseQuote">
    <w:name w:val="Intense Quote"/>
    <w:basedOn w:val="Normal"/>
    <w:next w:val="Normal"/>
    <w:link w:val="IntenseQuoteChar"/>
    <w:uiPriority w:val="30"/>
    <w:qFormat/>
    <w:rsid w:val="0091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E23"/>
    <w:rPr>
      <w:i/>
      <w:iCs/>
      <w:color w:val="0F4761" w:themeColor="accent1" w:themeShade="BF"/>
    </w:rPr>
  </w:style>
  <w:style w:type="character" w:styleId="IntenseReference">
    <w:name w:val="Intense Reference"/>
    <w:basedOn w:val="DefaultParagraphFont"/>
    <w:uiPriority w:val="32"/>
    <w:qFormat/>
    <w:rsid w:val="00910E23"/>
    <w:rPr>
      <w:b/>
      <w:bCs/>
      <w:smallCaps/>
      <w:color w:val="0F4761" w:themeColor="accent1" w:themeShade="BF"/>
      <w:spacing w:val="5"/>
    </w:rPr>
  </w:style>
  <w:style w:type="paragraph" w:styleId="Header">
    <w:name w:val="header"/>
    <w:basedOn w:val="Normal"/>
    <w:link w:val="HeaderChar"/>
    <w:uiPriority w:val="99"/>
    <w:unhideWhenUsed/>
    <w:rsid w:val="0091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23"/>
  </w:style>
  <w:style w:type="paragraph" w:styleId="Footer">
    <w:name w:val="footer"/>
    <w:basedOn w:val="Normal"/>
    <w:link w:val="FooterChar"/>
    <w:uiPriority w:val="99"/>
    <w:unhideWhenUsed/>
    <w:rsid w:val="0091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23"/>
  </w:style>
  <w:style w:type="paragraph" w:styleId="Revision">
    <w:name w:val="Revision"/>
    <w:hidden/>
    <w:uiPriority w:val="99"/>
    <w:semiHidden/>
    <w:rsid w:val="00910E23"/>
    <w:pPr>
      <w:spacing w:after="0" w:line="240" w:lineRule="auto"/>
    </w:pPr>
  </w:style>
  <w:style w:type="table" w:styleId="TableGrid">
    <w:name w:val="Table Grid"/>
    <w:basedOn w:val="TableNormal"/>
    <w:uiPriority w:val="39"/>
    <w:rsid w:val="0091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47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4706" TargetMode="External"/><Relationship Id="rId4" Type="http://schemas.openxmlformats.org/officeDocument/2006/relationships/webSettings" Target="webSettings.xml"/><Relationship Id="rId9" Type="http://schemas.openxmlformats.org/officeDocument/2006/relationships/hyperlink" Target="https://popp.undp.org/node/501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2026-04-24T11:37:00Z</dcterms:created>
  <dcterms:modified xsi:type="dcterms:W3CDTF">2026-04-28T14:24:00Z</dcterms:modified>
</cp:coreProperties>
</file>