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157A7" w14:textId="50220DCE" w:rsidR="009908D8" w:rsidRPr="00662C65" w:rsidRDefault="00363336">
      <w:pPr>
        <w:spacing w:after="145" w:line="259" w:lineRule="auto"/>
        <w:ind w:left="0" w:right="0" w:firstLine="0"/>
        <w:jc w:val="left"/>
      </w:pPr>
      <w:r>
        <w:rPr>
          <w:b/>
          <w:sz w:val="28"/>
        </w:rPr>
        <w:t xml:space="preserve">Rapports </w:t>
      </w:r>
      <w:r w:rsidR="00687BEF">
        <w:rPr>
          <w:b/>
          <w:sz w:val="28"/>
        </w:rPr>
        <w:t>financiers</w:t>
      </w:r>
      <w:r>
        <w:rPr>
          <w:b/>
          <w:sz w:val="28"/>
        </w:rPr>
        <w:t xml:space="preserve"> </w:t>
      </w:r>
      <w:r w:rsidR="00687BEF" w:rsidRPr="00687BEF">
        <w:rPr>
          <w:b/>
          <w:sz w:val="28"/>
        </w:rPr>
        <w:t>certifiés</w:t>
      </w:r>
      <w:r>
        <w:rPr>
          <w:b/>
          <w:sz w:val="28"/>
        </w:rPr>
        <w:t xml:space="preserve"> </w:t>
      </w:r>
    </w:p>
    <w:p w14:paraId="57111AA5" w14:textId="6FEF841E" w:rsidR="009908D8" w:rsidRPr="00662C65" w:rsidRDefault="00A22745">
      <w:pPr>
        <w:numPr>
          <w:ilvl w:val="0"/>
          <w:numId w:val="1"/>
        </w:numPr>
        <w:ind w:right="0" w:hanging="360"/>
      </w:pPr>
      <w:r w:rsidRPr="00A22745">
        <w:t xml:space="preserve">Le rapport financier certifié donne une vue d'ensemble de la manière dont les contributions sont enregistrées et utilisées, reflétant le statut opérationnel, les recettes, les dépenses et le solde des contributions versées par les donateurs individuels des pays hors programme. Les destinataires de ces rapports sont ces donateurs et les bureaux de pays du PNUD </w:t>
      </w:r>
      <w:r w:rsidR="00435359" w:rsidRPr="00A22745">
        <w:t>concernés.</w:t>
      </w:r>
      <w:r w:rsidR="00363336">
        <w:t xml:space="preserve"> </w:t>
      </w:r>
    </w:p>
    <w:p w14:paraId="3C636B47" w14:textId="77777777" w:rsidR="009908D8" w:rsidRPr="00662C65" w:rsidRDefault="00363336">
      <w:pPr>
        <w:spacing w:after="0" w:line="259" w:lineRule="auto"/>
        <w:ind w:left="708" w:right="0" w:firstLine="0"/>
        <w:jc w:val="left"/>
      </w:pPr>
      <w:r>
        <w:t xml:space="preserve"> </w:t>
      </w:r>
    </w:p>
    <w:p w14:paraId="348E3B11" w14:textId="7E1271B3" w:rsidR="009908D8" w:rsidRPr="00662C65" w:rsidRDefault="00A22745">
      <w:pPr>
        <w:spacing w:after="0" w:line="259" w:lineRule="auto"/>
        <w:ind w:left="703" w:right="0" w:hanging="10"/>
        <w:jc w:val="left"/>
      </w:pPr>
      <w:r w:rsidRPr="00A22745">
        <w:rPr>
          <w:u w:val="single" w:color="000000"/>
        </w:rPr>
        <w:t>Source d'information</w:t>
      </w:r>
      <w:r w:rsidR="00363336">
        <w:t xml:space="preserve"> </w:t>
      </w:r>
    </w:p>
    <w:p w14:paraId="7790886D" w14:textId="77777777" w:rsidR="009908D8" w:rsidRPr="00662C65" w:rsidRDefault="00363336">
      <w:pPr>
        <w:spacing w:after="20" w:line="259" w:lineRule="auto"/>
        <w:ind w:left="0" w:right="0" w:firstLine="0"/>
        <w:jc w:val="left"/>
      </w:pPr>
      <w:r>
        <w:t xml:space="preserve">  </w:t>
      </w:r>
    </w:p>
    <w:p w14:paraId="0C861715" w14:textId="163571B3" w:rsidR="009908D8" w:rsidRPr="00662C65" w:rsidRDefault="00A22745">
      <w:pPr>
        <w:numPr>
          <w:ilvl w:val="0"/>
          <w:numId w:val="1"/>
        </w:numPr>
        <w:ind w:right="0" w:hanging="360"/>
      </w:pPr>
      <w:r w:rsidRPr="00A22745">
        <w:t xml:space="preserve">Les données contenues dans ces rapports sont extraites des états financiers du PNUD et sont, à tous égards importants, </w:t>
      </w:r>
      <w:r w:rsidR="00211295" w:rsidRPr="00211295">
        <w:t>conformes aux registres financiers du PNUD et aux normes IPSAS.</w:t>
      </w:r>
    </w:p>
    <w:p w14:paraId="00582203" w14:textId="77777777" w:rsidR="009908D8" w:rsidRPr="00662C65" w:rsidRDefault="00363336">
      <w:pPr>
        <w:spacing w:after="0" w:line="259" w:lineRule="auto"/>
        <w:ind w:left="0" w:right="0" w:firstLine="0"/>
        <w:jc w:val="left"/>
      </w:pPr>
      <w:r>
        <w:t xml:space="preserve">  </w:t>
      </w:r>
    </w:p>
    <w:p w14:paraId="69611148" w14:textId="2DD5A41A" w:rsidR="009908D8" w:rsidRPr="00662C65" w:rsidRDefault="00A22745">
      <w:pPr>
        <w:spacing w:after="0" w:line="259" w:lineRule="auto"/>
        <w:ind w:left="703" w:right="0" w:hanging="10"/>
        <w:jc w:val="left"/>
      </w:pPr>
      <w:r>
        <w:rPr>
          <w:u w:val="single" w:color="000000"/>
        </w:rPr>
        <w:t>Table de matières</w:t>
      </w:r>
      <w:r w:rsidR="00363336">
        <w:t xml:space="preserve"> </w:t>
      </w:r>
    </w:p>
    <w:p w14:paraId="74D0C75F" w14:textId="77777777" w:rsidR="009908D8" w:rsidRPr="00662C65" w:rsidRDefault="00363336">
      <w:pPr>
        <w:spacing w:after="20" w:line="259" w:lineRule="auto"/>
        <w:ind w:left="0" w:right="0" w:firstLine="0"/>
        <w:jc w:val="left"/>
      </w:pPr>
      <w:r>
        <w:t xml:space="preserve">  </w:t>
      </w:r>
    </w:p>
    <w:p w14:paraId="7313D8C7" w14:textId="7DFFF8D6" w:rsidR="009908D8" w:rsidRDefault="00A22745">
      <w:pPr>
        <w:numPr>
          <w:ilvl w:val="0"/>
          <w:numId w:val="1"/>
        </w:numPr>
        <w:ind w:right="0" w:hanging="360"/>
      </w:pPr>
      <w:r w:rsidRPr="00A22745">
        <w:t>Chaque rapport contient le résumé et le détail des recettes, des dépenses et du solde par catégorie de financement, c'est-à-dire le partage des coûts (cofinancement au niveau du projet), les fonds fiduciaires, les guichets de financement et les fonds fiduciaires thématiques (cofinancement au niveau du fonds) pour le donateur. La section détaillée comporte trois parties et trois annexes lorsqu'il y a des informations à présenter</w:t>
      </w:r>
      <w:r w:rsidR="00363336">
        <w:t xml:space="preserve">. </w:t>
      </w:r>
    </w:p>
    <w:p w14:paraId="1A396553" w14:textId="1B57A02B" w:rsidR="00A940D5" w:rsidRPr="004E10DC" w:rsidRDefault="00A940D5" w:rsidP="00044AE2">
      <w:pPr>
        <w:pStyle w:val="ListParagraph"/>
        <w:numPr>
          <w:ilvl w:val="0"/>
          <w:numId w:val="4"/>
        </w:numPr>
        <w:spacing w:after="0" w:line="259" w:lineRule="auto"/>
        <w:ind w:right="0"/>
        <w:jc w:val="left"/>
      </w:pPr>
      <w:r w:rsidRPr="004E10DC">
        <w:t xml:space="preserve">Part I : Reports for </w:t>
      </w:r>
      <w:proofErr w:type="spellStart"/>
      <w:r w:rsidRPr="004E10DC">
        <w:t>Projects</w:t>
      </w:r>
      <w:proofErr w:type="spellEnd"/>
      <w:r w:rsidRPr="004E10DC">
        <w:t xml:space="preserve"> </w:t>
      </w:r>
      <w:proofErr w:type="spellStart"/>
      <w:r w:rsidRPr="004E10DC">
        <w:t>Financed</w:t>
      </w:r>
      <w:proofErr w:type="spellEnd"/>
      <w:r w:rsidRPr="004E10DC">
        <w:t xml:space="preserve"> by </w:t>
      </w:r>
      <w:proofErr w:type="spellStart"/>
      <w:r w:rsidRPr="004E10DC">
        <w:t>Cost</w:t>
      </w:r>
      <w:proofErr w:type="spellEnd"/>
      <w:r w:rsidRPr="004E10DC">
        <w:t xml:space="preserve">-Sharing </w:t>
      </w:r>
      <w:proofErr w:type="spellStart"/>
      <w:r w:rsidRPr="004E10DC">
        <w:t>Agreements</w:t>
      </w:r>
      <w:proofErr w:type="spellEnd"/>
      <w:r w:rsidRPr="004E10DC">
        <w:t xml:space="preserve">. A </w:t>
      </w:r>
      <w:proofErr w:type="spellStart"/>
      <w:r w:rsidRPr="004E10DC">
        <w:t>co-financing</w:t>
      </w:r>
      <w:proofErr w:type="spellEnd"/>
      <w:r w:rsidRPr="004E10DC">
        <w:t xml:space="preserve"> </w:t>
      </w:r>
      <w:proofErr w:type="spellStart"/>
      <w:r w:rsidRPr="004E10DC">
        <w:t>modality</w:t>
      </w:r>
      <w:proofErr w:type="spellEnd"/>
      <w:r w:rsidRPr="004E10DC">
        <w:t xml:space="preserve"> </w:t>
      </w:r>
      <w:proofErr w:type="spellStart"/>
      <w:r w:rsidRPr="004E10DC">
        <w:t>under</w:t>
      </w:r>
      <w:proofErr w:type="spellEnd"/>
      <w:r w:rsidRPr="004E10DC">
        <w:t xml:space="preserve"> </w:t>
      </w:r>
      <w:proofErr w:type="spellStart"/>
      <w:r w:rsidRPr="004E10DC">
        <w:t>which</w:t>
      </w:r>
      <w:proofErr w:type="spellEnd"/>
      <w:r w:rsidRPr="004E10DC">
        <w:t xml:space="preserve"> contributions can </w:t>
      </w:r>
      <w:proofErr w:type="spellStart"/>
      <w:r w:rsidRPr="004E10DC">
        <w:t>be</w:t>
      </w:r>
      <w:proofErr w:type="spellEnd"/>
      <w:r w:rsidRPr="004E10DC">
        <w:t xml:space="preserve"> </w:t>
      </w:r>
      <w:proofErr w:type="spellStart"/>
      <w:r w:rsidRPr="004E10DC">
        <w:t>received</w:t>
      </w:r>
      <w:proofErr w:type="spellEnd"/>
      <w:r w:rsidRPr="004E10DC">
        <w:t xml:space="preserve"> for </w:t>
      </w:r>
      <w:proofErr w:type="spellStart"/>
      <w:r w:rsidRPr="004E10DC">
        <w:t>specific</w:t>
      </w:r>
      <w:proofErr w:type="spellEnd"/>
      <w:r w:rsidRPr="004E10DC">
        <w:t xml:space="preserve"> UNDP programme </w:t>
      </w:r>
      <w:proofErr w:type="spellStart"/>
      <w:r w:rsidRPr="004E10DC">
        <w:t>activities</w:t>
      </w:r>
      <w:proofErr w:type="spellEnd"/>
      <w:r w:rsidRPr="004E10DC">
        <w:t>.</w:t>
      </w:r>
    </w:p>
    <w:p w14:paraId="5FFA23B9" w14:textId="5D986DD2" w:rsidR="00A940D5" w:rsidRPr="00662C65" w:rsidRDefault="00A940D5" w:rsidP="00044AE2">
      <w:pPr>
        <w:pStyle w:val="ListParagraph"/>
        <w:numPr>
          <w:ilvl w:val="0"/>
          <w:numId w:val="4"/>
        </w:numPr>
        <w:spacing w:after="0" w:line="259" w:lineRule="auto"/>
        <w:ind w:right="0"/>
        <w:jc w:val="left"/>
      </w:pPr>
      <w:r w:rsidRPr="006251BD">
        <w:t>Partie II : Rapports pour les projets financés par des accords de fonds fiduciaires par les activités suivantes</w:t>
      </w:r>
      <w:r>
        <w:t>.</w:t>
      </w:r>
    </w:p>
    <w:p w14:paraId="2780B751" w14:textId="63DAEF02" w:rsidR="00211295" w:rsidRDefault="00363336" w:rsidP="00044AE2">
      <w:pPr>
        <w:spacing w:after="0" w:line="259" w:lineRule="auto"/>
        <w:ind w:left="0" w:right="0" w:firstLine="0"/>
        <w:jc w:val="left"/>
      </w:pPr>
      <w:r>
        <w:t xml:space="preserve">  </w:t>
      </w:r>
    </w:p>
    <w:p w14:paraId="3630F84B" w14:textId="3A5BCFBE" w:rsidR="006251BD" w:rsidRDefault="006251BD" w:rsidP="00044AE2">
      <w:pPr>
        <w:numPr>
          <w:ilvl w:val="2"/>
          <w:numId w:val="1"/>
        </w:numPr>
        <w:ind w:left="1800" w:right="0"/>
      </w:pPr>
      <w:r w:rsidRPr="006251BD">
        <w:t>Activités de fonds d'affectation spéciale : Un fonds d'affectation spéciale est une modalité normalement établie pour recevoir les contributions des donateurs à l'appui de grands thèmes - tels que les domaines de pratique du PNUD et les programmes régionaux.</w:t>
      </w:r>
    </w:p>
    <w:p w14:paraId="6F3D7A3F" w14:textId="610FFFC9" w:rsidR="008E121F" w:rsidRDefault="008E121F" w:rsidP="00044AE2">
      <w:pPr>
        <w:numPr>
          <w:ilvl w:val="2"/>
          <w:numId w:val="1"/>
        </w:numPr>
        <w:ind w:left="1800" w:right="0"/>
      </w:pPr>
      <w:r w:rsidRPr="008E121F">
        <w:t>Activités des fenêtres de financement : Les fenêtres de financement sont les</w:t>
      </w:r>
      <w:r w:rsidR="00211295">
        <w:t xml:space="preserve"> </w:t>
      </w:r>
      <w:r w:rsidRPr="008E121F">
        <w:t>mécanismes de financement communs et flexibles du PNUD qui sont organisés autour de thèmes pour aider le PNUD et ses partenaires à s'aligner sur des objectifs communs pour atteindre les Objectifs de Développement Durable. Un aperçu financier de chaque fenêtre de financement est présenté dans ce rapport au niveau des sous-fenêtres.</w:t>
      </w:r>
    </w:p>
    <w:p w14:paraId="356DFB54" w14:textId="2ECCAD89" w:rsidR="008E121F" w:rsidRDefault="00E95B70" w:rsidP="00044AE2">
      <w:pPr>
        <w:numPr>
          <w:ilvl w:val="2"/>
          <w:numId w:val="1"/>
        </w:numPr>
        <w:ind w:left="1800" w:right="0"/>
      </w:pPr>
      <w:r w:rsidRPr="00E95B70">
        <w:t xml:space="preserve">Activités des fonds d'affectation spéciale thématiques : Une vue d'ensemble de chaque fonds fiduciaire thématique et de ses lignes de service est fournie pour une information plus utile et meilleure pour les lecteurs. Des détails supplémentaires sur les résultats des initiatives des fenêtres nationales et régionales, financées par un donateur, à savoir le pays, le statut des </w:t>
      </w:r>
      <w:r w:rsidR="00211295" w:rsidRPr="00E95B70">
        <w:t>projets</w:t>
      </w:r>
      <w:r w:rsidRPr="00E95B70">
        <w:t>, les descriptions des projets, sont également fournis.</w:t>
      </w:r>
    </w:p>
    <w:p w14:paraId="61E7D3F6" w14:textId="57D28E57" w:rsidR="001520A9" w:rsidRDefault="00E90361" w:rsidP="00211295">
      <w:pPr>
        <w:numPr>
          <w:ilvl w:val="2"/>
          <w:numId w:val="1"/>
        </w:numPr>
        <w:ind w:left="1800" w:right="0"/>
      </w:pPr>
      <w:r>
        <w:t>P</w:t>
      </w:r>
      <w:r w:rsidR="001520A9" w:rsidRPr="001520A9">
        <w:t>rogramme des Volontaires des Nations Unies (VNU) : Les données financières sur les activités du programme VNU et les types de financement sont incorporées dans le rapport.</w:t>
      </w:r>
    </w:p>
    <w:p w14:paraId="43AB8CA0" w14:textId="77777777" w:rsidR="00A940D5" w:rsidRDefault="00A940D5" w:rsidP="00044AE2">
      <w:pPr>
        <w:ind w:left="1800" w:right="0" w:firstLine="0"/>
      </w:pPr>
    </w:p>
    <w:p w14:paraId="151EAEED" w14:textId="203FE7C9" w:rsidR="00E90361" w:rsidRPr="00E90361" w:rsidRDefault="00E90361" w:rsidP="00044AE2">
      <w:pPr>
        <w:pStyle w:val="ListParagraph"/>
        <w:numPr>
          <w:ilvl w:val="1"/>
          <w:numId w:val="1"/>
        </w:numPr>
        <w:ind w:left="1080"/>
      </w:pPr>
      <w:r w:rsidRPr="00E90361">
        <w:t>Partie I</w:t>
      </w:r>
      <w:r>
        <w:t>II</w:t>
      </w:r>
      <w:r w:rsidRPr="00E90361">
        <w:t xml:space="preserve"> : Rapports pour les projets financés par des accords de fonds fiduciaires par les activités suivantes</w:t>
      </w:r>
    </w:p>
    <w:p w14:paraId="562F00FF" w14:textId="273EBAFB" w:rsidR="00E90361" w:rsidRDefault="00E90361" w:rsidP="00211295">
      <w:pPr>
        <w:ind w:left="1080" w:right="0" w:firstLine="0"/>
      </w:pPr>
      <w:r w:rsidRPr="00E90361">
        <w:lastRenderedPageBreak/>
        <w:t>Les informations affichées dans les colonnes des sections résumées et détaillées susmentionnées sont expliquées ci-dessous.</w:t>
      </w:r>
    </w:p>
    <w:p w14:paraId="2C97F565" w14:textId="77777777" w:rsidR="00A940D5" w:rsidRDefault="00A940D5" w:rsidP="00044AE2">
      <w:pPr>
        <w:ind w:left="1080" w:right="0" w:firstLine="0"/>
      </w:pPr>
    </w:p>
    <w:p w14:paraId="5DCA5664" w14:textId="7D2A27B9" w:rsidR="00E90361" w:rsidRDefault="00E90361" w:rsidP="00044AE2">
      <w:pPr>
        <w:pStyle w:val="ListParagraph"/>
        <w:numPr>
          <w:ilvl w:val="0"/>
          <w:numId w:val="2"/>
        </w:numPr>
        <w:ind w:left="1800" w:right="0"/>
      </w:pPr>
      <w:r w:rsidRPr="00E90361">
        <w:t xml:space="preserve">Solde d'ouverture : Le solde d'ouverture IPSAS représente le solde non dépensé pour le </w:t>
      </w:r>
      <w:r w:rsidR="00211295" w:rsidRPr="00E95B70">
        <w:t>projet</w:t>
      </w:r>
      <w:r w:rsidRPr="00E90361">
        <w:t xml:space="preserve"> des années précédentes. Le solde d'ouverture est constitué du solde de clôture de l'année précédente ajusté pour refléter les ajustements de la période précédente indiqués à l'annexe II.</w:t>
      </w:r>
    </w:p>
    <w:p w14:paraId="21FF137F" w14:textId="78B647B9" w:rsidR="00E90361" w:rsidRDefault="00690AFE" w:rsidP="00044AE2">
      <w:pPr>
        <w:pStyle w:val="ListParagraph"/>
        <w:numPr>
          <w:ilvl w:val="0"/>
          <w:numId w:val="2"/>
        </w:numPr>
        <w:ind w:left="1800" w:right="0"/>
      </w:pPr>
      <w:r w:rsidRPr="00690AFE">
        <w:t>Revenu net des contributions annuelles : Les contributions annuelles sont calculées pour fournir des informations afin de s'aligner sur les politiques antérieures de comptabilisation des recettes pour les contributions, représentant l'argent reçu au cours d'une année de déclaration, plus les créances dues au cours d'une année de déclaration. Les transferts vers/depuis d'autres fonds et les remboursements aux donateurs sont également inclus dans cette colonne, et la ventilation détaillée est présentée à l'annexe I</w:t>
      </w:r>
      <w:r>
        <w:t>.</w:t>
      </w:r>
    </w:p>
    <w:p w14:paraId="03EA8C81" w14:textId="57219D3E" w:rsidR="00690AFE" w:rsidRDefault="00690AFE" w:rsidP="00044AE2">
      <w:pPr>
        <w:pStyle w:val="ListParagraph"/>
        <w:numPr>
          <w:ilvl w:val="0"/>
          <w:numId w:val="2"/>
        </w:numPr>
        <w:ind w:left="1800" w:right="0"/>
      </w:pPr>
      <w:r w:rsidRPr="00690AFE">
        <w:t>Autres revenus : Comprend les recettes résultant d'activités diverses</w:t>
      </w:r>
      <w:r>
        <w:t>.</w:t>
      </w:r>
    </w:p>
    <w:p w14:paraId="3F9A2678" w14:textId="1D706147" w:rsidR="00690AFE" w:rsidRDefault="00690AFE" w:rsidP="00044AE2">
      <w:pPr>
        <w:pStyle w:val="ListParagraph"/>
        <w:numPr>
          <w:ilvl w:val="0"/>
          <w:numId w:val="2"/>
        </w:numPr>
        <w:ind w:left="1800" w:right="0"/>
      </w:pPr>
      <w:r>
        <w:t>L</w:t>
      </w:r>
      <w:r w:rsidRPr="00690AFE">
        <w:t>es dépenses comprenant les biens livrés, les services rendus, l'amortissement des actifs fixes et le total des avantages du personnel.</w:t>
      </w:r>
    </w:p>
    <w:p w14:paraId="7B50AE0A" w14:textId="11988699" w:rsidR="00690AFE" w:rsidRDefault="00690AFE" w:rsidP="00044AE2">
      <w:pPr>
        <w:pStyle w:val="ListParagraph"/>
        <w:numPr>
          <w:ilvl w:val="0"/>
          <w:numId w:val="2"/>
        </w:numPr>
        <w:ind w:left="1800" w:right="0"/>
      </w:pPr>
      <w:r w:rsidRPr="00690AFE">
        <w:t>Solde de clôture : Représente le solde de l'année de déclaration, y compris les soldes des années précédentes.</w:t>
      </w:r>
    </w:p>
    <w:p w14:paraId="23706264" w14:textId="5542E4EF" w:rsidR="00690AFE" w:rsidRDefault="00690AFE" w:rsidP="00044AE2">
      <w:pPr>
        <w:pStyle w:val="ListParagraph"/>
        <w:numPr>
          <w:ilvl w:val="0"/>
          <w:numId w:val="2"/>
        </w:numPr>
        <w:ind w:left="1800" w:right="0"/>
      </w:pPr>
      <w:r w:rsidRPr="00690AFE">
        <w:t>Engagements : Bien que les dépenses ne comprennent pas les engagements, cette</w:t>
      </w:r>
      <w:r w:rsidR="00211295">
        <w:t xml:space="preserve"> </w:t>
      </w:r>
      <w:r w:rsidRPr="00690AFE">
        <w:t>colonne représente les bons de commande et/ou les contrats de fournisseurs juridiquement contraignants conclus, mais pour lesquels les biens ou les services n'ont pas été livrés ou rendus à la fin de la période de référence.</w:t>
      </w:r>
    </w:p>
    <w:p w14:paraId="0A91FB87" w14:textId="02558111" w:rsidR="00690AFE" w:rsidRDefault="00CB43B4" w:rsidP="00044AE2">
      <w:pPr>
        <w:pStyle w:val="ListParagraph"/>
        <w:numPr>
          <w:ilvl w:val="0"/>
          <w:numId w:val="2"/>
        </w:numPr>
        <w:ind w:left="1800" w:right="0"/>
      </w:pPr>
      <w:r w:rsidRPr="00CB43B4">
        <w:t xml:space="preserve">Actifs non amortis et inventaire : </w:t>
      </w:r>
      <w:r w:rsidR="00596EF8" w:rsidRPr="00596EF8">
        <w:t>Représente</w:t>
      </w:r>
      <w:r w:rsidR="00596EF8">
        <w:t xml:space="preserve"> </w:t>
      </w:r>
      <w:r w:rsidRPr="00CB43B4">
        <w:t>la valeur des actifs achetés mais non encore dépensés</w:t>
      </w:r>
      <w:r>
        <w:t>.</w:t>
      </w:r>
    </w:p>
    <w:p w14:paraId="6D4FC977" w14:textId="3574C580" w:rsidR="00CB43B4" w:rsidRDefault="00CB43B4" w:rsidP="00044AE2">
      <w:pPr>
        <w:pStyle w:val="ListParagraph"/>
        <w:numPr>
          <w:ilvl w:val="1"/>
          <w:numId w:val="2"/>
        </w:numPr>
        <w:ind w:left="2520" w:right="0"/>
      </w:pPr>
      <w:r w:rsidRPr="00CB43B4">
        <w:t>La valeur non amortie des actifs achetés qui sont sous l'utilisation et le contrôle du PNUD.</w:t>
      </w:r>
    </w:p>
    <w:p w14:paraId="40A5F4B8" w14:textId="7A23B9AC" w:rsidR="00CB43B4" w:rsidRDefault="00CB43B4" w:rsidP="00044AE2">
      <w:pPr>
        <w:pStyle w:val="ListParagraph"/>
        <w:numPr>
          <w:ilvl w:val="1"/>
          <w:numId w:val="2"/>
        </w:numPr>
        <w:ind w:left="2520" w:right="0"/>
      </w:pPr>
      <w:r w:rsidRPr="00CB43B4">
        <w:t>Les stocks, tels que les biens et matériaux produits pour être distribués ou consommés dans le cadre d'une production, mais qui n'ont pas encore été consommés ou distribués.</w:t>
      </w:r>
    </w:p>
    <w:p w14:paraId="49279FD4" w14:textId="0FCBEB18" w:rsidR="00CB43B4" w:rsidRDefault="00CB43B4" w:rsidP="00044AE2">
      <w:pPr>
        <w:pStyle w:val="ListParagraph"/>
        <w:numPr>
          <w:ilvl w:val="0"/>
          <w:numId w:val="2"/>
        </w:numPr>
        <w:ind w:left="1800" w:right="0"/>
      </w:pPr>
      <w:r w:rsidRPr="00CB43B4">
        <w:t>Créances en souffrance, moins les contributions reçues à l'avance : Représente les montants dus par les donateurs, mais qui n'ont pas encore été payés (c'est-à-dire en retard), selon les dates du calendrier des paiements des accords signés. Les recettes anticipées (par exemple, toute contribution reçue avant le calendrier des paiements) sont soustraites des créances en souffrance.</w:t>
      </w:r>
    </w:p>
    <w:p w14:paraId="2551E7B7" w14:textId="651BBEDA" w:rsidR="00CB43B4" w:rsidRDefault="00CB43B4" w:rsidP="00044AE2">
      <w:pPr>
        <w:pStyle w:val="ListParagraph"/>
        <w:numPr>
          <w:ilvl w:val="0"/>
          <w:numId w:val="2"/>
        </w:numPr>
        <w:ind w:left="1800"/>
      </w:pPr>
      <w:r w:rsidRPr="00CB43B4">
        <w:t>Ressources disponibles : Montre les soldes de clôture du fonds/</w:t>
      </w:r>
      <w:r w:rsidR="00596EF8" w:rsidRPr="00596EF8">
        <w:t>projet</w:t>
      </w:r>
      <w:r w:rsidR="00596EF8">
        <w:t xml:space="preserve"> </w:t>
      </w:r>
      <w:r w:rsidRPr="00CB43B4">
        <w:t>après ajustement avec les dépenses futures et les contributions à recevoir en retard.</w:t>
      </w:r>
    </w:p>
    <w:p w14:paraId="29CD1D5F" w14:textId="77777777" w:rsidR="00596EF8" w:rsidRDefault="00596EF8" w:rsidP="00044AE2">
      <w:pPr>
        <w:pStyle w:val="ListParagraph"/>
        <w:ind w:left="1080" w:firstLine="0"/>
      </w:pPr>
    </w:p>
    <w:p w14:paraId="0B21F899" w14:textId="7475A269" w:rsidR="005B4EC2" w:rsidRDefault="005B4EC2" w:rsidP="00211295">
      <w:pPr>
        <w:pStyle w:val="ListParagraph"/>
        <w:numPr>
          <w:ilvl w:val="0"/>
          <w:numId w:val="3"/>
        </w:numPr>
        <w:ind w:left="1080"/>
      </w:pPr>
      <w:r w:rsidRPr="005B4EC2">
        <w:t xml:space="preserve"> Annexe I : Recettes des contributions au 31 décembre YYYY</w:t>
      </w:r>
    </w:p>
    <w:p w14:paraId="57744D60" w14:textId="77777777" w:rsidR="00596EF8" w:rsidRDefault="00596EF8" w:rsidP="00044AE2">
      <w:pPr>
        <w:pStyle w:val="ListParagraph"/>
        <w:ind w:left="1080" w:firstLine="0"/>
      </w:pPr>
    </w:p>
    <w:p w14:paraId="4DAA59AA" w14:textId="65C665C9" w:rsidR="005B4EC2" w:rsidRDefault="005B4EC2" w:rsidP="00044AE2">
      <w:pPr>
        <w:pStyle w:val="ListParagraph"/>
        <w:numPr>
          <w:ilvl w:val="1"/>
          <w:numId w:val="3"/>
        </w:numPr>
        <w:ind w:left="1800"/>
      </w:pPr>
      <w:r w:rsidRPr="005B4EC2">
        <w:t>L'annexe est incluse pour fournir des détails supplémentaires sur la colonne des recettes annuelles nettes des contributions dans le corps du rapport, qui comprend les recettes annuelles des contributions, les remboursements et les transferts effectués au cours de l'année de référence.</w:t>
      </w:r>
    </w:p>
    <w:p w14:paraId="073BBA32" w14:textId="6E6B541A" w:rsidR="005B4EC2" w:rsidRDefault="005B4EC2" w:rsidP="00211295">
      <w:pPr>
        <w:pStyle w:val="ListParagraph"/>
        <w:numPr>
          <w:ilvl w:val="1"/>
          <w:numId w:val="3"/>
        </w:numPr>
        <w:ind w:left="1800"/>
      </w:pPr>
      <w:r w:rsidRPr="005B4EC2">
        <w:t>Cette annexe présente également le détail des recettes totales des contributions comptabilisées à ce jour, qui comprennent les recettes des contributions annuelles, les recettes des contributions des années précédentes et les recettes futures.  Les revenus futurs sont tous les revenus de contribution dus à l'avenir selon les dates d'échéance des accords signés après l'exercice financier ou la période de déclaration.</w:t>
      </w:r>
    </w:p>
    <w:p w14:paraId="268650C6" w14:textId="77777777" w:rsidR="00596EF8" w:rsidRDefault="00596EF8" w:rsidP="00044AE2">
      <w:pPr>
        <w:pStyle w:val="ListParagraph"/>
        <w:ind w:left="1800" w:firstLine="0"/>
      </w:pPr>
    </w:p>
    <w:p w14:paraId="32E5AA21" w14:textId="09D581FE" w:rsidR="005B4EC2" w:rsidRDefault="005B4EC2" w:rsidP="00211295">
      <w:pPr>
        <w:pStyle w:val="ListParagraph"/>
        <w:numPr>
          <w:ilvl w:val="0"/>
          <w:numId w:val="3"/>
        </w:numPr>
        <w:ind w:left="1080"/>
      </w:pPr>
      <w:r w:rsidRPr="005B4EC2">
        <w:t>Annexe II : Comparaison du solde de clôture de l'année précédente et du solde d'ouverture de l'année en cours</w:t>
      </w:r>
      <w:r>
        <w:t>.</w:t>
      </w:r>
    </w:p>
    <w:p w14:paraId="5EE89A61" w14:textId="77777777" w:rsidR="00596EF8" w:rsidRDefault="00596EF8" w:rsidP="00044AE2">
      <w:pPr>
        <w:pStyle w:val="ListParagraph"/>
        <w:ind w:left="1080" w:firstLine="0"/>
      </w:pPr>
    </w:p>
    <w:p w14:paraId="1518F28A" w14:textId="1C77626B" w:rsidR="005B4EC2" w:rsidRDefault="005B4EC2" w:rsidP="00211295">
      <w:pPr>
        <w:pStyle w:val="ListParagraph"/>
        <w:numPr>
          <w:ilvl w:val="1"/>
          <w:numId w:val="3"/>
        </w:numPr>
        <w:ind w:left="1800"/>
      </w:pPr>
      <w:r w:rsidRPr="005B4EC2">
        <w:t>Cette annexe présente les ajustements sur exercices antérieurs apportés aux soldes de clôture de l'exercice précédent, et la manière dont les soldes de clôture sont liés aux soldes d'ouverture de l'exercice. Ils sont imputables à des périodes antérieures et résultent de changements de méthodes comptables et d'estimations ou de corrections d'erreurs commises au cours des années précédentes.</w:t>
      </w:r>
    </w:p>
    <w:p w14:paraId="2B075AEB" w14:textId="77777777" w:rsidR="00596EF8" w:rsidRDefault="00596EF8" w:rsidP="00044AE2">
      <w:pPr>
        <w:pStyle w:val="ListParagraph"/>
        <w:ind w:left="1800" w:firstLine="0"/>
      </w:pPr>
    </w:p>
    <w:p w14:paraId="613D4762" w14:textId="3C66AAEC" w:rsidR="0010014E" w:rsidRDefault="000A6C9E" w:rsidP="00044AE2">
      <w:pPr>
        <w:pStyle w:val="ListParagraph"/>
        <w:numPr>
          <w:ilvl w:val="0"/>
          <w:numId w:val="3"/>
        </w:numPr>
        <w:ind w:left="1080"/>
      </w:pPr>
      <w:r w:rsidRPr="000A6C9E">
        <w:t>Annexe III : Réalisations financièrement achevées pour l'année de référence du 1er janvier YYYY au 31 décembre YYYY</w:t>
      </w:r>
      <w:r w:rsidR="0010014E">
        <w:t>.</w:t>
      </w:r>
    </w:p>
    <w:p w14:paraId="1D06C280" w14:textId="31A29D2C" w:rsidR="00CB43B4" w:rsidRPr="00662C65" w:rsidRDefault="00CB43B4" w:rsidP="005B4EC2">
      <w:pPr>
        <w:pStyle w:val="ListParagraph"/>
        <w:ind w:left="1440" w:right="0" w:firstLine="0"/>
      </w:pPr>
    </w:p>
    <w:p w14:paraId="0DA96DC6" w14:textId="530E5334" w:rsidR="009908D8" w:rsidRPr="00044AE2" w:rsidRDefault="00363336">
      <w:pPr>
        <w:spacing w:after="20" w:line="259" w:lineRule="auto"/>
        <w:ind w:left="0" w:right="0" w:firstLine="0"/>
        <w:jc w:val="left"/>
        <w:rPr>
          <w:u w:val="single"/>
        </w:rPr>
      </w:pPr>
      <w:r w:rsidRPr="00044AE2">
        <w:rPr>
          <w:u w:val="single"/>
        </w:rPr>
        <w:t xml:space="preserve"> </w:t>
      </w:r>
      <w:r w:rsidR="00A940D5" w:rsidRPr="00044AE2">
        <w:rPr>
          <w:u w:val="single"/>
        </w:rPr>
        <w:t>Fréquence des rapports</w:t>
      </w:r>
    </w:p>
    <w:p w14:paraId="679AD086" w14:textId="77777777" w:rsidR="00A940D5" w:rsidRPr="00662C65" w:rsidRDefault="00A940D5">
      <w:pPr>
        <w:spacing w:after="20" w:line="259" w:lineRule="auto"/>
        <w:ind w:left="0" w:right="0" w:firstLine="0"/>
        <w:jc w:val="left"/>
      </w:pPr>
    </w:p>
    <w:p w14:paraId="7DF9CA21" w14:textId="2D6EBEF4" w:rsidR="00A940D5" w:rsidRPr="00662C65" w:rsidRDefault="00A940D5">
      <w:pPr>
        <w:numPr>
          <w:ilvl w:val="0"/>
          <w:numId w:val="1"/>
        </w:numPr>
        <w:ind w:right="0" w:hanging="360"/>
      </w:pPr>
      <w:r w:rsidRPr="00A940D5">
        <w:t>Le Bureau des services de gestion du PNUD, Bureau de la gestion financière et des ressources (BMS, OFRM) est chargé de fournir les rapports financiers certifiés annuels arrêtés au 31 décembre, au plus tard le 30 juin de l’année suivante, aux donateurs non liés à des pays de programme ainsi qu’aux bureaux de pays concernés du PNUD.</w:t>
      </w:r>
    </w:p>
    <w:p w14:paraId="20C85845" w14:textId="0CA073A1" w:rsidR="00A940D5" w:rsidRDefault="00A940D5" w:rsidP="00A940D5">
      <w:pPr>
        <w:ind w:left="705" w:right="0" w:firstLine="0"/>
      </w:pPr>
    </w:p>
    <w:p w14:paraId="13B624CD" w14:textId="4DAE7B74" w:rsidR="00A940D5" w:rsidRDefault="00A940D5" w:rsidP="00A940D5">
      <w:pPr>
        <w:ind w:left="705" w:right="0" w:firstLine="0"/>
      </w:pPr>
    </w:p>
    <w:p w14:paraId="39C2E6B6" w14:textId="0519983B" w:rsidR="00A940D5" w:rsidRDefault="00A940D5" w:rsidP="00A940D5">
      <w:pPr>
        <w:ind w:left="705" w:right="0" w:firstLine="0"/>
      </w:pPr>
    </w:p>
    <w:p w14:paraId="41F1C72E" w14:textId="77777777" w:rsidR="00A940D5" w:rsidRDefault="00A940D5" w:rsidP="00044AE2">
      <w:pPr>
        <w:ind w:left="705" w:right="0" w:firstLine="0"/>
      </w:pPr>
    </w:p>
    <w:p w14:paraId="65A85C04" w14:textId="77777777" w:rsidR="00A940D5" w:rsidRPr="003F1935" w:rsidRDefault="00A940D5" w:rsidP="00044AE2">
      <w:pPr>
        <w:shd w:val="clear" w:color="auto" w:fill="FFFFFF"/>
        <w:spacing w:after="0" w:line="240" w:lineRule="auto"/>
        <w:ind w:left="10" w:hanging="10"/>
        <w:jc w:val="left"/>
        <w:textAlignment w:val="top"/>
        <w:rPr>
          <w:i/>
          <w:iCs/>
          <w:color w:val="auto"/>
        </w:rPr>
      </w:pPr>
      <w:r w:rsidRPr="003F1935">
        <w:rPr>
          <w:b/>
          <w:bCs/>
          <w:i/>
          <w:iCs/>
          <w:color w:val="auto"/>
          <w:u w:val="single"/>
        </w:rPr>
        <w:t xml:space="preserve">Avertissement </w:t>
      </w:r>
      <w:r w:rsidRPr="003F1935">
        <w:rPr>
          <w:i/>
          <w:iCs/>
          <w:color w:val="auto"/>
        </w:rPr>
        <w:t>: Ce document a été traduit de l'anglais vers le français. En cas de divergence entre cette traduction et le document anglais original, le document anglais original prévaudra.</w:t>
      </w:r>
    </w:p>
    <w:p w14:paraId="06DEFA0C" w14:textId="77777777" w:rsidR="00A940D5" w:rsidRPr="003F1935" w:rsidRDefault="00A940D5" w:rsidP="00044AE2">
      <w:pPr>
        <w:shd w:val="clear" w:color="auto" w:fill="FFFFFF"/>
        <w:spacing w:after="0" w:line="240" w:lineRule="auto"/>
        <w:ind w:left="10" w:hanging="10"/>
        <w:jc w:val="left"/>
        <w:textAlignment w:val="top"/>
        <w:rPr>
          <w:rFonts w:cstheme="minorHAnsi"/>
          <w:i/>
          <w:iCs/>
          <w:color w:val="auto"/>
        </w:rPr>
      </w:pPr>
    </w:p>
    <w:p w14:paraId="332B43C0" w14:textId="77777777" w:rsidR="00A940D5" w:rsidRPr="003F1935" w:rsidRDefault="00A940D5" w:rsidP="00044AE2">
      <w:pPr>
        <w:shd w:val="clear" w:color="auto" w:fill="FFFFFF"/>
        <w:spacing w:after="0" w:line="240" w:lineRule="auto"/>
        <w:ind w:left="10" w:hanging="10"/>
        <w:jc w:val="left"/>
        <w:textAlignment w:val="top"/>
        <w:rPr>
          <w:rFonts w:eastAsia="Times New Roman" w:cstheme="minorHAnsi"/>
          <w:i/>
          <w:iCs/>
          <w:vanish/>
          <w:color w:val="auto"/>
          <w:lang w:val="fr-CH"/>
        </w:rPr>
      </w:pPr>
    </w:p>
    <w:p w14:paraId="1DD2E8BB" w14:textId="77777777" w:rsidR="00A940D5" w:rsidRPr="003F1935" w:rsidRDefault="00A940D5" w:rsidP="00044AE2">
      <w:pPr>
        <w:ind w:left="10" w:hanging="10"/>
        <w:jc w:val="left"/>
        <w:rPr>
          <w:rFonts w:cstheme="minorHAnsi"/>
          <w:i/>
          <w:iCs/>
          <w:vanish/>
          <w:color w:val="auto"/>
          <w:lang w:val="fr-CH"/>
        </w:rPr>
      </w:pPr>
    </w:p>
    <w:p w14:paraId="3F370874" w14:textId="77777777" w:rsidR="00A940D5" w:rsidRPr="003F1935" w:rsidRDefault="00A940D5" w:rsidP="00044AE2">
      <w:pPr>
        <w:ind w:left="10" w:hanging="10"/>
        <w:jc w:val="left"/>
        <w:rPr>
          <w:rFonts w:cstheme="minorHAnsi"/>
          <w:i/>
          <w:iCs/>
          <w:vanish/>
          <w:color w:val="auto"/>
          <w:lang w:val="fr-CH"/>
        </w:rPr>
      </w:pPr>
    </w:p>
    <w:p w14:paraId="3D4C1EA9" w14:textId="77777777" w:rsidR="00A940D5" w:rsidRPr="003F1935" w:rsidRDefault="00A940D5" w:rsidP="00044AE2">
      <w:pPr>
        <w:ind w:left="10" w:hanging="10"/>
        <w:jc w:val="left"/>
        <w:rPr>
          <w:rFonts w:cstheme="minorHAnsi"/>
          <w:i/>
          <w:iCs/>
          <w:vanish/>
          <w:color w:val="auto"/>
          <w:lang w:val="fr-CH"/>
        </w:rPr>
      </w:pPr>
    </w:p>
    <w:p w14:paraId="2C410F0A" w14:textId="77777777" w:rsidR="00A940D5" w:rsidRPr="003F1935" w:rsidRDefault="00A940D5" w:rsidP="00044AE2">
      <w:pPr>
        <w:ind w:left="10" w:hanging="10"/>
        <w:jc w:val="left"/>
        <w:rPr>
          <w:rFonts w:cstheme="minorHAnsi"/>
          <w:i/>
          <w:iCs/>
          <w:vanish/>
          <w:color w:val="auto"/>
          <w:lang w:val="fr-CH"/>
        </w:rPr>
      </w:pPr>
    </w:p>
    <w:p w14:paraId="56EABDB6" w14:textId="3F688B79" w:rsidR="00A940D5" w:rsidRPr="003F1935" w:rsidRDefault="00A940D5" w:rsidP="00044AE2">
      <w:pPr>
        <w:ind w:left="10" w:hanging="10"/>
        <w:jc w:val="left"/>
        <w:rPr>
          <w:rFonts w:eastAsia="Times New Roman" w:cs="Times New Roman"/>
          <w:i/>
          <w:iCs/>
          <w:color w:val="auto"/>
          <w:shd w:val="clear" w:color="auto" w:fill="FFFFFF"/>
        </w:rPr>
      </w:pPr>
      <w:proofErr w:type="gramStart"/>
      <w:r w:rsidRPr="003F1935">
        <w:rPr>
          <w:rStyle w:val="Hyperlink"/>
          <w:rFonts w:cstheme="minorHAnsi"/>
          <w:b/>
          <w:i/>
          <w:iCs/>
          <w:color w:val="auto"/>
        </w:rPr>
        <w:t>Disclaimer:</w:t>
      </w:r>
      <w:proofErr w:type="gramEnd"/>
      <w:r w:rsidRPr="003F1935">
        <w:rPr>
          <w:rStyle w:val="Hyperlink"/>
          <w:rFonts w:cstheme="minorHAnsi"/>
          <w:b/>
          <w:i/>
          <w:iCs/>
          <w:color w:val="auto"/>
          <w:u w:val="none"/>
        </w:rPr>
        <w:t xml:space="preserve">  </w:t>
      </w:r>
      <w:r w:rsidRPr="003F1935">
        <w:rPr>
          <w:rFonts w:eastAsia="Times New Roman" w:cs="Times New Roman"/>
          <w:i/>
          <w:iCs/>
          <w:color w:val="auto"/>
          <w:shd w:val="clear" w:color="auto" w:fill="FFFFFF"/>
        </w:rPr>
        <w:t xml:space="preserve">This document </w:t>
      </w:r>
      <w:proofErr w:type="spellStart"/>
      <w:r w:rsidRPr="003F1935">
        <w:rPr>
          <w:rFonts w:eastAsia="Times New Roman" w:cs="Times New Roman"/>
          <w:i/>
          <w:iCs/>
          <w:color w:val="auto"/>
          <w:shd w:val="clear" w:color="auto" w:fill="FFFFFF"/>
        </w:rPr>
        <w:t>was</w:t>
      </w:r>
      <w:proofErr w:type="spellEnd"/>
      <w:r w:rsidRPr="003F1935">
        <w:rPr>
          <w:rFonts w:eastAsia="Times New Roman" w:cs="Times New Roman"/>
          <w:i/>
          <w:iCs/>
          <w:color w:val="auto"/>
          <w:shd w:val="clear" w:color="auto" w:fill="FFFFFF"/>
        </w:rPr>
        <w:t xml:space="preserve"> </w:t>
      </w:r>
      <w:proofErr w:type="spellStart"/>
      <w:r w:rsidRPr="003F1935">
        <w:rPr>
          <w:rFonts w:eastAsia="Times New Roman" w:cs="Times New Roman"/>
          <w:i/>
          <w:iCs/>
          <w:color w:val="auto"/>
          <w:shd w:val="clear" w:color="auto" w:fill="FFFFFF"/>
        </w:rPr>
        <w:t>translated</w:t>
      </w:r>
      <w:proofErr w:type="spellEnd"/>
      <w:r w:rsidRPr="003F1935">
        <w:rPr>
          <w:rFonts w:eastAsia="Times New Roman" w:cs="Times New Roman"/>
          <w:i/>
          <w:iCs/>
          <w:color w:val="auto"/>
          <w:shd w:val="clear" w:color="auto" w:fill="FFFFFF"/>
        </w:rPr>
        <w:t xml:space="preserve"> </w:t>
      </w:r>
      <w:proofErr w:type="spellStart"/>
      <w:r w:rsidRPr="003F1935">
        <w:rPr>
          <w:rFonts w:eastAsia="Times New Roman" w:cs="Times New Roman"/>
          <w:i/>
          <w:iCs/>
          <w:color w:val="auto"/>
          <w:shd w:val="clear" w:color="auto" w:fill="FFFFFF"/>
        </w:rPr>
        <w:t>from</w:t>
      </w:r>
      <w:proofErr w:type="spellEnd"/>
      <w:r w:rsidRPr="003F1935">
        <w:rPr>
          <w:rFonts w:eastAsia="Times New Roman" w:cs="Times New Roman"/>
          <w:i/>
          <w:iCs/>
          <w:color w:val="auto"/>
          <w:shd w:val="clear" w:color="auto" w:fill="FFFFFF"/>
        </w:rPr>
        <w:t xml:space="preserve"> English </w:t>
      </w:r>
      <w:proofErr w:type="spellStart"/>
      <w:r w:rsidRPr="003F1935">
        <w:rPr>
          <w:rFonts w:eastAsia="Times New Roman" w:cs="Times New Roman"/>
          <w:i/>
          <w:iCs/>
          <w:color w:val="auto"/>
          <w:shd w:val="clear" w:color="auto" w:fill="FFFFFF"/>
        </w:rPr>
        <w:t>into</w:t>
      </w:r>
      <w:proofErr w:type="spellEnd"/>
      <w:r w:rsidRPr="003F1935">
        <w:rPr>
          <w:rFonts w:eastAsia="Times New Roman" w:cs="Times New Roman"/>
          <w:i/>
          <w:iCs/>
          <w:color w:val="auto"/>
          <w:shd w:val="clear" w:color="auto" w:fill="FFFFFF"/>
        </w:rPr>
        <w:t xml:space="preserve"> French. In the </w:t>
      </w:r>
      <w:proofErr w:type="spellStart"/>
      <w:r w:rsidRPr="003F1935">
        <w:rPr>
          <w:rFonts w:eastAsia="Times New Roman" w:cs="Times New Roman"/>
          <w:i/>
          <w:iCs/>
          <w:color w:val="auto"/>
          <w:shd w:val="clear" w:color="auto" w:fill="FFFFFF"/>
        </w:rPr>
        <w:t>event</w:t>
      </w:r>
      <w:proofErr w:type="spellEnd"/>
      <w:r w:rsidRPr="003F1935">
        <w:rPr>
          <w:rFonts w:eastAsia="Times New Roman" w:cs="Times New Roman"/>
          <w:i/>
          <w:iCs/>
          <w:color w:val="auto"/>
          <w:shd w:val="clear" w:color="auto" w:fill="FFFFFF"/>
        </w:rPr>
        <w:t xml:space="preserve"> of </w:t>
      </w:r>
      <w:proofErr w:type="spellStart"/>
      <w:r w:rsidRPr="003F1935">
        <w:rPr>
          <w:rFonts w:eastAsia="Times New Roman" w:cs="Times New Roman"/>
          <w:i/>
          <w:iCs/>
          <w:color w:val="auto"/>
          <w:shd w:val="clear" w:color="auto" w:fill="FFFFFF"/>
        </w:rPr>
        <w:t>any</w:t>
      </w:r>
      <w:proofErr w:type="spellEnd"/>
      <w:r w:rsidRPr="003F1935">
        <w:rPr>
          <w:rFonts w:eastAsia="Times New Roman" w:cs="Times New Roman"/>
          <w:i/>
          <w:iCs/>
          <w:color w:val="auto"/>
          <w:shd w:val="clear" w:color="auto" w:fill="FFFFFF"/>
        </w:rPr>
        <w:t xml:space="preserve"> </w:t>
      </w:r>
      <w:proofErr w:type="spellStart"/>
      <w:r w:rsidRPr="003F1935">
        <w:rPr>
          <w:rFonts w:eastAsia="Times New Roman" w:cs="Times New Roman"/>
          <w:i/>
          <w:iCs/>
          <w:color w:val="auto"/>
          <w:shd w:val="clear" w:color="auto" w:fill="FFFFFF"/>
        </w:rPr>
        <w:t>discrepancy</w:t>
      </w:r>
      <w:proofErr w:type="spellEnd"/>
      <w:r w:rsidRPr="003F1935">
        <w:rPr>
          <w:rFonts w:eastAsia="Times New Roman" w:cs="Times New Roman"/>
          <w:i/>
          <w:iCs/>
          <w:color w:val="auto"/>
          <w:shd w:val="clear" w:color="auto" w:fill="FFFFFF"/>
        </w:rPr>
        <w:t xml:space="preserve"> </w:t>
      </w:r>
      <w:proofErr w:type="spellStart"/>
      <w:r w:rsidRPr="003F1935">
        <w:rPr>
          <w:rFonts w:eastAsia="Times New Roman" w:cs="Times New Roman"/>
          <w:i/>
          <w:iCs/>
          <w:color w:val="auto"/>
          <w:shd w:val="clear" w:color="auto" w:fill="FFFFFF"/>
        </w:rPr>
        <w:t>between</w:t>
      </w:r>
      <w:proofErr w:type="spellEnd"/>
      <w:r w:rsidRPr="003F1935">
        <w:rPr>
          <w:rFonts w:eastAsia="Times New Roman" w:cs="Times New Roman"/>
          <w:i/>
          <w:iCs/>
          <w:color w:val="auto"/>
          <w:shd w:val="clear" w:color="auto" w:fill="FFFFFF"/>
        </w:rPr>
        <w:t xml:space="preserve"> </w:t>
      </w:r>
      <w:proofErr w:type="spellStart"/>
      <w:r w:rsidRPr="003F1935">
        <w:rPr>
          <w:rFonts w:eastAsia="Times New Roman" w:cs="Times New Roman"/>
          <w:i/>
          <w:iCs/>
          <w:color w:val="auto"/>
          <w:shd w:val="clear" w:color="auto" w:fill="FFFFFF"/>
        </w:rPr>
        <w:t>this</w:t>
      </w:r>
      <w:proofErr w:type="spellEnd"/>
      <w:r w:rsidRPr="003F1935">
        <w:rPr>
          <w:rFonts w:eastAsia="Times New Roman" w:cs="Times New Roman"/>
          <w:i/>
          <w:iCs/>
          <w:color w:val="auto"/>
          <w:shd w:val="clear" w:color="auto" w:fill="FFFFFF"/>
        </w:rPr>
        <w:t xml:space="preserve"> translation and the original English document, the original English document </w:t>
      </w:r>
      <w:proofErr w:type="spellStart"/>
      <w:r w:rsidRPr="003F1935">
        <w:rPr>
          <w:rFonts w:eastAsia="Times New Roman" w:cs="Times New Roman"/>
          <w:i/>
          <w:iCs/>
          <w:color w:val="auto"/>
          <w:shd w:val="clear" w:color="auto" w:fill="FFFFFF"/>
        </w:rPr>
        <w:t>shall</w:t>
      </w:r>
      <w:proofErr w:type="spellEnd"/>
      <w:r w:rsidRPr="003F1935">
        <w:rPr>
          <w:rFonts w:eastAsia="Times New Roman" w:cs="Times New Roman"/>
          <w:i/>
          <w:iCs/>
          <w:color w:val="auto"/>
          <w:shd w:val="clear" w:color="auto" w:fill="FFFFFF"/>
        </w:rPr>
        <w:t xml:space="preserve"> </w:t>
      </w:r>
      <w:proofErr w:type="spellStart"/>
      <w:r w:rsidRPr="003F1935">
        <w:rPr>
          <w:rFonts w:eastAsia="Times New Roman" w:cs="Times New Roman"/>
          <w:i/>
          <w:iCs/>
          <w:color w:val="auto"/>
          <w:shd w:val="clear" w:color="auto" w:fill="FFFFFF"/>
        </w:rPr>
        <w:t>prevail</w:t>
      </w:r>
      <w:proofErr w:type="spellEnd"/>
      <w:r w:rsidRPr="003F1935">
        <w:rPr>
          <w:rFonts w:eastAsia="Times New Roman" w:cs="Times New Roman"/>
          <w:i/>
          <w:iCs/>
          <w:color w:val="auto"/>
          <w:shd w:val="clear" w:color="auto" w:fill="FFFFFF"/>
        </w:rPr>
        <w:t>.</w:t>
      </w:r>
    </w:p>
    <w:p w14:paraId="7FE6DE35" w14:textId="40EF2443" w:rsidR="009908D8" w:rsidRPr="00662C65" w:rsidRDefault="00E70B40" w:rsidP="00E70B40">
      <w:pPr>
        <w:tabs>
          <w:tab w:val="right" w:pos="9358"/>
        </w:tabs>
        <w:spacing w:after="7462" w:line="259" w:lineRule="auto"/>
        <w:ind w:left="0" w:right="0" w:firstLine="0"/>
        <w:jc w:val="left"/>
      </w:pPr>
      <w:r>
        <w:tab/>
      </w:r>
    </w:p>
    <w:sectPr w:rsidR="009908D8" w:rsidRPr="00662C65" w:rsidSect="00044AE2">
      <w:headerReference w:type="default" r:id="rId12"/>
      <w:footerReference w:type="default" r:id="rId13"/>
      <w:pgSz w:w="11906" w:h="16838"/>
      <w:pgMar w:top="1440" w:right="1196" w:bottom="1440"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46BCB" w14:textId="77777777" w:rsidR="00546544" w:rsidRDefault="00546544" w:rsidP="00363336">
      <w:pPr>
        <w:spacing w:after="0" w:line="240" w:lineRule="auto"/>
      </w:pPr>
      <w:r>
        <w:separator/>
      </w:r>
    </w:p>
  </w:endnote>
  <w:endnote w:type="continuationSeparator" w:id="0">
    <w:p w14:paraId="67E4A05D" w14:textId="77777777" w:rsidR="00546544" w:rsidRDefault="00546544" w:rsidP="00363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55A95" w14:textId="489CD645" w:rsidR="00363336" w:rsidRDefault="00662C65">
    <w:pPr>
      <w:pStyle w:val="Footer"/>
    </w:pPr>
    <w:r>
      <w:t xml:space="preserve">Page </w:t>
    </w:r>
    <w:r>
      <w:rPr>
        <w:b/>
      </w:rPr>
      <w:fldChar w:fldCharType="begin"/>
    </w:r>
    <w:r>
      <w:rPr>
        <w:b/>
      </w:rPr>
      <w:instrText xml:space="preserve"> PAGE  \* Arabic  \* MERGEFORMAT </w:instrText>
    </w:r>
    <w:r>
      <w:rPr>
        <w:b/>
      </w:rPr>
      <w:fldChar w:fldCharType="separate"/>
    </w:r>
    <w:r w:rsidR="00E70B40">
      <w:rPr>
        <w:b/>
        <w:noProof/>
      </w:rPr>
      <w:t>1</w:t>
    </w:r>
    <w:r>
      <w:rPr>
        <w:b/>
      </w:rPr>
      <w:fldChar w:fldCharType="end"/>
    </w:r>
    <w:r>
      <w:t xml:space="preserve"> </w:t>
    </w:r>
    <w:r w:rsidR="006B0857">
      <w:t>de</w:t>
    </w:r>
    <w:r>
      <w:t xml:space="preserve"> </w:t>
    </w:r>
    <w:r>
      <w:rPr>
        <w:b/>
      </w:rPr>
      <w:fldChar w:fldCharType="begin"/>
    </w:r>
    <w:r>
      <w:rPr>
        <w:b/>
      </w:rPr>
      <w:instrText xml:space="preserve"> NUMPAGES  \* Arabic  \* MERGEFORMAT </w:instrText>
    </w:r>
    <w:r>
      <w:rPr>
        <w:b/>
      </w:rPr>
      <w:fldChar w:fldCharType="separate"/>
    </w:r>
    <w:r w:rsidR="00E70B40">
      <w:rPr>
        <w:b/>
        <w:noProof/>
      </w:rPr>
      <w:t>1</w:t>
    </w:r>
    <w:r>
      <w:rPr>
        <w:b/>
      </w:rPr>
      <w:fldChar w:fldCharType="end"/>
    </w:r>
    <w:r>
      <w:ptab w:relativeTo="margin" w:alignment="center" w:leader="none"/>
    </w:r>
    <w:r>
      <w:t>Date d’entrée en vigueur</w:t>
    </w:r>
    <w:r w:rsidR="006B0857">
      <w:t xml:space="preserve"> </w:t>
    </w:r>
    <w:r>
      <w:t xml:space="preserve">: </w:t>
    </w:r>
    <w:r w:rsidR="006070CD">
      <w:t>15</w:t>
    </w:r>
    <w:r w:rsidR="00BF31AE" w:rsidRPr="00BF31AE">
      <w:t>/</w:t>
    </w:r>
    <w:r w:rsidR="006070CD">
      <w:t>0</w:t>
    </w:r>
    <w:r w:rsidR="00BF31AE" w:rsidRPr="00BF31AE">
      <w:t>2/202</w:t>
    </w:r>
    <w:r w:rsidR="006070CD">
      <w:t>6</w:t>
    </w:r>
    <w:r w:rsidR="00BF31AE" w:rsidRPr="00BF31AE">
      <w:t xml:space="preserve"> </w:t>
    </w:r>
    <w:r>
      <w:ptab w:relativeTo="margin" w:alignment="right" w:leader="none"/>
    </w:r>
    <w:r w:rsidR="00A940D5">
      <w:t>V</w:t>
    </w:r>
    <w:r>
      <w:t>ersion </w:t>
    </w:r>
    <w:r w:rsidR="006070CD">
      <w:t xml:space="preserve"># </w:t>
    </w:r>
    <w:r>
      <w:t xml:space="preserve">: </w:t>
    </w:r>
    <w:sdt>
      <w:sdtPr>
        <w:alias w:val="POPPRefItemVersion"/>
        <w:tag w:val="UNDP_POPP_REFITEM_VERSION"/>
        <w:id w:val="1049340832"/>
        <w:placeholder>
          <w:docPart w:val="1FD9BC4DC6ED44388B0C16F09B840413"/>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B182506D-7A9A-4AD2-9DB7-EB6B7FDEAA2B}"/>
        <w:text/>
      </w:sdtPr>
      <w:sdtContent>
        <w:r w:rsidR="006070CD">
          <w:t>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1BF72" w14:textId="77777777" w:rsidR="00546544" w:rsidRDefault="00546544" w:rsidP="00363336">
      <w:pPr>
        <w:spacing w:after="0" w:line="240" w:lineRule="auto"/>
      </w:pPr>
      <w:r>
        <w:separator/>
      </w:r>
    </w:p>
  </w:footnote>
  <w:footnote w:type="continuationSeparator" w:id="0">
    <w:p w14:paraId="2D910FA9" w14:textId="77777777" w:rsidR="00546544" w:rsidRDefault="00546544" w:rsidP="00363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3BB36" w14:textId="0280AAEE" w:rsidR="00363336" w:rsidRDefault="000E2529" w:rsidP="00363336">
    <w:pPr>
      <w:pStyle w:val="Header"/>
      <w:jc w:val="right"/>
    </w:pPr>
    <w:r>
      <w:rPr>
        <w:noProof/>
      </w:rPr>
      <w:drawing>
        <wp:inline distT="0" distB="0" distL="0" distR="0" wp14:anchorId="1A5FABC8" wp14:editId="634DE01C">
          <wp:extent cx="260198" cy="529050"/>
          <wp:effectExtent l="0" t="0" r="698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260" cy="5393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87BC6"/>
    <w:multiLevelType w:val="hybridMultilevel"/>
    <w:tmpl w:val="F8FEB9AE"/>
    <w:lvl w:ilvl="0" w:tplc="058C452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000001">
      <w:start w:val="1"/>
      <w:numFmt w:val="bullet"/>
      <w:lvlText w:val=""/>
      <w:lvlJc w:val="left"/>
      <w:pPr>
        <w:ind w:left="1800" w:hanging="360"/>
      </w:pPr>
      <w:rPr>
        <w:rFonts w:ascii="Symbol" w:hAnsi="Symbol" w:hint="default"/>
      </w:rPr>
    </w:lvl>
    <w:lvl w:ilvl="2" w:tplc="C3D67460">
      <w:numFmt w:val="bullet"/>
      <w:lvlText w:val="-"/>
      <w:lvlJc w:val="left"/>
      <w:pPr>
        <w:ind w:left="2520" w:hanging="360"/>
      </w:pPr>
      <w:rPr>
        <w:rFonts w:ascii="Calibri" w:eastAsia="Calibri" w:hAnsi="Calibri" w:cs="Calibri" w:hint="default"/>
      </w:rPr>
    </w:lvl>
    <w:lvl w:ilvl="3" w:tplc="369455A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24592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A05D7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309BA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D0545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B8106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193FD1"/>
    <w:multiLevelType w:val="hybridMultilevel"/>
    <w:tmpl w:val="E6526F7E"/>
    <w:lvl w:ilvl="0" w:tplc="04090001">
      <w:start w:val="1"/>
      <w:numFmt w:val="bullet"/>
      <w:lvlText w:val=""/>
      <w:lvlJc w:val="left"/>
      <w:pPr>
        <w:ind w:left="14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2555" w:hanging="360"/>
      </w:pPr>
      <w:rPr>
        <w:rFonts w:ascii="Symbol" w:hAnsi="Symbol" w:hint="default"/>
      </w:rPr>
    </w:lvl>
    <w:lvl w:ilvl="2" w:tplc="FFFFFFFF">
      <w:numFmt w:val="bullet"/>
      <w:lvlText w:val="-"/>
      <w:lvlJc w:val="left"/>
      <w:pPr>
        <w:ind w:left="3275" w:hanging="360"/>
      </w:pPr>
      <w:rPr>
        <w:rFonts w:ascii="Calibri" w:eastAsia="Calibri" w:hAnsi="Calibri" w:cs="Calibri" w:hint="default"/>
      </w:rPr>
    </w:lvl>
    <w:lvl w:ilvl="3" w:tplc="FFFFFFFF">
      <w:start w:val="1"/>
      <w:numFmt w:val="decimal"/>
      <w:lvlText w:val="%4"/>
      <w:lvlJc w:val="left"/>
      <w:pPr>
        <w:ind w:left="36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43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50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7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5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72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9226B72"/>
    <w:multiLevelType w:val="hybridMultilevel"/>
    <w:tmpl w:val="1CDA2D52"/>
    <w:lvl w:ilvl="0" w:tplc="20000001">
      <w:start w:val="1"/>
      <w:numFmt w:val="bullet"/>
      <w:lvlText w:val=""/>
      <w:lvlJc w:val="left"/>
      <w:pPr>
        <w:ind w:left="1800" w:hanging="360"/>
      </w:pPr>
      <w:rPr>
        <w:rFonts w:ascii="Symbol" w:hAnsi="Symbol" w:hint="default"/>
      </w:rPr>
    </w:lvl>
    <w:lvl w:ilvl="1" w:tplc="C3D67460">
      <w:numFmt w:val="bullet"/>
      <w:lvlText w:val="-"/>
      <w:lvlJc w:val="left"/>
      <w:pPr>
        <w:ind w:left="2520" w:hanging="360"/>
      </w:pPr>
      <w:rPr>
        <w:rFonts w:ascii="Calibri" w:eastAsia="Calibri" w:hAnsi="Calibri" w:cs="Calibri"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3" w15:restartNumberingAfterBreak="0">
    <w:nsid w:val="71360463"/>
    <w:multiLevelType w:val="hybridMultilevel"/>
    <w:tmpl w:val="EA24148A"/>
    <w:lvl w:ilvl="0" w:tplc="C3D67460">
      <w:numFmt w:val="bullet"/>
      <w:lvlText w:val="-"/>
      <w:lvlJc w:val="left"/>
      <w:pPr>
        <w:ind w:left="2520" w:hanging="360"/>
      </w:pPr>
      <w:rPr>
        <w:rFonts w:ascii="Calibri" w:eastAsia="Calibri" w:hAnsi="Calibri" w:cs="Calibri" w:hint="default"/>
      </w:rPr>
    </w:lvl>
    <w:lvl w:ilvl="1" w:tplc="20000003">
      <w:start w:val="1"/>
      <w:numFmt w:val="bullet"/>
      <w:lvlText w:val="o"/>
      <w:lvlJc w:val="left"/>
      <w:pPr>
        <w:ind w:left="3240" w:hanging="360"/>
      </w:pPr>
      <w:rPr>
        <w:rFonts w:ascii="Courier New" w:hAnsi="Courier New" w:cs="Courier New" w:hint="default"/>
      </w:rPr>
    </w:lvl>
    <w:lvl w:ilvl="2" w:tplc="20000005" w:tentative="1">
      <w:start w:val="1"/>
      <w:numFmt w:val="bullet"/>
      <w:lvlText w:val=""/>
      <w:lvlJc w:val="left"/>
      <w:pPr>
        <w:ind w:left="3960" w:hanging="360"/>
      </w:pPr>
      <w:rPr>
        <w:rFonts w:ascii="Wingdings" w:hAnsi="Wingdings" w:hint="default"/>
      </w:rPr>
    </w:lvl>
    <w:lvl w:ilvl="3" w:tplc="20000001" w:tentative="1">
      <w:start w:val="1"/>
      <w:numFmt w:val="bullet"/>
      <w:lvlText w:val=""/>
      <w:lvlJc w:val="left"/>
      <w:pPr>
        <w:ind w:left="4680" w:hanging="360"/>
      </w:pPr>
      <w:rPr>
        <w:rFonts w:ascii="Symbol" w:hAnsi="Symbol" w:hint="default"/>
      </w:rPr>
    </w:lvl>
    <w:lvl w:ilvl="4" w:tplc="20000003" w:tentative="1">
      <w:start w:val="1"/>
      <w:numFmt w:val="bullet"/>
      <w:lvlText w:val="o"/>
      <w:lvlJc w:val="left"/>
      <w:pPr>
        <w:ind w:left="5400" w:hanging="360"/>
      </w:pPr>
      <w:rPr>
        <w:rFonts w:ascii="Courier New" w:hAnsi="Courier New" w:cs="Courier New" w:hint="default"/>
      </w:rPr>
    </w:lvl>
    <w:lvl w:ilvl="5" w:tplc="20000005" w:tentative="1">
      <w:start w:val="1"/>
      <w:numFmt w:val="bullet"/>
      <w:lvlText w:val=""/>
      <w:lvlJc w:val="left"/>
      <w:pPr>
        <w:ind w:left="6120" w:hanging="360"/>
      </w:pPr>
      <w:rPr>
        <w:rFonts w:ascii="Wingdings" w:hAnsi="Wingdings" w:hint="default"/>
      </w:rPr>
    </w:lvl>
    <w:lvl w:ilvl="6" w:tplc="20000001" w:tentative="1">
      <w:start w:val="1"/>
      <w:numFmt w:val="bullet"/>
      <w:lvlText w:val=""/>
      <w:lvlJc w:val="left"/>
      <w:pPr>
        <w:ind w:left="6840" w:hanging="360"/>
      </w:pPr>
      <w:rPr>
        <w:rFonts w:ascii="Symbol" w:hAnsi="Symbol" w:hint="default"/>
      </w:rPr>
    </w:lvl>
    <w:lvl w:ilvl="7" w:tplc="20000003" w:tentative="1">
      <w:start w:val="1"/>
      <w:numFmt w:val="bullet"/>
      <w:lvlText w:val="o"/>
      <w:lvlJc w:val="left"/>
      <w:pPr>
        <w:ind w:left="7560" w:hanging="360"/>
      </w:pPr>
      <w:rPr>
        <w:rFonts w:ascii="Courier New" w:hAnsi="Courier New" w:cs="Courier New" w:hint="default"/>
      </w:rPr>
    </w:lvl>
    <w:lvl w:ilvl="8" w:tplc="20000005" w:tentative="1">
      <w:start w:val="1"/>
      <w:numFmt w:val="bullet"/>
      <w:lvlText w:val=""/>
      <w:lvlJc w:val="left"/>
      <w:pPr>
        <w:ind w:left="82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8D8"/>
    <w:rsid w:val="00044AE2"/>
    <w:rsid w:val="000A5D05"/>
    <w:rsid w:val="000A6C9E"/>
    <w:rsid w:val="000E1F89"/>
    <w:rsid w:val="000E2529"/>
    <w:rsid w:val="000F4698"/>
    <w:rsid w:val="0010014E"/>
    <w:rsid w:val="001520A9"/>
    <w:rsid w:val="00182B0F"/>
    <w:rsid w:val="00211295"/>
    <w:rsid w:val="002A6562"/>
    <w:rsid w:val="00335B59"/>
    <w:rsid w:val="00363336"/>
    <w:rsid w:val="003B1922"/>
    <w:rsid w:val="003F1935"/>
    <w:rsid w:val="00435359"/>
    <w:rsid w:val="00470484"/>
    <w:rsid w:val="004F6A01"/>
    <w:rsid w:val="00546544"/>
    <w:rsid w:val="00596EF8"/>
    <w:rsid w:val="005B4EC2"/>
    <w:rsid w:val="005F3AC3"/>
    <w:rsid w:val="006070CD"/>
    <w:rsid w:val="006251BD"/>
    <w:rsid w:val="00662C65"/>
    <w:rsid w:val="00687BEF"/>
    <w:rsid w:val="00690AFE"/>
    <w:rsid w:val="006B0857"/>
    <w:rsid w:val="008560D6"/>
    <w:rsid w:val="008E121F"/>
    <w:rsid w:val="009908D8"/>
    <w:rsid w:val="00A22745"/>
    <w:rsid w:val="00A940D5"/>
    <w:rsid w:val="00BC4D0A"/>
    <w:rsid w:val="00BF31AE"/>
    <w:rsid w:val="00CB43B4"/>
    <w:rsid w:val="00E70B40"/>
    <w:rsid w:val="00E87746"/>
    <w:rsid w:val="00E90361"/>
    <w:rsid w:val="00E95B70"/>
    <w:rsid w:val="00F27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157A7"/>
  <w15:docId w15:val="{D8CAFA8A-9B98-4DD5-9DE6-466AE02D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730" w:right="3"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3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336"/>
    <w:rPr>
      <w:rFonts w:ascii="Calibri" w:eastAsia="Calibri" w:hAnsi="Calibri" w:cs="Calibri"/>
      <w:color w:val="000000"/>
    </w:rPr>
  </w:style>
  <w:style w:type="paragraph" w:styleId="Footer">
    <w:name w:val="footer"/>
    <w:basedOn w:val="Normal"/>
    <w:link w:val="FooterChar"/>
    <w:uiPriority w:val="99"/>
    <w:unhideWhenUsed/>
    <w:rsid w:val="00363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336"/>
    <w:rPr>
      <w:rFonts w:ascii="Calibri" w:eastAsia="Calibri" w:hAnsi="Calibri" w:cs="Calibri"/>
      <w:color w:val="000000"/>
    </w:rPr>
  </w:style>
  <w:style w:type="character" w:styleId="PlaceholderText">
    <w:name w:val="Placeholder Text"/>
    <w:basedOn w:val="DefaultParagraphFont"/>
    <w:uiPriority w:val="99"/>
    <w:semiHidden/>
    <w:rsid w:val="00363336"/>
    <w:rPr>
      <w:color w:val="808080"/>
    </w:rPr>
  </w:style>
  <w:style w:type="paragraph" w:styleId="BalloonText">
    <w:name w:val="Balloon Text"/>
    <w:basedOn w:val="Normal"/>
    <w:link w:val="BalloonTextChar"/>
    <w:uiPriority w:val="99"/>
    <w:semiHidden/>
    <w:unhideWhenUsed/>
    <w:rsid w:val="00662C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C65"/>
    <w:rPr>
      <w:rFonts w:ascii="Tahoma" w:eastAsia="Calibri" w:hAnsi="Tahoma" w:cs="Tahoma"/>
      <w:color w:val="000000"/>
      <w:sz w:val="16"/>
      <w:szCs w:val="16"/>
    </w:rPr>
  </w:style>
  <w:style w:type="paragraph" w:styleId="ListParagraph">
    <w:name w:val="List Paragraph"/>
    <w:basedOn w:val="Normal"/>
    <w:uiPriority w:val="34"/>
    <w:qFormat/>
    <w:rsid w:val="00E90361"/>
    <w:pPr>
      <w:ind w:left="720"/>
      <w:contextualSpacing/>
    </w:pPr>
  </w:style>
  <w:style w:type="character" w:styleId="Hyperlink">
    <w:name w:val="Hyperlink"/>
    <w:basedOn w:val="DefaultParagraphFont"/>
    <w:uiPriority w:val="99"/>
    <w:unhideWhenUsed/>
    <w:rsid w:val="00A940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D9BC4DC6ED44388B0C16F09B840413"/>
        <w:category>
          <w:name w:val="General"/>
          <w:gallery w:val="placeholder"/>
        </w:category>
        <w:types>
          <w:type w:val="bbPlcHdr"/>
        </w:types>
        <w:behaviors>
          <w:behavior w:val="content"/>
        </w:behaviors>
        <w:guid w:val="{D1443AF5-295F-410B-A3A3-D17BC24B40FE}"/>
      </w:docPartPr>
      <w:docPartBody>
        <w:p w:rsidR="006A6238" w:rsidRDefault="005F3D95">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02B5"/>
    <w:rsid w:val="000A5D05"/>
    <w:rsid w:val="001A6B4A"/>
    <w:rsid w:val="001E44A5"/>
    <w:rsid w:val="001E5CA3"/>
    <w:rsid w:val="004D254C"/>
    <w:rsid w:val="005F3D95"/>
    <w:rsid w:val="006A6238"/>
    <w:rsid w:val="009402B5"/>
    <w:rsid w:val="00B515E3"/>
    <w:rsid w:val="00C13A4C"/>
    <w:rsid w:val="00E82E92"/>
    <w:rsid w:val="00FC3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DC316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3D9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4</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Rapports financiers certifiés</UNDP_POPP_TITLE_EN>
    <TaxCatchAll xmlns="8264c5cc-ec60-4b56-8111-ce635d3d139a">
      <Value>350</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2022-12-06T23:00:00+00:00</UNDP_POPP_EFFECTIVEDATE>
    <DLCPolicyLabelLock xmlns="e560140e-7b2f-4392-90df-e7567e3021a3" xsi:nil="true"/>
    <DLCPolicyLabelClientValue xmlns="e560140e-7b2f-4392-90df-e7567e3021a3">Effective Date: 12/7/2022                                                Version #: 4.0</DLCPolicyLabelClientValue>
    <UNDP_POPP_BUSINESSUNITID_HIDDEN xmlns="8264c5cc-ec60-4b56-8111-ce635d3d139a" xsi:nil="true"/>
    <_dlc_DocId xmlns="8264c5cc-ec60-4b56-8111-ce635d3d139a">POPP-11-3868</_dlc_DocId>
    <_dlc_DocIdUrl xmlns="8264c5cc-ec60-4b56-8111-ce635d3d139a">
      <Url>https://popp.undp.org/_layouts/15/DocIdRedir.aspx?ID=POPP-11-3868</Url>
      <Description>POPP-11-3868</Description>
    </_dlc_DocIdUrl>
    <DLCPolicyLabelValue xmlns="e560140e-7b2f-4392-90df-e7567e3021a3">Effective Date: 12/7/2022                                                Version #: 4.0</DLCPolicyLabelVal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0308DD-02ED-4C40-8DD6-A514E0707723}">
  <ds:schemaRefs>
    <ds:schemaRef ds:uri="http://schemas.microsoft.com/sharepoint/events"/>
  </ds:schemaRefs>
</ds:datastoreItem>
</file>

<file path=customXml/itemProps2.xml><?xml version="1.0" encoding="utf-8"?>
<ds:datastoreItem xmlns:ds="http://schemas.openxmlformats.org/officeDocument/2006/customXml" ds:itemID="{B182506D-7A9A-4AD2-9DB7-EB6B7FDEAA2B}">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92BED626-8FED-462E-9BE6-5EF2347B02AD}">
  <ds:schemaRefs>
    <ds:schemaRef ds:uri="http://schemas.microsoft.com/sharepoint/v3/contenttype/forms"/>
  </ds:schemaRefs>
</ds:datastoreItem>
</file>

<file path=customXml/itemProps4.xml><?xml version="1.0" encoding="utf-8"?>
<ds:datastoreItem xmlns:ds="http://schemas.openxmlformats.org/officeDocument/2006/customXml" ds:itemID="{19C1762B-8FD5-4C46-89FE-9914DC4A0123}">
  <ds:schemaRefs>
    <ds:schemaRef ds:uri="office.server.policy"/>
  </ds:schemaRefs>
</ds:datastoreItem>
</file>

<file path=customXml/itemProps5.xml><?xml version="1.0" encoding="utf-8"?>
<ds:datastoreItem xmlns:ds="http://schemas.openxmlformats.org/officeDocument/2006/customXml" ds:itemID="{8362DEBD-8A1A-4988-8781-88BF9BBA3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1100</Words>
  <Characters>6273</Characters>
  <Application>Microsoft Office Word</Application>
  <DocSecurity>0</DocSecurity>
  <Lines>52</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Arilda Dragjoshi</cp:lastModifiedBy>
  <cp:revision>21</cp:revision>
  <dcterms:created xsi:type="dcterms:W3CDTF">2022-12-07T12:51:00Z</dcterms:created>
  <dcterms:modified xsi:type="dcterms:W3CDTF">2026-03-10T17:26:00Z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e4c9dc95-e29c-4fb3-b69c-29f830f4de95</vt:lpwstr>
  </property>
  <property fmtid="{D5CDD505-2E9C-101B-9397-08002B2CF9AE}" pid="4" name="POPPBusinessProcess">
    <vt:lpwstr/>
  </property>
  <property fmtid="{D5CDD505-2E9C-101B-9397-08002B2CF9AE}" pid="5" name="UNDP_POPP_BUSINESSUNIT">
    <vt:lpwstr>350;#Financial Resources Management|682d4c54-a288-412d-bfec-ce5587bbd25c</vt:lpwstr>
  </property>
  <property fmtid="{D5CDD505-2E9C-101B-9397-08002B2CF9AE}" pid="6" name="UNDP_POPP_BUSINESSPROCESS_HIDDEN">
    <vt:lpwstr/>
  </property>
  <property fmtid="{D5CDD505-2E9C-101B-9397-08002B2CF9AE}" pid="7" name="l0e6ef0c43e74560bd7f3acd1f5e8571">
    <vt:lpwstr>Financial Resources Management|682d4c54-a288-412d-bfec-ce5587bbd25c</vt:lpwstr>
  </property>
  <property fmtid="{D5CDD505-2E9C-101B-9397-08002B2CF9AE}" pid="8" name="TaxCatchAll">
    <vt:lpwstr>350;#Financial Resources Management|682d4c54-a288-412d-bfec-ce5587bbd25c</vt:lpwstr>
  </property>
  <property fmtid="{D5CDD505-2E9C-101B-9397-08002B2CF9AE}" pid="9" name="Location">
    <vt:lpwstr>Public</vt:lpwstr>
  </property>
</Properties>
</file>