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35A6" w14:textId="77777777" w:rsidR="00DA59EE" w:rsidRPr="00DA59EE" w:rsidRDefault="00DA59EE" w:rsidP="00DA59EE">
      <w:pPr>
        <w:spacing w:line="240" w:lineRule="auto"/>
        <w:jc w:val="both"/>
        <w:textAlignment w:val="top"/>
        <w:rPr>
          <w:rFonts w:ascii="Calibri" w:eastAsia="Times New Roman" w:hAnsi="Calibri" w:cs="Arial"/>
          <w:b/>
          <w:bCs/>
          <w:kern w:val="0"/>
          <w:sz w:val="28"/>
          <w:szCs w:val="28"/>
          <w14:ligatures w14:val="none"/>
        </w:rPr>
      </w:pPr>
      <w:r w:rsidRPr="00DA59EE">
        <w:rPr>
          <w:rFonts w:ascii="Calibri" w:eastAsia="Times New Roman" w:hAnsi="Calibri" w:cs="Arial"/>
          <w:b/>
          <w:bCs/>
          <w:kern w:val="0"/>
          <w:sz w:val="28"/>
          <w:szCs w:val="28"/>
          <w14:ligatures w14:val="none"/>
        </w:rPr>
        <w:t xml:space="preserve">Pass-Through Fund Management: UNDP as a Participating UN Organization </w:t>
      </w:r>
    </w:p>
    <w:p w14:paraId="4DE907CE" w14:textId="77777777" w:rsidR="00DA59EE" w:rsidRPr="00DA59EE" w:rsidRDefault="00DA59EE" w:rsidP="00DA59EE">
      <w:pPr>
        <w:numPr>
          <w:ilvl w:val="0"/>
          <w:numId w:val="1"/>
        </w:numPr>
        <w:spacing w:after="0" w:line="240" w:lineRule="auto"/>
        <w:contextualSpacing/>
        <w:jc w:val="both"/>
        <w:textAlignment w:val="top"/>
        <w:rPr>
          <w:rFonts w:ascii="Calibri" w:eastAsia="Times New Roman" w:hAnsi="Calibri" w:cs="Arial"/>
          <w:vanish/>
          <w:color w:val="333333"/>
          <w:kern w:val="0"/>
          <w:sz w:val="22"/>
          <w:szCs w:val="22"/>
          <w14:ligatures w14:val="none"/>
        </w:rPr>
      </w:pPr>
      <w:r w:rsidRPr="00DA59EE">
        <w:rPr>
          <w:rFonts w:ascii="Calibri" w:eastAsia="Times New Roman" w:hAnsi="Calibri" w:cs="Arial"/>
          <w:vanish/>
          <w:color w:val="333333"/>
          <w:kern w:val="0"/>
          <w:sz w:val="22"/>
          <w:szCs w:val="22"/>
          <w14:ligatures w14:val="none"/>
        </w:rPr>
        <w:t>Structure Element - Description</w:t>
      </w:r>
    </w:p>
    <w:p w14:paraId="7FDD5641"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The pass-through fund management arrangement can be used to support one of the three types of UN inter-agency pooled fund modalities: (</w:t>
      </w:r>
      <w:proofErr w:type="spellStart"/>
      <w:r w:rsidRPr="00DA59EE">
        <w:rPr>
          <w:rFonts w:ascii="Calibri" w:eastAsia="Times New Roman" w:hAnsi="Calibri" w:cs="Arial"/>
          <w:color w:val="000000"/>
          <w:kern w:val="0"/>
          <w:sz w:val="22"/>
          <w:szCs w:val="22"/>
          <w14:ligatures w14:val="none"/>
        </w:rPr>
        <w:t>i</w:t>
      </w:r>
      <w:proofErr w:type="spellEnd"/>
      <w:r w:rsidRPr="00DA59EE">
        <w:rPr>
          <w:rFonts w:ascii="Calibri" w:eastAsia="Times New Roman" w:hAnsi="Calibri" w:cs="Arial"/>
          <w:color w:val="000000"/>
          <w:kern w:val="0"/>
          <w:sz w:val="22"/>
          <w:szCs w:val="22"/>
          <w14:ligatures w14:val="none"/>
        </w:rPr>
        <w:t xml:space="preserve">) a single stand-alone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(JP); (ii) a One UN Fund; or (iii) a Multi-Donor Trust Fund (MDTF).</w:t>
      </w:r>
    </w:p>
    <w:p w14:paraId="6942F572"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48CEFDBD" w14:textId="77777777" w:rsidR="00DA59EE" w:rsidRPr="00DA59EE" w:rsidRDefault="00DA59EE" w:rsidP="00DA59EE">
      <w:pPr>
        <w:numPr>
          <w:ilvl w:val="0"/>
          <w:numId w:val="2"/>
        </w:numPr>
        <w:spacing w:after="0" w:line="240" w:lineRule="auto"/>
        <w:contextualSpacing/>
        <w:jc w:val="both"/>
        <w:textAlignment w:val="top"/>
        <w:rPr>
          <w:rFonts w:ascii="Calibri" w:eastAsia="Calibri" w:hAnsi="Calibri" w:cs="Times New Roman"/>
          <w:kern w:val="0"/>
          <w:sz w:val="22"/>
          <w:szCs w:val="22"/>
          <w14:ligatures w14:val="none"/>
        </w:rPr>
      </w:pPr>
      <w:r w:rsidRPr="00DA59EE">
        <w:rPr>
          <w:rFonts w:ascii="Calibri" w:eastAsia="Times New Roman" w:hAnsi="Calibri" w:cs="Arial"/>
          <w:color w:val="000000"/>
          <w:kern w:val="0"/>
          <w:sz w:val="22"/>
          <w:szCs w:val="22"/>
          <w14:ligatures w14:val="none"/>
        </w:rPr>
        <w:t xml:space="preserve"> A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is a set of activities contained in a common workplan and related budget, involving two or more UN organizations and (sub-) national partners. The workplan and budget form part of a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document, which also detail roles and responsibilities of partners in coordinating and managing the joint activities. The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document is signed by all participating organizations and (sub-) national partners. In addition to the pass-through arrangement, two other </w:t>
      </w:r>
      <w:r w:rsidRPr="00DA59EE">
        <w:rPr>
          <w:rFonts w:ascii="Calibri" w:eastAsia="Calibri" w:hAnsi="Calibri" w:cs="Times New Roman"/>
          <w:color w:val="000000"/>
          <w:kern w:val="0"/>
          <w:sz w:val="22"/>
          <w:szCs w:val="22"/>
          <w14:ligatures w14:val="none"/>
        </w:rPr>
        <w:t xml:space="preserve">fund management options exist for joint </w:t>
      </w:r>
      <w:proofErr w:type="spellStart"/>
      <w:r w:rsidRPr="00DA59EE">
        <w:rPr>
          <w:rFonts w:ascii="Calibri" w:eastAsia="Calibri" w:hAnsi="Calibri" w:cs="Times New Roman"/>
          <w:color w:val="000000"/>
          <w:kern w:val="0"/>
          <w:sz w:val="22"/>
          <w:szCs w:val="22"/>
          <w14:ligatures w14:val="none"/>
        </w:rPr>
        <w:t>programmes</w:t>
      </w:r>
      <w:proofErr w:type="spellEnd"/>
      <w:r w:rsidRPr="00DA59EE">
        <w:rPr>
          <w:rFonts w:ascii="Calibri" w:eastAsia="Calibri" w:hAnsi="Calibri" w:cs="Times New Roman"/>
          <w:color w:val="000000"/>
          <w:kern w:val="0"/>
          <w:sz w:val="22"/>
          <w:szCs w:val="22"/>
          <w14:ligatures w14:val="none"/>
        </w:rPr>
        <w:t>: (</w:t>
      </w:r>
      <w:proofErr w:type="spellStart"/>
      <w:r w:rsidRPr="00DA59EE">
        <w:rPr>
          <w:rFonts w:ascii="Calibri" w:eastAsia="Calibri" w:hAnsi="Calibri" w:cs="Times New Roman"/>
          <w:color w:val="000000"/>
          <w:kern w:val="0"/>
          <w:sz w:val="22"/>
          <w:szCs w:val="22"/>
          <w14:ligatures w14:val="none"/>
        </w:rPr>
        <w:t>i</w:t>
      </w:r>
      <w:proofErr w:type="spellEnd"/>
      <w:r w:rsidRPr="00DA59EE">
        <w:rPr>
          <w:rFonts w:ascii="Calibri" w:eastAsia="Calibri" w:hAnsi="Calibri" w:cs="Times New Roman"/>
          <w:color w:val="000000"/>
          <w:kern w:val="0"/>
          <w:sz w:val="22"/>
          <w:szCs w:val="22"/>
          <w14:ligatures w14:val="none"/>
        </w:rPr>
        <w:t xml:space="preserve">) parallel; and (ii) consolidated. More information on all three types of joint </w:t>
      </w:r>
      <w:proofErr w:type="spellStart"/>
      <w:r w:rsidRPr="00DA59EE">
        <w:rPr>
          <w:rFonts w:ascii="Calibri" w:eastAsia="Calibri" w:hAnsi="Calibri" w:cs="Times New Roman"/>
          <w:color w:val="000000"/>
          <w:kern w:val="0"/>
          <w:sz w:val="22"/>
          <w:szCs w:val="22"/>
          <w14:ligatures w14:val="none"/>
        </w:rPr>
        <w:t>programmes</w:t>
      </w:r>
      <w:proofErr w:type="spellEnd"/>
      <w:r w:rsidRPr="00DA59EE">
        <w:rPr>
          <w:rFonts w:ascii="Calibri" w:eastAsia="Calibri" w:hAnsi="Calibri" w:cs="Times New Roman"/>
          <w:color w:val="000000"/>
          <w:kern w:val="0"/>
          <w:sz w:val="22"/>
          <w:szCs w:val="22"/>
          <w14:ligatures w14:val="none"/>
        </w:rPr>
        <w:t xml:space="preserve"> can be found in </w:t>
      </w:r>
      <w:r w:rsidRPr="00DA59EE">
        <w:rPr>
          <w:rFonts w:ascii="Calibri" w:eastAsia="Calibri" w:hAnsi="Calibri" w:cs="Times New Roman"/>
          <w:kern w:val="0"/>
          <w:sz w:val="22"/>
          <w:szCs w:val="22"/>
          <w14:ligatures w14:val="none"/>
        </w:rPr>
        <w:t xml:space="preserve">the </w:t>
      </w:r>
      <w:hyperlink r:id="rId8" w:history="1">
        <w:r w:rsidRPr="00DA59EE">
          <w:rPr>
            <w:rFonts w:ascii="Calibri" w:eastAsia="Calibri" w:hAnsi="Calibri" w:cs="Times New Roman"/>
            <w:color w:val="0563C1"/>
            <w:kern w:val="0"/>
            <w:sz w:val="22"/>
            <w:szCs w:val="22"/>
            <w:u w:val="single"/>
            <w14:ligatures w14:val="none"/>
          </w:rPr>
          <w:t xml:space="preserve">UNSDG Guidance Note on a New Generation of Joint </w:t>
        </w:r>
        <w:proofErr w:type="spellStart"/>
        <w:r w:rsidRPr="00DA59EE">
          <w:rPr>
            <w:rFonts w:ascii="Calibri" w:eastAsia="Calibri" w:hAnsi="Calibri" w:cs="Times New Roman"/>
            <w:color w:val="0563C1"/>
            <w:kern w:val="0"/>
            <w:sz w:val="22"/>
            <w:szCs w:val="22"/>
            <w:u w:val="single"/>
            <w14:ligatures w14:val="none"/>
          </w:rPr>
          <w:t>Programmes</w:t>
        </w:r>
        <w:proofErr w:type="spellEnd"/>
      </w:hyperlink>
      <w:r w:rsidRPr="00DA59EE">
        <w:rPr>
          <w:rFonts w:ascii="Calibri" w:eastAsia="Calibri" w:hAnsi="Calibri" w:cs="Times New Roman"/>
          <w:kern w:val="0"/>
          <w:sz w:val="22"/>
          <w:szCs w:val="22"/>
          <w14:ligatures w14:val="none"/>
        </w:rPr>
        <w:t xml:space="preserve"> (October 2022) and </w:t>
      </w:r>
      <w:hyperlink r:id="rId9" w:history="1">
        <w:r w:rsidRPr="00DA59EE">
          <w:rPr>
            <w:rFonts w:ascii="Calibri" w:eastAsia="Calibri" w:hAnsi="Calibri" w:cs="Times New Roman"/>
            <w:color w:val="0563C1"/>
            <w:kern w:val="0"/>
            <w:sz w:val="22"/>
            <w:szCs w:val="22"/>
            <w:u w:val="single"/>
            <w14:ligatures w14:val="none"/>
          </w:rPr>
          <w:t>associated annexes</w:t>
        </w:r>
      </w:hyperlink>
      <w:r w:rsidRPr="00DA59EE">
        <w:rPr>
          <w:rFonts w:ascii="Calibri" w:eastAsia="Calibri" w:hAnsi="Calibri" w:cs="Times New Roman"/>
          <w:kern w:val="0"/>
          <w:sz w:val="22"/>
          <w:szCs w:val="22"/>
          <w14:ligatures w14:val="none"/>
        </w:rPr>
        <w:t>.</w:t>
      </w:r>
    </w:p>
    <w:p w14:paraId="47E92802" w14:textId="77777777" w:rsidR="00DA59EE" w:rsidRPr="00DA59EE" w:rsidRDefault="00DA59EE" w:rsidP="00DA59EE">
      <w:pPr>
        <w:spacing w:after="0" w:line="240" w:lineRule="auto"/>
        <w:ind w:left="720"/>
        <w:contextualSpacing/>
        <w:jc w:val="both"/>
        <w:textAlignment w:val="top"/>
        <w:rPr>
          <w:rFonts w:ascii="Calibri" w:eastAsia="Calibri" w:hAnsi="Calibri" w:cs="Times New Roman"/>
          <w:kern w:val="0"/>
          <w:sz w:val="22"/>
          <w:szCs w:val="22"/>
          <w14:ligatures w14:val="none"/>
        </w:rPr>
      </w:pPr>
    </w:p>
    <w:p w14:paraId="56B0A13A" w14:textId="77777777" w:rsidR="00DA59EE" w:rsidRPr="00DA59EE" w:rsidRDefault="00DA59EE" w:rsidP="00DA59EE">
      <w:pPr>
        <w:numPr>
          <w:ilvl w:val="0"/>
          <w:numId w:val="2"/>
        </w:numPr>
        <w:spacing w:after="0" w:line="240" w:lineRule="auto"/>
        <w:contextualSpacing/>
        <w:jc w:val="both"/>
        <w:textAlignment w:val="top"/>
        <w:rPr>
          <w:rFonts w:ascii="Calibri" w:eastAsia="Calibri" w:hAnsi="Calibri" w:cs="Times New Roman"/>
          <w:kern w:val="0"/>
          <w:sz w:val="22"/>
          <w:szCs w:val="22"/>
          <w14:ligatures w14:val="none"/>
        </w:rPr>
      </w:pPr>
      <w:r w:rsidRPr="00DA59EE">
        <w:rPr>
          <w:rFonts w:ascii="Calibri" w:eastAsia="Calibri" w:hAnsi="Calibri" w:cs="Times New Roman"/>
          <w:kern w:val="0"/>
          <w:sz w:val="22"/>
          <w:szCs w:val="22"/>
          <w14:ligatures w14:val="none"/>
        </w:rPr>
        <w:t xml:space="preserve">An </w:t>
      </w:r>
      <w:r w:rsidRPr="00DA59EE">
        <w:rPr>
          <w:rFonts w:ascii="Calibri" w:eastAsia="Calibri" w:hAnsi="Calibri" w:cs="Times New Roman"/>
          <w:color w:val="000000"/>
          <w:kern w:val="0"/>
          <w:sz w:val="22"/>
          <w:szCs w:val="22"/>
          <w14:ligatures w14:val="none"/>
        </w:rPr>
        <w:t xml:space="preserve">MDTF is a type of pass-through modality designed to support a clearly defined programmatic purpose and results framework through contributions - usually received from more than one contributor - that are co-mingled, not earmarked to a specific UN entity and held by a UN fund administrator. MDTFs provide more flexible, coordinated, and predictable funding to support the achievement of a set of broad national, regional, or global results based on a clear theory of change. One UN Funds are country-level MDTFs in Delivering as One </w:t>
      </w:r>
      <w:proofErr w:type="gramStart"/>
      <w:r w:rsidRPr="00DA59EE">
        <w:rPr>
          <w:rFonts w:ascii="Calibri" w:eastAsia="Calibri" w:hAnsi="Calibri" w:cs="Times New Roman"/>
          <w:color w:val="000000"/>
          <w:kern w:val="0"/>
          <w:sz w:val="22"/>
          <w:szCs w:val="22"/>
          <w14:ligatures w14:val="none"/>
        </w:rPr>
        <w:t>countries</w:t>
      </w:r>
      <w:proofErr w:type="gramEnd"/>
      <w:r w:rsidRPr="00DA59EE">
        <w:rPr>
          <w:rFonts w:ascii="Calibri" w:eastAsia="Calibri" w:hAnsi="Calibri" w:cs="Times New Roman"/>
          <w:color w:val="000000"/>
          <w:kern w:val="0"/>
          <w:sz w:val="22"/>
          <w:szCs w:val="22"/>
          <w14:ligatures w14:val="none"/>
        </w:rPr>
        <w:t xml:space="preserve">, for which the One </w:t>
      </w:r>
      <w:proofErr w:type="spellStart"/>
      <w:r w:rsidRPr="00DA59EE">
        <w:rPr>
          <w:rFonts w:ascii="Calibri" w:eastAsia="Calibri" w:hAnsi="Calibri" w:cs="Times New Roman"/>
          <w:color w:val="000000"/>
          <w:kern w:val="0"/>
          <w:sz w:val="22"/>
          <w:szCs w:val="22"/>
          <w14:ligatures w14:val="none"/>
        </w:rPr>
        <w:t>Programme</w:t>
      </w:r>
      <w:proofErr w:type="spellEnd"/>
      <w:r w:rsidRPr="00DA59EE">
        <w:rPr>
          <w:rFonts w:ascii="Calibri" w:eastAsia="Calibri" w:hAnsi="Calibri" w:cs="Times New Roman"/>
          <w:color w:val="000000"/>
          <w:kern w:val="0"/>
          <w:sz w:val="22"/>
          <w:szCs w:val="22"/>
          <w14:ligatures w14:val="none"/>
        </w:rPr>
        <w:t xml:space="preserve"> is used to define the Fund’s programmatic scope. More information </w:t>
      </w:r>
      <w:r w:rsidRPr="00DA59EE">
        <w:rPr>
          <w:rFonts w:ascii="Calibri" w:eastAsia="Calibri" w:hAnsi="Calibri" w:cs="Times New Roman"/>
          <w:kern w:val="0"/>
          <w:sz w:val="22"/>
          <w:szCs w:val="22"/>
          <w14:ligatures w14:val="none"/>
        </w:rPr>
        <w:t xml:space="preserve">on MDTFs can be found in the </w:t>
      </w:r>
      <w:hyperlink r:id="rId10" w:history="1">
        <w:r w:rsidRPr="00DA59EE">
          <w:rPr>
            <w:rFonts w:ascii="Calibri" w:eastAsia="Calibri" w:hAnsi="Calibri" w:cs="Times New Roman"/>
            <w:color w:val="0563C1"/>
            <w:kern w:val="0"/>
            <w:sz w:val="22"/>
            <w:szCs w:val="22"/>
            <w:u w:val="single"/>
            <w14:ligatures w14:val="none"/>
          </w:rPr>
          <w:t>UNDG Guidance on Establishing, Managing and Closing MDTFs</w:t>
        </w:r>
      </w:hyperlink>
      <w:r w:rsidRPr="00DA59EE">
        <w:rPr>
          <w:rFonts w:ascii="Calibri" w:eastAsia="Calibri" w:hAnsi="Calibri" w:cs="Times New Roman"/>
          <w:kern w:val="0"/>
          <w:sz w:val="22"/>
          <w:szCs w:val="22"/>
          <w14:ligatures w14:val="none"/>
        </w:rPr>
        <w:t>.</w:t>
      </w:r>
    </w:p>
    <w:p w14:paraId="5126195E" w14:textId="77777777" w:rsidR="00DA59EE" w:rsidRPr="00DA59EE" w:rsidRDefault="00DA59EE" w:rsidP="00DA59EE">
      <w:pPr>
        <w:spacing w:after="0" w:line="240" w:lineRule="auto"/>
        <w:ind w:left="720"/>
        <w:contextualSpacing/>
        <w:jc w:val="both"/>
        <w:textAlignment w:val="top"/>
        <w:rPr>
          <w:rFonts w:ascii="Calibri" w:eastAsia="Calibri" w:hAnsi="Calibri" w:cs="Times New Roman"/>
          <w:kern w:val="0"/>
          <w:sz w:val="22"/>
          <w:szCs w:val="22"/>
          <w14:ligatures w14:val="none"/>
        </w:rPr>
      </w:pPr>
    </w:p>
    <w:p w14:paraId="3DA8092F" w14:textId="77777777" w:rsidR="00DA59EE" w:rsidRPr="00DA59EE" w:rsidRDefault="00DA59EE" w:rsidP="00DA59EE">
      <w:pPr>
        <w:numPr>
          <w:ilvl w:val="0"/>
          <w:numId w:val="2"/>
        </w:numPr>
        <w:spacing w:after="0" w:line="240" w:lineRule="auto"/>
        <w:contextualSpacing/>
        <w:jc w:val="both"/>
        <w:textAlignment w:val="top"/>
        <w:rPr>
          <w:rFonts w:ascii="Calibri" w:eastAsia="Calibri" w:hAnsi="Calibri" w:cs="Times New Roman"/>
          <w:kern w:val="0"/>
          <w:sz w:val="22"/>
          <w:szCs w:val="22"/>
          <w14:ligatures w14:val="none"/>
        </w:rPr>
      </w:pPr>
      <w:r w:rsidRPr="00DA59EE">
        <w:rPr>
          <w:rFonts w:ascii="Calibri" w:eastAsia="Calibri" w:hAnsi="Calibri" w:cs="Times New Roman"/>
          <w:kern w:val="0"/>
          <w:sz w:val="22"/>
          <w:szCs w:val="22"/>
          <w14:ligatures w14:val="none"/>
        </w:rPr>
        <w:t>In a pass-through arrangement, UNDP can play two roles which always will be clearly delineated, (</w:t>
      </w:r>
      <w:proofErr w:type="spellStart"/>
      <w:r w:rsidRPr="00DA59EE">
        <w:rPr>
          <w:rFonts w:ascii="Calibri" w:eastAsia="Calibri" w:hAnsi="Calibri" w:cs="Times New Roman"/>
          <w:kern w:val="0"/>
          <w:sz w:val="22"/>
          <w:szCs w:val="22"/>
          <w14:ligatures w14:val="none"/>
        </w:rPr>
        <w:t>i</w:t>
      </w:r>
      <w:proofErr w:type="spellEnd"/>
      <w:r w:rsidRPr="00DA59EE">
        <w:rPr>
          <w:rFonts w:ascii="Calibri" w:eastAsia="Calibri" w:hAnsi="Calibri" w:cs="Times New Roman"/>
          <w:kern w:val="0"/>
          <w:sz w:val="22"/>
          <w:szCs w:val="22"/>
          <w14:ligatures w14:val="none"/>
        </w:rPr>
        <w:t xml:space="preserve">) UNDP’s role as a Participating UN Organization (PUNO) implementing JP, One UN Fund, or MDTF activities in line with its operational mandate; and (ii) as Administrative Agent (AA) on behalf of PUNOs. (Other UN organizations can perform the AA function as well). </w:t>
      </w:r>
    </w:p>
    <w:p w14:paraId="72752856" w14:textId="77777777" w:rsidR="00DA59EE" w:rsidRPr="00DA59EE" w:rsidRDefault="00DA59EE" w:rsidP="00DA59EE">
      <w:pPr>
        <w:spacing w:line="259" w:lineRule="auto"/>
        <w:ind w:left="720"/>
        <w:contextualSpacing/>
        <w:jc w:val="both"/>
        <w:rPr>
          <w:rFonts w:ascii="Calibri" w:eastAsia="Calibri" w:hAnsi="Calibri" w:cs="Times New Roman"/>
          <w:kern w:val="0"/>
          <w:sz w:val="22"/>
          <w:szCs w:val="22"/>
          <w14:ligatures w14:val="none"/>
        </w:rPr>
      </w:pPr>
    </w:p>
    <w:p w14:paraId="13996A66" w14:textId="77777777" w:rsidR="00DA59EE" w:rsidRPr="00DA59EE" w:rsidRDefault="00DA59EE" w:rsidP="00DA59EE">
      <w:pPr>
        <w:numPr>
          <w:ilvl w:val="0"/>
          <w:numId w:val="2"/>
        </w:numPr>
        <w:spacing w:after="0" w:line="240" w:lineRule="auto"/>
        <w:contextualSpacing/>
        <w:jc w:val="both"/>
        <w:textAlignment w:val="top"/>
        <w:rPr>
          <w:rFonts w:ascii="Calibri" w:eastAsia="Calibri" w:hAnsi="Calibri" w:cs="Times New Roman"/>
          <w:color w:val="000000"/>
          <w:kern w:val="0"/>
          <w:sz w:val="22"/>
          <w:szCs w:val="22"/>
          <w14:ligatures w14:val="none"/>
        </w:rPr>
      </w:pPr>
      <w:r w:rsidRPr="00DA59EE">
        <w:rPr>
          <w:rFonts w:ascii="Calibri" w:eastAsia="Calibri" w:hAnsi="Calibri" w:cs="Times New Roman"/>
          <w:kern w:val="0"/>
          <w:sz w:val="22"/>
          <w:szCs w:val="22"/>
          <w14:ligatures w14:val="none"/>
        </w:rPr>
        <w:t xml:space="preserve">When UNDP is the AA, the Multi-Partner Trust Fund Office (MPTFO) is always </w:t>
      </w:r>
      <w:r w:rsidRPr="00DA59EE">
        <w:rPr>
          <w:rFonts w:ascii="Calibri" w:eastAsia="Calibri" w:hAnsi="Calibri" w:cs="Times New Roman"/>
          <w:color w:val="000000"/>
          <w:kern w:val="0"/>
          <w:sz w:val="22"/>
          <w:szCs w:val="22"/>
          <w14:ligatures w14:val="none"/>
        </w:rPr>
        <w:t xml:space="preserve">involved. </w:t>
      </w:r>
      <w:r w:rsidRPr="00DA59EE">
        <w:rPr>
          <w:rFonts w:ascii="Calibri" w:eastAsia="Times New Roman" w:hAnsi="Calibri" w:cs="Arial"/>
          <w:color w:val="000000"/>
          <w:kern w:val="0"/>
          <w:sz w:val="22"/>
          <w:szCs w:val="22"/>
          <w14:ligatures w14:val="none"/>
        </w:rPr>
        <w:t xml:space="preserve">All requests for UNDP to act as an AA for an MDTF, One Fund or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need to be routed to MPTFO in a timely manner. MPTFO will review the request and the MPTFO Executive Coordinator will take a decision on whether to accept the request. If MPTFO advises that the pass-through fund modality is not appropriate (if, for example, it does not meet the UNSDG established thresholds for JPs, One UN Funds or MDTFs), it will advise the concerned partners on possible alternative ways, in line with UNSDG guidance, for structuring the financial arrangements in support of a proposed partnership.</w:t>
      </w:r>
      <w:r w:rsidRPr="00DA59EE">
        <w:rPr>
          <w:rFonts w:ascii="Calibri" w:eastAsia="Calibri" w:hAnsi="Calibri" w:cs="Times New Roman"/>
          <w:color w:val="000000"/>
          <w:kern w:val="0"/>
          <w:sz w:val="22"/>
          <w:szCs w:val="22"/>
          <w14:ligatures w14:val="none"/>
        </w:rPr>
        <w:t xml:space="preserve"> </w:t>
      </w:r>
    </w:p>
    <w:p w14:paraId="7F9387F8" w14:textId="77777777" w:rsidR="00DA59EE" w:rsidRPr="00DA59EE" w:rsidRDefault="00DA59EE" w:rsidP="00DA59EE">
      <w:pPr>
        <w:spacing w:line="259" w:lineRule="auto"/>
        <w:ind w:left="720"/>
        <w:contextualSpacing/>
        <w:jc w:val="both"/>
        <w:rPr>
          <w:rFonts w:ascii="Calibri" w:eastAsia="Calibri" w:hAnsi="Calibri" w:cs="Times New Roman"/>
          <w:color w:val="000000"/>
          <w:kern w:val="0"/>
          <w:sz w:val="22"/>
          <w:szCs w:val="22"/>
          <w14:ligatures w14:val="none"/>
        </w:rPr>
      </w:pPr>
    </w:p>
    <w:p w14:paraId="3B2D6BE1" w14:textId="3037F075" w:rsidR="00DA59EE" w:rsidRPr="009070DE" w:rsidRDefault="00DA59EE" w:rsidP="000428B2">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In an MDTF, one Fund or pass-through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the programmatic and financial accountability rest with the PUNOs and (sub-) national partners for their respective components. For UNDP, standard accountability for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resources applies, as well as cost recovery policies and procedures. UNDP Country Offices should ensure that the </w:t>
      </w:r>
      <w:proofErr w:type="gramStart"/>
      <w:r w:rsidRPr="00DA59EE">
        <w:rPr>
          <w:rFonts w:ascii="Calibri" w:eastAsia="Times New Roman" w:hAnsi="Calibri" w:cs="Arial"/>
          <w:color w:val="000000"/>
          <w:kern w:val="0"/>
          <w:sz w:val="22"/>
          <w:szCs w:val="22"/>
          <w14:ligatures w14:val="none"/>
        </w:rPr>
        <w:t>aforementioned key</w:t>
      </w:r>
      <w:proofErr w:type="gramEnd"/>
      <w:r w:rsidRPr="00DA59EE">
        <w:rPr>
          <w:rFonts w:ascii="Calibri" w:eastAsia="Times New Roman" w:hAnsi="Calibri" w:cs="Arial"/>
          <w:color w:val="000000"/>
          <w:kern w:val="0"/>
          <w:sz w:val="22"/>
          <w:szCs w:val="22"/>
          <w14:ligatures w14:val="none"/>
        </w:rPr>
        <w:t xml:space="preserve"> accountability as well as other important elements such as cost recovery and reporting requirements are clearly articulated in agreements signed with the donor and/or implementing partners.</w:t>
      </w:r>
    </w:p>
    <w:p w14:paraId="58906DCE"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Calibri" w:hAnsi="Calibri" w:cs="Calibri"/>
          <w:color w:val="000000"/>
          <w:kern w:val="0"/>
          <w:sz w:val="22"/>
          <w:szCs w:val="22"/>
          <w14:ligatures w14:val="none"/>
        </w:rPr>
        <w:lastRenderedPageBreak/>
        <w:t>UNDP’s financial and programmatic responsibilities are limited only to the extent of the funds that UNDP will directly implement and records income and the corresponding expenses only for those funds for which it is programmatically and financially accountable.</w:t>
      </w:r>
    </w:p>
    <w:p w14:paraId="37D15439" w14:textId="77777777" w:rsidR="00DA59EE" w:rsidRPr="00DA59EE" w:rsidRDefault="00DA59EE" w:rsidP="00DA59EE">
      <w:pPr>
        <w:spacing w:after="0" w:line="240" w:lineRule="auto"/>
        <w:jc w:val="both"/>
        <w:textAlignment w:val="top"/>
        <w:rPr>
          <w:rFonts w:ascii="Calibri" w:eastAsia="Times New Roman" w:hAnsi="Calibri" w:cs="Arial"/>
          <w:color w:val="000000"/>
          <w:kern w:val="0"/>
          <w:sz w:val="22"/>
          <w:szCs w:val="22"/>
          <w14:ligatures w14:val="none"/>
        </w:rPr>
      </w:pPr>
    </w:p>
    <w:p w14:paraId="7498E71F"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333333"/>
          <w:kern w:val="0"/>
          <w:sz w:val="22"/>
          <w:szCs w:val="22"/>
          <w14:ligatures w14:val="none"/>
        </w:rPr>
      </w:pPr>
      <w:r w:rsidRPr="00DA59EE">
        <w:rPr>
          <w:rFonts w:ascii="Calibri" w:eastAsia="Times New Roman" w:hAnsi="Calibri" w:cs="Arial"/>
          <w:color w:val="000000"/>
          <w:kern w:val="0"/>
          <w:sz w:val="22"/>
          <w:szCs w:val="22"/>
          <w14:ligatures w14:val="none"/>
        </w:rPr>
        <w:t xml:space="preserve">UNDP’s cost recovery policies and procedures (GMS and Direct Projecting Charging) apply. The cost-recovery rate for the pass-through arrangement (currently 7 per cent) is established by the </w:t>
      </w:r>
      <w:r w:rsidRPr="00DA59EE">
        <w:rPr>
          <w:rFonts w:ascii="Calibri" w:eastAsia="Times New Roman" w:hAnsi="Calibri" w:cs="Arial"/>
          <w:kern w:val="0"/>
          <w:sz w:val="22"/>
          <w:szCs w:val="22"/>
          <w14:ligatures w14:val="none"/>
        </w:rPr>
        <w:t>UNSDG and is reflected in the UNSDG standard legal agreements for the pass-through fund management modalities. GMS is chargeable on all fund codes, including on costs incurred on the steering committee booked under direct cost budgets in fund 11100.</w:t>
      </w:r>
    </w:p>
    <w:p w14:paraId="28E776FD" w14:textId="77777777" w:rsidR="00DA59EE" w:rsidRPr="00DA59EE" w:rsidRDefault="00DA59EE" w:rsidP="00DA59EE">
      <w:pPr>
        <w:spacing w:after="0" w:line="240" w:lineRule="auto"/>
        <w:ind w:left="720" w:hanging="360"/>
        <w:jc w:val="both"/>
        <w:textAlignment w:val="top"/>
        <w:rPr>
          <w:rFonts w:ascii="Calibri" w:eastAsia="Times New Roman" w:hAnsi="Calibri" w:cs="Arial"/>
          <w:color w:val="333333"/>
          <w:kern w:val="0"/>
          <w:sz w:val="22"/>
          <w:szCs w:val="22"/>
          <w14:ligatures w14:val="none"/>
        </w:rPr>
      </w:pPr>
    </w:p>
    <w:p w14:paraId="52CCA2F2"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Structure Element – Procedures:  The UNDP country office or headquarters unit is responsible for establishing an output (i.e., Work Breakdown Structure (WBS)/Task Level 1) in Quantum for each joint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or multi-donor trust fund project to receive and implement funding. </w:t>
      </w:r>
    </w:p>
    <w:p w14:paraId="0F94125B"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333333"/>
          <w:kern w:val="0"/>
          <w:sz w:val="22"/>
          <w:szCs w:val="22"/>
          <w14:ligatures w14:val="none"/>
        </w:rPr>
      </w:pPr>
    </w:p>
    <w:p w14:paraId="3E90EAE0"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color w:val="333333"/>
          <w:kern w:val="0"/>
          <w:sz w:val="22"/>
          <w:szCs w:val="22"/>
          <w14:ligatures w14:val="none"/>
        </w:rPr>
      </w:pPr>
      <w:r w:rsidRPr="00DA59EE">
        <w:rPr>
          <w:rFonts w:ascii="Calibri" w:eastAsia="Times New Roman" w:hAnsi="Calibri" w:cs="Arial"/>
          <w:b/>
          <w:color w:val="333333"/>
          <w:kern w:val="0"/>
          <w:sz w:val="22"/>
          <w:szCs w:val="22"/>
          <w14:ligatures w14:val="none"/>
        </w:rPr>
        <w:t>Set up the project in Quantum</w:t>
      </w:r>
    </w:p>
    <w:p w14:paraId="588F6798"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color w:val="333333"/>
          <w:kern w:val="0"/>
          <w:sz w:val="22"/>
          <w:szCs w:val="22"/>
          <w14:ligatures w14:val="none"/>
        </w:rPr>
      </w:pPr>
    </w:p>
    <w:p w14:paraId="1086125B"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Finalize the project structure and ensure it is approved in Quantum prior to the application of the revenue. Separate projects (or outputs) should be established as required. </w:t>
      </w:r>
    </w:p>
    <w:p w14:paraId="027AE243"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3F46D678"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Depending on the nature of the funding, as defined by the project steering committee, funds received from the AA are recorded and budgeted as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funding, One UN change management funding or support to the steering committee. Funds are recorded and budgeted to the applicable fund code. </w:t>
      </w:r>
    </w:p>
    <w:p w14:paraId="1B9E80EE"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2AC4F1F2" w14:textId="77777777" w:rsidR="00DA59EE" w:rsidRPr="00DA59EE" w:rsidRDefault="00DA59EE" w:rsidP="00DA59EE">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bookmarkStart w:id="0" w:name="_Hlk122699015"/>
      <w:r w:rsidRPr="00DA59EE">
        <w:rPr>
          <w:rFonts w:ascii="Calibri" w:eastAsia="Times New Roman" w:hAnsi="Calibri" w:cs="Arial"/>
          <w:kern w:val="0"/>
          <w:sz w:val="22"/>
          <w:szCs w:val="22"/>
          <w14:ligatures w14:val="none"/>
        </w:rPr>
        <w:t>Support to the steering committee: Fund code 11100</w:t>
      </w:r>
    </w:p>
    <w:p w14:paraId="60828F54" w14:textId="77777777" w:rsidR="00DA59EE" w:rsidRPr="00DA59EE" w:rsidRDefault="00DA59EE" w:rsidP="00DA59EE">
      <w:pPr>
        <w:numPr>
          <w:ilvl w:val="0"/>
          <w:numId w:val="3"/>
        </w:numPr>
        <w:spacing w:line="259" w:lineRule="auto"/>
        <w:contextualSpacing/>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MPTFO Advisory Services Fund: Fund code 11955</w:t>
      </w:r>
    </w:p>
    <w:p w14:paraId="0BC16F1F" w14:textId="77777777" w:rsidR="00DA59EE" w:rsidRPr="00DA59EE" w:rsidRDefault="00DA59EE" w:rsidP="00DA59EE">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bookmarkStart w:id="1" w:name="_Hlk122698984"/>
      <w:r w:rsidRPr="00DA59EE">
        <w:rPr>
          <w:rFonts w:ascii="Calibri" w:eastAsia="Times New Roman" w:hAnsi="Calibri" w:cs="Arial"/>
          <w:kern w:val="0"/>
          <w:sz w:val="22"/>
          <w:szCs w:val="22"/>
          <w14:ligatures w14:val="none"/>
        </w:rPr>
        <w:t xml:space="preserve">One UN change management funding: Fund code 16350 </w:t>
      </w:r>
    </w:p>
    <w:p w14:paraId="16D0B76E" w14:textId="77777777" w:rsidR="00DA59EE" w:rsidRPr="00DA59EE" w:rsidRDefault="00DA59EE" w:rsidP="00DA59EE">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GSSCOVID Country Response: Fund code 28644</w:t>
      </w:r>
    </w:p>
    <w:p w14:paraId="6019AF28" w14:textId="77777777" w:rsidR="00DA59EE" w:rsidRPr="00DA59EE" w:rsidRDefault="00DA59EE" w:rsidP="00DA59EE">
      <w:pPr>
        <w:numPr>
          <w:ilvl w:val="0"/>
          <w:numId w:val="3"/>
        </w:numPr>
        <w:spacing w:line="259" w:lineRule="auto"/>
        <w:contextualSpacing/>
        <w:rPr>
          <w:rFonts w:ascii="Calibri" w:eastAsia="Times New Roman" w:hAnsi="Calibri" w:cs="Arial"/>
          <w:kern w:val="0"/>
          <w:sz w:val="22"/>
          <w:szCs w:val="22"/>
          <w14:ligatures w14:val="none"/>
        </w:rPr>
      </w:pP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funding (all other MDTFs if the above fund codes are NOT applied): Fund code 30000</w:t>
      </w:r>
    </w:p>
    <w:bookmarkEnd w:id="0"/>
    <w:bookmarkEnd w:id="1"/>
    <w:p w14:paraId="54617436" w14:textId="77777777" w:rsidR="00DA59EE" w:rsidRPr="00DA59EE" w:rsidRDefault="00DA59EE" w:rsidP="00DA59EE">
      <w:pPr>
        <w:shd w:val="clear" w:color="auto" w:fill="FFFFFF"/>
        <w:spacing w:after="0" w:line="240" w:lineRule="auto"/>
        <w:ind w:left="1440"/>
        <w:contextualSpacing/>
        <w:jc w:val="both"/>
        <w:textAlignment w:val="top"/>
        <w:rPr>
          <w:rFonts w:ascii="Calibri" w:eastAsia="Times New Roman" w:hAnsi="Calibri" w:cs="Arial"/>
          <w:color w:val="333333"/>
          <w:kern w:val="0"/>
          <w:sz w:val="22"/>
          <w:szCs w:val="22"/>
          <w14:ligatures w14:val="none"/>
        </w:rPr>
      </w:pPr>
    </w:p>
    <w:p w14:paraId="39B41DEC"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Funds received from the AA are recorded and budgeted to the applicable Quantum donor code.</w:t>
      </w:r>
    </w:p>
    <w:p w14:paraId="4DECCC90" w14:textId="77777777" w:rsidR="00DA59EE" w:rsidRPr="00DA59EE" w:rsidRDefault="00DA59EE" w:rsidP="00DA59EE">
      <w:pPr>
        <w:shd w:val="clear" w:color="auto" w:fill="FFFFFF"/>
        <w:spacing w:after="0" w:line="240" w:lineRule="auto"/>
        <w:ind w:left="720" w:hanging="360"/>
        <w:jc w:val="both"/>
        <w:textAlignment w:val="top"/>
        <w:rPr>
          <w:rFonts w:ascii="Calibri" w:eastAsia="Times New Roman" w:hAnsi="Calibri" w:cs="Arial"/>
          <w:color w:val="333333"/>
          <w:kern w:val="0"/>
          <w:sz w:val="22"/>
          <w:szCs w:val="22"/>
          <w14:ligatures w14:val="none"/>
        </w:rPr>
      </w:pPr>
    </w:p>
    <w:p w14:paraId="10708463" w14:textId="77777777" w:rsidR="00DA59EE" w:rsidRPr="00DA59EE" w:rsidRDefault="00DA59EE" w:rsidP="00DA59EE">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Where another UN organization is the AA, the UN organization is reflected as the donor code</w:t>
      </w:r>
    </w:p>
    <w:p w14:paraId="479375CC" w14:textId="77777777" w:rsidR="00DA59EE" w:rsidRPr="00DA59EE" w:rsidRDefault="00DA59EE" w:rsidP="00DA59EE">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Where MPTFO is the AA, for MDTF and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arrangements in existence prior to June 2000, donor code 010714 (UNDP as AA for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w:t>
      </w:r>
      <w:proofErr w:type="gramStart"/>
      <w:r w:rsidRPr="00DA59EE">
        <w:rPr>
          <w:rFonts w:ascii="Calibri" w:eastAsia="Times New Roman" w:hAnsi="Calibri" w:cs="Arial"/>
          <w:kern w:val="0"/>
          <w:sz w:val="22"/>
          <w:szCs w:val="22"/>
          <w14:ligatures w14:val="none"/>
        </w:rPr>
        <w:t>pass-through</w:t>
      </w:r>
      <w:proofErr w:type="gramEnd"/>
      <w:r w:rsidRPr="00DA59EE">
        <w:rPr>
          <w:rFonts w:ascii="Calibri" w:eastAsia="Times New Roman" w:hAnsi="Calibri" w:cs="Arial"/>
          <w:kern w:val="0"/>
          <w:sz w:val="22"/>
          <w:szCs w:val="22"/>
          <w14:ligatures w14:val="none"/>
        </w:rPr>
        <w:t>)</w:t>
      </w:r>
    </w:p>
    <w:p w14:paraId="7F1AF6E9" w14:textId="77777777" w:rsidR="00DA59EE" w:rsidRPr="00DA59EE" w:rsidRDefault="00DA59EE" w:rsidP="00DA59EE">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Where MPTFO is the AA, for MDTF and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arrangements commenced in June 2000 and subsequent, BMS/OFM establishes a unique donor code in Quantum for the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w:t>
      </w:r>
    </w:p>
    <w:p w14:paraId="487F46C0" w14:textId="77777777" w:rsidR="00DA59EE" w:rsidRPr="00DA59EE" w:rsidRDefault="00DA59EE" w:rsidP="00DA59EE">
      <w:p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14:ligatures w14:val="none"/>
        </w:rPr>
      </w:pPr>
    </w:p>
    <w:p w14:paraId="55CA0233" w14:textId="77777777" w:rsidR="00DA59EE" w:rsidRPr="00DA59EE" w:rsidRDefault="00DA59EE" w:rsidP="00DA59EE">
      <w:pPr>
        <w:numPr>
          <w:ilvl w:val="0"/>
          <w:numId w:val="2"/>
        </w:numPr>
        <w:spacing w:after="0" w:line="240" w:lineRule="auto"/>
        <w:contextualSpacing/>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Where MPTFO is the AA, it communicates to the country office or headquarters unit the amount of the JP or MPTF allocation and the Quantum MPTFO project number. The project number is only used in narrative and financial reporting back to MPTFO. To facilitate reporting back to MPTFO, for new Quantum projects, the country office or HQ unit will </w:t>
      </w:r>
      <w:bookmarkStart w:id="2" w:name="_Hlk122699253"/>
      <w:r w:rsidRPr="00DA59EE">
        <w:rPr>
          <w:rFonts w:ascii="Calibri" w:eastAsia="Times New Roman" w:hAnsi="Calibri" w:cs="Arial"/>
          <w:color w:val="000000"/>
          <w:kern w:val="0"/>
          <w:sz w:val="22"/>
          <w:szCs w:val="22"/>
          <w14:ligatures w14:val="none"/>
        </w:rPr>
        <w:t xml:space="preserve">select the relevant MPTFO project number from the drop-down list under the “MPTF Quantum Project Number” </w:t>
      </w:r>
      <w:proofErr w:type="gramStart"/>
      <w:r w:rsidRPr="00DA59EE">
        <w:rPr>
          <w:rFonts w:ascii="Calibri" w:eastAsia="Times New Roman" w:hAnsi="Calibri" w:cs="Arial"/>
          <w:color w:val="000000"/>
          <w:kern w:val="0"/>
          <w:sz w:val="22"/>
          <w:szCs w:val="22"/>
          <w14:ligatures w14:val="none"/>
        </w:rPr>
        <w:t xml:space="preserve">in  </w:t>
      </w:r>
      <w:r w:rsidRPr="00DA59EE">
        <w:rPr>
          <w:rFonts w:ascii="Calibri" w:eastAsia="Times New Roman" w:hAnsi="Calibri" w:cs="Arial"/>
          <w:color w:val="000000"/>
          <w:kern w:val="0"/>
          <w:sz w:val="22"/>
          <w:szCs w:val="22"/>
          <w14:ligatures w14:val="none"/>
        </w:rPr>
        <w:lastRenderedPageBreak/>
        <w:t>Quantum</w:t>
      </w:r>
      <w:proofErr w:type="gramEnd"/>
      <w:r w:rsidRPr="00DA59EE">
        <w:rPr>
          <w:rFonts w:ascii="Calibri" w:eastAsia="Times New Roman" w:hAnsi="Calibri" w:cs="Arial"/>
          <w:color w:val="000000"/>
          <w:kern w:val="0"/>
          <w:sz w:val="22"/>
          <w:szCs w:val="22"/>
          <w14:ligatures w14:val="none"/>
        </w:rPr>
        <w:t xml:space="preserve"> PPM under “Financial Project Settings/Additional Information” </w:t>
      </w:r>
      <w:bookmarkStart w:id="3" w:name="_Hlk122698793"/>
      <w:r w:rsidRPr="00DA59EE">
        <w:rPr>
          <w:rFonts w:ascii="Calibri" w:eastAsia="Times New Roman" w:hAnsi="Calibri" w:cs="Arial"/>
          <w:color w:val="000000"/>
          <w:kern w:val="0"/>
          <w:sz w:val="22"/>
          <w:szCs w:val="22"/>
          <w14:ligatures w14:val="none"/>
        </w:rPr>
        <w:t xml:space="preserve">(see red circle highlight below). </w:t>
      </w:r>
      <w:r w:rsidRPr="00DA59EE">
        <w:rPr>
          <w:rFonts w:ascii="Calibri" w:eastAsia="Calibri" w:hAnsi="Calibri" w:cs="Times New Roman"/>
          <w:kern w:val="0"/>
          <w:sz w:val="22"/>
          <w:szCs w:val="22"/>
          <w14:ligatures w14:val="none"/>
        </w:rPr>
        <w:t xml:space="preserve">For existing Atlas projects converted to Quantum, the “MPTF Project Reference Number” field carries the relevant Atlas MPTFO project number </w:t>
      </w:r>
      <w:r w:rsidRPr="00DA59EE">
        <w:rPr>
          <w:rFonts w:ascii="Calibri" w:eastAsia="Times New Roman" w:hAnsi="Calibri" w:cs="Arial"/>
          <w:color w:val="000000"/>
          <w:kern w:val="0"/>
          <w:sz w:val="22"/>
          <w:szCs w:val="22"/>
          <w14:ligatures w14:val="none"/>
        </w:rPr>
        <w:t>(see blue circle highlight below).</w:t>
      </w:r>
      <w:r w:rsidRPr="00DA59EE" w:rsidDel="00AD08DC">
        <w:rPr>
          <w:rFonts w:ascii="Calibri" w:eastAsia="Times New Roman" w:hAnsi="Calibri" w:cs="Arial"/>
          <w:color w:val="000000"/>
          <w:kern w:val="0"/>
          <w:sz w:val="22"/>
          <w:szCs w:val="22"/>
          <w14:ligatures w14:val="none"/>
        </w:rPr>
        <w:t xml:space="preserve"> </w:t>
      </w:r>
      <w:bookmarkEnd w:id="2"/>
      <w:bookmarkEnd w:id="3"/>
    </w:p>
    <w:p w14:paraId="41C33F2F" w14:textId="77777777" w:rsidR="00DA59EE" w:rsidRPr="00DA59EE" w:rsidRDefault="00DA59EE" w:rsidP="00DA59EE">
      <w:pPr>
        <w:numPr>
          <w:ilvl w:val="0"/>
          <w:numId w:val="2"/>
        </w:numPr>
        <w:spacing w:after="0" w:line="240" w:lineRule="auto"/>
        <w:contextualSpacing/>
        <w:textAlignment w:val="top"/>
        <w:rPr>
          <w:rFonts w:ascii="Calibri" w:eastAsia="Times New Roman" w:hAnsi="Calibri" w:cs="Arial"/>
          <w:color w:val="000000"/>
          <w:kern w:val="0"/>
          <w:sz w:val="22"/>
          <w:szCs w:val="22"/>
          <w14:ligatures w14:val="none"/>
        </w:rPr>
      </w:pPr>
      <w:r w:rsidRPr="00DA59EE">
        <w:rPr>
          <w:rFonts w:ascii="Calibri" w:eastAsia="Calibri" w:hAnsi="Calibri" w:cs="Times New Roman"/>
          <w:noProof/>
          <w:kern w:val="0"/>
          <w:sz w:val="22"/>
          <w:szCs w:val="22"/>
          <w14:ligatures w14:val="none"/>
        </w:rPr>
        <w:br/>
      </w:r>
      <w:r w:rsidRPr="00DA59EE">
        <w:rPr>
          <w:rFonts w:ascii="Calibri" w:eastAsia="Calibri" w:hAnsi="Calibri" w:cs="Times New Roman"/>
          <w:noProof/>
          <w:kern w:val="0"/>
          <w:sz w:val="22"/>
          <w:szCs w:val="22"/>
          <w14:ligatures w14:val="none"/>
        </w:rPr>
        <w:br/>
      </w:r>
      <w:r w:rsidRPr="00DA59EE">
        <w:rPr>
          <w:rFonts w:ascii="Calibri" w:eastAsia="Calibri" w:hAnsi="Calibri" w:cs="Times New Roman"/>
          <w:noProof/>
          <w:kern w:val="0"/>
          <w:sz w:val="22"/>
          <w:szCs w:val="22"/>
          <w14:ligatures w14:val="none"/>
        </w:rPr>
        <w:drawing>
          <wp:inline distT="0" distB="0" distL="0" distR="0" wp14:anchorId="448BEE3F" wp14:editId="473FB2F0">
            <wp:extent cx="5223850" cy="639535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3731" cy="6419694"/>
                    </a:xfrm>
                    <a:prstGeom prst="rect">
                      <a:avLst/>
                    </a:prstGeom>
                  </pic:spPr>
                </pic:pic>
              </a:graphicData>
            </a:graphic>
          </wp:inline>
        </w:drawing>
      </w:r>
    </w:p>
    <w:p w14:paraId="7A5BD40C" w14:textId="77777777" w:rsidR="00DA59EE" w:rsidRPr="00DA59EE" w:rsidRDefault="00DA59EE" w:rsidP="00DA59EE">
      <w:pPr>
        <w:spacing w:line="259" w:lineRule="auto"/>
        <w:rPr>
          <w:rFonts w:ascii="Calibri" w:eastAsia="Calibri" w:hAnsi="Calibri" w:cs="Times New Roman"/>
          <w:kern w:val="0"/>
          <w:sz w:val="22"/>
          <w:szCs w:val="22"/>
          <w14:ligatures w14:val="none"/>
        </w:rPr>
      </w:pPr>
    </w:p>
    <w:p w14:paraId="2FE2D8BB" w14:textId="77777777" w:rsidR="00DA59EE" w:rsidRPr="00DA59EE" w:rsidRDefault="00DA59EE" w:rsidP="00DA59EE">
      <w:pPr>
        <w:spacing w:after="0" w:line="240" w:lineRule="auto"/>
        <w:jc w:val="both"/>
        <w:textAlignment w:val="top"/>
        <w:rPr>
          <w:rFonts w:ascii="Calibri" w:eastAsia="Times New Roman" w:hAnsi="Calibri" w:cs="Arial"/>
          <w:color w:val="000000"/>
          <w:kern w:val="0"/>
          <w:sz w:val="22"/>
          <w:szCs w:val="22"/>
          <w14:ligatures w14:val="none"/>
        </w:rPr>
      </w:pPr>
    </w:p>
    <w:p w14:paraId="2CA147E4"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lastRenderedPageBreak/>
        <w:t xml:space="preserve">Standard UNDP </w:t>
      </w:r>
      <w:proofErr w:type="spellStart"/>
      <w:r w:rsidRPr="00DA59EE">
        <w:rPr>
          <w:rFonts w:ascii="Calibri" w:eastAsia="Times New Roman" w:hAnsi="Calibri" w:cs="Arial"/>
          <w:color w:val="000000"/>
          <w:kern w:val="0"/>
          <w:sz w:val="22"/>
          <w:szCs w:val="22"/>
          <w14:ligatures w14:val="none"/>
        </w:rPr>
        <w:t>programme</w:t>
      </w:r>
      <w:proofErr w:type="spellEnd"/>
      <w:r w:rsidRPr="00DA59EE">
        <w:rPr>
          <w:rFonts w:ascii="Calibri" w:eastAsia="Times New Roman" w:hAnsi="Calibri" w:cs="Arial"/>
          <w:color w:val="000000"/>
          <w:kern w:val="0"/>
          <w:sz w:val="22"/>
          <w:szCs w:val="22"/>
          <w14:ligatures w14:val="none"/>
        </w:rPr>
        <w:t xml:space="preserve"> and project management and financial resources management procedures apply for UNDP projects. Standard implementing partner arrangements are in effect (national implementation, direct implementation, NGO implementation, and Agency implementation).</w:t>
      </w:r>
    </w:p>
    <w:p w14:paraId="424FB405"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06B9F485"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All involvement of non-governmental organizations in pass-through arrangements is programmed through the UNDP project(s). The non-governmental organization takes on the standard roles of implementing partner, responsible party or contractor, depending on whether the action involves </w:t>
      </w:r>
      <w:proofErr w:type="spellStart"/>
      <w:r w:rsidRPr="00DA59EE">
        <w:rPr>
          <w:rFonts w:ascii="Calibri" w:eastAsia="Times New Roman" w:hAnsi="Calibri" w:cs="Arial"/>
          <w:color w:val="000000"/>
          <w:kern w:val="0"/>
          <w:sz w:val="22"/>
          <w:szCs w:val="22"/>
          <w14:ligatures w14:val="none"/>
        </w:rPr>
        <w:t>programmes</w:t>
      </w:r>
      <w:proofErr w:type="spellEnd"/>
      <w:r w:rsidRPr="00DA59EE">
        <w:rPr>
          <w:rFonts w:ascii="Calibri" w:eastAsia="Times New Roman" w:hAnsi="Calibri" w:cs="Arial"/>
          <w:color w:val="000000"/>
          <w:kern w:val="0"/>
          <w:sz w:val="22"/>
          <w:szCs w:val="22"/>
          <w14:ligatures w14:val="none"/>
        </w:rPr>
        <w:t xml:space="preserve"> or procurement. </w:t>
      </w:r>
    </w:p>
    <w:p w14:paraId="26E6377C"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68EB471E"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Interest earned on project balances is not refunded to the AA, as per UNDP Financial Regulations and Rules.</w:t>
      </w:r>
    </w:p>
    <w:p w14:paraId="25143725"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4916EF8A" w14:textId="4F44DB18" w:rsidR="009070DE" w:rsidRDefault="00DA59EE" w:rsidP="009070D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proofErr w:type="gramStart"/>
      <w:r w:rsidRPr="00DA59EE">
        <w:rPr>
          <w:rFonts w:ascii="Calibri" w:eastAsia="Times New Roman" w:hAnsi="Calibri" w:cs="Arial"/>
          <w:color w:val="000000"/>
          <w:kern w:val="0"/>
          <w:sz w:val="22"/>
          <w:szCs w:val="22"/>
          <w14:ligatures w14:val="none"/>
        </w:rPr>
        <w:t>UNDP regular resources (such as TRAC) or other resources (such as cost sharing or trust funds),</w:t>
      </w:r>
      <w:proofErr w:type="gramEnd"/>
      <w:r w:rsidRPr="00DA59EE">
        <w:rPr>
          <w:rFonts w:ascii="Calibri" w:eastAsia="Times New Roman" w:hAnsi="Calibri" w:cs="Arial"/>
          <w:color w:val="000000"/>
          <w:kern w:val="0"/>
          <w:sz w:val="22"/>
          <w:szCs w:val="22"/>
          <w14:ligatures w14:val="none"/>
        </w:rPr>
        <w:t xml:space="preserve"> can be subsequently added to a UNDP cost sharing project. </w:t>
      </w:r>
    </w:p>
    <w:p w14:paraId="7341CEB8" w14:textId="77777777" w:rsidR="009070DE" w:rsidRPr="000428B2" w:rsidRDefault="009070DE" w:rsidP="000428B2">
      <w:pPr>
        <w:spacing w:after="0" w:line="240" w:lineRule="auto"/>
        <w:contextualSpacing/>
        <w:jc w:val="both"/>
        <w:textAlignment w:val="top"/>
        <w:rPr>
          <w:rFonts w:ascii="Calibri" w:eastAsia="Times New Roman" w:hAnsi="Calibri" w:cs="Arial"/>
          <w:color w:val="000000"/>
          <w:kern w:val="0"/>
          <w:sz w:val="22"/>
          <w:szCs w:val="22"/>
          <w14:ligatures w14:val="none"/>
        </w:rPr>
      </w:pPr>
    </w:p>
    <w:p w14:paraId="26DC0DDC" w14:textId="6D1078F1" w:rsidR="009070DE" w:rsidRPr="009070DE" w:rsidRDefault="009070DE" w:rsidP="000428B2">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9070DE">
        <w:rPr>
          <w:rFonts w:ascii="Calibri" w:eastAsia="Times New Roman" w:hAnsi="Calibri" w:cs="Arial"/>
          <w:color w:val="000000"/>
          <w:kern w:val="0"/>
          <w:sz w:val="22"/>
          <w:szCs w:val="22"/>
          <w14:ligatures w14:val="none"/>
        </w:rPr>
        <w:t xml:space="preserve">All joint </w:t>
      </w:r>
      <w:proofErr w:type="spellStart"/>
      <w:r w:rsidRPr="009070DE">
        <w:rPr>
          <w:rFonts w:ascii="Calibri" w:eastAsia="Times New Roman" w:hAnsi="Calibri" w:cs="Arial"/>
          <w:color w:val="000000"/>
          <w:kern w:val="0"/>
          <w:sz w:val="22"/>
          <w:szCs w:val="22"/>
          <w14:ligatures w14:val="none"/>
        </w:rPr>
        <w:t>programmes</w:t>
      </w:r>
      <w:proofErr w:type="spellEnd"/>
      <w:r w:rsidRPr="009070DE">
        <w:rPr>
          <w:rFonts w:ascii="Calibri" w:eastAsia="Times New Roman" w:hAnsi="Calibri" w:cs="Arial"/>
          <w:color w:val="000000"/>
          <w:kern w:val="0"/>
          <w:sz w:val="22"/>
          <w:szCs w:val="22"/>
          <w14:ligatures w14:val="none"/>
        </w:rPr>
        <w:t xml:space="preserve"> should be identified and tracked in Quantum. During the project formulation, the JP modality is selected in the Joint </w:t>
      </w:r>
      <w:proofErr w:type="spellStart"/>
      <w:r w:rsidRPr="009070DE">
        <w:rPr>
          <w:rFonts w:ascii="Calibri" w:eastAsia="Times New Roman" w:hAnsi="Calibri" w:cs="Arial"/>
          <w:color w:val="000000"/>
          <w:kern w:val="0"/>
          <w:sz w:val="22"/>
          <w:szCs w:val="22"/>
          <w14:ligatures w14:val="none"/>
        </w:rPr>
        <w:t>Programme</w:t>
      </w:r>
      <w:proofErr w:type="spellEnd"/>
      <w:r w:rsidRPr="009070DE">
        <w:rPr>
          <w:rFonts w:ascii="Calibri" w:eastAsia="Times New Roman" w:hAnsi="Calibri" w:cs="Arial"/>
          <w:color w:val="000000"/>
          <w:kern w:val="0"/>
          <w:sz w:val="22"/>
          <w:szCs w:val="22"/>
          <w14:ligatures w14:val="none"/>
        </w:rPr>
        <w:t xml:space="preserve"> field within the PPM “Project Results” Section: Projects&gt;Project Results&gt;Output&gt;Output Metadata&gt;Joint </w:t>
      </w:r>
      <w:proofErr w:type="spellStart"/>
      <w:r w:rsidRPr="009070DE">
        <w:rPr>
          <w:rFonts w:ascii="Calibri" w:eastAsia="Times New Roman" w:hAnsi="Calibri" w:cs="Arial"/>
          <w:color w:val="000000"/>
          <w:kern w:val="0"/>
          <w:sz w:val="22"/>
          <w:szCs w:val="22"/>
          <w14:ligatures w14:val="none"/>
        </w:rPr>
        <w:t>Programme</w:t>
      </w:r>
      <w:proofErr w:type="spellEnd"/>
      <w:r w:rsidRPr="009070DE">
        <w:rPr>
          <w:rFonts w:ascii="Calibri" w:eastAsia="Times New Roman" w:hAnsi="Calibri" w:cs="Arial"/>
          <w:color w:val="000000"/>
          <w:kern w:val="0"/>
          <w:sz w:val="22"/>
          <w:szCs w:val="22"/>
          <w14:ligatures w14:val="none"/>
        </w:rPr>
        <w:t xml:space="preserve"> field to select the JP modality from the dropdown menu.</w:t>
      </w:r>
    </w:p>
    <w:p w14:paraId="43006B92" w14:textId="77777777" w:rsidR="00DA59EE" w:rsidRPr="00DA59EE" w:rsidRDefault="00DA59EE" w:rsidP="00DA59EE">
      <w:pPr>
        <w:spacing w:line="259" w:lineRule="auto"/>
        <w:ind w:left="720"/>
        <w:contextualSpacing/>
        <w:rPr>
          <w:rFonts w:ascii="Calibri" w:eastAsia="Times New Roman" w:hAnsi="Calibri" w:cs="Arial"/>
          <w:kern w:val="0"/>
          <w:sz w:val="22"/>
          <w:szCs w:val="22"/>
          <w:highlight w:val="yellow"/>
          <w14:ligatures w14:val="none"/>
        </w:rPr>
      </w:pPr>
    </w:p>
    <w:p w14:paraId="022B87E6" w14:textId="77777777" w:rsidR="00DA59EE" w:rsidRPr="00DA59EE" w:rsidRDefault="00DA59EE" w:rsidP="00DA59EE">
      <w:pPr>
        <w:spacing w:after="0" w:line="240" w:lineRule="auto"/>
        <w:ind w:firstLine="450"/>
        <w:jc w:val="both"/>
        <w:textAlignment w:val="top"/>
        <w:rPr>
          <w:rFonts w:ascii="Calibri" w:eastAsia="Times New Roman" w:hAnsi="Calibri" w:cs="Arial"/>
          <w:kern w:val="0"/>
          <w:sz w:val="22"/>
          <w:szCs w:val="22"/>
          <w:highlight w:val="yellow"/>
          <w14:ligatures w14:val="none"/>
        </w:rPr>
      </w:pPr>
      <w:r w:rsidRPr="00DA59EE">
        <w:rPr>
          <w:rFonts w:ascii="Calibri" w:eastAsia="Calibri" w:hAnsi="Calibri" w:cs="Times New Roman"/>
          <w:noProof/>
          <w:kern w:val="0"/>
          <w:sz w:val="22"/>
          <w:szCs w:val="22"/>
          <w:lang w:val="fr-FR"/>
          <w14:ligatures w14:val="none"/>
        </w:rPr>
        <w:drawing>
          <wp:inline distT="0" distB="0" distL="0" distR="0" wp14:anchorId="71C08909" wp14:editId="04E920F4">
            <wp:extent cx="5734685" cy="660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p>
    <w:p w14:paraId="5B093D72" w14:textId="77777777" w:rsidR="00DA59EE" w:rsidRPr="00DA59EE" w:rsidRDefault="00DA59EE" w:rsidP="00DA59EE">
      <w:pPr>
        <w:spacing w:after="0" w:line="240" w:lineRule="auto"/>
        <w:ind w:firstLine="450"/>
        <w:jc w:val="both"/>
        <w:textAlignment w:val="top"/>
        <w:rPr>
          <w:rFonts w:ascii="Calibri" w:eastAsia="Times New Roman" w:hAnsi="Calibri" w:cs="Arial"/>
          <w:kern w:val="0"/>
          <w:sz w:val="22"/>
          <w:szCs w:val="22"/>
          <w:highlight w:val="yellow"/>
          <w14:ligatures w14:val="none"/>
        </w:rPr>
      </w:pPr>
    </w:p>
    <w:p w14:paraId="0C8735C8" w14:textId="77777777" w:rsidR="00DA59EE" w:rsidRPr="00DA59EE" w:rsidRDefault="00DA59EE" w:rsidP="00DA59EE">
      <w:pPr>
        <w:spacing w:after="0" w:line="240" w:lineRule="auto"/>
        <w:ind w:firstLine="450"/>
        <w:jc w:val="both"/>
        <w:textAlignment w:val="top"/>
        <w:rPr>
          <w:rFonts w:ascii="Calibri" w:eastAsia="Times New Roman" w:hAnsi="Calibri" w:cs="Arial"/>
          <w:kern w:val="0"/>
          <w:sz w:val="22"/>
          <w:szCs w:val="22"/>
          <w:highlight w:val="yellow"/>
          <w14:ligatures w14:val="none"/>
        </w:rPr>
      </w:pPr>
      <w:r w:rsidRPr="00DA59EE">
        <w:rPr>
          <w:rFonts w:ascii="Calibri" w:eastAsia="Calibri" w:hAnsi="Calibri" w:cs="Times New Roman"/>
          <w:noProof/>
          <w:kern w:val="0"/>
          <w:sz w:val="22"/>
          <w:szCs w:val="22"/>
          <w:lang w:val="fr-FR"/>
          <w14:ligatures w14:val="none"/>
        </w:rPr>
        <w:drawing>
          <wp:inline distT="0" distB="0" distL="0" distR="0" wp14:anchorId="3B71AA00" wp14:editId="12939088">
            <wp:extent cx="5734685"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p>
    <w:p w14:paraId="3A26EB56" w14:textId="77777777" w:rsidR="00DA59EE" w:rsidRPr="00DA59EE" w:rsidRDefault="00DA59EE" w:rsidP="00DA59EE">
      <w:pPr>
        <w:spacing w:after="0" w:line="240" w:lineRule="auto"/>
        <w:ind w:firstLine="450"/>
        <w:jc w:val="both"/>
        <w:textAlignment w:val="top"/>
        <w:rPr>
          <w:rFonts w:ascii="Calibri" w:eastAsia="Times New Roman" w:hAnsi="Calibri" w:cs="Arial"/>
          <w:kern w:val="0"/>
          <w:sz w:val="22"/>
          <w:szCs w:val="22"/>
          <w:highlight w:val="yellow"/>
          <w14:ligatures w14:val="none"/>
        </w:rPr>
      </w:pPr>
    </w:p>
    <w:p w14:paraId="021F0622" w14:textId="77777777" w:rsidR="00DA59EE" w:rsidRPr="00DA59EE" w:rsidRDefault="00DA59EE" w:rsidP="00DA59EE">
      <w:pPr>
        <w:spacing w:after="0" w:line="240" w:lineRule="auto"/>
        <w:ind w:left="720"/>
        <w:contextualSpacing/>
        <w:jc w:val="both"/>
        <w:textAlignment w:val="top"/>
        <w:rPr>
          <w:rFonts w:ascii="Calibri" w:eastAsia="Times New Roman" w:hAnsi="Calibri" w:cs="Arial"/>
          <w:kern w:val="0"/>
          <w:sz w:val="22"/>
          <w:szCs w:val="22"/>
          <w14:ligatures w14:val="none"/>
        </w:rPr>
      </w:pPr>
    </w:p>
    <w:p w14:paraId="7B3AE931" w14:textId="77777777" w:rsidR="00DA59EE" w:rsidRPr="00DA59EE" w:rsidRDefault="00DA59EE" w:rsidP="00DA59EE">
      <w:pPr>
        <w:spacing w:after="0" w:line="240" w:lineRule="auto"/>
        <w:jc w:val="both"/>
        <w:textAlignment w:val="top"/>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t xml:space="preserve">Select correct mapping of UNDP outputs and MPTFO project ID </w:t>
      </w:r>
    </w:p>
    <w:p w14:paraId="1E10E867" w14:textId="77777777" w:rsidR="00DA59EE" w:rsidRPr="00DA59EE" w:rsidRDefault="00DA59EE" w:rsidP="00DA59EE">
      <w:pPr>
        <w:spacing w:after="0" w:line="240" w:lineRule="auto"/>
        <w:jc w:val="both"/>
        <w:textAlignment w:val="top"/>
        <w:rPr>
          <w:rFonts w:ascii="Calibri" w:eastAsia="Times New Roman" w:hAnsi="Calibri" w:cs="Arial"/>
          <w:kern w:val="0"/>
          <w:sz w:val="22"/>
          <w:szCs w:val="22"/>
          <w14:ligatures w14:val="none"/>
        </w:rPr>
      </w:pPr>
    </w:p>
    <w:p w14:paraId="09B07BAE"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 xml:space="preserve">The MPTFO project IDs and UNDP output IDs (i.e., Work Breakdown Structure/Task Level 1) should be available at the time of </w:t>
      </w:r>
      <w:proofErr w:type="gramStart"/>
      <w:r w:rsidRPr="00DA59EE">
        <w:rPr>
          <w:rFonts w:ascii="Calibri" w:eastAsia="Times New Roman" w:hAnsi="Calibri" w:cs="Arial"/>
          <w:color w:val="000000"/>
          <w:kern w:val="0"/>
          <w:sz w:val="22"/>
          <w:szCs w:val="22"/>
          <w14:ligatures w14:val="none"/>
        </w:rPr>
        <w:t>funds disbursement</w:t>
      </w:r>
      <w:proofErr w:type="gramEnd"/>
      <w:r w:rsidRPr="00DA59EE">
        <w:rPr>
          <w:rFonts w:ascii="Calibri" w:eastAsia="Times New Roman" w:hAnsi="Calibri" w:cs="Arial"/>
          <w:color w:val="000000"/>
          <w:kern w:val="0"/>
          <w:sz w:val="22"/>
          <w:szCs w:val="22"/>
          <w14:ligatures w14:val="none"/>
        </w:rPr>
        <w:t>. UNDP country offices should create Quantum output IDs at the pipeline / project initiation stage. All project proposals submitted to MPTFO should carry output IDs.</w:t>
      </w:r>
    </w:p>
    <w:p w14:paraId="528587E5"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67BB332E"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t>Preferably, one UNDP output ID will correspond with only one MPTFO project ID (i.e., MPTF Quantum Project Number) and donor code, without programing other sources of funds in the outputs. This will prevent errors in financial reporting and enable faster and more efficient closure of projects upon completion of activities.</w:t>
      </w:r>
    </w:p>
    <w:p w14:paraId="13A7677F"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183A2950"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lastRenderedPageBreak/>
        <w:t xml:space="preserve">Offices can comingle non-MPTF resources with outputs that use MPTF funds </w:t>
      </w:r>
      <w:proofErr w:type="gramStart"/>
      <w:r w:rsidRPr="00DA59EE">
        <w:rPr>
          <w:rFonts w:ascii="Calibri" w:eastAsia="Times New Roman" w:hAnsi="Calibri" w:cs="Arial"/>
          <w:color w:val="000000"/>
          <w:kern w:val="0"/>
          <w:sz w:val="22"/>
          <w:szCs w:val="22"/>
          <w14:ligatures w14:val="none"/>
        </w:rPr>
        <w:t>as long as</w:t>
      </w:r>
      <w:proofErr w:type="gramEnd"/>
      <w:r w:rsidRPr="00DA59EE">
        <w:rPr>
          <w:rFonts w:ascii="Calibri" w:eastAsia="Times New Roman" w:hAnsi="Calibri" w:cs="Arial"/>
          <w:color w:val="000000"/>
          <w:kern w:val="0"/>
          <w:sz w:val="22"/>
          <w:szCs w:val="22"/>
          <w14:ligatures w14:val="none"/>
        </w:rPr>
        <w:t xml:space="preserve"> each output uses funds from only one MPTF project ID, and different donor codes (respective Quantum donor codes for those donors) are used for non-MPTF donor funds. </w:t>
      </w:r>
    </w:p>
    <w:p w14:paraId="0A4FA20E"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435C6323" w14:textId="272B3B2B" w:rsidR="00DA59EE" w:rsidRPr="00DA59EE" w:rsidRDefault="00DA59EE" w:rsidP="000428B2">
      <w:pPr>
        <w:numPr>
          <w:ilvl w:val="0"/>
          <w:numId w:val="2"/>
        </w:numPr>
        <w:spacing w:after="0" w:line="240" w:lineRule="auto"/>
        <w:contextualSpacing/>
        <w:jc w:val="both"/>
        <w:textAlignment w:val="top"/>
        <w:rPr>
          <w:rFonts w:ascii="Calibri" w:eastAsia="Times New Roman" w:hAnsi="Calibri" w:cs="Arial"/>
          <w:color w:val="333333"/>
          <w:kern w:val="0"/>
          <w:sz w:val="22"/>
          <w:szCs w:val="22"/>
          <w14:ligatures w14:val="none"/>
        </w:rPr>
      </w:pPr>
      <w:r w:rsidRPr="00DA59EE">
        <w:rPr>
          <w:rFonts w:ascii="Calibri" w:eastAsia="Times New Roman" w:hAnsi="Calibri" w:cs="Arial"/>
          <w:color w:val="000000"/>
          <w:kern w:val="0"/>
          <w:sz w:val="22"/>
          <w:szCs w:val="22"/>
          <w14:ligatures w14:val="none"/>
        </w:rPr>
        <w:t xml:space="preserve">Offices can use one MPTF project fund in more than one UNDP output as long as each output will be funded by only one MPTFO project ID, and all UNDP outputs thus funded will have the same MPTFO project ID under “MPTF Quantum Project Number,” (or </w:t>
      </w:r>
      <w:r w:rsidRPr="00DA59EE">
        <w:rPr>
          <w:rFonts w:ascii="Calibri" w:eastAsia="Calibri" w:hAnsi="Calibri" w:cs="Times New Roman"/>
          <w:kern w:val="0"/>
          <w:sz w:val="22"/>
          <w:szCs w:val="22"/>
          <w14:ligatures w14:val="none"/>
        </w:rPr>
        <w:t>“MPTF Project Reference Number” field for converted Atlas projects).</w:t>
      </w:r>
    </w:p>
    <w:p w14:paraId="4A541C84" w14:textId="77777777" w:rsidR="00DA59EE" w:rsidRPr="00DA59EE" w:rsidRDefault="00DA59EE" w:rsidP="00DA59EE">
      <w:pPr>
        <w:spacing w:line="259" w:lineRule="auto"/>
        <w:rPr>
          <w:rFonts w:ascii="Calibri" w:eastAsia="Times New Roman" w:hAnsi="Calibri" w:cs="Arial"/>
          <w:color w:val="333333"/>
          <w:kern w:val="0"/>
          <w:sz w:val="22"/>
          <w:szCs w:val="22"/>
          <w14:ligatures w14:val="none"/>
        </w:rPr>
      </w:pPr>
    </w:p>
    <w:p w14:paraId="17D6D5E3" w14:textId="77777777" w:rsidR="00DA59EE" w:rsidRPr="00DA59EE" w:rsidRDefault="00DA59EE" w:rsidP="00DA59EE">
      <w:pPr>
        <w:spacing w:line="259" w:lineRule="auto"/>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t>Correct and Incorrect mapping scenarios in Quantum:</w:t>
      </w:r>
    </w:p>
    <w:p w14:paraId="27D82874" w14:textId="77777777" w:rsidR="00DA59EE" w:rsidRPr="00DA59EE" w:rsidRDefault="00DA59EE" w:rsidP="00DA59EE">
      <w:pPr>
        <w:spacing w:line="259" w:lineRule="auto"/>
        <w:rPr>
          <w:rFonts w:ascii="Calibri" w:eastAsia="Times New Roman" w:hAnsi="Calibri" w:cs="Arial"/>
          <w:bCs/>
          <w:i/>
          <w:iCs/>
          <w:kern w:val="0"/>
          <w:sz w:val="22"/>
          <w:szCs w:val="22"/>
          <w14:ligatures w14:val="none"/>
        </w:rPr>
      </w:pPr>
      <w:bookmarkStart w:id="4" w:name="_Hlk122701320"/>
      <w:r w:rsidRPr="00DA59EE">
        <w:rPr>
          <w:rFonts w:ascii="Calibri" w:eastAsia="Times New Roman" w:hAnsi="Calibri" w:cs="Arial"/>
          <w:bCs/>
          <w:i/>
          <w:iCs/>
          <w:kern w:val="0"/>
          <w:sz w:val="22"/>
          <w:szCs w:val="22"/>
          <w14:ligatures w14:val="none"/>
        </w:rPr>
        <w:t xml:space="preserve">Note: all references to “Userfield1” below should be read as the “MPTF Quantum Project Number” field in Quantum PPM “Financial Project Settings/Additional Information” (or </w:t>
      </w:r>
      <w:r w:rsidRPr="00DA59EE">
        <w:rPr>
          <w:rFonts w:ascii="Calibri" w:eastAsia="Calibri" w:hAnsi="Calibri" w:cs="Times New Roman"/>
          <w:bCs/>
          <w:i/>
          <w:iCs/>
          <w:kern w:val="0"/>
          <w:sz w:val="22"/>
          <w:szCs w:val="22"/>
          <w14:ligatures w14:val="none"/>
        </w:rPr>
        <w:t>“MPTF Project Reference Number” field for converted Atlas projects).</w:t>
      </w:r>
    </w:p>
    <w:bookmarkEnd w:id="4"/>
    <w:p w14:paraId="2A94AC74" w14:textId="77777777" w:rsidR="00DA59EE" w:rsidRPr="00DA59EE" w:rsidRDefault="00DA59EE" w:rsidP="00DA59EE">
      <w:pPr>
        <w:shd w:val="clear" w:color="auto" w:fill="FFFFFF"/>
        <w:spacing w:after="0" w:line="240" w:lineRule="auto"/>
        <w:jc w:val="both"/>
        <w:textAlignment w:val="top"/>
        <w:rPr>
          <w:rFonts w:ascii="Arial" w:eastAsia="Times New Roman" w:hAnsi="Arial" w:cs="Arial"/>
          <w:color w:val="333333"/>
          <w:kern w:val="0"/>
          <w:sz w:val="20"/>
          <w:szCs w:val="20"/>
          <w14:ligatures w14:val="none"/>
        </w:rPr>
      </w:pPr>
    </w:p>
    <w:p w14:paraId="24A8AE77" w14:textId="77777777" w:rsidR="00DA59EE" w:rsidRPr="00DA59EE" w:rsidRDefault="00DA59EE" w:rsidP="00DA59EE">
      <w:pPr>
        <w:shd w:val="clear" w:color="auto" w:fill="FFFFFF"/>
        <w:spacing w:after="0" w:line="240" w:lineRule="auto"/>
        <w:jc w:val="both"/>
        <w:textAlignment w:val="top"/>
        <w:rPr>
          <w:rFonts w:ascii="Arial" w:eastAsia="Times New Roman" w:hAnsi="Arial" w:cs="Arial"/>
          <w:color w:val="333333"/>
          <w:kern w:val="0"/>
          <w:sz w:val="20"/>
          <w:szCs w:val="20"/>
          <w14:ligatures w14:val="none"/>
        </w:rPr>
      </w:pPr>
      <w:r w:rsidRPr="00DA59EE">
        <w:rPr>
          <w:rFonts w:ascii="Calibri" w:eastAsia="Calibri" w:hAnsi="Calibri" w:cs="Times New Roman"/>
          <w:noProof/>
          <w:kern w:val="0"/>
          <w:sz w:val="22"/>
          <w:szCs w:val="22"/>
          <w14:ligatures w14:val="none"/>
        </w:rPr>
        <w:drawing>
          <wp:inline distT="0" distB="0" distL="0" distR="0" wp14:anchorId="421C634F" wp14:editId="561AA67D">
            <wp:extent cx="5943600" cy="47047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04715"/>
                    </a:xfrm>
                    <a:prstGeom prst="rect">
                      <a:avLst/>
                    </a:prstGeom>
                    <a:noFill/>
                    <a:ln>
                      <a:noFill/>
                    </a:ln>
                  </pic:spPr>
                </pic:pic>
              </a:graphicData>
            </a:graphic>
          </wp:inline>
        </w:drawing>
      </w:r>
    </w:p>
    <w:p w14:paraId="7639DA47" w14:textId="77777777" w:rsidR="00DA59EE" w:rsidRPr="00DA59EE" w:rsidRDefault="00DA59EE" w:rsidP="00DA59EE">
      <w:pPr>
        <w:shd w:val="clear" w:color="auto" w:fill="FFFFFF"/>
        <w:spacing w:after="0" w:line="240" w:lineRule="auto"/>
        <w:jc w:val="both"/>
        <w:textAlignment w:val="top"/>
        <w:rPr>
          <w:rFonts w:ascii="Arial" w:eastAsia="Times New Roman" w:hAnsi="Arial" w:cs="Arial"/>
          <w:color w:val="333333"/>
          <w:kern w:val="0"/>
          <w:sz w:val="20"/>
          <w:szCs w:val="20"/>
          <w14:ligatures w14:val="none"/>
        </w:rPr>
      </w:pPr>
    </w:p>
    <w:p w14:paraId="2477C7D6" w14:textId="77777777" w:rsidR="00DA59EE" w:rsidRPr="00DA59EE" w:rsidRDefault="00DA59EE" w:rsidP="00DA59EE">
      <w:pPr>
        <w:shd w:val="clear" w:color="auto" w:fill="FFFFFF"/>
        <w:spacing w:after="0" w:line="240" w:lineRule="auto"/>
        <w:jc w:val="both"/>
        <w:textAlignment w:val="top"/>
        <w:rPr>
          <w:rFonts w:ascii="Arial" w:eastAsia="Times New Roman" w:hAnsi="Arial" w:cs="Arial"/>
          <w:color w:val="333333"/>
          <w:kern w:val="0"/>
          <w:sz w:val="20"/>
          <w:szCs w:val="20"/>
          <w14:ligatures w14:val="none"/>
        </w:rPr>
      </w:pPr>
    </w:p>
    <w:p w14:paraId="223A21E7"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lastRenderedPageBreak/>
        <w:t>Associate outputs with project IDs</w:t>
      </w:r>
    </w:p>
    <w:p w14:paraId="2B33677F"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p>
    <w:p w14:paraId="6E163F09" w14:textId="77777777" w:rsidR="00DA59EE" w:rsidRPr="00DA59EE" w:rsidRDefault="00DA59EE" w:rsidP="00DA59EE">
      <w:pPr>
        <w:numPr>
          <w:ilvl w:val="0"/>
          <w:numId w:val="2"/>
        </w:numPr>
        <w:spacing w:line="240" w:lineRule="auto"/>
        <w:contextualSpacing/>
        <w:rPr>
          <w:rFonts w:ascii="Calibri" w:eastAsia="Times New Roman" w:hAnsi="Calibri" w:cs="Arial"/>
          <w:bCs/>
          <w:i/>
          <w:iCs/>
          <w:kern w:val="0"/>
          <w:sz w:val="22"/>
          <w:szCs w:val="22"/>
          <w14:ligatures w14:val="none"/>
        </w:rPr>
      </w:pPr>
      <w:r w:rsidRPr="00DA59EE">
        <w:rPr>
          <w:rFonts w:ascii="Calibri" w:eastAsia="Times New Roman" w:hAnsi="Calibri" w:cs="Arial"/>
          <w:color w:val="000000"/>
          <w:kern w:val="0"/>
          <w:sz w:val="22"/>
          <w:szCs w:val="22"/>
          <w14:ligatures w14:val="none"/>
        </w:rPr>
        <w:t xml:space="preserve">UNDP outputs (i.e., Work Breakdown Structure (WBS)/Task Level 1) are associated with MPTFO project IDs through the Quantum PPM module </w:t>
      </w:r>
      <w:r w:rsidRPr="00DA59EE">
        <w:rPr>
          <w:rFonts w:ascii="Calibri" w:eastAsia="Times New Roman" w:hAnsi="Calibri" w:cs="Arial"/>
          <w:bCs/>
          <w:kern w:val="0"/>
          <w:sz w:val="22"/>
          <w:szCs w:val="22"/>
          <w14:ligatures w14:val="none"/>
        </w:rPr>
        <w:t xml:space="preserve">“MPTF Quantum Project Number” field in “Financial Project Settings/Additional Information” (or </w:t>
      </w:r>
      <w:r w:rsidRPr="00DA59EE">
        <w:rPr>
          <w:rFonts w:ascii="Calibri" w:eastAsia="Calibri" w:hAnsi="Calibri" w:cs="Times New Roman"/>
          <w:bCs/>
          <w:kern w:val="0"/>
          <w:sz w:val="22"/>
          <w:szCs w:val="22"/>
          <w14:ligatures w14:val="none"/>
        </w:rPr>
        <w:t xml:space="preserve">“MPTF Project Reference Number” field for converted Atlas projects). This </w:t>
      </w:r>
      <w:r w:rsidRPr="00DA59EE">
        <w:rPr>
          <w:rFonts w:ascii="Calibri" w:eastAsia="Times New Roman" w:hAnsi="Calibri" w:cs="Arial"/>
          <w:color w:val="000000"/>
          <w:kern w:val="0"/>
          <w:sz w:val="22"/>
          <w:szCs w:val="22"/>
          <w14:ligatures w14:val="none"/>
        </w:rPr>
        <w:t xml:space="preserve">step is required before any disbursements are made or expenses are incurred to ensure that no financial information is lost. Once a UNDP output with a given MPTFO project ID is entered in the “MPTF Quantum Project Number” field (or “MPTF Project Reference Number” field for converted Atlas projects), the information should not be changed to another MPTFO project ID or removed, even after initial MPTFO funds are </w:t>
      </w:r>
      <w:r w:rsidRPr="00DA59EE">
        <w:rPr>
          <w:rFonts w:ascii="Calibri" w:eastAsia="Times New Roman" w:hAnsi="Calibri" w:cs="Arial"/>
          <w:kern w:val="0"/>
          <w:sz w:val="22"/>
          <w:szCs w:val="22"/>
          <w14:ligatures w14:val="none"/>
        </w:rPr>
        <w:t>completely used. The original MPTFO project ID in these Quantum PPM fields should remain to enable reporting of financial information for past periods.</w:t>
      </w:r>
    </w:p>
    <w:p w14:paraId="667D3C8B" w14:textId="77777777" w:rsidR="00DA59EE" w:rsidRPr="00DA59EE" w:rsidRDefault="00DA59EE" w:rsidP="00DA59EE">
      <w:pPr>
        <w:spacing w:after="0" w:line="240" w:lineRule="auto"/>
        <w:ind w:left="720"/>
        <w:contextualSpacing/>
        <w:jc w:val="both"/>
        <w:textAlignment w:val="top"/>
        <w:rPr>
          <w:rFonts w:ascii="Calibri" w:eastAsia="Times New Roman" w:hAnsi="Calibri" w:cs="Arial"/>
          <w:kern w:val="0"/>
          <w:sz w:val="22"/>
          <w:szCs w:val="22"/>
          <w14:ligatures w14:val="none"/>
        </w:rPr>
      </w:pPr>
    </w:p>
    <w:p w14:paraId="6D889F7F"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The </w:t>
      </w:r>
      <w:r w:rsidRPr="00DA59EE">
        <w:rPr>
          <w:rFonts w:ascii="Calibri" w:eastAsia="Times New Roman" w:hAnsi="Calibri" w:cs="Arial"/>
          <w:color w:val="000000"/>
          <w:kern w:val="0"/>
          <w:sz w:val="22"/>
          <w:szCs w:val="22"/>
          <w14:ligatures w14:val="none"/>
        </w:rPr>
        <w:t xml:space="preserve">“MPTF Quantum Project Number” field (or “MPTF Project Reference Number” field for converted Atlas projects) </w:t>
      </w:r>
      <w:r w:rsidRPr="00DA59EE">
        <w:rPr>
          <w:rFonts w:ascii="Calibri" w:eastAsia="Times New Roman" w:hAnsi="Calibri" w:cs="Arial"/>
          <w:kern w:val="0"/>
          <w:sz w:val="22"/>
          <w:szCs w:val="22"/>
          <w14:ligatures w14:val="none"/>
        </w:rPr>
        <w:t xml:space="preserve">in Quantum PPM module is the only link between UNDP Output ID and MPTFO Project ID. Without this association in Quantum, financial information to MPTFO will be unreported, incorrect and incomplete. Country offices must make this association at the time of creating </w:t>
      </w:r>
      <w:proofErr w:type="gramStart"/>
      <w:r w:rsidRPr="00DA59EE">
        <w:rPr>
          <w:rFonts w:ascii="Calibri" w:eastAsia="Times New Roman" w:hAnsi="Calibri" w:cs="Arial"/>
          <w:kern w:val="0"/>
          <w:sz w:val="22"/>
          <w:szCs w:val="22"/>
          <w14:ligatures w14:val="none"/>
        </w:rPr>
        <w:t>the</w:t>
      </w:r>
      <w:proofErr w:type="gramEnd"/>
      <w:r w:rsidRPr="00DA59EE">
        <w:rPr>
          <w:rFonts w:ascii="Calibri" w:eastAsia="Times New Roman" w:hAnsi="Calibri" w:cs="Arial"/>
          <w:kern w:val="0"/>
          <w:sz w:val="22"/>
          <w:szCs w:val="22"/>
          <w14:ligatures w14:val="none"/>
        </w:rPr>
        <w:t xml:space="preserve"> chart of accounts for the UNDP outputs in Quantum PPM, to ensure no financial information is lost. No </w:t>
      </w:r>
      <w:proofErr w:type="gramStart"/>
      <w:r w:rsidRPr="00DA59EE">
        <w:rPr>
          <w:rFonts w:ascii="Calibri" w:eastAsia="Times New Roman" w:hAnsi="Calibri" w:cs="Arial"/>
          <w:kern w:val="0"/>
          <w:sz w:val="22"/>
          <w:szCs w:val="22"/>
          <w14:ligatures w14:val="none"/>
        </w:rPr>
        <w:t>revenues</w:t>
      </w:r>
      <w:proofErr w:type="gramEnd"/>
      <w:r w:rsidRPr="00DA59EE">
        <w:rPr>
          <w:rFonts w:ascii="Calibri" w:eastAsia="Times New Roman" w:hAnsi="Calibri" w:cs="Arial"/>
          <w:kern w:val="0"/>
          <w:sz w:val="22"/>
          <w:szCs w:val="22"/>
          <w14:ligatures w14:val="none"/>
        </w:rPr>
        <w:t xml:space="preserve"> should be recognized, nor should disbursements or expenses be incurred before setting up the above association.</w:t>
      </w:r>
    </w:p>
    <w:p w14:paraId="2D5BC6C5"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34E54251"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t>Record revenue</w:t>
      </w:r>
    </w:p>
    <w:p w14:paraId="5A2DF398"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2FE6E3B7"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The BMS/Global Shared Service Center will set up the receivables in Quantum contract module equal to the allocation from the MPTF or JP governance mechanisms. Funds received from the MDTF or JP through MPTFO are accounted for under IPSAS. Revenue will be applied after the project ID is entered in the </w:t>
      </w:r>
      <w:r w:rsidRPr="00DA59EE">
        <w:rPr>
          <w:rFonts w:ascii="Calibri" w:eastAsia="Times New Roman" w:hAnsi="Calibri" w:cs="Arial"/>
          <w:color w:val="000000"/>
          <w:kern w:val="0"/>
          <w:sz w:val="22"/>
          <w:szCs w:val="22"/>
          <w14:ligatures w14:val="none"/>
        </w:rPr>
        <w:t xml:space="preserve">“MPTF Quantum Project Number” field (or “MPTF Project Reference Number” field for converted Atlas projects) in Quantum PPM. </w:t>
      </w:r>
      <w:r w:rsidRPr="00DA59EE">
        <w:rPr>
          <w:rFonts w:ascii="Calibri" w:eastAsia="Times New Roman" w:hAnsi="Calibri" w:cs="Arial"/>
          <w:kern w:val="0"/>
          <w:sz w:val="22"/>
          <w:szCs w:val="22"/>
          <w14:ligatures w14:val="none"/>
        </w:rPr>
        <w:t>Subsequent tranches will be similarly applied.</w:t>
      </w:r>
    </w:p>
    <w:p w14:paraId="47BAA09F" w14:textId="77777777" w:rsidR="00DA59EE" w:rsidRPr="00DA59EE" w:rsidRDefault="00DA59EE" w:rsidP="00DA59EE">
      <w:pPr>
        <w:spacing w:after="0" w:line="240" w:lineRule="auto"/>
        <w:ind w:left="720"/>
        <w:contextualSpacing/>
        <w:jc w:val="both"/>
        <w:textAlignment w:val="top"/>
        <w:rPr>
          <w:rFonts w:ascii="Calibri" w:eastAsia="Times New Roman" w:hAnsi="Calibri" w:cs="Arial"/>
          <w:kern w:val="0"/>
          <w:sz w:val="22"/>
          <w:szCs w:val="22"/>
          <w14:ligatures w14:val="none"/>
        </w:rPr>
      </w:pPr>
    </w:p>
    <w:p w14:paraId="5DB0D5FE"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Subsequent tranches of revenue received from MPTFO for the same MDTF1 project are recorded to the original UNDP output (</w:t>
      </w:r>
      <w:r w:rsidRPr="00DA59EE">
        <w:rPr>
          <w:rFonts w:ascii="Calibri" w:eastAsia="Times New Roman" w:hAnsi="Calibri" w:cs="Arial"/>
          <w:color w:val="000000"/>
          <w:kern w:val="0"/>
          <w:sz w:val="22"/>
          <w:szCs w:val="22"/>
          <w14:ligatures w14:val="none"/>
        </w:rPr>
        <w:t xml:space="preserve">i.e., Work Breakdown Structure/Task Level 1) </w:t>
      </w:r>
      <w:r w:rsidRPr="00DA59EE">
        <w:rPr>
          <w:rFonts w:ascii="Calibri" w:eastAsia="Times New Roman" w:hAnsi="Calibri" w:cs="Arial"/>
          <w:kern w:val="0"/>
          <w:sz w:val="22"/>
          <w:szCs w:val="22"/>
          <w14:ligatures w14:val="none"/>
        </w:rPr>
        <w:t xml:space="preserve">in Quantum. There is no need to set up new UNDP projects for these tranches. Transfer of revenue to other outputs within the CO or HQ Business Unit should be avoided. If necessary for programmatic purposes, the transfer must adhere to the following: </w:t>
      </w:r>
    </w:p>
    <w:p w14:paraId="640E5021" w14:textId="77777777" w:rsidR="00DA59EE" w:rsidRPr="00DA59EE" w:rsidRDefault="00DA59EE" w:rsidP="00DA59EE">
      <w:pPr>
        <w:shd w:val="clear" w:color="auto" w:fill="FFFFFF"/>
        <w:tabs>
          <w:tab w:val="left" w:pos="720"/>
        </w:tabs>
        <w:spacing w:after="0" w:line="240" w:lineRule="auto"/>
        <w:jc w:val="both"/>
        <w:textAlignment w:val="top"/>
        <w:rPr>
          <w:rFonts w:ascii="Calibri" w:eastAsia="Times New Roman" w:hAnsi="Calibri" w:cs="Arial"/>
          <w:color w:val="333333"/>
          <w:kern w:val="0"/>
          <w:sz w:val="22"/>
          <w:szCs w:val="22"/>
          <w14:ligatures w14:val="none"/>
        </w:rPr>
      </w:pPr>
    </w:p>
    <w:p w14:paraId="1425008C" w14:textId="77777777" w:rsidR="00DA59EE" w:rsidRPr="00DA59EE" w:rsidRDefault="00DA59EE" w:rsidP="00DA59EE">
      <w:pPr>
        <w:numPr>
          <w:ilvl w:val="0"/>
          <w:numId w:val="5"/>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The transferring output and the receiving output must have the same MPTFO Project ID recorded in the </w:t>
      </w:r>
      <w:r w:rsidRPr="00DA59EE">
        <w:rPr>
          <w:rFonts w:ascii="Calibri" w:eastAsia="Times New Roman" w:hAnsi="Calibri" w:cs="Arial"/>
          <w:color w:val="000000"/>
          <w:kern w:val="0"/>
          <w:sz w:val="22"/>
          <w:szCs w:val="22"/>
          <w14:ligatures w14:val="none"/>
        </w:rPr>
        <w:t>“MPTF Quantum Project Number” field (or “MPTF Project Reference Number” field for converted Atlas projects).</w:t>
      </w:r>
    </w:p>
    <w:p w14:paraId="6A92A651" w14:textId="77777777" w:rsidR="00DA59EE" w:rsidRPr="00DA59EE" w:rsidRDefault="00DA59EE" w:rsidP="00DA59EE">
      <w:pPr>
        <w:numPr>
          <w:ilvl w:val="0"/>
          <w:numId w:val="5"/>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Transfer to/from – Fund/Donor account (51035) should be used and must appear on both sides of the accounting entry (debiting the old project and crediting the new project). Net effect of the entry will be </w:t>
      </w:r>
      <w:proofErr w:type="gramStart"/>
      <w:r w:rsidRPr="00DA59EE">
        <w:rPr>
          <w:rFonts w:ascii="Calibri" w:eastAsia="Times New Roman" w:hAnsi="Calibri" w:cs="Arial"/>
          <w:kern w:val="0"/>
          <w:sz w:val="22"/>
          <w:szCs w:val="22"/>
          <w14:ligatures w14:val="none"/>
        </w:rPr>
        <w:t>nil</w:t>
      </w:r>
      <w:proofErr w:type="gramEnd"/>
      <w:r w:rsidRPr="00DA59EE">
        <w:rPr>
          <w:rFonts w:ascii="Calibri" w:eastAsia="Times New Roman" w:hAnsi="Calibri" w:cs="Arial"/>
          <w:kern w:val="0"/>
          <w:sz w:val="22"/>
          <w:szCs w:val="22"/>
          <w14:ligatures w14:val="none"/>
        </w:rPr>
        <w:t>.</w:t>
      </w:r>
    </w:p>
    <w:p w14:paraId="170358C1" w14:textId="77777777" w:rsidR="00DA59EE" w:rsidRPr="00DA59EE" w:rsidRDefault="00DA59EE" w:rsidP="00DA59EE">
      <w:pPr>
        <w:numPr>
          <w:ilvl w:val="0"/>
          <w:numId w:val="5"/>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Subsequent tranches of revenue received from MPTFO for the same MPTF project are recorded to the original UNDP output. There is no need to set up new UNDP projects for these tranches.</w:t>
      </w:r>
    </w:p>
    <w:p w14:paraId="7670AA18" w14:textId="77777777" w:rsidR="00DA59EE" w:rsidRPr="00DA59EE" w:rsidRDefault="00DA59EE" w:rsidP="00DA59EE">
      <w:pPr>
        <w:shd w:val="clear" w:color="auto" w:fill="FFFFFF"/>
        <w:tabs>
          <w:tab w:val="left" w:pos="720"/>
        </w:tabs>
        <w:spacing w:after="0" w:line="240" w:lineRule="auto"/>
        <w:jc w:val="both"/>
        <w:textAlignment w:val="top"/>
        <w:rPr>
          <w:rFonts w:ascii="Calibri" w:eastAsia="Times New Roman" w:hAnsi="Calibri" w:cs="Arial"/>
          <w:color w:val="333333"/>
          <w:kern w:val="0"/>
          <w:sz w:val="22"/>
          <w:szCs w:val="22"/>
          <w14:ligatures w14:val="none"/>
        </w:rPr>
      </w:pPr>
    </w:p>
    <w:p w14:paraId="5B3A4D95" w14:textId="77777777" w:rsidR="00DA59EE" w:rsidRPr="00DA59EE" w:rsidRDefault="00DA59EE" w:rsidP="00DA59EE">
      <w:pPr>
        <w:numPr>
          <w:ilvl w:val="0"/>
          <w:numId w:val="2"/>
        </w:numPr>
        <w:spacing w:after="0" w:line="240" w:lineRule="auto"/>
        <w:contextualSpacing/>
        <w:jc w:val="both"/>
        <w:textAlignment w:val="top"/>
        <w:rPr>
          <w:rFonts w:ascii="Calibri" w:eastAsia="Times New Roman" w:hAnsi="Calibri" w:cs="Arial"/>
          <w:color w:val="000000"/>
          <w:kern w:val="0"/>
          <w:sz w:val="22"/>
          <w:szCs w:val="22"/>
          <w14:ligatures w14:val="none"/>
        </w:rPr>
      </w:pPr>
      <w:r w:rsidRPr="00DA59EE">
        <w:rPr>
          <w:rFonts w:ascii="Calibri" w:eastAsia="Times New Roman" w:hAnsi="Calibri" w:cs="Arial"/>
          <w:color w:val="000000"/>
          <w:kern w:val="0"/>
          <w:sz w:val="22"/>
          <w:szCs w:val="22"/>
          <w14:ligatures w14:val="none"/>
        </w:rPr>
        <w:lastRenderedPageBreak/>
        <w:t xml:space="preserve">If transfers are required from one MPTFO project ID to another, based on a project steering committee decision, MPTFO or the AA (if it is not MPTFO) should be consulted. The funds must be returned to MPTFO to manage the change in allocation. </w:t>
      </w:r>
    </w:p>
    <w:p w14:paraId="66BF3880" w14:textId="77777777" w:rsidR="00DA59EE" w:rsidRPr="00DA59EE" w:rsidRDefault="00DA59EE" w:rsidP="00DA59EE">
      <w:pPr>
        <w:spacing w:after="0" w:line="240" w:lineRule="auto"/>
        <w:ind w:left="720"/>
        <w:contextualSpacing/>
        <w:jc w:val="both"/>
        <w:textAlignment w:val="top"/>
        <w:rPr>
          <w:rFonts w:ascii="Calibri" w:eastAsia="Times New Roman" w:hAnsi="Calibri" w:cs="Arial"/>
          <w:color w:val="000000"/>
          <w:kern w:val="0"/>
          <w:sz w:val="22"/>
          <w:szCs w:val="22"/>
          <w14:ligatures w14:val="none"/>
        </w:rPr>
      </w:pPr>
    </w:p>
    <w:p w14:paraId="50E76B81"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Offices should not use MPTF donor codes with non-trust fund resources (see the </w:t>
      </w:r>
      <w:hyperlink r:id="rId15" w:history="1">
        <w:r w:rsidRPr="00DA59EE">
          <w:rPr>
            <w:rFonts w:ascii="Calibri" w:eastAsia="Times New Roman" w:hAnsi="Calibri" w:cs="Arial"/>
            <w:kern w:val="0"/>
            <w:sz w:val="22"/>
            <w:szCs w:val="22"/>
            <w:u w:val="single"/>
            <w14:ligatures w14:val="none"/>
          </w:rPr>
          <w:t>list of current donor codes</w:t>
        </w:r>
      </w:hyperlink>
      <w:r w:rsidRPr="00DA59EE">
        <w:rPr>
          <w:rFonts w:ascii="Calibri" w:eastAsia="Times New Roman" w:hAnsi="Calibri" w:cs="Arial"/>
          <w:kern w:val="0"/>
          <w:sz w:val="22"/>
          <w:szCs w:val="22"/>
          <w14:ligatures w14:val="none"/>
        </w:rPr>
        <w:t xml:space="preserve">) or comingle funds from two project IDs in one UNDP output using one donor code. </w:t>
      </w:r>
    </w:p>
    <w:p w14:paraId="1515C384" w14:textId="77777777" w:rsidR="00DA59EE" w:rsidRPr="00DA59EE" w:rsidRDefault="00DA59EE" w:rsidP="000428B2">
      <w:pPr>
        <w:shd w:val="clear" w:color="auto" w:fill="FFFFFF"/>
        <w:tabs>
          <w:tab w:val="left" w:pos="720"/>
        </w:tabs>
        <w:spacing w:after="0" w:line="240" w:lineRule="auto"/>
        <w:jc w:val="both"/>
        <w:textAlignment w:val="top"/>
        <w:rPr>
          <w:rFonts w:ascii="Calibri" w:eastAsia="Times New Roman" w:hAnsi="Calibri" w:cs="Arial"/>
          <w:color w:val="333333"/>
          <w:kern w:val="0"/>
          <w:sz w:val="22"/>
          <w:szCs w:val="22"/>
          <w14:ligatures w14:val="none"/>
        </w:rPr>
      </w:pPr>
    </w:p>
    <w:p w14:paraId="7EFA50C7" w14:textId="77777777" w:rsidR="00DA59EE" w:rsidRPr="00DA59EE" w:rsidRDefault="00DA59EE" w:rsidP="00DA59EE">
      <w:pPr>
        <w:shd w:val="clear" w:color="auto" w:fill="FFFFFF"/>
        <w:tabs>
          <w:tab w:val="left" w:pos="720"/>
        </w:tabs>
        <w:spacing w:after="0" w:line="240" w:lineRule="auto"/>
        <w:ind w:left="720" w:hanging="360"/>
        <w:jc w:val="both"/>
        <w:textAlignment w:val="top"/>
        <w:rPr>
          <w:rFonts w:ascii="Calibri" w:eastAsia="Times New Roman" w:hAnsi="Calibri" w:cs="Arial"/>
          <w:b/>
          <w:color w:val="333333"/>
          <w:kern w:val="0"/>
          <w:sz w:val="22"/>
          <w:szCs w:val="22"/>
          <w14:ligatures w14:val="none"/>
        </w:rPr>
      </w:pPr>
      <w:r w:rsidRPr="00DA59EE">
        <w:rPr>
          <w:rFonts w:ascii="Calibri" w:eastAsia="Times New Roman" w:hAnsi="Calibri" w:cs="Arial"/>
          <w:b/>
          <w:color w:val="333333"/>
          <w:kern w:val="0"/>
          <w:sz w:val="22"/>
          <w:szCs w:val="22"/>
          <w14:ligatures w14:val="none"/>
        </w:rPr>
        <w:t xml:space="preserve">Comingling of Revenue </w:t>
      </w:r>
    </w:p>
    <w:p w14:paraId="63F9DA7A" w14:textId="77777777" w:rsidR="00DA59EE" w:rsidRPr="00DA59EE" w:rsidRDefault="00DA59EE" w:rsidP="00DA59EE">
      <w:pPr>
        <w:shd w:val="clear" w:color="auto" w:fill="FFFFFF"/>
        <w:tabs>
          <w:tab w:val="left" w:pos="720"/>
        </w:tabs>
        <w:spacing w:after="0" w:line="240" w:lineRule="auto"/>
        <w:ind w:left="720" w:hanging="360"/>
        <w:jc w:val="both"/>
        <w:textAlignment w:val="top"/>
        <w:rPr>
          <w:rFonts w:ascii="Calibri" w:eastAsia="Times New Roman" w:hAnsi="Calibri" w:cs="Arial"/>
          <w:b/>
          <w:color w:val="333333"/>
          <w:kern w:val="0"/>
          <w:sz w:val="22"/>
          <w:szCs w:val="22"/>
          <w14:ligatures w14:val="none"/>
        </w:rPr>
      </w:pPr>
    </w:p>
    <w:p w14:paraId="033F61A7"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Offices should not comingle/ associate revenue of non-MPTF funds with MPTF donor codes.  Offices are not allowed to comingle funds from two different MPTFs/projects in one UNDP output (</w:t>
      </w:r>
      <w:r w:rsidRPr="00DA59EE">
        <w:rPr>
          <w:rFonts w:ascii="Calibri" w:eastAsia="Times New Roman" w:hAnsi="Calibri" w:cs="Arial"/>
          <w:color w:val="000000"/>
          <w:kern w:val="0"/>
          <w:sz w:val="22"/>
          <w:szCs w:val="22"/>
          <w14:ligatures w14:val="none"/>
        </w:rPr>
        <w:t xml:space="preserve">i.e., Work Breakdown Structure/Task Level 1) </w:t>
      </w:r>
      <w:r w:rsidRPr="00DA59EE">
        <w:rPr>
          <w:rFonts w:ascii="Calibri" w:eastAsia="Times New Roman" w:hAnsi="Calibri" w:cs="Arial"/>
          <w:kern w:val="0"/>
          <w:sz w:val="22"/>
          <w:szCs w:val="22"/>
          <w14:ligatures w14:val="none"/>
        </w:rPr>
        <w:t>in Quantum</w:t>
      </w:r>
      <w:r w:rsidRPr="00DA59EE">
        <w:rPr>
          <w:rFonts w:ascii="Calibri" w:eastAsia="Times New Roman" w:hAnsi="Calibri" w:cs="Arial"/>
          <w:color w:val="000000"/>
          <w:kern w:val="0"/>
          <w:sz w:val="22"/>
          <w:szCs w:val="22"/>
          <w14:ligatures w14:val="none"/>
        </w:rPr>
        <w:t xml:space="preserve"> </w:t>
      </w:r>
      <w:r w:rsidRPr="00DA59EE">
        <w:rPr>
          <w:rFonts w:ascii="Calibri" w:eastAsia="Times New Roman" w:hAnsi="Calibri" w:cs="Arial"/>
          <w:kern w:val="0"/>
          <w:sz w:val="22"/>
          <w:szCs w:val="22"/>
          <w14:ligatures w14:val="none"/>
        </w:rPr>
        <w:t>using one MPTF donor code.</w:t>
      </w:r>
    </w:p>
    <w:p w14:paraId="3191E34A"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44C95A63"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Offices should not associate other revenue accounts with MPTF donor codes (like donations, interest earnings, residual balances on completed projects) using GLJEs at their level. The only valid revenue accounts that can be used with MPTF donor codes are:</w:t>
      </w:r>
    </w:p>
    <w:p w14:paraId="7B9D63E6"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600E69E3" w14:textId="77777777" w:rsidR="00DA59EE" w:rsidRPr="00DA59EE" w:rsidRDefault="00DA59EE" w:rsidP="00DA59EE">
      <w:pPr>
        <w:numPr>
          <w:ilvl w:val="0"/>
          <w:numId w:val="6"/>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51005 </w:t>
      </w:r>
      <w:proofErr w:type="gramStart"/>
      <w:r w:rsidRPr="00DA59EE">
        <w:rPr>
          <w:rFonts w:ascii="Calibri" w:eastAsia="Times New Roman" w:hAnsi="Calibri" w:cs="Arial"/>
          <w:kern w:val="0"/>
          <w:sz w:val="22"/>
          <w:szCs w:val="22"/>
          <w14:ligatures w14:val="none"/>
        </w:rPr>
        <w:t>( contributions</w:t>
      </w:r>
      <w:proofErr w:type="gramEnd"/>
      <w:r w:rsidRPr="00DA59EE">
        <w:rPr>
          <w:rFonts w:ascii="Calibri" w:eastAsia="Times New Roman" w:hAnsi="Calibri" w:cs="Arial"/>
          <w:kern w:val="0"/>
          <w:sz w:val="22"/>
          <w:szCs w:val="22"/>
          <w14:ligatures w14:val="none"/>
        </w:rPr>
        <w:t xml:space="preserve"> applied by BMS/GSSC</w:t>
      </w:r>
      <w:proofErr w:type="gramStart"/>
      <w:r w:rsidRPr="00DA59EE">
        <w:rPr>
          <w:rFonts w:ascii="Calibri" w:eastAsia="Times New Roman" w:hAnsi="Calibri" w:cs="Arial"/>
          <w:kern w:val="0"/>
          <w:sz w:val="22"/>
          <w:szCs w:val="22"/>
          <w14:ligatures w14:val="none"/>
        </w:rPr>
        <w:t>) ,</w:t>
      </w:r>
      <w:proofErr w:type="gramEnd"/>
      <w:r w:rsidRPr="00DA59EE">
        <w:rPr>
          <w:rFonts w:ascii="Calibri" w:eastAsia="Times New Roman" w:hAnsi="Calibri" w:cs="Arial"/>
          <w:kern w:val="0"/>
          <w:sz w:val="22"/>
          <w:szCs w:val="22"/>
          <w14:ligatures w14:val="none"/>
        </w:rPr>
        <w:t xml:space="preserve"> </w:t>
      </w:r>
    </w:p>
    <w:p w14:paraId="240102B5" w14:textId="77777777" w:rsidR="00DA59EE" w:rsidRPr="00DA59EE" w:rsidRDefault="00DA59EE" w:rsidP="00DA59EE">
      <w:pPr>
        <w:numPr>
          <w:ilvl w:val="0"/>
          <w:numId w:val="6"/>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51040 (refunds to MPTFO) when transferring balances to 21030, and </w:t>
      </w:r>
    </w:p>
    <w:p w14:paraId="55D19A0B" w14:textId="77777777" w:rsidR="00DA59EE" w:rsidRPr="00DA59EE" w:rsidRDefault="00DA59EE" w:rsidP="00DA59EE">
      <w:pPr>
        <w:numPr>
          <w:ilvl w:val="0"/>
          <w:numId w:val="6"/>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51035 (transfers) while transferring resources between outputs. The transferring output and the receiving output must have the same MPTF Project ID in the “MPTF Quantum Project Number” field (or “MPTF Project Reference Number” field for converted Atlas projects).</w:t>
      </w:r>
    </w:p>
    <w:p w14:paraId="650F6BFD"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333333"/>
          <w:kern w:val="0"/>
          <w:sz w:val="22"/>
          <w:szCs w:val="22"/>
          <w14:ligatures w14:val="none"/>
        </w:rPr>
      </w:pPr>
    </w:p>
    <w:p w14:paraId="1BAEBA81"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proofErr w:type="gramStart"/>
      <w:r w:rsidRPr="00DA59EE">
        <w:rPr>
          <w:rFonts w:ascii="Calibri" w:eastAsia="Times New Roman" w:hAnsi="Calibri" w:cs="Arial"/>
          <w:b/>
          <w:kern w:val="0"/>
          <w:sz w:val="22"/>
          <w:szCs w:val="22"/>
          <w14:ligatures w14:val="none"/>
        </w:rPr>
        <w:t>Seek</w:t>
      </w:r>
      <w:proofErr w:type="gramEnd"/>
      <w:r w:rsidRPr="00DA59EE">
        <w:rPr>
          <w:rFonts w:ascii="Calibri" w:eastAsia="Times New Roman" w:hAnsi="Calibri" w:cs="Arial"/>
          <w:b/>
          <w:kern w:val="0"/>
          <w:sz w:val="22"/>
          <w:szCs w:val="22"/>
          <w14:ligatures w14:val="none"/>
        </w:rPr>
        <w:t xml:space="preserve"> appropriate authority for cash transfers to other agencies</w:t>
      </w:r>
    </w:p>
    <w:p w14:paraId="1935A86E"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3A8B34F7"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Offices have no authority to transfer cash received from MPTFO to other UN agencies directly. Any change in allocation must be approved by the project steering committee and refunded back to the administrative agent, typically </w:t>
      </w:r>
      <w:proofErr w:type="gramStart"/>
      <w:r w:rsidRPr="00DA59EE">
        <w:rPr>
          <w:rFonts w:ascii="Calibri" w:eastAsia="Times New Roman" w:hAnsi="Calibri" w:cs="Arial"/>
          <w:kern w:val="0"/>
          <w:sz w:val="22"/>
          <w:szCs w:val="22"/>
          <w14:ligatures w14:val="none"/>
        </w:rPr>
        <w:t>the MPTFO</w:t>
      </w:r>
      <w:proofErr w:type="gramEnd"/>
      <w:r w:rsidRPr="00DA59EE">
        <w:rPr>
          <w:rFonts w:ascii="Calibri" w:eastAsia="Times New Roman" w:hAnsi="Calibri" w:cs="Arial"/>
          <w:kern w:val="0"/>
          <w:sz w:val="22"/>
          <w:szCs w:val="22"/>
          <w14:ligatures w14:val="none"/>
        </w:rPr>
        <w:t>.</w:t>
      </w:r>
    </w:p>
    <w:p w14:paraId="097BB9A1"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6A8D1D6B"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t>Apply the correct expense accounts</w:t>
      </w:r>
    </w:p>
    <w:p w14:paraId="42AE7A19"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3A8EDDF6"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Account 51035 should not be used to transfer expenses from one UNDP MPTFO output to another. If such transfers are required, expense accounts (7xxxx) should be used on both sides of the accounting entries. If such transfers are undertaken between two fiscal years, BMS/OFM/CFRA should be consulted as this would result in ‘prior period’ expenses impacting financial statements and reporting.</w:t>
      </w:r>
    </w:p>
    <w:p w14:paraId="15E5E7C8"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2FF9AD16"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Offices should not use 7xxxx expenses accounts on accounts payable vouchers while refunding a remaining balance to MPTFO as this will overstate actual expenses and may result in deficits against trust fund project ‘funded amounts.’</w:t>
      </w:r>
    </w:p>
    <w:p w14:paraId="1871FF22"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333333"/>
          <w:kern w:val="0"/>
          <w:sz w:val="22"/>
          <w:szCs w:val="22"/>
          <w14:ligatures w14:val="none"/>
        </w:rPr>
      </w:pPr>
    </w:p>
    <w:p w14:paraId="68558288"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t>Refunds to MPTFO (or other AA if not MPTFO)</w:t>
      </w:r>
    </w:p>
    <w:p w14:paraId="337D8AAD"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4A906B11" w14:textId="40899BBD" w:rsidR="00DA59EE" w:rsidRPr="009070DE" w:rsidRDefault="00DA59EE" w:rsidP="000428B2">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Prior to financial closure of the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any remaining revenue balance should be returned to the AA. Project closure and refund procedures should be followed. Residual balances of $250 or less per MPTFO project do not need to be refunded.</w:t>
      </w:r>
    </w:p>
    <w:p w14:paraId="216857E6"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lastRenderedPageBreak/>
        <w:t xml:space="preserve">Refunds to MPTFO with residual balances of more than $ 250 “per MPTFO project” should be first transferred out by debiting account code 51040 (refunds to donors) and crediting to account 21030 (pending refunds to donors) using the respective MPTF donor codes and output IDs. Account 21030 should not be used as a parking place. Refunds to MPTFO should be made “in cash” using account code 21030 in the AP voucher. Until cash refund is received by MPTFO and applied against the corresponding MPTF project, the MPTFO Gateway will not reflect the refund amounts. Country Offices should provide the related MPTF project ID for each refund so that it is reflected correctly on the Gateway. </w:t>
      </w:r>
    </w:p>
    <w:p w14:paraId="3B00DB89"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2AF2ED77"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The refund should be processed using the MPTFO vendor ID set up under UNDP1 Business Unit (UNDP1 vendor ID 17911). For Peace Building Fund, UNDP1 vendor ID 24571 should be used.  </w:t>
      </w:r>
    </w:p>
    <w:p w14:paraId="448CA7C7"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630D43F3"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b/>
          <w:kern w:val="0"/>
          <w:sz w:val="22"/>
          <w:szCs w:val="22"/>
          <w14:ligatures w14:val="none"/>
        </w:rPr>
      </w:pPr>
      <w:r w:rsidRPr="00DA59EE">
        <w:rPr>
          <w:rFonts w:ascii="Calibri" w:eastAsia="Times New Roman" w:hAnsi="Calibri" w:cs="Arial"/>
          <w:b/>
          <w:kern w:val="0"/>
          <w:sz w:val="22"/>
          <w:szCs w:val="22"/>
          <w14:ligatures w14:val="none"/>
        </w:rPr>
        <w:t>Close the project</w:t>
      </w:r>
    </w:p>
    <w:p w14:paraId="0EF4A622"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5A962C8F"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If the MPTF activities have been completed, and if the UNDP output is only funded by one MPTF project ID on a one-to-one basis (as explained in the above mapping section), UNDP offices should refund amounts to MPTFO, subject to the thresholds described above in the refund section and the project’s balance reported in Gateway must be equal to UNDP GL balance, and close the projects financially following normal </w:t>
      </w:r>
      <w:hyperlink r:id="rId16" w:history="1">
        <w:r w:rsidRPr="00DA59EE">
          <w:rPr>
            <w:rFonts w:ascii="Calibri" w:eastAsia="Calibri" w:hAnsi="Calibri" w:cs="Times New Roman"/>
            <w:kern w:val="0"/>
            <w:sz w:val="22"/>
            <w:szCs w:val="22"/>
            <w:u w:val="single"/>
            <w14:ligatures w14:val="none"/>
          </w:rPr>
          <w:t>project close and transition guidelines</w:t>
        </w:r>
      </w:hyperlink>
      <w:r w:rsidRPr="00DA59EE">
        <w:rPr>
          <w:rFonts w:ascii="Calibri" w:eastAsia="Times New Roman" w:hAnsi="Calibri" w:cs="Arial"/>
          <w:kern w:val="0"/>
          <w:sz w:val="22"/>
          <w:szCs w:val="22"/>
          <w14:ligatures w14:val="none"/>
        </w:rPr>
        <w:t xml:space="preserve">. </w:t>
      </w:r>
    </w:p>
    <w:p w14:paraId="4E384B5B"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60AFC0FE"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If the MPTF-funded activities have </w:t>
      </w:r>
      <w:proofErr w:type="gramStart"/>
      <w:r w:rsidRPr="00DA59EE">
        <w:rPr>
          <w:rFonts w:ascii="Calibri" w:eastAsia="Times New Roman" w:hAnsi="Calibri" w:cs="Arial"/>
          <w:kern w:val="0"/>
          <w:sz w:val="22"/>
          <w:szCs w:val="22"/>
          <w14:ligatures w14:val="none"/>
        </w:rPr>
        <w:t>completed</w:t>
      </w:r>
      <w:proofErr w:type="gramEnd"/>
      <w:r w:rsidRPr="00DA59EE">
        <w:rPr>
          <w:rFonts w:ascii="Calibri" w:eastAsia="Times New Roman" w:hAnsi="Calibri" w:cs="Arial"/>
          <w:kern w:val="0"/>
          <w:sz w:val="22"/>
          <w:szCs w:val="22"/>
          <w14:ligatures w14:val="none"/>
        </w:rPr>
        <w:t xml:space="preserve"> and the output has been co-funded by other non-MPTF donor funds, whose activities are still ongoing, the UNDP office should complete the project completion checklist for the MPTFO donor alone, obtain approval of the BMS/OFM Chief of Accounts, and make the refund.</w:t>
      </w:r>
    </w:p>
    <w:p w14:paraId="518BAF6E"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76D60306"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w:t>
      </w:r>
      <w:r w:rsidRPr="00DA59EE">
        <w:rPr>
          <w:rFonts w:ascii="Calibri" w:eastAsia="Times New Roman" w:hAnsi="Calibri" w:cs="Arial"/>
          <w:b/>
          <w:bCs/>
          <w:kern w:val="0"/>
          <w:sz w:val="22"/>
          <w:szCs w:val="22"/>
          <w14:ligatures w14:val="none"/>
        </w:rPr>
        <w:t>Agreements</w:t>
      </w:r>
    </w:p>
    <w:p w14:paraId="0B3EE4E2"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333333"/>
          <w:kern w:val="0"/>
          <w:sz w:val="22"/>
          <w:szCs w:val="22"/>
          <w14:ligatures w14:val="none"/>
        </w:rPr>
      </w:pPr>
    </w:p>
    <w:p w14:paraId="06DF7491"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A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document is formulated and signed by all participating organizations and national partners.</w:t>
      </w:r>
    </w:p>
    <w:p w14:paraId="45879693"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7DA84C35"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For pass-through arrangements, a standard memorandum of understanding is agreed by PUNOs and the AA. This is signed by the MPTFO as AA and the head of the participating UNDP office. This agreement serves as UNDP’s co-financing agreement for the portion of the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it is implementing. For an MPTF, this is based on approved allocation and not a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xml:space="preserve"> document.</w:t>
      </w:r>
    </w:p>
    <w:p w14:paraId="3C80800B"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28BD0A54"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The donor and the AA </w:t>
      </w:r>
      <w:proofErr w:type="gramStart"/>
      <w:r w:rsidRPr="00DA59EE">
        <w:rPr>
          <w:rFonts w:ascii="Calibri" w:eastAsia="Times New Roman" w:hAnsi="Calibri" w:cs="Arial"/>
          <w:kern w:val="0"/>
          <w:sz w:val="22"/>
          <w:szCs w:val="22"/>
          <w14:ligatures w14:val="none"/>
        </w:rPr>
        <w:t>enter into</w:t>
      </w:r>
      <w:proofErr w:type="gramEnd"/>
      <w:r w:rsidRPr="00DA59EE">
        <w:rPr>
          <w:rFonts w:ascii="Calibri" w:eastAsia="Times New Roman" w:hAnsi="Calibri" w:cs="Arial"/>
          <w:kern w:val="0"/>
          <w:sz w:val="22"/>
          <w:szCs w:val="22"/>
          <w14:ligatures w14:val="none"/>
        </w:rPr>
        <w:t xml:space="preserve"> a Standard Administrative Arrangement (SAA, previously called Letter of Agreement). For contributions from the European Commission, </w:t>
      </w:r>
      <w:proofErr w:type="gramStart"/>
      <w:r w:rsidRPr="00DA59EE">
        <w:rPr>
          <w:rFonts w:ascii="Calibri" w:eastAsia="Times New Roman" w:hAnsi="Calibri" w:cs="Arial"/>
          <w:kern w:val="0"/>
          <w:sz w:val="22"/>
          <w:szCs w:val="22"/>
          <w14:ligatures w14:val="none"/>
        </w:rPr>
        <w:t>a</w:t>
      </w:r>
      <w:proofErr w:type="gramEnd"/>
      <w:r w:rsidRPr="00DA59EE">
        <w:rPr>
          <w:rFonts w:ascii="Calibri" w:eastAsia="Times New Roman" w:hAnsi="Calibri" w:cs="Arial"/>
          <w:kern w:val="0"/>
          <w:sz w:val="22"/>
          <w:szCs w:val="22"/>
          <w14:ligatures w14:val="none"/>
        </w:rPr>
        <w:t xml:space="preserve"> EU Contribution Agreement is signed (previously PAGODA or Standard Cooperation Agreement, SCA). </w:t>
      </w:r>
    </w:p>
    <w:p w14:paraId="7741F44E"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38465297"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All donor agreements are signed by the MPTFO Executive Coordinator unless a written delegation is issued. The standard UN Sustainable Development Group agreements must be used and should be </w:t>
      </w:r>
      <w:proofErr w:type="gramStart"/>
      <w:r w:rsidRPr="00DA59EE">
        <w:rPr>
          <w:rFonts w:ascii="Calibri" w:eastAsia="Times New Roman" w:hAnsi="Calibri" w:cs="Arial"/>
          <w:kern w:val="0"/>
          <w:sz w:val="22"/>
          <w:szCs w:val="22"/>
          <w14:ligatures w14:val="none"/>
        </w:rPr>
        <w:t>cleared</w:t>
      </w:r>
      <w:proofErr w:type="gramEnd"/>
      <w:r w:rsidRPr="00DA59EE">
        <w:rPr>
          <w:rFonts w:ascii="Calibri" w:eastAsia="Times New Roman" w:hAnsi="Calibri" w:cs="Arial"/>
          <w:kern w:val="0"/>
          <w:sz w:val="22"/>
          <w:szCs w:val="22"/>
          <w14:ligatures w14:val="none"/>
        </w:rPr>
        <w:t xml:space="preserve"> by the MPTFO prior to signature. If, on an exceptional basis, changes to the standard text are requested, these must be </w:t>
      </w:r>
      <w:proofErr w:type="gramStart"/>
      <w:r w:rsidRPr="00DA59EE">
        <w:rPr>
          <w:rFonts w:ascii="Calibri" w:eastAsia="Times New Roman" w:hAnsi="Calibri" w:cs="Arial"/>
          <w:kern w:val="0"/>
          <w:sz w:val="22"/>
          <w:szCs w:val="22"/>
          <w14:ligatures w14:val="none"/>
        </w:rPr>
        <w:t>cleared</w:t>
      </w:r>
      <w:proofErr w:type="gramEnd"/>
      <w:r w:rsidRPr="00DA59EE">
        <w:rPr>
          <w:rFonts w:ascii="Calibri" w:eastAsia="Times New Roman" w:hAnsi="Calibri" w:cs="Arial"/>
          <w:kern w:val="0"/>
          <w:sz w:val="22"/>
          <w:szCs w:val="22"/>
          <w14:ligatures w14:val="none"/>
        </w:rPr>
        <w:t xml:space="preserve"> by the MPTFO Executive Coordinator. If any substantial deviations are required, these must be reviewed by the Fiduciary Management Oversight Group (FMOG), facilitated by MPTFO.</w:t>
      </w:r>
    </w:p>
    <w:p w14:paraId="0348EDF1"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lastRenderedPageBreak/>
        <w:t>Standard UNDP project documents are signed in cases where such separate project documents are deemed desirable.</w:t>
      </w:r>
    </w:p>
    <w:p w14:paraId="1FDCF6EB"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color w:val="333333"/>
          <w:kern w:val="0"/>
          <w:sz w:val="22"/>
          <w:szCs w:val="22"/>
          <w14:ligatures w14:val="none"/>
        </w:rPr>
      </w:pPr>
    </w:p>
    <w:p w14:paraId="7AF949F8"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The standard MOU and SAA require that the AA and PUNOs establish separate ledger accounts for funds received. By following the financial procedures and using fund codes and project IDs in Quantum, these requirements are fully met.</w:t>
      </w:r>
    </w:p>
    <w:p w14:paraId="4897B391"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vanish/>
          <w:kern w:val="0"/>
          <w:sz w:val="22"/>
          <w:szCs w:val="22"/>
          <w14:ligatures w14:val="none"/>
        </w:rPr>
      </w:pPr>
      <w:r w:rsidRPr="00DA59EE">
        <w:rPr>
          <w:rFonts w:ascii="Calibri" w:eastAsia="Times New Roman" w:hAnsi="Calibri" w:cs="Arial"/>
          <w:vanish/>
          <w:kern w:val="0"/>
          <w:sz w:val="22"/>
          <w:szCs w:val="22"/>
          <w14:ligatures w14:val="none"/>
        </w:rPr>
        <w:t>Structure Element - Roles &amp; Responsibilities</w:t>
      </w:r>
    </w:p>
    <w:p w14:paraId="7ED0A0E8"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w:t>
      </w:r>
    </w:p>
    <w:p w14:paraId="24B9DF51"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r w:rsidRPr="00DA59EE">
        <w:rPr>
          <w:rFonts w:ascii="Calibri" w:eastAsia="Times New Roman" w:hAnsi="Calibri" w:cs="Arial"/>
          <w:b/>
          <w:bCs/>
          <w:kern w:val="0"/>
          <w:sz w:val="22"/>
          <w:szCs w:val="22"/>
          <w14:ligatures w14:val="none"/>
        </w:rPr>
        <w:t>Reporting</w:t>
      </w:r>
    </w:p>
    <w:p w14:paraId="09B8E3CC"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w:t>
      </w:r>
    </w:p>
    <w:p w14:paraId="1507B386"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Responsibility for narrative and financial reporting rests with the PUNOs and (sub-) national partners, who are accountable for their respective components of the joint </w:t>
      </w:r>
      <w:proofErr w:type="spellStart"/>
      <w:r w:rsidRPr="00DA59EE">
        <w:rPr>
          <w:rFonts w:ascii="Calibri" w:eastAsia="Times New Roman" w:hAnsi="Calibri" w:cs="Arial"/>
          <w:kern w:val="0"/>
          <w:sz w:val="22"/>
          <w:szCs w:val="22"/>
          <w14:ligatures w14:val="none"/>
        </w:rPr>
        <w:t>programme</w:t>
      </w:r>
      <w:proofErr w:type="spellEnd"/>
      <w:r w:rsidRPr="00DA59EE">
        <w:rPr>
          <w:rFonts w:ascii="Calibri" w:eastAsia="Times New Roman" w:hAnsi="Calibri" w:cs="Arial"/>
          <w:kern w:val="0"/>
          <w:sz w:val="22"/>
          <w:szCs w:val="22"/>
          <w14:ligatures w14:val="none"/>
        </w:rPr>
        <w:t>. Reporting requirements are defined in the MOU with the AA. Each PUNO prepares annual and final financial reports and submits them to the AA.</w:t>
      </w:r>
    </w:p>
    <w:p w14:paraId="637EC7D0"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11C44FE1"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BMS/OFM is responsible for the preparation, certification (where required) and submission to the AA of all annual and final financial reports. When the AA is the MPTFO, reports are submitted through UNEX. </w:t>
      </w:r>
    </w:p>
    <w:p w14:paraId="333931FF" w14:textId="77777777" w:rsidR="00DA59EE" w:rsidRPr="00DA59EE" w:rsidRDefault="00DA59EE" w:rsidP="00DA59EE">
      <w:pPr>
        <w:shd w:val="clear" w:color="auto" w:fill="FFFFFF"/>
        <w:tabs>
          <w:tab w:val="left" w:pos="720"/>
        </w:tabs>
        <w:spacing w:after="0" w:line="240" w:lineRule="auto"/>
        <w:ind w:left="720"/>
        <w:contextualSpacing/>
        <w:jc w:val="both"/>
        <w:textAlignment w:val="top"/>
        <w:rPr>
          <w:rFonts w:ascii="Calibri" w:eastAsia="Times New Roman" w:hAnsi="Calibri" w:cs="Arial"/>
          <w:kern w:val="0"/>
          <w:sz w:val="22"/>
          <w:szCs w:val="22"/>
          <w14:ligatures w14:val="none"/>
        </w:rPr>
      </w:pPr>
    </w:p>
    <w:p w14:paraId="343FD383"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BMS/OFM reports to MPTFO through UNEX system by uploading financial data as reflected in Quantum, for outputs funded by all MPTF Projects. To extract this information, BMS/OFM uses Quantum donor codes which identify MPTF funds (List of current MPTF-Donor Codes). These donor codes are expected to be associated with the five UNDP fund codes mentioned in paragraph 11 above.</w:t>
      </w:r>
    </w:p>
    <w:p w14:paraId="0FA21432"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57ED8034" w14:textId="77777777" w:rsidR="00DA59EE" w:rsidRPr="00DA59EE" w:rsidRDefault="00DA59EE" w:rsidP="00DA59EE">
      <w:pPr>
        <w:numPr>
          <w:ilvl w:val="0"/>
          <w:numId w:val="2"/>
        </w:numPr>
        <w:shd w:val="clear" w:color="auto" w:fill="FFFFFF"/>
        <w:tabs>
          <w:tab w:val="left" w:pos="720"/>
        </w:tabs>
        <w:spacing w:after="0" w:line="240" w:lineRule="auto"/>
        <w:contextualSpacing/>
        <w:jc w:val="both"/>
        <w:textAlignment w:val="top"/>
        <w:rPr>
          <w:rFonts w:ascii="Calibri" w:eastAsia="Times New Roman" w:hAnsi="Calibri" w:cs="Arial"/>
          <w:kern w:val="0"/>
          <w:sz w:val="22"/>
          <w:szCs w:val="22"/>
          <w14:ligatures w14:val="none"/>
        </w:rPr>
      </w:pPr>
      <w:r w:rsidRPr="00DA59EE">
        <w:rPr>
          <w:rFonts w:ascii="Calibri" w:eastAsia="Times New Roman" w:hAnsi="Calibri" w:cs="Arial"/>
          <w:kern w:val="0"/>
          <w:sz w:val="22"/>
          <w:szCs w:val="22"/>
          <w14:ligatures w14:val="none"/>
        </w:rPr>
        <w:t xml:space="preserve">Reporting would be inaccurate and incomplete if the abovementioned UNDP output ID-to-MPTF project reference ID linkages are not made by the country offices, as well as other various issues related to comingling of revenues highlighted above.  </w:t>
      </w:r>
    </w:p>
    <w:p w14:paraId="4D5C3404"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333333"/>
          <w:kern w:val="0"/>
          <w:sz w:val="22"/>
          <w:szCs w:val="22"/>
          <w14:ligatures w14:val="none"/>
        </w:rPr>
      </w:pPr>
    </w:p>
    <w:p w14:paraId="65445139"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vanish/>
          <w:color w:val="0563C1"/>
          <w:kern w:val="0"/>
          <w:sz w:val="22"/>
          <w:szCs w:val="22"/>
          <w:u w:val="single"/>
          <w14:ligatures w14:val="none"/>
        </w:rPr>
      </w:pPr>
      <w:r w:rsidRPr="00DA59EE">
        <w:rPr>
          <w:rFonts w:ascii="Calibri" w:eastAsia="Times New Roman" w:hAnsi="Calibri" w:cs="Arial"/>
          <w:color w:val="333333"/>
          <w:kern w:val="0"/>
          <w:sz w:val="22"/>
          <w:szCs w:val="22"/>
          <w14:ligatures w14:val="none"/>
        </w:rPr>
        <w:fldChar w:fldCharType="begin"/>
      </w:r>
      <w:r w:rsidRPr="00DA59EE">
        <w:rPr>
          <w:rFonts w:ascii="Calibri" w:eastAsia="Times New Roman" w:hAnsi="Calibri" w:cs="Arial"/>
          <w:color w:val="333333"/>
          <w:kern w:val="0"/>
          <w:sz w:val="22"/>
          <w:szCs w:val="22"/>
          <w14:ligatures w14:val="none"/>
        </w:rPr>
        <w:instrText xml:space="preserve"> HYPERLINK "https://mptf.undp.org/page/unsdg-legal-documents-and-templates-pooled-funds" </w:instrText>
      </w:r>
      <w:r w:rsidRPr="00DA59EE">
        <w:rPr>
          <w:rFonts w:ascii="Calibri" w:eastAsia="Times New Roman" w:hAnsi="Calibri" w:cs="Arial"/>
          <w:color w:val="333333"/>
          <w:kern w:val="0"/>
          <w:sz w:val="22"/>
          <w:szCs w:val="22"/>
          <w14:ligatures w14:val="none"/>
        </w:rPr>
      </w:r>
      <w:r w:rsidRPr="00DA59EE">
        <w:rPr>
          <w:rFonts w:ascii="Calibri" w:eastAsia="Times New Roman" w:hAnsi="Calibri" w:cs="Arial"/>
          <w:color w:val="333333"/>
          <w:kern w:val="0"/>
          <w:sz w:val="22"/>
          <w:szCs w:val="22"/>
          <w14:ligatures w14:val="none"/>
        </w:rPr>
        <w:fldChar w:fldCharType="separate"/>
      </w:r>
      <w:r w:rsidRPr="00DA59EE">
        <w:rPr>
          <w:rFonts w:ascii="Calibri" w:eastAsia="Times New Roman" w:hAnsi="Calibri" w:cs="Arial"/>
          <w:vanish/>
          <w:color w:val="0563C1"/>
          <w:kern w:val="0"/>
          <w:sz w:val="22"/>
          <w:szCs w:val="22"/>
          <w:u w:val="single"/>
          <w14:ligatures w14:val="none"/>
        </w:rPr>
        <w:t>Structure Element - Templates and Forms</w:t>
      </w:r>
    </w:p>
    <w:p w14:paraId="08ECD466"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0072BC"/>
          <w:kern w:val="0"/>
          <w:sz w:val="22"/>
          <w:szCs w:val="22"/>
          <w14:ligatures w14:val="none"/>
        </w:rPr>
      </w:pPr>
      <w:r w:rsidRPr="00DA59EE">
        <w:rPr>
          <w:rFonts w:ascii="Calibri" w:eastAsia="Times New Roman" w:hAnsi="Calibri" w:cs="Arial"/>
          <w:color w:val="0563C1"/>
          <w:kern w:val="0"/>
          <w:sz w:val="22"/>
          <w:szCs w:val="22"/>
          <w:u w:val="single"/>
          <w14:ligatures w14:val="none"/>
        </w:rPr>
        <w:t>Standard memorandum of understanding between the participating UN organizations and the administrative agent for pass-through fund management</w:t>
      </w:r>
      <w:r w:rsidRPr="00DA59EE">
        <w:rPr>
          <w:rFonts w:ascii="Calibri" w:eastAsia="Times New Roman" w:hAnsi="Calibri" w:cs="Arial"/>
          <w:color w:val="333333"/>
          <w:kern w:val="0"/>
          <w:sz w:val="22"/>
          <w:szCs w:val="22"/>
          <w14:ligatures w14:val="none"/>
        </w:rPr>
        <w:fldChar w:fldCharType="end"/>
      </w:r>
    </w:p>
    <w:p w14:paraId="009CF49F"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0072BC"/>
          <w:kern w:val="0"/>
          <w:sz w:val="22"/>
          <w:szCs w:val="22"/>
          <w14:ligatures w14:val="none"/>
        </w:rPr>
      </w:pPr>
    </w:p>
    <w:p w14:paraId="206127A5" w14:textId="77777777" w:rsidR="00DA59EE" w:rsidRPr="00DA59EE" w:rsidRDefault="00DA59EE" w:rsidP="00DA59EE">
      <w:pPr>
        <w:shd w:val="clear" w:color="auto" w:fill="FFFFFF"/>
        <w:spacing w:after="0" w:line="240" w:lineRule="auto"/>
        <w:jc w:val="both"/>
        <w:textAlignment w:val="top"/>
        <w:rPr>
          <w:rFonts w:ascii="Calibri" w:eastAsia="Times New Roman" w:hAnsi="Calibri" w:cs="Arial"/>
          <w:color w:val="0072BC"/>
          <w:kern w:val="0"/>
          <w:sz w:val="22"/>
          <w:szCs w:val="22"/>
          <w14:ligatures w14:val="none"/>
        </w:rPr>
      </w:pPr>
    </w:p>
    <w:p w14:paraId="4A3A9B0A" w14:textId="36F4F5B1" w:rsidR="00DA59EE" w:rsidRPr="00DA59EE" w:rsidRDefault="00DA59EE" w:rsidP="00DA59EE">
      <w:pPr>
        <w:numPr>
          <w:ilvl w:val="0"/>
          <w:numId w:val="2"/>
        </w:numPr>
        <w:spacing w:line="259" w:lineRule="auto"/>
        <w:contextualSpacing/>
        <w:rPr>
          <w:rFonts w:ascii="Calibri" w:eastAsia="MS Mincho" w:hAnsi="Calibri" w:cs="Times New Roman"/>
          <w:kern w:val="0"/>
          <w:sz w:val="22"/>
          <w:szCs w:val="22"/>
          <w:u w:val="single"/>
          <w:lang w:eastAsia="ja-JP"/>
          <w14:ligatures w14:val="none"/>
        </w:rPr>
      </w:pPr>
      <w:r w:rsidRPr="00DA59EE">
        <w:rPr>
          <w:rFonts w:ascii="Calibri" w:eastAsia="Calibri" w:hAnsi="Calibri" w:cs="Times New Roman"/>
          <w:kern w:val="0"/>
          <w:sz w:val="22"/>
          <w:szCs w:val="22"/>
          <w14:ligatures w14:val="none"/>
        </w:rPr>
        <w:t xml:space="preserve">Further details on management of MPTF outputs by UNDP country offices can be found in the </w:t>
      </w:r>
      <w:hyperlink r:id="rId17" w:history="1">
        <w:r w:rsidRPr="009070DE">
          <w:rPr>
            <w:rStyle w:val="Hyperlink"/>
            <w:rFonts w:ascii="Calibri" w:eastAsia="Calibri" w:hAnsi="Calibri" w:cs="Times New Roman"/>
            <w:kern w:val="0"/>
            <w:sz w:val="22"/>
            <w:szCs w:val="22"/>
            <w14:ligatures w14:val="none"/>
          </w:rPr>
          <w:t>link</w:t>
        </w:r>
      </w:hyperlink>
      <w:r w:rsidR="009070DE" w:rsidRPr="000428B2">
        <w:rPr>
          <w:rFonts w:ascii="Calibri" w:eastAsia="Calibri" w:hAnsi="Calibri" w:cs="Times New Roman"/>
          <w:kern w:val="0"/>
          <w:sz w:val="22"/>
          <w:szCs w:val="22"/>
          <w14:ligatures w14:val="none"/>
        </w:rPr>
        <w:t>.</w:t>
      </w:r>
    </w:p>
    <w:p w14:paraId="455AB985" w14:textId="77777777" w:rsidR="00DA59EE" w:rsidRPr="00DA59EE" w:rsidRDefault="00DA59EE" w:rsidP="00DA59EE">
      <w:pPr>
        <w:shd w:val="clear" w:color="auto" w:fill="FFFFFF"/>
        <w:spacing w:after="0" w:line="240" w:lineRule="auto"/>
        <w:ind w:left="360"/>
        <w:jc w:val="both"/>
        <w:textAlignment w:val="top"/>
        <w:rPr>
          <w:rFonts w:ascii="Calibri" w:eastAsia="Times New Roman" w:hAnsi="Calibri" w:cs="Arial"/>
          <w:color w:val="333333"/>
          <w:kern w:val="0"/>
          <w:sz w:val="22"/>
          <w:szCs w:val="22"/>
          <w14:ligatures w14:val="none"/>
        </w:rPr>
      </w:pPr>
    </w:p>
    <w:p w14:paraId="7FECA704" w14:textId="77777777" w:rsidR="00DA504D" w:rsidRDefault="00DA504D"/>
    <w:sectPr w:rsidR="00DA504D" w:rsidSect="00DA59EE">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FBE0" w14:textId="77777777" w:rsidR="008F2FD7" w:rsidRDefault="008F2FD7" w:rsidP="009070DE">
      <w:pPr>
        <w:spacing w:after="0" w:line="240" w:lineRule="auto"/>
      </w:pPr>
      <w:r>
        <w:separator/>
      </w:r>
    </w:p>
  </w:endnote>
  <w:endnote w:type="continuationSeparator" w:id="0">
    <w:p w14:paraId="45BA9D42" w14:textId="77777777" w:rsidR="008F2FD7" w:rsidRDefault="008F2FD7" w:rsidP="0090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009665"/>
      <w:docPartObj>
        <w:docPartGallery w:val="Page Numbers (Bottom of Page)"/>
        <w:docPartUnique/>
      </w:docPartObj>
    </w:sdtPr>
    <w:sdtEndPr>
      <w:rPr>
        <w:rFonts w:ascii="Calibri" w:hAnsi="Calibri" w:cs="Calibri"/>
        <w:noProof/>
      </w:rPr>
    </w:sdtEndPr>
    <w:sdtContent>
      <w:p w14:paraId="75BB2259" w14:textId="77777777" w:rsidR="00DA59EE" w:rsidRDefault="00DA59EE" w:rsidP="005A6E0B">
        <w:pPr>
          <w:pStyle w:val="Footer"/>
        </w:pPr>
      </w:p>
      <w:p w14:paraId="2721B5DB" w14:textId="77777777" w:rsidR="00DA59EE" w:rsidRPr="000428B2" w:rsidRDefault="00DA59EE" w:rsidP="005A6E0B">
        <w:pPr>
          <w:pStyle w:val="Footer"/>
          <w:rPr>
            <w:rFonts w:ascii="Calibri" w:hAnsi="Calibri" w:cs="Calibri"/>
          </w:rPr>
        </w:pPr>
        <w:r w:rsidRPr="000428B2">
          <w:rPr>
            <w:rFonts w:ascii="Calibri" w:hAnsi="Calibri" w:cs="Calibri"/>
          </w:rPr>
          <w:t xml:space="preserve">Page </w:t>
        </w:r>
        <w:r w:rsidRPr="000428B2">
          <w:rPr>
            <w:rFonts w:ascii="Calibri" w:hAnsi="Calibri" w:cs="Calibri"/>
            <w:b/>
            <w:bCs/>
          </w:rPr>
          <w:fldChar w:fldCharType="begin"/>
        </w:r>
        <w:r w:rsidRPr="000428B2">
          <w:rPr>
            <w:rFonts w:ascii="Calibri" w:hAnsi="Calibri" w:cs="Calibri"/>
            <w:b/>
            <w:bCs/>
          </w:rPr>
          <w:instrText xml:space="preserve"> PAGE  \* Arabic  \* MERGEFORMAT </w:instrText>
        </w:r>
        <w:r w:rsidRPr="000428B2">
          <w:rPr>
            <w:rFonts w:ascii="Calibri" w:hAnsi="Calibri" w:cs="Calibri"/>
            <w:b/>
            <w:bCs/>
          </w:rPr>
          <w:fldChar w:fldCharType="separate"/>
        </w:r>
        <w:r w:rsidRPr="000428B2">
          <w:rPr>
            <w:rFonts w:ascii="Calibri" w:hAnsi="Calibri" w:cs="Calibri"/>
            <w:b/>
            <w:bCs/>
            <w:noProof/>
          </w:rPr>
          <w:t>8</w:t>
        </w:r>
        <w:r w:rsidRPr="000428B2">
          <w:rPr>
            <w:rFonts w:ascii="Calibri" w:hAnsi="Calibri" w:cs="Calibri"/>
            <w:b/>
            <w:bCs/>
          </w:rPr>
          <w:fldChar w:fldCharType="end"/>
        </w:r>
        <w:r w:rsidRPr="000428B2">
          <w:rPr>
            <w:rFonts w:ascii="Calibri" w:hAnsi="Calibri" w:cs="Calibri"/>
          </w:rPr>
          <w:t xml:space="preserve"> of </w:t>
        </w:r>
        <w:r w:rsidRPr="000428B2">
          <w:rPr>
            <w:rFonts w:ascii="Calibri" w:hAnsi="Calibri" w:cs="Calibri"/>
            <w:b/>
            <w:bCs/>
          </w:rPr>
          <w:fldChar w:fldCharType="begin"/>
        </w:r>
        <w:r w:rsidRPr="000428B2">
          <w:rPr>
            <w:rFonts w:ascii="Calibri" w:hAnsi="Calibri" w:cs="Calibri"/>
            <w:b/>
            <w:bCs/>
          </w:rPr>
          <w:instrText xml:space="preserve"> NUMPAGES  \* Arabic  \* MERGEFORMAT </w:instrText>
        </w:r>
        <w:r w:rsidRPr="000428B2">
          <w:rPr>
            <w:rFonts w:ascii="Calibri" w:hAnsi="Calibri" w:cs="Calibri"/>
            <w:b/>
            <w:bCs/>
          </w:rPr>
          <w:fldChar w:fldCharType="separate"/>
        </w:r>
        <w:r w:rsidRPr="000428B2">
          <w:rPr>
            <w:rFonts w:ascii="Calibri" w:hAnsi="Calibri" w:cs="Calibri"/>
            <w:b/>
            <w:bCs/>
            <w:noProof/>
          </w:rPr>
          <w:t>8</w:t>
        </w:r>
        <w:r w:rsidRPr="000428B2">
          <w:rPr>
            <w:rFonts w:ascii="Calibri" w:hAnsi="Calibri" w:cs="Calibri"/>
            <w:b/>
            <w:bCs/>
          </w:rPr>
          <w:fldChar w:fldCharType="end"/>
        </w:r>
        <w:r w:rsidRPr="000428B2">
          <w:rPr>
            <w:rFonts w:ascii="Calibri" w:hAnsi="Calibri" w:cs="Calibri"/>
          </w:rPr>
          <w:ptab w:relativeTo="margin" w:alignment="center" w:leader="none"/>
        </w:r>
        <w:r w:rsidRPr="000428B2">
          <w:rPr>
            <w:rFonts w:ascii="Calibri" w:hAnsi="Calibri" w:cs="Calibri"/>
          </w:rPr>
          <w:t>Effective Date: 25/07/2016</w:t>
        </w:r>
        <w:r w:rsidRPr="000428B2">
          <w:rPr>
            <w:rFonts w:ascii="Calibri" w:hAnsi="Calibri" w:cs="Calibri"/>
          </w:rPr>
          <w:ptab w:relativeTo="margin" w:alignment="right" w:leader="none"/>
        </w:r>
        <w:r w:rsidRPr="000428B2">
          <w:rPr>
            <w:rFonts w:ascii="Calibri" w:hAnsi="Calibri" w:cs="Calibri"/>
          </w:rPr>
          <w:t xml:space="preserve">Version #: </w:t>
        </w:r>
        <w:sdt>
          <w:sdtPr>
            <w:rPr>
              <w:rFonts w:ascii="Calibri" w:hAnsi="Calibri" w:cs="Calibri"/>
            </w:rPr>
            <w:alias w:val="POPPRefItemVersion"/>
            <w:tag w:val="UNDP_POPP_REFITEM_VERSION"/>
            <w:id w:val="134050608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7918F59-5C8B-46F6-9F52-D30B2B3C4DA8}"/>
            <w:text/>
          </w:sdtPr>
          <w:sdtContent>
            <w:r w:rsidRPr="000428B2">
              <w:rPr>
                <w:rFonts w:ascii="Calibri" w:hAnsi="Calibri" w:cs="Calibri"/>
              </w:rPr>
              <w:t>13</w:t>
            </w:r>
          </w:sdtContent>
        </w:sdt>
      </w:p>
    </w:sdtContent>
  </w:sdt>
  <w:p w14:paraId="534A6069" w14:textId="77777777" w:rsidR="00DA59EE" w:rsidRDefault="00DA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7827" w14:textId="77777777" w:rsidR="00DA59EE" w:rsidRPr="000428B2" w:rsidRDefault="00DA59EE">
    <w:pPr>
      <w:pStyle w:val="Footer"/>
      <w:rPr>
        <w:rFonts w:ascii="Calibri" w:hAnsi="Calibri" w:cs="Calibri"/>
      </w:rPr>
    </w:pPr>
    <w:r w:rsidRPr="000428B2">
      <w:rPr>
        <w:rFonts w:ascii="Calibri" w:hAnsi="Calibri" w:cs="Calibri"/>
      </w:rPr>
      <w:t xml:space="preserve">Page </w:t>
    </w:r>
    <w:r w:rsidRPr="000428B2">
      <w:rPr>
        <w:rFonts w:ascii="Calibri" w:hAnsi="Calibri" w:cs="Calibri"/>
        <w:b/>
        <w:bCs/>
      </w:rPr>
      <w:fldChar w:fldCharType="begin"/>
    </w:r>
    <w:r w:rsidRPr="000428B2">
      <w:rPr>
        <w:rFonts w:ascii="Calibri" w:hAnsi="Calibri" w:cs="Calibri"/>
        <w:b/>
        <w:bCs/>
      </w:rPr>
      <w:instrText xml:space="preserve"> PAGE  \* Arabic  \* MERGEFORMAT </w:instrText>
    </w:r>
    <w:r w:rsidRPr="000428B2">
      <w:rPr>
        <w:rFonts w:ascii="Calibri" w:hAnsi="Calibri" w:cs="Calibri"/>
        <w:b/>
        <w:bCs/>
      </w:rPr>
      <w:fldChar w:fldCharType="separate"/>
    </w:r>
    <w:r w:rsidRPr="000428B2">
      <w:rPr>
        <w:rFonts w:ascii="Calibri" w:hAnsi="Calibri" w:cs="Calibri"/>
        <w:b/>
        <w:bCs/>
        <w:noProof/>
      </w:rPr>
      <w:t>1</w:t>
    </w:r>
    <w:r w:rsidRPr="000428B2">
      <w:rPr>
        <w:rFonts w:ascii="Calibri" w:hAnsi="Calibri" w:cs="Calibri"/>
        <w:b/>
        <w:bCs/>
      </w:rPr>
      <w:fldChar w:fldCharType="end"/>
    </w:r>
    <w:r w:rsidRPr="000428B2">
      <w:rPr>
        <w:rFonts w:ascii="Calibri" w:hAnsi="Calibri" w:cs="Calibri"/>
      </w:rPr>
      <w:t xml:space="preserve"> of </w:t>
    </w:r>
    <w:r w:rsidRPr="000428B2">
      <w:rPr>
        <w:rFonts w:ascii="Calibri" w:hAnsi="Calibri" w:cs="Calibri"/>
        <w:b/>
        <w:bCs/>
      </w:rPr>
      <w:fldChar w:fldCharType="begin"/>
    </w:r>
    <w:r w:rsidRPr="000428B2">
      <w:rPr>
        <w:rFonts w:ascii="Calibri" w:hAnsi="Calibri" w:cs="Calibri"/>
        <w:b/>
        <w:bCs/>
      </w:rPr>
      <w:instrText xml:space="preserve"> NUMPAGES  \* Arabic  \* MERGEFORMAT </w:instrText>
    </w:r>
    <w:r w:rsidRPr="000428B2">
      <w:rPr>
        <w:rFonts w:ascii="Calibri" w:hAnsi="Calibri" w:cs="Calibri"/>
        <w:b/>
        <w:bCs/>
      </w:rPr>
      <w:fldChar w:fldCharType="separate"/>
    </w:r>
    <w:r w:rsidRPr="000428B2">
      <w:rPr>
        <w:rFonts w:ascii="Calibri" w:hAnsi="Calibri" w:cs="Calibri"/>
        <w:b/>
        <w:bCs/>
        <w:noProof/>
      </w:rPr>
      <w:t>8</w:t>
    </w:r>
    <w:r w:rsidRPr="000428B2">
      <w:rPr>
        <w:rFonts w:ascii="Calibri" w:hAnsi="Calibri" w:cs="Calibri"/>
        <w:b/>
        <w:bCs/>
      </w:rPr>
      <w:fldChar w:fldCharType="end"/>
    </w:r>
    <w:r w:rsidRPr="000428B2">
      <w:rPr>
        <w:rFonts w:ascii="Calibri" w:hAnsi="Calibri" w:cs="Calibri"/>
      </w:rPr>
      <w:ptab w:relativeTo="margin" w:alignment="center" w:leader="none"/>
    </w:r>
    <w:r w:rsidRPr="000428B2">
      <w:rPr>
        <w:rFonts w:ascii="Calibri" w:hAnsi="Calibri" w:cs="Calibri"/>
      </w:rPr>
      <w:t xml:space="preserve">Effective Date: 25/07/2016 </w:t>
    </w:r>
    <w:r w:rsidRPr="000428B2">
      <w:rPr>
        <w:rFonts w:ascii="Calibri" w:hAnsi="Calibri" w:cs="Calibri"/>
      </w:rPr>
      <w:ptab w:relativeTo="margin" w:alignment="right" w:leader="none"/>
    </w:r>
    <w:r w:rsidRPr="000428B2">
      <w:rPr>
        <w:rFonts w:ascii="Calibri" w:hAnsi="Calibri" w:cs="Calibri"/>
      </w:rPr>
      <w:t xml:space="preserve">Version #: </w:t>
    </w:r>
    <w:sdt>
      <w:sdtPr>
        <w:rPr>
          <w:rFonts w:ascii="Calibri" w:hAnsi="Calibri" w:cs="Calibri"/>
        </w:rPr>
        <w:alias w:val="POPPRefItemVersion"/>
        <w:tag w:val="UNDP_POPP_REFITEM_VERSION"/>
        <w:id w:val="66628396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7918F59-5C8B-46F6-9F52-D30B2B3C4DA8}"/>
        <w:text/>
      </w:sdtPr>
      <w:sdtContent>
        <w:r w:rsidRPr="000428B2">
          <w:rPr>
            <w:rFonts w:ascii="Calibri" w:hAnsi="Calibri" w:cs="Calibri"/>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5D82" w14:textId="77777777" w:rsidR="008F2FD7" w:rsidRDefault="008F2FD7" w:rsidP="009070DE">
      <w:pPr>
        <w:spacing w:after="0" w:line="240" w:lineRule="auto"/>
      </w:pPr>
      <w:r>
        <w:separator/>
      </w:r>
    </w:p>
  </w:footnote>
  <w:footnote w:type="continuationSeparator" w:id="0">
    <w:p w14:paraId="396CF1D5" w14:textId="77777777" w:rsidR="008F2FD7" w:rsidRDefault="008F2FD7" w:rsidP="0090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EE75" w14:textId="77777777" w:rsidR="00DA59EE" w:rsidRDefault="00DA59EE" w:rsidP="005A6E0B">
    <w:pPr>
      <w:pStyle w:val="Header"/>
      <w:jc w:val="right"/>
    </w:pPr>
    <w:r>
      <w:rPr>
        <w:noProof/>
      </w:rPr>
      <w:drawing>
        <wp:inline distT="0" distB="0" distL="0" distR="0" wp14:anchorId="041D0290" wp14:editId="67F80CCD">
          <wp:extent cx="28575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6231" b="14634"/>
                  <a:stretch/>
                </pic:blipFill>
                <pic:spPr bwMode="auto">
                  <a:xfrm>
                    <a:off x="0" y="0"/>
                    <a:ext cx="290037" cy="609078"/>
                  </a:xfrm>
                  <a:prstGeom prst="rect">
                    <a:avLst/>
                  </a:prstGeom>
                  <a:ln>
                    <a:noFill/>
                  </a:ln>
                  <a:extLst>
                    <a:ext uri="{53640926-AAD7-44D8-BBD7-CCE9431645EC}">
                      <a14:shadowObscured xmlns:a14="http://schemas.microsoft.com/office/drawing/2010/main"/>
                    </a:ext>
                  </a:extLst>
                </pic:spPr>
              </pic:pic>
            </a:graphicData>
          </a:graphic>
        </wp:inline>
      </w:drawing>
    </w:r>
  </w:p>
  <w:p w14:paraId="6EF3D532" w14:textId="77777777" w:rsidR="00DA59EE" w:rsidRDefault="00DA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C875" w14:textId="77777777" w:rsidR="00DA59EE" w:rsidRDefault="00DA59EE" w:rsidP="00845474">
    <w:pPr>
      <w:pStyle w:val="Header"/>
      <w:jc w:val="right"/>
    </w:pPr>
    <w:r>
      <w:rPr>
        <w:noProof/>
      </w:rPr>
      <w:drawing>
        <wp:inline distT="0" distB="0" distL="0" distR="0" wp14:anchorId="74476667" wp14:editId="7230657E">
          <wp:extent cx="304800"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9373" cy="602617"/>
                  </a:xfrm>
                  <a:prstGeom prst="rect">
                    <a:avLst/>
                  </a:prstGeom>
                  <a:ln>
                    <a:noFill/>
                  </a:ln>
                  <a:extLst>
                    <a:ext uri="{53640926-AAD7-44D8-BBD7-CCE9431645EC}">
                      <a14:shadowObscured xmlns:a14="http://schemas.microsoft.com/office/drawing/2010/main"/>
                    </a:ext>
                  </a:extLst>
                </pic:spPr>
              </pic:pic>
            </a:graphicData>
          </a:graphic>
        </wp:inline>
      </w:drawing>
    </w:r>
  </w:p>
  <w:p w14:paraId="2BB0E927" w14:textId="77777777" w:rsidR="00DA59EE" w:rsidRDefault="00DA5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F07AB"/>
    <w:multiLevelType w:val="hybridMultilevel"/>
    <w:tmpl w:val="C714C606"/>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C257A9"/>
    <w:multiLevelType w:val="hybridMultilevel"/>
    <w:tmpl w:val="B22E2EFA"/>
    <w:lvl w:ilvl="0" w:tplc="7F845DFC">
      <w:start w:val="1"/>
      <w:numFmt w:val="decimal"/>
      <w:lvlText w:val="%1."/>
      <w:lvlJc w:val="left"/>
      <w:pPr>
        <w:ind w:left="720" w:hanging="360"/>
      </w:pPr>
      <w:rPr>
        <w:rFonts w:ascii="Calibri" w:hAnsi="Calibri" w:cs="Calibri" w:hint="default"/>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E7AA5"/>
    <w:multiLevelType w:val="hybridMultilevel"/>
    <w:tmpl w:val="B9F6A53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1D37ED"/>
    <w:multiLevelType w:val="hybridMultilevel"/>
    <w:tmpl w:val="A052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32C23"/>
    <w:multiLevelType w:val="hybridMultilevel"/>
    <w:tmpl w:val="E00CAA5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AE791F"/>
    <w:multiLevelType w:val="hybridMultilevel"/>
    <w:tmpl w:val="F80C6D2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1881429">
    <w:abstractNumId w:val="3"/>
  </w:num>
  <w:num w:numId="2" w16cid:durableId="1605962440">
    <w:abstractNumId w:val="1"/>
  </w:num>
  <w:num w:numId="3" w16cid:durableId="1372222125">
    <w:abstractNumId w:val="0"/>
  </w:num>
  <w:num w:numId="4" w16cid:durableId="956180146">
    <w:abstractNumId w:val="4"/>
  </w:num>
  <w:num w:numId="5" w16cid:durableId="686753692">
    <w:abstractNumId w:val="2"/>
  </w:num>
  <w:num w:numId="6" w16cid:durableId="181019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EE"/>
    <w:rsid w:val="000428B2"/>
    <w:rsid w:val="00407C08"/>
    <w:rsid w:val="004D214E"/>
    <w:rsid w:val="008F2FD7"/>
    <w:rsid w:val="009070DE"/>
    <w:rsid w:val="00C61B9D"/>
    <w:rsid w:val="00DA504D"/>
    <w:rsid w:val="00DA59EE"/>
    <w:rsid w:val="00E5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AC83"/>
  <w15:chartTrackingRefBased/>
  <w15:docId w15:val="{CE1A1FDF-39C4-48E7-A2A7-BB905373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9EE"/>
    <w:rPr>
      <w:rFonts w:eastAsiaTheme="majorEastAsia" w:cstheme="majorBidi"/>
      <w:color w:val="272727" w:themeColor="text1" w:themeTint="D8"/>
    </w:rPr>
  </w:style>
  <w:style w:type="paragraph" w:styleId="Title">
    <w:name w:val="Title"/>
    <w:basedOn w:val="Normal"/>
    <w:next w:val="Normal"/>
    <w:link w:val="TitleChar"/>
    <w:uiPriority w:val="10"/>
    <w:qFormat/>
    <w:rsid w:val="00DA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9EE"/>
    <w:pPr>
      <w:spacing w:before="160"/>
      <w:jc w:val="center"/>
    </w:pPr>
    <w:rPr>
      <w:i/>
      <w:iCs/>
      <w:color w:val="404040" w:themeColor="text1" w:themeTint="BF"/>
    </w:rPr>
  </w:style>
  <w:style w:type="character" w:customStyle="1" w:styleId="QuoteChar">
    <w:name w:val="Quote Char"/>
    <w:basedOn w:val="DefaultParagraphFont"/>
    <w:link w:val="Quote"/>
    <w:uiPriority w:val="29"/>
    <w:rsid w:val="00DA59EE"/>
    <w:rPr>
      <w:i/>
      <w:iCs/>
      <w:color w:val="404040" w:themeColor="text1" w:themeTint="BF"/>
    </w:rPr>
  </w:style>
  <w:style w:type="paragraph" w:styleId="ListParagraph">
    <w:name w:val="List Paragraph"/>
    <w:basedOn w:val="Normal"/>
    <w:uiPriority w:val="34"/>
    <w:qFormat/>
    <w:rsid w:val="00DA59EE"/>
    <w:pPr>
      <w:ind w:left="720"/>
      <w:contextualSpacing/>
    </w:pPr>
  </w:style>
  <w:style w:type="character" w:styleId="IntenseEmphasis">
    <w:name w:val="Intense Emphasis"/>
    <w:basedOn w:val="DefaultParagraphFont"/>
    <w:uiPriority w:val="21"/>
    <w:qFormat/>
    <w:rsid w:val="00DA59EE"/>
    <w:rPr>
      <w:i/>
      <w:iCs/>
      <w:color w:val="0F4761" w:themeColor="accent1" w:themeShade="BF"/>
    </w:rPr>
  </w:style>
  <w:style w:type="paragraph" w:styleId="IntenseQuote">
    <w:name w:val="Intense Quote"/>
    <w:basedOn w:val="Normal"/>
    <w:next w:val="Normal"/>
    <w:link w:val="IntenseQuoteChar"/>
    <w:uiPriority w:val="30"/>
    <w:qFormat/>
    <w:rsid w:val="00DA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9EE"/>
    <w:rPr>
      <w:i/>
      <w:iCs/>
      <w:color w:val="0F4761" w:themeColor="accent1" w:themeShade="BF"/>
    </w:rPr>
  </w:style>
  <w:style w:type="character" w:styleId="IntenseReference">
    <w:name w:val="Intense Reference"/>
    <w:basedOn w:val="DefaultParagraphFont"/>
    <w:uiPriority w:val="32"/>
    <w:qFormat/>
    <w:rsid w:val="00DA59EE"/>
    <w:rPr>
      <w:b/>
      <w:bCs/>
      <w:smallCaps/>
      <w:color w:val="0F4761" w:themeColor="accent1" w:themeShade="BF"/>
      <w:spacing w:val="5"/>
    </w:rPr>
  </w:style>
  <w:style w:type="paragraph" w:styleId="Header">
    <w:name w:val="header"/>
    <w:basedOn w:val="Normal"/>
    <w:link w:val="HeaderChar"/>
    <w:uiPriority w:val="99"/>
    <w:unhideWhenUsed/>
    <w:rsid w:val="00DA59EE"/>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A59EE"/>
    <w:rPr>
      <w:kern w:val="0"/>
      <w:sz w:val="22"/>
      <w:szCs w:val="22"/>
      <w14:ligatures w14:val="none"/>
    </w:rPr>
  </w:style>
  <w:style w:type="paragraph" w:styleId="Footer">
    <w:name w:val="footer"/>
    <w:basedOn w:val="Normal"/>
    <w:link w:val="FooterChar"/>
    <w:uiPriority w:val="99"/>
    <w:unhideWhenUsed/>
    <w:rsid w:val="00DA59EE"/>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A59EE"/>
    <w:rPr>
      <w:kern w:val="0"/>
      <w:sz w:val="22"/>
      <w:szCs w:val="22"/>
      <w14:ligatures w14:val="none"/>
    </w:rPr>
  </w:style>
  <w:style w:type="paragraph" w:styleId="Revision">
    <w:name w:val="Revision"/>
    <w:hidden/>
    <w:uiPriority w:val="99"/>
    <w:semiHidden/>
    <w:rsid w:val="009070DE"/>
    <w:pPr>
      <w:spacing w:after="0" w:line="240" w:lineRule="auto"/>
    </w:pPr>
  </w:style>
  <w:style w:type="character" w:styleId="Hyperlink">
    <w:name w:val="Hyperlink"/>
    <w:basedOn w:val="DefaultParagraphFont"/>
    <w:uiPriority w:val="99"/>
    <w:unhideWhenUsed/>
    <w:rsid w:val="009070DE"/>
    <w:rPr>
      <w:color w:val="467886" w:themeColor="hyperlink"/>
      <w:u w:val="single"/>
    </w:rPr>
  </w:style>
  <w:style w:type="character" w:styleId="UnresolvedMention">
    <w:name w:val="Unresolved Mention"/>
    <w:basedOn w:val="DefaultParagraphFont"/>
    <w:uiPriority w:val="99"/>
    <w:semiHidden/>
    <w:unhideWhenUsed/>
    <w:rsid w:val="00907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dg.un.org/resources/guidance-note-new-generation-joint-programmes"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opp.undp.org/document/operating-guidelines-mptf-projects-implemented-undp-country-offices" TargetMode="External"/><Relationship Id="rId2" Type="http://schemas.openxmlformats.org/officeDocument/2006/relationships/numbering" Target="numbering.xml"/><Relationship Id="rId16" Type="http://schemas.openxmlformats.org/officeDocument/2006/relationships/hyperlink" Target="https://popp-test.acquia.undp.org/node/105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opp-test.acquia.undp.org/node/2681" TargetMode="External"/><Relationship Id="rId23" Type="http://schemas.openxmlformats.org/officeDocument/2006/relationships/theme" Target="theme/theme1.xml"/><Relationship Id="rId10" Type="http://schemas.openxmlformats.org/officeDocument/2006/relationships/hyperlink" Target="https://unsdg.un.org/resources/undg-guidance-establishing-managing-and-closing-multi-donor-trust-fun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sdg.un.org/resources/annexes-guidance-note-new-generation-joint-progammes" TargetMode="Externa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F4D1-3AA8-4C10-8BFF-F3507374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2026-05-12T00:27:00Z</dcterms:created>
  <dcterms:modified xsi:type="dcterms:W3CDTF">2026-05-12T01:23:00Z</dcterms:modified>
</cp:coreProperties>
</file>