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BA2F1" w14:textId="77777777" w:rsidR="002C28C1" w:rsidRPr="002412AE" w:rsidRDefault="002C28C1" w:rsidP="002C28C1">
      <w:pPr>
        <w:spacing w:after="260"/>
        <w:jc w:val="both"/>
        <w:rPr>
          <w:rFonts w:ascii="Calibri" w:hAnsi="Calibri" w:cs="Calibri"/>
          <w:sz w:val="28"/>
          <w:szCs w:val="28"/>
        </w:rPr>
      </w:pPr>
      <w:r w:rsidRPr="002412AE">
        <w:rPr>
          <w:rFonts w:ascii="Calibri" w:hAnsi="Calibri" w:cs="Calibri"/>
          <w:b/>
          <w:sz w:val="28"/>
          <w:szCs w:val="28"/>
        </w:rPr>
        <w:t>Gestion des fonds communs</w:t>
      </w:r>
    </w:p>
    <w:p w14:paraId="72B6E1CC" w14:textId="620BF0E0" w:rsidR="002C28C1" w:rsidRPr="002412AE" w:rsidRDefault="002C28C1" w:rsidP="002C28C1">
      <w:pPr>
        <w:numPr>
          <w:ilvl w:val="0"/>
          <w:numId w:val="1"/>
        </w:numPr>
        <w:spacing w:after="43" w:line="240" w:lineRule="auto"/>
        <w:ind w:right="456" w:hanging="360"/>
        <w:jc w:val="both"/>
        <w:rPr>
          <w:rFonts w:ascii="Calibri" w:hAnsi="Calibri" w:cs="Calibri"/>
          <w:sz w:val="22"/>
          <w:szCs w:val="22"/>
        </w:rPr>
      </w:pPr>
      <w:r w:rsidRPr="002412AE">
        <w:rPr>
          <w:rFonts w:ascii="Calibri" w:hAnsi="Calibri" w:cs="Calibri"/>
          <w:sz w:val="22"/>
          <w:szCs w:val="22"/>
        </w:rPr>
        <w:t xml:space="preserve">En vertu de la gestion des fonds communs, des organisations participantes des Nations Unies financent en commun une organisation des Nations Unies, appelée l’agent de gestion, choisie conjointement par les organisations participantes des Nations Unies en consultation avec le sous-partenaire national. L’agent de gestion appuiera le sous-partenaire national dans la gestion du programme. Cette option est sans doute l’approche la plus effective et efficace lorsque les organisations participantes des Nations Unies ont pour objectif des résultats communs avec un partenaire national ou sous-national commun (par exemple un département, un bureau de province, une organisation non gouvernementale (ONG)) ou dans une zone géographique commune. En ce qui concerne l’engagement avec les ONG avec des fonds communs par pays pour un appui humanitaire et en matière de développement, se référer aux </w:t>
      </w:r>
      <w:hyperlink r:id="rId7" w:history="1">
        <w:r>
          <w:rPr>
            <w:rStyle w:val="Hyperlink"/>
            <w:rFonts w:ascii="Calibri" w:hAnsi="Calibri" w:cs="Calibri"/>
            <w:sz w:val="22"/>
            <w:szCs w:val="22"/>
          </w:rPr>
          <w:t>Lignes directrices du PNUD relatives à l’engagement avec les ONG avec des fonds communs par pays (2016)</w:t>
        </w:r>
      </w:hyperlink>
      <w:r>
        <w:rPr>
          <w:rFonts w:ascii="Calibri" w:hAnsi="Calibri" w:cs="Calibri"/>
          <w:sz w:val="22"/>
          <w:szCs w:val="22"/>
        </w:rPr>
        <w:t xml:space="preserve"> </w:t>
      </w:r>
      <w:r>
        <w:rPr>
          <w:rFonts w:ascii="Calibri" w:eastAsia="Calibri" w:hAnsi="Calibri" w:cs="Calibri"/>
          <w:color w:val="000000"/>
          <w:kern w:val="0"/>
          <w:sz w:val="22"/>
          <w:szCs w:val="22"/>
          <w:lang w:val="es-ES" w:eastAsia="es-ES" w:bidi="es-ES"/>
          <w14:ligatures w14:val="none"/>
        </w:rPr>
        <w:t>(en anglais).</w:t>
      </w:r>
    </w:p>
    <w:p w14:paraId="6D013EAD" w14:textId="77777777" w:rsidR="002C28C1" w:rsidRPr="002412AE" w:rsidRDefault="002C28C1" w:rsidP="002C28C1">
      <w:pPr>
        <w:spacing w:after="43" w:line="240" w:lineRule="auto"/>
        <w:ind w:left="720" w:right="456"/>
        <w:jc w:val="both"/>
        <w:rPr>
          <w:rFonts w:ascii="Calibri" w:hAnsi="Calibri" w:cs="Calibri"/>
          <w:sz w:val="22"/>
          <w:szCs w:val="22"/>
        </w:rPr>
      </w:pPr>
    </w:p>
    <w:p w14:paraId="63CE5E85" w14:textId="103A0491" w:rsidR="002C28C1" w:rsidRPr="002412AE" w:rsidRDefault="002C28C1" w:rsidP="002C28C1">
      <w:pPr>
        <w:numPr>
          <w:ilvl w:val="0"/>
          <w:numId w:val="1"/>
        </w:numPr>
        <w:spacing w:after="43" w:line="258" w:lineRule="auto"/>
        <w:ind w:right="456" w:hanging="360"/>
        <w:jc w:val="both"/>
        <w:rPr>
          <w:rFonts w:ascii="Calibri" w:hAnsi="Calibri" w:cs="Calibri"/>
          <w:sz w:val="22"/>
          <w:szCs w:val="22"/>
        </w:rPr>
      </w:pPr>
      <w:r w:rsidRPr="002412AE">
        <w:rPr>
          <w:rFonts w:ascii="Calibri" w:hAnsi="Calibri" w:cs="Calibri"/>
          <w:sz w:val="22"/>
          <w:szCs w:val="22"/>
        </w:rPr>
        <w:t xml:space="preserve">Plus d’informations sont disponibles dans la </w:t>
      </w:r>
      <w:hyperlink r:id="rId8" w:history="1">
        <w:r>
          <w:rPr>
            <w:rStyle w:val="Hyperlink"/>
            <w:rFonts w:ascii="Calibri" w:hAnsi="Calibri" w:cs="Calibri"/>
            <w:sz w:val="22"/>
            <w:szCs w:val="22"/>
            <w:u w:color="0563C1"/>
          </w:rPr>
          <w:t>note d’orientation du Groupe des Nations Unies pour le développement durable (GNUDD) sur les modalités de financement des conjoints (Octobre 2022)</w:t>
        </w:r>
      </w:hyperlink>
      <w:r>
        <w:rPr>
          <w:rFonts w:ascii="Calibri" w:hAnsi="Calibri" w:cs="Calibri"/>
          <w:sz w:val="22"/>
          <w:szCs w:val="22"/>
        </w:rPr>
        <w:t xml:space="preserve"> </w:t>
      </w:r>
      <w:r>
        <w:rPr>
          <w:rFonts w:ascii="Calibri" w:eastAsia="Calibri" w:hAnsi="Calibri" w:cs="Calibri"/>
          <w:color w:val="000000"/>
          <w:kern w:val="0"/>
          <w:sz w:val="22"/>
          <w:szCs w:val="22"/>
          <w:lang w:val="es-ES" w:eastAsia="es-ES" w:bidi="es-ES"/>
          <w14:ligatures w14:val="none"/>
        </w:rPr>
        <w:t>(en anglais).</w:t>
      </w:r>
    </w:p>
    <w:p w14:paraId="7F0CEEE7" w14:textId="77777777" w:rsidR="002C28C1" w:rsidRPr="002412AE" w:rsidRDefault="002C28C1" w:rsidP="002C28C1">
      <w:pPr>
        <w:spacing w:after="0" w:line="251" w:lineRule="auto"/>
        <w:ind w:left="720" w:right="456"/>
        <w:jc w:val="both"/>
        <w:rPr>
          <w:rFonts w:ascii="Calibri" w:hAnsi="Calibri" w:cs="Calibri"/>
          <w:sz w:val="22"/>
          <w:szCs w:val="22"/>
        </w:rPr>
      </w:pPr>
    </w:p>
    <w:p w14:paraId="37704469" w14:textId="7FC2E6D3" w:rsidR="002C28C1" w:rsidRPr="002412AE" w:rsidRDefault="002C28C1" w:rsidP="002C28C1">
      <w:pPr>
        <w:numPr>
          <w:ilvl w:val="0"/>
          <w:numId w:val="1"/>
        </w:numPr>
        <w:spacing w:after="0" w:line="251" w:lineRule="auto"/>
        <w:ind w:right="456" w:hanging="360"/>
        <w:jc w:val="both"/>
        <w:rPr>
          <w:rFonts w:ascii="Calibri" w:hAnsi="Calibri" w:cs="Calibri"/>
          <w:sz w:val="22"/>
          <w:szCs w:val="22"/>
        </w:rPr>
      </w:pPr>
      <w:r w:rsidRPr="002412AE">
        <w:rPr>
          <w:rFonts w:ascii="Calibri" w:hAnsi="Calibri" w:cs="Calibri"/>
          <w:sz w:val="22"/>
          <w:szCs w:val="22"/>
        </w:rPr>
        <w:t xml:space="preserve">En ce qui concerne le rôle des dispositifs de financement commun de l’Organisation des Nations Unies pour respecter le Programme de développement durable à l’horizon 2030, voir la </w:t>
      </w:r>
      <w:hyperlink r:id="rId9" w:history="1">
        <w:r w:rsidRPr="002412AE">
          <w:rPr>
            <w:rStyle w:val="Hyperlink"/>
            <w:rFonts w:ascii="Calibri" w:hAnsi="Calibri" w:cs="Calibri"/>
            <w:sz w:val="22"/>
            <w:szCs w:val="22"/>
            <w:u w:color="0563C1"/>
          </w:rPr>
          <w:t>publication de l’ONUG sur le financement commun pour le Programme 2030</w:t>
        </w:r>
      </w:hyperlink>
      <w:r>
        <w:rPr>
          <w:rFonts w:ascii="Calibri" w:hAnsi="Calibri" w:cs="Calibri"/>
          <w:sz w:val="22"/>
          <w:szCs w:val="22"/>
        </w:rPr>
        <w:t xml:space="preserve"> </w:t>
      </w:r>
      <w:r>
        <w:rPr>
          <w:rFonts w:ascii="Calibri" w:eastAsia="Calibri" w:hAnsi="Calibri" w:cs="Calibri"/>
          <w:color w:val="000000"/>
          <w:kern w:val="0"/>
          <w:sz w:val="22"/>
          <w:szCs w:val="22"/>
          <w:lang w:val="es-ES" w:eastAsia="es-ES" w:bidi="es-ES"/>
          <w14:ligatures w14:val="none"/>
        </w:rPr>
        <w:t>(en anglais).</w:t>
      </w:r>
    </w:p>
    <w:p w14:paraId="0A3437FD" w14:textId="77777777" w:rsidR="002C28C1" w:rsidRPr="002412AE" w:rsidRDefault="002C28C1" w:rsidP="002412AE">
      <w:pPr>
        <w:spacing w:after="0" w:line="251" w:lineRule="auto"/>
        <w:ind w:right="456"/>
        <w:jc w:val="both"/>
        <w:rPr>
          <w:rFonts w:ascii="Calibri" w:hAnsi="Calibri" w:cs="Calibri"/>
          <w:sz w:val="22"/>
          <w:szCs w:val="22"/>
        </w:rPr>
      </w:pPr>
    </w:p>
    <w:p w14:paraId="68FD3F0B" w14:textId="77777777" w:rsidR="002C28C1" w:rsidRPr="002412AE" w:rsidRDefault="002C28C1" w:rsidP="002412AE">
      <w:pPr>
        <w:spacing w:after="173"/>
        <w:ind w:left="720"/>
        <w:jc w:val="both"/>
        <w:rPr>
          <w:rFonts w:ascii="Calibri" w:hAnsi="Calibri" w:cs="Calibri"/>
          <w:sz w:val="22"/>
          <w:szCs w:val="22"/>
        </w:rPr>
      </w:pPr>
      <w:r w:rsidRPr="002412AE">
        <w:rPr>
          <w:rFonts w:ascii="Calibri" w:hAnsi="Calibri" w:cs="Calibri"/>
          <w:noProof/>
          <w:sz w:val="22"/>
          <w:szCs w:val="22"/>
        </w:rPr>
        <w:drawing>
          <wp:inline distT="0" distB="0" distL="0" distR="0" wp14:anchorId="5DDF1118" wp14:editId="5045A91A">
            <wp:extent cx="5227320" cy="3627120"/>
            <wp:effectExtent l="0" t="0" r="0" b="0"/>
            <wp:docPr id="1862020286" name="Picture 1862020286"/>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10" cstate="print"/>
                    <a:stretch>
                      <a:fillRect/>
                    </a:stretch>
                  </pic:blipFill>
                  <pic:spPr>
                    <a:xfrm>
                      <a:off x="0" y="0"/>
                      <a:ext cx="5232224" cy="3630523"/>
                    </a:xfrm>
                    <a:prstGeom prst="rect">
                      <a:avLst/>
                    </a:prstGeom>
                  </pic:spPr>
                </pic:pic>
              </a:graphicData>
            </a:graphic>
          </wp:inline>
        </w:drawing>
      </w:r>
    </w:p>
    <w:p w14:paraId="15D22E58" w14:textId="77777777" w:rsidR="002C28C1" w:rsidRPr="002412AE" w:rsidRDefault="002C28C1" w:rsidP="002C28C1">
      <w:pPr>
        <w:spacing w:after="201"/>
        <w:jc w:val="both"/>
        <w:rPr>
          <w:rFonts w:ascii="Calibri" w:hAnsi="Calibri" w:cs="Calibri"/>
          <w:b/>
          <w:sz w:val="22"/>
          <w:szCs w:val="22"/>
        </w:rPr>
      </w:pPr>
    </w:p>
    <w:p w14:paraId="3B48AC8D" w14:textId="77777777" w:rsidR="002C28C1" w:rsidRPr="002412AE" w:rsidRDefault="002C28C1" w:rsidP="002C28C1">
      <w:pPr>
        <w:spacing w:after="201"/>
        <w:jc w:val="both"/>
        <w:rPr>
          <w:rFonts w:ascii="Calibri" w:hAnsi="Calibri" w:cs="Calibri"/>
          <w:sz w:val="22"/>
          <w:szCs w:val="22"/>
        </w:rPr>
      </w:pPr>
      <w:r w:rsidRPr="002412AE">
        <w:rPr>
          <w:rFonts w:ascii="Calibri" w:hAnsi="Calibri" w:cs="Calibri"/>
          <w:b/>
          <w:sz w:val="22"/>
          <w:szCs w:val="22"/>
        </w:rPr>
        <w:lastRenderedPageBreak/>
        <w:t>Responsabilité redditionnelle</w:t>
      </w:r>
    </w:p>
    <w:p w14:paraId="6E107B1B" w14:textId="77777777" w:rsidR="002C28C1" w:rsidRPr="002412AE" w:rsidRDefault="002C28C1" w:rsidP="002C28C1">
      <w:pPr>
        <w:numPr>
          <w:ilvl w:val="0"/>
          <w:numId w:val="1"/>
        </w:numPr>
        <w:spacing w:after="0" w:line="251" w:lineRule="auto"/>
        <w:ind w:right="456" w:hanging="360"/>
        <w:jc w:val="both"/>
        <w:rPr>
          <w:rFonts w:ascii="Calibri" w:hAnsi="Calibri" w:cs="Calibri"/>
          <w:sz w:val="22"/>
          <w:szCs w:val="22"/>
        </w:rPr>
      </w:pPr>
      <w:r w:rsidRPr="002412AE">
        <w:rPr>
          <w:rFonts w:ascii="Calibri" w:hAnsi="Calibri" w:cs="Calibri"/>
          <w:sz w:val="22"/>
          <w:szCs w:val="22"/>
        </w:rPr>
        <w:t>La responsabilité de l’intégralité du programme et la responsabilité financière appartiennent à l’agent de gestion. Lorsque le PNUD est l’agent de gestion, sa responsabilité redditionnelle standard pour ses ressources de programme s’applique (tel que prévu dans la gestion des résultats du PNUD, et dans les politiques et procédures financières et budgétaires).</w:t>
      </w:r>
    </w:p>
    <w:p w14:paraId="094FAB81" w14:textId="77777777" w:rsidR="002C28C1" w:rsidRDefault="002C28C1" w:rsidP="002C28C1">
      <w:pPr>
        <w:spacing w:after="0" w:line="251" w:lineRule="auto"/>
        <w:ind w:right="456"/>
        <w:jc w:val="both"/>
        <w:rPr>
          <w:rFonts w:ascii="Calibri" w:hAnsi="Calibri" w:cs="Calibri"/>
          <w:sz w:val="22"/>
          <w:szCs w:val="22"/>
        </w:rPr>
      </w:pPr>
    </w:p>
    <w:p w14:paraId="64706565" w14:textId="77777777" w:rsidR="002C28C1" w:rsidRDefault="002C28C1" w:rsidP="002C28C1">
      <w:pPr>
        <w:spacing w:after="0" w:line="251" w:lineRule="auto"/>
        <w:ind w:right="456"/>
        <w:jc w:val="both"/>
        <w:rPr>
          <w:rFonts w:ascii="Calibri" w:hAnsi="Calibri" w:cs="Calibri"/>
          <w:sz w:val="22"/>
          <w:szCs w:val="22"/>
        </w:rPr>
      </w:pPr>
    </w:p>
    <w:p w14:paraId="2989EDDE" w14:textId="77777777" w:rsidR="002C28C1" w:rsidRDefault="002C28C1" w:rsidP="002C28C1">
      <w:pPr>
        <w:spacing w:after="0" w:line="251" w:lineRule="auto"/>
        <w:ind w:right="456"/>
        <w:jc w:val="both"/>
        <w:rPr>
          <w:rFonts w:ascii="Calibri" w:hAnsi="Calibri" w:cs="Calibri"/>
          <w:sz w:val="22"/>
          <w:szCs w:val="22"/>
        </w:rPr>
      </w:pPr>
    </w:p>
    <w:p w14:paraId="7FAAD37A" w14:textId="77777777" w:rsidR="002C28C1" w:rsidRDefault="002C28C1" w:rsidP="002C28C1">
      <w:pPr>
        <w:spacing w:after="0" w:line="251" w:lineRule="auto"/>
        <w:ind w:right="456"/>
        <w:jc w:val="both"/>
        <w:rPr>
          <w:rFonts w:ascii="Calibri" w:hAnsi="Calibri" w:cs="Calibri"/>
          <w:sz w:val="22"/>
          <w:szCs w:val="22"/>
        </w:rPr>
      </w:pPr>
    </w:p>
    <w:p w14:paraId="5B0A9D67" w14:textId="77777777" w:rsidR="002C28C1" w:rsidRDefault="002C28C1" w:rsidP="002C28C1">
      <w:pPr>
        <w:spacing w:after="0" w:line="251" w:lineRule="auto"/>
        <w:ind w:right="456"/>
        <w:jc w:val="both"/>
        <w:rPr>
          <w:rFonts w:ascii="Calibri" w:hAnsi="Calibri" w:cs="Calibri"/>
          <w:sz w:val="22"/>
          <w:szCs w:val="22"/>
        </w:rPr>
      </w:pPr>
    </w:p>
    <w:p w14:paraId="4BC1B2EF" w14:textId="77777777" w:rsidR="002C28C1" w:rsidRPr="002412AE" w:rsidRDefault="002C28C1" w:rsidP="002C28C1">
      <w:pPr>
        <w:spacing w:after="0" w:line="251" w:lineRule="auto"/>
        <w:ind w:right="456"/>
        <w:jc w:val="both"/>
        <w:rPr>
          <w:rFonts w:ascii="Calibri" w:hAnsi="Calibri" w:cs="Calibri"/>
          <w:sz w:val="22"/>
          <w:szCs w:val="22"/>
        </w:rPr>
      </w:pPr>
    </w:p>
    <w:p w14:paraId="50732E88" w14:textId="33A33F6B" w:rsidR="002C28C1" w:rsidRPr="002412AE" w:rsidRDefault="002C28C1" w:rsidP="002412AE">
      <w:pPr>
        <w:pStyle w:val="NormalWeb"/>
        <w:shd w:val="clear" w:color="auto" w:fill="FFFFFF"/>
        <w:spacing w:before="0" w:beforeAutospacing="0" w:after="0" w:afterAutospacing="0"/>
        <w:rPr>
          <w:rFonts w:ascii="Calibri" w:hAnsi="Calibri" w:cs="Calibri"/>
          <w:i/>
          <w:sz w:val="22"/>
          <w:szCs w:val="22"/>
          <w:lang w:val="fr-FR"/>
        </w:rPr>
      </w:pPr>
      <w:r w:rsidRPr="002C28C1">
        <w:rPr>
          <w:rFonts w:ascii="Calibri" w:hAnsi="Calibri" w:cs="Calibri"/>
          <w:b/>
          <w:bCs/>
          <w:i/>
          <w:sz w:val="22"/>
          <w:szCs w:val="22"/>
          <w:u w:val="single"/>
          <w:lang w:val="fr-FR"/>
        </w:rPr>
        <w:t>Avertissement :</w:t>
      </w:r>
      <w:r w:rsidRPr="002C28C1">
        <w:rPr>
          <w:rFonts w:ascii="Calibri" w:hAnsi="Calibri" w:cs="Calibri"/>
          <w:i/>
          <w:sz w:val="22"/>
          <w:szCs w:val="22"/>
          <w:lang w:val="fr-FR"/>
        </w:rPr>
        <w:t> Ce document a été traduit de l'anglais vers le français. En cas de divergence entre cette traduction et le document anglais original, le document anglais original prévaudra.</w:t>
      </w:r>
    </w:p>
    <w:p w14:paraId="6DCCF9DC" w14:textId="77777777" w:rsidR="002C28C1" w:rsidRPr="002412AE" w:rsidRDefault="002C28C1" w:rsidP="002412AE">
      <w:pPr>
        <w:pStyle w:val="NormalWeb"/>
        <w:shd w:val="clear" w:color="auto" w:fill="FFFFFF"/>
        <w:spacing w:before="0" w:beforeAutospacing="0" w:after="0" w:afterAutospacing="0"/>
        <w:rPr>
          <w:rFonts w:ascii="Calibri" w:hAnsi="Calibri" w:cs="Calibri"/>
          <w:i/>
          <w:sz w:val="22"/>
          <w:szCs w:val="22"/>
          <w:lang w:val="fr-FR"/>
        </w:rPr>
      </w:pPr>
    </w:p>
    <w:p w14:paraId="6B9A60AF" w14:textId="77777777" w:rsidR="002C28C1" w:rsidRPr="002412AE" w:rsidRDefault="002C28C1" w:rsidP="002412AE">
      <w:pPr>
        <w:pStyle w:val="NormalWeb"/>
        <w:shd w:val="clear" w:color="auto" w:fill="FFFFFF"/>
        <w:spacing w:before="0" w:beforeAutospacing="0" w:after="0" w:afterAutospacing="0"/>
        <w:rPr>
          <w:rFonts w:ascii="Calibri" w:hAnsi="Calibri" w:cs="Calibri"/>
          <w:i/>
          <w:sz w:val="22"/>
          <w:szCs w:val="22"/>
        </w:rPr>
      </w:pPr>
      <w:r w:rsidRPr="002C28C1">
        <w:rPr>
          <w:rFonts w:ascii="Calibri" w:hAnsi="Calibri" w:cs="Calibri"/>
          <w:b/>
          <w:i/>
          <w:sz w:val="22"/>
          <w:szCs w:val="22"/>
          <w:u w:val="single"/>
          <w:lang w:val="en-GB"/>
        </w:rPr>
        <w:t>Disclaimer</w:t>
      </w:r>
      <w:r w:rsidRPr="002C28C1">
        <w:rPr>
          <w:rFonts w:ascii="Calibri" w:hAnsi="Calibri" w:cs="Calibri"/>
          <w:i/>
          <w:sz w:val="22"/>
          <w:szCs w:val="22"/>
          <w:lang w:val="en-GB"/>
        </w:rPr>
        <w:t>: This document was translated from English into French. In the event of any discrepancy between this translation and the original English document, the original English document shall prevail.</w:t>
      </w:r>
    </w:p>
    <w:p w14:paraId="1C7C0BD8" w14:textId="77777777" w:rsidR="002C28C1" w:rsidRPr="002412AE" w:rsidRDefault="002C28C1" w:rsidP="002412AE">
      <w:pPr>
        <w:spacing w:after="0" w:line="251" w:lineRule="auto"/>
        <w:ind w:right="456"/>
        <w:rPr>
          <w:rFonts w:ascii="Calibri" w:hAnsi="Calibri" w:cs="Calibri"/>
          <w:sz w:val="22"/>
          <w:szCs w:val="22"/>
        </w:rPr>
      </w:pPr>
    </w:p>
    <w:p w14:paraId="03F9962F" w14:textId="77777777" w:rsidR="00DA504D" w:rsidRPr="002412AE" w:rsidRDefault="00DA504D">
      <w:pPr>
        <w:rPr>
          <w:rFonts w:ascii="Calibri" w:hAnsi="Calibri" w:cs="Calibri"/>
          <w:sz w:val="22"/>
          <w:szCs w:val="22"/>
        </w:rPr>
      </w:pPr>
    </w:p>
    <w:sectPr w:rsidR="00DA504D" w:rsidRPr="002412AE" w:rsidSect="002412AE">
      <w:headerReference w:type="default" r:id="rId11"/>
      <w:footerReference w:type="default" r:id="rId12"/>
      <w:pgSz w:w="12240" w:h="15840"/>
      <w:pgMar w:top="1890" w:right="89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3D63" w14:textId="77777777" w:rsidR="001F1E33" w:rsidRDefault="001F1E33" w:rsidP="00151382">
      <w:pPr>
        <w:spacing w:after="0" w:line="240" w:lineRule="auto"/>
      </w:pPr>
      <w:r>
        <w:separator/>
      </w:r>
    </w:p>
  </w:endnote>
  <w:endnote w:type="continuationSeparator" w:id="0">
    <w:p w14:paraId="57F36CD9" w14:textId="77777777" w:rsidR="001F1E33" w:rsidRDefault="001F1E33" w:rsidP="0015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DE28" w14:textId="2A07CEE8" w:rsidR="00151382" w:rsidRDefault="002C28C1">
    <w:pPr>
      <w:pStyle w:val="Footer"/>
    </w:pPr>
    <w:r>
      <w:t xml:space="preserve">Page </w:t>
    </w:r>
    <w:r>
      <w:rPr>
        <w:b/>
      </w:rPr>
      <w:fldChar w:fldCharType="begin"/>
    </w:r>
    <w:r>
      <w:rPr>
        <w:b/>
      </w:rPr>
      <w:instrText xml:space="preserve"> PAGE  \* Arabic  \* MERGEFORMAT </w:instrText>
    </w:r>
    <w:r>
      <w:rPr>
        <w:b/>
      </w:rPr>
      <w:fldChar w:fldCharType="separate"/>
    </w:r>
    <w:r>
      <w:rPr>
        <w:b/>
      </w:rPr>
      <w:t>1</w:t>
    </w:r>
    <w:r>
      <w:rPr>
        <w:b/>
      </w:rPr>
      <w:fldChar w:fldCharType="end"/>
    </w:r>
    <w:r>
      <w:t xml:space="preserve"> de </w:t>
    </w:r>
    <w:r>
      <w:rPr>
        <w:b/>
      </w:rPr>
      <w:fldChar w:fldCharType="begin"/>
    </w:r>
    <w:r>
      <w:rPr>
        <w:b/>
      </w:rPr>
      <w:instrText xml:space="preserve"> NUMPAGES  \* Arabic  \* MERGEFORMAT </w:instrText>
    </w:r>
    <w:r>
      <w:rPr>
        <w:b/>
      </w:rPr>
      <w:fldChar w:fldCharType="separate"/>
    </w:r>
    <w:r>
      <w:rPr>
        <w:b/>
      </w:rPr>
      <w:t>2</w:t>
    </w:r>
    <w:r>
      <w:rPr>
        <w:b/>
      </w:rPr>
      <w:fldChar w:fldCharType="end"/>
    </w:r>
    <w:r>
      <w:ptab w:relativeTo="margin" w:alignment="center" w:leader="none"/>
    </w:r>
    <w:r w:rsidRPr="00820B4A">
      <w:t xml:space="preserve"> </w:t>
    </w:r>
    <w:r w:rsidRPr="007F3BA9">
      <w:t>Date d’entrée en vigueur </w:t>
    </w:r>
    <w:r>
      <w:t>: 01/01/2012</w:t>
    </w:r>
    <w:r>
      <w:ptab w:relativeTo="margin" w:alignment="right" w:leader="none"/>
    </w:r>
    <w:r>
      <w:t xml:space="preserve">Version #: </w:t>
    </w:r>
    <w:sdt>
      <w:sdtPr>
        <w:alias w:val="POPPRefItemVersion"/>
        <w:tag w:val="UNDP_POPP_REFITEM_VERSION"/>
        <w:id w:val="234447057"/>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6E7DA4C-A4B3-499E-8FC7-9CDC785D700C}"/>
        <w:text/>
      </w:sdtPr>
      <w:sdtContent>
        <w:r>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84A8" w14:textId="77777777" w:rsidR="001F1E33" w:rsidRDefault="001F1E33" w:rsidP="00151382">
      <w:pPr>
        <w:spacing w:after="0" w:line="240" w:lineRule="auto"/>
      </w:pPr>
      <w:r>
        <w:separator/>
      </w:r>
    </w:p>
  </w:footnote>
  <w:footnote w:type="continuationSeparator" w:id="0">
    <w:p w14:paraId="7CD1A0C9" w14:textId="77777777" w:rsidR="001F1E33" w:rsidRDefault="001F1E33" w:rsidP="00151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DA3D" w14:textId="1B541C53" w:rsidR="00151382" w:rsidRDefault="00151382">
    <w:pPr>
      <w:pStyle w:val="Header"/>
    </w:pPr>
    <w:r>
      <w:rPr>
        <w:noProof/>
      </w:rPr>
      <w:drawing>
        <wp:anchor distT="0" distB="0" distL="114300" distR="114300" simplePos="0" relativeHeight="251659264" behindDoc="0" locked="0" layoutInCell="1" allowOverlap="1" wp14:anchorId="156C0EDF" wp14:editId="4712B95B">
          <wp:simplePos x="0" y="0"/>
          <wp:positionH relativeFrom="margin">
            <wp:align>right</wp:align>
          </wp:positionH>
          <wp:positionV relativeFrom="paragraph">
            <wp:posOffset>-68580</wp:posOffset>
          </wp:positionV>
          <wp:extent cx="283210" cy="553085"/>
          <wp:effectExtent l="0" t="0" r="2540" b="0"/>
          <wp:wrapNone/>
          <wp:docPr id="2037365787" name="Picture 2037365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p>
  <w:p w14:paraId="5081A67F" w14:textId="77777777" w:rsidR="00151382" w:rsidRDefault="00151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055C3"/>
    <w:multiLevelType w:val="hybridMultilevel"/>
    <w:tmpl w:val="B874DD74"/>
    <w:lvl w:ilvl="0" w:tplc="3FF8800E">
      <w:start w:val="1"/>
      <w:numFmt w:val="decimal"/>
      <w:lvlText w:val="%1."/>
      <w:lvlJc w:val="left"/>
      <w:pPr>
        <w:ind w:left="72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C4CEB55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066160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2B2D50A">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702E1DA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F2A7C7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361401E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71EB84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158DEA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35333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82"/>
    <w:rsid w:val="000B2066"/>
    <w:rsid w:val="00151382"/>
    <w:rsid w:val="001B60B9"/>
    <w:rsid w:val="001F1E33"/>
    <w:rsid w:val="002412AE"/>
    <w:rsid w:val="00254B3A"/>
    <w:rsid w:val="002C28C1"/>
    <w:rsid w:val="002E6FDC"/>
    <w:rsid w:val="007776F6"/>
    <w:rsid w:val="0079185D"/>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048A4"/>
  <w15:chartTrackingRefBased/>
  <w15:docId w15:val="{3E17D339-C2AA-4B13-8EE4-A9AE6F12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3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3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3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3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3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3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3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3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3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3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3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3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382"/>
    <w:rPr>
      <w:rFonts w:eastAsiaTheme="majorEastAsia" w:cstheme="majorBidi"/>
      <w:color w:val="272727" w:themeColor="text1" w:themeTint="D8"/>
    </w:rPr>
  </w:style>
  <w:style w:type="paragraph" w:styleId="Title">
    <w:name w:val="Title"/>
    <w:basedOn w:val="Normal"/>
    <w:next w:val="Normal"/>
    <w:link w:val="TitleChar"/>
    <w:uiPriority w:val="10"/>
    <w:qFormat/>
    <w:rsid w:val="00151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3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382"/>
    <w:pPr>
      <w:spacing w:before="160"/>
      <w:jc w:val="center"/>
    </w:pPr>
    <w:rPr>
      <w:i/>
      <w:iCs/>
      <w:color w:val="404040" w:themeColor="text1" w:themeTint="BF"/>
    </w:rPr>
  </w:style>
  <w:style w:type="character" w:customStyle="1" w:styleId="QuoteChar">
    <w:name w:val="Quote Char"/>
    <w:basedOn w:val="DefaultParagraphFont"/>
    <w:link w:val="Quote"/>
    <w:uiPriority w:val="29"/>
    <w:rsid w:val="00151382"/>
    <w:rPr>
      <w:i/>
      <w:iCs/>
      <w:color w:val="404040" w:themeColor="text1" w:themeTint="BF"/>
    </w:rPr>
  </w:style>
  <w:style w:type="paragraph" w:styleId="ListParagraph">
    <w:name w:val="List Paragraph"/>
    <w:basedOn w:val="Normal"/>
    <w:uiPriority w:val="34"/>
    <w:qFormat/>
    <w:rsid w:val="00151382"/>
    <w:pPr>
      <w:ind w:left="720"/>
      <w:contextualSpacing/>
    </w:pPr>
  </w:style>
  <w:style w:type="character" w:styleId="IntenseEmphasis">
    <w:name w:val="Intense Emphasis"/>
    <w:basedOn w:val="DefaultParagraphFont"/>
    <w:uiPriority w:val="21"/>
    <w:qFormat/>
    <w:rsid w:val="00151382"/>
    <w:rPr>
      <w:i/>
      <w:iCs/>
      <w:color w:val="0F4761" w:themeColor="accent1" w:themeShade="BF"/>
    </w:rPr>
  </w:style>
  <w:style w:type="paragraph" w:styleId="IntenseQuote">
    <w:name w:val="Intense Quote"/>
    <w:basedOn w:val="Normal"/>
    <w:next w:val="Normal"/>
    <w:link w:val="IntenseQuoteChar"/>
    <w:uiPriority w:val="30"/>
    <w:qFormat/>
    <w:rsid w:val="00151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382"/>
    <w:rPr>
      <w:i/>
      <w:iCs/>
      <w:color w:val="0F4761" w:themeColor="accent1" w:themeShade="BF"/>
    </w:rPr>
  </w:style>
  <w:style w:type="character" w:styleId="IntenseReference">
    <w:name w:val="Intense Reference"/>
    <w:basedOn w:val="DefaultParagraphFont"/>
    <w:uiPriority w:val="32"/>
    <w:qFormat/>
    <w:rsid w:val="00151382"/>
    <w:rPr>
      <w:b/>
      <w:bCs/>
      <w:smallCaps/>
      <w:color w:val="0F4761" w:themeColor="accent1" w:themeShade="BF"/>
      <w:spacing w:val="5"/>
    </w:rPr>
  </w:style>
  <w:style w:type="paragraph" w:styleId="Header">
    <w:name w:val="header"/>
    <w:basedOn w:val="Normal"/>
    <w:link w:val="HeaderChar"/>
    <w:uiPriority w:val="99"/>
    <w:unhideWhenUsed/>
    <w:rsid w:val="00151382"/>
    <w:pPr>
      <w:tabs>
        <w:tab w:val="center" w:pos="4680"/>
        <w:tab w:val="right" w:pos="9360"/>
      </w:tabs>
      <w:spacing w:after="0" w:line="240" w:lineRule="auto"/>
    </w:pPr>
    <w:rPr>
      <w:rFonts w:ascii="Calibri" w:eastAsia="Calibri" w:hAnsi="Calibri" w:cs="Calibri"/>
      <w:color w:val="000000"/>
      <w:kern w:val="0"/>
      <w:sz w:val="22"/>
      <w:szCs w:val="22"/>
      <w:lang w:val="es-ES" w:eastAsia="es-ES" w:bidi="es-ES"/>
      <w14:ligatures w14:val="none"/>
    </w:rPr>
  </w:style>
  <w:style w:type="character" w:customStyle="1" w:styleId="HeaderChar">
    <w:name w:val="Header Char"/>
    <w:basedOn w:val="DefaultParagraphFont"/>
    <w:link w:val="Header"/>
    <w:uiPriority w:val="99"/>
    <w:rsid w:val="00151382"/>
    <w:rPr>
      <w:rFonts w:ascii="Calibri" w:eastAsia="Calibri" w:hAnsi="Calibri" w:cs="Calibri"/>
      <w:color w:val="000000"/>
      <w:kern w:val="0"/>
      <w:sz w:val="22"/>
      <w:szCs w:val="22"/>
      <w:lang w:val="es-ES" w:eastAsia="es-ES" w:bidi="es-ES"/>
      <w14:ligatures w14:val="none"/>
    </w:rPr>
  </w:style>
  <w:style w:type="paragraph" w:styleId="Footer">
    <w:name w:val="footer"/>
    <w:basedOn w:val="Normal"/>
    <w:link w:val="FooterChar"/>
    <w:uiPriority w:val="99"/>
    <w:unhideWhenUsed/>
    <w:rsid w:val="00151382"/>
    <w:pPr>
      <w:tabs>
        <w:tab w:val="center" w:pos="4680"/>
        <w:tab w:val="right" w:pos="9360"/>
      </w:tabs>
      <w:spacing w:after="0" w:line="240" w:lineRule="auto"/>
    </w:pPr>
    <w:rPr>
      <w:rFonts w:ascii="Calibri" w:eastAsia="Calibri" w:hAnsi="Calibri" w:cs="Calibri"/>
      <w:color w:val="000000"/>
      <w:kern w:val="0"/>
      <w:sz w:val="22"/>
      <w:szCs w:val="22"/>
      <w:lang w:val="es-ES" w:eastAsia="es-ES" w:bidi="es-ES"/>
      <w14:ligatures w14:val="none"/>
    </w:rPr>
  </w:style>
  <w:style w:type="character" w:customStyle="1" w:styleId="FooterChar">
    <w:name w:val="Footer Char"/>
    <w:basedOn w:val="DefaultParagraphFont"/>
    <w:link w:val="Footer"/>
    <w:uiPriority w:val="99"/>
    <w:rsid w:val="00151382"/>
    <w:rPr>
      <w:rFonts w:ascii="Calibri" w:eastAsia="Calibri" w:hAnsi="Calibri" w:cs="Calibri"/>
      <w:color w:val="000000"/>
      <w:kern w:val="0"/>
      <w:sz w:val="22"/>
      <w:szCs w:val="22"/>
      <w:lang w:val="es-ES" w:eastAsia="es-ES" w:bidi="es-ES"/>
      <w14:ligatures w14:val="none"/>
    </w:rPr>
  </w:style>
  <w:style w:type="paragraph" w:styleId="Revision">
    <w:name w:val="Revision"/>
    <w:hidden/>
    <w:uiPriority w:val="99"/>
    <w:semiHidden/>
    <w:rsid w:val="00151382"/>
    <w:pPr>
      <w:spacing w:after="0" w:line="240" w:lineRule="auto"/>
    </w:pPr>
  </w:style>
  <w:style w:type="character" w:styleId="Hyperlink">
    <w:name w:val="Hyperlink"/>
    <w:basedOn w:val="DefaultParagraphFont"/>
    <w:uiPriority w:val="99"/>
    <w:unhideWhenUsed/>
    <w:rsid w:val="002C28C1"/>
    <w:rPr>
      <w:color w:val="467886" w:themeColor="hyperlink"/>
      <w:u w:val="single"/>
    </w:rPr>
  </w:style>
  <w:style w:type="table" w:styleId="TableGrid">
    <w:name w:val="Table Grid"/>
    <w:basedOn w:val="TableNormal"/>
    <w:uiPriority w:val="39"/>
    <w:rsid w:val="002C28C1"/>
    <w:pPr>
      <w:spacing w:after="0" w:line="240" w:lineRule="auto"/>
    </w:pPr>
    <w:rPr>
      <w:rFonts w:eastAsiaTheme="minorEastAsia"/>
      <w:kern w:val="0"/>
      <w:sz w:val="22"/>
      <w:szCs w:val="22"/>
      <w:lang w:val="fr-FR" w:eastAsia="fr-FR" w:bidi="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28C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g.org/document/guidance-note-on-joint-programm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sdg.un.org/resources/annexes-guidance-note-new-generation-joint-progamm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opp.undp.org/node/50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2026-05-04T23:31:00Z</dcterms:created>
  <dcterms:modified xsi:type="dcterms:W3CDTF">2026-05-05T00:05:00Z</dcterms:modified>
</cp:coreProperties>
</file>