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EE295" w14:textId="77777777" w:rsidR="003B5F2B" w:rsidRPr="003B5F2B" w:rsidRDefault="003B5F2B" w:rsidP="003B5F2B">
      <w:pPr>
        <w:spacing w:after="260" w:line="259" w:lineRule="auto"/>
        <w:rPr>
          <w:rFonts w:ascii="Calibri" w:eastAsia="Calibri" w:hAnsi="Calibri" w:cs="Calibri"/>
          <w:kern w:val="0"/>
          <w:sz w:val="22"/>
          <w:szCs w:val="22"/>
          <w:lang w:val="es-ES" w:eastAsia="es-ES" w:bidi="es-ES"/>
          <w14:ligatures w14:val="none"/>
        </w:rPr>
      </w:pPr>
      <w:r w:rsidRPr="003B5F2B">
        <w:rPr>
          <w:rFonts w:ascii="Calibri" w:eastAsia="Calibri" w:hAnsi="Calibri" w:cs="Calibri"/>
          <w:b/>
          <w:kern w:val="0"/>
          <w:sz w:val="28"/>
          <w:szCs w:val="22"/>
          <w:lang w:val="es-ES" w:eastAsia="es-ES" w:bidi="es-ES"/>
          <w14:ligatures w14:val="none"/>
        </w:rPr>
        <w:t xml:space="preserve">Gestión de Fondos Mancomunados  </w:t>
      </w:r>
    </w:p>
    <w:p w14:paraId="2F572919" w14:textId="57465BC1" w:rsidR="003B5F2B" w:rsidRPr="003B5F2B" w:rsidRDefault="003B5F2B" w:rsidP="003B5F2B">
      <w:pPr>
        <w:numPr>
          <w:ilvl w:val="0"/>
          <w:numId w:val="1"/>
        </w:numPr>
        <w:spacing w:after="43" w:line="240" w:lineRule="auto"/>
        <w:ind w:right="456" w:hanging="360"/>
        <w:rPr>
          <w:rFonts w:ascii="Calibri" w:eastAsia="Calibri" w:hAnsi="Calibri" w:cs="Calibri"/>
          <w:color w:val="000000"/>
          <w:kern w:val="0"/>
          <w:sz w:val="22"/>
          <w:szCs w:val="22"/>
          <w:lang w:val="es-ES" w:eastAsia="es-ES" w:bidi="es-ES"/>
          <w14:ligatures w14:val="none"/>
        </w:rPr>
      </w:pPr>
      <w:r w:rsidRPr="003B5F2B">
        <w:rPr>
          <w:rFonts w:ascii="Calibri" w:eastAsia="Calibri" w:hAnsi="Calibri" w:cs="Calibri"/>
          <w:kern w:val="0"/>
          <w:sz w:val="22"/>
          <w:szCs w:val="22"/>
          <w:lang w:val="es-ES" w:eastAsia="es-ES" w:bidi="es-ES"/>
          <w14:ligatures w14:val="none"/>
        </w:rPr>
        <w:t xml:space="preserve">En la Gestión de Fondos Mancomunados, las organizaciones participantes de la ONU juntan sus fondos en una organización de la ONU, llamada </w:t>
      </w:r>
      <w:r w:rsidRPr="003B5F2B">
        <w:rPr>
          <w:rFonts w:ascii="Calibri" w:eastAsia="Calibri" w:hAnsi="Calibri" w:cs="Calibri"/>
          <w:b/>
          <w:kern w:val="0"/>
          <w:sz w:val="22"/>
          <w:szCs w:val="22"/>
          <w:lang w:val="es-ES" w:eastAsia="es-ES" w:bidi="es-ES"/>
          <w14:ligatures w14:val="none"/>
        </w:rPr>
        <w:t>el Agente Gestor (MA)</w:t>
      </w:r>
      <w:r w:rsidRPr="003B5F2B">
        <w:rPr>
          <w:rFonts w:ascii="Calibri" w:eastAsia="Calibri" w:hAnsi="Calibri" w:cs="Calibri"/>
          <w:kern w:val="0"/>
          <w:sz w:val="22"/>
          <w:szCs w:val="22"/>
          <w:lang w:val="es-ES" w:eastAsia="es-ES" w:bidi="es-ES"/>
          <w14:ligatures w14:val="none"/>
        </w:rPr>
        <w:t xml:space="preserve">, elegido conjuntamente por las organizaciones participantes de la ONU en colaboración con el asociado (sub)nacional. El MA apoyará al asociado (sub)nacional en la gestión del programa. Esta opción puede ser el enfoque más efectivo y eficiente cuando las organizaciones participantes de la ONU trabajan en pos de resultados comunes con un asociado nacional o subnacional común (p. ej., Departamento, oficina provincial, ONG) y/o en un área geográfica común. </w:t>
      </w:r>
      <w:r w:rsidRPr="003B5F2B">
        <w:rPr>
          <w:rFonts w:ascii="Calibri" w:eastAsia="Calibri" w:hAnsi="Calibri" w:cs="Calibri"/>
          <w:color w:val="000000"/>
          <w:kern w:val="0"/>
          <w:sz w:val="22"/>
          <w:szCs w:val="22"/>
          <w:lang w:val="es-ES" w:eastAsia="es-ES" w:bidi="es-ES"/>
          <w14:ligatures w14:val="none"/>
        </w:rPr>
        <w:t xml:space="preserve">Para la participación con ONG bajo Fondos Mancomunados de Países Concretos para el apoyo humanitario y de desarrollo, consultar las </w:t>
      </w:r>
      <w:hyperlink r:id="rId7" w:history="1">
        <w:r>
          <w:rPr>
            <w:rFonts w:ascii="Calibri" w:eastAsia="Calibri" w:hAnsi="Calibri" w:cs="Calibri"/>
            <w:color w:val="0563C1"/>
            <w:kern w:val="0"/>
            <w:sz w:val="22"/>
            <w:szCs w:val="22"/>
            <w:u w:val="single"/>
            <w:lang w:val="es-ES" w:eastAsia="es-ES" w:bidi="es-ES"/>
            <w14:ligatures w14:val="none"/>
          </w:rPr>
          <w:t>Directrices del PNUD para la Participación con ONG bajo Fondos Mancomunados de Países Concretos (2016)</w:t>
        </w:r>
      </w:hyperlink>
      <w:r>
        <w:rPr>
          <w:rFonts w:ascii="Calibri" w:eastAsia="Calibri" w:hAnsi="Calibri" w:cs="Calibri"/>
          <w:color w:val="000000"/>
          <w:kern w:val="0"/>
          <w:sz w:val="22"/>
          <w:szCs w:val="22"/>
          <w:lang w:val="es-ES" w:eastAsia="es-ES" w:bidi="es-ES"/>
          <w14:ligatures w14:val="none"/>
        </w:rPr>
        <w:t xml:space="preserve"> (</w:t>
      </w:r>
      <w:r w:rsidRPr="003B5F2B">
        <w:rPr>
          <w:rFonts w:ascii="Calibri" w:eastAsia="Calibri" w:hAnsi="Calibri" w:cs="Calibri"/>
          <w:color w:val="000000"/>
          <w:kern w:val="0"/>
          <w:sz w:val="22"/>
          <w:szCs w:val="22"/>
          <w:lang w:val="es-ES" w:eastAsia="es-ES" w:bidi="es-ES"/>
          <w14:ligatures w14:val="none"/>
        </w:rPr>
        <w:t>en inglés</w:t>
      </w:r>
      <w:r>
        <w:rPr>
          <w:rFonts w:ascii="Calibri" w:eastAsia="Calibri" w:hAnsi="Calibri" w:cs="Calibri"/>
          <w:color w:val="000000"/>
          <w:kern w:val="0"/>
          <w:sz w:val="22"/>
          <w:szCs w:val="22"/>
          <w:lang w:val="es-ES" w:eastAsia="es-ES" w:bidi="es-ES"/>
          <w14:ligatures w14:val="none"/>
        </w:rPr>
        <w:t>).</w:t>
      </w:r>
    </w:p>
    <w:p w14:paraId="3DD07C0C" w14:textId="77777777" w:rsidR="003B5F2B" w:rsidRPr="003B5F2B" w:rsidRDefault="003B5F2B" w:rsidP="003B5F2B">
      <w:pPr>
        <w:spacing w:after="43" w:line="240" w:lineRule="auto"/>
        <w:ind w:left="720" w:right="456"/>
        <w:rPr>
          <w:rFonts w:ascii="Calibri" w:eastAsia="Calibri" w:hAnsi="Calibri" w:cs="Calibri"/>
          <w:color w:val="000000"/>
          <w:kern w:val="0"/>
          <w:sz w:val="22"/>
          <w:szCs w:val="22"/>
          <w:lang w:val="es-ES" w:eastAsia="es-ES" w:bidi="es-ES"/>
          <w14:ligatures w14:val="none"/>
        </w:rPr>
      </w:pPr>
    </w:p>
    <w:p w14:paraId="0233BBA5" w14:textId="0AE71D7B" w:rsidR="003B5F2B" w:rsidRPr="003B5F2B" w:rsidRDefault="003B5F2B" w:rsidP="003B5F2B">
      <w:pPr>
        <w:numPr>
          <w:ilvl w:val="0"/>
          <w:numId w:val="1"/>
        </w:numPr>
        <w:spacing w:after="43" w:line="258" w:lineRule="auto"/>
        <w:ind w:right="456" w:hanging="360"/>
        <w:rPr>
          <w:rFonts w:ascii="Calibri" w:eastAsia="Calibri" w:hAnsi="Calibri" w:cs="Calibri"/>
          <w:color w:val="000000"/>
          <w:kern w:val="0"/>
          <w:sz w:val="22"/>
          <w:szCs w:val="22"/>
          <w:lang w:val="es-ES" w:eastAsia="es-ES" w:bidi="es-ES"/>
          <w14:ligatures w14:val="none"/>
        </w:rPr>
      </w:pPr>
      <w:r w:rsidRPr="003B5F2B">
        <w:rPr>
          <w:rFonts w:ascii="Calibri" w:eastAsia="Calibri" w:hAnsi="Calibri" w:cs="Calibri"/>
          <w:color w:val="000000"/>
          <w:kern w:val="0"/>
          <w:sz w:val="22"/>
          <w:szCs w:val="22"/>
          <w:lang w:val="es-ES" w:eastAsia="es-ES" w:bidi="es-ES"/>
          <w14:ligatures w14:val="none"/>
        </w:rPr>
        <w:t xml:space="preserve">Se encuentran disponibles detalles adicionales en la </w:t>
      </w:r>
      <w:hyperlink r:id="rId8" w:history="1">
        <w:r>
          <w:rPr>
            <w:rFonts w:ascii="Calibri" w:eastAsia="Calibri" w:hAnsi="Calibri" w:cs="Calibri"/>
            <w:color w:val="0563C1"/>
            <w:kern w:val="0"/>
            <w:sz w:val="22"/>
            <w:szCs w:val="22"/>
            <w:u w:val="single" w:color="0563C1"/>
            <w:lang w:val="es-ES" w:eastAsia="es-ES" w:bidi="es-ES"/>
            <w14:ligatures w14:val="none"/>
          </w:rPr>
          <w:t>Nota Orientativa del Grupo de las Naciones Unidas para el Desarrollo (GNUDD) sobre Modalidades de Financiación de Programas Conjuntos (Octubre 2022)</w:t>
        </w:r>
      </w:hyperlink>
      <w:r w:rsidRPr="003B5F2B">
        <w:rPr>
          <w:rFonts w:ascii="Calibri" w:eastAsia="Calibri" w:hAnsi="Calibri" w:cs="Calibri"/>
          <w:color w:val="0072BC"/>
          <w:kern w:val="0"/>
          <w:sz w:val="22"/>
          <w:szCs w:val="22"/>
          <w:lang w:val="es-ES" w:eastAsia="es-ES" w:bidi="es-ES"/>
          <w14:ligatures w14:val="none"/>
        </w:rPr>
        <w:t xml:space="preserve">  </w:t>
      </w:r>
      <w:r>
        <w:rPr>
          <w:rFonts w:ascii="Calibri" w:eastAsia="Calibri" w:hAnsi="Calibri" w:cs="Calibri"/>
          <w:color w:val="000000"/>
          <w:kern w:val="0"/>
          <w:sz w:val="22"/>
          <w:szCs w:val="22"/>
          <w:lang w:val="es-ES" w:eastAsia="es-ES" w:bidi="es-ES"/>
          <w14:ligatures w14:val="none"/>
        </w:rPr>
        <w:t>(</w:t>
      </w:r>
      <w:r w:rsidRPr="003B5F2B">
        <w:rPr>
          <w:rFonts w:ascii="Calibri" w:eastAsia="Calibri" w:hAnsi="Calibri" w:cs="Calibri"/>
          <w:color w:val="000000"/>
          <w:kern w:val="0"/>
          <w:sz w:val="22"/>
          <w:szCs w:val="22"/>
          <w:lang w:val="es-ES" w:eastAsia="es-ES" w:bidi="es-ES"/>
          <w14:ligatures w14:val="none"/>
        </w:rPr>
        <w:t>en inglés</w:t>
      </w:r>
      <w:r>
        <w:rPr>
          <w:rFonts w:ascii="Calibri" w:eastAsia="Calibri" w:hAnsi="Calibri" w:cs="Calibri"/>
          <w:color w:val="000000"/>
          <w:kern w:val="0"/>
          <w:sz w:val="22"/>
          <w:szCs w:val="22"/>
          <w:lang w:val="es-ES" w:eastAsia="es-ES" w:bidi="es-ES"/>
          <w14:ligatures w14:val="none"/>
        </w:rPr>
        <w:t>).</w:t>
      </w:r>
    </w:p>
    <w:p w14:paraId="15B24FE8" w14:textId="77777777" w:rsidR="003B5F2B" w:rsidRPr="003B5F2B" w:rsidRDefault="003B5F2B" w:rsidP="003B5F2B">
      <w:pPr>
        <w:spacing w:after="0" w:line="251" w:lineRule="auto"/>
        <w:ind w:left="720" w:right="456"/>
        <w:rPr>
          <w:rFonts w:ascii="Calibri" w:eastAsia="Calibri" w:hAnsi="Calibri" w:cs="Calibri"/>
          <w:color w:val="000000"/>
          <w:kern w:val="0"/>
          <w:sz w:val="22"/>
          <w:szCs w:val="22"/>
          <w:lang w:val="es-ES" w:eastAsia="es-ES" w:bidi="es-ES"/>
          <w14:ligatures w14:val="none"/>
        </w:rPr>
      </w:pPr>
    </w:p>
    <w:p w14:paraId="74B03C24" w14:textId="41FC22F6" w:rsidR="003B5F2B" w:rsidRPr="003B5F2B" w:rsidRDefault="003B5F2B" w:rsidP="003B5F2B">
      <w:pPr>
        <w:numPr>
          <w:ilvl w:val="0"/>
          <w:numId w:val="1"/>
        </w:numPr>
        <w:spacing w:after="0" w:line="251" w:lineRule="auto"/>
        <w:ind w:right="456" w:hanging="360"/>
        <w:rPr>
          <w:rFonts w:ascii="Calibri" w:eastAsia="Calibri" w:hAnsi="Calibri" w:cs="Calibri"/>
          <w:color w:val="000000"/>
          <w:kern w:val="0"/>
          <w:sz w:val="22"/>
          <w:szCs w:val="22"/>
          <w:lang w:val="es-ES" w:eastAsia="es-ES" w:bidi="es-ES"/>
          <w14:ligatures w14:val="none"/>
        </w:rPr>
      </w:pPr>
      <w:r w:rsidRPr="003B5F2B">
        <w:rPr>
          <w:rFonts w:ascii="Calibri" w:eastAsia="Calibri" w:hAnsi="Calibri" w:cs="Calibri"/>
          <w:color w:val="000000"/>
          <w:kern w:val="0"/>
          <w:sz w:val="22"/>
          <w:szCs w:val="22"/>
          <w:lang w:val="es-ES" w:eastAsia="es-ES" w:bidi="es-ES"/>
          <w14:ligatures w14:val="none"/>
        </w:rPr>
        <w:t xml:space="preserve">Para ver el papel de los Mecanismos de Financiación Mancomunados para entregar la Agenda 2030 para el Desarrollo Sostenible, véase el </w:t>
      </w:r>
      <w:hyperlink r:id="rId9" w:history="1">
        <w:r>
          <w:rPr>
            <w:rFonts w:ascii="Calibri" w:eastAsia="Calibri" w:hAnsi="Calibri" w:cs="Calibri"/>
            <w:color w:val="0563C1"/>
            <w:kern w:val="0"/>
            <w:sz w:val="22"/>
            <w:szCs w:val="22"/>
            <w:u w:val="single" w:color="0563C1"/>
            <w:lang w:val="es-ES" w:eastAsia="es-ES" w:bidi="es-ES"/>
            <w14:ligatures w14:val="none"/>
          </w:rPr>
          <w:t>Documento del GNUD sobre Financiación Mancomunada para la Agenda 2030</w:t>
        </w:r>
      </w:hyperlink>
      <w:r w:rsidRPr="003B5F2B">
        <w:rPr>
          <w:rFonts w:ascii="Calibri" w:eastAsia="Calibri" w:hAnsi="Calibri" w:cs="Calibri"/>
          <w:color w:val="333333"/>
          <w:kern w:val="0"/>
          <w:sz w:val="22"/>
          <w:szCs w:val="22"/>
          <w:lang w:val="es-ES" w:eastAsia="es-ES" w:bidi="es-ES"/>
          <w14:ligatures w14:val="none"/>
        </w:rPr>
        <w:t xml:space="preserve"> </w:t>
      </w:r>
      <w:r>
        <w:rPr>
          <w:rFonts w:ascii="Calibri" w:eastAsia="Calibri" w:hAnsi="Calibri" w:cs="Calibri"/>
          <w:color w:val="000000"/>
          <w:kern w:val="0"/>
          <w:sz w:val="22"/>
          <w:szCs w:val="22"/>
          <w:lang w:val="es-ES" w:eastAsia="es-ES" w:bidi="es-ES"/>
          <w14:ligatures w14:val="none"/>
        </w:rPr>
        <w:t>(</w:t>
      </w:r>
      <w:r w:rsidRPr="003B5F2B">
        <w:rPr>
          <w:rFonts w:ascii="Calibri" w:eastAsia="Calibri" w:hAnsi="Calibri" w:cs="Calibri"/>
          <w:color w:val="000000"/>
          <w:kern w:val="0"/>
          <w:sz w:val="22"/>
          <w:szCs w:val="22"/>
          <w:lang w:val="es-ES" w:eastAsia="es-ES" w:bidi="es-ES"/>
          <w14:ligatures w14:val="none"/>
        </w:rPr>
        <w:t>en inglés</w:t>
      </w:r>
      <w:r>
        <w:rPr>
          <w:rFonts w:ascii="Calibri" w:eastAsia="Calibri" w:hAnsi="Calibri" w:cs="Calibri"/>
          <w:color w:val="000000"/>
          <w:kern w:val="0"/>
          <w:sz w:val="22"/>
          <w:szCs w:val="22"/>
          <w:lang w:val="es-ES" w:eastAsia="es-ES" w:bidi="es-ES"/>
          <w14:ligatures w14:val="none"/>
        </w:rPr>
        <w:t>).</w:t>
      </w:r>
    </w:p>
    <w:p w14:paraId="28001F26" w14:textId="77777777" w:rsidR="003B5F2B" w:rsidRPr="003B5F2B" w:rsidRDefault="003B5F2B" w:rsidP="003B5F2B">
      <w:pPr>
        <w:spacing w:after="173" w:line="259" w:lineRule="auto"/>
        <w:jc w:val="right"/>
        <w:rPr>
          <w:rFonts w:ascii="Calibri" w:eastAsia="Calibri" w:hAnsi="Calibri" w:cs="Calibri"/>
          <w:color w:val="000000"/>
          <w:kern w:val="0"/>
          <w:sz w:val="22"/>
          <w:szCs w:val="22"/>
          <w:lang w:val="es-ES" w:eastAsia="es-ES" w:bidi="es-ES"/>
          <w14:ligatures w14:val="none"/>
        </w:rPr>
      </w:pPr>
      <w:r w:rsidRPr="003B5F2B">
        <w:rPr>
          <w:rFonts w:ascii="Calibri" w:eastAsia="Calibri" w:hAnsi="Calibri" w:cs="Calibri"/>
          <w:noProof/>
          <w:color w:val="000000"/>
          <w:kern w:val="0"/>
          <w:sz w:val="22"/>
          <w:szCs w:val="22"/>
          <w14:ligatures w14:val="none"/>
        </w:rPr>
        <w:drawing>
          <wp:anchor distT="0" distB="0" distL="114300" distR="114300" simplePos="0" relativeHeight="251659264" behindDoc="0" locked="0" layoutInCell="1" allowOverlap="1" wp14:anchorId="654AFD44" wp14:editId="6E6571BD">
            <wp:simplePos x="0" y="0"/>
            <wp:positionH relativeFrom="column">
              <wp:posOffset>312420</wp:posOffset>
            </wp:positionH>
            <wp:positionV relativeFrom="paragraph">
              <wp:posOffset>136525</wp:posOffset>
            </wp:positionV>
            <wp:extent cx="5902839" cy="4019107"/>
            <wp:effectExtent l="0" t="0" r="3175" b="635"/>
            <wp:wrapSquare wrapText="bothSides"/>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10">
                      <a:extLst>
                        <a:ext uri="{28A0092B-C50C-407E-A947-70E740481C1C}">
                          <a14:useLocalDpi xmlns:a14="http://schemas.microsoft.com/office/drawing/2010/main" val="0"/>
                        </a:ext>
                      </a:extLst>
                    </a:blip>
                    <a:stretch>
                      <a:fillRect/>
                    </a:stretch>
                  </pic:blipFill>
                  <pic:spPr>
                    <a:xfrm>
                      <a:off x="0" y="0"/>
                      <a:ext cx="5902839" cy="4019107"/>
                    </a:xfrm>
                    <a:prstGeom prst="rect">
                      <a:avLst/>
                    </a:prstGeom>
                  </pic:spPr>
                </pic:pic>
              </a:graphicData>
            </a:graphic>
            <wp14:sizeRelH relativeFrom="margin">
              <wp14:pctWidth>0</wp14:pctWidth>
            </wp14:sizeRelH>
            <wp14:sizeRelV relativeFrom="margin">
              <wp14:pctHeight>0</wp14:pctHeight>
            </wp14:sizeRelV>
          </wp:anchor>
        </w:drawing>
      </w:r>
    </w:p>
    <w:p w14:paraId="3288B8E8" w14:textId="77777777" w:rsidR="003B5F2B" w:rsidRPr="003B5F2B" w:rsidRDefault="003B5F2B" w:rsidP="003B5F2B">
      <w:pPr>
        <w:spacing w:after="201" w:line="259" w:lineRule="auto"/>
        <w:rPr>
          <w:rFonts w:ascii="Calibri" w:eastAsia="Calibri" w:hAnsi="Calibri" w:cs="Calibri"/>
          <w:kern w:val="0"/>
          <w:sz w:val="22"/>
          <w:szCs w:val="22"/>
          <w:lang w:val="es-ES" w:eastAsia="es-ES" w:bidi="es-ES"/>
          <w14:ligatures w14:val="none"/>
        </w:rPr>
      </w:pPr>
      <w:r w:rsidRPr="003B5F2B">
        <w:rPr>
          <w:rFonts w:ascii="Calibri" w:eastAsia="Calibri" w:hAnsi="Calibri" w:cs="Calibri"/>
          <w:b/>
          <w:kern w:val="0"/>
          <w:sz w:val="22"/>
          <w:szCs w:val="22"/>
          <w:lang w:val="es-ES" w:eastAsia="es-ES" w:bidi="es-ES"/>
          <w14:ligatures w14:val="none"/>
        </w:rPr>
        <w:lastRenderedPageBreak/>
        <w:t xml:space="preserve">Rendición de Cuentas  </w:t>
      </w:r>
    </w:p>
    <w:p w14:paraId="422A6436" w14:textId="77777777" w:rsidR="003B5F2B" w:rsidRPr="003B5F2B" w:rsidRDefault="003B5F2B" w:rsidP="003B5F2B">
      <w:pPr>
        <w:numPr>
          <w:ilvl w:val="0"/>
          <w:numId w:val="1"/>
        </w:numPr>
        <w:spacing w:after="0" w:line="251" w:lineRule="auto"/>
        <w:ind w:right="456" w:hanging="360"/>
        <w:rPr>
          <w:rFonts w:ascii="Calibri" w:eastAsia="Calibri" w:hAnsi="Calibri" w:cs="Calibri"/>
          <w:kern w:val="0"/>
          <w:sz w:val="22"/>
          <w:szCs w:val="22"/>
          <w:lang w:val="es-ES" w:eastAsia="es-ES" w:bidi="es-ES"/>
          <w14:ligatures w14:val="none"/>
        </w:rPr>
      </w:pPr>
      <w:r w:rsidRPr="003B5F2B">
        <w:rPr>
          <w:rFonts w:ascii="Calibri" w:eastAsia="Calibri" w:hAnsi="Calibri" w:cs="Calibri"/>
          <w:kern w:val="0"/>
          <w:sz w:val="22"/>
          <w:szCs w:val="22"/>
          <w:lang w:val="es-ES" w:eastAsia="es-ES" w:bidi="es-ES"/>
          <w14:ligatures w14:val="none"/>
        </w:rPr>
        <w:t xml:space="preserve">La completa rendición de cuentas financiera y de programas recae sobre el Agente Gestor (MA). Cuando el PNUD es el MA, rige su rendición de cuentas estándar para sus recursos de programas (según lo establecido en las Políticas y los Procedimientos para Presupuesto y Finanzas, y Gestión de Resultados del PNUD). </w:t>
      </w:r>
    </w:p>
    <w:p w14:paraId="6F5353D7" w14:textId="77777777" w:rsidR="003B5F2B" w:rsidRPr="003B5F2B" w:rsidRDefault="003B5F2B" w:rsidP="003B5F2B">
      <w:pPr>
        <w:spacing w:after="0" w:line="251" w:lineRule="auto"/>
        <w:ind w:right="456"/>
        <w:rPr>
          <w:rFonts w:ascii="Calibri" w:eastAsia="Calibri" w:hAnsi="Calibri" w:cs="Calibri"/>
          <w:kern w:val="0"/>
          <w:sz w:val="22"/>
          <w:szCs w:val="22"/>
          <w:lang w:val="es-ES" w:eastAsia="es-ES" w:bidi="es-ES"/>
          <w14:ligatures w14:val="none"/>
        </w:rPr>
      </w:pPr>
    </w:p>
    <w:p w14:paraId="6AC45258" w14:textId="77777777" w:rsidR="003B5F2B" w:rsidRDefault="003B5F2B" w:rsidP="003B5F2B">
      <w:pPr>
        <w:spacing w:after="0" w:line="251" w:lineRule="auto"/>
        <w:ind w:right="456"/>
        <w:rPr>
          <w:rFonts w:ascii="Calibri" w:eastAsia="Calibri" w:hAnsi="Calibri" w:cs="Calibri"/>
          <w:kern w:val="0"/>
          <w:sz w:val="22"/>
          <w:szCs w:val="22"/>
          <w:lang w:val="es-ES" w:eastAsia="es-ES" w:bidi="es-ES"/>
          <w14:ligatures w14:val="none"/>
        </w:rPr>
      </w:pPr>
    </w:p>
    <w:p w14:paraId="16860A8B" w14:textId="77777777" w:rsidR="0057248E" w:rsidRDefault="0057248E" w:rsidP="003B5F2B">
      <w:pPr>
        <w:spacing w:after="0" w:line="251" w:lineRule="auto"/>
        <w:ind w:right="456"/>
        <w:rPr>
          <w:rFonts w:ascii="Calibri" w:eastAsia="Calibri" w:hAnsi="Calibri" w:cs="Calibri"/>
          <w:kern w:val="0"/>
          <w:sz w:val="22"/>
          <w:szCs w:val="22"/>
          <w:lang w:val="es-ES" w:eastAsia="es-ES" w:bidi="es-ES"/>
          <w14:ligatures w14:val="none"/>
        </w:rPr>
      </w:pPr>
    </w:p>
    <w:p w14:paraId="426B2368" w14:textId="77777777" w:rsidR="0057248E" w:rsidRDefault="0057248E" w:rsidP="003B5F2B">
      <w:pPr>
        <w:spacing w:after="0" w:line="251" w:lineRule="auto"/>
        <w:ind w:right="456"/>
        <w:rPr>
          <w:rFonts w:ascii="Calibri" w:eastAsia="Calibri" w:hAnsi="Calibri" w:cs="Calibri"/>
          <w:kern w:val="0"/>
          <w:sz w:val="22"/>
          <w:szCs w:val="22"/>
          <w:lang w:val="es-ES" w:eastAsia="es-ES" w:bidi="es-ES"/>
          <w14:ligatures w14:val="none"/>
        </w:rPr>
      </w:pPr>
    </w:p>
    <w:p w14:paraId="03648294" w14:textId="77777777" w:rsidR="0057248E" w:rsidRDefault="0057248E" w:rsidP="003B5F2B">
      <w:pPr>
        <w:spacing w:after="0" w:line="251" w:lineRule="auto"/>
        <w:ind w:right="456"/>
        <w:rPr>
          <w:rFonts w:ascii="Calibri" w:eastAsia="Calibri" w:hAnsi="Calibri" w:cs="Calibri"/>
          <w:kern w:val="0"/>
          <w:sz w:val="22"/>
          <w:szCs w:val="22"/>
          <w:lang w:val="es-ES" w:eastAsia="es-ES" w:bidi="es-ES"/>
          <w14:ligatures w14:val="none"/>
        </w:rPr>
      </w:pPr>
    </w:p>
    <w:p w14:paraId="4D95AD16" w14:textId="77777777" w:rsidR="0057248E" w:rsidRDefault="0057248E" w:rsidP="003B5F2B">
      <w:pPr>
        <w:spacing w:after="0" w:line="251" w:lineRule="auto"/>
        <w:ind w:right="456"/>
        <w:rPr>
          <w:rFonts w:ascii="Calibri" w:eastAsia="Calibri" w:hAnsi="Calibri" w:cs="Calibri"/>
          <w:kern w:val="0"/>
          <w:sz w:val="22"/>
          <w:szCs w:val="22"/>
          <w:lang w:val="es-ES" w:eastAsia="es-ES" w:bidi="es-ES"/>
          <w14:ligatures w14:val="none"/>
        </w:rPr>
      </w:pPr>
    </w:p>
    <w:p w14:paraId="5DD5C03B" w14:textId="77777777" w:rsidR="0057248E" w:rsidRPr="003B5F2B" w:rsidRDefault="0057248E" w:rsidP="003B5F2B">
      <w:pPr>
        <w:spacing w:after="0" w:line="251" w:lineRule="auto"/>
        <w:ind w:right="456"/>
        <w:rPr>
          <w:rFonts w:ascii="Calibri" w:eastAsia="Calibri" w:hAnsi="Calibri" w:cs="Calibri"/>
          <w:kern w:val="0"/>
          <w:sz w:val="22"/>
          <w:szCs w:val="22"/>
          <w:lang w:val="es-ES" w:eastAsia="es-ES" w:bidi="es-ES"/>
          <w14:ligatures w14:val="none"/>
        </w:rPr>
      </w:pPr>
    </w:p>
    <w:p w14:paraId="0897E1E6" w14:textId="77777777" w:rsidR="003B5F2B" w:rsidRPr="00C50C93" w:rsidRDefault="003B5F2B" w:rsidP="00C50C93">
      <w:pPr>
        <w:shd w:val="clear" w:color="auto" w:fill="FFFFFF"/>
        <w:spacing w:after="0" w:line="240" w:lineRule="auto"/>
        <w:rPr>
          <w:rFonts w:ascii="Calibri" w:eastAsia="Times New Roman" w:hAnsi="Calibri" w:cs="Calibri"/>
          <w:color w:val="201F1E"/>
          <w:kern w:val="0"/>
          <w:sz w:val="22"/>
          <w:szCs w:val="22"/>
          <w14:ligatures w14:val="none"/>
        </w:rPr>
      </w:pPr>
      <w:r w:rsidRPr="00C50C93">
        <w:rPr>
          <w:rFonts w:ascii="Calibri" w:eastAsia="Times New Roman" w:hAnsi="Calibri" w:cs="Calibri"/>
          <w:b/>
          <w:bCs/>
          <w:i/>
          <w:iCs/>
          <w:color w:val="000000"/>
          <w:kern w:val="0"/>
          <w:sz w:val="22"/>
          <w:szCs w:val="22"/>
          <w:bdr w:val="none" w:sz="0" w:space="0" w:color="auto" w:frame="1"/>
          <w14:ligatures w14:val="none"/>
        </w:rPr>
        <w:t>Disclaimer:</w:t>
      </w:r>
      <w:r w:rsidRPr="00C50C93">
        <w:rPr>
          <w:rFonts w:ascii="Calibri" w:eastAsia="Times New Roman" w:hAnsi="Calibri" w:cs="Calibri"/>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45C1E5A2" w14:textId="77777777" w:rsidR="003B5F2B" w:rsidRPr="00C50C93" w:rsidRDefault="003B5F2B" w:rsidP="00C50C93">
      <w:pPr>
        <w:shd w:val="clear" w:color="auto" w:fill="FFFFFF"/>
        <w:spacing w:after="0" w:line="240" w:lineRule="auto"/>
        <w:rPr>
          <w:rFonts w:ascii="Calibri" w:eastAsia="Times New Roman" w:hAnsi="Calibri" w:cs="Calibri"/>
          <w:color w:val="201F1E"/>
          <w:kern w:val="0"/>
          <w:sz w:val="22"/>
          <w:szCs w:val="22"/>
          <w14:ligatures w14:val="none"/>
        </w:rPr>
      </w:pPr>
      <w:r w:rsidRPr="00C50C93">
        <w:rPr>
          <w:rFonts w:ascii="Calibri" w:eastAsia="Times New Roman" w:hAnsi="Calibri" w:cs="Calibri"/>
          <w:i/>
          <w:iCs/>
          <w:color w:val="000000"/>
          <w:kern w:val="0"/>
          <w:sz w:val="22"/>
          <w:szCs w:val="22"/>
          <w:bdr w:val="none" w:sz="0" w:space="0" w:color="auto" w:frame="1"/>
          <w14:ligatures w14:val="none"/>
        </w:rPr>
        <w:t> </w:t>
      </w:r>
    </w:p>
    <w:p w14:paraId="316A3298" w14:textId="2CB88E73" w:rsidR="00DA504D" w:rsidRDefault="003B5F2B" w:rsidP="00C50C93">
      <w:pPr>
        <w:shd w:val="clear" w:color="auto" w:fill="FFFFFF"/>
        <w:spacing w:after="0" w:line="240" w:lineRule="auto"/>
      </w:pPr>
      <w:r w:rsidRPr="00C50C93">
        <w:rPr>
          <w:rFonts w:ascii="Calibri" w:eastAsia="Times New Roman" w:hAnsi="Calibri" w:cs="Calibri"/>
          <w:b/>
          <w:bCs/>
          <w:i/>
          <w:iCs/>
          <w:color w:val="000000"/>
          <w:kern w:val="0"/>
          <w:sz w:val="22"/>
          <w:szCs w:val="22"/>
          <w:bdr w:val="none" w:sz="0" w:space="0" w:color="auto" w:frame="1"/>
          <w:shd w:val="clear" w:color="auto" w:fill="FFFFFF"/>
          <w:lang w:val="es-ES_tradnl"/>
          <w14:ligatures w14:val="none"/>
        </w:rPr>
        <w:t>Descargo de responsabilidad:</w:t>
      </w:r>
      <w:r w:rsidRPr="00C50C93">
        <w:rPr>
          <w:rFonts w:ascii="Calibri" w:eastAsia="Times New Roman" w:hAnsi="Calibri" w:cs="Calibri"/>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C50C93">
        <w:rPr>
          <w:rFonts w:ascii="Calibri" w:eastAsia="Times New Roman" w:hAnsi="Calibri" w:cs="Calibri"/>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sectPr w:rsidR="00DA504D" w:rsidSect="00C50C93">
      <w:headerReference w:type="default" r:id="rId11"/>
      <w:footerReference w:type="default" r:id="rId12"/>
      <w:pgSz w:w="12240" w:h="15840"/>
      <w:pgMar w:top="1800" w:right="89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AEE76" w14:textId="77777777" w:rsidR="00021A77" w:rsidRDefault="00021A77" w:rsidP="003B5F2B">
      <w:pPr>
        <w:spacing w:after="0" w:line="240" w:lineRule="auto"/>
      </w:pPr>
      <w:r>
        <w:separator/>
      </w:r>
    </w:p>
  </w:endnote>
  <w:endnote w:type="continuationSeparator" w:id="0">
    <w:p w14:paraId="7F48E98B" w14:textId="77777777" w:rsidR="00021A77" w:rsidRDefault="00021A77" w:rsidP="003B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A2C6" w14:textId="10B74828" w:rsidR="003B5F2B" w:rsidRDefault="003B5F2B">
    <w:pPr>
      <w:pStyle w:val="Footer"/>
    </w:pPr>
    <w:r>
      <w:t xml:space="preserve">Página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de </w:t>
    </w:r>
    <w:r>
      <w:rPr>
        <w:b/>
      </w:rPr>
      <w:fldChar w:fldCharType="begin"/>
    </w:r>
    <w:r>
      <w:rPr>
        <w:b/>
      </w:rPr>
      <w:instrText xml:space="preserve"> NUMPAGES  \* Arabic  \* MERGEFORMAT </w:instrText>
    </w:r>
    <w:r>
      <w:rPr>
        <w:b/>
      </w:rPr>
      <w:fldChar w:fldCharType="separate"/>
    </w:r>
    <w:r>
      <w:rPr>
        <w:b/>
        <w:noProof/>
      </w:rPr>
      <w:t>2</w:t>
    </w:r>
    <w:r>
      <w:rPr>
        <w:b/>
      </w:rPr>
      <w:fldChar w:fldCharType="end"/>
    </w:r>
    <w:r>
      <w:ptab w:relativeTo="margin" w:alignment="center" w:leader="none"/>
    </w:r>
    <w:r>
      <w:t>Fecha de entrada en vigor: 01/01/2012</w:t>
    </w:r>
    <w:r>
      <w:ptab w:relativeTo="margin" w:alignment="right" w:leader="none"/>
    </w:r>
    <w:r>
      <w:t xml:space="preserve">Versión #: </w:t>
    </w:r>
    <w:sdt>
      <w:sdtPr>
        <w:alias w:val="POPPRefItemVersion"/>
        <w:tag w:val="UNDP_POPP_REFITEM_VERSION"/>
        <w:id w:val="-652832159"/>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6E7DA4C-A4B3-499E-8FC7-9CDC785D700C}"/>
        <w:text/>
      </w:sdtPr>
      <w:sdtContent>
        <w:r>
          <w:t>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6C07" w14:textId="77777777" w:rsidR="00021A77" w:rsidRDefault="00021A77" w:rsidP="003B5F2B">
      <w:pPr>
        <w:spacing w:after="0" w:line="240" w:lineRule="auto"/>
      </w:pPr>
      <w:r>
        <w:separator/>
      </w:r>
    </w:p>
  </w:footnote>
  <w:footnote w:type="continuationSeparator" w:id="0">
    <w:p w14:paraId="4BED2A34" w14:textId="77777777" w:rsidR="00021A77" w:rsidRDefault="00021A77" w:rsidP="003B5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1086" w14:textId="30ED0A77" w:rsidR="003B5F2B" w:rsidRDefault="0057248E">
    <w:pPr>
      <w:pStyle w:val="Header"/>
    </w:pPr>
    <w:r>
      <w:rPr>
        <w:noProof/>
      </w:rPr>
      <w:drawing>
        <wp:anchor distT="0" distB="0" distL="114300" distR="114300" simplePos="0" relativeHeight="251659264" behindDoc="0" locked="0" layoutInCell="1" allowOverlap="1" wp14:anchorId="238B8DEB" wp14:editId="5E2040BF">
          <wp:simplePos x="0" y="0"/>
          <wp:positionH relativeFrom="margin">
            <wp:posOffset>5745480</wp:posOffset>
          </wp:positionH>
          <wp:positionV relativeFrom="paragraph">
            <wp:posOffset>-38100</wp:posOffset>
          </wp:positionV>
          <wp:extent cx="283210" cy="553085"/>
          <wp:effectExtent l="0" t="0" r="2540" b="0"/>
          <wp:wrapNone/>
          <wp:docPr id="1642701843" name="Picture 1642701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r w:rsidR="003B5F2B">
      <w:tab/>
    </w:r>
    <w:r w:rsidR="003B5F2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055C3"/>
    <w:multiLevelType w:val="hybridMultilevel"/>
    <w:tmpl w:val="B874DD74"/>
    <w:lvl w:ilvl="0" w:tplc="3FF8800E">
      <w:start w:val="1"/>
      <w:numFmt w:val="decimal"/>
      <w:lvlText w:val="%1."/>
      <w:lvlJc w:val="left"/>
      <w:pPr>
        <w:ind w:left="720"/>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C4CEB55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066160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2B2D50A">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702E1DA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F2A7C7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361401E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71EB84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7158DEA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135333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2B"/>
    <w:rsid w:val="00021A77"/>
    <w:rsid w:val="0008246D"/>
    <w:rsid w:val="003B5F2B"/>
    <w:rsid w:val="0057248E"/>
    <w:rsid w:val="0078783C"/>
    <w:rsid w:val="00A80E11"/>
    <w:rsid w:val="00AA660D"/>
    <w:rsid w:val="00BE361B"/>
    <w:rsid w:val="00C50C93"/>
    <w:rsid w:val="00C61B9D"/>
    <w:rsid w:val="00CA4884"/>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9F07A"/>
  <w15:chartTrackingRefBased/>
  <w15:docId w15:val="{A226AEB5-88C2-4CF8-BC00-852C5B4C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F2B"/>
    <w:rPr>
      <w:rFonts w:eastAsiaTheme="majorEastAsia" w:cstheme="majorBidi"/>
      <w:color w:val="272727" w:themeColor="text1" w:themeTint="D8"/>
    </w:rPr>
  </w:style>
  <w:style w:type="paragraph" w:styleId="Title">
    <w:name w:val="Title"/>
    <w:basedOn w:val="Normal"/>
    <w:next w:val="Normal"/>
    <w:link w:val="TitleChar"/>
    <w:uiPriority w:val="10"/>
    <w:qFormat/>
    <w:rsid w:val="003B5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F2B"/>
    <w:pPr>
      <w:spacing w:before="160"/>
      <w:jc w:val="center"/>
    </w:pPr>
    <w:rPr>
      <w:i/>
      <w:iCs/>
      <w:color w:val="404040" w:themeColor="text1" w:themeTint="BF"/>
    </w:rPr>
  </w:style>
  <w:style w:type="character" w:customStyle="1" w:styleId="QuoteChar">
    <w:name w:val="Quote Char"/>
    <w:basedOn w:val="DefaultParagraphFont"/>
    <w:link w:val="Quote"/>
    <w:uiPriority w:val="29"/>
    <w:rsid w:val="003B5F2B"/>
    <w:rPr>
      <w:i/>
      <w:iCs/>
      <w:color w:val="404040" w:themeColor="text1" w:themeTint="BF"/>
    </w:rPr>
  </w:style>
  <w:style w:type="paragraph" w:styleId="ListParagraph">
    <w:name w:val="List Paragraph"/>
    <w:basedOn w:val="Normal"/>
    <w:uiPriority w:val="34"/>
    <w:qFormat/>
    <w:rsid w:val="003B5F2B"/>
    <w:pPr>
      <w:ind w:left="720"/>
      <w:contextualSpacing/>
    </w:pPr>
  </w:style>
  <w:style w:type="character" w:styleId="IntenseEmphasis">
    <w:name w:val="Intense Emphasis"/>
    <w:basedOn w:val="DefaultParagraphFont"/>
    <w:uiPriority w:val="21"/>
    <w:qFormat/>
    <w:rsid w:val="003B5F2B"/>
    <w:rPr>
      <w:i/>
      <w:iCs/>
      <w:color w:val="0F4761" w:themeColor="accent1" w:themeShade="BF"/>
    </w:rPr>
  </w:style>
  <w:style w:type="paragraph" w:styleId="IntenseQuote">
    <w:name w:val="Intense Quote"/>
    <w:basedOn w:val="Normal"/>
    <w:next w:val="Normal"/>
    <w:link w:val="IntenseQuoteChar"/>
    <w:uiPriority w:val="30"/>
    <w:qFormat/>
    <w:rsid w:val="003B5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F2B"/>
    <w:rPr>
      <w:i/>
      <w:iCs/>
      <w:color w:val="0F4761" w:themeColor="accent1" w:themeShade="BF"/>
    </w:rPr>
  </w:style>
  <w:style w:type="character" w:styleId="IntenseReference">
    <w:name w:val="Intense Reference"/>
    <w:basedOn w:val="DefaultParagraphFont"/>
    <w:uiPriority w:val="32"/>
    <w:qFormat/>
    <w:rsid w:val="003B5F2B"/>
    <w:rPr>
      <w:b/>
      <w:bCs/>
      <w:smallCaps/>
      <w:color w:val="0F4761" w:themeColor="accent1" w:themeShade="BF"/>
      <w:spacing w:val="5"/>
    </w:rPr>
  </w:style>
  <w:style w:type="paragraph" w:styleId="Header">
    <w:name w:val="header"/>
    <w:basedOn w:val="Normal"/>
    <w:link w:val="HeaderChar"/>
    <w:uiPriority w:val="99"/>
    <w:unhideWhenUsed/>
    <w:rsid w:val="003B5F2B"/>
    <w:pPr>
      <w:tabs>
        <w:tab w:val="center" w:pos="4680"/>
        <w:tab w:val="right" w:pos="9360"/>
      </w:tabs>
      <w:spacing w:after="0" w:line="240" w:lineRule="auto"/>
    </w:pPr>
    <w:rPr>
      <w:rFonts w:ascii="Calibri" w:eastAsia="Calibri" w:hAnsi="Calibri" w:cs="Calibri"/>
      <w:color w:val="000000"/>
      <w:kern w:val="0"/>
      <w:sz w:val="22"/>
      <w:szCs w:val="22"/>
      <w:lang w:val="es-ES" w:eastAsia="es-ES" w:bidi="es-ES"/>
      <w14:ligatures w14:val="none"/>
    </w:rPr>
  </w:style>
  <w:style w:type="character" w:customStyle="1" w:styleId="HeaderChar">
    <w:name w:val="Header Char"/>
    <w:basedOn w:val="DefaultParagraphFont"/>
    <w:link w:val="Header"/>
    <w:uiPriority w:val="99"/>
    <w:rsid w:val="003B5F2B"/>
    <w:rPr>
      <w:rFonts w:ascii="Calibri" w:eastAsia="Calibri" w:hAnsi="Calibri" w:cs="Calibri"/>
      <w:color w:val="000000"/>
      <w:kern w:val="0"/>
      <w:sz w:val="22"/>
      <w:szCs w:val="22"/>
      <w:lang w:val="es-ES" w:eastAsia="es-ES" w:bidi="es-ES"/>
      <w14:ligatures w14:val="none"/>
    </w:rPr>
  </w:style>
  <w:style w:type="paragraph" w:styleId="Footer">
    <w:name w:val="footer"/>
    <w:basedOn w:val="Normal"/>
    <w:link w:val="FooterChar"/>
    <w:uiPriority w:val="99"/>
    <w:unhideWhenUsed/>
    <w:rsid w:val="003B5F2B"/>
    <w:pPr>
      <w:tabs>
        <w:tab w:val="center" w:pos="4680"/>
        <w:tab w:val="right" w:pos="9360"/>
      </w:tabs>
      <w:spacing w:after="0" w:line="240" w:lineRule="auto"/>
    </w:pPr>
    <w:rPr>
      <w:rFonts w:ascii="Calibri" w:eastAsia="Calibri" w:hAnsi="Calibri" w:cs="Calibri"/>
      <w:color w:val="000000"/>
      <w:kern w:val="0"/>
      <w:sz w:val="22"/>
      <w:szCs w:val="22"/>
      <w:lang w:val="es-ES" w:eastAsia="es-ES" w:bidi="es-ES"/>
      <w14:ligatures w14:val="none"/>
    </w:rPr>
  </w:style>
  <w:style w:type="character" w:customStyle="1" w:styleId="FooterChar">
    <w:name w:val="Footer Char"/>
    <w:basedOn w:val="DefaultParagraphFont"/>
    <w:link w:val="Footer"/>
    <w:uiPriority w:val="99"/>
    <w:rsid w:val="003B5F2B"/>
    <w:rPr>
      <w:rFonts w:ascii="Calibri" w:eastAsia="Calibri" w:hAnsi="Calibri" w:cs="Calibri"/>
      <w:color w:val="000000"/>
      <w:kern w:val="0"/>
      <w:sz w:val="22"/>
      <w:szCs w:val="22"/>
      <w:lang w:val="es-ES" w:eastAsia="es-ES" w:bidi="es-ES"/>
      <w14:ligatures w14:val="none"/>
    </w:rPr>
  </w:style>
  <w:style w:type="paragraph" w:styleId="Revision">
    <w:name w:val="Revision"/>
    <w:hidden/>
    <w:uiPriority w:val="99"/>
    <w:semiHidden/>
    <w:rsid w:val="003B5F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sdg.un.org/resources/annexes-guidance-note-new-generation-joint-progamm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pp.undp.org/node/265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s://popp.undp.org/node/507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2026-05-04T23:37:00Z</dcterms:created>
  <dcterms:modified xsi:type="dcterms:W3CDTF">2026-05-05T00:05:00Z</dcterms:modified>
</cp:coreProperties>
</file>