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3737" w14:textId="77777777" w:rsidR="0005764F" w:rsidRPr="0005764F" w:rsidRDefault="0005764F" w:rsidP="0005764F">
      <w:pPr>
        <w:shd w:val="clear" w:color="auto" w:fill="FFFFFF"/>
        <w:spacing w:line="360" w:lineRule="auto"/>
        <w:jc w:val="both"/>
        <w:textAlignment w:val="top"/>
        <w:rPr>
          <w:rFonts w:ascii="Calibri" w:eastAsia="Times New Roman" w:hAnsi="Calibri" w:cs="Arial"/>
          <w:b/>
          <w:bCs/>
          <w:kern w:val="0"/>
          <w:sz w:val="28"/>
          <w:lang w:val="fr-FR"/>
          <w14:ligatures w14:val="none"/>
        </w:rPr>
      </w:pPr>
      <w:r w:rsidRPr="0005764F">
        <w:rPr>
          <w:rFonts w:ascii="Calibri" w:eastAsia="Calibri" w:hAnsi="Calibri" w:cs="Times New Roman"/>
          <w:b/>
          <w:bCs/>
          <w:kern w:val="0"/>
          <w:sz w:val="28"/>
          <w:lang w:val="fr-FR"/>
          <w14:ligatures w14:val="none"/>
        </w:rPr>
        <w:t xml:space="preserve">Clôture financière du fonds d’affectation spéciale </w:t>
      </w:r>
    </w:p>
    <w:p w14:paraId="4E071644" w14:textId="77777777"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La présente section fournit des orientations quant à la gestion de la clôture financière du fonds d’affectation spéciale. Il appartient aux gestionnaires du fonds d’affectation spéciale d’identifier et d’autoriser la clôture du fonds d’affectation spéciale inactif. Les fonds d’affectation spéciale inactifs sont les fonds d’affectation spéciale n’ayant enregistré aucun revenu (à l’exception des intérêts créditeurs [compte 53045]) ni dépenses pour l’exercice en cours et ceux qui</w:t>
      </w:r>
      <w:r w:rsidRPr="0005764F">
        <w:rPr>
          <w:rFonts w:ascii="Calibri" w:eastAsia="Calibri" w:hAnsi="Calibri" w:cs="Times New Roman"/>
          <w:color w:val="333333"/>
          <w:kern w:val="0"/>
          <w:sz w:val="22"/>
          <w:lang w:val="fr-FR"/>
          <w14:ligatures w14:val="none"/>
        </w:rPr>
        <w:br/>
        <w:t xml:space="preserve">sont antérieurs. </w:t>
      </w:r>
    </w:p>
    <w:p w14:paraId="00EE0E04" w14:textId="77777777" w:rsidR="0005764F" w:rsidRPr="0005764F" w:rsidRDefault="0005764F" w:rsidP="0005764F">
      <w:pPr>
        <w:shd w:val="clear" w:color="auto" w:fill="FFFFFF"/>
        <w:spacing w:after="0" w:line="360" w:lineRule="auto"/>
        <w:ind w:left="720"/>
        <w:contextualSpacing/>
        <w:jc w:val="both"/>
        <w:textAlignment w:val="top"/>
        <w:rPr>
          <w:rFonts w:ascii="Calibri" w:eastAsia="Times New Roman" w:hAnsi="Calibri" w:cs="Arial"/>
          <w:color w:val="333333"/>
          <w:kern w:val="0"/>
          <w:sz w:val="22"/>
          <w:lang w:val="fr-FR"/>
          <w14:ligatures w14:val="none"/>
        </w:rPr>
      </w:pPr>
    </w:p>
    <w:p w14:paraId="479C64BA" w14:textId="77777777"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Lorsque les Termes de référence (TDR) du fonds d’affectation spéciale précisent une date d’achèvement, le gestionnaire du fonds d’affectation spéciale s’assure que toutes les activités sont terminées à cette date ou avant.</w:t>
      </w:r>
    </w:p>
    <w:p w14:paraId="55D11307" w14:textId="77777777" w:rsidR="0005764F" w:rsidRPr="0005764F" w:rsidRDefault="0005764F" w:rsidP="0005764F">
      <w:pPr>
        <w:shd w:val="clear" w:color="auto" w:fill="FFFFFF"/>
        <w:spacing w:after="0" w:line="360" w:lineRule="auto"/>
        <w:jc w:val="both"/>
        <w:textAlignment w:val="top"/>
        <w:rPr>
          <w:rFonts w:ascii="Calibri" w:eastAsia="Times New Roman" w:hAnsi="Calibri" w:cs="Arial"/>
          <w:color w:val="333333"/>
          <w:kern w:val="0"/>
          <w:sz w:val="22"/>
          <w:lang w:val="fr-FR"/>
          <w14:ligatures w14:val="none"/>
        </w:rPr>
      </w:pPr>
    </w:p>
    <w:p w14:paraId="50D3E895" w14:textId="54ED6CDF"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 xml:space="preserve">Pour confirmer que toutes les étapes de clôture nécessaires ont été effectuées et que tous les revenus et les dépenses ont été intégralement consignés dans Quantum, le gestionnaire du fonds d’affectation spéciale doit approuver la </w:t>
      </w:r>
      <w:hyperlink r:id="rId7" w:history="1">
        <w:r w:rsidRPr="0005764F">
          <w:rPr>
            <w:rFonts w:ascii="Calibri" w:eastAsia="Calibri" w:hAnsi="Calibri" w:cs="Times New Roman"/>
            <w:color w:val="0563C1"/>
            <w:kern w:val="0"/>
            <w:sz w:val="22"/>
            <w:szCs w:val="22"/>
            <w:u w:val="single"/>
            <w:lang w:val="fr-FR"/>
            <w14:ligatures w14:val="none"/>
          </w:rPr>
          <w:t>Liste de contrôle de l’achèvement du fonds d’affectation spéciale</w:t>
        </w:r>
      </w:hyperlink>
      <w:r>
        <w:rPr>
          <w:rFonts w:ascii="Calibri" w:eastAsia="Calibri" w:hAnsi="Calibri" w:cs="Times New Roman"/>
          <w:kern w:val="0"/>
          <w:sz w:val="22"/>
          <w:szCs w:val="22"/>
          <w:lang w:val="fr-FR"/>
          <w14:ligatures w14:val="none"/>
        </w:rPr>
        <w:t xml:space="preserve"> (en anglais)</w:t>
      </w:r>
      <w:r w:rsidRPr="006600F2">
        <w:rPr>
          <w:rFonts w:ascii="Calibri" w:eastAsia="Calibri" w:hAnsi="Calibri" w:cs="Times New Roman"/>
          <w:color w:val="333333"/>
          <w:kern w:val="0"/>
          <w:sz w:val="22"/>
          <w:lang w:val="fr-FR"/>
          <w14:ligatures w14:val="none"/>
        </w:rPr>
        <w:t>.</w:t>
      </w:r>
    </w:p>
    <w:p w14:paraId="6C8E6B53" w14:textId="77777777" w:rsidR="0005764F" w:rsidRPr="0005764F" w:rsidRDefault="0005764F" w:rsidP="0005764F">
      <w:pPr>
        <w:spacing w:line="259" w:lineRule="auto"/>
        <w:ind w:left="720"/>
        <w:contextualSpacing/>
        <w:rPr>
          <w:rFonts w:ascii="Calibri" w:eastAsia="Times New Roman" w:hAnsi="Calibri" w:cs="Arial"/>
          <w:color w:val="333333"/>
          <w:kern w:val="0"/>
          <w:sz w:val="22"/>
          <w:lang w:val="fr-FR"/>
          <w14:ligatures w14:val="none"/>
        </w:rPr>
      </w:pPr>
    </w:p>
    <w:p w14:paraId="2EB84F22" w14:textId="77777777" w:rsidR="0005764F" w:rsidRPr="0005764F" w:rsidRDefault="0005764F" w:rsidP="0005764F">
      <w:pPr>
        <w:numPr>
          <w:ilvl w:val="0"/>
          <w:numId w:val="1"/>
        </w:numPr>
        <w:shd w:val="clear" w:color="auto" w:fill="FFFFFF"/>
        <w:spacing w:after="0" w:line="240" w:lineRule="auto"/>
        <w:ind w:left="714" w:hanging="357"/>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Si un déficit subsiste au niveau du fonds d’affectation spéciale, les options suivantes doivent être envisagées :</w:t>
      </w:r>
    </w:p>
    <w:p w14:paraId="6FC0881E" w14:textId="77777777" w:rsidR="0005764F" w:rsidRPr="0005764F" w:rsidRDefault="0005764F" w:rsidP="0005764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 xml:space="preserve">Transférer les autres financements du programme (autre donateur) au fonds d’affectation spéciale si le donateur l’autorise </w:t>
      </w:r>
      <w:proofErr w:type="gramStart"/>
      <w:r w:rsidRPr="0005764F">
        <w:rPr>
          <w:rFonts w:ascii="Calibri" w:eastAsia="Calibri" w:hAnsi="Calibri" w:cs="Times New Roman"/>
          <w:color w:val="333333"/>
          <w:kern w:val="0"/>
          <w:sz w:val="22"/>
          <w:lang w:val="fr-FR"/>
          <w14:ligatures w14:val="none"/>
        </w:rPr>
        <w:t>ou</w:t>
      </w:r>
      <w:proofErr w:type="gramEnd"/>
      <w:r w:rsidRPr="0005764F">
        <w:rPr>
          <w:rFonts w:ascii="Calibri" w:eastAsia="Calibri" w:hAnsi="Calibri" w:cs="Times New Roman"/>
          <w:color w:val="333333"/>
          <w:kern w:val="0"/>
          <w:sz w:val="22"/>
          <w:lang w:val="fr-FR"/>
          <w14:ligatures w14:val="none"/>
        </w:rPr>
        <w:t xml:space="preserve"> y consent.</w:t>
      </w:r>
    </w:p>
    <w:p w14:paraId="4832CCA7" w14:textId="77777777" w:rsidR="0005764F" w:rsidRPr="0005764F" w:rsidRDefault="0005764F" w:rsidP="0005764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Transférer un financement extrabudgétaire au fonds d’affectation spéciale.</w:t>
      </w:r>
    </w:p>
    <w:p w14:paraId="5FE1EFEB" w14:textId="77777777" w:rsidR="0005764F" w:rsidRPr="0005764F" w:rsidRDefault="0005764F" w:rsidP="0005764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 xml:space="preserve">Si les déficits subsistent, engager les procédures visant à imputer sur le montant ciblé pour l’allocation des ressources de base (Target for Resource </w:t>
      </w:r>
      <w:proofErr w:type="spellStart"/>
      <w:r w:rsidRPr="0005764F">
        <w:rPr>
          <w:rFonts w:ascii="Calibri" w:eastAsia="Calibri" w:hAnsi="Calibri" w:cs="Times New Roman"/>
          <w:color w:val="333333"/>
          <w:kern w:val="0"/>
          <w:sz w:val="22"/>
          <w:lang w:val="fr-FR"/>
          <w14:ligatures w14:val="none"/>
        </w:rPr>
        <w:t>Assignment</w:t>
      </w:r>
      <w:proofErr w:type="spellEnd"/>
      <w:r w:rsidRPr="0005764F">
        <w:rPr>
          <w:rFonts w:ascii="Calibri" w:eastAsia="Calibri" w:hAnsi="Calibri" w:cs="Times New Roman"/>
          <w:color w:val="333333"/>
          <w:kern w:val="0"/>
          <w:sz w:val="22"/>
          <w:lang w:val="fr-FR"/>
          <w14:ligatures w14:val="none"/>
        </w:rPr>
        <w:t xml:space="preserve"> </w:t>
      </w:r>
      <w:proofErr w:type="spellStart"/>
      <w:r w:rsidRPr="0005764F">
        <w:rPr>
          <w:rFonts w:ascii="Calibri" w:eastAsia="Calibri" w:hAnsi="Calibri" w:cs="Times New Roman"/>
          <w:color w:val="333333"/>
          <w:kern w:val="0"/>
          <w:sz w:val="22"/>
          <w:lang w:val="fr-FR"/>
          <w14:ligatures w14:val="none"/>
        </w:rPr>
        <w:t>from</w:t>
      </w:r>
      <w:proofErr w:type="spellEnd"/>
      <w:r w:rsidRPr="0005764F">
        <w:rPr>
          <w:rFonts w:ascii="Calibri" w:eastAsia="Calibri" w:hAnsi="Calibri" w:cs="Times New Roman"/>
          <w:color w:val="333333"/>
          <w:kern w:val="0"/>
          <w:sz w:val="22"/>
          <w:lang w:val="fr-FR"/>
          <w14:ligatures w14:val="none"/>
        </w:rPr>
        <w:t xml:space="preserve"> the Core, TRAC) actuelles ou futures 1 et 2 (fonds 04000), sur le fonds de participation au cofinancement du pays (fonds 11888) ou soldes résiduels du projet de cofinancement par pays (fonds 11890) conformément aux directives approuvées. </w:t>
      </w:r>
    </w:p>
    <w:p w14:paraId="79BDEE9F" w14:textId="77777777" w:rsidR="0005764F" w:rsidRPr="0005764F" w:rsidRDefault="0005764F" w:rsidP="0005764F">
      <w:pPr>
        <w:shd w:val="clear" w:color="auto" w:fill="FFFFFF"/>
        <w:spacing w:after="0" w:line="360" w:lineRule="auto"/>
        <w:jc w:val="both"/>
        <w:textAlignment w:val="top"/>
        <w:rPr>
          <w:rFonts w:ascii="Calibri" w:eastAsia="Times New Roman" w:hAnsi="Calibri" w:cs="Arial"/>
          <w:color w:val="333333"/>
          <w:kern w:val="0"/>
          <w:sz w:val="22"/>
          <w:lang w:val="fr-FR"/>
          <w14:ligatures w14:val="none"/>
        </w:rPr>
      </w:pPr>
    </w:p>
    <w:p w14:paraId="06784B51" w14:textId="77777777"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 xml:space="preserve">Le Centre mondiale des services partagés (GSSC) doit être informée et invitée à clôturer tout contrat y afférent créé dans le module Contrats. Le gestionnaire du fonds d’affectation spéciale transmet la liste de contrôle de l’achèvement du fonds d’affectation spéciale dûment remplie aux Bureaux concernés qui devraient l’examiner, l’autoriser et le soumettre au Service de gestion du rendement et des rapports financiers du Bureau de gestion des ressources financières avec les documents justificatifs pertinents ainsi que les analyses pour i) rembourser ou transférer le solde du fonds d’affectation spéciale et pour la ii) clôture financière du fonds d’affectation spéciale dans Quantum. </w:t>
      </w:r>
    </w:p>
    <w:p w14:paraId="4FEE1826" w14:textId="0D143A81" w:rsidR="0005764F" w:rsidRPr="0005764F" w:rsidRDefault="0005764F" w:rsidP="006600F2">
      <w:p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p>
    <w:p w14:paraId="7C214CB5" w14:textId="335DADB9"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lang w:val="fr-FR"/>
          <w14:ligatures w14:val="none"/>
        </w:rPr>
      </w:pPr>
      <w:r w:rsidRPr="0005764F">
        <w:rPr>
          <w:rFonts w:ascii="Calibri" w:eastAsia="Calibri" w:hAnsi="Calibri" w:cs="Times New Roman"/>
          <w:color w:val="333333"/>
          <w:kern w:val="0"/>
          <w:sz w:val="22"/>
          <w:lang w:val="fr-FR"/>
          <w14:ligatures w14:val="none"/>
        </w:rPr>
        <w:t xml:space="preserve">L’accord de contribution conclu avec le donateur et les TDR du fonds d’affectation spéciale détermineront si les soldes non utilisés seront remboursés ou transférés. </w:t>
      </w:r>
      <w:r w:rsidRPr="0005764F">
        <w:rPr>
          <w:rFonts w:ascii="Calibri" w:eastAsia="Calibri" w:hAnsi="Calibri" w:cs="Times New Roman"/>
          <w:kern w:val="0"/>
          <w:sz w:val="22"/>
          <w:szCs w:val="22"/>
          <w:lang w:val="fr-FR"/>
          <w14:ligatures w14:val="none"/>
        </w:rPr>
        <w:t>Se référer aux sections i) </w:t>
      </w:r>
      <w:hyperlink r:id="rId8" w:history="1">
        <w:r w:rsidRPr="0005764F">
          <w:rPr>
            <w:rFonts w:ascii="Calibri" w:eastAsia="Calibri" w:hAnsi="Calibri" w:cs="Times New Roman"/>
            <w:color w:val="0563C1"/>
            <w:kern w:val="0"/>
            <w:sz w:val="22"/>
            <w:szCs w:val="22"/>
            <w:u w:val="single"/>
            <w:lang w:val="fr-FR"/>
            <w14:ligatures w14:val="none"/>
          </w:rPr>
          <w:t>Remboursement aux donateurs</w:t>
        </w:r>
      </w:hyperlink>
      <w:r>
        <w:rPr>
          <w:rFonts w:ascii="Calibri" w:eastAsia="Calibri" w:hAnsi="Calibri" w:cs="Times New Roman"/>
          <w:kern w:val="0"/>
          <w:sz w:val="22"/>
          <w:szCs w:val="22"/>
          <w:lang w:val="fr-FR"/>
          <w14:ligatures w14:val="none"/>
        </w:rPr>
        <w:t xml:space="preserve"> </w:t>
      </w:r>
      <w:r w:rsidRPr="0005764F">
        <w:rPr>
          <w:rFonts w:ascii="Calibri" w:eastAsia="Calibri" w:hAnsi="Calibri" w:cs="Times New Roman"/>
          <w:kern w:val="0"/>
          <w:sz w:val="22"/>
          <w:lang w:val="fr-FR"/>
          <w14:ligatures w14:val="none"/>
        </w:rPr>
        <w:t>ou ii) </w:t>
      </w:r>
      <w:hyperlink r:id="rId9" w:history="1">
        <w:r w:rsidRPr="0005764F">
          <w:rPr>
            <w:rFonts w:ascii="Calibri" w:eastAsia="Calibri" w:hAnsi="Calibri" w:cs="Times New Roman"/>
            <w:color w:val="0563C1"/>
            <w:kern w:val="0"/>
            <w:sz w:val="22"/>
            <w:szCs w:val="22"/>
            <w:u w:val="single"/>
            <w:lang w:val="fr-FR"/>
            <w14:ligatures w14:val="none"/>
          </w:rPr>
          <w:t>transferts lorsque les soldes imprévus ne sont pas restitués</w:t>
        </w:r>
      </w:hyperlink>
      <w:r>
        <w:rPr>
          <w:rFonts w:ascii="Calibri" w:eastAsia="Calibri" w:hAnsi="Calibri" w:cs="Times New Roman"/>
          <w:kern w:val="0"/>
          <w:sz w:val="22"/>
          <w:szCs w:val="22"/>
          <w:lang w:val="fr-FR"/>
          <w14:ligatures w14:val="none"/>
        </w:rPr>
        <w:t xml:space="preserve"> (en anglais).</w:t>
      </w:r>
    </w:p>
    <w:p w14:paraId="2488B2F8" w14:textId="77777777" w:rsidR="0005764F" w:rsidRPr="0005764F" w:rsidRDefault="0005764F" w:rsidP="0005764F">
      <w:pPr>
        <w:shd w:val="clear" w:color="auto" w:fill="FFFFFF"/>
        <w:spacing w:after="0" w:line="360" w:lineRule="auto"/>
        <w:ind w:left="720"/>
        <w:contextualSpacing/>
        <w:jc w:val="both"/>
        <w:textAlignment w:val="top"/>
        <w:rPr>
          <w:rFonts w:ascii="Calibri" w:eastAsia="Times New Roman" w:hAnsi="Calibri" w:cs="Arial"/>
          <w:color w:val="333333"/>
          <w:kern w:val="0"/>
          <w:sz w:val="22"/>
          <w:lang w:val="fr-FR"/>
          <w14:ligatures w14:val="none"/>
        </w:rPr>
      </w:pPr>
    </w:p>
    <w:p w14:paraId="2B468745" w14:textId="77777777" w:rsidR="0005764F" w:rsidRPr="0005764F" w:rsidRDefault="0005764F" w:rsidP="0005764F">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05764F">
        <w:rPr>
          <w:rFonts w:ascii="Calibri" w:eastAsia="Calibri" w:hAnsi="Calibri" w:cs="Times New Roman"/>
          <w:color w:val="333333"/>
          <w:kern w:val="0"/>
          <w:sz w:val="22"/>
          <w:szCs w:val="22"/>
          <w:lang w:val="fr-FR"/>
          <w14:ligatures w14:val="none"/>
        </w:rPr>
        <w:lastRenderedPageBreak/>
        <w:t>Il incombe au Bureau de la gestion financière de changer l’état du fonds d’affectation spéciale dans Quantum en rendant les codes de fonds inactifs, après avoir obtenu l’approbation du gestionnaire du fonds d’affectation spéciale et après que les soldes du fonds ont été remboursés ou transférés.</w:t>
      </w:r>
    </w:p>
    <w:p w14:paraId="176E73E4" w14:textId="77777777" w:rsidR="00DA504D" w:rsidRDefault="00DA504D"/>
    <w:p w14:paraId="0A2BEB80" w14:textId="77777777" w:rsidR="0005764F" w:rsidRDefault="0005764F"/>
    <w:p w14:paraId="0BD8D4E4" w14:textId="77777777" w:rsidR="0005764F" w:rsidRPr="008421C4" w:rsidRDefault="0005764F" w:rsidP="0005764F">
      <w:pPr>
        <w:shd w:val="clear" w:color="auto" w:fill="FFFFFF"/>
        <w:spacing w:after="0" w:line="240" w:lineRule="auto"/>
        <w:rPr>
          <w:rFonts w:ascii="Calibri" w:eastAsia="Times New Roman" w:hAnsi="Calibri" w:cs="Calibri"/>
          <w:i/>
          <w:iCs/>
          <w:color w:val="212121"/>
          <w:kern w:val="0"/>
          <w:lang w:val="fr-FR"/>
          <w14:ligatures w14:val="none"/>
        </w:rPr>
      </w:pPr>
      <w:r w:rsidRPr="008421C4">
        <w:rPr>
          <w:rFonts w:ascii="Calibri" w:eastAsia="Times New Roman" w:hAnsi="Calibri" w:cs="Calibri"/>
          <w:b/>
          <w:bCs/>
          <w:i/>
          <w:iCs/>
          <w:color w:val="212121"/>
          <w:kern w:val="0"/>
          <w:sz w:val="22"/>
          <w:szCs w:val="22"/>
          <w:u w:val="single"/>
          <w:bdr w:val="none" w:sz="0" w:space="0" w:color="auto" w:frame="1"/>
          <w:lang w:val="fr-FR"/>
          <w14:ligatures w14:val="none"/>
        </w:rPr>
        <w:t>Avertissement</w:t>
      </w:r>
      <w:r>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8421C4">
        <w:rPr>
          <w:rFonts w:ascii="Calibri" w:eastAsia="Times New Roman" w:hAnsi="Calibri" w:cs="Calibri"/>
          <w:b/>
          <w:bCs/>
          <w:i/>
          <w:iCs/>
          <w:color w:val="212121"/>
          <w:kern w:val="0"/>
          <w:sz w:val="22"/>
          <w:szCs w:val="22"/>
          <w:u w:val="single"/>
          <w:bdr w:val="none" w:sz="0" w:space="0" w:color="auto" w:frame="1"/>
          <w:lang w:val="fr-FR"/>
          <w14:ligatures w14:val="none"/>
        </w:rPr>
        <w:t>:</w:t>
      </w:r>
      <w:r w:rsidRPr="008421C4">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186BEA53" w14:textId="77777777" w:rsidR="0005764F" w:rsidRPr="008421C4" w:rsidRDefault="0005764F" w:rsidP="0005764F">
      <w:pPr>
        <w:shd w:val="clear" w:color="auto" w:fill="FFFFFF"/>
        <w:spacing w:after="0" w:line="240" w:lineRule="auto"/>
        <w:rPr>
          <w:rFonts w:ascii="Calibri" w:eastAsia="Times New Roman" w:hAnsi="Calibri" w:cs="Calibri"/>
          <w:i/>
          <w:iCs/>
          <w:color w:val="212121"/>
          <w:kern w:val="0"/>
          <w:lang w:val="fr-FR"/>
          <w14:ligatures w14:val="none"/>
        </w:rPr>
      </w:pPr>
    </w:p>
    <w:p w14:paraId="1916D5A8" w14:textId="68DCE31C" w:rsidR="0005764F" w:rsidRPr="006600F2" w:rsidRDefault="0005764F" w:rsidP="006600F2">
      <w:pPr>
        <w:shd w:val="clear" w:color="auto" w:fill="FFFFFF"/>
        <w:spacing w:after="0" w:line="240" w:lineRule="auto"/>
        <w:rPr>
          <w:rFonts w:ascii="Calibri" w:eastAsia="Times New Roman" w:hAnsi="Calibri" w:cs="Calibri"/>
          <w:i/>
          <w:iCs/>
          <w:color w:val="212121"/>
          <w:kern w:val="0"/>
          <w14:ligatures w14:val="none"/>
        </w:rPr>
      </w:pPr>
      <w:r w:rsidRPr="008421C4">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8421C4">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05764F" w:rsidRPr="006600F2" w:rsidSect="0005764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70EA" w14:textId="77777777" w:rsidR="00211845" w:rsidRDefault="00211845" w:rsidP="0005764F">
      <w:pPr>
        <w:spacing w:after="0" w:line="240" w:lineRule="auto"/>
      </w:pPr>
      <w:r>
        <w:separator/>
      </w:r>
    </w:p>
  </w:endnote>
  <w:endnote w:type="continuationSeparator" w:id="0">
    <w:p w14:paraId="6D16E83A" w14:textId="77777777" w:rsidR="00211845" w:rsidRDefault="00211845" w:rsidP="0005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E4E4" w14:textId="0D9C28C7" w:rsidR="0005764F" w:rsidRPr="006600F2" w:rsidRDefault="0005764F">
    <w:pPr>
      <w:pStyle w:val="Footer"/>
      <w:rPr>
        <w:rFonts w:ascii="Calibri" w:hAnsi="Calibri" w:cs="Calibri"/>
      </w:rPr>
    </w:pPr>
    <w:r w:rsidRPr="006600F2">
      <w:rPr>
        <w:rFonts w:ascii="Calibri" w:hAnsi="Calibri" w:cs="Calibri"/>
      </w:rPr>
      <w:t xml:space="preserve">Page </w:t>
    </w:r>
    <w:r w:rsidRPr="006600F2">
      <w:rPr>
        <w:rFonts w:ascii="Calibri" w:hAnsi="Calibri" w:cs="Calibri"/>
        <w:b/>
      </w:rPr>
      <w:fldChar w:fldCharType="begin"/>
    </w:r>
    <w:r w:rsidRPr="006600F2">
      <w:rPr>
        <w:rFonts w:ascii="Calibri" w:hAnsi="Calibri" w:cs="Calibri"/>
        <w:b/>
      </w:rPr>
      <w:instrText xml:space="preserve"> PAGE  \* Arabic  \* MERGEFORMAT </w:instrText>
    </w:r>
    <w:r w:rsidRPr="006600F2">
      <w:rPr>
        <w:rFonts w:ascii="Calibri" w:hAnsi="Calibri" w:cs="Calibri"/>
        <w:b/>
      </w:rPr>
      <w:fldChar w:fldCharType="separate"/>
    </w:r>
    <w:r w:rsidRPr="006600F2">
      <w:rPr>
        <w:rFonts w:ascii="Calibri" w:hAnsi="Calibri" w:cs="Calibri"/>
        <w:b/>
        <w:noProof/>
      </w:rPr>
      <w:t>2</w:t>
    </w:r>
    <w:r w:rsidRPr="006600F2">
      <w:rPr>
        <w:rFonts w:ascii="Calibri" w:hAnsi="Calibri" w:cs="Calibri"/>
        <w:b/>
      </w:rPr>
      <w:fldChar w:fldCharType="end"/>
    </w:r>
    <w:r w:rsidRPr="006600F2">
      <w:rPr>
        <w:rFonts w:ascii="Calibri" w:hAnsi="Calibri" w:cs="Calibri"/>
      </w:rPr>
      <w:t xml:space="preserve"> sur </w:t>
    </w:r>
    <w:r w:rsidRPr="006600F2">
      <w:rPr>
        <w:rFonts w:ascii="Calibri" w:hAnsi="Calibri" w:cs="Calibri"/>
        <w:b/>
      </w:rPr>
      <w:fldChar w:fldCharType="begin"/>
    </w:r>
    <w:r w:rsidRPr="006600F2">
      <w:rPr>
        <w:rFonts w:ascii="Calibri" w:hAnsi="Calibri" w:cs="Calibri"/>
        <w:b/>
      </w:rPr>
      <w:instrText xml:space="preserve"> NUMPAGES  \* Arabic  \* MERGEFORMAT </w:instrText>
    </w:r>
    <w:r w:rsidRPr="006600F2">
      <w:rPr>
        <w:rFonts w:ascii="Calibri" w:hAnsi="Calibri" w:cs="Calibri"/>
        <w:b/>
      </w:rPr>
      <w:fldChar w:fldCharType="separate"/>
    </w:r>
    <w:r w:rsidRPr="006600F2">
      <w:rPr>
        <w:rFonts w:ascii="Calibri" w:hAnsi="Calibri" w:cs="Calibri"/>
        <w:b/>
        <w:noProof/>
      </w:rPr>
      <w:t>2</w:t>
    </w:r>
    <w:r w:rsidRPr="006600F2">
      <w:rPr>
        <w:rFonts w:ascii="Calibri" w:hAnsi="Calibri" w:cs="Calibri"/>
        <w:b/>
      </w:rPr>
      <w:fldChar w:fldCharType="end"/>
    </w:r>
    <w:r w:rsidRPr="006600F2">
      <w:rPr>
        <w:rFonts w:ascii="Calibri" w:hAnsi="Calibri" w:cs="Calibri"/>
      </w:rPr>
      <w:ptab w:relativeTo="margin" w:alignment="center" w:leader="none"/>
    </w:r>
    <w:r w:rsidRPr="006600F2">
      <w:rPr>
        <w:rFonts w:ascii="Calibri" w:hAnsi="Calibri" w:cs="Calibri"/>
      </w:rPr>
      <w:t>Date d’entrée en vigueur : 01/01/2023</w:t>
    </w:r>
    <w:r w:rsidRPr="006600F2">
      <w:rPr>
        <w:rFonts w:ascii="Calibri" w:hAnsi="Calibri" w:cs="Calibri"/>
      </w:rPr>
      <w:ptab w:relativeTo="margin" w:alignment="right" w:leader="none"/>
    </w:r>
    <w:r>
      <w:rPr>
        <w:rFonts w:ascii="Calibri" w:hAnsi="Calibri" w:cs="Calibri"/>
      </w:rPr>
      <w:t>V</w:t>
    </w:r>
    <w:r w:rsidRPr="006600F2">
      <w:rPr>
        <w:rFonts w:ascii="Calibri" w:hAnsi="Calibri" w:cs="Calibri"/>
      </w:rPr>
      <w:t>ersion </w:t>
    </w:r>
    <w:r>
      <w:rPr>
        <w:rFonts w:ascii="Calibri" w:hAnsi="Calibri" w:cs="Calibri"/>
      </w:rPr>
      <w:t xml:space="preserve"># </w:t>
    </w:r>
    <w:r w:rsidRPr="006600F2">
      <w:rPr>
        <w:rFonts w:ascii="Calibri" w:hAnsi="Calibri" w:cs="Calibri"/>
      </w:rPr>
      <w:t xml:space="preserve">: </w:t>
    </w:r>
    <w:sdt>
      <w:sdtPr>
        <w:rPr>
          <w:rFonts w:ascii="Calibri" w:hAnsi="Calibri" w:cs="Calibri"/>
        </w:rPr>
        <w:alias w:val="POPPRefItemVersion"/>
        <w:tag w:val="UNDP_POPP_REFITEM_VERSION"/>
        <w:id w:val="-189002156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E41FB9E2-8E54-4E2C-A404-1902C79ABE44}"/>
        <w:text/>
      </w:sdtPr>
      <w:sdtContent>
        <w:r w:rsidRPr="006600F2">
          <w:rPr>
            <w:rFonts w:ascii="Calibri" w:hAnsi="Calibri" w:cs="Calibri"/>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3DCB" w14:textId="77777777" w:rsidR="00211845" w:rsidRDefault="00211845" w:rsidP="0005764F">
      <w:pPr>
        <w:spacing w:after="0" w:line="240" w:lineRule="auto"/>
      </w:pPr>
      <w:r>
        <w:separator/>
      </w:r>
    </w:p>
  </w:footnote>
  <w:footnote w:type="continuationSeparator" w:id="0">
    <w:p w14:paraId="7B3758EC" w14:textId="77777777" w:rsidR="00211845" w:rsidRDefault="00211845" w:rsidP="0005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3E3A" w14:textId="2BDE6381" w:rsidR="0005764F" w:rsidRDefault="0005764F" w:rsidP="00001CC8">
    <w:pPr>
      <w:pStyle w:val="Header"/>
      <w:jc w:val="right"/>
    </w:pPr>
    <w:r>
      <w:rPr>
        <w:noProof/>
      </w:rPr>
      <w:drawing>
        <wp:inline distT="0" distB="0" distL="0" distR="0" wp14:anchorId="5A567D8B" wp14:editId="431B25B9">
          <wp:extent cx="283210" cy="553691"/>
          <wp:effectExtent l="0" t="0" r="2540" b="0"/>
          <wp:docPr id="2060418074" name="Picture 206041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7385" cy="561853"/>
                  </a:xfrm>
                  <a:prstGeom prst="rect">
                    <a:avLst/>
                  </a:prstGeom>
                  <a:noFill/>
                  <a:ln>
                    <a:noFill/>
                  </a:ln>
                  <a:extLst>
                    <a:ext uri="{53640926-AAD7-44D8-BBD7-CCE9431645EC}">
                      <a14:shadowObscured xmlns:a14="http://schemas.microsoft.com/office/drawing/2010/main"/>
                    </a:ext>
                  </a:extLst>
                </pic:spPr>
              </pic:pic>
            </a:graphicData>
          </a:graphic>
        </wp:inline>
      </w:drawing>
    </w:r>
  </w:p>
  <w:p w14:paraId="292020F2" w14:textId="77777777" w:rsidR="0005764F" w:rsidRDefault="00057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B6133"/>
    <w:multiLevelType w:val="hybridMultilevel"/>
    <w:tmpl w:val="46DCFA0E"/>
    <w:lvl w:ilvl="0" w:tplc="0409000F">
      <w:start w:val="1"/>
      <w:numFmt w:val="decimal"/>
      <w:lvlText w:val="%1."/>
      <w:lvlJc w:val="left"/>
      <w:pPr>
        <w:ind w:left="720" w:hanging="360"/>
      </w:pPr>
    </w:lvl>
    <w:lvl w:ilvl="1" w:tplc="0BD4095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3470E4"/>
    <w:multiLevelType w:val="hybridMultilevel"/>
    <w:tmpl w:val="39DAB6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101453">
    <w:abstractNumId w:val="0"/>
  </w:num>
  <w:num w:numId="2" w16cid:durableId="214672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4F"/>
    <w:rsid w:val="0005764F"/>
    <w:rsid w:val="00097ED1"/>
    <w:rsid w:val="001A71B5"/>
    <w:rsid w:val="00211845"/>
    <w:rsid w:val="006600F2"/>
    <w:rsid w:val="006C0E7A"/>
    <w:rsid w:val="00AC4DD1"/>
    <w:rsid w:val="00B01CA2"/>
    <w:rsid w:val="00C61B9D"/>
    <w:rsid w:val="00D119CF"/>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CAA0"/>
  <w15:chartTrackingRefBased/>
  <w15:docId w15:val="{22C9ADF5-70D7-4878-AE94-A64574A8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64F"/>
    <w:rPr>
      <w:rFonts w:eastAsiaTheme="majorEastAsia" w:cstheme="majorBidi"/>
      <w:color w:val="272727" w:themeColor="text1" w:themeTint="D8"/>
    </w:rPr>
  </w:style>
  <w:style w:type="paragraph" w:styleId="Title">
    <w:name w:val="Title"/>
    <w:basedOn w:val="Normal"/>
    <w:next w:val="Normal"/>
    <w:link w:val="TitleChar"/>
    <w:uiPriority w:val="10"/>
    <w:qFormat/>
    <w:rsid w:val="00057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64F"/>
    <w:pPr>
      <w:spacing w:before="160"/>
      <w:jc w:val="center"/>
    </w:pPr>
    <w:rPr>
      <w:i/>
      <w:iCs/>
      <w:color w:val="404040" w:themeColor="text1" w:themeTint="BF"/>
    </w:rPr>
  </w:style>
  <w:style w:type="character" w:customStyle="1" w:styleId="QuoteChar">
    <w:name w:val="Quote Char"/>
    <w:basedOn w:val="DefaultParagraphFont"/>
    <w:link w:val="Quote"/>
    <w:uiPriority w:val="29"/>
    <w:rsid w:val="0005764F"/>
    <w:rPr>
      <w:i/>
      <w:iCs/>
      <w:color w:val="404040" w:themeColor="text1" w:themeTint="BF"/>
    </w:rPr>
  </w:style>
  <w:style w:type="paragraph" w:styleId="ListParagraph">
    <w:name w:val="List Paragraph"/>
    <w:basedOn w:val="Normal"/>
    <w:uiPriority w:val="34"/>
    <w:qFormat/>
    <w:rsid w:val="0005764F"/>
    <w:pPr>
      <w:ind w:left="720"/>
      <w:contextualSpacing/>
    </w:pPr>
  </w:style>
  <w:style w:type="character" w:styleId="IntenseEmphasis">
    <w:name w:val="Intense Emphasis"/>
    <w:basedOn w:val="DefaultParagraphFont"/>
    <w:uiPriority w:val="21"/>
    <w:qFormat/>
    <w:rsid w:val="0005764F"/>
    <w:rPr>
      <w:i/>
      <w:iCs/>
      <w:color w:val="0F4761" w:themeColor="accent1" w:themeShade="BF"/>
    </w:rPr>
  </w:style>
  <w:style w:type="paragraph" w:styleId="IntenseQuote">
    <w:name w:val="Intense Quote"/>
    <w:basedOn w:val="Normal"/>
    <w:next w:val="Normal"/>
    <w:link w:val="IntenseQuoteChar"/>
    <w:uiPriority w:val="30"/>
    <w:qFormat/>
    <w:rsid w:val="00057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64F"/>
    <w:rPr>
      <w:i/>
      <w:iCs/>
      <w:color w:val="0F4761" w:themeColor="accent1" w:themeShade="BF"/>
    </w:rPr>
  </w:style>
  <w:style w:type="character" w:styleId="IntenseReference">
    <w:name w:val="Intense Reference"/>
    <w:basedOn w:val="DefaultParagraphFont"/>
    <w:uiPriority w:val="32"/>
    <w:qFormat/>
    <w:rsid w:val="0005764F"/>
    <w:rPr>
      <w:b/>
      <w:bCs/>
      <w:smallCaps/>
      <w:color w:val="0F4761" w:themeColor="accent1" w:themeShade="BF"/>
      <w:spacing w:val="5"/>
    </w:rPr>
  </w:style>
  <w:style w:type="paragraph" w:styleId="Header">
    <w:name w:val="header"/>
    <w:basedOn w:val="Normal"/>
    <w:link w:val="HeaderChar"/>
    <w:uiPriority w:val="99"/>
    <w:unhideWhenUsed/>
    <w:rsid w:val="0005764F"/>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05764F"/>
    <w:rPr>
      <w:kern w:val="0"/>
      <w:sz w:val="22"/>
      <w:szCs w:val="22"/>
      <w:lang w:val="fr-FR"/>
      <w14:ligatures w14:val="none"/>
    </w:rPr>
  </w:style>
  <w:style w:type="paragraph" w:styleId="Footer">
    <w:name w:val="footer"/>
    <w:basedOn w:val="Normal"/>
    <w:link w:val="FooterChar"/>
    <w:uiPriority w:val="99"/>
    <w:unhideWhenUsed/>
    <w:rsid w:val="0005764F"/>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05764F"/>
    <w:rPr>
      <w:kern w:val="0"/>
      <w:sz w:val="22"/>
      <w:szCs w:val="22"/>
      <w:lang w:val="fr-FR"/>
      <w14:ligatures w14:val="none"/>
    </w:rPr>
  </w:style>
  <w:style w:type="paragraph" w:styleId="Revision">
    <w:name w:val="Revision"/>
    <w:hidden/>
    <w:uiPriority w:val="99"/>
    <w:semiHidden/>
    <w:rsid w:val="00057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documento/reembolso-donant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50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111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2026-05-04T20:26:00Z</dcterms:created>
  <dcterms:modified xsi:type="dcterms:W3CDTF">2026-05-04T20:38:00Z</dcterms:modified>
</cp:coreProperties>
</file>