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E638B" w14:textId="77777777" w:rsidR="00C718D9" w:rsidRPr="00C718D9" w:rsidRDefault="00C718D9" w:rsidP="00C718D9">
      <w:pPr>
        <w:shd w:val="clear" w:color="auto" w:fill="FFFFFF"/>
        <w:spacing w:line="360" w:lineRule="auto"/>
        <w:jc w:val="both"/>
        <w:textAlignment w:val="top"/>
        <w:rPr>
          <w:rFonts w:ascii="Calibri" w:eastAsia="Times New Roman" w:hAnsi="Calibri" w:cs="Arial"/>
          <w:b/>
          <w:bCs/>
          <w:kern w:val="0"/>
          <w:sz w:val="28"/>
          <w:lang w:val="es-ES"/>
          <w14:ligatures w14:val="none"/>
        </w:rPr>
      </w:pPr>
      <w:r w:rsidRPr="00C718D9">
        <w:rPr>
          <w:rFonts w:ascii="Calibri" w:eastAsia="Calibri" w:hAnsi="Calibri" w:cs="Times New Roman"/>
          <w:b/>
          <w:bCs/>
          <w:kern w:val="0"/>
          <w:sz w:val="28"/>
          <w:lang w:val="es-ES"/>
          <w14:ligatures w14:val="none"/>
        </w:rPr>
        <w:t xml:space="preserve">Cierre financiero de fondos fiduciarios </w:t>
      </w:r>
    </w:p>
    <w:p w14:paraId="0ADD9F58" w14:textId="77777777" w:rsidR="00C718D9" w:rsidRPr="00C718D9" w:rsidRDefault="00C718D9" w:rsidP="00C718D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szCs w:val="22"/>
          <w:lang w:val="es-ES"/>
          <w14:ligatures w14:val="none"/>
        </w:rPr>
      </w:pPr>
      <w:r w:rsidRPr="00C718D9">
        <w:rPr>
          <w:rFonts w:ascii="Calibri" w:eastAsia="Times New Roman" w:hAnsi="Calibri" w:cs="Arial"/>
          <w:vanish/>
          <w:color w:val="333333"/>
          <w:kern w:val="0"/>
          <w:sz w:val="22"/>
          <w:szCs w:val="22"/>
          <w:lang w:val="es-ES"/>
          <w14:ligatures w14:val="none"/>
        </w:rPr>
        <w:t>Elemento de la estructura - Descripción</w:t>
      </w:r>
      <w:r w:rsidRPr="00C718D9">
        <w:rPr>
          <w:rFonts w:ascii="Calibri" w:eastAsia="Calibri" w:hAnsi="Calibri" w:cs="Times New Roman"/>
          <w:color w:val="333333"/>
          <w:kern w:val="0"/>
          <w:sz w:val="22"/>
          <w:szCs w:val="22"/>
          <w:lang w:val="es-ES"/>
          <w14:ligatures w14:val="none"/>
        </w:rPr>
        <w:t xml:space="preserve">La sección proporciona orientación sobre la gestión del cierre financiero de fondos fiduciarios. </w:t>
      </w:r>
      <w:r w:rsidRPr="00C718D9">
        <w:rPr>
          <w:rFonts w:ascii="Calibri" w:eastAsia="Times New Roman" w:hAnsi="Calibri" w:cs="Arial"/>
          <w:vanish/>
          <w:color w:val="333333"/>
          <w:kern w:val="0"/>
          <w:sz w:val="22"/>
          <w:szCs w:val="22"/>
          <w:lang w:val="es-ES"/>
          <w14:ligatures w14:val="none"/>
        </w:rPr>
        <w:t xml:space="preserve">Elemento de la estructura </w:t>
      </w:r>
      <w:r w:rsidRPr="00C718D9">
        <w:rPr>
          <w:rFonts w:ascii="Calibri" w:eastAsia="Calibri" w:hAnsi="Calibri" w:cs="Times New Roman"/>
          <w:vanish/>
          <w:color w:val="333333"/>
          <w:kern w:val="0"/>
          <w:sz w:val="22"/>
          <w:szCs w:val="22"/>
          <w:lang w:val="es-AR"/>
          <w14:ligatures w14:val="none"/>
        </w:rPr>
        <w:t xml:space="preserve">- Políticas Pertinentes </w:t>
      </w:r>
      <w:r w:rsidRPr="00C718D9">
        <w:rPr>
          <w:rFonts w:ascii="Calibri" w:eastAsia="Calibri" w:hAnsi="Calibri" w:cs="Times New Roman"/>
          <w:color w:val="333333"/>
          <w:kern w:val="0"/>
          <w:sz w:val="22"/>
          <w:szCs w:val="22"/>
          <w:lang w:val="es-ES"/>
          <w14:ligatures w14:val="none"/>
        </w:rPr>
        <w:t xml:space="preserve">Los gerentes de fondos fiduciarios son responsables de identificar y autorizar el cierre de fondos fiduciarios inactivos. Los fondos fiduciarios inactivos son aquellos fondos fiduciarios que no han tenido ingresos, excepto los ingresos por intereses (cuenta 53045), o gastos a lo largo del año actual o el anterior. </w:t>
      </w:r>
    </w:p>
    <w:p w14:paraId="7336B042" w14:textId="77777777" w:rsidR="00C718D9" w:rsidRPr="00C718D9" w:rsidRDefault="00C718D9" w:rsidP="00C718D9">
      <w:pPr>
        <w:shd w:val="clear" w:color="auto" w:fill="FFFFFF"/>
        <w:spacing w:after="0" w:line="360" w:lineRule="auto"/>
        <w:ind w:left="720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AR"/>
          <w14:ligatures w14:val="none"/>
        </w:rPr>
      </w:pPr>
    </w:p>
    <w:p w14:paraId="1414C426" w14:textId="77777777" w:rsidR="00C718D9" w:rsidRPr="00C718D9" w:rsidRDefault="00C718D9" w:rsidP="00C718D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"/>
          <w14:ligatures w14:val="none"/>
        </w:rPr>
      </w:pP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Cuando los términos de referencia (</w:t>
      </w:r>
      <w:proofErr w:type="spellStart"/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TdR</w:t>
      </w:r>
      <w:proofErr w:type="spellEnd"/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) del fondo fiduciario especifican una fecha de finalización, el gerente del fondo fiduciario verifica que todas las actividades se completen en esta fecha o antes.</w:t>
      </w:r>
    </w:p>
    <w:p w14:paraId="7BB59621" w14:textId="77777777" w:rsidR="00C718D9" w:rsidRPr="00C718D9" w:rsidRDefault="00C718D9" w:rsidP="00C718D9">
      <w:pPr>
        <w:shd w:val="clear" w:color="auto" w:fill="FFFFFF"/>
        <w:spacing w:after="0" w:line="360" w:lineRule="auto"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AR"/>
          <w14:ligatures w14:val="none"/>
        </w:rPr>
      </w:pPr>
    </w:p>
    <w:p w14:paraId="004D7644" w14:textId="5CB4E4EA" w:rsidR="00C718D9" w:rsidRPr="00C718D9" w:rsidRDefault="00C718D9" w:rsidP="00C718D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"/>
          <w14:ligatures w14:val="none"/>
        </w:rPr>
      </w:pP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Para confirmar que se han completado todos los pasos de cierre necesarios y que todos los ingresos y gastos se han registrado en su totalidad en Quantum, el gerente del fondo fiduciario debe firmar la</w:t>
      </w:r>
      <w:r w:rsidRPr="00C718D9"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  <w:t xml:space="preserve"> </w:t>
      </w:r>
      <w:hyperlink r:id="rId7" w:history="1">
        <w:r w:rsidRPr="00C718D9">
          <w:rPr>
            <w:rFonts w:ascii="Calibri" w:eastAsia="Calibri" w:hAnsi="Calibri" w:cs="Times New Roman"/>
            <w:color w:val="0563C1"/>
            <w:kern w:val="0"/>
            <w:sz w:val="22"/>
            <w:szCs w:val="22"/>
            <w:u w:val="single"/>
            <w:lang w:val="es-ES"/>
            <w14:ligatures w14:val="none"/>
          </w:rPr>
          <w:t>lista de verificación de finalización de fondo fiduciario</w:t>
        </w:r>
      </w:hyperlink>
      <w:r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  <w:t xml:space="preserve"> (</w:t>
      </w:r>
      <w:r w:rsidRPr="00C718D9"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  <w:t>en inglés</w:t>
      </w:r>
      <w:r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  <w:t>).</w:t>
      </w:r>
    </w:p>
    <w:p w14:paraId="36BEAF00" w14:textId="77777777" w:rsidR="00C718D9" w:rsidRPr="00C718D9" w:rsidRDefault="00C718D9" w:rsidP="00C718D9">
      <w:pPr>
        <w:spacing w:line="259" w:lineRule="auto"/>
        <w:ind w:left="720"/>
        <w:contextualSpacing/>
        <w:rPr>
          <w:rFonts w:ascii="Calibri" w:eastAsia="Times New Roman" w:hAnsi="Calibri" w:cs="Arial"/>
          <w:color w:val="333333"/>
          <w:kern w:val="0"/>
          <w:sz w:val="22"/>
          <w:lang w:val="es-AR"/>
          <w14:ligatures w14:val="none"/>
        </w:rPr>
      </w:pPr>
    </w:p>
    <w:p w14:paraId="4C4C517E" w14:textId="77777777" w:rsidR="00C718D9" w:rsidRPr="00C718D9" w:rsidRDefault="00C718D9" w:rsidP="00C718D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"/>
          <w14:ligatures w14:val="none"/>
        </w:rPr>
      </w:pP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Si existe un déficit a nivel del fondo fiduciario, se deben implementar las siguientes opciones:</w:t>
      </w:r>
    </w:p>
    <w:p w14:paraId="26DF235F" w14:textId="77777777" w:rsidR="00C718D9" w:rsidRPr="00C718D9" w:rsidRDefault="00C718D9" w:rsidP="00C718D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"/>
          <w14:ligatures w14:val="none"/>
        </w:rPr>
      </w:pP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Transferir otros fondos del programa (otro donante) al fondo fiduciario, si lo permite el acuerdo con el donante o si se obtiene el consentimiento del donante.</w:t>
      </w:r>
    </w:p>
    <w:p w14:paraId="595CA9C2" w14:textId="77777777" w:rsidR="00C718D9" w:rsidRPr="00C718D9" w:rsidRDefault="00C718D9" w:rsidP="00C718D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"/>
          <w14:ligatures w14:val="none"/>
        </w:rPr>
      </w:pP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Transferir fondos extrapresupuestarios al fondo fiduciario.</w:t>
      </w:r>
    </w:p>
    <w:p w14:paraId="52E964CC" w14:textId="77777777" w:rsidR="00C718D9" w:rsidRPr="00C718D9" w:rsidRDefault="00C718D9" w:rsidP="00C718D9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"/>
          <w14:ligatures w14:val="none"/>
        </w:rPr>
      </w:pP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 xml:space="preserve">Si persiste el déficit, se deben iniciar los procedimientos para cargar los TRAC 1 y 2 actuales o futuros (fondo 04000), el Fondo de participación en los gastos de la cofinanciación de país (fondo 11888), o saldos residuales del proyecto de cofinanciamiento del país (fondo 11890) de acuerdo con las directrices aprobadas. </w:t>
      </w:r>
    </w:p>
    <w:p w14:paraId="5ECCC079" w14:textId="77777777" w:rsidR="00C718D9" w:rsidRPr="00C718D9" w:rsidRDefault="00C718D9" w:rsidP="00C718D9">
      <w:pPr>
        <w:shd w:val="clear" w:color="auto" w:fill="FFFFFF"/>
        <w:spacing w:after="0" w:line="360" w:lineRule="auto"/>
        <w:jc w:val="both"/>
        <w:textAlignment w:val="top"/>
        <w:rPr>
          <w:rFonts w:ascii="Calibri" w:eastAsia="Times New Roman" w:hAnsi="Calibri" w:cs="Arial"/>
          <w:color w:val="333333"/>
          <w:kern w:val="0"/>
          <w:sz w:val="10"/>
          <w:szCs w:val="10"/>
          <w:lang w:val="es-AR"/>
          <w14:ligatures w14:val="none"/>
        </w:rPr>
      </w:pPr>
    </w:p>
    <w:p w14:paraId="7000BE0B" w14:textId="77777777" w:rsidR="00C718D9" w:rsidRPr="00C718D9" w:rsidRDefault="00C718D9" w:rsidP="00C718D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"/>
          <w14:ligatures w14:val="none"/>
        </w:rPr>
      </w:pP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 xml:space="preserve">Se debe notificar a la Centro Mundial de Servicios Compartidos (GSSC, </w:t>
      </w:r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 xml:space="preserve">Global </w:t>
      </w:r>
      <w:proofErr w:type="spellStart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>Shared</w:t>
      </w:r>
      <w:proofErr w:type="spellEnd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 xml:space="preserve"> </w:t>
      </w:r>
      <w:proofErr w:type="spellStart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>Services</w:t>
      </w:r>
      <w:proofErr w:type="spellEnd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 xml:space="preserve"> Centre</w:t>
      </w: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 xml:space="preserve"> por sus siglas en inglés) y solicitarle que cierre cualquier contrato asociado creado en el módulo de contratos. El gerente del fondo fiduciario transfiere la lista de verificación de finalización de fondo fiduciario completada a sus respectivos burós, quienes deben revisarla, autorizarla y presentarla a Gestión e Informe de Desempeño Financiero (FPMR, </w:t>
      </w:r>
      <w:proofErr w:type="spellStart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>Financial</w:t>
      </w:r>
      <w:proofErr w:type="spellEnd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 xml:space="preserve"> Performance Management and </w:t>
      </w:r>
      <w:proofErr w:type="spellStart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>Reporting</w:t>
      </w:r>
      <w:proofErr w:type="spellEnd"/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 xml:space="preserve">, por sus siglas en inglés) de la Oficina de Gestión de Recursos Financieros (OFM, </w:t>
      </w:r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 xml:space="preserve">Office </w:t>
      </w:r>
      <w:proofErr w:type="spellStart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>of</w:t>
      </w:r>
      <w:proofErr w:type="spellEnd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 xml:space="preserve"> </w:t>
      </w:r>
      <w:proofErr w:type="spellStart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>Financial</w:t>
      </w:r>
      <w:proofErr w:type="spellEnd"/>
      <w:r w:rsidRPr="00C718D9">
        <w:rPr>
          <w:rFonts w:ascii="Calibri" w:eastAsia="Calibri" w:hAnsi="Calibri" w:cs="Times New Roman"/>
          <w:i/>
          <w:color w:val="333333"/>
          <w:kern w:val="0"/>
          <w:sz w:val="22"/>
          <w:lang w:val="es-ES"/>
          <w14:ligatures w14:val="none"/>
        </w:rPr>
        <w:t xml:space="preserve"> Management</w:t>
      </w: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, por sus siglas en inglés), junto con los documentos y el análisis de respaldo pertinentes (i) para reembolsar o transferir el saldo de recursos restante del fondo fiduciario y (</w:t>
      </w:r>
      <w:proofErr w:type="spellStart"/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ii</w:t>
      </w:r>
      <w:proofErr w:type="spellEnd"/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 xml:space="preserve">) para el cierre financiero del fondo fiduciario en Quantum. </w:t>
      </w:r>
    </w:p>
    <w:p w14:paraId="67878EE6" w14:textId="77777777" w:rsidR="00C718D9" w:rsidRPr="00C718D9" w:rsidRDefault="00C718D9" w:rsidP="00C718D9">
      <w:pPr>
        <w:shd w:val="clear" w:color="auto" w:fill="FFFFFF"/>
        <w:spacing w:after="0" w:line="240" w:lineRule="auto"/>
        <w:ind w:left="720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AR"/>
          <w14:ligatures w14:val="none"/>
        </w:rPr>
      </w:pPr>
    </w:p>
    <w:p w14:paraId="568204C4" w14:textId="22BEC54B" w:rsidR="00C718D9" w:rsidRPr="00C718D9" w:rsidRDefault="00C718D9" w:rsidP="00C718D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"/>
          <w14:ligatures w14:val="none"/>
        </w:rPr>
      </w:pP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 xml:space="preserve">El acuerdo de contribución con el donante y los </w:t>
      </w:r>
      <w:proofErr w:type="spellStart"/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TdR</w:t>
      </w:r>
      <w:proofErr w:type="spellEnd"/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 xml:space="preserve"> del fondo fiduciario determinarán si los saldos no utilizados se reembolsan o se transfieren. Consultar las </w:t>
      </w:r>
      <w:r w:rsidRPr="00C718D9">
        <w:rPr>
          <w:rFonts w:ascii="Calibri" w:eastAsia="Calibri" w:hAnsi="Calibri" w:cs="Times New Roman"/>
          <w:bCs/>
          <w:color w:val="333333"/>
          <w:kern w:val="0"/>
          <w:sz w:val="22"/>
          <w:lang w:val="es-ES"/>
          <w14:ligatures w14:val="none"/>
        </w:rPr>
        <w:t xml:space="preserve">secciones (i) </w:t>
      </w:r>
      <w:hyperlink r:id="rId8" w:history="1">
        <w:r w:rsidRPr="00C718D9">
          <w:rPr>
            <w:rFonts w:ascii="Calibri" w:eastAsia="Calibri" w:hAnsi="Calibri" w:cs="Times New Roman"/>
            <w:color w:val="0563C1"/>
            <w:kern w:val="0"/>
            <w:sz w:val="22"/>
            <w:szCs w:val="22"/>
            <w:u w:val="single"/>
            <w:lang w:val="es-ES"/>
            <w14:ligatures w14:val="none"/>
          </w:rPr>
          <w:t>reembolso a los donantes</w:t>
        </w:r>
      </w:hyperlink>
      <w:r w:rsidRPr="00C718D9"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  <w:t xml:space="preserve"> </w:t>
      </w:r>
      <w:r w:rsidRPr="00C718D9">
        <w:rPr>
          <w:rFonts w:ascii="Calibri" w:eastAsia="Calibri" w:hAnsi="Calibri" w:cs="Times New Roman"/>
          <w:kern w:val="0"/>
          <w:sz w:val="22"/>
          <w:lang w:val="es-ES"/>
          <w14:ligatures w14:val="none"/>
        </w:rPr>
        <w:t>o (</w:t>
      </w:r>
      <w:proofErr w:type="spellStart"/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ii</w:t>
      </w:r>
      <w:proofErr w:type="spellEnd"/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)</w:t>
      </w:r>
      <w:r w:rsidRPr="00C718D9"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  <w:t xml:space="preserve"> </w:t>
      </w:r>
      <w:hyperlink r:id="rId9" w:history="1">
        <w:r w:rsidRPr="00C718D9">
          <w:rPr>
            <w:rFonts w:ascii="Calibri" w:eastAsia="Calibri" w:hAnsi="Calibri" w:cs="Times New Roman"/>
            <w:color w:val="0563C1"/>
            <w:kern w:val="0"/>
            <w:sz w:val="22"/>
            <w:szCs w:val="22"/>
            <w:u w:val="single"/>
            <w:lang w:val="es-ES"/>
            <w14:ligatures w14:val="none"/>
          </w:rPr>
          <w:t>transferencias donde no se reembolsan los saldos no utilizados</w:t>
        </w:r>
      </w:hyperlink>
      <w:r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  <w:t xml:space="preserve"> (</w:t>
      </w:r>
      <w:r w:rsidRPr="00C718D9"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  <w:t>en inglés</w:t>
      </w:r>
      <w:r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  <w:t>)</w:t>
      </w:r>
      <w:r w:rsidRPr="00C718D9">
        <w:rPr>
          <w:rFonts w:ascii="Calibri" w:eastAsia="Calibri" w:hAnsi="Calibri" w:cs="Times New Roman"/>
          <w:kern w:val="0"/>
          <w:sz w:val="22"/>
          <w:szCs w:val="22"/>
          <w:lang w:val="es-ES"/>
          <w14:ligatures w14:val="none"/>
        </w:rPr>
        <w:t>.</w:t>
      </w:r>
    </w:p>
    <w:p w14:paraId="54FDACAB" w14:textId="77777777" w:rsidR="00C718D9" w:rsidRPr="00C718D9" w:rsidRDefault="00C718D9" w:rsidP="00C718D9">
      <w:pPr>
        <w:shd w:val="clear" w:color="auto" w:fill="FFFFFF"/>
        <w:spacing w:after="0" w:line="360" w:lineRule="auto"/>
        <w:ind w:left="720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AR"/>
          <w14:ligatures w14:val="none"/>
        </w:rPr>
      </w:pPr>
    </w:p>
    <w:p w14:paraId="22D5F151" w14:textId="77777777" w:rsidR="00C718D9" w:rsidRPr="00C718D9" w:rsidRDefault="00C718D9" w:rsidP="00C718D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"/>
          <w14:ligatures w14:val="none"/>
        </w:rPr>
      </w:pPr>
      <w:r w:rsidRPr="00C718D9">
        <w:rPr>
          <w:rFonts w:ascii="Calibri" w:eastAsia="Calibri" w:hAnsi="Calibri" w:cs="Times New Roman"/>
          <w:color w:val="333333"/>
          <w:kern w:val="0"/>
          <w:sz w:val="22"/>
          <w:lang w:val="es-ES"/>
          <w14:ligatures w14:val="none"/>
        </w:rPr>
        <w:t>La OFM es responsable de cambiar el estado del fondo fiduciario en Quantum desactivando los códigos de fondo, luego de obtener la aprobación del gerente del fondo fiduciario y después de que los saldos del fondo hayan sido reembolsados o transferidos del fondo fiduciario.</w:t>
      </w:r>
    </w:p>
    <w:p w14:paraId="04977810" w14:textId="77777777" w:rsidR="00C718D9" w:rsidRPr="00C718D9" w:rsidRDefault="00C718D9" w:rsidP="00C718D9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"/>
          <w14:ligatures w14:val="none"/>
        </w:rPr>
      </w:pPr>
    </w:p>
    <w:p w14:paraId="41E5A3CD" w14:textId="77777777" w:rsidR="00C718D9" w:rsidRPr="00621DA1" w:rsidRDefault="00C718D9" w:rsidP="00621DA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kern w:val="0"/>
          <w:sz w:val="22"/>
          <w:szCs w:val="22"/>
          <w14:ligatures w14:val="none"/>
        </w:rPr>
      </w:pPr>
      <w:r w:rsidRPr="00621DA1">
        <w:rPr>
          <w:rFonts w:ascii="Calibri" w:eastAsia="Times New Roman" w:hAnsi="Calibri" w:cs="Times New Roman"/>
          <w:b/>
          <w:bCs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lastRenderedPageBreak/>
        <w:t>Disclaimer:</w:t>
      </w:r>
      <w:r w:rsidRPr="00621DA1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 This document was translated from English into Spanish. In the event of any discrepancy between this translation and the original English document, the original English document shall prevail.</w:t>
      </w:r>
    </w:p>
    <w:p w14:paraId="21C9CCD6" w14:textId="77777777" w:rsidR="00C718D9" w:rsidRPr="00621DA1" w:rsidRDefault="00C718D9" w:rsidP="00621DA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kern w:val="0"/>
          <w:sz w:val="22"/>
          <w:szCs w:val="22"/>
          <w14:ligatures w14:val="none"/>
        </w:rPr>
      </w:pPr>
      <w:r w:rsidRPr="00621DA1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55C3EDA8" w14:textId="77777777" w:rsidR="00C718D9" w:rsidRPr="00621DA1" w:rsidRDefault="00C718D9" w:rsidP="00621DA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kern w:val="0"/>
          <w:sz w:val="22"/>
          <w:szCs w:val="22"/>
          <w:lang w:val="es-ES_tradnl"/>
          <w14:ligatures w14:val="none"/>
        </w:rPr>
      </w:pPr>
      <w:r w:rsidRPr="00621DA1">
        <w:rPr>
          <w:rFonts w:ascii="Calibri" w:eastAsia="Times New Roman" w:hAnsi="Calibri" w:cs="Times New Roman"/>
          <w:b/>
          <w:bCs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s-ES_tradnl"/>
          <w14:ligatures w14:val="none"/>
        </w:rPr>
        <w:t>Descargo de responsabilidad:</w:t>
      </w:r>
      <w:r w:rsidRPr="00621DA1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s-ES_tradnl"/>
          <w14:ligatures w14:val="none"/>
        </w:rPr>
        <w:t xml:space="preserve"> esta es una traducción de un documento original en inglés. </w:t>
      </w:r>
      <w:r w:rsidRPr="00621DA1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s-UY"/>
          <w14:ligatures w14:val="none"/>
        </w:rPr>
        <w:t>En caso de discrepancias entre esta traducción y el documento original en inglés, prevalecerá el documento original en inglés.</w:t>
      </w:r>
    </w:p>
    <w:p w14:paraId="58811D8C" w14:textId="77777777" w:rsidR="00C718D9" w:rsidRPr="00C718D9" w:rsidRDefault="00C718D9" w:rsidP="00C718D9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Arial"/>
          <w:color w:val="333333"/>
          <w:kern w:val="0"/>
          <w:sz w:val="22"/>
          <w:lang w:val="es-ES_tradnl"/>
          <w14:ligatures w14:val="none"/>
        </w:rPr>
      </w:pPr>
    </w:p>
    <w:p w14:paraId="37627E38" w14:textId="77777777" w:rsidR="00DA504D" w:rsidRDefault="00DA504D"/>
    <w:sectPr w:rsidR="00DA504D" w:rsidSect="00C718D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A1244" w14:textId="77777777" w:rsidR="00B4633C" w:rsidRDefault="00B4633C" w:rsidP="00C718D9">
      <w:pPr>
        <w:spacing w:after="0" w:line="240" w:lineRule="auto"/>
      </w:pPr>
      <w:r>
        <w:separator/>
      </w:r>
    </w:p>
  </w:endnote>
  <w:endnote w:type="continuationSeparator" w:id="0">
    <w:p w14:paraId="27FD864B" w14:textId="77777777" w:rsidR="00B4633C" w:rsidRDefault="00B4633C" w:rsidP="00C7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D403" w14:textId="77777777" w:rsidR="00C718D9" w:rsidRPr="00621DA1" w:rsidRDefault="00C718D9">
    <w:pPr>
      <w:pStyle w:val="Footer"/>
      <w:rPr>
        <w:rFonts w:ascii="Calibri" w:hAnsi="Calibri" w:cs="Calibri"/>
      </w:rPr>
    </w:pPr>
    <w:r w:rsidRPr="00621DA1">
      <w:rPr>
        <w:rFonts w:ascii="Calibri" w:hAnsi="Calibri" w:cs="Calibri"/>
      </w:rPr>
      <w:t xml:space="preserve">Página </w:t>
    </w:r>
    <w:r w:rsidRPr="00621DA1">
      <w:rPr>
        <w:rFonts w:ascii="Calibri" w:hAnsi="Calibri" w:cs="Calibri"/>
        <w:b/>
      </w:rPr>
      <w:fldChar w:fldCharType="begin"/>
    </w:r>
    <w:r w:rsidRPr="00621DA1">
      <w:rPr>
        <w:rFonts w:ascii="Calibri" w:hAnsi="Calibri" w:cs="Calibri"/>
        <w:b/>
      </w:rPr>
      <w:instrText xml:space="preserve"> PAGE  \* Arabic  \* MERGEFORMAT </w:instrText>
    </w:r>
    <w:r w:rsidRPr="00621DA1">
      <w:rPr>
        <w:rFonts w:ascii="Calibri" w:hAnsi="Calibri" w:cs="Calibri"/>
        <w:b/>
      </w:rPr>
      <w:fldChar w:fldCharType="separate"/>
    </w:r>
    <w:r w:rsidRPr="00621DA1">
      <w:rPr>
        <w:rFonts w:ascii="Calibri" w:hAnsi="Calibri" w:cs="Calibri"/>
        <w:b/>
        <w:noProof/>
      </w:rPr>
      <w:t>2</w:t>
    </w:r>
    <w:r w:rsidRPr="00621DA1">
      <w:rPr>
        <w:rFonts w:ascii="Calibri" w:hAnsi="Calibri" w:cs="Calibri"/>
        <w:b/>
      </w:rPr>
      <w:fldChar w:fldCharType="end"/>
    </w:r>
    <w:r w:rsidRPr="00621DA1">
      <w:rPr>
        <w:rFonts w:ascii="Calibri" w:hAnsi="Calibri" w:cs="Calibri"/>
      </w:rPr>
      <w:t xml:space="preserve"> de </w:t>
    </w:r>
    <w:r w:rsidRPr="00621DA1">
      <w:rPr>
        <w:rFonts w:ascii="Calibri" w:hAnsi="Calibri" w:cs="Calibri"/>
        <w:b/>
      </w:rPr>
      <w:fldChar w:fldCharType="begin"/>
    </w:r>
    <w:r w:rsidRPr="00621DA1">
      <w:rPr>
        <w:rFonts w:ascii="Calibri" w:hAnsi="Calibri" w:cs="Calibri"/>
        <w:b/>
      </w:rPr>
      <w:instrText xml:space="preserve"> NUMPAGES  \* Arabic  \* MERGEFORMAT </w:instrText>
    </w:r>
    <w:r w:rsidRPr="00621DA1">
      <w:rPr>
        <w:rFonts w:ascii="Calibri" w:hAnsi="Calibri" w:cs="Calibri"/>
        <w:b/>
      </w:rPr>
      <w:fldChar w:fldCharType="separate"/>
    </w:r>
    <w:r w:rsidRPr="00621DA1">
      <w:rPr>
        <w:rFonts w:ascii="Calibri" w:hAnsi="Calibri" w:cs="Calibri"/>
        <w:b/>
        <w:noProof/>
      </w:rPr>
      <w:t>2</w:t>
    </w:r>
    <w:r w:rsidRPr="00621DA1">
      <w:rPr>
        <w:rFonts w:ascii="Calibri" w:hAnsi="Calibri" w:cs="Calibri"/>
        <w:b/>
      </w:rPr>
      <w:fldChar w:fldCharType="end"/>
    </w:r>
    <w:r w:rsidRPr="00621DA1">
      <w:rPr>
        <w:rFonts w:ascii="Calibri" w:hAnsi="Calibri" w:cs="Calibri"/>
      </w:rPr>
      <w:ptab w:relativeTo="margin" w:alignment="center" w:leader="none"/>
    </w:r>
    <w:r w:rsidRPr="00621DA1">
      <w:rPr>
        <w:rFonts w:ascii="Calibri" w:hAnsi="Calibri" w:cs="Calibri"/>
      </w:rPr>
      <w:t>Fecha de entrada en vigor: 01/01/2023</w:t>
    </w:r>
    <w:r w:rsidRPr="00621DA1">
      <w:rPr>
        <w:rFonts w:ascii="Calibri" w:hAnsi="Calibri" w:cs="Calibri"/>
      </w:rPr>
      <w:ptab w:relativeTo="margin" w:alignment="right" w:leader="none"/>
    </w:r>
    <w:r w:rsidRPr="00621DA1">
      <w:rPr>
        <w:rFonts w:ascii="Calibri" w:hAnsi="Calibri" w:cs="Calibri"/>
      </w:rPr>
      <w:t xml:space="preserve">Versión #: </w:t>
    </w:r>
    <w:sdt>
      <w:sdtPr>
        <w:rPr>
          <w:rFonts w:ascii="Calibri" w:hAnsi="Calibri" w:cs="Calibri"/>
        </w:rPr>
        <w:alias w:val="POPPRefItemVersion"/>
        <w:tag w:val="UNDP_POPP_REFITEM_VERSION"/>
        <w:id w:val="-1890021562"/>
        <w:dataBinding w:prefixMappings="xmlns:ns0='http://schemas.microsoft.com/office/2006/metadata/properties' xmlns:ns1='http://www.w3.org/2001/XMLSchema-instance' xmlns:ns2='http://schemas.microsoft.com/office/infopath/2007/PartnerControls' xmlns:ns3='e560140e-7b2f-4392-90df-e7567e3021a3' xmlns:ns4='8264c5cc-ec60-4b56-8111-ce635d3d139a' " w:xpath="/ns0:properties[1]/documentManagement[1]/ns4:UNDP_POPP_REFITEM_VERSION[1]" w:storeItemID="{E41FB9E2-8E54-4E2C-A404-1902C79ABE44}"/>
        <w:text/>
      </w:sdtPr>
      <w:sdtContent>
        <w:r w:rsidRPr="00621DA1">
          <w:rPr>
            <w:rFonts w:ascii="Calibri" w:hAnsi="Calibri" w:cs="Calibri"/>
          </w:rPr>
          <w:t>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8CFAC" w14:textId="77777777" w:rsidR="00B4633C" w:rsidRDefault="00B4633C" w:rsidP="00C718D9">
      <w:pPr>
        <w:spacing w:after="0" w:line="240" w:lineRule="auto"/>
      </w:pPr>
      <w:r>
        <w:separator/>
      </w:r>
    </w:p>
  </w:footnote>
  <w:footnote w:type="continuationSeparator" w:id="0">
    <w:p w14:paraId="357E8140" w14:textId="77777777" w:rsidR="00B4633C" w:rsidRDefault="00B4633C" w:rsidP="00C71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63B1" w14:textId="0BA39163" w:rsidR="00C718D9" w:rsidRDefault="00C718D9" w:rsidP="002978FA">
    <w:pPr>
      <w:pStyle w:val="Header"/>
      <w:jc w:val="right"/>
    </w:pPr>
    <w:r>
      <w:rPr>
        <w:noProof/>
      </w:rPr>
      <w:drawing>
        <wp:inline distT="0" distB="0" distL="0" distR="0" wp14:anchorId="13CCB628" wp14:editId="2F74C658">
          <wp:extent cx="283210" cy="553691"/>
          <wp:effectExtent l="0" t="0" r="2540" b="0"/>
          <wp:docPr id="2060418074" name="Picture 2060418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69" b="28533"/>
                  <a:stretch/>
                </pic:blipFill>
                <pic:spPr bwMode="auto">
                  <a:xfrm>
                    <a:off x="0" y="0"/>
                    <a:ext cx="287385" cy="5618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CCC171C" w14:textId="77777777" w:rsidR="00C718D9" w:rsidRDefault="00C718D9" w:rsidP="002978F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B6133"/>
    <w:multiLevelType w:val="hybridMultilevel"/>
    <w:tmpl w:val="46DCF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D40958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470E4"/>
    <w:multiLevelType w:val="hybridMultilevel"/>
    <w:tmpl w:val="39DAB6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3642477">
    <w:abstractNumId w:val="0"/>
  </w:num>
  <w:num w:numId="2" w16cid:durableId="690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D9"/>
    <w:rsid w:val="0020305E"/>
    <w:rsid w:val="004B3586"/>
    <w:rsid w:val="00621DA1"/>
    <w:rsid w:val="00832178"/>
    <w:rsid w:val="00B4633C"/>
    <w:rsid w:val="00C61B9D"/>
    <w:rsid w:val="00C718D9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CAE1"/>
  <w15:chartTrackingRefBased/>
  <w15:docId w15:val="{EA04A2D6-CAD8-497A-A61A-5EC07FD1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1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8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8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8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8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8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8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8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8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8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8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8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18D9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:lang w:val="es-E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718D9"/>
    <w:rPr>
      <w:kern w:val="0"/>
      <w:sz w:val="22"/>
      <w:szCs w:val="22"/>
      <w:lang w:val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18D9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:lang w:val="es-E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718D9"/>
    <w:rPr>
      <w:kern w:val="0"/>
      <w:sz w:val="22"/>
      <w:szCs w:val="22"/>
      <w:lang w:val="es-ES"/>
      <w14:ligatures w14:val="none"/>
    </w:rPr>
  </w:style>
  <w:style w:type="paragraph" w:styleId="Revision">
    <w:name w:val="Revision"/>
    <w:hidden/>
    <w:uiPriority w:val="99"/>
    <w:semiHidden/>
    <w:rsid w:val="00C718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pp.undp.org/es/documento/reembolso-donant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pp.undp.org/node/506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opp.undp.org/node/1115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2026-05-04T20:32:00Z</dcterms:created>
  <dcterms:modified xsi:type="dcterms:W3CDTF">2026-05-04T20:39:00Z</dcterms:modified>
</cp:coreProperties>
</file>