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72B5" w14:textId="7A852C8F" w:rsidR="003D7BE0" w:rsidRPr="003D7BE0" w:rsidRDefault="003D7BE0" w:rsidP="003D7BE0">
      <w:pPr>
        <w:pStyle w:val="Heading1"/>
        <w:spacing w:before="360"/>
        <w:ind w:left="360" w:hanging="360"/>
        <w:jc w:val="left"/>
        <w:rPr>
          <w:rFonts w:asciiTheme="majorHAnsi" w:hAnsiTheme="majorHAnsi" w:cstheme="majorHAnsi"/>
          <w:b/>
          <w:sz w:val="28"/>
          <w:szCs w:val="22"/>
        </w:rPr>
      </w:pPr>
      <w:r w:rsidRPr="003D7BE0">
        <w:rPr>
          <w:rFonts w:asciiTheme="majorHAnsi" w:hAnsiTheme="majorHAnsi" w:cstheme="majorHAnsi"/>
          <w:b/>
          <w:sz w:val="28"/>
          <w:szCs w:val="22"/>
        </w:rPr>
        <w:t>Planning and Paying for Delivery Enabling Services to Projects</w:t>
      </w:r>
    </w:p>
    <w:p w14:paraId="6BAAE0B3" w14:textId="77777777" w:rsidR="003D7BE0" w:rsidRPr="003D7BE0" w:rsidRDefault="003D7BE0" w:rsidP="003D7BE0">
      <w:pPr>
        <w:pStyle w:val="ListParagraph"/>
        <w:numPr>
          <w:ilvl w:val="0"/>
          <w:numId w:val="40"/>
        </w:numPr>
        <w:spacing w:before="240"/>
        <w:contextualSpacing w:val="0"/>
        <w:jc w:val="both"/>
        <w:rPr>
          <w:rFonts w:asciiTheme="majorHAnsi" w:hAnsiTheme="majorHAnsi" w:cstheme="majorHAnsi"/>
        </w:rPr>
      </w:pPr>
      <w:r w:rsidRPr="003D7BE0">
        <w:rPr>
          <w:rFonts w:asciiTheme="majorHAnsi" w:hAnsiTheme="majorHAnsi" w:cstheme="majorHAnsi"/>
        </w:rPr>
        <w:t>The head of office must ensure that all resources and capacities, including personnel support to projects, are incorporated into the office’s annual workplan. This includes personnel to be provided by the office managing the project or requested from other cost centers. Likewise, this includes all functions/activities described as delivery enabling services.</w:t>
      </w:r>
    </w:p>
    <w:p w14:paraId="157B316F"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hAnsiTheme="majorHAnsi" w:cstheme="majorHAnsi"/>
        </w:rPr>
        <w:t xml:space="preserve">On the project side, the head of office should ensure that all projects have identified the demand for delivery enabling services within their annual work planning exercise. </w:t>
      </w:r>
    </w:p>
    <w:p w14:paraId="32243349"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hAnsiTheme="majorHAnsi" w:cstheme="majorHAnsi"/>
        </w:rPr>
        <w:t xml:space="preserve">Irrespective of planning tools, a discussion should be held between the service requesters and providers to adequately plan and pre-position capacities for providing the delivery enabling services. </w:t>
      </w:r>
    </w:p>
    <w:p w14:paraId="31D047B2" w14:textId="77777777" w:rsidR="003D7BE0" w:rsidRPr="003D7BE0" w:rsidRDefault="003D7BE0" w:rsidP="003D7BE0">
      <w:pPr>
        <w:pStyle w:val="ListParagraph"/>
        <w:numPr>
          <w:ilvl w:val="0"/>
          <w:numId w:val="39"/>
        </w:numPr>
        <w:spacing w:before="240"/>
        <w:contextualSpacing w:val="0"/>
        <w:jc w:val="both"/>
        <w:rPr>
          <w:rFonts w:asciiTheme="majorHAnsi" w:eastAsia="Calibri" w:hAnsiTheme="majorHAnsi" w:cstheme="majorHAnsi"/>
        </w:rPr>
      </w:pPr>
      <w:r w:rsidRPr="003D7BE0">
        <w:rPr>
          <w:rFonts w:asciiTheme="majorHAnsi" w:eastAsia="Calibri" w:hAnsiTheme="majorHAnsi" w:cstheme="majorHAnsi"/>
        </w:rPr>
        <w:t xml:space="preserve">At the </w:t>
      </w:r>
      <w:r w:rsidRPr="003D7BE0">
        <w:rPr>
          <w:rFonts w:asciiTheme="majorHAnsi" w:eastAsia="Calibri" w:hAnsiTheme="majorHAnsi" w:cstheme="majorHAnsi"/>
          <w:iCs/>
        </w:rPr>
        <w:t>CO level</w:t>
      </w:r>
      <w:r w:rsidRPr="003D7BE0">
        <w:rPr>
          <w:rFonts w:asciiTheme="majorHAnsi" w:eastAsia="Calibri" w:hAnsiTheme="majorHAnsi" w:cstheme="majorHAnsi"/>
        </w:rPr>
        <w:t xml:space="preserve">, the multiple projects receiving services through UNDP staff must be charged automatically through payroll by establishing multi-funded positions. Refer to </w:t>
      </w:r>
      <w:hyperlink r:id="rId11" w:history="1">
        <w:r w:rsidRPr="003D7BE0">
          <w:rPr>
            <w:rStyle w:val="Hyperlink"/>
            <w:rFonts w:asciiTheme="majorHAnsi" w:eastAsia="Calibri" w:hAnsiTheme="majorHAnsi" w:cstheme="majorHAnsi"/>
          </w:rPr>
          <w:t xml:space="preserve">POPP procedures on </w:t>
        </w:r>
        <w:r w:rsidRPr="003D7BE0">
          <w:rPr>
            <w:rStyle w:val="Hyperlink"/>
            <w:rFonts w:asciiTheme="majorHAnsi" w:hAnsiTheme="majorHAnsi" w:cstheme="majorHAnsi"/>
          </w:rPr>
          <w:t>Multi-Funding Lines</w:t>
        </w:r>
      </w:hyperlink>
      <w:r w:rsidRPr="003D7BE0">
        <w:rPr>
          <w:rFonts w:asciiTheme="majorHAnsi" w:eastAsia="Calibri" w:hAnsiTheme="majorHAnsi" w:cstheme="majorHAnsi"/>
        </w:rPr>
        <w:t>. The share of their operating overhead costs must be charged directly to the project at the time of making payments to non-staff personnel or other external vendors.</w:t>
      </w:r>
    </w:p>
    <w:p w14:paraId="1E5B38C7"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eastAsia="Calibri" w:hAnsiTheme="majorHAnsi" w:cstheme="majorHAnsi"/>
        </w:rPr>
        <w:t xml:space="preserve">If the funding source for staff to provide project services is unknown at the time of payment, an interim pre-funding line may be used. Such advance funding may come from the Office’s institutional budget or other non-core resources. Once the project information becomes available, reversal entries should be promptly affected for payroll charges already incurred, and remaining services should be charged directly to the project budget(s). </w:t>
      </w:r>
    </w:p>
    <w:p w14:paraId="2C9DFE37"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eastAsia="Calibri" w:hAnsiTheme="majorHAnsi" w:cstheme="majorHAnsi"/>
        </w:rPr>
        <w:t xml:space="preserve">Service-providing entities beyond the CO may establish a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If the establishment of multi-funded positions is impractical, an initial advance from internal funds may be used to pre-position staff capacities to meet project service demands. Such staff may be fully or partially funded from the recovery of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depending on the nature of their functions. When services are provided, the project receiving the services must be charged, and the credit posted to the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directly offsetting the funding source used for pre-positioning. </w:t>
      </w:r>
    </w:p>
    <w:p w14:paraId="442E483D" w14:textId="2CF34FCB"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eastAsia="Calibri" w:hAnsiTheme="majorHAnsi" w:cstheme="majorHAnsi"/>
        </w:rPr>
        <w:t xml:space="preserve">Any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or interim account deficits to preposition staff capacities, that </w:t>
      </w:r>
      <w:r w:rsidR="002103FF" w:rsidRPr="003D7BE0">
        <w:rPr>
          <w:rFonts w:asciiTheme="majorHAnsi" w:eastAsia="Calibri" w:hAnsiTheme="majorHAnsi" w:cstheme="majorHAnsi"/>
        </w:rPr>
        <w:t>are not</w:t>
      </w:r>
      <w:r w:rsidRPr="003D7BE0">
        <w:rPr>
          <w:rFonts w:asciiTheme="majorHAnsi" w:eastAsia="Calibri" w:hAnsiTheme="majorHAnsi" w:cstheme="majorHAnsi"/>
        </w:rPr>
        <w:t xml:space="preserve"> fully recovered through projects by year-end, must be covered through internal unit resources.</w:t>
      </w:r>
    </w:p>
    <w:p w14:paraId="3E963835" w14:textId="7126D76F" w:rsidR="003D7BE0" w:rsidRPr="003D7BE0" w:rsidRDefault="003D7BE0" w:rsidP="003D7BE0">
      <w:pPr>
        <w:pStyle w:val="ListParagraph"/>
        <w:numPr>
          <w:ilvl w:val="0"/>
          <w:numId w:val="39"/>
        </w:numPr>
        <w:spacing w:before="240"/>
        <w:contextualSpacing w:val="0"/>
        <w:jc w:val="both"/>
        <w:rPr>
          <w:rFonts w:asciiTheme="majorHAnsi" w:eastAsia="Calibri" w:hAnsiTheme="majorHAnsi" w:cstheme="majorHAnsi"/>
        </w:rPr>
      </w:pPr>
      <w:r w:rsidRPr="003D7BE0">
        <w:rPr>
          <w:rFonts w:asciiTheme="majorHAnsi" w:eastAsia="Calibri" w:hAnsiTheme="majorHAnsi" w:cstheme="majorHAnsi"/>
        </w:rPr>
        <w:lastRenderedPageBreak/>
        <w:t xml:space="preserve">A positive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balance could occur if the project service costs are received in advance, or a revolving advance fund was established to pre-fund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Such positive balances may be used for further pre-positioning needs. Detailed guidance is provided in </w:t>
      </w:r>
      <w:hyperlink r:id="rId12" w:history="1">
        <w:r w:rsidRPr="005058DF">
          <w:rPr>
            <w:rStyle w:val="Hyperlink"/>
            <w:rFonts w:asciiTheme="majorHAnsi" w:eastAsia="Calibri" w:hAnsiTheme="majorHAnsi" w:cstheme="majorHAnsi"/>
          </w:rPr>
          <w:t>Annex 1</w:t>
        </w:r>
      </w:hyperlink>
      <w:r w:rsidRPr="003D7BE0">
        <w:rPr>
          <w:rFonts w:asciiTheme="majorHAnsi" w:eastAsia="Calibri" w:hAnsiTheme="majorHAnsi" w:cstheme="majorHAnsi"/>
        </w:rPr>
        <w:t>.</w:t>
      </w:r>
    </w:p>
    <w:p w14:paraId="23F7203F"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eastAsia="Calibri" w:hAnsiTheme="majorHAnsi" w:cstheme="majorHAnsi"/>
        </w:rPr>
        <w:t xml:space="preserve">UNDP should charge all non-staff related expenses directly to the project at the time a payment is made to an individual, other entity for related rent or other shared costs, implementing partner, responsible party, or grantee, etc. If such information is initially unavailable, an interim account may be used. Reversal entries must be made promptly once relevant project information becomes available. </w:t>
      </w:r>
    </w:p>
    <w:p w14:paraId="5A9CE64E" w14:textId="3F7BD1F2" w:rsidR="003D7BE0" w:rsidRPr="003D7BE0" w:rsidRDefault="003D7BE0" w:rsidP="49C44E54">
      <w:pPr>
        <w:pStyle w:val="ListParagraph"/>
        <w:numPr>
          <w:ilvl w:val="0"/>
          <w:numId w:val="39"/>
        </w:numPr>
        <w:spacing w:before="240"/>
        <w:contextualSpacing w:val="0"/>
        <w:jc w:val="both"/>
        <w:rPr>
          <w:rFonts w:asciiTheme="majorHAnsi" w:eastAsia="Calibri" w:hAnsiTheme="majorHAnsi" w:cstheme="majorBidi"/>
        </w:rPr>
      </w:pPr>
      <w:r w:rsidRPr="49C44E54">
        <w:rPr>
          <w:rFonts w:asciiTheme="majorHAnsi" w:eastAsia="Calibri" w:hAnsiTheme="majorHAnsi" w:cstheme="majorBidi"/>
        </w:rPr>
        <w:t>The UNDP practice of using flat percentages or other types of fees for delivery enabling services must be transitioned</w:t>
      </w:r>
      <w:r w:rsidR="5724835E" w:rsidRPr="49C44E54">
        <w:rPr>
          <w:rFonts w:asciiTheme="majorHAnsi" w:eastAsia="Calibri" w:hAnsiTheme="majorHAnsi" w:cstheme="majorBidi"/>
        </w:rPr>
        <w:t xml:space="preserve"> </w:t>
      </w:r>
      <w:r w:rsidRPr="49C44E54">
        <w:rPr>
          <w:rFonts w:asciiTheme="majorHAnsi" w:eastAsia="Calibri" w:hAnsiTheme="majorHAnsi" w:cstheme="majorBidi"/>
        </w:rPr>
        <w:t xml:space="preserve">out through renegotiation with funding partners. In the interim, such fees must be credited to </w:t>
      </w:r>
      <w:r w:rsidRPr="49C44E54">
        <w:rPr>
          <w:rFonts w:asciiTheme="majorHAnsi" w:hAnsiTheme="majorHAnsi" w:cstheme="majorBidi"/>
        </w:rPr>
        <w:t>delivery enabling services</w:t>
      </w:r>
      <w:r w:rsidRPr="49C44E54">
        <w:rPr>
          <w:rFonts w:asciiTheme="majorHAnsi" w:eastAsia="Calibri" w:hAnsiTheme="majorHAnsi" w:cstheme="majorBidi"/>
        </w:rPr>
        <w:t xml:space="preserve">. If national partners insist on a flat percentage fee, it should be clearly derived from the full project costing and budgeting exercise. It should also be documented and discussed with National Partners and fully disclosed and agreed by the Regional Bureaus. </w:t>
      </w:r>
    </w:p>
    <w:p w14:paraId="5701285B" w14:textId="5A64909A" w:rsidR="00A94E3C" w:rsidRPr="003D7BE0" w:rsidRDefault="00A94E3C" w:rsidP="00F948AE">
      <w:pPr>
        <w:rPr>
          <w:rFonts w:asciiTheme="majorHAnsi" w:eastAsiaTheme="majorEastAsia" w:hAnsiTheme="majorHAnsi" w:cstheme="majorHAnsi"/>
          <w:b/>
          <w:sz w:val="28"/>
        </w:rPr>
      </w:pPr>
    </w:p>
    <w:sectPr w:rsidR="00A94E3C" w:rsidRPr="003D7BE0" w:rsidSect="0055203C">
      <w:headerReference w:type="default" r:id="rId13"/>
      <w:footerReference w:type="default" r:id="rId14"/>
      <w:headerReference w:type="first" r:id="rId15"/>
      <w:footerReference w:type="first" r:id="rId16"/>
      <w:pgSz w:w="12240" w:h="15840"/>
      <w:pgMar w:top="1080" w:right="1800" w:bottom="90" w:left="1800" w:header="720" w:footer="1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2D36" w14:textId="77777777" w:rsidR="00593C3E" w:rsidRDefault="00593C3E" w:rsidP="006A295A">
      <w:r>
        <w:separator/>
      </w:r>
    </w:p>
  </w:endnote>
  <w:endnote w:type="continuationSeparator" w:id="0">
    <w:p w14:paraId="0CB89341" w14:textId="77777777" w:rsidR="00593C3E" w:rsidRDefault="00593C3E"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DD55" w14:textId="693C26D2" w:rsidR="00F820D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r w:rsidR="003A40D8" w:rsidRPr="003A40D8">
      <w:rPr>
        <w:rFonts w:asciiTheme="majorHAnsi" w:hAnsiTheme="majorHAnsi"/>
        <w:sz w:val="22"/>
        <w:szCs w:val="22"/>
      </w:rPr>
      <w:t>0</w:t>
    </w:r>
    <w:r w:rsidR="00601861">
      <w:rPr>
        <w:rFonts w:asciiTheme="majorHAnsi" w:hAnsiTheme="majorHAnsi"/>
        <w:sz w:val="22"/>
        <w:szCs w:val="22"/>
      </w:rPr>
      <w:t>2</w:t>
    </w:r>
    <w:r w:rsidR="003A40D8" w:rsidRPr="003A40D8">
      <w:rPr>
        <w:rFonts w:asciiTheme="majorHAnsi" w:hAnsiTheme="majorHAnsi"/>
        <w:sz w:val="22"/>
        <w:szCs w:val="22"/>
      </w:rPr>
      <w:t>/0</w:t>
    </w:r>
    <w:r w:rsidR="00601861">
      <w:rPr>
        <w:rFonts w:asciiTheme="majorHAnsi" w:hAnsiTheme="majorHAnsi"/>
        <w:sz w:val="22"/>
        <w:szCs w:val="22"/>
      </w:rPr>
      <w:t>2</w:t>
    </w:r>
    <w:r w:rsidR="003A40D8" w:rsidRPr="003A40D8">
      <w:rPr>
        <w:rFonts w:asciiTheme="majorHAnsi" w:hAnsiTheme="majorHAnsi"/>
        <w:sz w:val="22"/>
        <w:szCs w:val="22"/>
      </w:rPr>
      <w:t>/202</w:t>
    </w:r>
    <w:r w:rsidR="00D06191">
      <w:rPr>
        <w:rFonts w:asciiTheme="majorHAnsi" w:hAnsiTheme="majorHAnsi"/>
        <w:sz w:val="22"/>
        <w:szCs w:val="22"/>
      </w:rPr>
      <w:t>6</w:t>
    </w:r>
    <w:r w:rsidR="003A40D8" w:rsidRPr="003A40D8">
      <w:rPr>
        <w:rFonts w:asciiTheme="majorHAnsi" w:hAnsiTheme="majorHAnsi"/>
        <w:sz w:val="22"/>
        <w:szCs w:val="22"/>
      </w:rPr>
      <w:t xml:space="preserve"> </w:t>
    </w:r>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3E3897">
          <w:rPr>
            <w:rFonts w:asciiTheme="majorHAnsi" w:hAnsiTheme="majorHAnsi"/>
            <w:sz w:val="22"/>
            <w:szCs w:val="22"/>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3141" w14:textId="77777777" w:rsidR="00BF5D43" w:rsidRDefault="00BF5D43">
    <w:pPr>
      <w:pStyle w:val="Footer"/>
      <w:rPr>
        <w:rFonts w:asciiTheme="majorHAnsi" w:hAnsiTheme="majorHAnsi"/>
        <w:sz w:val="22"/>
        <w:szCs w:val="22"/>
      </w:rPr>
    </w:pPr>
  </w:p>
  <w:p w14:paraId="59956F17" w14:textId="0FFA112A"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5-31T18:00:00Z">
          <w:dateFormat w:val="dd/MM/yyyy"/>
          <w:lid w:val="en-US"/>
          <w:storeMappedDataAs w:val="dateTime"/>
          <w:calendar w:val="gregorian"/>
        </w:date>
      </w:sdtPr>
      <w:sdtEndPr/>
      <w:sdtContent>
        <w:r w:rsidR="004B2F6D">
          <w:rPr>
            <w:rFonts w:asciiTheme="majorHAnsi" w:hAnsiTheme="majorHAnsi"/>
            <w:sz w:val="22"/>
            <w:szCs w:val="22"/>
          </w:rPr>
          <w:t>31/05/2021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F74F13">
          <w:rPr>
            <w:rFonts w:asciiTheme="majorHAnsi" w:hAnsiTheme="majorHAns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AF5A" w14:textId="77777777" w:rsidR="00593C3E" w:rsidRDefault="00593C3E" w:rsidP="006A295A">
      <w:r>
        <w:separator/>
      </w:r>
    </w:p>
  </w:footnote>
  <w:footnote w:type="continuationSeparator" w:id="0">
    <w:p w14:paraId="447BD81B" w14:textId="77777777" w:rsidR="00593C3E" w:rsidRDefault="00593C3E"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DF1" w14:textId="77777777" w:rsidR="00BF5D43" w:rsidRDefault="00BF5D43" w:rsidP="00BF5D43">
    <w:pPr>
      <w:pStyle w:val="Header"/>
      <w:jc w:val="right"/>
    </w:pPr>
    <w:r>
      <w:rPr>
        <w:noProof/>
      </w:rPr>
      <w:drawing>
        <wp:anchor distT="0" distB="0" distL="114300" distR="114300" simplePos="0" relativeHeight="251658240" behindDoc="0" locked="0" layoutInCell="1" allowOverlap="1" wp14:anchorId="4AC9B88D" wp14:editId="74272781">
          <wp:simplePos x="0" y="0"/>
          <wp:positionH relativeFrom="column">
            <wp:posOffset>5162550</wp:posOffset>
          </wp:positionH>
          <wp:positionV relativeFrom="paragraph">
            <wp:posOffset>0</wp:posOffset>
          </wp:positionV>
          <wp:extent cx="320675" cy="593090"/>
          <wp:effectExtent l="0" t="0" r="3175"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232" b="15539"/>
                  <a:stretch/>
                </pic:blipFill>
                <pic:spPr bwMode="auto">
                  <a:xfrm>
                    <a:off x="0" y="0"/>
                    <a:ext cx="320675" cy="59309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F694" w14:textId="77777777" w:rsidR="00BF5D43" w:rsidRDefault="00BF5D43" w:rsidP="00BF5D43">
    <w:pPr>
      <w:pStyle w:val="Header"/>
      <w:jc w:val="right"/>
    </w:pPr>
    <w:r>
      <w:rPr>
        <w:noProof/>
      </w:rPr>
      <w:drawing>
        <wp:inline distT="0" distB="0" distL="0" distR="0" wp14:anchorId="6CA1187A" wp14:editId="7B34F069">
          <wp:extent cx="304800" cy="703072"/>
          <wp:effectExtent l="0" t="0" r="0" b="190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4A"/>
    <w:multiLevelType w:val="hybridMultilevel"/>
    <w:tmpl w:val="B3D43FFE"/>
    <w:lvl w:ilvl="0" w:tplc="0FE2C0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5D33"/>
    <w:multiLevelType w:val="hybridMultilevel"/>
    <w:tmpl w:val="D90E94E8"/>
    <w:lvl w:ilvl="0" w:tplc="EC448FE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B0691"/>
    <w:multiLevelType w:val="hybridMultilevel"/>
    <w:tmpl w:val="D69E1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649E8"/>
    <w:multiLevelType w:val="hybridMultilevel"/>
    <w:tmpl w:val="1AEAD9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C3376"/>
    <w:multiLevelType w:val="multilevel"/>
    <w:tmpl w:val="DE1090B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D5E44"/>
    <w:multiLevelType w:val="multilevel"/>
    <w:tmpl w:val="5E6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5FD0"/>
    <w:multiLevelType w:val="hybridMultilevel"/>
    <w:tmpl w:val="FBC8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5474D"/>
    <w:multiLevelType w:val="hybridMultilevel"/>
    <w:tmpl w:val="32A2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C33BB4"/>
    <w:multiLevelType w:val="hybridMultilevel"/>
    <w:tmpl w:val="481EF5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B12B61"/>
    <w:multiLevelType w:val="multilevel"/>
    <w:tmpl w:val="ACC6DB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B77B0"/>
    <w:multiLevelType w:val="multilevel"/>
    <w:tmpl w:val="BA3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72F76"/>
    <w:multiLevelType w:val="multilevel"/>
    <w:tmpl w:val="DD7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96C39"/>
    <w:multiLevelType w:val="hybridMultilevel"/>
    <w:tmpl w:val="0732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AA7CDC"/>
    <w:multiLevelType w:val="hybridMultilevel"/>
    <w:tmpl w:val="2D602904"/>
    <w:lvl w:ilvl="0" w:tplc="E2F69262">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5595D45"/>
    <w:multiLevelType w:val="multilevel"/>
    <w:tmpl w:val="D8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E25E1"/>
    <w:multiLevelType w:val="hybridMultilevel"/>
    <w:tmpl w:val="86169734"/>
    <w:lvl w:ilvl="0" w:tplc="849A6CC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93BE9"/>
    <w:multiLevelType w:val="multilevel"/>
    <w:tmpl w:val="2A0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96827"/>
    <w:multiLevelType w:val="hybridMultilevel"/>
    <w:tmpl w:val="B7E69C5A"/>
    <w:lvl w:ilvl="0" w:tplc="0DDAA49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758A5"/>
    <w:multiLevelType w:val="multilevel"/>
    <w:tmpl w:val="FC08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A2426F"/>
    <w:multiLevelType w:val="hybridMultilevel"/>
    <w:tmpl w:val="AFDC03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31F5F"/>
    <w:multiLevelType w:val="hybridMultilevel"/>
    <w:tmpl w:val="6C2C65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9D42AB"/>
    <w:multiLevelType w:val="hybridMultilevel"/>
    <w:tmpl w:val="BFAA7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0F608B"/>
    <w:multiLevelType w:val="hybridMultilevel"/>
    <w:tmpl w:val="92C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D6453"/>
    <w:multiLevelType w:val="hybridMultilevel"/>
    <w:tmpl w:val="D92E6EB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C33A6"/>
    <w:multiLevelType w:val="hybridMultilevel"/>
    <w:tmpl w:val="4B685B0C"/>
    <w:lvl w:ilvl="0" w:tplc="7D686B94">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F00E2"/>
    <w:multiLevelType w:val="multilevel"/>
    <w:tmpl w:val="1FD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96346"/>
    <w:multiLevelType w:val="hybridMultilevel"/>
    <w:tmpl w:val="ACC0E8FA"/>
    <w:lvl w:ilvl="0" w:tplc="711EFD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C11CC"/>
    <w:multiLevelType w:val="hybridMultilevel"/>
    <w:tmpl w:val="2AC423AC"/>
    <w:lvl w:ilvl="0" w:tplc="E49CCF7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3510F"/>
    <w:multiLevelType w:val="hybridMultilevel"/>
    <w:tmpl w:val="6DAE3AE6"/>
    <w:lvl w:ilvl="0" w:tplc="204C814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E05CA"/>
    <w:multiLevelType w:val="multilevel"/>
    <w:tmpl w:val="9E3044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81D6BFD"/>
    <w:multiLevelType w:val="hybridMultilevel"/>
    <w:tmpl w:val="72909DFC"/>
    <w:lvl w:ilvl="0" w:tplc="71F07874">
      <w:start w:val="1"/>
      <w:numFmt w:val="decimal"/>
      <w:lvlText w:val="%1."/>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7466F2"/>
    <w:multiLevelType w:val="multilevel"/>
    <w:tmpl w:val="5EB4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7A5859"/>
    <w:multiLevelType w:val="multilevel"/>
    <w:tmpl w:val="4620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00518"/>
    <w:multiLevelType w:val="hybridMultilevel"/>
    <w:tmpl w:val="982698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0392D"/>
    <w:multiLevelType w:val="multilevel"/>
    <w:tmpl w:val="557E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E6033"/>
    <w:multiLevelType w:val="multilevel"/>
    <w:tmpl w:val="B5A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402552"/>
    <w:multiLevelType w:val="hybridMultilevel"/>
    <w:tmpl w:val="0BDC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727313"/>
    <w:multiLevelType w:val="multilevel"/>
    <w:tmpl w:val="FAEE39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5"/>
  </w:num>
  <w:num w:numId="2">
    <w:abstractNumId w:val="6"/>
  </w:num>
  <w:num w:numId="3">
    <w:abstractNumId w:val="22"/>
  </w:num>
  <w:num w:numId="4">
    <w:abstractNumId w:val="21"/>
  </w:num>
  <w:num w:numId="5">
    <w:abstractNumId w:val="25"/>
  </w:num>
  <w:num w:numId="6">
    <w:abstractNumId w:val="24"/>
  </w:num>
  <w:num w:numId="7">
    <w:abstractNumId w:val="2"/>
  </w:num>
  <w:num w:numId="8">
    <w:abstractNumId w:val="35"/>
  </w:num>
  <w:num w:numId="9">
    <w:abstractNumId w:val="3"/>
  </w:num>
  <w:num w:numId="10">
    <w:abstractNumId w:val="8"/>
  </w:num>
  <w:num w:numId="11">
    <w:abstractNumId w:val="0"/>
  </w:num>
  <w:num w:numId="12">
    <w:abstractNumId w:val="29"/>
  </w:num>
  <w:num w:numId="13">
    <w:abstractNumId w:val="28"/>
  </w:num>
  <w:num w:numId="14">
    <w:abstractNumId w:val="9"/>
  </w:num>
  <w:num w:numId="15">
    <w:abstractNumId w:val="17"/>
  </w:num>
  <w:num w:numId="16">
    <w:abstractNumId w:val="26"/>
  </w:num>
  <w:num w:numId="17">
    <w:abstractNumId w:val="19"/>
  </w:num>
  <w:num w:numId="18">
    <w:abstractNumId w:val="14"/>
  </w:num>
  <w:num w:numId="19">
    <w:abstractNumId w:val="30"/>
  </w:num>
  <w:num w:numId="20">
    <w:abstractNumId w:val="39"/>
  </w:num>
  <w:num w:numId="21">
    <w:abstractNumId w:val="20"/>
  </w:num>
  <w:num w:numId="22">
    <w:abstractNumId w:val="33"/>
  </w:num>
  <w:num w:numId="23">
    <w:abstractNumId w:val="31"/>
  </w:num>
  <w:num w:numId="24">
    <w:abstractNumId w:val="4"/>
  </w:num>
  <w:num w:numId="25">
    <w:abstractNumId w:val="10"/>
  </w:num>
  <w:num w:numId="26">
    <w:abstractNumId w:val="38"/>
  </w:num>
  <w:num w:numId="27">
    <w:abstractNumId w:val="13"/>
  </w:num>
  <w:num w:numId="28">
    <w:abstractNumId w:val="7"/>
  </w:num>
  <w:num w:numId="29">
    <w:abstractNumId w:val="23"/>
  </w:num>
  <w:num w:numId="30">
    <w:abstractNumId w:val="5"/>
  </w:num>
  <w:num w:numId="31">
    <w:abstractNumId w:val="11"/>
  </w:num>
  <w:num w:numId="32">
    <w:abstractNumId w:val="12"/>
  </w:num>
  <w:num w:numId="33">
    <w:abstractNumId w:val="37"/>
  </w:num>
  <w:num w:numId="34">
    <w:abstractNumId w:val="16"/>
  </w:num>
  <w:num w:numId="35">
    <w:abstractNumId w:val="18"/>
  </w:num>
  <w:num w:numId="36">
    <w:abstractNumId w:val="34"/>
  </w:num>
  <w:num w:numId="37">
    <w:abstractNumId w:val="36"/>
  </w:num>
  <w:num w:numId="38">
    <w:abstractNumId w:val="27"/>
  </w:num>
  <w:num w:numId="39">
    <w:abstractNumId w:val="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2E58"/>
    <w:rsid w:val="00030286"/>
    <w:rsid w:val="00046540"/>
    <w:rsid w:val="0005123A"/>
    <w:rsid w:val="00052072"/>
    <w:rsid w:val="00066C36"/>
    <w:rsid w:val="000709E5"/>
    <w:rsid w:val="00071401"/>
    <w:rsid w:val="0007215E"/>
    <w:rsid w:val="00077DAE"/>
    <w:rsid w:val="000A7DE4"/>
    <w:rsid w:val="000B6527"/>
    <w:rsid w:val="000C1AC3"/>
    <w:rsid w:val="000D7017"/>
    <w:rsid w:val="000E6465"/>
    <w:rsid w:val="00107EF7"/>
    <w:rsid w:val="00112DA1"/>
    <w:rsid w:val="00136E54"/>
    <w:rsid w:val="001469CA"/>
    <w:rsid w:val="00160BC9"/>
    <w:rsid w:val="00165A30"/>
    <w:rsid w:val="00171714"/>
    <w:rsid w:val="001721EA"/>
    <w:rsid w:val="001769F5"/>
    <w:rsid w:val="001838A0"/>
    <w:rsid w:val="00183D50"/>
    <w:rsid w:val="00192536"/>
    <w:rsid w:val="001D1B37"/>
    <w:rsid w:val="001E677A"/>
    <w:rsid w:val="001F1675"/>
    <w:rsid w:val="001F6445"/>
    <w:rsid w:val="002103FF"/>
    <w:rsid w:val="00227910"/>
    <w:rsid w:val="002326C7"/>
    <w:rsid w:val="00242E2D"/>
    <w:rsid w:val="0025312E"/>
    <w:rsid w:val="00262C6D"/>
    <w:rsid w:val="00274531"/>
    <w:rsid w:val="002754E9"/>
    <w:rsid w:val="0028237E"/>
    <w:rsid w:val="00285D35"/>
    <w:rsid w:val="00290CC6"/>
    <w:rsid w:val="002B5C83"/>
    <w:rsid w:val="003011E2"/>
    <w:rsid w:val="00323F10"/>
    <w:rsid w:val="00331498"/>
    <w:rsid w:val="003317F3"/>
    <w:rsid w:val="00332CE9"/>
    <w:rsid w:val="00377E46"/>
    <w:rsid w:val="0038069F"/>
    <w:rsid w:val="003A40D8"/>
    <w:rsid w:val="003C0474"/>
    <w:rsid w:val="003C151C"/>
    <w:rsid w:val="003C1D17"/>
    <w:rsid w:val="003D7BE0"/>
    <w:rsid w:val="003E3152"/>
    <w:rsid w:val="003E3897"/>
    <w:rsid w:val="003E64D1"/>
    <w:rsid w:val="003F2C99"/>
    <w:rsid w:val="003F529D"/>
    <w:rsid w:val="003F63E0"/>
    <w:rsid w:val="004213F5"/>
    <w:rsid w:val="004345B5"/>
    <w:rsid w:val="0044147F"/>
    <w:rsid w:val="004750BC"/>
    <w:rsid w:val="004761CC"/>
    <w:rsid w:val="00497FD1"/>
    <w:rsid w:val="004B2F6D"/>
    <w:rsid w:val="004B7DEB"/>
    <w:rsid w:val="004C0912"/>
    <w:rsid w:val="004F48B2"/>
    <w:rsid w:val="005058DF"/>
    <w:rsid w:val="00510B05"/>
    <w:rsid w:val="005117C8"/>
    <w:rsid w:val="00516C3E"/>
    <w:rsid w:val="00520008"/>
    <w:rsid w:val="00541DC0"/>
    <w:rsid w:val="0055203C"/>
    <w:rsid w:val="00564056"/>
    <w:rsid w:val="005768C2"/>
    <w:rsid w:val="00593C3E"/>
    <w:rsid w:val="00597ED2"/>
    <w:rsid w:val="005B48A2"/>
    <w:rsid w:val="005D00AA"/>
    <w:rsid w:val="005F2972"/>
    <w:rsid w:val="005F5F45"/>
    <w:rsid w:val="00601861"/>
    <w:rsid w:val="00613891"/>
    <w:rsid w:val="00640022"/>
    <w:rsid w:val="006411DD"/>
    <w:rsid w:val="00684AD6"/>
    <w:rsid w:val="00685E79"/>
    <w:rsid w:val="006978A6"/>
    <w:rsid w:val="006A0A39"/>
    <w:rsid w:val="006A295A"/>
    <w:rsid w:val="006A33C0"/>
    <w:rsid w:val="006A6D67"/>
    <w:rsid w:val="006A7479"/>
    <w:rsid w:val="006B6625"/>
    <w:rsid w:val="006C2D5C"/>
    <w:rsid w:val="006F225D"/>
    <w:rsid w:val="00701D97"/>
    <w:rsid w:val="00730A25"/>
    <w:rsid w:val="007467A3"/>
    <w:rsid w:val="00760D3F"/>
    <w:rsid w:val="007647E8"/>
    <w:rsid w:val="00772840"/>
    <w:rsid w:val="007731F3"/>
    <w:rsid w:val="0078327E"/>
    <w:rsid w:val="00784806"/>
    <w:rsid w:val="007A6589"/>
    <w:rsid w:val="007A69A7"/>
    <w:rsid w:val="007B10B6"/>
    <w:rsid w:val="007B4408"/>
    <w:rsid w:val="007C0CF3"/>
    <w:rsid w:val="007E2644"/>
    <w:rsid w:val="007E3624"/>
    <w:rsid w:val="007F3FEC"/>
    <w:rsid w:val="008024B6"/>
    <w:rsid w:val="0082608A"/>
    <w:rsid w:val="008652AF"/>
    <w:rsid w:val="008937CB"/>
    <w:rsid w:val="008B156E"/>
    <w:rsid w:val="008B57DB"/>
    <w:rsid w:val="008D2900"/>
    <w:rsid w:val="008E2681"/>
    <w:rsid w:val="008E45CC"/>
    <w:rsid w:val="00904429"/>
    <w:rsid w:val="00913139"/>
    <w:rsid w:val="00922835"/>
    <w:rsid w:val="00943C6A"/>
    <w:rsid w:val="00954C4C"/>
    <w:rsid w:val="00956154"/>
    <w:rsid w:val="00967367"/>
    <w:rsid w:val="009C3CAE"/>
    <w:rsid w:val="009D682F"/>
    <w:rsid w:val="00A037AB"/>
    <w:rsid w:val="00A73345"/>
    <w:rsid w:val="00A94E3C"/>
    <w:rsid w:val="00AD030D"/>
    <w:rsid w:val="00B4398E"/>
    <w:rsid w:val="00B530E6"/>
    <w:rsid w:val="00B7701A"/>
    <w:rsid w:val="00B920BA"/>
    <w:rsid w:val="00B969A3"/>
    <w:rsid w:val="00BC0A41"/>
    <w:rsid w:val="00BC52A0"/>
    <w:rsid w:val="00BD7E23"/>
    <w:rsid w:val="00BE1901"/>
    <w:rsid w:val="00BF5D43"/>
    <w:rsid w:val="00C14395"/>
    <w:rsid w:val="00C24E5A"/>
    <w:rsid w:val="00C2526E"/>
    <w:rsid w:val="00C26A7F"/>
    <w:rsid w:val="00C26B71"/>
    <w:rsid w:val="00C4389A"/>
    <w:rsid w:val="00C8208C"/>
    <w:rsid w:val="00C9252D"/>
    <w:rsid w:val="00CA651C"/>
    <w:rsid w:val="00CC097F"/>
    <w:rsid w:val="00CD6566"/>
    <w:rsid w:val="00CF3DED"/>
    <w:rsid w:val="00D06191"/>
    <w:rsid w:val="00D255C2"/>
    <w:rsid w:val="00D3176F"/>
    <w:rsid w:val="00D474CF"/>
    <w:rsid w:val="00D6372B"/>
    <w:rsid w:val="00D659D0"/>
    <w:rsid w:val="00D6741F"/>
    <w:rsid w:val="00D74F7F"/>
    <w:rsid w:val="00D913C4"/>
    <w:rsid w:val="00DD2528"/>
    <w:rsid w:val="00DD5909"/>
    <w:rsid w:val="00DE445D"/>
    <w:rsid w:val="00DF7225"/>
    <w:rsid w:val="00E1290B"/>
    <w:rsid w:val="00E144F4"/>
    <w:rsid w:val="00E514A7"/>
    <w:rsid w:val="00E52D99"/>
    <w:rsid w:val="00E9424E"/>
    <w:rsid w:val="00EC1BFE"/>
    <w:rsid w:val="00EC50A3"/>
    <w:rsid w:val="00EF551B"/>
    <w:rsid w:val="00EF70D6"/>
    <w:rsid w:val="00F27C59"/>
    <w:rsid w:val="00F466AB"/>
    <w:rsid w:val="00F472AC"/>
    <w:rsid w:val="00F51291"/>
    <w:rsid w:val="00F61891"/>
    <w:rsid w:val="00F74F13"/>
    <w:rsid w:val="00F820D3"/>
    <w:rsid w:val="00F82AF9"/>
    <w:rsid w:val="00F87C63"/>
    <w:rsid w:val="00F9198A"/>
    <w:rsid w:val="00F948AE"/>
    <w:rsid w:val="00FC09BB"/>
    <w:rsid w:val="00FE78B0"/>
    <w:rsid w:val="00FF3899"/>
    <w:rsid w:val="00FF3C53"/>
    <w:rsid w:val="49C44E54"/>
    <w:rsid w:val="57248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D7BE0"/>
  </w:style>
  <w:style w:type="character" w:styleId="UnresolvedMention">
    <w:name w:val="Unresolved Mention"/>
    <w:basedOn w:val="DefaultParagraphFont"/>
    <w:uiPriority w:val="99"/>
    <w:semiHidden/>
    <w:unhideWhenUsed/>
    <w:rsid w:val="00505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node/31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113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0709E5"/>
    <w:rsid w:val="00161302"/>
    <w:rsid w:val="001838A0"/>
    <w:rsid w:val="001963C2"/>
    <w:rsid w:val="0025312E"/>
    <w:rsid w:val="002C0081"/>
    <w:rsid w:val="003A71C7"/>
    <w:rsid w:val="003C1D17"/>
    <w:rsid w:val="005117C8"/>
    <w:rsid w:val="005A5CEA"/>
    <w:rsid w:val="00680426"/>
    <w:rsid w:val="007C20DE"/>
    <w:rsid w:val="008B57DB"/>
    <w:rsid w:val="008F2863"/>
    <w:rsid w:val="00A77EC8"/>
    <w:rsid w:val="00C40572"/>
    <w:rsid w:val="00D3176F"/>
    <w:rsid w:val="00D6372B"/>
    <w:rsid w:val="00EA4449"/>
    <w:rsid w:val="00EA7E6F"/>
    <w:rsid w:val="00EE3E5D"/>
    <w:rsid w:val="00F538BF"/>
    <w:rsid w:val="00F556F3"/>
    <w:rsid w:val="00FC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53DAF-30B5-4E45-8F77-8166F31BA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3.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4.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Arilda Dragjoshi</cp:lastModifiedBy>
  <cp:revision>21</cp:revision>
  <cp:lastPrinted>2016-03-07T17:27:00Z</cp:lastPrinted>
  <dcterms:created xsi:type="dcterms:W3CDTF">2025-12-16T20:04:00Z</dcterms:created>
  <dcterms:modified xsi:type="dcterms:W3CDTF">2026-03-10T11:58:00Z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_dlc_DocIdItemGuid">
    <vt:lpwstr>e0a9f251-13fb-4804-bc3a-36ff8a0b51e1</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350;#Financial Resources Management|682d4c54-a288-412d-bfec-ce5587bbd25c</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y fmtid="{D5CDD505-2E9C-101B-9397-08002B2CF9AE}" pid="26" name="docLang">
    <vt:lpwstr>en</vt:lpwstr>
  </property>
  <property fmtid="{D5CDD505-2E9C-101B-9397-08002B2CF9AE}" pid="27" name="MediaServiceImageTags">
    <vt:lpwstr/>
  </property>
</Properties>
</file>