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6B04" w14:textId="77777777" w:rsidR="00717663" w:rsidRDefault="00717663" w:rsidP="00717663">
      <w:pPr>
        <w:spacing w:after="0" w:line="20" w:lineRule="atLeast"/>
        <w:ind w:left="0" w:firstLine="0"/>
        <w:jc w:val="left"/>
      </w:pPr>
      <w:r>
        <w:rPr>
          <w:b/>
          <w:color w:val="000000"/>
          <w:sz w:val="28"/>
        </w:rPr>
        <w:t xml:space="preserve">Tiempo para amamantar </w:t>
      </w:r>
    </w:p>
    <w:p w14:paraId="51AE4A20" w14:textId="77777777" w:rsidR="00717663" w:rsidRDefault="00717663" w:rsidP="00717663">
      <w:pPr>
        <w:spacing w:after="0" w:line="20" w:lineRule="atLeast"/>
        <w:ind w:left="0" w:firstLine="0"/>
        <w:jc w:val="left"/>
      </w:pPr>
      <w:r>
        <w:rPr>
          <w:b/>
          <w:color w:val="000000"/>
        </w:rPr>
        <w:t xml:space="preserve"> </w:t>
      </w:r>
    </w:p>
    <w:p w14:paraId="265E8704" w14:textId="77777777" w:rsidR="00717663" w:rsidRDefault="00717663" w:rsidP="00717663">
      <w:pPr>
        <w:numPr>
          <w:ilvl w:val="0"/>
          <w:numId w:val="1"/>
        </w:numPr>
        <w:spacing w:line="20" w:lineRule="atLeast"/>
        <w:ind w:hanging="360"/>
      </w:pPr>
      <w:r>
        <w:t xml:space="preserve">El propósito de esta política es permitir a los miembros del personal que sean madres lactantes amamantar a sus hijos cuando regresan de trabajar hasta que el lactante cumple los dos años. </w:t>
      </w:r>
    </w:p>
    <w:p w14:paraId="136E72AE" w14:textId="77777777" w:rsidR="00717663" w:rsidRDefault="00717663" w:rsidP="00717663">
      <w:pPr>
        <w:spacing w:after="0" w:line="20" w:lineRule="atLeast"/>
        <w:ind w:left="0" w:firstLine="0"/>
        <w:jc w:val="left"/>
      </w:pPr>
      <w:r>
        <w:t xml:space="preserve"> </w:t>
      </w:r>
    </w:p>
    <w:p w14:paraId="0F3248F7" w14:textId="77777777" w:rsidR="00717663" w:rsidRDefault="00717663" w:rsidP="00717663">
      <w:pPr>
        <w:spacing w:after="0" w:line="20" w:lineRule="atLeast"/>
        <w:ind w:left="-5" w:hanging="10"/>
        <w:jc w:val="left"/>
      </w:pPr>
      <w:r>
        <w:rPr>
          <w:b/>
        </w:rPr>
        <w:t>Aplicabilidad</w:t>
      </w:r>
      <w:r>
        <w:t xml:space="preserve"> </w:t>
      </w:r>
    </w:p>
    <w:p w14:paraId="1725F7B6" w14:textId="77777777" w:rsidR="00717663" w:rsidRDefault="00717663" w:rsidP="00717663">
      <w:pPr>
        <w:spacing w:after="0" w:line="20" w:lineRule="atLeast"/>
        <w:ind w:left="0" w:firstLine="0"/>
        <w:jc w:val="left"/>
      </w:pPr>
      <w:r>
        <w:t xml:space="preserve">  </w:t>
      </w:r>
    </w:p>
    <w:p w14:paraId="269CBBA3" w14:textId="77777777" w:rsidR="00717663" w:rsidRDefault="00717663" w:rsidP="00717663">
      <w:pPr>
        <w:numPr>
          <w:ilvl w:val="0"/>
          <w:numId w:val="1"/>
        </w:numPr>
        <w:spacing w:line="20" w:lineRule="atLeast"/>
        <w:ind w:hanging="360"/>
      </w:pPr>
      <w:r>
        <w:t xml:space="preserve">Esta política rige para todos los miembros del personal sujetos al Reglamento y Estatuto del Personal de las Naciones Unidas que sean madres lactantes. </w:t>
      </w:r>
    </w:p>
    <w:p w14:paraId="65D730BB" w14:textId="77777777" w:rsidR="00717663" w:rsidRDefault="00717663" w:rsidP="00717663">
      <w:pPr>
        <w:spacing w:after="0" w:line="20" w:lineRule="atLeast"/>
        <w:ind w:left="0" w:firstLine="0"/>
        <w:jc w:val="left"/>
      </w:pPr>
      <w:r>
        <w:t xml:space="preserve">  </w:t>
      </w:r>
    </w:p>
    <w:p w14:paraId="0B7571F2" w14:textId="77777777" w:rsidR="00717663" w:rsidRDefault="00717663" w:rsidP="00717663">
      <w:pPr>
        <w:spacing w:after="0" w:line="20" w:lineRule="atLeast"/>
        <w:ind w:left="-5" w:hanging="10"/>
        <w:jc w:val="left"/>
      </w:pPr>
      <w:r>
        <w:rPr>
          <w:b/>
        </w:rPr>
        <w:t xml:space="preserve">Condiciones </w:t>
      </w:r>
    </w:p>
    <w:p w14:paraId="33A0F5A1" w14:textId="77777777" w:rsidR="00717663" w:rsidRDefault="00717663" w:rsidP="00717663">
      <w:pPr>
        <w:spacing w:after="0" w:line="20" w:lineRule="atLeast"/>
        <w:ind w:left="0" w:firstLine="0"/>
        <w:jc w:val="left"/>
      </w:pPr>
      <w:r>
        <w:t xml:space="preserve"> </w:t>
      </w:r>
    </w:p>
    <w:p w14:paraId="40FBFB7A" w14:textId="77777777" w:rsidR="00717663" w:rsidRDefault="00717663" w:rsidP="00717663">
      <w:pPr>
        <w:numPr>
          <w:ilvl w:val="0"/>
          <w:numId w:val="1"/>
        </w:numPr>
        <w:spacing w:line="20" w:lineRule="atLeast"/>
        <w:ind w:hanging="360"/>
      </w:pPr>
      <w:r>
        <w:t xml:space="preserve">Aquellas madres que llevan a sus hijos lactantes al trabajo pueden tomarse un momento para amamantarlos cuando estos lo demanden. Sin embargo, por cuestiones sanitarias y de seguridad en el lugar de trabajo, los miembros del personal son responsables de garantizar que sus hijos lactantes no estén presentes en la oficina todo el tiempo de forma continua.  </w:t>
      </w:r>
    </w:p>
    <w:p w14:paraId="1DEB56EE" w14:textId="77777777" w:rsidR="00717663" w:rsidRDefault="00717663" w:rsidP="00717663">
      <w:pPr>
        <w:spacing w:after="0" w:line="20" w:lineRule="atLeast"/>
        <w:ind w:left="0" w:firstLine="0"/>
        <w:jc w:val="left"/>
      </w:pPr>
      <w:r>
        <w:t xml:space="preserve">  </w:t>
      </w:r>
    </w:p>
    <w:p w14:paraId="6872B99B" w14:textId="77777777" w:rsidR="00717663" w:rsidRDefault="00717663" w:rsidP="00717663">
      <w:pPr>
        <w:numPr>
          <w:ilvl w:val="0"/>
          <w:numId w:val="1"/>
        </w:numPr>
        <w:spacing w:line="20" w:lineRule="atLeast"/>
        <w:ind w:hanging="360"/>
      </w:pPr>
      <w:r>
        <w:t xml:space="preserve">Los miembros del personal que sean madres lactantes pueden retirarse de la oficina hasta dos veces al día para amamantar a sus hijos lactantes o extraerse leche fuera del lugar de trabajo. El tiempo máximo durante el cual un miembro del personal puede ausentarse para dichos fines es el siguiente: </w:t>
      </w:r>
    </w:p>
    <w:p w14:paraId="144764A6" w14:textId="77777777" w:rsidR="00717663" w:rsidRDefault="00717663" w:rsidP="00717663">
      <w:pPr>
        <w:spacing w:after="0" w:line="20" w:lineRule="atLeast"/>
        <w:ind w:left="0" w:firstLine="0"/>
        <w:jc w:val="left"/>
      </w:pPr>
      <w:r>
        <w:t xml:space="preserve">  </w:t>
      </w:r>
    </w:p>
    <w:p w14:paraId="11ECF904" w14:textId="77777777" w:rsidR="00717663" w:rsidRDefault="00717663" w:rsidP="00717663">
      <w:pPr>
        <w:numPr>
          <w:ilvl w:val="1"/>
          <w:numId w:val="1"/>
        </w:numPr>
        <w:spacing w:line="20" w:lineRule="atLeast"/>
        <w:ind w:hanging="360"/>
      </w:pPr>
      <w:r>
        <w:t xml:space="preserve">dos horas fuera de la oficina (incluido el tiempo de traslado) cuando el bebé tiene un año o menos, o </w:t>
      </w:r>
    </w:p>
    <w:p w14:paraId="4B19D795" w14:textId="77777777" w:rsidR="00717663" w:rsidRDefault="00717663" w:rsidP="00717663">
      <w:pPr>
        <w:numPr>
          <w:ilvl w:val="1"/>
          <w:numId w:val="1"/>
        </w:numPr>
        <w:spacing w:line="20" w:lineRule="atLeast"/>
        <w:ind w:hanging="360"/>
      </w:pPr>
      <w:r>
        <w:t>una hora fuera de la oficina (incluido el tiempo de traslado) cuando el bebé tiene entre uno y dos años.</w:t>
      </w:r>
    </w:p>
    <w:p w14:paraId="397053C2" w14:textId="77777777" w:rsidR="00717663" w:rsidRDefault="00717663" w:rsidP="00717663">
      <w:pPr>
        <w:spacing w:after="0" w:line="20" w:lineRule="atLeast"/>
        <w:ind w:left="2161" w:firstLine="0"/>
        <w:jc w:val="left"/>
      </w:pPr>
    </w:p>
    <w:p w14:paraId="254A1125" w14:textId="77777777" w:rsidR="00717663" w:rsidRDefault="00717663" w:rsidP="00717663">
      <w:pPr>
        <w:numPr>
          <w:ilvl w:val="0"/>
          <w:numId w:val="1"/>
        </w:numPr>
        <w:spacing w:line="20" w:lineRule="atLeast"/>
        <w:ind w:hanging="360"/>
      </w:pPr>
      <w:r>
        <w:t xml:space="preserve">Si una madre tiene más de un hijo lactante, el tiempo máximo durante el cual puede ausentarse de la oficina según lo especificado arriba puede aumentar hasta 30 minutos por cada hijo lactante adicional. </w:t>
      </w:r>
    </w:p>
    <w:p w14:paraId="25807FDA" w14:textId="77777777" w:rsidR="00717663" w:rsidRDefault="00717663" w:rsidP="00717663">
      <w:pPr>
        <w:spacing w:after="0" w:line="20" w:lineRule="atLeast"/>
        <w:ind w:left="720" w:firstLine="0"/>
        <w:jc w:val="left"/>
      </w:pPr>
      <w:r>
        <w:t xml:space="preserve"> </w:t>
      </w:r>
    </w:p>
    <w:p w14:paraId="4DB585A4" w14:textId="77777777" w:rsidR="00717663" w:rsidRDefault="00717663" w:rsidP="00717663">
      <w:pPr>
        <w:numPr>
          <w:ilvl w:val="0"/>
          <w:numId w:val="1"/>
        </w:numPr>
        <w:spacing w:line="20" w:lineRule="atLeast"/>
        <w:ind w:hanging="360"/>
      </w:pPr>
      <w:r>
        <w:t xml:space="preserve">Si un miembro del personal supera el tiempo asignado para este fin, deberá compensar la diferencia. </w:t>
      </w:r>
    </w:p>
    <w:p w14:paraId="47D4CE4D" w14:textId="77777777" w:rsidR="00717663" w:rsidRDefault="00717663" w:rsidP="00717663">
      <w:pPr>
        <w:pStyle w:val="ListParagraph"/>
        <w:spacing w:after="0" w:line="20" w:lineRule="atLeast"/>
      </w:pPr>
    </w:p>
    <w:p w14:paraId="49FB4520" w14:textId="77777777" w:rsidR="00717663" w:rsidRPr="00BF5D43" w:rsidRDefault="00717663" w:rsidP="00717663">
      <w:pPr>
        <w:spacing w:after="0" w:line="20" w:lineRule="atLeast"/>
        <w:ind w:left="-5" w:hanging="10"/>
        <w:jc w:val="left"/>
        <w:rPr>
          <w:rFonts w:cs="Arial"/>
          <w:b/>
          <w:bCs/>
          <w:iCs/>
        </w:rPr>
      </w:pPr>
      <w:r>
        <w:rPr>
          <w:b/>
        </w:rPr>
        <w:t>Lactancia durante un viaje oficial</w:t>
      </w:r>
    </w:p>
    <w:p w14:paraId="4797BEB5" w14:textId="77777777" w:rsidR="00717663" w:rsidRPr="00BF5D43" w:rsidRDefault="00717663" w:rsidP="00717663">
      <w:pPr>
        <w:shd w:val="clear" w:color="auto" w:fill="FFFFFF"/>
        <w:spacing w:after="0" w:line="20" w:lineRule="atLeast"/>
        <w:textAlignment w:val="top"/>
        <w:rPr>
          <w:rFonts w:cs="Arial"/>
        </w:rPr>
      </w:pPr>
    </w:p>
    <w:p w14:paraId="237BF6AE" w14:textId="77777777" w:rsidR="00717663" w:rsidRPr="00BF5D43" w:rsidRDefault="00717663" w:rsidP="00717663">
      <w:pPr>
        <w:pStyle w:val="ListParagraph"/>
        <w:numPr>
          <w:ilvl w:val="0"/>
          <w:numId w:val="1"/>
        </w:numPr>
        <w:shd w:val="clear" w:color="auto" w:fill="FFFFFF"/>
        <w:spacing w:after="0" w:line="20" w:lineRule="atLeast"/>
        <w:ind w:hanging="360"/>
        <w:textAlignment w:val="top"/>
        <w:rPr>
          <w:rFonts w:eastAsia="Times New Roman" w:cs="Arial"/>
        </w:rPr>
      </w:pPr>
      <w:r>
        <w:t xml:space="preserve">PNUD paga una suma fija para ayudar a cubrir los costos de viaje de niños lactantes menores de dos años y que acompañan a sus madres en los viajes de trabajo oficiales. La suma fija por niño es equivalente a: </w:t>
      </w:r>
    </w:p>
    <w:p w14:paraId="65B32B47" w14:textId="77777777" w:rsidR="00717663" w:rsidRPr="00BF5D43" w:rsidRDefault="00717663" w:rsidP="00717663">
      <w:pPr>
        <w:pStyle w:val="ListParagraph"/>
        <w:shd w:val="clear" w:color="auto" w:fill="FFFFFF"/>
        <w:spacing w:line="20" w:lineRule="atLeast"/>
        <w:textAlignment w:val="top"/>
        <w:rPr>
          <w:rFonts w:eastAsia="Times New Roman" w:cs="Arial"/>
          <w:sz w:val="10"/>
          <w:szCs w:val="10"/>
        </w:rPr>
      </w:pPr>
    </w:p>
    <w:p w14:paraId="25903A3B" w14:textId="77777777" w:rsidR="00717663" w:rsidRPr="00015843" w:rsidRDefault="00717663" w:rsidP="00717663">
      <w:pPr>
        <w:pStyle w:val="ListParagraph"/>
        <w:numPr>
          <w:ilvl w:val="0"/>
          <w:numId w:val="2"/>
        </w:numPr>
        <w:shd w:val="clear" w:color="auto" w:fill="FFFFFF"/>
        <w:spacing w:after="0" w:line="20" w:lineRule="atLeast"/>
        <w:textAlignment w:val="top"/>
        <w:rPr>
          <w:rFonts w:eastAsia="Times New Roman" w:cs="Arial"/>
        </w:rPr>
      </w:pPr>
      <w:r>
        <w:t>10 por ciento del costo del pasaje del miembro del personal, más</w:t>
      </w:r>
    </w:p>
    <w:p w14:paraId="2916B171" w14:textId="77777777" w:rsidR="00717663" w:rsidRPr="00BF5D43" w:rsidRDefault="00717663" w:rsidP="00717663">
      <w:pPr>
        <w:pStyle w:val="ListParagraph"/>
        <w:numPr>
          <w:ilvl w:val="0"/>
          <w:numId w:val="2"/>
        </w:numPr>
        <w:shd w:val="clear" w:color="auto" w:fill="FFFFFF"/>
        <w:spacing w:after="0" w:line="20" w:lineRule="atLeast"/>
        <w:textAlignment w:val="top"/>
        <w:rPr>
          <w:rFonts w:eastAsia="Times New Roman" w:cs="Arial"/>
        </w:rPr>
      </w:pPr>
      <w:r>
        <w:t>10 por ciento la tarifa de subsistencia diaria del miembro del personal</w:t>
      </w:r>
    </w:p>
    <w:p w14:paraId="66A204E1" w14:textId="77777777" w:rsidR="00717663" w:rsidRPr="00BF5D43" w:rsidRDefault="00717663" w:rsidP="00717663">
      <w:pPr>
        <w:pStyle w:val="ListParagraph"/>
        <w:shd w:val="clear" w:color="auto" w:fill="FFFFFF"/>
        <w:spacing w:line="20" w:lineRule="atLeast"/>
        <w:ind w:left="1080"/>
        <w:textAlignment w:val="top"/>
        <w:rPr>
          <w:rFonts w:eastAsia="Times New Roman" w:cs="Arial"/>
        </w:rPr>
      </w:pPr>
    </w:p>
    <w:p w14:paraId="70A21ADB" w14:textId="77777777" w:rsidR="00717663" w:rsidRDefault="00717663" w:rsidP="00717663">
      <w:pPr>
        <w:pStyle w:val="ListParagraph"/>
        <w:numPr>
          <w:ilvl w:val="0"/>
          <w:numId w:val="1"/>
        </w:numPr>
        <w:shd w:val="clear" w:color="auto" w:fill="FFFFFF" w:themeFill="background1"/>
        <w:spacing w:after="0" w:line="20" w:lineRule="atLeast"/>
        <w:ind w:hanging="360"/>
        <w:textAlignment w:val="top"/>
        <w:rPr>
          <w:rFonts w:eastAsia="Times New Roman" w:cs="Arial"/>
        </w:rPr>
      </w:pPr>
      <w:r>
        <w:t xml:space="preserve">No se pagará una suma fija para niñera, o para cuando un miembro del personal viaja a un lugar de destino no apto para familias. </w:t>
      </w:r>
    </w:p>
    <w:p w14:paraId="15ED2BB6" w14:textId="77777777" w:rsidR="00717663" w:rsidRDefault="00717663" w:rsidP="00717663">
      <w:pPr>
        <w:pStyle w:val="ListParagraph"/>
        <w:shd w:val="clear" w:color="auto" w:fill="FFFFFF"/>
        <w:spacing w:after="0" w:line="20" w:lineRule="atLeast"/>
        <w:ind w:left="705" w:firstLine="0"/>
        <w:textAlignment w:val="top"/>
        <w:rPr>
          <w:rFonts w:eastAsia="Times New Roman" w:cs="Arial"/>
        </w:rPr>
      </w:pPr>
    </w:p>
    <w:p w14:paraId="46B2AB2D" w14:textId="77777777" w:rsidR="00717663" w:rsidRDefault="00717663" w:rsidP="00717663">
      <w:pPr>
        <w:pStyle w:val="ListParagraph"/>
        <w:numPr>
          <w:ilvl w:val="0"/>
          <w:numId w:val="1"/>
        </w:numPr>
        <w:shd w:val="clear" w:color="auto" w:fill="FFFFFF"/>
        <w:spacing w:after="0" w:line="20" w:lineRule="atLeast"/>
        <w:ind w:hanging="360"/>
        <w:textAlignment w:val="top"/>
        <w:rPr>
          <w:rFonts w:eastAsia="Times New Roman" w:cs="Arial"/>
        </w:rPr>
      </w:pPr>
      <w:r>
        <w:t>La suma fija se cobra a la misma fuente de financiación que cubre los costos del viaje del miembro del personal y se solicitan en la solicitud de viaje.</w:t>
      </w:r>
    </w:p>
    <w:p w14:paraId="4F5DB0D1" w14:textId="77777777" w:rsidR="00717663" w:rsidRDefault="00717663" w:rsidP="00717663">
      <w:pPr>
        <w:ind w:left="0" w:firstLine="0"/>
      </w:pPr>
    </w:p>
    <w:p w14:paraId="5855291A" w14:textId="77777777" w:rsidR="00717663" w:rsidRPr="00717663" w:rsidRDefault="00717663" w:rsidP="00717663">
      <w:pPr>
        <w:pStyle w:val="NormalWeb"/>
        <w:shd w:val="clear" w:color="auto" w:fill="FFFFFF"/>
        <w:spacing w:before="0" w:beforeAutospacing="0" w:after="0" w:afterAutospacing="0"/>
        <w:jc w:val="center"/>
        <w:rPr>
          <w:rFonts w:ascii="Calibri" w:hAnsi="Calibri"/>
          <w:b/>
          <w:bCs/>
          <w:i/>
          <w:iCs/>
          <w:color w:val="000000"/>
          <w:sz w:val="22"/>
          <w:szCs w:val="22"/>
          <w:bdr w:val="none" w:sz="0" w:space="0" w:color="auto" w:frame="1"/>
          <w:lang w:val="es-ES"/>
        </w:rPr>
      </w:pPr>
    </w:p>
    <w:p w14:paraId="5616A8DB" w14:textId="77777777" w:rsidR="00717663" w:rsidRPr="00717663" w:rsidRDefault="00717663" w:rsidP="00717663">
      <w:pPr>
        <w:pStyle w:val="NormalWeb"/>
        <w:shd w:val="clear" w:color="auto" w:fill="FFFFFF"/>
        <w:spacing w:before="0" w:beforeAutospacing="0" w:after="0" w:afterAutospacing="0"/>
        <w:jc w:val="center"/>
        <w:rPr>
          <w:rFonts w:ascii="Calibri" w:hAnsi="Calibri"/>
          <w:b/>
          <w:bCs/>
          <w:i/>
          <w:iCs/>
          <w:color w:val="000000"/>
          <w:sz w:val="22"/>
          <w:szCs w:val="22"/>
          <w:bdr w:val="none" w:sz="0" w:space="0" w:color="auto" w:frame="1"/>
          <w:lang w:val="es-ES"/>
        </w:rPr>
      </w:pPr>
    </w:p>
    <w:p w14:paraId="3E58AE4E" w14:textId="77777777" w:rsidR="00717663" w:rsidRPr="00717663" w:rsidRDefault="00717663" w:rsidP="00717663">
      <w:pPr>
        <w:pStyle w:val="NormalWeb"/>
        <w:shd w:val="clear" w:color="auto" w:fill="FFFFFF"/>
        <w:spacing w:before="0" w:beforeAutospacing="0" w:after="0" w:afterAutospacing="0"/>
        <w:jc w:val="center"/>
        <w:rPr>
          <w:rFonts w:ascii="Calibri" w:hAnsi="Calibri"/>
          <w:b/>
          <w:bCs/>
          <w:i/>
          <w:iCs/>
          <w:color w:val="000000"/>
          <w:sz w:val="22"/>
          <w:szCs w:val="22"/>
          <w:bdr w:val="none" w:sz="0" w:space="0" w:color="auto" w:frame="1"/>
          <w:lang w:val="es-ES"/>
        </w:rPr>
      </w:pPr>
    </w:p>
    <w:p w14:paraId="6B23AA85" w14:textId="77777777" w:rsidR="00717663" w:rsidRPr="00F44256" w:rsidRDefault="00717663" w:rsidP="00717663">
      <w:pPr>
        <w:pStyle w:val="NormalWeb"/>
        <w:shd w:val="clear" w:color="auto" w:fill="FFFFFF"/>
        <w:spacing w:before="0" w:beforeAutospacing="0" w:after="0" w:afterAutospacing="0"/>
        <w:jc w:val="center"/>
        <w:rPr>
          <w:rFonts w:ascii="Calibri" w:hAnsi="Calibri"/>
          <w:color w:val="201F1E"/>
          <w:sz w:val="22"/>
          <w:szCs w:val="22"/>
        </w:rPr>
      </w:pPr>
      <w:r w:rsidRPr="00462AAE">
        <w:rPr>
          <w:rFonts w:ascii="Calibri" w:hAnsi="Calibri"/>
          <w:b/>
          <w:bCs/>
          <w:i/>
          <w:iCs/>
          <w:color w:val="000000"/>
          <w:sz w:val="22"/>
          <w:szCs w:val="22"/>
          <w:bdr w:val="none" w:sz="0" w:space="0" w:color="auto" w:frame="1"/>
        </w:rPr>
        <w:t>Disclaimer:</w:t>
      </w:r>
      <w:r w:rsidRPr="00F44256">
        <w:rPr>
          <w:rFonts w:ascii="Calibri" w:hAnsi="Calibri"/>
          <w:i/>
          <w:iCs/>
          <w:color w:val="000000"/>
          <w:sz w:val="22"/>
          <w:szCs w:val="22"/>
          <w:bdr w:val="none" w:sz="0" w:space="0" w:color="auto" w:frame="1"/>
        </w:rPr>
        <w:t xml:space="preserve"> This document was translated from English into Spanish. In the event of any discrepancy between this translation and the original English document, the original English document shall prevail.</w:t>
      </w:r>
    </w:p>
    <w:p w14:paraId="52519565" w14:textId="77777777" w:rsidR="00717663" w:rsidRPr="00F44256" w:rsidRDefault="00717663" w:rsidP="00717663">
      <w:pPr>
        <w:pStyle w:val="NormalWeb"/>
        <w:shd w:val="clear" w:color="auto" w:fill="FFFFFF"/>
        <w:spacing w:before="0" w:beforeAutospacing="0" w:after="0" w:afterAutospacing="0"/>
        <w:jc w:val="center"/>
        <w:rPr>
          <w:rFonts w:ascii="Calibri" w:hAnsi="Calibri"/>
          <w:color w:val="201F1E"/>
          <w:sz w:val="22"/>
          <w:szCs w:val="22"/>
        </w:rPr>
      </w:pPr>
      <w:r w:rsidRPr="00F44256">
        <w:rPr>
          <w:rFonts w:ascii="Calibri" w:hAnsi="Calibri"/>
          <w:i/>
          <w:iCs/>
          <w:color w:val="000000"/>
          <w:sz w:val="22"/>
          <w:szCs w:val="22"/>
          <w:bdr w:val="none" w:sz="0" w:space="0" w:color="auto" w:frame="1"/>
        </w:rPr>
        <w:t> </w:t>
      </w:r>
    </w:p>
    <w:p w14:paraId="1EDD1EE2" w14:textId="77777777" w:rsidR="00717663" w:rsidRPr="00F44256" w:rsidRDefault="00717663" w:rsidP="00717663">
      <w:pPr>
        <w:pStyle w:val="NormalWeb"/>
        <w:shd w:val="clear" w:color="auto" w:fill="FFFFFF"/>
        <w:spacing w:before="0" w:beforeAutospacing="0" w:after="0" w:afterAutospacing="0"/>
        <w:jc w:val="center"/>
        <w:rPr>
          <w:rFonts w:ascii="Calibri" w:hAnsi="Calibri"/>
          <w:color w:val="201F1E"/>
          <w:sz w:val="22"/>
          <w:szCs w:val="22"/>
          <w:lang w:val="es-ES"/>
        </w:rPr>
      </w:pPr>
      <w:r w:rsidRPr="00462AAE">
        <w:rPr>
          <w:rFonts w:ascii="Calibri" w:hAnsi="Calibri"/>
          <w:b/>
          <w:bCs/>
          <w:i/>
          <w:iCs/>
          <w:color w:val="000000"/>
          <w:sz w:val="22"/>
          <w:szCs w:val="22"/>
          <w:bdr w:val="none" w:sz="0" w:space="0" w:color="auto" w:frame="1"/>
          <w:shd w:val="clear" w:color="auto" w:fill="FFFFFF"/>
          <w:lang w:val="es-ES_tradnl"/>
        </w:rPr>
        <w:t>Descargo de responsabilidad:</w:t>
      </w:r>
      <w:r w:rsidRPr="00F44256">
        <w:rPr>
          <w:rFonts w:ascii="Calibri" w:hAnsi="Calibri"/>
          <w:i/>
          <w:iCs/>
          <w:color w:val="000000"/>
          <w:sz w:val="22"/>
          <w:szCs w:val="22"/>
          <w:bdr w:val="none" w:sz="0" w:space="0" w:color="auto" w:frame="1"/>
          <w:shd w:val="clear" w:color="auto" w:fill="FFFFFF"/>
          <w:lang w:val="es-ES_tradnl"/>
        </w:rPr>
        <w:t xml:space="preserve"> esta es una traducción de un documento original en inglés. </w:t>
      </w:r>
      <w:r w:rsidRPr="00F44256">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23F679C1" w14:textId="77777777" w:rsidR="00717663" w:rsidRDefault="00717663" w:rsidP="00717663">
      <w:pPr>
        <w:ind w:left="0" w:firstLine="0"/>
      </w:pPr>
    </w:p>
    <w:p w14:paraId="265067C5" w14:textId="77777777" w:rsidR="00A31C56" w:rsidRDefault="00A31C56"/>
    <w:sectPr w:rsidR="00A31C56" w:rsidSect="00717663">
      <w:headerReference w:type="default" r:id="rId5"/>
      <w:footerReference w:type="default" r:id="rId6"/>
      <w:pgSz w:w="12240" w:h="15840"/>
      <w:pgMar w:top="1440" w:right="1584" w:bottom="1296"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E03B" w14:textId="77777777" w:rsidR="00000000" w:rsidRDefault="00000000">
    <w:pPr>
      <w:pStyle w:val="Footer"/>
    </w:pPr>
    <w:r>
      <w:t xml:space="preserve">Página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t xml:space="preserve">Fecha de entrada en vigor: </w:t>
    </w:r>
    <w:r>
      <w:t>01</w:t>
    </w:r>
    <w:r>
      <w:t>/</w:t>
    </w:r>
    <w:r>
      <w:t>01</w:t>
    </w:r>
    <w:r>
      <w:t>/20</w:t>
    </w:r>
    <w:r>
      <w:t>25</w:t>
    </w:r>
    <w:r>
      <w:ptab w:relativeTo="margin" w:alignment="right" w:leader="none"/>
    </w:r>
    <w:proofErr w:type="spellStart"/>
    <w:r>
      <w:t>Version</w:t>
    </w:r>
    <w:proofErr w:type="spellEnd"/>
    <w:r>
      <w:t xml:space="preserve"> #:</w:t>
    </w:r>
    <w:r>
      <w:t xml:space="preserve"> 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96B0" w14:textId="77777777" w:rsidR="00000000" w:rsidRDefault="00000000" w:rsidP="008358C0">
    <w:pPr>
      <w:pStyle w:val="Header"/>
      <w:jc w:val="right"/>
    </w:pPr>
    <w:r>
      <w:rPr>
        <w:noProof/>
      </w:rPr>
      <w:drawing>
        <wp:inline distT="0" distB="0" distL="0" distR="0" wp14:anchorId="714ABA2D" wp14:editId="5AD53F51">
          <wp:extent cx="591279" cy="900000"/>
          <wp:effectExtent l="0" t="0" r="0" b="0"/>
          <wp:docPr id="1322468849"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68849"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p w14:paraId="2206B2E9" w14:textId="77777777" w:rsidR="00000000" w:rsidRDefault="00000000" w:rsidP="008358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A7B80"/>
    <w:multiLevelType w:val="hybridMultilevel"/>
    <w:tmpl w:val="5ECC35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1F64A8"/>
    <w:multiLevelType w:val="hybridMultilevel"/>
    <w:tmpl w:val="828CDBDC"/>
    <w:lvl w:ilvl="0" w:tplc="450EC120">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3C60CB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6129B3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44CB78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2ECD3B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0240A1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8B4A354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03A3DE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E544E7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248583962">
    <w:abstractNumId w:val="1"/>
  </w:num>
  <w:num w:numId="2" w16cid:durableId="34775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63"/>
    <w:rsid w:val="000C0236"/>
    <w:rsid w:val="001577BB"/>
    <w:rsid w:val="00487C63"/>
    <w:rsid w:val="00717663"/>
    <w:rsid w:val="007F7D6E"/>
    <w:rsid w:val="00A31C56"/>
    <w:rsid w:val="00A9366F"/>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7610"/>
  <w15:chartTrackingRefBased/>
  <w15:docId w15:val="{F811C3CF-28CF-45F5-BE18-18713F62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63"/>
    <w:pPr>
      <w:spacing w:after="4" w:line="250" w:lineRule="auto"/>
      <w:ind w:left="730" w:hanging="370"/>
      <w:jc w:val="both"/>
    </w:pPr>
    <w:rPr>
      <w:rFonts w:ascii="Calibri" w:eastAsia="Calibri" w:hAnsi="Calibri" w:cs="Calibri"/>
      <w:color w:val="333333"/>
      <w:kern w:val="0"/>
      <w:lang w:val="es-ES" w:eastAsia="en-GB"/>
      <w14:ligatures w14:val="none"/>
    </w:rPr>
  </w:style>
  <w:style w:type="paragraph" w:styleId="Heading1">
    <w:name w:val="heading 1"/>
    <w:basedOn w:val="Normal"/>
    <w:next w:val="Normal"/>
    <w:link w:val="Heading1Char"/>
    <w:uiPriority w:val="9"/>
    <w:qFormat/>
    <w:rsid w:val="00717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663"/>
    <w:rPr>
      <w:rFonts w:eastAsiaTheme="majorEastAsia" w:cstheme="majorBidi"/>
      <w:color w:val="272727" w:themeColor="text1" w:themeTint="D8"/>
    </w:rPr>
  </w:style>
  <w:style w:type="paragraph" w:styleId="Title">
    <w:name w:val="Title"/>
    <w:basedOn w:val="Normal"/>
    <w:next w:val="Normal"/>
    <w:link w:val="TitleChar"/>
    <w:uiPriority w:val="10"/>
    <w:qFormat/>
    <w:rsid w:val="00717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663"/>
    <w:pPr>
      <w:spacing w:before="160"/>
      <w:jc w:val="center"/>
    </w:pPr>
    <w:rPr>
      <w:i/>
      <w:iCs/>
      <w:color w:val="404040" w:themeColor="text1" w:themeTint="BF"/>
    </w:rPr>
  </w:style>
  <w:style w:type="character" w:customStyle="1" w:styleId="QuoteChar">
    <w:name w:val="Quote Char"/>
    <w:basedOn w:val="DefaultParagraphFont"/>
    <w:link w:val="Quote"/>
    <w:uiPriority w:val="29"/>
    <w:rsid w:val="00717663"/>
    <w:rPr>
      <w:i/>
      <w:iCs/>
      <w:color w:val="404040" w:themeColor="text1" w:themeTint="BF"/>
    </w:rPr>
  </w:style>
  <w:style w:type="paragraph" w:styleId="ListParagraph">
    <w:name w:val="List Paragraph"/>
    <w:basedOn w:val="Normal"/>
    <w:uiPriority w:val="34"/>
    <w:qFormat/>
    <w:rsid w:val="00717663"/>
    <w:pPr>
      <w:ind w:left="720"/>
      <w:contextualSpacing/>
    </w:pPr>
  </w:style>
  <w:style w:type="character" w:styleId="IntenseEmphasis">
    <w:name w:val="Intense Emphasis"/>
    <w:basedOn w:val="DefaultParagraphFont"/>
    <w:uiPriority w:val="21"/>
    <w:qFormat/>
    <w:rsid w:val="00717663"/>
    <w:rPr>
      <w:i/>
      <w:iCs/>
      <w:color w:val="0F4761" w:themeColor="accent1" w:themeShade="BF"/>
    </w:rPr>
  </w:style>
  <w:style w:type="paragraph" w:styleId="IntenseQuote">
    <w:name w:val="Intense Quote"/>
    <w:basedOn w:val="Normal"/>
    <w:next w:val="Normal"/>
    <w:link w:val="IntenseQuoteChar"/>
    <w:uiPriority w:val="30"/>
    <w:qFormat/>
    <w:rsid w:val="00717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663"/>
    <w:rPr>
      <w:i/>
      <w:iCs/>
      <w:color w:val="0F4761" w:themeColor="accent1" w:themeShade="BF"/>
    </w:rPr>
  </w:style>
  <w:style w:type="character" w:styleId="IntenseReference">
    <w:name w:val="Intense Reference"/>
    <w:basedOn w:val="DefaultParagraphFont"/>
    <w:uiPriority w:val="32"/>
    <w:qFormat/>
    <w:rsid w:val="00717663"/>
    <w:rPr>
      <w:b/>
      <w:bCs/>
      <w:smallCaps/>
      <w:color w:val="0F4761" w:themeColor="accent1" w:themeShade="BF"/>
      <w:spacing w:val="5"/>
    </w:rPr>
  </w:style>
  <w:style w:type="paragraph" w:styleId="Header">
    <w:name w:val="header"/>
    <w:basedOn w:val="Normal"/>
    <w:link w:val="HeaderChar"/>
    <w:uiPriority w:val="99"/>
    <w:unhideWhenUsed/>
    <w:rsid w:val="00717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663"/>
    <w:rPr>
      <w:rFonts w:ascii="Calibri" w:eastAsia="Calibri" w:hAnsi="Calibri" w:cs="Calibri"/>
      <w:color w:val="333333"/>
      <w:kern w:val="0"/>
      <w:lang w:val="es-ES" w:eastAsia="en-GB"/>
      <w14:ligatures w14:val="none"/>
    </w:rPr>
  </w:style>
  <w:style w:type="paragraph" w:styleId="Footer">
    <w:name w:val="footer"/>
    <w:basedOn w:val="Normal"/>
    <w:link w:val="FooterChar"/>
    <w:uiPriority w:val="99"/>
    <w:unhideWhenUsed/>
    <w:rsid w:val="00717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663"/>
    <w:rPr>
      <w:rFonts w:ascii="Calibri" w:eastAsia="Calibri" w:hAnsi="Calibri" w:cs="Calibri"/>
      <w:color w:val="333333"/>
      <w:kern w:val="0"/>
      <w:lang w:val="es-ES" w:eastAsia="en-GB"/>
      <w14:ligatures w14:val="none"/>
    </w:rPr>
  </w:style>
  <w:style w:type="paragraph" w:styleId="NormalWeb">
    <w:name w:val="Normal (Web)"/>
    <w:basedOn w:val="Normal"/>
    <w:uiPriority w:val="99"/>
    <w:semiHidden/>
    <w:unhideWhenUsed/>
    <w:rsid w:val="00717663"/>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2025-01-15T16:08:00Z</dcterms:created>
  <dcterms:modified xsi:type="dcterms:W3CDTF">2025-01-15T16:08:00Z</dcterms:modified>
</cp:coreProperties>
</file>