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BCCE" w14:textId="77777777" w:rsidR="007D796A" w:rsidRPr="007D796A" w:rsidRDefault="007D796A" w:rsidP="007D796A">
      <w:pPr>
        <w:spacing w:after="0" w:line="259" w:lineRule="auto"/>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8"/>
          <w:szCs w:val="22"/>
          <w:lang w:val="es-ES" w:eastAsia="en-GB"/>
          <w14:ligatures w14:val="none"/>
        </w:rPr>
        <w:t xml:space="preserve">Anticipo de sueldo </w:t>
      </w:r>
      <w:r w:rsidRPr="007D796A">
        <w:rPr>
          <w:rFonts w:ascii="Calibri" w:eastAsia="Calibri" w:hAnsi="Calibri" w:cs="Calibri"/>
          <w:color w:val="000000"/>
          <w:kern w:val="0"/>
          <w:sz w:val="22"/>
          <w:szCs w:val="22"/>
          <w:lang w:val="es-ES" w:eastAsia="en-GB"/>
          <w14:ligatures w14:val="none"/>
        </w:rPr>
        <w:t xml:space="preserve"> </w:t>
      </w:r>
    </w:p>
    <w:p w14:paraId="6DDE1F0C" w14:textId="77777777" w:rsidR="007D796A" w:rsidRPr="007D796A" w:rsidRDefault="007D796A" w:rsidP="007D796A">
      <w:pPr>
        <w:spacing w:after="14" w:line="259" w:lineRule="auto"/>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7D5A04FE" w14:textId="77777777" w:rsidR="007D796A" w:rsidRPr="007D796A" w:rsidRDefault="007D796A" w:rsidP="007D796A">
      <w:pPr>
        <w:numPr>
          <w:ilvl w:val="0"/>
          <w:numId w:val="2"/>
        </w:numPr>
        <w:spacing w:after="4" w:line="253" w:lineRule="auto"/>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La compensación al personal, que incluye el salario, las prestaciones y las subvenciones, está diseñada para que cumpla con los requisitos de vida normales de los miembros del personal y sus familiares a cargo.  Cuando ocurren gastos excepcionales o inesperados y se necesitan sumas de dinero adicionales, el PNUD puede otorgar un anticipo bajo las circunstancias y condiciones específicas definidas en esta Política.</w:t>
      </w:r>
    </w:p>
    <w:p w14:paraId="017E8B60" w14:textId="77777777" w:rsidR="007D796A" w:rsidRPr="007D796A" w:rsidRDefault="007D796A" w:rsidP="007D796A">
      <w:pPr>
        <w:numPr>
          <w:ilvl w:val="0"/>
          <w:numId w:val="2"/>
        </w:numPr>
        <w:spacing w:after="4" w:line="253" w:lineRule="auto"/>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Dado que el PNUD no es una institución crediticia, se aconseja a los miembros del personal que se dirijan a las instituciones de crédito tales como bancos o la Cooperativa Federal de Crédito de las Naciones Unidas.</w:t>
      </w:r>
    </w:p>
    <w:p w14:paraId="6EB5822B" w14:textId="77777777" w:rsidR="007D796A" w:rsidRPr="007D796A" w:rsidRDefault="007D796A" w:rsidP="007D796A">
      <w:pPr>
        <w:numPr>
          <w:ilvl w:val="0"/>
          <w:numId w:val="2"/>
        </w:numPr>
        <w:spacing w:after="4" w:line="252" w:lineRule="auto"/>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Esta política aplica la norma 3.16 del Reglamento del personal. </w:t>
      </w:r>
    </w:p>
    <w:p w14:paraId="444F907A" w14:textId="77777777" w:rsidR="007D796A" w:rsidRPr="007D796A" w:rsidRDefault="007D796A" w:rsidP="007D796A">
      <w:pPr>
        <w:spacing w:after="4" w:line="253" w:lineRule="auto"/>
        <w:ind w:left="720"/>
        <w:contextualSpacing/>
        <w:jc w:val="both"/>
        <w:rPr>
          <w:rFonts w:ascii="Calibri" w:eastAsia="Calibri" w:hAnsi="Calibri" w:cs="Calibri"/>
          <w:color w:val="000000"/>
          <w:kern w:val="0"/>
          <w:sz w:val="22"/>
          <w:szCs w:val="22"/>
          <w:lang w:val="es-ES" w:eastAsia="en-GB"/>
          <w14:ligatures w14:val="none"/>
        </w:rPr>
      </w:pPr>
    </w:p>
    <w:p w14:paraId="3B666A11" w14:textId="77777777" w:rsidR="007D796A" w:rsidRPr="007D796A" w:rsidRDefault="007D796A" w:rsidP="007D796A">
      <w:pPr>
        <w:spacing w:after="0" w:line="259" w:lineRule="auto"/>
        <w:ind w:left="720" w:hanging="360"/>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62FFEE88" w14:textId="77777777" w:rsidR="007D796A" w:rsidRPr="007D796A" w:rsidRDefault="007D796A" w:rsidP="007D796A">
      <w:pPr>
        <w:keepNext/>
        <w:keepLines/>
        <w:spacing w:after="3" w:line="259" w:lineRule="auto"/>
        <w:outlineLvl w:val="0"/>
        <w:rPr>
          <w:rFonts w:ascii="Calibri" w:eastAsia="Calibri" w:hAnsi="Calibri" w:cs="Calibri"/>
          <w:b/>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Aplicabilidad  </w:t>
      </w:r>
    </w:p>
    <w:p w14:paraId="0F6EC7E0" w14:textId="77777777" w:rsidR="007D796A" w:rsidRPr="007D796A" w:rsidRDefault="007D796A" w:rsidP="007D796A">
      <w:pPr>
        <w:spacing w:after="11" w:line="259" w:lineRule="auto"/>
        <w:ind w:left="720" w:hanging="360"/>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27F6A881" w14:textId="77777777" w:rsidR="007D796A" w:rsidRPr="007D796A" w:rsidRDefault="007D796A" w:rsidP="007D796A">
      <w:pPr>
        <w:numPr>
          <w:ilvl w:val="0"/>
          <w:numId w:val="2"/>
        </w:numPr>
        <w:spacing w:after="4" w:line="253" w:lineRule="auto"/>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Los miembros del personal con nombramientos permanentes, de plazo fijo y temporales, así como los titulares de Acuerdos Internacionales y Nacionales de Servicios de Personal (IPSA y NPSA) pueden solicitar, y el PNUD puede conceder, un anticipo de sueldo de conformidad con las condiciones que se describen a continuación.  A menos que se especifique lo contrario, los términos y condiciones relacionados con los anticipos salariales se aplican a todos los tipos de personal enumerados anteriormente.</w:t>
      </w:r>
    </w:p>
    <w:p w14:paraId="3CAB2552" w14:textId="77777777" w:rsidR="007D796A" w:rsidRPr="007D796A" w:rsidRDefault="007D796A" w:rsidP="007D796A">
      <w:pPr>
        <w:spacing w:after="4" w:line="253" w:lineRule="auto"/>
        <w:ind w:left="720"/>
        <w:contextualSpacing/>
        <w:jc w:val="both"/>
        <w:rPr>
          <w:rFonts w:ascii="Calibri" w:eastAsia="Calibri" w:hAnsi="Calibri" w:cs="Calibri"/>
          <w:color w:val="000000"/>
          <w:kern w:val="0"/>
          <w:sz w:val="22"/>
          <w:szCs w:val="22"/>
          <w:lang w:val="es-ES" w:eastAsia="en-GB"/>
          <w14:ligatures w14:val="none"/>
        </w:rPr>
      </w:pPr>
    </w:p>
    <w:p w14:paraId="0CC38712" w14:textId="77777777" w:rsidR="007D796A" w:rsidRPr="007D796A" w:rsidRDefault="007D796A" w:rsidP="007D796A">
      <w:pPr>
        <w:spacing w:after="4" w:line="253" w:lineRule="auto"/>
        <w:ind w:left="720" w:hanging="360"/>
        <w:jc w:val="both"/>
        <w:rPr>
          <w:rFonts w:ascii="Calibri" w:eastAsia="Calibri" w:hAnsi="Calibri" w:cs="Calibri"/>
          <w:color w:val="000000"/>
          <w:kern w:val="0"/>
          <w:sz w:val="22"/>
          <w:szCs w:val="22"/>
          <w:lang w:val="es-ES" w:eastAsia="en-GB"/>
          <w14:ligatures w14:val="none"/>
        </w:rPr>
      </w:pPr>
    </w:p>
    <w:p w14:paraId="44216D91" w14:textId="77777777" w:rsidR="007D796A" w:rsidRPr="007D796A" w:rsidRDefault="007D796A" w:rsidP="007D796A">
      <w:pPr>
        <w:keepNext/>
        <w:keepLines/>
        <w:spacing w:after="3" w:line="259" w:lineRule="auto"/>
        <w:outlineLvl w:val="0"/>
        <w:rPr>
          <w:rFonts w:ascii="Calibri" w:eastAsia="Calibri" w:hAnsi="Calibri" w:cs="Calibri"/>
          <w:b/>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Condiciones generales</w:t>
      </w:r>
    </w:p>
    <w:p w14:paraId="51753E13" w14:textId="77777777" w:rsidR="007D796A" w:rsidRPr="007D796A" w:rsidRDefault="007D796A" w:rsidP="007D796A">
      <w:pPr>
        <w:spacing w:after="14" w:line="259" w:lineRule="auto"/>
        <w:ind w:left="720" w:hanging="360"/>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19DB360C" w14:textId="77777777" w:rsidR="007D796A" w:rsidRPr="007D796A" w:rsidRDefault="007D796A" w:rsidP="007D796A">
      <w:pPr>
        <w:spacing w:after="4" w:line="253" w:lineRule="auto"/>
        <w:ind w:left="720" w:hanging="36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5. Las siguientes condiciones rigen para los anticipos de sueldo:  </w:t>
      </w:r>
    </w:p>
    <w:p w14:paraId="09B5275B" w14:textId="77777777" w:rsidR="007D796A" w:rsidRPr="007D796A" w:rsidRDefault="007D796A" w:rsidP="007D796A">
      <w:pPr>
        <w:spacing w:after="4" w:line="253" w:lineRule="auto"/>
        <w:ind w:left="142"/>
        <w:jc w:val="both"/>
        <w:rPr>
          <w:rFonts w:ascii="Calibri" w:eastAsia="Calibri" w:hAnsi="Calibri" w:cs="Calibri"/>
          <w:color w:val="000000"/>
          <w:kern w:val="0"/>
          <w:sz w:val="22"/>
          <w:szCs w:val="22"/>
          <w:lang w:val="es-ES" w:eastAsia="en-GB"/>
          <w14:ligatures w14:val="none"/>
        </w:rPr>
      </w:pPr>
    </w:p>
    <w:p w14:paraId="05B37BFE" w14:textId="77777777" w:rsidR="007D796A" w:rsidRPr="007D796A" w:rsidRDefault="007D796A" w:rsidP="007D796A">
      <w:pPr>
        <w:numPr>
          <w:ilvl w:val="0"/>
          <w:numId w:val="1"/>
        </w:numPr>
        <w:spacing w:after="4" w:line="253" w:lineRule="auto"/>
        <w:ind w:left="1440" w:hanging="427"/>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Se recuperan por completo mediante deducciones regulares en la nómina;  </w:t>
      </w:r>
    </w:p>
    <w:p w14:paraId="51A88003" w14:textId="77777777" w:rsidR="007D796A" w:rsidRPr="007D796A" w:rsidRDefault="007D796A" w:rsidP="007D796A">
      <w:pPr>
        <w:spacing w:after="4" w:line="253" w:lineRule="auto"/>
        <w:ind w:left="993"/>
        <w:jc w:val="both"/>
        <w:rPr>
          <w:rFonts w:ascii="Calibri" w:eastAsia="Calibri" w:hAnsi="Calibri" w:cs="Calibri"/>
          <w:color w:val="000000"/>
          <w:kern w:val="0"/>
          <w:sz w:val="22"/>
          <w:szCs w:val="22"/>
          <w:lang w:val="es-ES" w:eastAsia="en-GB"/>
          <w14:ligatures w14:val="none"/>
        </w:rPr>
      </w:pPr>
    </w:p>
    <w:p w14:paraId="4843CA88" w14:textId="77777777" w:rsidR="007D796A" w:rsidRPr="007D796A" w:rsidRDefault="007D796A" w:rsidP="007D796A">
      <w:pPr>
        <w:numPr>
          <w:ilvl w:val="0"/>
          <w:numId w:val="1"/>
        </w:numPr>
        <w:spacing w:after="4" w:line="253" w:lineRule="auto"/>
        <w:ind w:left="1440" w:hanging="427"/>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Los anticipos para miembros del personal contratados internacionalmente e IPSAs siempre se recuperan en dólares estadounidenses. Esos anticipos pueden desembolsarse en la moneda local del lugar de destino del miembro del personal.  Cuando se paga un anticipo en una moneda diferente al dólar estadounidense, el monto de ese anticipo se convertirá a dólares estadounidenses al tipo de cambio oficial de la ONU en efecto al momento en que se emitió el anticipo, y ese monto en dólares estadounidenses es el que se recuperará;  </w:t>
      </w:r>
    </w:p>
    <w:p w14:paraId="6BBD9C45" w14:textId="77777777" w:rsidR="007D796A" w:rsidRPr="007D796A" w:rsidRDefault="007D796A" w:rsidP="007D796A">
      <w:pPr>
        <w:spacing w:after="4" w:line="253" w:lineRule="auto"/>
        <w:ind w:left="720" w:hanging="370"/>
        <w:contextualSpacing/>
        <w:jc w:val="both"/>
        <w:rPr>
          <w:rFonts w:ascii="Calibri" w:eastAsia="Calibri" w:hAnsi="Calibri" w:cs="Calibri"/>
          <w:color w:val="000000"/>
          <w:kern w:val="0"/>
          <w:sz w:val="22"/>
          <w:szCs w:val="22"/>
          <w:lang w:val="es-ES" w:eastAsia="en-GB"/>
          <w14:ligatures w14:val="none"/>
        </w:rPr>
      </w:pPr>
    </w:p>
    <w:p w14:paraId="6420ED3D" w14:textId="77777777" w:rsidR="007D796A" w:rsidRPr="007D796A" w:rsidRDefault="007D796A" w:rsidP="007D796A">
      <w:pPr>
        <w:numPr>
          <w:ilvl w:val="0"/>
          <w:numId w:val="1"/>
        </w:numPr>
        <w:spacing w:after="4" w:line="253" w:lineRule="auto"/>
        <w:ind w:left="1440" w:hanging="427"/>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Los miembros del personal contratados localmente y los NPSA sólo pueden recibir anticipos en la moneda en la que se paga su salario y el anticipo debe reembolsarse en la misma moneda;  </w:t>
      </w:r>
    </w:p>
    <w:p w14:paraId="5E3A25D5" w14:textId="77777777" w:rsidR="007D796A" w:rsidRPr="007D796A" w:rsidRDefault="007D796A" w:rsidP="007D796A">
      <w:pPr>
        <w:spacing w:after="4" w:line="253" w:lineRule="auto"/>
        <w:ind w:left="720" w:hanging="370"/>
        <w:contextualSpacing/>
        <w:jc w:val="both"/>
        <w:rPr>
          <w:rFonts w:ascii="Calibri" w:eastAsia="Calibri" w:hAnsi="Calibri" w:cs="Calibri"/>
          <w:color w:val="000000"/>
          <w:kern w:val="0"/>
          <w:sz w:val="22"/>
          <w:szCs w:val="22"/>
          <w:lang w:val="es-ES" w:eastAsia="en-GB"/>
          <w14:ligatures w14:val="none"/>
        </w:rPr>
      </w:pPr>
    </w:p>
    <w:p w14:paraId="77CA5310" w14:textId="77777777" w:rsidR="007D796A" w:rsidRPr="007D796A" w:rsidRDefault="007D796A" w:rsidP="007D796A">
      <w:pPr>
        <w:numPr>
          <w:ilvl w:val="0"/>
          <w:numId w:val="1"/>
        </w:numPr>
        <w:spacing w:after="4" w:line="253" w:lineRule="auto"/>
        <w:ind w:left="1440" w:hanging="427"/>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La recuperación comienza con el primer día de pago mensual después de que se haya otorgado el anticipo, a menos que se estipule de otro modo al momento de la aprobación; </w:t>
      </w:r>
    </w:p>
    <w:p w14:paraId="27E1823A" w14:textId="77777777" w:rsidR="007D796A" w:rsidRPr="007D796A" w:rsidRDefault="007D796A" w:rsidP="007D796A">
      <w:pPr>
        <w:spacing w:after="4" w:line="253" w:lineRule="auto"/>
        <w:ind w:left="720" w:hanging="370"/>
        <w:contextualSpacing/>
        <w:jc w:val="both"/>
        <w:rPr>
          <w:rFonts w:ascii="Calibri" w:eastAsia="Calibri" w:hAnsi="Calibri" w:cs="Calibri"/>
          <w:color w:val="000000"/>
          <w:kern w:val="0"/>
          <w:sz w:val="22"/>
          <w:szCs w:val="22"/>
          <w:lang w:val="es-ES" w:eastAsia="en-GB"/>
          <w14:ligatures w14:val="none"/>
        </w:rPr>
      </w:pPr>
    </w:p>
    <w:p w14:paraId="114DB6D3" w14:textId="77777777" w:rsidR="007D796A" w:rsidRPr="007D796A" w:rsidRDefault="007D796A" w:rsidP="007D796A">
      <w:pPr>
        <w:numPr>
          <w:ilvl w:val="0"/>
          <w:numId w:val="1"/>
        </w:numPr>
        <w:spacing w:after="4" w:line="253" w:lineRule="auto"/>
        <w:ind w:left="1440" w:hanging="427"/>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Salvo que se especifique lo contrario, se liquidan a una tasa constante de hasta un máximo de doce (12) períodos de pago consecutivos sin extenderse los mismos más allá de la fecha de expiración del nombramiento / contrato; </w:t>
      </w:r>
    </w:p>
    <w:p w14:paraId="6D6B88A1" w14:textId="77777777" w:rsidR="007D796A" w:rsidRPr="007D796A" w:rsidRDefault="007D796A" w:rsidP="007D796A">
      <w:pPr>
        <w:spacing w:after="4" w:line="253" w:lineRule="auto"/>
        <w:ind w:left="720" w:hanging="370"/>
        <w:contextualSpacing/>
        <w:jc w:val="both"/>
        <w:rPr>
          <w:rFonts w:ascii="Calibri" w:eastAsia="Calibri" w:hAnsi="Calibri" w:cs="Calibri"/>
          <w:color w:val="000000"/>
          <w:kern w:val="0"/>
          <w:sz w:val="22"/>
          <w:szCs w:val="22"/>
          <w:lang w:val="es-ES" w:eastAsia="en-GB"/>
          <w14:ligatures w14:val="none"/>
        </w:rPr>
      </w:pPr>
    </w:p>
    <w:p w14:paraId="5165695F" w14:textId="77777777" w:rsidR="007D796A" w:rsidRPr="007D796A" w:rsidRDefault="007D796A" w:rsidP="007D796A">
      <w:pPr>
        <w:numPr>
          <w:ilvl w:val="0"/>
          <w:numId w:val="1"/>
        </w:numPr>
        <w:spacing w:after="4" w:line="253" w:lineRule="auto"/>
        <w:ind w:left="993" w:hanging="37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No se otorgarán nuevos anticipos mientras esté en curso un anticipo o una parte de un anticipo anterior, excepto:  </w:t>
      </w:r>
    </w:p>
    <w:p w14:paraId="3A88361B" w14:textId="77777777" w:rsidR="007D796A" w:rsidRPr="007D796A" w:rsidRDefault="007D796A" w:rsidP="007D796A">
      <w:pPr>
        <w:numPr>
          <w:ilvl w:val="1"/>
          <w:numId w:val="1"/>
        </w:numPr>
        <w:spacing w:after="4" w:line="253" w:lineRule="auto"/>
        <w:ind w:left="1800" w:hanging="36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En el caso de gastos médicos importantes que requieran un reembolso por parte de un esquema de seguro médico de la ONU; o  </w:t>
      </w:r>
    </w:p>
    <w:p w14:paraId="1690866C" w14:textId="77777777" w:rsidR="007D796A" w:rsidRPr="007D796A" w:rsidRDefault="007D796A" w:rsidP="007D796A">
      <w:pPr>
        <w:spacing w:after="4" w:line="253" w:lineRule="auto"/>
        <w:ind w:left="1980" w:hanging="540"/>
        <w:jc w:val="both"/>
        <w:rPr>
          <w:rFonts w:ascii="Calibri" w:eastAsia="Calibri" w:hAnsi="Calibri" w:cs="Calibri"/>
          <w:color w:val="000000"/>
          <w:kern w:val="0"/>
          <w:sz w:val="22"/>
          <w:szCs w:val="22"/>
          <w:lang w:val="es-ES" w:eastAsia="en-GB"/>
          <w14:ligatures w14:val="none"/>
        </w:rPr>
      </w:pPr>
    </w:p>
    <w:p w14:paraId="4181A431" w14:textId="77777777" w:rsidR="007D796A" w:rsidRPr="007D796A" w:rsidRDefault="007D796A" w:rsidP="007D796A">
      <w:pPr>
        <w:numPr>
          <w:ilvl w:val="1"/>
          <w:numId w:val="1"/>
        </w:numPr>
        <w:spacing w:after="4" w:line="253" w:lineRule="auto"/>
        <w:ind w:left="1800" w:hanging="36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Si, se basa en determinaciones de seguridad y del lugar de destino aprobado de acuerdo con el Manual de Seguridad del Departamento de Protección y Seguridad de las Naciones Unidas (UNDSS, </w:t>
      </w:r>
      <w:r w:rsidRPr="007D796A">
        <w:rPr>
          <w:rFonts w:ascii="Calibri" w:eastAsia="Calibri" w:hAnsi="Calibri" w:cs="Calibri"/>
          <w:i/>
          <w:color w:val="000000"/>
          <w:kern w:val="0"/>
          <w:sz w:val="22"/>
          <w:szCs w:val="22"/>
          <w:lang w:val="es-ES" w:eastAsia="en-GB"/>
          <w14:ligatures w14:val="none"/>
        </w:rPr>
        <w:t>United Nations Department of Safety and Security</w:t>
      </w:r>
      <w:r w:rsidRPr="007D796A">
        <w:rPr>
          <w:rFonts w:ascii="Calibri" w:eastAsia="Calibri" w:hAnsi="Calibri" w:cs="Calibri"/>
          <w:color w:val="000000"/>
          <w:kern w:val="0"/>
          <w:sz w:val="22"/>
          <w:szCs w:val="22"/>
          <w:lang w:val="es-ES" w:eastAsia="en-GB"/>
          <w14:ligatures w14:val="none"/>
        </w:rPr>
        <w:t>, por sus siglas en inglés); o</w:t>
      </w:r>
      <w:r w:rsidRPr="007D796A">
        <w:rPr>
          <w:rFonts w:ascii="Calibri" w:eastAsia="Calibri" w:hAnsi="Calibri" w:cs="Calibri"/>
          <w:i/>
          <w:color w:val="000000"/>
          <w:kern w:val="0"/>
          <w:sz w:val="22"/>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2584C62B" w14:textId="77777777" w:rsidR="007D796A" w:rsidRPr="007D796A" w:rsidRDefault="007D796A" w:rsidP="007D796A">
      <w:pPr>
        <w:spacing w:after="4" w:line="253" w:lineRule="auto"/>
        <w:ind w:left="1980" w:hanging="540"/>
        <w:contextualSpacing/>
        <w:jc w:val="both"/>
        <w:rPr>
          <w:rFonts w:ascii="Calibri" w:eastAsia="Calibri" w:hAnsi="Calibri" w:cs="Calibri"/>
          <w:color w:val="000000"/>
          <w:kern w:val="0"/>
          <w:sz w:val="22"/>
          <w:szCs w:val="22"/>
          <w:lang w:val="es-ES" w:eastAsia="en-GB"/>
          <w14:ligatures w14:val="none"/>
        </w:rPr>
      </w:pPr>
    </w:p>
    <w:p w14:paraId="71B31558" w14:textId="77777777" w:rsidR="007D796A" w:rsidRPr="007D796A" w:rsidRDefault="007D796A" w:rsidP="007D796A">
      <w:pPr>
        <w:numPr>
          <w:ilvl w:val="1"/>
          <w:numId w:val="1"/>
        </w:numPr>
        <w:spacing w:after="26" w:line="253" w:lineRule="auto"/>
        <w:ind w:left="1800" w:hanging="36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En el caso de anticipos aprobados excepcionalmente en situaciones de emergencia específicas por el Administrador Auxiliar y el Director del Buró de Gestión de Servicios (BMS, </w:t>
      </w:r>
      <w:r w:rsidRPr="007D796A">
        <w:rPr>
          <w:rFonts w:ascii="Calibri" w:eastAsia="Calibri" w:hAnsi="Calibri" w:cs="Calibri"/>
          <w:i/>
          <w:color w:val="000000"/>
          <w:kern w:val="0"/>
          <w:sz w:val="22"/>
          <w:szCs w:val="22"/>
          <w:lang w:val="es-ES" w:eastAsia="en-GB"/>
          <w14:ligatures w14:val="none"/>
        </w:rPr>
        <w:t>Bureau for Management Services</w:t>
      </w:r>
      <w:r w:rsidRPr="007D796A">
        <w:rPr>
          <w:rFonts w:ascii="Calibri" w:eastAsia="Calibri" w:hAnsi="Calibri" w:cs="Calibri"/>
          <w:color w:val="000000"/>
          <w:kern w:val="0"/>
          <w:sz w:val="22"/>
          <w:szCs w:val="22"/>
          <w:lang w:val="es-ES" w:eastAsia="en-GB"/>
          <w14:ligatures w14:val="none"/>
        </w:rPr>
        <w:t>, por sus siglas en inglés)</w:t>
      </w:r>
      <w:r w:rsidRPr="007D796A">
        <w:rPr>
          <w:rFonts w:ascii="Calibri" w:eastAsia="Calibri" w:hAnsi="Calibri" w:cs="Calibri"/>
          <w:i/>
          <w:color w:val="000000"/>
          <w:kern w:val="0"/>
          <w:sz w:val="22"/>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7E46B3DF" w14:textId="77777777" w:rsidR="007D796A" w:rsidRPr="007D796A" w:rsidRDefault="007D796A" w:rsidP="007D796A">
      <w:pPr>
        <w:spacing w:after="26" w:line="253" w:lineRule="auto"/>
        <w:ind w:left="2160"/>
        <w:jc w:val="both"/>
        <w:rPr>
          <w:rFonts w:ascii="Calibri" w:eastAsia="Calibri" w:hAnsi="Calibri" w:cs="Calibri"/>
          <w:color w:val="000000"/>
          <w:kern w:val="0"/>
          <w:sz w:val="22"/>
          <w:szCs w:val="22"/>
          <w:lang w:val="es-ES" w:eastAsia="en-GB"/>
          <w14:ligatures w14:val="none"/>
        </w:rPr>
      </w:pPr>
    </w:p>
    <w:p w14:paraId="796F6938" w14:textId="77777777" w:rsidR="007D796A" w:rsidRPr="007D796A" w:rsidRDefault="007D796A" w:rsidP="007D796A">
      <w:pPr>
        <w:numPr>
          <w:ilvl w:val="0"/>
          <w:numId w:val="1"/>
        </w:numPr>
        <w:spacing w:after="4" w:line="253" w:lineRule="auto"/>
        <w:ind w:left="1440" w:hanging="427"/>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La solicitud de anticipo debe explicar detalladamente la situación excepcional e inesperada para la que se necesitan los fondos y adjuntar la documentación justificativa. También debe incluir un compromiso por escrito de que si el miembro del personal / titular del APS se separa del servicio, cualquier saldo pendiente de un anticipo se recuperará en su totalidad con cargo a los emolumentos finales. Cualquier saldo que supere los emolumentos finales adeudados deberá abonarse inmediatamente y en su totalidad antes de la separación del servicio.  </w:t>
      </w:r>
      <w:r w:rsidRPr="007D796A">
        <w:rPr>
          <w:rFonts w:ascii="Calibri" w:eastAsia="Calibri" w:hAnsi="Calibri" w:cs="Calibri"/>
          <w:i/>
          <w:color w:val="000000"/>
          <w:kern w:val="0"/>
          <w:sz w:val="22"/>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4224893F" w14:textId="77777777" w:rsidR="007D796A" w:rsidRPr="007D796A" w:rsidRDefault="007D796A" w:rsidP="007D796A">
      <w:pPr>
        <w:spacing w:after="0" w:line="259" w:lineRule="auto"/>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0EB21220" w14:textId="77777777" w:rsidR="007D796A" w:rsidRPr="007D796A" w:rsidRDefault="007D796A" w:rsidP="007D796A">
      <w:pPr>
        <w:keepNext/>
        <w:keepLines/>
        <w:spacing w:after="3" w:line="259" w:lineRule="auto"/>
        <w:ind w:left="10" w:hanging="10"/>
        <w:outlineLvl w:val="0"/>
        <w:rPr>
          <w:rFonts w:ascii="Calibri" w:eastAsia="Calibri" w:hAnsi="Calibri" w:cs="Calibri"/>
          <w:b/>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Autorización de anticipos de sueldo y responsabilidad por la recuperación  </w:t>
      </w:r>
    </w:p>
    <w:p w14:paraId="370F0D75" w14:textId="77777777" w:rsidR="007D796A" w:rsidRDefault="007D796A" w:rsidP="007D796A">
      <w:pPr>
        <w:spacing w:after="0" w:line="259" w:lineRule="auto"/>
        <w:rPr>
          <w:rFonts w:ascii="Calibri" w:eastAsia="Calibri" w:hAnsi="Calibri" w:cs="Calibri"/>
          <w:color w:val="000000"/>
          <w:kern w:val="0"/>
          <w:sz w:val="22"/>
          <w:szCs w:val="22"/>
          <w:lang w:val="es-ES" w:eastAsia="en-GB"/>
          <w14:ligatures w14:val="none"/>
        </w:rPr>
      </w:pPr>
    </w:p>
    <w:p w14:paraId="606E201A" w14:textId="4B3C17A6" w:rsidR="007D796A" w:rsidRDefault="007D796A" w:rsidP="007D796A">
      <w:pPr>
        <w:spacing w:after="0" w:line="259" w:lineRule="auto"/>
        <w:rPr>
          <w:rFonts w:ascii="Calibri" w:eastAsia="Calibri" w:hAnsi="Calibri" w:cs="Calibri"/>
          <w:color w:val="000000"/>
          <w:kern w:val="0"/>
          <w:sz w:val="22"/>
          <w:szCs w:val="22"/>
          <w:u w:val="single"/>
          <w:lang w:val="es-ES" w:eastAsia="en-GB"/>
          <w14:ligatures w14:val="none"/>
        </w:rPr>
      </w:pPr>
      <w:r w:rsidRPr="007D796A">
        <w:rPr>
          <w:rFonts w:ascii="Calibri" w:eastAsia="Calibri" w:hAnsi="Calibri" w:cs="Calibri"/>
          <w:color w:val="000000"/>
          <w:kern w:val="0"/>
          <w:sz w:val="22"/>
          <w:szCs w:val="22"/>
          <w:u w:val="single"/>
          <w:lang w:val="es-ES" w:eastAsia="en-GB"/>
          <w14:ligatures w14:val="none"/>
        </w:rPr>
        <w:t>Solicitutes</w:t>
      </w:r>
    </w:p>
    <w:p w14:paraId="5D804724" w14:textId="77777777" w:rsidR="007D796A" w:rsidRPr="007D796A" w:rsidRDefault="007D796A" w:rsidP="007D796A">
      <w:pPr>
        <w:spacing w:after="0" w:line="259" w:lineRule="auto"/>
        <w:rPr>
          <w:rFonts w:ascii="Calibri" w:eastAsia="Calibri" w:hAnsi="Calibri" w:cs="Calibri"/>
          <w:color w:val="000000"/>
          <w:kern w:val="0"/>
          <w:sz w:val="22"/>
          <w:szCs w:val="22"/>
          <w:u w:val="single"/>
          <w:lang w:val="es-ES" w:eastAsia="en-GB"/>
          <w14:ligatures w14:val="none"/>
        </w:rPr>
      </w:pPr>
    </w:p>
    <w:p w14:paraId="7BD27469" w14:textId="77777777" w:rsidR="007D796A" w:rsidRPr="007D796A" w:rsidRDefault="007D796A" w:rsidP="002A2322">
      <w:pPr>
        <w:numPr>
          <w:ilvl w:val="0"/>
          <w:numId w:val="3"/>
        </w:numPr>
        <w:spacing w:after="4" w:line="253" w:lineRule="auto"/>
        <w:ind w:left="720" w:hanging="36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Las solicitudes de anticipos salariales por parte de los miembros del personal contratados localmente y de los NPSA fuera de la Sede (HQ) deben presentarse a través de la plataforma de autoservicio para empleados del PNUD junto con la documentación necesaria según lo dispuesto en esta Política. La solicitud es revisada y aprobada por el personal designado con estas funciones en la Oficina. Normalmente, la autoridad de aprobación recae en el Jefe de la Oficina (Representante Residente), quien puede delegarla en el Representante Residente Adjunto (operaciones) o en una función similar.  </w:t>
      </w:r>
    </w:p>
    <w:p w14:paraId="53C8E0B8" w14:textId="77777777" w:rsidR="007D796A" w:rsidRPr="007D796A" w:rsidRDefault="007D796A" w:rsidP="002A2322">
      <w:pPr>
        <w:numPr>
          <w:ilvl w:val="0"/>
          <w:numId w:val="3"/>
        </w:numPr>
        <w:spacing w:after="4" w:line="253" w:lineRule="auto"/>
        <w:ind w:left="720" w:hanging="36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Para los miembros del personal contratados localmente y los NPSA en la sede, los anticipos deben ser aprobados por el Director de la oficina correspondiente, que puede delegar en el Director Adjunto, o función similar.  </w:t>
      </w:r>
    </w:p>
    <w:p w14:paraId="5C61E75B" w14:textId="77777777" w:rsidR="007D796A" w:rsidRPr="007D796A" w:rsidRDefault="007D796A" w:rsidP="002A2322">
      <w:pPr>
        <w:spacing w:after="9" w:line="259" w:lineRule="auto"/>
        <w:ind w:left="720" w:hanging="360"/>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  </w:t>
      </w:r>
    </w:p>
    <w:p w14:paraId="32F57935" w14:textId="77777777" w:rsidR="007D796A" w:rsidRPr="007D796A" w:rsidRDefault="007D796A" w:rsidP="002A2322">
      <w:pPr>
        <w:numPr>
          <w:ilvl w:val="0"/>
          <w:numId w:val="3"/>
        </w:numPr>
        <w:spacing w:after="4" w:line="253" w:lineRule="auto"/>
        <w:ind w:left="720" w:hanging="36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lastRenderedPageBreak/>
        <w:t>La Oficina que aprueba el anticipo de sueldo es responsable de garantizar que el pago se realice y se recupere de acuerdo la presente Política. El Administrador Adjunto y Director de BMS puede revocar la delegación de autoridad para aprobar anticipos salariales del Jefe de Oficina, o del Director de la oficina del funcionario, si se aprueban anticipos incumpliendo la presente política.</w:t>
      </w:r>
    </w:p>
    <w:p w14:paraId="0E37B65B" w14:textId="77777777" w:rsidR="007D796A" w:rsidRPr="007D796A" w:rsidRDefault="007D796A" w:rsidP="002A2322">
      <w:pPr>
        <w:spacing w:after="4" w:line="253" w:lineRule="auto"/>
        <w:ind w:left="720" w:hanging="360"/>
        <w:contextualSpacing/>
        <w:jc w:val="both"/>
        <w:rPr>
          <w:rFonts w:ascii="Calibri" w:eastAsia="Calibri" w:hAnsi="Calibri" w:cs="Calibri"/>
          <w:color w:val="000000"/>
          <w:kern w:val="0"/>
          <w:sz w:val="22"/>
          <w:szCs w:val="22"/>
          <w:lang w:val="es-ES" w:eastAsia="en-GB"/>
          <w14:ligatures w14:val="none"/>
        </w:rPr>
      </w:pPr>
    </w:p>
    <w:p w14:paraId="0A5B7B35" w14:textId="5B64154B" w:rsidR="007D796A" w:rsidRPr="007D796A" w:rsidRDefault="007D796A" w:rsidP="002A2322">
      <w:pPr>
        <w:numPr>
          <w:ilvl w:val="0"/>
          <w:numId w:val="3"/>
        </w:numPr>
        <w:spacing w:after="4" w:line="253" w:lineRule="auto"/>
        <w:ind w:left="720" w:hanging="36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 A excepción de los anticipos personales de emergencia, los anticipos salariales de los miembros del personal contratados internacionalmente y de los IPSA deben ser aprobados tanto por el Director del Servicio Global de Nómina Salaria (GPS por sus siglas en inglés, Global Payroll Services) como por el Director del Servicio de Prestaciones y Derechos (BES, Benefits and Entitlements Services, por sus siglas en inglés). Los Directores de GPS y BES son responsables de garantizar que todos los anticipos salariales se aprueben y recuperen en el marco de esta política. En caso de anticipos personales de emergencia, el Administrador Adjunto y el Director de BMS deben aprobar el anticipo salarial</w:t>
      </w:r>
    </w:p>
    <w:p w14:paraId="729251EE" w14:textId="77777777" w:rsidR="007D796A" w:rsidRPr="007D796A" w:rsidRDefault="007D796A" w:rsidP="007D796A">
      <w:pPr>
        <w:spacing w:after="0" w:line="259" w:lineRule="auto"/>
        <w:ind w:left="720"/>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 </w:t>
      </w:r>
    </w:p>
    <w:p w14:paraId="725E01B5" w14:textId="77777777" w:rsidR="007D796A" w:rsidRPr="007D796A" w:rsidRDefault="007D796A" w:rsidP="007D796A">
      <w:pPr>
        <w:spacing w:after="3" w:line="259" w:lineRule="auto"/>
        <w:ind w:left="10" w:hanging="10"/>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Tipos de anticipos de sueldo </w:t>
      </w:r>
      <w:r w:rsidRPr="007D796A">
        <w:rPr>
          <w:rFonts w:ascii="Calibri" w:eastAsia="Calibri" w:hAnsi="Calibri" w:cs="Calibri"/>
          <w:color w:val="000000"/>
          <w:kern w:val="0"/>
          <w:sz w:val="22"/>
          <w:szCs w:val="22"/>
          <w:lang w:val="es-ES" w:eastAsia="en-GB"/>
          <w14:ligatures w14:val="none"/>
        </w:rPr>
        <w:t xml:space="preserve"> </w:t>
      </w:r>
    </w:p>
    <w:p w14:paraId="1B746C79" w14:textId="77777777" w:rsidR="007D796A" w:rsidRPr="007D796A" w:rsidRDefault="007D796A" w:rsidP="007D796A">
      <w:pPr>
        <w:spacing w:after="2" w:line="259" w:lineRule="auto"/>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0"/>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5C723133" w14:textId="77777777" w:rsidR="007D796A" w:rsidRPr="007D796A" w:rsidRDefault="007D796A" w:rsidP="007D796A">
      <w:pPr>
        <w:keepNext/>
        <w:keepLines/>
        <w:spacing w:after="3" w:line="259" w:lineRule="auto"/>
        <w:ind w:left="408" w:hanging="10"/>
        <w:outlineLvl w:val="0"/>
        <w:rPr>
          <w:rFonts w:ascii="Calibri" w:eastAsia="Calibri" w:hAnsi="Calibri" w:cs="Calibri"/>
          <w:b/>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Anticipos para los nombramientos iniciales  </w:t>
      </w:r>
    </w:p>
    <w:p w14:paraId="23D66A2A" w14:textId="77777777" w:rsidR="007D796A" w:rsidRPr="007D796A" w:rsidRDefault="007D796A" w:rsidP="007D796A">
      <w:pPr>
        <w:spacing w:after="4" w:line="259" w:lineRule="auto"/>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0"/>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73B391AA" w14:textId="2991BDDB" w:rsidR="007D796A" w:rsidRPr="002A2322" w:rsidRDefault="007D796A" w:rsidP="002A2322">
      <w:pPr>
        <w:pStyle w:val="ListParagraph"/>
        <w:numPr>
          <w:ilvl w:val="0"/>
          <w:numId w:val="3"/>
        </w:numPr>
        <w:spacing w:after="4" w:line="253" w:lineRule="auto"/>
        <w:ind w:left="720" w:hanging="360"/>
        <w:jc w:val="both"/>
        <w:rPr>
          <w:rFonts w:ascii="Calibri" w:eastAsia="Calibri" w:hAnsi="Calibri" w:cs="Calibri"/>
          <w:color w:val="000000"/>
          <w:kern w:val="0"/>
          <w:sz w:val="22"/>
          <w:szCs w:val="22"/>
          <w:lang w:val="es-ES" w:eastAsia="en-GB"/>
          <w14:ligatures w14:val="none"/>
        </w:rPr>
      </w:pPr>
      <w:r w:rsidRPr="002A2322">
        <w:rPr>
          <w:rFonts w:ascii="Calibri" w:eastAsia="Calibri" w:hAnsi="Calibri" w:cs="Calibri"/>
          <w:color w:val="000000"/>
          <w:kern w:val="0"/>
          <w:sz w:val="22"/>
          <w:szCs w:val="22"/>
          <w:lang w:val="es-ES" w:eastAsia="en-GB"/>
          <w14:ligatures w14:val="none"/>
        </w:rPr>
        <w:t xml:space="preserve">Cuando un miembro del personal / titular de un APS (PSA, acuerdo de servicios de personal) aún no haya sido inscrito en la nómina activa en Quantum HCM, podrá concederse un único anticipo de nombramiento inicial. En caso de que se desembolse un pago duplicado, se procederá a su recuperación íntegra en la siguiente nómina.   </w:t>
      </w:r>
    </w:p>
    <w:p w14:paraId="4AE820BE" w14:textId="77777777" w:rsidR="007D796A" w:rsidRPr="007D796A" w:rsidRDefault="007D796A" w:rsidP="007D796A">
      <w:pPr>
        <w:spacing w:after="2" w:line="259" w:lineRule="auto"/>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0"/>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463CE7C6" w14:textId="77777777" w:rsidR="007D796A" w:rsidRPr="007D796A" w:rsidRDefault="007D796A" w:rsidP="007D796A">
      <w:pPr>
        <w:keepNext/>
        <w:keepLines/>
        <w:spacing w:after="3" w:line="259" w:lineRule="auto"/>
        <w:ind w:left="408" w:hanging="10"/>
        <w:outlineLvl w:val="0"/>
        <w:rPr>
          <w:rFonts w:ascii="Calibri" w:eastAsia="Calibri" w:hAnsi="Calibri" w:cs="Calibri"/>
          <w:b/>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Anticipos por no recepción del sueldo  </w:t>
      </w:r>
    </w:p>
    <w:p w14:paraId="29946D19" w14:textId="77777777" w:rsidR="007D796A" w:rsidRPr="007D796A" w:rsidRDefault="007D796A" w:rsidP="007D796A">
      <w:pPr>
        <w:spacing w:after="4" w:line="259" w:lineRule="auto"/>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0"/>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3E2A2D93" w14:textId="572D4BB4" w:rsidR="007D796A" w:rsidRPr="002A2322" w:rsidRDefault="007D796A" w:rsidP="002A2322">
      <w:pPr>
        <w:pStyle w:val="ListParagraph"/>
        <w:numPr>
          <w:ilvl w:val="0"/>
          <w:numId w:val="3"/>
        </w:numPr>
        <w:spacing w:after="4" w:line="253" w:lineRule="auto"/>
        <w:ind w:left="720" w:hanging="360"/>
        <w:jc w:val="both"/>
        <w:rPr>
          <w:rFonts w:ascii="Calibri" w:eastAsia="Calibri" w:hAnsi="Calibri" w:cs="Calibri"/>
          <w:color w:val="000000"/>
          <w:kern w:val="0"/>
          <w:sz w:val="22"/>
          <w:szCs w:val="22"/>
          <w:lang w:val="es-ES" w:eastAsia="en-GB"/>
          <w14:ligatures w14:val="none"/>
        </w:rPr>
      </w:pPr>
      <w:r w:rsidRPr="002A2322">
        <w:rPr>
          <w:rFonts w:ascii="Calibri" w:eastAsia="Calibri" w:hAnsi="Calibri" w:cs="Calibri"/>
          <w:color w:val="000000"/>
          <w:kern w:val="0"/>
          <w:sz w:val="22"/>
          <w:szCs w:val="22"/>
          <w:lang w:val="es-ES" w:eastAsia="en-GB"/>
          <w14:ligatures w14:val="none"/>
        </w:rPr>
        <w:t xml:space="preserve">En caso de que un miembro del personal / titular de un APS no reciba un salario regular debido a un problema bancario u otro problema técnico o un salario parcial del primer mes debido al calendario de procesamiento de la nómina, se concederá un anticipo por el importe adeudado. En caso de que se abone un salario duplicado, se procederá a su recuperación íntegra en la siguiente nómina.   </w:t>
      </w:r>
    </w:p>
    <w:p w14:paraId="732343E8" w14:textId="77777777" w:rsidR="007D796A" w:rsidRPr="007D796A" w:rsidRDefault="007D796A" w:rsidP="007D796A">
      <w:pPr>
        <w:spacing w:after="0" w:line="259" w:lineRule="auto"/>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0"/>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2AF0FD84" w14:textId="77777777" w:rsidR="007D796A" w:rsidRPr="007D796A" w:rsidRDefault="007D796A" w:rsidP="007D796A">
      <w:pPr>
        <w:keepNext/>
        <w:keepLines/>
        <w:spacing w:after="3" w:line="259" w:lineRule="auto"/>
        <w:ind w:left="408" w:hanging="10"/>
        <w:outlineLvl w:val="0"/>
        <w:rPr>
          <w:rFonts w:ascii="Calibri" w:eastAsia="Calibri" w:hAnsi="Calibri" w:cs="Calibri"/>
          <w:b/>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Anticipos por separación del servicio  </w:t>
      </w:r>
    </w:p>
    <w:p w14:paraId="7A3A6985" w14:textId="77777777" w:rsidR="007D796A" w:rsidRPr="007D796A" w:rsidRDefault="007D796A" w:rsidP="007D796A">
      <w:pPr>
        <w:spacing w:after="4" w:line="259" w:lineRule="auto"/>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0"/>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2DEF18D7" w14:textId="7FBE2DBA" w:rsidR="007D796A" w:rsidRPr="002A2322" w:rsidRDefault="007D796A" w:rsidP="002A2322">
      <w:pPr>
        <w:pStyle w:val="ListParagraph"/>
        <w:numPr>
          <w:ilvl w:val="0"/>
          <w:numId w:val="3"/>
        </w:numPr>
        <w:spacing w:after="4" w:line="253" w:lineRule="auto"/>
        <w:ind w:left="720" w:hanging="360"/>
        <w:jc w:val="both"/>
        <w:rPr>
          <w:rFonts w:ascii="Calibri" w:eastAsia="Calibri" w:hAnsi="Calibri" w:cs="Calibri"/>
          <w:color w:val="000000"/>
          <w:kern w:val="0"/>
          <w:sz w:val="22"/>
          <w:szCs w:val="22"/>
          <w:lang w:val="es-ES" w:eastAsia="en-GB"/>
          <w14:ligatures w14:val="none"/>
        </w:rPr>
      </w:pPr>
      <w:r w:rsidRPr="002A2322">
        <w:rPr>
          <w:rFonts w:ascii="Calibri" w:eastAsia="Calibri" w:hAnsi="Calibri" w:cs="Calibri"/>
          <w:color w:val="000000"/>
          <w:kern w:val="0"/>
          <w:sz w:val="22"/>
          <w:szCs w:val="22"/>
          <w:lang w:val="es-ES" w:eastAsia="en-GB"/>
          <w14:ligatures w14:val="none"/>
        </w:rPr>
        <w:t xml:space="preserve">Cuando un miembro del personal / titular de un APS se separa del servicio y la liquidación final de las cuentas salariales no puede realizarse en el momento del cese, puede concederse un anticipo que no supere el 80 % de los pagos netos finales estimados adeudados.  </w:t>
      </w:r>
    </w:p>
    <w:p w14:paraId="4898BDF5" w14:textId="77777777" w:rsidR="007D796A" w:rsidRPr="007D796A" w:rsidRDefault="007D796A" w:rsidP="007D796A">
      <w:pPr>
        <w:spacing w:after="2" w:line="259" w:lineRule="auto"/>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0"/>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26BC2F48" w14:textId="77777777" w:rsidR="007D796A" w:rsidRPr="007D796A" w:rsidRDefault="007D796A" w:rsidP="007D796A">
      <w:pPr>
        <w:keepNext/>
        <w:keepLines/>
        <w:spacing w:after="3" w:line="259" w:lineRule="auto"/>
        <w:ind w:left="408" w:hanging="10"/>
        <w:outlineLvl w:val="0"/>
        <w:rPr>
          <w:rFonts w:ascii="Calibri" w:eastAsia="Calibri" w:hAnsi="Calibri" w:cs="Calibri"/>
          <w:b/>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Anticipos por gastos médicos  </w:t>
      </w:r>
    </w:p>
    <w:p w14:paraId="1C6E9761" w14:textId="77777777" w:rsidR="007D796A" w:rsidRPr="007D796A" w:rsidRDefault="007D796A" w:rsidP="007D796A">
      <w:pPr>
        <w:spacing w:after="33" w:line="259" w:lineRule="auto"/>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0"/>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59B21CE2" w14:textId="77777777" w:rsidR="007D796A" w:rsidRPr="007D796A" w:rsidRDefault="007D796A" w:rsidP="002A2322">
      <w:pPr>
        <w:numPr>
          <w:ilvl w:val="0"/>
          <w:numId w:val="4"/>
        </w:numPr>
        <w:spacing w:after="4" w:line="253"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Un miembro del personal / titular de un APS puede, de manera excepcional, solicitar un anticipo de sueldo para gastos médicos importantes e imprevistos incurridos por él o un </w:t>
      </w:r>
      <w:r w:rsidRPr="007D796A">
        <w:rPr>
          <w:rFonts w:ascii="Calibri" w:eastAsia="Calibri" w:hAnsi="Calibri" w:cs="Calibri"/>
          <w:color w:val="000000"/>
          <w:kern w:val="0"/>
          <w:sz w:val="22"/>
          <w:szCs w:val="22"/>
          <w:lang w:val="es-ES" w:eastAsia="en-GB"/>
          <w14:ligatures w14:val="none"/>
        </w:rPr>
        <w:lastRenderedPageBreak/>
        <w:t xml:space="preserve">dependiente reconocido por el PNUD. La solicitud de tales anticipos sólo se considerará si (i) el miembro del personal / titular de PSA, incluyendo el dependiente nombrado, están inscritos en un plan médico oficial de la ONU, (ii) la facturación directa / facilidad de pago no está disponible entre el proveedor de salud y la compañía de seguros y (iii) las facturas deben ser pagadas antes de recibir el pago del seguro.  </w:t>
      </w:r>
    </w:p>
    <w:p w14:paraId="210AF03B" w14:textId="77777777" w:rsidR="007D796A" w:rsidRPr="007D796A" w:rsidRDefault="007D796A" w:rsidP="002A2322">
      <w:pPr>
        <w:spacing w:after="4" w:line="253" w:lineRule="auto"/>
        <w:ind w:left="720" w:hanging="360"/>
        <w:jc w:val="both"/>
        <w:rPr>
          <w:rFonts w:ascii="Calibri" w:eastAsia="Calibri" w:hAnsi="Calibri" w:cs="Calibri"/>
          <w:color w:val="000000"/>
          <w:kern w:val="0"/>
          <w:sz w:val="22"/>
          <w:szCs w:val="22"/>
          <w:lang w:val="es-ES" w:eastAsia="en-GB"/>
          <w14:ligatures w14:val="none"/>
        </w:rPr>
      </w:pPr>
    </w:p>
    <w:p w14:paraId="3BAED104" w14:textId="77777777" w:rsidR="007D796A" w:rsidRPr="007D796A" w:rsidRDefault="007D796A" w:rsidP="002A2322">
      <w:pPr>
        <w:numPr>
          <w:ilvl w:val="0"/>
          <w:numId w:val="4"/>
        </w:numPr>
        <w:spacing w:after="4" w:line="253"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 Se espera que la mayoría de los gastos médicos estén cubiertos por un plan de seguro médico de la ONU. Sin embargo, si un miembro del personal / titular de un APS o un dependiente reconocido por el PNUD, incurre en gastos médicos importantes que están más allá de los límites del plan de seguro médico y se enfrenta a dificultades financieras indebidas, se puede considerar un anticipo de sueldo en virtud de las disposiciones relativas a los anticipos de sueldo de emergencia personal.</w:t>
      </w:r>
    </w:p>
    <w:p w14:paraId="3C95482A" w14:textId="77777777" w:rsidR="007D796A" w:rsidRPr="007D796A" w:rsidRDefault="007D796A" w:rsidP="002A2322">
      <w:pPr>
        <w:spacing w:after="4" w:line="253" w:lineRule="auto"/>
        <w:ind w:left="720" w:hanging="360"/>
        <w:contextualSpacing/>
        <w:jc w:val="both"/>
        <w:rPr>
          <w:rFonts w:ascii="Calibri" w:eastAsia="Calibri" w:hAnsi="Calibri" w:cs="Calibri"/>
          <w:color w:val="000000"/>
          <w:kern w:val="0"/>
          <w:sz w:val="22"/>
          <w:szCs w:val="22"/>
          <w:lang w:val="es-ES" w:eastAsia="en-GB"/>
          <w14:ligatures w14:val="none"/>
        </w:rPr>
      </w:pPr>
    </w:p>
    <w:p w14:paraId="45FE5890" w14:textId="77777777" w:rsidR="007D796A" w:rsidRPr="007D796A" w:rsidRDefault="007D796A" w:rsidP="002A2322">
      <w:pPr>
        <w:numPr>
          <w:ilvl w:val="0"/>
          <w:numId w:val="4"/>
        </w:numPr>
        <w:spacing w:after="4" w:line="253"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El anticipo no puede superar el menor de los siguientes importes: (i) dos meses de salario neto, (ii) el importe máximo reembolsable en virtud del régimen de seguro médico aplicable o (iii) el importe de la factura del hospital. Los anticipos para gastos médicos pueden concederse simultáneamente con un anticipo salarial existente.</w:t>
      </w:r>
    </w:p>
    <w:p w14:paraId="499855F7" w14:textId="77777777" w:rsidR="007D796A" w:rsidRPr="007D796A" w:rsidRDefault="007D796A" w:rsidP="002A2322">
      <w:pPr>
        <w:spacing w:after="4" w:line="253" w:lineRule="auto"/>
        <w:ind w:left="720" w:hanging="360"/>
        <w:jc w:val="both"/>
        <w:rPr>
          <w:rFonts w:ascii="Calibri" w:eastAsia="Calibri" w:hAnsi="Calibri" w:cs="Calibri"/>
          <w:color w:val="000000"/>
          <w:kern w:val="0"/>
          <w:sz w:val="22"/>
          <w:szCs w:val="22"/>
          <w:lang w:val="es-ES" w:eastAsia="en-GB"/>
          <w14:ligatures w14:val="none"/>
        </w:rPr>
      </w:pPr>
    </w:p>
    <w:p w14:paraId="7426D3C5" w14:textId="77777777" w:rsidR="007D796A" w:rsidRPr="007D796A" w:rsidRDefault="007D796A" w:rsidP="002A2322">
      <w:pPr>
        <w:numPr>
          <w:ilvl w:val="0"/>
          <w:numId w:val="4"/>
        </w:numPr>
        <w:spacing w:after="4" w:line="253"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 El anticipo para gastos médicos debe restituirse a través del régimen de seguro de salude aplicable o por el miembro del personal / titular del APS en un plazo de cuatro meses a partir de la concesión del anticipo.</w:t>
      </w:r>
    </w:p>
    <w:p w14:paraId="1097341D" w14:textId="77777777" w:rsidR="007D796A" w:rsidRPr="007D796A" w:rsidRDefault="007D796A" w:rsidP="007D796A">
      <w:pPr>
        <w:spacing w:after="50" w:line="259" w:lineRule="auto"/>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0"/>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r w:rsidRPr="007D796A">
        <w:rPr>
          <w:rFonts w:ascii="Calibri" w:eastAsia="Calibri" w:hAnsi="Calibri" w:cs="Calibri"/>
          <w:b/>
          <w:color w:val="333333"/>
          <w:kern w:val="0"/>
          <w:sz w:val="22"/>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13B706A4" w14:textId="77777777" w:rsidR="007D796A" w:rsidRPr="007D796A" w:rsidRDefault="007D796A" w:rsidP="007D796A">
      <w:pPr>
        <w:keepNext/>
        <w:keepLines/>
        <w:spacing w:after="3" w:line="259" w:lineRule="auto"/>
        <w:ind w:left="408" w:hanging="10"/>
        <w:outlineLvl w:val="0"/>
        <w:rPr>
          <w:rFonts w:ascii="Calibri" w:eastAsia="Calibri" w:hAnsi="Calibri" w:cs="Calibri"/>
          <w:b/>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Anticipos para pago anticipado de alquiler  </w:t>
      </w:r>
    </w:p>
    <w:p w14:paraId="6F868DB4" w14:textId="77777777" w:rsidR="007D796A" w:rsidRPr="007D796A" w:rsidRDefault="007D796A" w:rsidP="007D796A">
      <w:pPr>
        <w:spacing w:after="14" w:line="259" w:lineRule="auto"/>
        <w:ind w:left="427"/>
        <w:rPr>
          <w:rFonts w:ascii="Calibri" w:eastAsia="Calibri" w:hAnsi="Calibri" w:cs="Calibri"/>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17F72136" w14:textId="77777777" w:rsidR="007D796A" w:rsidRPr="007D796A" w:rsidRDefault="007D796A" w:rsidP="002A2322">
      <w:pPr>
        <w:numPr>
          <w:ilvl w:val="0"/>
          <w:numId w:val="4"/>
        </w:numPr>
        <w:spacing w:after="14" w:line="259"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A los funcionarios contratados internacionalmente se les puede conceder un anticipo de alquiler cuando normalmente deban pagarse por adelantado tres o más meses de alquiler para garantizar el alojamiento según lo estipulado en el contrato de arrendamiento. La solicitud de anticipo debe especificar el importe del alquiler, el número de meses por los que el contrato de arrendamiento indica que debe pagarse por adelantado, el importe y la moneda del anticipo solicitado.</w:t>
      </w:r>
    </w:p>
    <w:p w14:paraId="7EC1E0F7" w14:textId="77777777" w:rsidR="007D796A" w:rsidRPr="007D796A" w:rsidRDefault="007D796A" w:rsidP="002A2322">
      <w:pPr>
        <w:spacing w:after="14" w:line="259" w:lineRule="auto"/>
        <w:ind w:left="720" w:hanging="360"/>
        <w:rPr>
          <w:rFonts w:ascii="Calibri" w:eastAsia="Calibri" w:hAnsi="Calibri" w:cs="Calibri"/>
          <w:color w:val="000000"/>
          <w:kern w:val="0"/>
          <w:sz w:val="22"/>
          <w:szCs w:val="22"/>
          <w:lang w:val="es-ES" w:eastAsia="en-GB"/>
          <w14:ligatures w14:val="none"/>
        </w:rPr>
      </w:pPr>
    </w:p>
    <w:p w14:paraId="6EE06774" w14:textId="77777777" w:rsidR="007D796A" w:rsidRPr="007D796A" w:rsidRDefault="007D796A" w:rsidP="002A2322">
      <w:pPr>
        <w:numPr>
          <w:ilvl w:val="0"/>
          <w:numId w:val="4"/>
        </w:numPr>
        <w:spacing w:after="14" w:line="259"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El número de meses de adelanto debe ajustarse a la práctica habitual para las propiedades de alquiler en el lugar de destino, según lo confirmado por el Jefe de la Oficina.</w:t>
      </w:r>
    </w:p>
    <w:p w14:paraId="31EDB392" w14:textId="77777777" w:rsidR="007D796A" w:rsidRPr="007D796A" w:rsidRDefault="007D796A" w:rsidP="002A2322">
      <w:pPr>
        <w:spacing w:after="4" w:line="253" w:lineRule="auto"/>
        <w:ind w:left="720" w:hanging="360"/>
        <w:contextualSpacing/>
        <w:jc w:val="both"/>
        <w:rPr>
          <w:rFonts w:ascii="Calibri" w:eastAsia="Calibri" w:hAnsi="Calibri" w:cs="Calibri"/>
          <w:color w:val="000000"/>
          <w:kern w:val="0"/>
          <w:sz w:val="22"/>
          <w:szCs w:val="22"/>
          <w:lang w:val="es-ES" w:eastAsia="en-GB"/>
          <w14:ligatures w14:val="none"/>
        </w:rPr>
      </w:pPr>
    </w:p>
    <w:p w14:paraId="070EA735" w14:textId="77777777" w:rsidR="007D796A" w:rsidRPr="007D796A" w:rsidRDefault="007D796A" w:rsidP="002A2322">
      <w:pPr>
        <w:numPr>
          <w:ilvl w:val="0"/>
          <w:numId w:val="4"/>
        </w:numPr>
        <w:spacing w:after="14" w:line="259"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El importe del anticipo sólo cubre el alquiler; no cubre los depósitos de seguridad (que generalmente se devuelven al inquilino al final del contrato), los honorarios de los agentes ni los gastos recurrentes como la electricidad, el agua u otros servicios públicos cuando éstos se pagan aparte del alquiler.</w:t>
      </w:r>
    </w:p>
    <w:p w14:paraId="58315473" w14:textId="77777777" w:rsidR="007D796A" w:rsidRPr="007D796A" w:rsidRDefault="007D796A" w:rsidP="002A2322">
      <w:pPr>
        <w:spacing w:after="4" w:line="253" w:lineRule="auto"/>
        <w:ind w:left="720" w:hanging="360"/>
        <w:contextualSpacing/>
        <w:jc w:val="both"/>
        <w:rPr>
          <w:rFonts w:ascii="Calibri" w:eastAsia="Calibri" w:hAnsi="Calibri" w:cs="Calibri"/>
          <w:color w:val="000000"/>
          <w:kern w:val="0"/>
          <w:sz w:val="22"/>
          <w:szCs w:val="22"/>
          <w:lang w:val="es-ES" w:eastAsia="en-GB"/>
          <w14:ligatures w14:val="none"/>
        </w:rPr>
      </w:pPr>
    </w:p>
    <w:p w14:paraId="7781A274" w14:textId="77777777" w:rsidR="007D796A" w:rsidRPr="007D796A" w:rsidRDefault="007D796A" w:rsidP="002A2322">
      <w:pPr>
        <w:numPr>
          <w:ilvl w:val="0"/>
          <w:numId w:val="4"/>
        </w:numPr>
        <w:spacing w:after="33" w:line="256"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El importe del anticipo se recuperará dentro del plazo del contrato de arrendamiento para el que se solicitó el anticipo o dentro del periodo de contrato en curso del funcionario, lo que ocurra primero.</w:t>
      </w:r>
    </w:p>
    <w:p w14:paraId="434244CF" w14:textId="77777777" w:rsidR="007D796A" w:rsidRPr="007D796A" w:rsidRDefault="007D796A" w:rsidP="002A2322">
      <w:pPr>
        <w:spacing w:after="4" w:line="253" w:lineRule="auto"/>
        <w:ind w:left="720" w:hanging="360"/>
        <w:contextualSpacing/>
        <w:jc w:val="both"/>
        <w:rPr>
          <w:rFonts w:ascii="Calibri" w:eastAsia="Calibri" w:hAnsi="Calibri" w:cs="Calibri"/>
          <w:color w:val="000000"/>
          <w:kern w:val="0"/>
          <w:sz w:val="22"/>
          <w:szCs w:val="22"/>
          <w:lang w:val="es-ES" w:eastAsia="en-GB"/>
          <w14:ligatures w14:val="none"/>
        </w:rPr>
      </w:pPr>
    </w:p>
    <w:p w14:paraId="60569F06" w14:textId="77777777" w:rsidR="007D796A" w:rsidRPr="007D796A" w:rsidRDefault="007D796A" w:rsidP="002A2322">
      <w:pPr>
        <w:numPr>
          <w:ilvl w:val="0"/>
          <w:numId w:val="4"/>
        </w:numPr>
        <w:spacing w:after="14" w:line="259"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lastRenderedPageBreak/>
        <w:t xml:space="preserve">No se autorizan anticipos para el pago anticipado de alquileres a los funcionarios destinados en lugares de destino del Grupo I en virtud </w:t>
      </w:r>
      <w:hyperlink r:id="rId7" w:history="1">
        <w:r w:rsidRPr="007D796A">
          <w:rPr>
            <w:rFonts w:ascii="Calibri" w:eastAsia="Calibri" w:hAnsi="Calibri" w:cs="Calibri"/>
            <w:color w:val="954F72"/>
            <w:kern w:val="0"/>
            <w:sz w:val="22"/>
            <w:szCs w:val="22"/>
            <w:u w:val="single"/>
            <w:lang w:val="es-ES" w:eastAsia="en-GB"/>
            <w14:ligatures w14:val="none"/>
          </w:rPr>
          <w:t>del sistema de reajuste de puestos</w:t>
        </w:r>
      </w:hyperlink>
      <w:r w:rsidRPr="007D796A">
        <w:rPr>
          <w:rFonts w:ascii="Calibri" w:eastAsia="Calibri" w:hAnsi="Calibri" w:cs="Calibri"/>
          <w:color w:val="954F72"/>
          <w:kern w:val="0"/>
          <w:sz w:val="22"/>
          <w:szCs w:val="22"/>
          <w:u w:val="single"/>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(en inglés).  </w:t>
      </w:r>
    </w:p>
    <w:p w14:paraId="761FA39C" w14:textId="77777777" w:rsidR="007D796A" w:rsidRPr="007D796A" w:rsidRDefault="007D796A" w:rsidP="007D796A">
      <w:pPr>
        <w:spacing w:after="0" w:line="259" w:lineRule="auto"/>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  </w:t>
      </w:r>
    </w:p>
    <w:p w14:paraId="36D4903B" w14:textId="77777777" w:rsidR="007D796A" w:rsidRPr="007D796A" w:rsidRDefault="007D796A" w:rsidP="007D796A">
      <w:pPr>
        <w:keepNext/>
        <w:keepLines/>
        <w:spacing w:after="3" w:line="259" w:lineRule="auto"/>
        <w:ind w:left="408" w:hanging="10"/>
        <w:outlineLvl w:val="0"/>
        <w:rPr>
          <w:rFonts w:ascii="Calibri" w:eastAsia="Calibri" w:hAnsi="Calibri" w:cs="Calibri"/>
          <w:b/>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Anticipos para compra de un vehículo particular  </w:t>
      </w:r>
    </w:p>
    <w:p w14:paraId="13AE0B51" w14:textId="77777777" w:rsidR="007D796A" w:rsidRPr="007D796A" w:rsidRDefault="007D796A" w:rsidP="002A2322">
      <w:pPr>
        <w:numPr>
          <w:ilvl w:val="0"/>
          <w:numId w:val="4"/>
        </w:numPr>
        <w:spacing w:after="4" w:line="253"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Los miembros del personal contratados internacionalmente entre las categorías P-1 a P-4 pueden recibir un anticipo de sueldo para la compra de un automóvil particular de hasta USD 7500.00 o el equivalente en moneda local al tipo de cambio operacional de las Naciones Unidas (UNORE, </w:t>
      </w:r>
      <w:r w:rsidRPr="007D796A">
        <w:rPr>
          <w:rFonts w:ascii="Calibri" w:eastAsia="Calibri" w:hAnsi="Calibri" w:cs="Calibri"/>
          <w:i/>
          <w:color w:val="000000"/>
          <w:kern w:val="0"/>
          <w:sz w:val="22"/>
          <w:szCs w:val="22"/>
          <w:lang w:val="es-ES" w:eastAsia="en-GB"/>
          <w14:ligatures w14:val="none"/>
        </w:rPr>
        <w:t xml:space="preserve">United Nations Operational Rate of </w:t>
      </w:r>
      <w:hyperlink r:id="rId8">
        <w:r w:rsidRPr="007D796A">
          <w:rPr>
            <w:rFonts w:ascii="Calibri" w:eastAsia="Calibri" w:hAnsi="Calibri" w:cs="Calibri"/>
            <w:i/>
            <w:color w:val="000000"/>
            <w:kern w:val="0"/>
            <w:sz w:val="22"/>
            <w:szCs w:val="22"/>
            <w:lang w:val="es-ES" w:eastAsia="en-GB"/>
            <w14:ligatures w14:val="none"/>
          </w:rPr>
          <w:t>Exchang</w:t>
        </w:r>
      </w:hyperlink>
      <w:hyperlink r:id="rId9">
        <w:r w:rsidRPr="007D796A">
          <w:rPr>
            <w:rFonts w:ascii="Calibri" w:eastAsia="Calibri" w:hAnsi="Calibri" w:cs="Calibri"/>
            <w:i/>
            <w:color w:val="000000"/>
            <w:kern w:val="0"/>
            <w:sz w:val="22"/>
            <w:szCs w:val="22"/>
            <w:lang w:val="es-ES" w:eastAsia="en-GB"/>
            <w14:ligatures w14:val="none"/>
          </w:rPr>
          <w:t>e</w:t>
        </w:r>
        <w:r w:rsidRPr="007D796A">
          <w:rPr>
            <w:rFonts w:ascii="Calibri" w:eastAsia="Calibri" w:hAnsi="Calibri" w:cs="Calibri"/>
            <w:color w:val="000000"/>
            <w:kern w:val="0"/>
            <w:sz w:val="22"/>
            <w:szCs w:val="22"/>
            <w:lang w:val="es-ES" w:eastAsia="en-GB"/>
            <w14:ligatures w14:val="none"/>
          </w:rPr>
          <w:t>,</w:t>
        </w:r>
      </w:hyperlink>
      <w:hyperlink r:id="rId10">
        <w:r w:rsidRPr="007D796A">
          <w:rPr>
            <w:rFonts w:ascii="Calibri" w:eastAsia="Calibri" w:hAnsi="Calibri" w:cs="Calibri"/>
            <w:color w:val="000000"/>
            <w:kern w:val="0"/>
            <w:sz w:val="22"/>
            <w:szCs w:val="22"/>
            <w:lang w:val="es-ES" w:eastAsia="en-GB"/>
            <w14:ligatures w14:val="none"/>
          </w:rPr>
          <w:t xml:space="preserve"> </w:t>
        </w:r>
      </w:hyperlink>
      <w:r w:rsidRPr="007D796A">
        <w:rPr>
          <w:rFonts w:ascii="Calibri" w:eastAsia="Calibri" w:hAnsi="Calibri" w:cs="Calibri"/>
          <w:color w:val="000000"/>
          <w:kern w:val="0"/>
          <w:sz w:val="22"/>
          <w:szCs w:val="22"/>
          <w:lang w:val="es-ES" w:eastAsia="en-GB"/>
          <w14:ligatures w14:val="none"/>
        </w:rPr>
        <w:t xml:space="preserve"> </w:t>
      </w:r>
      <w:hyperlink r:id="rId11" w:history="1">
        <w:r w:rsidRPr="007D796A">
          <w:rPr>
            <w:rFonts w:ascii="Calibri" w:eastAsia="Calibri" w:hAnsi="Calibri" w:cs="Calibri"/>
            <w:color w:val="0563C1"/>
            <w:kern w:val="0"/>
            <w:sz w:val="22"/>
            <w:szCs w:val="22"/>
            <w:u w:val="single"/>
            <w:lang w:val="es-ES" w:eastAsia="en-GB"/>
            <w14:ligatures w14:val="none"/>
          </w:rPr>
          <w:t>https://treasury.un.org/operationalrates/OperationalRates.php</w:t>
        </w:r>
      </w:hyperlink>
      <w:r w:rsidRPr="007D796A">
        <w:rPr>
          <w:rFonts w:ascii="Calibri" w:eastAsia="Calibri" w:hAnsi="Calibri" w:cs="Calibri"/>
          <w:color w:val="000000"/>
          <w:kern w:val="0"/>
          <w:sz w:val="22"/>
          <w:szCs w:val="22"/>
          <w:lang w:val="es-ES" w:eastAsia="en-GB"/>
          <w14:ligatures w14:val="none"/>
        </w:rPr>
        <w:t xml:space="preserve">, por sus siglas en inglés).  </w:t>
      </w:r>
    </w:p>
    <w:p w14:paraId="16F4DAC6" w14:textId="77777777" w:rsidR="007D796A" w:rsidRPr="007D796A" w:rsidRDefault="007D796A" w:rsidP="002A2322">
      <w:pPr>
        <w:spacing w:after="4" w:line="253" w:lineRule="auto"/>
        <w:ind w:left="720" w:hanging="360"/>
        <w:contextualSpacing/>
        <w:jc w:val="both"/>
        <w:rPr>
          <w:rFonts w:ascii="Calibri" w:eastAsia="Calibri" w:hAnsi="Calibri" w:cs="Calibri"/>
          <w:color w:val="000000"/>
          <w:kern w:val="0"/>
          <w:sz w:val="22"/>
          <w:szCs w:val="22"/>
          <w:lang w:val="es-ES" w:eastAsia="en-GB"/>
          <w14:ligatures w14:val="none"/>
        </w:rPr>
      </w:pPr>
    </w:p>
    <w:p w14:paraId="4A79A82F" w14:textId="77777777" w:rsidR="007D796A" w:rsidRPr="007D796A" w:rsidRDefault="007D796A" w:rsidP="002A2322">
      <w:pPr>
        <w:numPr>
          <w:ilvl w:val="0"/>
          <w:numId w:val="4"/>
        </w:numPr>
        <w:spacing w:after="14" w:line="259"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Las solicitudes de anticipo con este fin se considerarán, por una sola vez, dentro de los seis meses siguientes al nombramiento inicial o a la reasignación. El Jefe de la Oficina deberá certificar que el vehículo es necesario en relación con la misión del miembro del personal.</w:t>
      </w:r>
    </w:p>
    <w:p w14:paraId="3835ED24" w14:textId="77777777" w:rsidR="007D796A" w:rsidRPr="007D796A" w:rsidRDefault="007D796A" w:rsidP="002A2322">
      <w:pPr>
        <w:spacing w:after="28" w:line="259" w:lineRule="auto"/>
        <w:ind w:left="720" w:hanging="360"/>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  </w:t>
      </w:r>
    </w:p>
    <w:p w14:paraId="07D73E4C" w14:textId="77777777" w:rsidR="007D796A" w:rsidRPr="007D796A" w:rsidRDefault="007D796A" w:rsidP="002A2322">
      <w:pPr>
        <w:numPr>
          <w:ilvl w:val="0"/>
          <w:numId w:val="4"/>
        </w:numPr>
        <w:spacing w:after="4" w:line="253" w:lineRule="auto"/>
        <w:ind w:left="720" w:hanging="36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La solicitud de anticipo debe especificar el monto, la moneda y dónde se pagará el anticipo. Los anticipos para la compra de un vehículo particular se otorgan con la presunción de que el miembro del personal pretende mantener su vehículo durante al menos dos años o durante la duración de su asignación, lo que sea más corto.  </w:t>
      </w:r>
    </w:p>
    <w:p w14:paraId="677D9045" w14:textId="77777777" w:rsidR="007D796A" w:rsidRPr="007D796A" w:rsidRDefault="007D796A" w:rsidP="002A2322">
      <w:pPr>
        <w:spacing w:after="0" w:line="259" w:lineRule="auto"/>
        <w:ind w:left="720" w:hanging="360"/>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  </w:t>
      </w:r>
    </w:p>
    <w:p w14:paraId="57149CC7" w14:textId="77777777" w:rsidR="007D796A" w:rsidRPr="007D796A" w:rsidRDefault="007D796A" w:rsidP="002A2322">
      <w:pPr>
        <w:numPr>
          <w:ilvl w:val="0"/>
          <w:numId w:val="4"/>
        </w:numPr>
        <w:spacing w:after="4" w:line="253"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Los anticipos para la compra de un vehículo particular no se autorizan a miembros del personal asignados a lugares de destino del grupo 1, dentro del </w:t>
      </w:r>
      <w:hyperlink r:id="rId12">
        <w:r w:rsidRPr="007D796A">
          <w:rPr>
            <w:rFonts w:ascii="Calibri" w:eastAsia="Calibri" w:hAnsi="Calibri" w:cs="Calibri"/>
            <w:color w:val="954F72"/>
            <w:kern w:val="0"/>
            <w:sz w:val="22"/>
            <w:szCs w:val="22"/>
            <w:u w:val="single" w:color="954F72"/>
            <w:lang w:val="es-ES" w:eastAsia="en-GB"/>
            <w14:ligatures w14:val="none"/>
          </w:rPr>
          <w:t>sistema de ajustes por lugar de destino</w:t>
        </w:r>
      </w:hyperlink>
      <w:r w:rsidRPr="007D796A">
        <w:rPr>
          <w:rFonts w:ascii="Calibri" w:eastAsia="Calibri" w:hAnsi="Calibri" w:cs="Calibri"/>
          <w:color w:val="000000"/>
          <w:kern w:val="0"/>
          <w:sz w:val="22"/>
          <w:szCs w:val="22"/>
          <w:lang w:val="es-ES" w:eastAsia="en-GB"/>
          <w14:ligatures w14:val="none"/>
        </w:rPr>
        <w:t xml:space="preserve"> (en inglés).  </w:t>
      </w:r>
    </w:p>
    <w:p w14:paraId="4CCF65D8" w14:textId="77777777" w:rsidR="007D796A" w:rsidRPr="007D796A" w:rsidRDefault="007D796A" w:rsidP="002A2322">
      <w:pPr>
        <w:spacing w:after="14" w:line="259" w:lineRule="auto"/>
        <w:ind w:left="720" w:hanging="360"/>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  </w:t>
      </w:r>
    </w:p>
    <w:p w14:paraId="4B82EA5B" w14:textId="77777777" w:rsidR="007D796A" w:rsidRPr="007D796A" w:rsidRDefault="007D796A" w:rsidP="002A2322">
      <w:pPr>
        <w:numPr>
          <w:ilvl w:val="0"/>
          <w:numId w:val="4"/>
        </w:numPr>
        <w:spacing w:after="4" w:line="253" w:lineRule="auto"/>
        <w:ind w:left="720" w:hanging="36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Los miembros del personal con nombramientos temporales no son elegibles para este tipo de anticipo.</w:t>
      </w:r>
      <w:r w:rsidRPr="007D796A">
        <w:rPr>
          <w:rFonts w:ascii="Calibri" w:eastAsia="Calibri" w:hAnsi="Calibri" w:cs="Calibri"/>
          <w:b/>
          <w:color w:val="000000"/>
          <w:kern w:val="0"/>
          <w:sz w:val="22"/>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p>
    <w:p w14:paraId="78658B8F" w14:textId="77777777" w:rsidR="007D796A" w:rsidRPr="007D796A" w:rsidRDefault="007D796A" w:rsidP="007D796A">
      <w:pPr>
        <w:spacing w:after="0" w:line="259" w:lineRule="auto"/>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  </w:t>
      </w:r>
    </w:p>
    <w:p w14:paraId="6AA7D95E" w14:textId="77777777" w:rsidR="007D796A" w:rsidRPr="007D796A" w:rsidRDefault="007D796A" w:rsidP="007D796A">
      <w:pPr>
        <w:keepNext/>
        <w:keepLines/>
        <w:spacing w:after="3" w:line="259" w:lineRule="auto"/>
        <w:ind w:left="408" w:hanging="10"/>
        <w:outlineLvl w:val="0"/>
        <w:rPr>
          <w:rFonts w:ascii="Calibri" w:eastAsia="Calibri" w:hAnsi="Calibri" w:cs="Calibri"/>
          <w:b/>
          <w:color w:val="000000"/>
          <w:kern w:val="0"/>
          <w:sz w:val="22"/>
          <w:szCs w:val="22"/>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Anticipos de emergencia  </w:t>
      </w:r>
    </w:p>
    <w:p w14:paraId="444AE50F" w14:textId="77777777" w:rsidR="007D796A" w:rsidRPr="007D796A" w:rsidRDefault="007D796A" w:rsidP="007D796A">
      <w:pPr>
        <w:spacing w:after="4" w:line="253" w:lineRule="auto"/>
        <w:ind w:left="512" w:hanging="242"/>
        <w:jc w:val="both"/>
        <w:rPr>
          <w:rFonts w:ascii="Calibri" w:eastAsia="Calibri" w:hAnsi="Calibri" w:cs="Calibri"/>
          <w:bCs/>
          <w:i/>
          <w:iCs/>
          <w:color w:val="000000"/>
          <w:kern w:val="0"/>
          <w:sz w:val="22"/>
          <w:szCs w:val="22"/>
          <w:u w:val="single"/>
          <w:lang w:val="es-ES" w:eastAsia="en-GB"/>
          <w14:ligatures w14:val="none"/>
        </w:rPr>
      </w:pPr>
      <w:r w:rsidRPr="007D796A">
        <w:rPr>
          <w:rFonts w:ascii="Calibri" w:eastAsia="Calibri" w:hAnsi="Calibri" w:cs="Calibri"/>
          <w:b/>
          <w:color w:val="000000"/>
          <w:kern w:val="0"/>
          <w:sz w:val="22"/>
          <w:szCs w:val="22"/>
          <w:lang w:val="es-ES" w:eastAsia="en-GB"/>
          <w14:ligatures w14:val="none"/>
        </w:rPr>
        <w:t xml:space="preserve"> </w:t>
      </w:r>
      <w:r w:rsidRPr="007D796A">
        <w:rPr>
          <w:rFonts w:ascii="Calibri" w:eastAsia="Calibri" w:hAnsi="Calibri" w:cs="Calibri"/>
          <w:color w:val="000000"/>
          <w:kern w:val="0"/>
          <w:sz w:val="22"/>
          <w:szCs w:val="22"/>
          <w:lang w:val="es-ES" w:eastAsia="en-GB"/>
          <w14:ligatures w14:val="none"/>
        </w:rPr>
        <w:t xml:space="preserve"> </w:t>
      </w:r>
      <w:r w:rsidRPr="007D796A">
        <w:rPr>
          <w:rFonts w:ascii="Calibri" w:eastAsia="Calibri" w:hAnsi="Calibri" w:cs="Calibri"/>
          <w:bCs/>
          <w:i/>
          <w:iCs/>
          <w:color w:val="000000"/>
          <w:kern w:val="0"/>
          <w:sz w:val="22"/>
          <w:szCs w:val="22"/>
          <w:u w:val="single"/>
          <w:lang w:val="es-ES" w:eastAsia="en-GB"/>
          <w14:ligatures w14:val="none"/>
        </w:rPr>
        <w:t>Anticipos de emergencia masivos a grupos de funcionarios</w:t>
      </w:r>
    </w:p>
    <w:p w14:paraId="0842383C" w14:textId="77777777" w:rsidR="007D796A" w:rsidRPr="007D796A" w:rsidRDefault="007D796A" w:rsidP="007D796A">
      <w:pPr>
        <w:spacing w:after="4" w:line="253" w:lineRule="auto"/>
        <w:ind w:left="512" w:hanging="370"/>
        <w:jc w:val="both"/>
        <w:rPr>
          <w:rFonts w:ascii="Calibri" w:eastAsia="Calibri" w:hAnsi="Calibri" w:cs="Calibri"/>
          <w:bCs/>
          <w:i/>
          <w:iCs/>
          <w:color w:val="000000"/>
          <w:kern w:val="0"/>
          <w:sz w:val="22"/>
          <w:szCs w:val="22"/>
          <w:u w:val="single"/>
          <w:lang w:val="es-ES" w:eastAsia="en-GB"/>
          <w14:ligatures w14:val="none"/>
        </w:rPr>
      </w:pPr>
    </w:p>
    <w:p w14:paraId="6F7409B8" w14:textId="77777777" w:rsidR="007D796A" w:rsidRPr="007D796A" w:rsidRDefault="007D796A" w:rsidP="002A2322">
      <w:pPr>
        <w:numPr>
          <w:ilvl w:val="0"/>
          <w:numId w:val="4"/>
        </w:numPr>
        <w:spacing w:after="14" w:line="259"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El Administrador Adjunto y el Director de los Servicios de Administración de Edificios podrán aprobar, con carácter excepcional, anticipos salariales a grupos de miembros del personal / titulares de APS, en situaciones de emergencia </w:t>
      </w:r>
      <w:r w:rsidRPr="007D796A">
        <w:rPr>
          <w:rFonts w:ascii="Calibri" w:eastAsia="Calibri" w:hAnsi="Calibri" w:cs="Calibri"/>
          <w:bCs/>
          <w:color w:val="000000"/>
          <w:kern w:val="0"/>
          <w:sz w:val="22"/>
          <w:szCs w:val="22"/>
          <w:lang w:val="es-ES" w:eastAsia="en-GB"/>
          <w14:ligatures w14:val="none"/>
        </w:rPr>
        <w:t xml:space="preserve">específicas, de </w:t>
      </w:r>
      <w:r w:rsidRPr="007D796A">
        <w:rPr>
          <w:rFonts w:ascii="Calibri" w:eastAsia="Calibri" w:hAnsi="Calibri" w:cs="Calibri"/>
          <w:color w:val="000000"/>
          <w:kern w:val="0"/>
          <w:sz w:val="22"/>
          <w:szCs w:val="22"/>
          <w:lang w:val="es-ES" w:eastAsia="en-GB"/>
          <w14:ligatures w14:val="none"/>
        </w:rPr>
        <w:t>conformidad con las condiciones y procedimientos especificados en el momento de la aprobación.</w:t>
      </w:r>
    </w:p>
    <w:p w14:paraId="51A5D353" w14:textId="77777777" w:rsidR="007D796A" w:rsidRPr="007D796A" w:rsidRDefault="007D796A" w:rsidP="002A2322">
      <w:pPr>
        <w:spacing w:after="14" w:line="259" w:lineRule="auto"/>
        <w:ind w:left="720" w:hanging="360"/>
        <w:rPr>
          <w:rFonts w:ascii="Calibri" w:eastAsia="Calibri" w:hAnsi="Calibri" w:cs="Calibri"/>
          <w:color w:val="000000"/>
          <w:kern w:val="0"/>
          <w:sz w:val="22"/>
          <w:szCs w:val="22"/>
          <w:lang w:val="es-ES" w:eastAsia="en-GB"/>
          <w14:ligatures w14:val="none"/>
        </w:rPr>
      </w:pPr>
    </w:p>
    <w:p w14:paraId="08918440" w14:textId="582C890A" w:rsidR="007D796A" w:rsidRPr="007D796A" w:rsidRDefault="007D796A" w:rsidP="002A2322">
      <w:pPr>
        <w:numPr>
          <w:ilvl w:val="0"/>
          <w:numId w:val="4"/>
        </w:numPr>
        <w:spacing w:after="33" w:line="256"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bCs/>
          <w:color w:val="000000"/>
          <w:kern w:val="0"/>
          <w:sz w:val="22"/>
          <w:szCs w:val="22"/>
          <w:lang w:val="es-ES" w:eastAsia="en-GB"/>
          <w14:ligatures w14:val="none"/>
        </w:rPr>
        <w:t>Los anticipos de sueldo masivos que puedan proponer el Jefe de la Oficina o el Equipo de las Naciones Unidas en el país (UNCT) para responder a una situación de emergencia en un lugar de destino, deben ser aprobados por el Administrador Auxiliar y Director de los Servicios de Administración de Edificios.</w:t>
      </w:r>
    </w:p>
    <w:p w14:paraId="518B5102" w14:textId="77777777" w:rsidR="007D796A" w:rsidRPr="007D796A" w:rsidRDefault="007D796A" w:rsidP="007D796A">
      <w:pPr>
        <w:spacing w:after="33" w:line="256" w:lineRule="auto"/>
        <w:ind w:left="428"/>
        <w:jc w:val="both"/>
        <w:rPr>
          <w:rFonts w:ascii="Calibri" w:eastAsia="Calibri" w:hAnsi="Calibri" w:cs="Calibri"/>
          <w:color w:val="000000"/>
          <w:kern w:val="0"/>
          <w:sz w:val="22"/>
          <w:szCs w:val="22"/>
          <w:lang w:val="es-ES" w:eastAsia="en-GB"/>
          <w14:ligatures w14:val="none"/>
        </w:rPr>
      </w:pPr>
    </w:p>
    <w:p w14:paraId="68AF97AF" w14:textId="77777777" w:rsidR="007D796A" w:rsidRDefault="007D796A" w:rsidP="007D796A">
      <w:pPr>
        <w:spacing w:after="4" w:line="253" w:lineRule="auto"/>
        <w:ind w:left="720" w:hanging="270"/>
        <w:contextualSpacing/>
        <w:jc w:val="both"/>
        <w:rPr>
          <w:rFonts w:ascii="Calibri" w:eastAsia="Calibri" w:hAnsi="Calibri" w:cs="Calibri"/>
          <w:bCs/>
          <w:i/>
          <w:iCs/>
          <w:color w:val="000000"/>
          <w:kern w:val="0"/>
          <w:sz w:val="22"/>
          <w:szCs w:val="22"/>
          <w:u w:val="single"/>
          <w:lang w:val="es-ES" w:eastAsia="en-GB"/>
          <w14:ligatures w14:val="none"/>
        </w:rPr>
      </w:pPr>
      <w:r w:rsidRPr="007D796A">
        <w:rPr>
          <w:rFonts w:ascii="Calibri" w:eastAsia="Calibri" w:hAnsi="Calibri" w:cs="Calibri"/>
          <w:bCs/>
          <w:i/>
          <w:iCs/>
          <w:color w:val="000000"/>
          <w:kern w:val="0"/>
          <w:sz w:val="22"/>
          <w:szCs w:val="22"/>
          <w:u w:val="single"/>
          <w:lang w:val="es-ES" w:eastAsia="en-GB"/>
          <w14:ligatures w14:val="none"/>
        </w:rPr>
        <w:t>Anticipos de emergencia personal</w:t>
      </w:r>
    </w:p>
    <w:p w14:paraId="3793EF70" w14:textId="77777777" w:rsidR="007D796A" w:rsidRPr="007D796A" w:rsidRDefault="007D796A" w:rsidP="007D796A">
      <w:pPr>
        <w:spacing w:after="4" w:line="253" w:lineRule="auto"/>
        <w:ind w:left="720" w:hanging="270"/>
        <w:contextualSpacing/>
        <w:jc w:val="both"/>
        <w:rPr>
          <w:rFonts w:ascii="Calibri" w:eastAsia="Calibri" w:hAnsi="Calibri" w:cs="Calibri"/>
          <w:color w:val="000000"/>
          <w:kern w:val="0"/>
          <w:sz w:val="22"/>
          <w:szCs w:val="22"/>
          <w:lang w:val="es-ES" w:eastAsia="en-GB"/>
          <w14:ligatures w14:val="none"/>
        </w:rPr>
      </w:pPr>
    </w:p>
    <w:p w14:paraId="335B0C3C" w14:textId="77777777" w:rsidR="007D796A" w:rsidRPr="007D796A" w:rsidRDefault="007D796A" w:rsidP="002A2322">
      <w:pPr>
        <w:numPr>
          <w:ilvl w:val="0"/>
          <w:numId w:val="4"/>
        </w:numPr>
        <w:spacing w:after="33" w:line="256"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lastRenderedPageBreak/>
        <w:t>Se podrá conceder a los miembros del personal / titulares de APS un anticipo para emergencias personales de hasta dos meses de sueldo neto para hacer frente a necesidades auténticas urgentes y no recurrentes. Estas solicitudes se examinarán en función de los méritos de cada caso, incluidas las pruebas aportadas, y se concederán según el mejor criterio del Jefe o Director de la Oficina, en el caso del personal contratado localmente y de los NPSA, o del Administrador Adjunto y Director de los Servicios de Administración de Edificios, en el caso del personal contratado internacionalmente y de los IPSA.</w:t>
      </w:r>
    </w:p>
    <w:p w14:paraId="46F136B5" w14:textId="77777777" w:rsidR="007D796A" w:rsidRPr="007D796A" w:rsidRDefault="007D796A" w:rsidP="002A2322">
      <w:pPr>
        <w:spacing w:after="33" w:line="256" w:lineRule="auto"/>
        <w:ind w:left="720" w:hanging="360"/>
        <w:contextualSpacing/>
        <w:jc w:val="both"/>
        <w:rPr>
          <w:rFonts w:ascii="Calibri" w:eastAsia="Calibri" w:hAnsi="Calibri" w:cs="Calibri"/>
          <w:color w:val="000000"/>
          <w:kern w:val="0"/>
          <w:sz w:val="22"/>
          <w:szCs w:val="22"/>
          <w:lang w:val="es-ES" w:eastAsia="en-GB"/>
          <w14:ligatures w14:val="none"/>
        </w:rPr>
      </w:pPr>
    </w:p>
    <w:p w14:paraId="2ECCA096" w14:textId="77777777" w:rsidR="007D796A" w:rsidRDefault="007D796A" w:rsidP="007D796A">
      <w:pPr>
        <w:numPr>
          <w:ilvl w:val="0"/>
          <w:numId w:val="4"/>
        </w:numPr>
        <w:spacing w:after="33" w:line="256"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Las situaciones que pueden considerarse para anticipos por emergencias personales incluyen:  </w:t>
      </w:r>
    </w:p>
    <w:p w14:paraId="3196FEB9" w14:textId="77777777" w:rsidR="007D796A" w:rsidRPr="007D796A" w:rsidRDefault="007D796A" w:rsidP="002A2322">
      <w:pPr>
        <w:spacing w:after="33" w:line="256" w:lineRule="auto"/>
        <w:contextualSpacing/>
        <w:jc w:val="both"/>
        <w:rPr>
          <w:rFonts w:ascii="Calibri" w:eastAsia="Calibri" w:hAnsi="Calibri" w:cs="Calibri"/>
          <w:color w:val="000000"/>
          <w:kern w:val="0"/>
          <w:sz w:val="22"/>
          <w:szCs w:val="22"/>
          <w:lang w:val="es-ES" w:eastAsia="en-GB"/>
          <w14:ligatures w14:val="none"/>
        </w:rPr>
      </w:pPr>
    </w:p>
    <w:p w14:paraId="7B39645E" w14:textId="77777777" w:rsidR="007D796A" w:rsidRPr="007D796A" w:rsidRDefault="007D796A" w:rsidP="002A2322">
      <w:pPr>
        <w:numPr>
          <w:ilvl w:val="0"/>
          <w:numId w:val="5"/>
        </w:numPr>
        <w:tabs>
          <w:tab w:val="clear" w:pos="720"/>
          <w:tab w:val="num" w:pos="1391"/>
        </w:tabs>
        <w:spacing w:after="14" w:line="259" w:lineRule="auto"/>
        <w:ind w:left="1170" w:hanging="36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gastos importantes para reparar una residencia privada dañada por catástrofes naturales o provocadas por el hombre (por ejemplo, incendios, inundaciones, etc.). Los anticipos de este tipo pueden aprobarse a menudo en todo el lugar de destino como parte de un Anticipo de Emergencia Masivo;</w:t>
      </w:r>
    </w:p>
    <w:p w14:paraId="63CC6E18" w14:textId="77777777" w:rsidR="007D796A" w:rsidRPr="007D796A" w:rsidRDefault="007D796A" w:rsidP="002A2322">
      <w:pPr>
        <w:tabs>
          <w:tab w:val="num" w:pos="1260"/>
        </w:tabs>
        <w:spacing w:after="14" w:line="259" w:lineRule="auto"/>
        <w:ind w:left="1170" w:hanging="360"/>
        <w:jc w:val="both"/>
        <w:rPr>
          <w:rFonts w:ascii="Calibri" w:eastAsia="Calibri" w:hAnsi="Calibri" w:cs="Calibri"/>
          <w:color w:val="000000"/>
          <w:kern w:val="0"/>
          <w:sz w:val="22"/>
          <w:szCs w:val="22"/>
          <w:lang w:val="es-ES" w:eastAsia="en-GB"/>
          <w14:ligatures w14:val="none"/>
        </w:rPr>
      </w:pPr>
    </w:p>
    <w:p w14:paraId="34A889FA" w14:textId="77777777" w:rsidR="007D796A" w:rsidRPr="007D796A" w:rsidRDefault="007D796A" w:rsidP="002A2322">
      <w:pPr>
        <w:numPr>
          <w:ilvl w:val="0"/>
          <w:numId w:val="5"/>
        </w:numPr>
        <w:tabs>
          <w:tab w:val="clear" w:pos="720"/>
          <w:tab w:val="num" w:pos="1260"/>
        </w:tabs>
        <w:spacing w:after="14" w:line="259" w:lineRule="auto"/>
        <w:ind w:left="1170" w:hanging="36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gastos importantes relacionados con la adopción de medidas de seguridad (vallas, sistema de alarma, etc.) en la residencia principal de un miembro del personal/titular de un APS, previa recomendación por escrito del oficial de seguridad del PNUD o del UNDSS y presentación de una factura o presupuesto del proveedor;</w:t>
      </w:r>
    </w:p>
    <w:p w14:paraId="40C20DF1" w14:textId="77777777" w:rsidR="007D796A" w:rsidRPr="007D796A" w:rsidRDefault="007D796A" w:rsidP="002A2322">
      <w:pPr>
        <w:tabs>
          <w:tab w:val="num" w:pos="1260"/>
        </w:tabs>
        <w:spacing w:after="14" w:line="259" w:lineRule="auto"/>
        <w:ind w:left="1170" w:hanging="360"/>
        <w:jc w:val="both"/>
        <w:rPr>
          <w:rFonts w:ascii="Calibri" w:eastAsia="Calibri" w:hAnsi="Calibri" w:cs="Calibri"/>
          <w:color w:val="000000"/>
          <w:kern w:val="0"/>
          <w:sz w:val="22"/>
          <w:szCs w:val="22"/>
          <w:lang w:val="es-ES" w:eastAsia="en-GB"/>
          <w14:ligatures w14:val="none"/>
        </w:rPr>
      </w:pPr>
    </w:p>
    <w:p w14:paraId="6F9DB362" w14:textId="77777777" w:rsidR="007D796A" w:rsidRPr="007D796A" w:rsidRDefault="007D796A" w:rsidP="002A2322">
      <w:pPr>
        <w:numPr>
          <w:ilvl w:val="0"/>
          <w:numId w:val="5"/>
        </w:numPr>
        <w:tabs>
          <w:tab w:val="clear" w:pos="720"/>
          <w:tab w:val="num" w:pos="1260"/>
        </w:tabs>
        <w:spacing w:after="14" w:line="259" w:lineRule="auto"/>
        <w:ind w:left="1170" w:hanging="36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delitos que causen graves pérdidas económicas, acreditadas por un informe policial oficial o una reclamación al seguro, al funcionario y/o a la persona a su cargo reconocidos por el PNUD;</w:t>
      </w:r>
    </w:p>
    <w:p w14:paraId="0FF7B8D5" w14:textId="77777777" w:rsidR="007D796A" w:rsidRPr="007D796A" w:rsidRDefault="007D796A" w:rsidP="002A2322">
      <w:pPr>
        <w:tabs>
          <w:tab w:val="num" w:pos="1260"/>
        </w:tabs>
        <w:spacing w:after="14" w:line="259" w:lineRule="auto"/>
        <w:ind w:left="1170" w:hanging="360"/>
        <w:jc w:val="both"/>
        <w:rPr>
          <w:rFonts w:ascii="Calibri" w:eastAsia="Calibri" w:hAnsi="Calibri" w:cs="Calibri"/>
          <w:color w:val="000000"/>
          <w:kern w:val="0"/>
          <w:sz w:val="22"/>
          <w:szCs w:val="22"/>
          <w:lang w:val="es-ES" w:eastAsia="en-GB"/>
          <w14:ligatures w14:val="none"/>
        </w:rPr>
      </w:pPr>
    </w:p>
    <w:p w14:paraId="2D7A6B2B" w14:textId="77777777" w:rsidR="007D796A" w:rsidRPr="007D796A" w:rsidRDefault="007D796A" w:rsidP="002A2322">
      <w:pPr>
        <w:numPr>
          <w:ilvl w:val="0"/>
          <w:numId w:val="5"/>
        </w:numPr>
        <w:tabs>
          <w:tab w:val="clear" w:pos="720"/>
          <w:tab w:val="num" w:pos="1260"/>
        </w:tabs>
        <w:spacing w:after="14" w:line="259" w:lineRule="auto"/>
        <w:ind w:left="1170" w:hanging="36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gastos funerarios en caso de fallecimiento de un familiar directo; </w:t>
      </w:r>
    </w:p>
    <w:p w14:paraId="4C6E1568" w14:textId="77777777" w:rsidR="007D796A" w:rsidRPr="007D796A" w:rsidRDefault="007D796A" w:rsidP="002A2322">
      <w:pPr>
        <w:tabs>
          <w:tab w:val="num" w:pos="1260"/>
        </w:tabs>
        <w:spacing w:after="14" w:line="259" w:lineRule="auto"/>
        <w:ind w:left="1170" w:hanging="360"/>
        <w:jc w:val="both"/>
        <w:rPr>
          <w:rFonts w:ascii="Calibri" w:eastAsia="Calibri" w:hAnsi="Calibri" w:cs="Calibri"/>
          <w:color w:val="000000"/>
          <w:kern w:val="0"/>
          <w:sz w:val="22"/>
          <w:szCs w:val="22"/>
          <w:lang w:val="es-ES" w:eastAsia="en-GB"/>
          <w14:ligatures w14:val="none"/>
        </w:rPr>
      </w:pPr>
    </w:p>
    <w:p w14:paraId="363806E1" w14:textId="77777777" w:rsidR="007D796A" w:rsidRPr="007D796A" w:rsidRDefault="007D796A" w:rsidP="002A2322">
      <w:pPr>
        <w:numPr>
          <w:ilvl w:val="0"/>
          <w:numId w:val="5"/>
        </w:numPr>
        <w:tabs>
          <w:tab w:val="clear" w:pos="720"/>
          <w:tab w:val="num" w:pos="1260"/>
        </w:tabs>
        <w:spacing w:after="14" w:line="259" w:lineRule="auto"/>
        <w:ind w:left="1170" w:hanging="36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gastos relacionados con procedimientos y tratamientos médicos u odontológicos esenciales para los miembros del personal / titulares de APS y/o sus dependientes reconocidos por el PNUD que no estén cubiertos por su régimen de seguros y previa presentación de una factura o presupuesto del proveedor. </w:t>
      </w:r>
    </w:p>
    <w:p w14:paraId="1E6CC640" w14:textId="77777777" w:rsidR="007D796A" w:rsidRPr="007D796A" w:rsidRDefault="007D796A" w:rsidP="007D796A">
      <w:pPr>
        <w:tabs>
          <w:tab w:val="left" w:pos="2340"/>
        </w:tabs>
        <w:spacing w:after="4" w:line="252" w:lineRule="auto"/>
        <w:ind w:left="1080"/>
        <w:jc w:val="both"/>
        <w:rPr>
          <w:rFonts w:ascii="Calibri" w:eastAsia="Calibri" w:hAnsi="Calibri" w:cs="Calibri"/>
          <w:color w:val="000000"/>
          <w:kern w:val="0"/>
          <w:sz w:val="22"/>
          <w:szCs w:val="22"/>
          <w:lang w:val="es-ES" w:eastAsia="en-GB"/>
          <w14:ligatures w14:val="none"/>
        </w:rPr>
      </w:pPr>
    </w:p>
    <w:p w14:paraId="4DFE36ED" w14:textId="77777777" w:rsidR="007D796A" w:rsidRPr="007D796A" w:rsidRDefault="007D796A" w:rsidP="002A2322">
      <w:pPr>
        <w:numPr>
          <w:ilvl w:val="0"/>
          <w:numId w:val="4"/>
        </w:numPr>
        <w:spacing w:after="33" w:line="256" w:lineRule="auto"/>
        <w:ind w:left="720" w:hanging="360"/>
        <w:contextualSpacing/>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Sólo se puede conceder un anticipo de sueldo personal para emergencias durante un periodo de doce meses.</w:t>
      </w:r>
    </w:p>
    <w:p w14:paraId="2C8E0C59" w14:textId="77777777" w:rsidR="007D796A" w:rsidRPr="007D796A" w:rsidRDefault="007D796A" w:rsidP="007D796A">
      <w:pPr>
        <w:spacing w:after="33" w:line="256" w:lineRule="auto"/>
        <w:ind w:left="512" w:hanging="370"/>
        <w:jc w:val="both"/>
        <w:rPr>
          <w:rFonts w:ascii="Calibri" w:eastAsia="Calibri" w:hAnsi="Calibri" w:cs="Calibri"/>
          <w:color w:val="000000"/>
          <w:kern w:val="0"/>
          <w:sz w:val="22"/>
          <w:szCs w:val="22"/>
          <w:lang w:val="es-ES" w:eastAsia="en-GB"/>
          <w14:ligatures w14:val="none"/>
        </w:rPr>
      </w:pPr>
    </w:p>
    <w:p w14:paraId="2160C521" w14:textId="77777777" w:rsidR="007D796A" w:rsidRPr="007D796A" w:rsidRDefault="007D796A" w:rsidP="002A2322">
      <w:pPr>
        <w:spacing w:after="4" w:line="253" w:lineRule="auto"/>
        <w:ind w:left="512" w:hanging="152"/>
        <w:jc w:val="both"/>
        <w:rPr>
          <w:rFonts w:ascii="Calibri" w:eastAsia="Calibri" w:hAnsi="Calibri" w:cs="Calibri"/>
          <w:b/>
          <w:bCs/>
          <w:kern w:val="0"/>
          <w:sz w:val="22"/>
          <w:szCs w:val="22"/>
          <w:u w:val="single"/>
          <w:lang w:val="es-ES" w:eastAsia="en-GB"/>
          <w14:ligatures w14:val="none"/>
        </w:rPr>
      </w:pPr>
      <w:r w:rsidRPr="007D796A">
        <w:rPr>
          <w:rFonts w:ascii="Calibri" w:eastAsia="Calibri" w:hAnsi="Calibri" w:cs="Calibri"/>
          <w:b/>
          <w:bCs/>
          <w:color w:val="000000"/>
          <w:kern w:val="0"/>
          <w:sz w:val="22"/>
          <w:szCs w:val="22"/>
          <w:u w:val="single"/>
          <w:lang w:val="es-ES" w:eastAsia="en-GB"/>
          <w14:ligatures w14:val="none"/>
        </w:rPr>
        <w:t xml:space="preserve">Solicitudes no autorizadas </w:t>
      </w:r>
    </w:p>
    <w:p w14:paraId="1877545D" w14:textId="77777777" w:rsidR="007D796A" w:rsidRPr="007D796A" w:rsidRDefault="007D796A" w:rsidP="007D796A">
      <w:pPr>
        <w:spacing w:after="14" w:line="259" w:lineRule="auto"/>
        <w:ind w:left="428"/>
        <w:contextualSpacing/>
        <w:rPr>
          <w:rFonts w:ascii="Calibri" w:eastAsia="Calibri" w:hAnsi="Calibri" w:cs="Calibri"/>
          <w:color w:val="000000"/>
          <w:kern w:val="0"/>
          <w:sz w:val="22"/>
          <w:szCs w:val="22"/>
          <w:lang w:val="es-ES" w:eastAsia="en-GB"/>
          <w14:ligatures w14:val="none"/>
        </w:rPr>
      </w:pPr>
    </w:p>
    <w:p w14:paraId="34EC314D" w14:textId="77777777" w:rsidR="007D796A" w:rsidRPr="007D796A" w:rsidRDefault="007D796A" w:rsidP="002A2322">
      <w:pPr>
        <w:numPr>
          <w:ilvl w:val="0"/>
          <w:numId w:val="4"/>
        </w:numPr>
        <w:spacing w:after="14" w:line="259" w:lineRule="auto"/>
        <w:ind w:left="720" w:hanging="36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No se autorizarán anticipos salariales para fines ajenos a los contemplados en la presente política. Entre ellos se incluyen los siguientes:</w:t>
      </w:r>
    </w:p>
    <w:p w14:paraId="642C35AE" w14:textId="77777777" w:rsidR="007D796A" w:rsidRPr="007D796A" w:rsidRDefault="007D796A" w:rsidP="007D796A">
      <w:pPr>
        <w:spacing w:after="14" w:line="259" w:lineRule="auto"/>
        <w:ind w:left="428"/>
        <w:rPr>
          <w:rFonts w:ascii="Calibri" w:eastAsia="Calibri" w:hAnsi="Calibri" w:cs="Calibri"/>
          <w:color w:val="000000"/>
          <w:kern w:val="0"/>
          <w:sz w:val="22"/>
          <w:szCs w:val="22"/>
          <w:lang w:val="es-ES" w:eastAsia="en-GB"/>
          <w14:ligatures w14:val="none"/>
        </w:rPr>
      </w:pPr>
    </w:p>
    <w:p w14:paraId="0F1444D5" w14:textId="77777777" w:rsidR="007D796A" w:rsidRPr="007D796A" w:rsidRDefault="007D796A" w:rsidP="002A2322">
      <w:pPr>
        <w:numPr>
          <w:ilvl w:val="0"/>
          <w:numId w:val="6"/>
        </w:numPr>
        <w:tabs>
          <w:tab w:val="num" w:pos="1440"/>
        </w:tabs>
        <w:spacing w:after="14" w:line="259" w:lineRule="auto"/>
        <w:ind w:left="1440" w:hanging="45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bodas, fiestas u otras reuniones similares;</w:t>
      </w:r>
    </w:p>
    <w:p w14:paraId="17A15315" w14:textId="77777777" w:rsidR="007D796A" w:rsidRPr="007D796A" w:rsidRDefault="007D796A" w:rsidP="002A2322">
      <w:pPr>
        <w:spacing w:after="14" w:line="259" w:lineRule="auto"/>
        <w:ind w:left="1148" w:hanging="450"/>
        <w:rPr>
          <w:rFonts w:ascii="Calibri" w:eastAsia="Calibri" w:hAnsi="Calibri" w:cs="Calibri"/>
          <w:color w:val="000000"/>
          <w:kern w:val="0"/>
          <w:sz w:val="22"/>
          <w:szCs w:val="22"/>
          <w:lang w:val="es-ES" w:eastAsia="en-GB"/>
          <w14:ligatures w14:val="none"/>
        </w:rPr>
      </w:pPr>
    </w:p>
    <w:p w14:paraId="22FD0CD8" w14:textId="77777777" w:rsidR="007D796A" w:rsidRPr="007D796A" w:rsidRDefault="007D796A" w:rsidP="002A2322">
      <w:pPr>
        <w:numPr>
          <w:ilvl w:val="0"/>
          <w:numId w:val="6"/>
        </w:numPr>
        <w:tabs>
          <w:tab w:val="num" w:pos="1440"/>
        </w:tabs>
        <w:spacing w:after="14" w:line="259" w:lineRule="auto"/>
        <w:ind w:left="1440" w:hanging="45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lastRenderedPageBreak/>
        <w:t>tasas escolares o universitarias;</w:t>
      </w:r>
    </w:p>
    <w:p w14:paraId="60E2877E" w14:textId="77777777" w:rsidR="007D796A" w:rsidRPr="007D796A" w:rsidRDefault="007D796A" w:rsidP="002A2322">
      <w:pPr>
        <w:spacing w:after="14" w:line="259" w:lineRule="auto"/>
        <w:ind w:left="1148" w:hanging="450"/>
        <w:rPr>
          <w:rFonts w:ascii="Calibri" w:eastAsia="Calibri" w:hAnsi="Calibri" w:cs="Calibri"/>
          <w:color w:val="000000"/>
          <w:kern w:val="0"/>
          <w:sz w:val="22"/>
          <w:szCs w:val="22"/>
          <w:lang w:val="es-ES" w:eastAsia="en-GB"/>
          <w14:ligatures w14:val="none"/>
        </w:rPr>
      </w:pPr>
    </w:p>
    <w:p w14:paraId="6D74E27C" w14:textId="77777777" w:rsidR="007D796A" w:rsidRPr="007D796A" w:rsidRDefault="007D796A" w:rsidP="002A2322">
      <w:pPr>
        <w:numPr>
          <w:ilvl w:val="0"/>
          <w:numId w:val="6"/>
        </w:numPr>
        <w:tabs>
          <w:tab w:val="num" w:pos="1440"/>
        </w:tabs>
        <w:spacing w:after="14" w:line="259" w:lineRule="auto"/>
        <w:ind w:left="1440" w:hanging="45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vacaciones u otros viajes personales;</w:t>
      </w:r>
    </w:p>
    <w:p w14:paraId="38219699" w14:textId="77777777" w:rsidR="007D796A" w:rsidRPr="007D796A" w:rsidRDefault="007D796A" w:rsidP="002A2322">
      <w:pPr>
        <w:spacing w:after="14" w:line="259" w:lineRule="auto"/>
        <w:ind w:left="1148" w:hanging="450"/>
        <w:rPr>
          <w:rFonts w:ascii="Calibri" w:eastAsia="Calibri" w:hAnsi="Calibri" w:cs="Calibri"/>
          <w:color w:val="000000"/>
          <w:kern w:val="0"/>
          <w:sz w:val="22"/>
          <w:szCs w:val="22"/>
          <w:lang w:val="es-ES" w:eastAsia="en-GB"/>
          <w14:ligatures w14:val="none"/>
        </w:rPr>
      </w:pPr>
    </w:p>
    <w:p w14:paraId="7B9B469E" w14:textId="77777777" w:rsidR="007D796A" w:rsidRPr="007D796A" w:rsidRDefault="007D796A" w:rsidP="002A2322">
      <w:pPr>
        <w:numPr>
          <w:ilvl w:val="0"/>
          <w:numId w:val="6"/>
        </w:numPr>
        <w:tabs>
          <w:tab w:val="num" w:pos="1440"/>
        </w:tabs>
        <w:spacing w:after="14" w:line="259" w:lineRule="auto"/>
        <w:ind w:left="1440" w:hanging="45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compra de una casa o un terreno;</w:t>
      </w:r>
    </w:p>
    <w:p w14:paraId="0EF10FD7" w14:textId="77777777" w:rsidR="007D796A" w:rsidRPr="007D796A" w:rsidRDefault="007D796A" w:rsidP="002A2322">
      <w:pPr>
        <w:spacing w:after="14" w:line="259" w:lineRule="auto"/>
        <w:ind w:left="1148" w:hanging="450"/>
        <w:rPr>
          <w:rFonts w:ascii="Calibri" w:eastAsia="Calibri" w:hAnsi="Calibri" w:cs="Calibri"/>
          <w:color w:val="000000"/>
          <w:kern w:val="0"/>
          <w:sz w:val="22"/>
          <w:szCs w:val="22"/>
          <w:lang w:val="es-ES" w:eastAsia="en-GB"/>
          <w14:ligatures w14:val="none"/>
        </w:rPr>
      </w:pPr>
    </w:p>
    <w:p w14:paraId="50F96912" w14:textId="77777777" w:rsidR="007D796A" w:rsidRPr="007D796A" w:rsidRDefault="007D796A" w:rsidP="002A2322">
      <w:pPr>
        <w:numPr>
          <w:ilvl w:val="0"/>
          <w:numId w:val="6"/>
        </w:numPr>
        <w:tabs>
          <w:tab w:val="num" w:pos="1440"/>
        </w:tabs>
        <w:spacing w:after="14" w:line="259" w:lineRule="auto"/>
        <w:ind w:left="1440" w:hanging="45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construcción de viviendas, edificios o ampliación de locales existentes;</w:t>
      </w:r>
    </w:p>
    <w:p w14:paraId="0B40B9B3" w14:textId="77777777" w:rsidR="007D796A" w:rsidRPr="007D796A" w:rsidRDefault="007D796A" w:rsidP="002A2322">
      <w:pPr>
        <w:spacing w:after="14" w:line="259" w:lineRule="auto"/>
        <w:ind w:left="1148" w:hanging="450"/>
        <w:rPr>
          <w:rFonts w:ascii="Calibri" w:eastAsia="Calibri" w:hAnsi="Calibri" w:cs="Calibri"/>
          <w:color w:val="000000"/>
          <w:kern w:val="0"/>
          <w:sz w:val="22"/>
          <w:szCs w:val="22"/>
          <w:lang w:val="es-ES" w:eastAsia="en-GB"/>
          <w14:ligatures w14:val="none"/>
        </w:rPr>
      </w:pPr>
    </w:p>
    <w:p w14:paraId="4D20B98E" w14:textId="77777777" w:rsidR="007D796A" w:rsidRPr="007D796A" w:rsidRDefault="007D796A" w:rsidP="002A2322">
      <w:pPr>
        <w:numPr>
          <w:ilvl w:val="0"/>
          <w:numId w:val="6"/>
        </w:numPr>
        <w:tabs>
          <w:tab w:val="num" w:pos="1440"/>
        </w:tabs>
        <w:spacing w:after="14" w:line="259" w:lineRule="auto"/>
        <w:ind w:left="1440" w:hanging="45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 xml:space="preserve">renovación o reparación de casas o edificios por desgaste normal; </w:t>
      </w:r>
    </w:p>
    <w:p w14:paraId="7B7B58E5" w14:textId="77777777" w:rsidR="007D796A" w:rsidRPr="007D796A" w:rsidRDefault="007D796A" w:rsidP="002A2322">
      <w:pPr>
        <w:spacing w:after="14" w:line="259" w:lineRule="auto"/>
        <w:ind w:left="1148" w:hanging="450"/>
        <w:rPr>
          <w:rFonts w:ascii="Calibri" w:eastAsia="Calibri" w:hAnsi="Calibri" w:cs="Calibri"/>
          <w:color w:val="000000"/>
          <w:kern w:val="0"/>
          <w:sz w:val="22"/>
          <w:szCs w:val="22"/>
          <w:lang w:val="es-ES" w:eastAsia="en-GB"/>
          <w14:ligatures w14:val="none"/>
        </w:rPr>
      </w:pPr>
    </w:p>
    <w:p w14:paraId="460E4100" w14:textId="77777777" w:rsidR="007D796A" w:rsidRPr="007D796A" w:rsidRDefault="007D796A" w:rsidP="002A2322">
      <w:pPr>
        <w:numPr>
          <w:ilvl w:val="0"/>
          <w:numId w:val="6"/>
        </w:numPr>
        <w:tabs>
          <w:tab w:val="num" w:pos="1440"/>
        </w:tabs>
        <w:spacing w:after="14" w:line="259" w:lineRule="auto"/>
        <w:ind w:left="1440" w:hanging="45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compra de mobiliario doméstico y efectos personales;</w:t>
      </w:r>
    </w:p>
    <w:p w14:paraId="2BE087ED" w14:textId="77777777" w:rsidR="007D796A" w:rsidRPr="007D796A" w:rsidRDefault="007D796A" w:rsidP="002A2322">
      <w:pPr>
        <w:spacing w:after="14" w:line="259" w:lineRule="auto"/>
        <w:ind w:left="1148" w:hanging="450"/>
        <w:rPr>
          <w:rFonts w:ascii="Calibri" w:eastAsia="Calibri" w:hAnsi="Calibri" w:cs="Calibri"/>
          <w:color w:val="000000"/>
          <w:kern w:val="0"/>
          <w:sz w:val="22"/>
          <w:szCs w:val="22"/>
          <w:lang w:val="es-ES" w:eastAsia="en-GB"/>
          <w14:ligatures w14:val="none"/>
        </w:rPr>
      </w:pPr>
    </w:p>
    <w:p w14:paraId="5FCB4A4A" w14:textId="77777777" w:rsidR="007D796A" w:rsidRPr="007D796A" w:rsidRDefault="007D796A" w:rsidP="002A2322">
      <w:pPr>
        <w:numPr>
          <w:ilvl w:val="0"/>
          <w:numId w:val="6"/>
        </w:numPr>
        <w:tabs>
          <w:tab w:val="num" w:pos="1440"/>
        </w:tabs>
        <w:spacing w:after="14" w:line="259" w:lineRule="auto"/>
        <w:ind w:left="1440" w:hanging="450"/>
        <w:jc w:val="both"/>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t>pago de deudas personales, préstamos bancarios o hipotecas.</w:t>
      </w:r>
    </w:p>
    <w:p w14:paraId="14EDE5C2" w14:textId="77777777" w:rsidR="007D796A" w:rsidRPr="007D796A" w:rsidRDefault="007D796A" w:rsidP="002A2322">
      <w:pPr>
        <w:spacing w:line="259" w:lineRule="auto"/>
        <w:ind w:hanging="450"/>
        <w:rPr>
          <w:rFonts w:ascii="Calibri" w:eastAsia="Calibri" w:hAnsi="Calibri" w:cs="Calibri"/>
          <w:color w:val="000000"/>
          <w:kern w:val="0"/>
          <w:sz w:val="22"/>
          <w:szCs w:val="22"/>
          <w:lang w:val="es-ES" w:eastAsia="en-GB"/>
          <w14:ligatures w14:val="none"/>
        </w:rPr>
      </w:pPr>
      <w:r w:rsidRPr="007D796A">
        <w:rPr>
          <w:rFonts w:ascii="Calibri" w:eastAsia="Calibri" w:hAnsi="Calibri" w:cs="Calibri"/>
          <w:color w:val="000000"/>
          <w:kern w:val="0"/>
          <w:sz w:val="22"/>
          <w:szCs w:val="22"/>
          <w:lang w:val="es-ES" w:eastAsia="en-GB"/>
          <w14:ligatures w14:val="none"/>
        </w:rPr>
        <w:br w:type="page"/>
      </w:r>
    </w:p>
    <w:p w14:paraId="0593F409" w14:textId="77777777" w:rsidR="007D796A" w:rsidRDefault="007D796A" w:rsidP="007D796A">
      <w:pPr>
        <w:spacing w:after="0" w:line="240" w:lineRule="auto"/>
        <w:jc w:val="both"/>
        <w:rPr>
          <w:rFonts w:ascii="Calibri" w:eastAsia="Calibri" w:hAnsi="Calibri" w:cs="Calibri"/>
          <w:b/>
          <w:bCs/>
          <w:color w:val="000000"/>
          <w:kern w:val="0"/>
          <w:sz w:val="20"/>
          <w:szCs w:val="22"/>
          <w:lang w:val="es-ES" w:eastAsia="en-GB"/>
          <w14:ligatures w14:val="none"/>
        </w:rPr>
      </w:pPr>
      <w:r w:rsidRPr="002A2322">
        <w:rPr>
          <w:rFonts w:ascii="Calibri" w:eastAsia="Calibri" w:hAnsi="Calibri" w:cs="Calibri"/>
          <w:b/>
          <w:bCs/>
          <w:color w:val="000000"/>
          <w:kern w:val="0"/>
          <w:sz w:val="20"/>
          <w:szCs w:val="22"/>
          <w:lang w:val="es-ES" w:eastAsia="en-GB"/>
          <w14:ligatures w14:val="none"/>
        </w:rPr>
        <w:lastRenderedPageBreak/>
        <w:t>Anexo: Resumen de las condiciones de pago, cobro y otras condiciones</w:t>
      </w:r>
    </w:p>
    <w:p w14:paraId="36F7D194" w14:textId="77777777" w:rsidR="007D796A" w:rsidRPr="002A2322" w:rsidRDefault="007D796A" w:rsidP="007D796A">
      <w:pPr>
        <w:spacing w:after="0" w:line="240" w:lineRule="auto"/>
        <w:jc w:val="both"/>
        <w:rPr>
          <w:rFonts w:ascii="Calibri" w:eastAsia="Calibri" w:hAnsi="Calibri" w:cs="Calibri"/>
          <w:b/>
          <w:bCs/>
          <w:color w:val="000000"/>
          <w:kern w:val="0"/>
          <w:sz w:val="20"/>
          <w:szCs w:val="22"/>
          <w:lang w:val="es-ES" w:eastAsia="en-GB"/>
          <w14:ligatures w14:val="none"/>
        </w:rPr>
      </w:pPr>
    </w:p>
    <w:tbl>
      <w:tblPr>
        <w:tblW w:w="10619" w:type="dxa"/>
        <w:tblInd w:w="-934" w:type="dxa"/>
        <w:tblLook w:val="04A0" w:firstRow="1" w:lastRow="0" w:firstColumn="1" w:lastColumn="0" w:noHBand="0" w:noVBand="1"/>
      </w:tblPr>
      <w:tblGrid>
        <w:gridCol w:w="1310"/>
        <w:gridCol w:w="1264"/>
        <w:gridCol w:w="1391"/>
        <w:gridCol w:w="1524"/>
        <w:gridCol w:w="1924"/>
        <w:gridCol w:w="1763"/>
        <w:gridCol w:w="53"/>
        <w:gridCol w:w="1600"/>
      </w:tblGrid>
      <w:tr w:rsidR="007D796A" w:rsidRPr="007D796A" w14:paraId="010066DA" w14:textId="77777777" w:rsidTr="002A2322">
        <w:trPr>
          <w:trHeight w:val="312"/>
        </w:trPr>
        <w:tc>
          <w:tcPr>
            <w:tcW w:w="1310" w:type="dxa"/>
            <w:tcBorders>
              <w:top w:val="single" w:sz="8" w:space="0" w:color="auto"/>
              <w:left w:val="single" w:sz="8" w:space="0" w:color="auto"/>
              <w:bottom w:val="single" w:sz="8" w:space="0" w:color="auto"/>
              <w:right w:val="single" w:sz="8" w:space="0" w:color="auto"/>
            </w:tcBorders>
            <w:shd w:val="clear" w:color="auto" w:fill="F4B083"/>
            <w:noWrap/>
            <w:vAlign w:val="center"/>
            <w:hideMark/>
          </w:tcPr>
          <w:p w14:paraId="1805A55C"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b/>
                <w:bCs/>
                <w:color w:val="000000"/>
                <w:kern w:val="0"/>
                <w:sz w:val="16"/>
                <w:szCs w:val="16"/>
                <w:lang w:val="es-ES" w:eastAsia="en-GB"/>
                <w14:ligatures w14:val="none"/>
              </w:rPr>
              <w:t xml:space="preserve">Tipo de anticipo </w:t>
            </w:r>
          </w:p>
          <w:p w14:paraId="2BA574B8" w14:textId="77777777" w:rsidR="007D796A" w:rsidRPr="007D796A" w:rsidRDefault="007D796A" w:rsidP="007D796A">
            <w:pPr>
              <w:spacing w:after="0" w:line="240" w:lineRule="auto"/>
              <w:rPr>
                <w:rFonts w:ascii="Calibri" w:eastAsia="Times New Roman" w:hAnsi="Calibri" w:cs="Calibri"/>
                <w:b/>
                <w:bCs/>
                <w:color w:val="000000"/>
                <w:kern w:val="0"/>
                <w:sz w:val="16"/>
                <w:szCs w:val="16"/>
                <w:lang w:val="es-ES" w:eastAsia="en-MY"/>
                <w14:ligatures w14:val="none"/>
              </w:rPr>
            </w:pPr>
          </w:p>
        </w:tc>
        <w:tc>
          <w:tcPr>
            <w:tcW w:w="1054" w:type="dxa"/>
            <w:tcBorders>
              <w:top w:val="single" w:sz="8" w:space="0" w:color="auto"/>
              <w:left w:val="nil"/>
              <w:bottom w:val="single" w:sz="8" w:space="0" w:color="auto"/>
              <w:right w:val="single" w:sz="8" w:space="0" w:color="auto"/>
            </w:tcBorders>
            <w:shd w:val="clear" w:color="auto" w:fill="F4B083"/>
            <w:vAlign w:val="center"/>
            <w:hideMark/>
          </w:tcPr>
          <w:p w14:paraId="057B7676"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b/>
                <w:bCs/>
                <w:color w:val="000000"/>
                <w:kern w:val="0"/>
                <w:sz w:val="16"/>
                <w:szCs w:val="16"/>
                <w:lang w:val="es-ES" w:eastAsia="en-GB"/>
                <w14:ligatures w14:val="none"/>
              </w:rPr>
              <w:t xml:space="preserve">Solicitud iniciada por </w:t>
            </w:r>
          </w:p>
          <w:p w14:paraId="6C7C4882" w14:textId="77777777" w:rsidR="007D796A" w:rsidRPr="007D796A" w:rsidRDefault="007D796A" w:rsidP="007D796A">
            <w:pPr>
              <w:spacing w:after="0" w:line="240" w:lineRule="auto"/>
              <w:rPr>
                <w:rFonts w:ascii="Calibri" w:eastAsia="Times New Roman" w:hAnsi="Calibri" w:cs="Calibri"/>
                <w:b/>
                <w:bCs/>
                <w:color w:val="000000"/>
                <w:kern w:val="0"/>
                <w:sz w:val="16"/>
                <w:szCs w:val="16"/>
                <w:lang w:val="es-ES" w:eastAsia="en-MY"/>
                <w14:ligatures w14:val="none"/>
              </w:rPr>
            </w:pPr>
          </w:p>
        </w:tc>
        <w:tc>
          <w:tcPr>
            <w:tcW w:w="1391" w:type="dxa"/>
            <w:tcBorders>
              <w:top w:val="single" w:sz="8" w:space="0" w:color="auto"/>
              <w:left w:val="nil"/>
              <w:bottom w:val="single" w:sz="8" w:space="0" w:color="auto"/>
              <w:right w:val="single" w:sz="8" w:space="0" w:color="auto"/>
            </w:tcBorders>
            <w:shd w:val="clear" w:color="auto" w:fill="F4B083"/>
            <w:vAlign w:val="center"/>
            <w:hideMark/>
          </w:tcPr>
          <w:p w14:paraId="76F6938B"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b/>
                <w:bCs/>
                <w:color w:val="000000"/>
                <w:kern w:val="0"/>
                <w:sz w:val="16"/>
                <w:szCs w:val="16"/>
                <w:lang w:val="es-ES" w:eastAsia="en-GB"/>
                <w14:ligatures w14:val="none"/>
              </w:rPr>
              <w:t xml:space="preserve">Anticipo Aprobado por </w:t>
            </w:r>
          </w:p>
          <w:p w14:paraId="6C87201F" w14:textId="77777777" w:rsidR="007D796A" w:rsidRPr="007D796A" w:rsidRDefault="007D796A" w:rsidP="007D796A">
            <w:pPr>
              <w:spacing w:after="0" w:line="240" w:lineRule="auto"/>
              <w:rPr>
                <w:rFonts w:ascii="Calibri" w:eastAsia="Times New Roman" w:hAnsi="Calibri" w:cs="Calibri"/>
                <w:b/>
                <w:bCs/>
                <w:color w:val="000000"/>
                <w:kern w:val="0"/>
                <w:sz w:val="16"/>
                <w:szCs w:val="16"/>
                <w:lang w:val="es-ES" w:eastAsia="en-MY"/>
                <w14:ligatures w14:val="none"/>
              </w:rPr>
            </w:pPr>
          </w:p>
        </w:tc>
        <w:tc>
          <w:tcPr>
            <w:tcW w:w="1524" w:type="dxa"/>
            <w:tcBorders>
              <w:top w:val="single" w:sz="8" w:space="0" w:color="auto"/>
              <w:left w:val="nil"/>
              <w:bottom w:val="single" w:sz="8" w:space="0" w:color="auto"/>
              <w:right w:val="single" w:sz="8" w:space="0" w:color="auto"/>
            </w:tcBorders>
            <w:shd w:val="clear" w:color="auto" w:fill="F4B083"/>
            <w:noWrap/>
            <w:vAlign w:val="center"/>
            <w:hideMark/>
          </w:tcPr>
          <w:p w14:paraId="16E8435E"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b/>
                <w:bCs/>
                <w:color w:val="000000"/>
                <w:kern w:val="0"/>
                <w:sz w:val="16"/>
                <w:szCs w:val="16"/>
                <w:lang w:val="es-ES" w:eastAsia="en-GB"/>
                <w14:ligatures w14:val="none"/>
              </w:rPr>
              <w:t xml:space="preserve">Admisibilidad </w:t>
            </w:r>
          </w:p>
          <w:p w14:paraId="676D3B99" w14:textId="77777777" w:rsidR="007D796A" w:rsidRPr="007D796A" w:rsidRDefault="007D796A" w:rsidP="007D796A">
            <w:pPr>
              <w:spacing w:after="0" w:line="240" w:lineRule="auto"/>
              <w:rPr>
                <w:rFonts w:ascii="Calibri" w:eastAsia="Times New Roman" w:hAnsi="Calibri" w:cs="Calibri"/>
                <w:b/>
                <w:bCs/>
                <w:color w:val="000000"/>
                <w:kern w:val="0"/>
                <w:sz w:val="16"/>
                <w:szCs w:val="16"/>
                <w:lang w:val="es-ES" w:eastAsia="en-MY"/>
                <w14:ligatures w14:val="none"/>
              </w:rPr>
            </w:pPr>
          </w:p>
        </w:tc>
        <w:tc>
          <w:tcPr>
            <w:tcW w:w="1924" w:type="dxa"/>
            <w:tcBorders>
              <w:top w:val="single" w:sz="8" w:space="0" w:color="auto"/>
              <w:left w:val="nil"/>
              <w:bottom w:val="single" w:sz="8" w:space="0" w:color="auto"/>
              <w:right w:val="single" w:sz="8" w:space="0" w:color="auto"/>
            </w:tcBorders>
            <w:shd w:val="clear" w:color="auto" w:fill="F4B083"/>
            <w:noWrap/>
            <w:vAlign w:val="center"/>
            <w:hideMark/>
          </w:tcPr>
          <w:p w14:paraId="64943D3D"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b/>
                <w:bCs/>
                <w:color w:val="000000"/>
                <w:kern w:val="0"/>
                <w:sz w:val="16"/>
                <w:szCs w:val="16"/>
                <w:lang w:val="es-ES" w:eastAsia="en-GB"/>
                <w14:ligatures w14:val="none"/>
              </w:rPr>
              <w:t xml:space="preserve">Importe máximo </w:t>
            </w:r>
          </w:p>
          <w:p w14:paraId="25FE3324" w14:textId="77777777" w:rsidR="007D796A" w:rsidRPr="007D796A" w:rsidRDefault="007D796A" w:rsidP="007D796A">
            <w:pPr>
              <w:spacing w:after="0" w:line="240" w:lineRule="auto"/>
              <w:rPr>
                <w:rFonts w:ascii="Calibri" w:eastAsia="Times New Roman" w:hAnsi="Calibri" w:cs="Calibri"/>
                <w:b/>
                <w:bCs/>
                <w:color w:val="000000"/>
                <w:kern w:val="0"/>
                <w:sz w:val="16"/>
                <w:szCs w:val="16"/>
                <w:lang w:val="es-ES" w:eastAsia="en-MY"/>
                <w14:ligatures w14:val="none"/>
              </w:rPr>
            </w:pPr>
          </w:p>
        </w:tc>
        <w:tc>
          <w:tcPr>
            <w:tcW w:w="1763" w:type="dxa"/>
            <w:tcBorders>
              <w:top w:val="single" w:sz="8" w:space="0" w:color="auto"/>
              <w:left w:val="nil"/>
              <w:bottom w:val="single" w:sz="8" w:space="0" w:color="auto"/>
              <w:right w:val="single" w:sz="8" w:space="0" w:color="auto"/>
            </w:tcBorders>
            <w:shd w:val="clear" w:color="auto" w:fill="F4B083"/>
            <w:vAlign w:val="center"/>
            <w:hideMark/>
          </w:tcPr>
          <w:p w14:paraId="23FCA7B9"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b/>
                <w:bCs/>
                <w:color w:val="000000"/>
                <w:kern w:val="0"/>
                <w:sz w:val="16"/>
                <w:szCs w:val="16"/>
                <w:lang w:val="es-ES" w:eastAsia="en-GB"/>
                <w14:ligatures w14:val="none"/>
              </w:rPr>
              <w:t xml:space="preserve">Duración máxima de la recuperación </w:t>
            </w:r>
          </w:p>
          <w:p w14:paraId="2EBB2E2A" w14:textId="77777777" w:rsidR="007D796A" w:rsidRPr="007D796A" w:rsidRDefault="007D796A" w:rsidP="007D796A">
            <w:pPr>
              <w:spacing w:after="0" w:line="240" w:lineRule="auto"/>
              <w:rPr>
                <w:rFonts w:ascii="Calibri" w:eastAsia="Times New Roman" w:hAnsi="Calibri" w:cs="Calibri"/>
                <w:b/>
                <w:bCs/>
                <w:color w:val="000000"/>
                <w:kern w:val="0"/>
                <w:sz w:val="16"/>
                <w:szCs w:val="16"/>
                <w:lang w:val="es-ES" w:eastAsia="en-MY"/>
                <w14:ligatures w14:val="none"/>
              </w:rPr>
            </w:pPr>
          </w:p>
        </w:tc>
        <w:tc>
          <w:tcPr>
            <w:tcW w:w="1653" w:type="dxa"/>
            <w:gridSpan w:val="2"/>
            <w:tcBorders>
              <w:top w:val="single" w:sz="8" w:space="0" w:color="auto"/>
              <w:left w:val="nil"/>
              <w:bottom w:val="single" w:sz="8" w:space="0" w:color="auto"/>
              <w:right w:val="single" w:sz="8" w:space="0" w:color="auto"/>
            </w:tcBorders>
            <w:shd w:val="clear" w:color="auto" w:fill="F4B083"/>
            <w:vAlign w:val="center"/>
            <w:hideMark/>
          </w:tcPr>
          <w:p w14:paraId="5DE6BF72"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b/>
                <w:bCs/>
                <w:color w:val="000000"/>
                <w:kern w:val="0"/>
                <w:sz w:val="16"/>
                <w:szCs w:val="16"/>
                <w:lang w:val="es-ES" w:eastAsia="en-GB"/>
                <w14:ligatures w14:val="none"/>
              </w:rPr>
              <w:t xml:space="preserve">Otras condiciones </w:t>
            </w:r>
          </w:p>
          <w:p w14:paraId="784B6F79" w14:textId="77777777" w:rsidR="007D796A" w:rsidRPr="007D796A" w:rsidRDefault="007D796A" w:rsidP="007D796A">
            <w:pPr>
              <w:spacing w:after="0" w:line="240" w:lineRule="auto"/>
              <w:rPr>
                <w:rFonts w:ascii="Calibri" w:eastAsia="Times New Roman" w:hAnsi="Calibri" w:cs="Calibri"/>
                <w:b/>
                <w:bCs/>
                <w:color w:val="000000"/>
                <w:kern w:val="0"/>
                <w:sz w:val="16"/>
                <w:szCs w:val="16"/>
                <w:lang w:val="es-ES" w:eastAsia="en-MY"/>
                <w14:ligatures w14:val="none"/>
              </w:rPr>
            </w:pPr>
          </w:p>
        </w:tc>
      </w:tr>
      <w:tr w:rsidR="007D796A" w:rsidRPr="007D796A" w14:paraId="447B5950" w14:textId="77777777" w:rsidTr="002A2322">
        <w:trPr>
          <w:trHeight w:val="312"/>
        </w:trPr>
        <w:tc>
          <w:tcPr>
            <w:tcW w:w="1310" w:type="dxa"/>
            <w:tcBorders>
              <w:top w:val="nil"/>
              <w:left w:val="single" w:sz="8" w:space="0" w:color="auto"/>
              <w:bottom w:val="single" w:sz="8" w:space="0" w:color="auto"/>
              <w:right w:val="single" w:sz="8" w:space="0" w:color="auto"/>
            </w:tcBorders>
            <w:noWrap/>
            <w:vAlign w:val="center"/>
            <w:hideMark/>
          </w:tcPr>
          <w:p w14:paraId="07767045"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Tras el nombramiento inicial </w:t>
            </w:r>
          </w:p>
          <w:p w14:paraId="65BDCDF3"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054" w:type="dxa"/>
            <w:tcBorders>
              <w:top w:val="nil"/>
              <w:left w:val="nil"/>
              <w:right w:val="single" w:sz="8" w:space="0" w:color="auto"/>
            </w:tcBorders>
            <w:noWrap/>
            <w:vAlign w:val="center"/>
            <w:hideMark/>
          </w:tcPr>
          <w:p w14:paraId="3D92C22D"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Coordinador de RRHH </w:t>
            </w:r>
          </w:p>
          <w:p w14:paraId="423000E1" w14:textId="77777777" w:rsidR="007D796A" w:rsidRPr="007D796A" w:rsidRDefault="007D796A" w:rsidP="007D796A">
            <w:pPr>
              <w:spacing w:after="0" w:line="240" w:lineRule="auto"/>
              <w:ind w:hanging="370"/>
              <w:rPr>
                <w:rFonts w:ascii="Calibri" w:eastAsia="Times New Roman" w:hAnsi="Calibri" w:cs="Calibri"/>
                <w:color w:val="000000"/>
                <w:kern w:val="0"/>
                <w:sz w:val="16"/>
                <w:szCs w:val="16"/>
                <w:lang w:val="es-ES" w:eastAsia="en-MY"/>
                <w14:ligatures w14:val="none"/>
              </w:rPr>
            </w:pPr>
          </w:p>
        </w:tc>
        <w:tc>
          <w:tcPr>
            <w:tcW w:w="1391" w:type="dxa"/>
            <w:tcBorders>
              <w:top w:val="nil"/>
              <w:left w:val="nil"/>
              <w:right w:val="single" w:sz="8" w:space="0" w:color="auto"/>
            </w:tcBorders>
            <w:noWrap/>
            <w:vAlign w:val="center"/>
          </w:tcPr>
          <w:p w14:paraId="469E8AFC" w14:textId="77777777" w:rsidR="007D796A" w:rsidRPr="007D796A" w:rsidRDefault="007D796A" w:rsidP="007D796A">
            <w:pPr>
              <w:spacing w:after="0" w:line="240" w:lineRule="auto"/>
              <w:ind w:hanging="370"/>
              <w:rPr>
                <w:rFonts w:ascii="Calibri" w:eastAsia="Times New Roman" w:hAnsi="Calibri" w:cs="Calibri"/>
                <w:color w:val="000000"/>
                <w:kern w:val="0"/>
                <w:sz w:val="16"/>
                <w:szCs w:val="16"/>
                <w:lang w:val="es-ES" w:eastAsia="en-MY"/>
                <w14:ligatures w14:val="none"/>
              </w:rPr>
            </w:pPr>
            <w:r w:rsidRPr="007D796A">
              <w:rPr>
                <w:rFonts w:ascii="Calibri" w:eastAsia="Times New Roman" w:hAnsi="Calibri" w:cs="Calibri"/>
                <w:color w:val="000000"/>
                <w:kern w:val="0"/>
                <w:sz w:val="16"/>
                <w:szCs w:val="16"/>
                <w:lang w:val="es-ES" w:eastAsia="en-MY"/>
                <w14:ligatures w14:val="none"/>
              </w:rPr>
              <w:t xml:space="preserve">Ma    Director de Global Payroll Services (GPS) and Manager, Benefits &amp; Entitlement Services (BES) </w:t>
            </w:r>
          </w:p>
        </w:tc>
        <w:tc>
          <w:tcPr>
            <w:tcW w:w="1524" w:type="dxa"/>
            <w:tcBorders>
              <w:top w:val="nil"/>
              <w:left w:val="nil"/>
              <w:right w:val="single" w:sz="8" w:space="0" w:color="auto"/>
            </w:tcBorders>
            <w:noWrap/>
            <w:vAlign w:val="center"/>
            <w:hideMark/>
          </w:tcPr>
          <w:p w14:paraId="4B46B7D1"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Todo el personal </w:t>
            </w:r>
          </w:p>
          <w:p w14:paraId="7306B7B2" w14:textId="77777777" w:rsidR="007D796A" w:rsidRPr="007D796A" w:rsidRDefault="007D796A" w:rsidP="007D796A">
            <w:pPr>
              <w:spacing w:after="0" w:line="240" w:lineRule="auto"/>
              <w:ind w:hanging="370"/>
              <w:rPr>
                <w:rFonts w:ascii="Calibri" w:eastAsia="Times New Roman" w:hAnsi="Calibri" w:cs="Calibri"/>
                <w:color w:val="000000"/>
                <w:kern w:val="0"/>
                <w:sz w:val="16"/>
                <w:szCs w:val="16"/>
                <w:lang w:val="es-ES" w:eastAsia="en-MY"/>
                <w14:ligatures w14:val="none"/>
              </w:rPr>
            </w:pPr>
          </w:p>
        </w:tc>
        <w:tc>
          <w:tcPr>
            <w:tcW w:w="1924" w:type="dxa"/>
            <w:tcBorders>
              <w:top w:val="nil"/>
              <w:left w:val="nil"/>
              <w:right w:val="single" w:sz="8" w:space="0" w:color="auto"/>
            </w:tcBorders>
            <w:noWrap/>
            <w:vAlign w:val="center"/>
            <w:hideMark/>
          </w:tcPr>
          <w:p w14:paraId="63C221A5"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Remuneración neta mensual </w:t>
            </w:r>
          </w:p>
          <w:p w14:paraId="2991AC0E"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763" w:type="dxa"/>
            <w:tcBorders>
              <w:top w:val="nil"/>
              <w:left w:val="nil"/>
              <w:right w:val="single" w:sz="8" w:space="0" w:color="auto"/>
            </w:tcBorders>
            <w:noWrap/>
            <w:vAlign w:val="center"/>
            <w:hideMark/>
          </w:tcPr>
          <w:p w14:paraId="54826B41"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r w:rsidRPr="007D796A">
              <w:rPr>
                <w:rFonts w:ascii="Calibri" w:eastAsia="Times New Roman" w:hAnsi="Calibri" w:cs="Calibri"/>
                <w:color w:val="000000"/>
                <w:kern w:val="0"/>
                <w:sz w:val="16"/>
                <w:szCs w:val="16"/>
                <w:lang w:val="es-ES" w:eastAsia="en-MY"/>
                <w14:ligatures w14:val="none"/>
              </w:rPr>
              <w:t>Recuperación total en la próxima nómina</w:t>
            </w:r>
          </w:p>
        </w:tc>
        <w:tc>
          <w:tcPr>
            <w:tcW w:w="1653" w:type="dxa"/>
            <w:gridSpan w:val="2"/>
            <w:tcBorders>
              <w:top w:val="nil"/>
              <w:left w:val="nil"/>
              <w:bottom w:val="single" w:sz="8" w:space="0" w:color="auto"/>
              <w:right w:val="single" w:sz="8" w:space="0" w:color="auto"/>
            </w:tcBorders>
            <w:noWrap/>
            <w:vAlign w:val="center"/>
            <w:hideMark/>
          </w:tcPr>
          <w:p w14:paraId="2A59721C"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r w:rsidRPr="007D796A">
              <w:rPr>
                <w:rFonts w:ascii="Calibri" w:eastAsia="Times New Roman" w:hAnsi="Calibri" w:cs="Calibri"/>
                <w:color w:val="000000"/>
                <w:kern w:val="0"/>
                <w:sz w:val="16"/>
                <w:szCs w:val="16"/>
                <w:lang w:val="es-ES" w:eastAsia="en-MY"/>
                <w14:ligatures w14:val="none"/>
              </w:rPr>
              <w:t> </w:t>
            </w:r>
          </w:p>
        </w:tc>
      </w:tr>
      <w:tr w:rsidR="007D796A" w:rsidRPr="007D796A" w14:paraId="0602D210" w14:textId="77777777" w:rsidTr="007D796A">
        <w:trPr>
          <w:trHeight w:val="507"/>
        </w:trPr>
        <w:tc>
          <w:tcPr>
            <w:tcW w:w="1310" w:type="dxa"/>
            <w:tcBorders>
              <w:top w:val="nil"/>
              <w:left w:val="single" w:sz="8" w:space="0" w:color="auto"/>
              <w:bottom w:val="single" w:sz="8" w:space="0" w:color="auto"/>
              <w:right w:val="single" w:sz="8" w:space="0" w:color="auto"/>
            </w:tcBorders>
            <w:noWrap/>
            <w:vAlign w:val="center"/>
            <w:hideMark/>
          </w:tcPr>
          <w:p w14:paraId="4B1E344B"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No percepción del salario </w:t>
            </w:r>
          </w:p>
          <w:p w14:paraId="60C9001B"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054" w:type="dxa"/>
            <w:vMerge w:val="restart"/>
            <w:tcBorders>
              <w:left w:val="nil"/>
              <w:right w:val="single" w:sz="8" w:space="0" w:color="auto"/>
            </w:tcBorders>
            <w:noWrap/>
            <w:vAlign w:val="center"/>
            <w:hideMark/>
          </w:tcPr>
          <w:p w14:paraId="1A15E400" w14:textId="77777777" w:rsidR="007D796A" w:rsidRPr="007D796A" w:rsidRDefault="007D796A" w:rsidP="007D796A">
            <w:pPr>
              <w:spacing w:after="0" w:line="240" w:lineRule="auto"/>
              <w:ind w:hanging="370"/>
              <w:rPr>
                <w:rFonts w:ascii="Calibri" w:eastAsia="Times New Roman" w:hAnsi="Calibri" w:cs="Calibri"/>
                <w:color w:val="000000"/>
                <w:kern w:val="0"/>
                <w:sz w:val="16"/>
                <w:szCs w:val="16"/>
                <w:lang w:val="es-ES" w:eastAsia="en-MY"/>
                <w14:ligatures w14:val="none"/>
              </w:rPr>
            </w:pPr>
          </w:p>
        </w:tc>
        <w:tc>
          <w:tcPr>
            <w:tcW w:w="1391" w:type="dxa"/>
            <w:vMerge w:val="restart"/>
            <w:tcBorders>
              <w:left w:val="nil"/>
              <w:right w:val="single" w:sz="8" w:space="0" w:color="auto"/>
            </w:tcBorders>
            <w:noWrap/>
            <w:vAlign w:val="center"/>
            <w:hideMark/>
          </w:tcPr>
          <w:p w14:paraId="54D8A5D2" w14:textId="77777777" w:rsidR="007D796A" w:rsidRPr="007D796A" w:rsidRDefault="007D796A" w:rsidP="007D796A">
            <w:pPr>
              <w:spacing w:after="0" w:line="240" w:lineRule="auto"/>
              <w:ind w:hanging="370"/>
              <w:rPr>
                <w:rFonts w:ascii="Calibri" w:eastAsia="Times New Roman" w:hAnsi="Calibri" w:cs="Calibri"/>
                <w:color w:val="000000"/>
                <w:kern w:val="0"/>
                <w:sz w:val="16"/>
                <w:szCs w:val="16"/>
                <w:lang w:val="es-ES" w:eastAsia="en-MY"/>
                <w14:ligatures w14:val="none"/>
              </w:rPr>
            </w:pPr>
          </w:p>
        </w:tc>
        <w:tc>
          <w:tcPr>
            <w:tcW w:w="1524" w:type="dxa"/>
            <w:vMerge w:val="restart"/>
            <w:tcBorders>
              <w:left w:val="nil"/>
              <w:right w:val="single" w:sz="8" w:space="0" w:color="auto"/>
            </w:tcBorders>
            <w:noWrap/>
            <w:vAlign w:val="center"/>
            <w:hideMark/>
          </w:tcPr>
          <w:p w14:paraId="165E509E" w14:textId="77777777" w:rsidR="007D796A" w:rsidRPr="007D796A" w:rsidRDefault="007D796A" w:rsidP="007D796A">
            <w:pPr>
              <w:spacing w:after="0" w:line="240" w:lineRule="auto"/>
              <w:ind w:hanging="370"/>
              <w:rPr>
                <w:rFonts w:ascii="Calibri" w:eastAsia="Times New Roman" w:hAnsi="Calibri" w:cs="Calibri"/>
                <w:color w:val="000000"/>
                <w:kern w:val="0"/>
                <w:sz w:val="16"/>
                <w:szCs w:val="16"/>
                <w:lang w:val="es-ES" w:eastAsia="en-MY"/>
                <w14:ligatures w14:val="none"/>
              </w:rPr>
            </w:pPr>
          </w:p>
        </w:tc>
        <w:tc>
          <w:tcPr>
            <w:tcW w:w="1924" w:type="dxa"/>
            <w:tcBorders>
              <w:left w:val="nil"/>
              <w:bottom w:val="single" w:sz="8" w:space="0" w:color="auto"/>
              <w:right w:val="single" w:sz="8" w:space="0" w:color="auto"/>
            </w:tcBorders>
            <w:noWrap/>
            <w:vAlign w:val="center"/>
            <w:hideMark/>
          </w:tcPr>
          <w:p w14:paraId="3B478362"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763" w:type="dxa"/>
            <w:tcBorders>
              <w:left w:val="nil"/>
              <w:bottom w:val="single" w:sz="8" w:space="0" w:color="auto"/>
              <w:right w:val="single" w:sz="8" w:space="0" w:color="auto"/>
            </w:tcBorders>
            <w:noWrap/>
            <w:vAlign w:val="center"/>
            <w:hideMark/>
          </w:tcPr>
          <w:p w14:paraId="4188131B"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653" w:type="dxa"/>
            <w:gridSpan w:val="2"/>
            <w:tcBorders>
              <w:top w:val="nil"/>
              <w:left w:val="nil"/>
              <w:bottom w:val="single" w:sz="8" w:space="0" w:color="auto"/>
              <w:right w:val="single" w:sz="8" w:space="0" w:color="auto"/>
            </w:tcBorders>
            <w:noWrap/>
            <w:vAlign w:val="center"/>
            <w:hideMark/>
          </w:tcPr>
          <w:p w14:paraId="1C51B7BF"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r w:rsidRPr="007D796A">
              <w:rPr>
                <w:rFonts w:ascii="Calibri" w:eastAsia="Times New Roman" w:hAnsi="Calibri" w:cs="Calibri"/>
                <w:color w:val="000000"/>
                <w:kern w:val="0"/>
                <w:sz w:val="16"/>
                <w:szCs w:val="16"/>
                <w:lang w:val="es-ES" w:eastAsia="en-MY"/>
                <w14:ligatures w14:val="none"/>
              </w:rPr>
              <w:t> </w:t>
            </w:r>
          </w:p>
        </w:tc>
      </w:tr>
      <w:tr w:rsidR="007D796A" w:rsidRPr="007D796A" w14:paraId="53EA886F" w14:textId="77777777" w:rsidTr="002A2322">
        <w:trPr>
          <w:trHeight w:val="810"/>
        </w:trPr>
        <w:tc>
          <w:tcPr>
            <w:tcW w:w="1310" w:type="dxa"/>
            <w:tcBorders>
              <w:top w:val="nil"/>
              <w:left w:val="single" w:sz="8" w:space="0" w:color="auto"/>
              <w:bottom w:val="single" w:sz="8" w:space="0" w:color="auto"/>
              <w:right w:val="single" w:sz="8" w:space="0" w:color="auto"/>
            </w:tcBorders>
            <w:noWrap/>
            <w:vAlign w:val="center"/>
            <w:hideMark/>
          </w:tcPr>
          <w:p w14:paraId="354161B7"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Separación del servicio </w:t>
            </w:r>
          </w:p>
          <w:p w14:paraId="284E8246"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054" w:type="dxa"/>
            <w:vMerge/>
            <w:tcBorders>
              <w:left w:val="nil"/>
              <w:bottom w:val="single" w:sz="8" w:space="0" w:color="auto"/>
              <w:right w:val="single" w:sz="8" w:space="0" w:color="auto"/>
            </w:tcBorders>
            <w:noWrap/>
            <w:vAlign w:val="center"/>
            <w:hideMark/>
          </w:tcPr>
          <w:p w14:paraId="66E87445"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391" w:type="dxa"/>
            <w:vMerge/>
            <w:tcBorders>
              <w:left w:val="nil"/>
              <w:bottom w:val="single" w:sz="8" w:space="0" w:color="auto"/>
              <w:right w:val="single" w:sz="8" w:space="0" w:color="auto"/>
            </w:tcBorders>
            <w:noWrap/>
            <w:vAlign w:val="center"/>
            <w:hideMark/>
          </w:tcPr>
          <w:p w14:paraId="7EC167C9"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524" w:type="dxa"/>
            <w:vMerge/>
            <w:tcBorders>
              <w:left w:val="nil"/>
              <w:right w:val="single" w:sz="8" w:space="0" w:color="auto"/>
            </w:tcBorders>
            <w:noWrap/>
            <w:vAlign w:val="center"/>
            <w:hideMark/>
          </w:tcPr>
          <w:p w14:paraId="5CB7795D" w14:textId="77777777" w:rsidR="007D796A" w:rsidRPr="007D796A" w:rsidRDefault="007D796A" w:rsidP="007D796A">
            <w:pPr>
              <w:spacing w:after="0" w:line="240" w:lineRule="auto"/>
              <w:ind w:hanging="370"/>
              <w:rPr>
                <w:rFonts w:ascii="Calibri" w:eastAsia="Times New Roman" w:hAnsi="Calibri" w:cs="Calibri"/>
                <w:color w:val="000000"/>
                <w:kern w:val="0"/>
                <w:sz w:val="16"/>
                <w:szCs w:val="16"/>
                <w:lang w:val="es-ES" w:eastAsia="en-MY"/>
                <w14:ligatures w14:val="none"/>
              </w:rPr>
            </w:pPr>
          </w:p>
        </w:tc>
        <w:tc>
          <w:tcPr>
            <w:tcW w:w="1924" w:type="dxa"/>
            <w:tcBorders>
              <w:top w:val="nil"/>
              <w:left w:val="nil"/>
              <w:bottom w:val="single" w:sz="8" w:space="0" w:color="auto"/>
              <w:right w:val="single" w:sz="8" w:space="0" w:color="auto"/>
            </w:tcBorders>
            <w:noWrap/>
            <w:vAlign w:val="center"/>
            <w:hideMark/>
          </w:tcPr>
          <w:p w14:paraId="05B7BBA2"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80% del salario final </w:t>
            </w:r>
          </w:p>
          <w:p w14:paraId="74A5D6F8"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763" w:type="dxa"/>
            <w:tcBorders>
              <w:top w:val="nil"/>
              <w:left w:val="nil"/>
              <w:bottom w:val="single" w:sz="8" w:space="0" w:color="auto"/>
              <w:right w:val="single" w:sz="8" w:space="0" w:color="auto"/>
            </w:tcBorders>
            <w:vAlign w:val="center"/>
            <w:hideMark/>
          </w:tcPr>
          <w:p w14:paraId="1934CCE0"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r w:rsidRPr="007D796A">
              <w:rPr>
                <w:rFonts w:ascii="Calibri" w:eastAsia="Times New Roman" w:hAnsi="Calibri" w:cs="Calibri"/>
                <w:color w:val="000000"/>
                <w:kern w:val="0"/>
                <w:sz w:val="16"/>
                <w:szCs w:val="16"/>
                <w:lang w:val="es-ES" w:eastAsia="en-MY"/>
                <w14:ligatures w14:val="none"/>
              </w:rPr>
              <w:t>Recuperación total del pago final</w:t>
            </w:r>
          </w:p>
        </w:tc>
        <w:tc>
          <w:tcPr>
            <w:tcW w:w="1653" w:type="dxa"/>
            <w:gridSpan w:val="2"/>
            <w:tcBorders>
              <w:top w:val="nil"/>
              <w:left w:val="nil"/>
              <w:bottom w:val="single" w:sz="8" w:space="0" w:color="auto"/>
              <w:right w:val="single" w:sz="8" w:space="0" w:color="auto"/>
            </w:tcBorders>
            <w:noWrap/>
            <w:vAlign w:val="center"/>
            <w:hideMark/>
          </w:tcPr>
          <w:p w14:paraId="19A46CB1"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r w:rsidRPr="007D796A">
              <w:rPr>
                <w:rFonts w:ascii="Calibri" w:eastAsia="Times New Roman" w:hAnsi="Calibri" w:cs="Calibri"/>
                <w:color w:val="000000"/>
                <w:kern w:val="0"/>
                <w:sz w:val="16"/>
                <w:szCs w:val="16"/>
                <w:lang w:val="es-ES" w:eastAsia="en-MY"/>
                <w14:ligatures w14:val="none"/>
              </w:rPr>
              <w:t> </w:t>
            </w:r>
          </w:p>
        </w:tc>
      </w:tr>
      <w:tr w:rsidR="007D796A" w:rsidRPr="007D796A" w14:paraId="5F50B9DA" w14:textId="77777777" w:rsidTr="002A2322">
        <w:trPr>
          <w:trHeight w:val="437"/>
        </w:trPr>
        <w:tc>
          <w:tcPr>
            <w:tcW w:w="1310" w:type="dxa"/>
            <w:tcBorders>
              <w:top w:val="nil"/>
              <w:left w:val="single" w:sz="8" w:space="0" w:color="auto"/>
              <w:bottom w:val="single" w:sz="8" w:space="0" w:color="auto"/>
              <w:right w:val="single" w:sz="8" w:space="0" w:color="auto"/>
            </w:tcBorders>
            <w:noWrap/>
            <w:vAlign w:val="center"/>
            <w:hideMark/>
          </w:tcPr>
          <w:p w14:paraId="6780E4C3"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Gastos médicos </w:t>
            </w:r>
          </w:p>
          <w:p w14:paraId="56D4EFE5"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054" w:type="dxa"/>
            <w:tcBorders>
              <w:top w:val="nil"/>
              <w:left w:val="nil"/>
              <w:right w:val="single" w:sz="8" w:space="0" w:color="auto"/>
            </w:tcBorders>
            <w:noWrap/>
            <w:vAlign w:val="center"/>
            <w:hideMark/>
          </w:tcPr>
          <w:p w14:paraId="420402FA"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p>
          <w:p w14:paraId="2EF3020B"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p>
          <w:p w14:paraId="3BA235F0"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Miembro del personal </w:t>
            </w:r>
          </w:p>
          <w:p w14:paraId="58FC1F23" w14:textId="77777777" w:rsidR="007D796A" w:rsidRPr="007D796A" w:rsidRDefault="007D796A" w:rsidP="007D796A">
            <w:pPr>
              <w:spacing w:after="0" w:line="240" w:lineRule="auto"/>
              <w:ind w:hanging="370"/>
              <w:rPr>
                <w:rFonts w:ascii="Calibri" w:eastAsia="Times New Roman" w:hAnsi="Calibri" w:cs="Calibri"/>
                <w:color w:val="000000"/>
                <w:kern w:val="0"/>
                <w:sz w:val="16"/>
                <w:szCs w:val="16"/>
                <w:lang w:val="es-ES" w:eastAsia="en-MY"/>
                <w14:ligatures w14:val="none"/>
              </w:rPr>
            </w:pPr>
          </w:p>
        </w:tc>
        <w:tc>
          <w:tcPr>
            <w:tcW w:w="1391" w:type="dxa"/>
            <w:tcBorders>
              <w:top w:val="nil"/>
              <w:left w:val="nil"/>
              <w:bottom w:val="single" w:sz="8" w:space="0" w:color="auto"/>
              <w:right w:val="single" w:sz="8" w:space="0" w:color="auto"/>
            </w:tcBorders>
            <w:vAlign w:val="center"/>
            <w:hideMark/>
          </w:tcPr>
          <w:p w14:paraId="5B437195"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Jefe de la Oficina o persona designada </w:t>
            </w:r>
          </w:p>
          <w:p w14:paraId="4569423C"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524" w:type="dxa"/>
            <w:tcBorders>
              <w:left w:val="nil"/>
              <w:bottom w:val="single" w:sz="8" w:space="0" w:color="auto"/>
              <w:right w:val="single" w:sz="8" w:space="0" w:color="auto"/>
            </w:tcBorders>
            <w:noWrap/>
            <w:vAlign w:val="center"/>
            <w:hideMark/>
          </w:tcPr>
          <w:p w14:paraId="721EE138"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924" w:type="dxa"/>
            <w:tcBorders>
              <w:top w:val="nil"/>
              <w:left w:val="nil"/>
              <w:bottom w:val="single" w:sz="8" w:space="0" w:color="auto"/>
              <w:right w:val="single" w:sz="8" w:space="0" w:color="auto"/>
            </w:tcBorders>
            <w:vAlign w:val="center"/>
            <w:hideMark/>
          </w:tcPr>
          <w:p w14:paraId="25B310FD"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El más bajo de (i) 2 meses de salario neto (ii) reembolso del seguro (iii) factura del hospital </w:t>
            </w:r>
          </w:p>
          <w:p w14:paraId="619F8643"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763" w:type="dxa"/>
            <w:tcBorders>
              <w:top w:val="nil"/>
              <w:left w:val="nil"/>
              <w:bottom w:val="single" w:sz="8" w:space="0" w:color="auto"/>
              <w:right w:val="single" w:sz="8" w:space="0" w:color="auto"/>
            </w:tcBorders>
            <w:vAlign w:val="center"/>
            <w:hideMark/>
          </w:tcPr>
          <w:p w14:paraId="3FEE95B3"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r w:rsidRPr="007D796A">
              <w:rPr>
                <w:rFonts w:ascii="Calibri" w:eastAsia="Times New Roman" w:hAnsi="Calibri" w:cs="Calibri"/>
                <w:color w:val="000000"/>
                <w:kern w:val="0"/>
                <w:sz w:val="16"/>
                <w:szCs w:val="16"/>
                <w:lang w:val="es-ES" w:eastAsia="en-MY"/>
                <w14:ligatures w14:val="none"/>
              </w:rPr>
              <w:t>En 4 meses o al final del contrato, lo que ocurra primero</w:t>
            </w:r>
          </w:p>
        </w:tc>
        <w:tc>
          <w:tcPr>
            <w:tcW w:w="1653" w:type="dxa"/>
            <w:gridSpan w:val="2"/>
            <w:tcBorders>
              <w:top w:val="nil"/>
              <w:left w:val="nil"/>
              <w:bottom w:val="single" w:sz="8" w:space="0" w:color="auto"/>
              <w:right w:val="single" w:sz="8" w:space="0" w:color="auto"/>
            </w:tcBorders>
            <w:noWrap/>
            <w:vAlign w:val="center"/>
            <w:hideMark/>
          </w:tcPr>
          <w:p w14:paraId="3EF1DA4E"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r w:rsidRPr="007D796A">
              <w:rPr>
                <w:rFonts w:ascii="Calibri" w:eastAsia="Times New Roman" w:hAnsi="Calibri" w:cs="Calibri"/>
                <w:color w:val="000000"/>
                <w:kern w:val="0"/>
                <w:sz w:val="16"/>
                <w:szCs w:val="16"/>
                <w:lang w:val="es-ES" w:eastAsia="en-MY"/>
                <w14:ligatures w14:val="none"/>
              </w:rPr>
              <w:t>Tienen que ser cubiertos por un seguro médico de la ONU/UNDP</w:t>
            </w:r>
          </w:p>
        </w:tc>
      </w:tr>
      <w:tr w:rsidR="007D796A" w:rsidRPr="007D796A" w14:paraId="0DD70E4C" w14:textId="77777777" w:rsidTr="002A2322">
        <w:trPr>
          <w:trHeight w:val="1175"/>
        </w:trPr>
        <w:tc>
          <w:tcPr>
            <w:tcW w:w="1310" w:type="dxa"/>
            <w:tcBorders>
              <w:top w:val="nil"/>
              <w:left w:val="single" w:sz="8" w:space="0" w:color="auto"/>
              <w:bottom w:val="single" w:sz="8" w:space="0" w:color="auto"/>
              <w:right w:val="single" w:sz="8" w:space="0" w:color="auto"/>
            </w:tcBorders>
            <w:noWrap/>
            <w:vAlign w:val="center"/>
            <w:hideMark/>
          </w:tcPr>
          <w:p w14:paraId="36F6C008"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Alquiler </w:t>
            </w:r>
          </w:p>
          <w:p w14:paraId="3331B299"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054" w:type="dxa"/>
            <w:vMerge w:val="restart"/>
            <w:tcBorders>
              <w:left w:val="nil"/>
              <w:right w:val="single" w:sz="8" w:space="0" w:color="auto"/>
            </w:tcBorders>
            <w:noWrap/>
            <w:vAlign w:val="center"/>
            <w:hideMark/>
          </w:tcPr>
          <w:p w14:paraId="149D5A32" w14:textId="77777777" w:rsidR="007D796A" w:rsidRPr="007D796A" w:rsidRDefault="007D796A" w:rsidP="007D796A">
            <w:pPr>
              <w:spacing w:after="0" w:line="240" w:lineRule="auto"/>
              <w:ind w:hanging="370"/>
              <w:rPr>
                <w:rFonts w:ascii="Calibri" w:eastAsia="Times New Roman" w:hAnsi="Calibri" w:cs="Calibri"/>
                <w:color w:val="000000"/>
                <w:kern w:val="0"/>
                <w:sz w:val="16"/>
                <w:szCs w:val="16"/>
                <w:lang w:val="es-ES" w:eastAsia="en-MY"/>
                <w14:ligatures w14:val="none"/>
              </w:rPr>
            </w:pPr>
          </w:p>
        </w:tc>
        <w:tc>
          <w:tcPr>
            <w:tcW w:w="1391" w:type="dxa"/>
            <w:tcBorders>
              <w:top w:val="nil"/>
              <w:left w:val="single" w:sz="8" w:space="0" w:color="auto"/>
              <w:bottom w:val="single" w:sz="8" w:space="0" w:color="000000"/>
              <w:right w:val="single" w:sz="8" w:space="0" w:color="auto"/>
            </w:tcBorders>
            <w:vAlign w:val="center"/>
            <w:hideMark/>
          </w:tcPr>
          <w:p w14:paraId="7399F5FF"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Personal de PI fuera de los lugares de destino del Grupo 1 </w:t>
            </w:r>
          </w:p>
          <w:p w14:paraId="747F1C90"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524" w:type="dxa"/>
            <w:tcBorders>
              <w:top w:val="nil"/>
              <w:left w:val="nil"/>
              <w:bottom w:val="single" w:sz="8" w:space="0" w:color="auto"/>
              <w:right w:val="single" w:sz="8" w:space="0" w:color="auto"/>
            </w:tcBorders>
            <w:vAlign w:val="center"/>
            <w:hideMark/>
          </w:tcPr>
          <w:p w14:paraId="4B77B3ED"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r w:rsidRPr="007D796A">
              <w:rPr>
                <w:rFonts w:ascii="Calibri" w:eastAsia="Times New Roman" w:hAnsi="Calibri" w:cs="Calibri"/>
                <w:color w:val="000000"/>
                <w:kern w:val="0"/>
                <w:sz w:val="16"/>
                <w:szCs w:val="16"/>
                <w:lang w:val="es-ES" w:eastAsia="en-MY"/>
                <w14:ligatures w14:val="none"/>
              </w:rPr>
              <w:t>Profesionales internacionales (P1-P4) fuera de lugares de asignación en el Grupo 1</w:t>
            </w:r>
          </w:p>
        </w:tc>
        <w:tc>
          <w:tcPr>
            <w:tcW w:w="1924" w:type="dxa"/>
            <w:tcBorders>
              <w:top w:val="nil"/>
              <w:left w:val="nil"/>
              <w:bottom w:val="single" w:sz="8" w:space="0" w:color="auto"/>
              <w:right w:val="single" w:sz="8" w:space="0" w:color="auto"/>
            </w:tcBorders>
            <w:vAlign w:val="center"/>
            <w:hideMark/>
          </w:tcPr>
          <w:p w14:paraId="4A3E6F6D"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Por contrato firmado </w:t>
            </w:r>
          </w:p>
          <w:p w14:paraId="58458AC1"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763" w:type="dxa"/>
            <w:tcBorders>
              <w:top w:val="nil"/>
              <w:left w:val="nil"/>
              <w:bottom w:val="single" w:sz="8" w:space="0" w:color="auto"/>
              <w:right w:val="single" w:sz="8" w:space="0" w:color="auto"/>
            </w:tcBorders>
            <w:vAlign w:val="center"/>
            <w:hideMark/>
          </w:tcPr>
          <w:p w14:paraId="7EE8E600"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r w:rsidRPr="007D796A">
              <w:rPr>
                <w:rFonts w:ascii="Calibri" w:eastAsia="Times New Roman" w:hAnsi="Calibri" w:cs="Calibri"/>
                <w:color w:val="000000"/>
                <w:kern w:val="0"/>
                <w:sz w:val="16"/>
                <w:szCs w:val="16"/>
                <w:lang w:val="es-ES" w:eastAsia="en-MY"/>
                <w14:ligatures w14:val="none"/>
              </w:rPr>
              <w:t xml:space="preserve">Término del alquiler o fin del contrato, lo que ocurra primero. </w:t>
            </w:r>
          </w:p>
        </w:tc>
        <w:tc>
          <w:tcPr>
            <w:tcW w:w="1653" w:type="dxa"/>
            <w:gridSpan w:val="2"/>
            <w:tcBorders>
              <w:top w:val="nil"/>
              <w:left w:val="nil"/>
              <w:bottom w:val="single" w:sz="8" w:space="0" w:color="auto"/>
              <w:right w:val="single" w:sz="8" w:space="0" w:color="auto"/>
            </w:tcBorders>
            <w:vAlign w:val="center"/>
            <w:hideMark/>
          </w:tcPr>
          <w:p w14:paraId="47CC90AD"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r w:rsidRPr="007D796A">
              <w:rPr>
                <w:rFonts w:ascii="Calibri" w:eastAsia="Times New Roman" w:hAnsi="Calibri" w:cs="Calibri"/>
                <w:color w:val="000000"/>
                <w:kern w:val="0"/>
                <w:sz w:val="16"/>
                <w:szCs w:val="16"/>
                <w:lang w:val="es-ES" w:eastAsia="en-MY"/>
                <w14:ligatures w14:val="none"/>
              </w:rPr>
              <w:t>En línea con las condiciones del mercado de alquileres local</w:t>
            </w:r>
          </w:p>
        </w:tc>
      </w:tr>
      <w:tr w:rsidR="007D796A" w:rsidRPr="007D796A" w14:paraId="2303735F" w14:textId="77777777" w:rsidTr="007D796A">
        <w:trPr>
          <w:trHeight w:val="750"/>
        </w:trPr>
        <w:tc>
          <w:tcPr>
            <w:tcW w:w="1310" w:type="dxa"/>
            <w:tcBorders>
              <w:top w:val="nil"/>
              <w:left w:val="single" w:sz="8" w:space="0" w:color="auto"/>
              <w:bottom w:val="single" w:sz="8" w:space="0" w:color="auto"/>
              <w:right w:val="single" w:sz="8" w:space="0" w:color="auto"/>
            </w:tcBorders>
            <w:noWrap/>
            <w:vAlign w:val="center"/>
            <w:hideMark/>
          </w:tcPr>
          <w:p w14:paraId="0E4C3E19"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Vehículo </w:t>
            </w:r>
          </w:p>
          <w:p w14:paraId="1DF6F94F"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054" w:type="dxa"/>
            <w:vMerge/>
            <w:tcBorders>
              <w:left w:val="nil"/>
              <w:bottom w:val="single" w:sz="4" w:space="0" w:color="auto"/>
              <w:right w:val="single" w:sz="8" w:space="0" w:color="auto"/>
            </w:tcBorders>
            <w:noWrap/>
            <w:vAlign w:val="center"/>
            <w:hideMark/>
          </w:tcPr>
          <w:p w14:paraId="26C71654" w14:textId="77777777" w:rsidR="007D796A" w:rsidRPr="007D796A" w:rsidRDefault="007D796A" w:rsidP="007D796A">
            <w:pPr>
              <w:spacing w:after="0" w:line="240" w:lineRule="auto"/>
              <w:ind w:hanging="370"/>
              <w:rPr>
                <w:rFonts w:ascii="Calibri" w:eastAsia="Times New Roman" w:hAnsi="Calibri" w:cs="Calibri"/>
                <w:color w:val="000000"/>
                <w:kern w:val="0"/>
                <w:sz w:val="16"/>
                <w:szCs w:val="16"/>
                <w:lang w:val="es-ES" w:eastAsia="en-MY"/>
                <w14:ligatures w14:val="none"/>
              </w:rPr>
            </w:pPr>
          </w:p>
        </w:tc>
        <w:tc>
          <w:tcPr>
            <w:tcW w:w="1391" w:type="dxa"/>
            <w:tcBorders>
              <w:top w:val="nil"/>
              <w:left w:val="single" w:sz="8" w:space="0" w:color="auto"/>
              <w:bottom w:val="single" w:sz="8" w:space="0" w:color="000000"/>
              <w:right w:val="single" w:sz="8" w:space="0" w:color="auto"/>
            </w:tcBorders>
            <w:vAlign w:val="center"/>
            <w:hideMark/>
          </w:tcPr>
          <w:p w14:paraId="3EB06B0F"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524" w:type="dxa"/>
            <w:tcBorders>
              <w:top w:val="nil"/>
              <w:left w:val="nil"/>
              <w:bottom w:val="single" w:sz="8" w:space="0" w:color="auto"/>
              <w:right w:val="single" w:sz="8" w:space="0" w:color="auto"/>
            </w:tcBorders>
            <w:vAlign w:val="center"/>
            <w:hideMark/>
          </w:tcPr>
          <w:p w14:paraId="1107F06D"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r w:rsidRPr="007D796A">
              <w:rPr>
                <w:rFonts w:ascii="Calibri" w:eastAsia="Times New Roman" w:hAnsi="Calibri" w:cs="Calibri"/>
                <w:color w:val="000000"/>
                <w:kern w:val="0"/>
                <w:sz w:val="16"/>
                <w:szCs w:val="16"/>
                <w:lang w:val="es-ES" w:eastAsia="en-MY"/>
                <w14:ligatures w14:val="none"/>
              </w:rPr>
              <w:t>Profesionales internacionales (P1-P4) excepto temporaries. Fuera de lugares de asignación en el Grupo 1</w:t>
            </w:r>
          </w:p>
        </w:tc>
        <w:tc>
          <w:tcPr>
            <w:tcW w:w="1924" w:type="dxa"/>
            <w:tcBorders>
              <w:top w:val="nil"/>
              <w:left w:val="nil"/>
              <w:bottom w:val="single" w:sz="8" w:space="0" w:color="auto"/>
              <w:right w:val="single" w:sz="8" w:space="0" w:color="auto"/>
            </w:tcBorders>
            <w:noWrap/>
            <w:vAlign w:val="center"/>
            <w:hideMark/>
          </w:tcPr>
          <w:p w14:paraId="789F2E21"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r w:rsidRPr="007D796A">
              <w:rPr>
                <w:rFonts w:ascii="Calibri" w:eastAsia="Times New Roman" w:hAnsi="Calibri" w:cs="Calibri"/>
                <w:color w:val="000000"/>
                <w:kern w:val="0"/>
                <w:sz w:val="16"/>
                <w:szCs w:val="16"/>
                <w:lang w:val="es-ES" w:eastAsia="en-MY"/>
                <w14:ligatures w14:val="none"/>
              </w:rPr>
              <w:t>$7,500</w:t>
            </w:r>
          </w:p>
        </w:tc>
        <w:tc>
          <w:tcPr>
            <w:tcW w:w="1763" w:type="dxa"/>
            <w:tcBorders>
              <w:top w:val="nil"/>
              <w:left w:val="nil"/>
              <w:bottom w:val="single" w:sz="8" w:space="0" w:color="auto"/>
              <w:right w:val="single" w:sz="8" w:space="0" w:color="auto"/>
            </w:tcBorders>
            <w:vAlign w:val="center"/>
            <w:hideMark/>
          </w:tcPr>
          <w:p w14:paraId="0DB9B276"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r w:rsidRPr="007D796A">
              <w:rPr>
                <w:rFonts w:ascii="Calibri" w:eastAsia="Times New Roman" w:hAnsi="Calibri" w:cs="Calibri"/>
                <w:color w:val="000000"/>
                <w:kern w:val="0"/>
                <w:sz w:val="16"/>
                <w:szCs w:val="16"/>
                <w:lang w:val="es-ES" w:eastAsia="en-MY"/>
                <w14:ligatures w14:val="none"/>
              </w:rPr>
              <w:t>En 12 meses o al final del contrato, lo que ocurra primero</w:t>
            </w:r>
          </w:p>
        </w:tc>
        <w:tc>
          <w:tcPr>
            <w:tcW w:w="1653" w:type="dxa"/>
            <w:gridSpan w:val="2"/>
            <w:tcBorders>
              <w:top w:val="nil"/>
              <w:left w:val="nil"/>
              <w:bottom w:val="single" w:sz="8" w:space="0" w:color="auto"/>
              <w:right w:val="single" w:sz="8" w:space="0" w:color="auto"/>
            </w:tcBorders>
            <w:vAlign w:val="center"/>
            <w:hideMark/>
          </w:tcPr>
          <w:p w14:paraId="27FFFFC2"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r w:rsidRPr="007D796A">
              <w:rPr>
                <w:rFonts w:ascii="Calibri" w:eastAsia="Times New Roman" w:hAnsi="Calibri" w:cs="Calibri"/>
                <w:color w:val="000000"/>
                <w:kern w:val="0"/>
                <w:sz w:val="16"/>
                <w:szCs w:val="16"/>
                <w:lang w:val="es-ES" w:eastAsia="en-MY"/>
                <w14:ligatures w14:val="none"/>
              </w:rPr>
              <w:t>Sólo una vez dentro de los 6 meses del contrato inicial o reasignación</w:t>
            </w:r>
          </w:p>
        </w:tc>
      </w:tr>
      <w:tr w:rsidR="007D796A" w:rsidRPr="007D796A" w14:paraId="2D534207" w14:textId="77777777" w:rsidTr="002A2322">
        <w:trPr>
          <w:trHeight w:val="662"/>
        </w:trPr>
        <w:tc>
          <w:tcPr>
            <w:tcW w:w="1310" w:type="dxa"/>
            <w:tcBorders>
              <w:top w:val="nil"/>
              <w:left w:val="single" w:sz="8" w:space="0" w:color="auto"/>
              <w:bottom w:val="single" w:sz="8" w:space="0" w:color="auto"/>
              <w:right w:val="single" w:sz="8" w:space="0" w:color="auto"/>
            </w:tcBorders>
            <w:noWrap/>
            <w:vAlign w:val="center"/>
          </w:tcPr>
          <w:p w14:paraId="566DB856"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Emergencia - A granel </w:t>
            </w:r>
          </w:p>
          <w:p w14:paraId="4A459741"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054" w:type="dxa"/>
            <w:tcBorders>
              <w:top w:val="single" w:sz="4" w:space="0" w:color="auto"/>
              <w:left w:val="nil"/>
              <w:bottom w:val="single" w:sz="8" w:space="0" w:color="auto"/>
              <w:right w:val="single" w:sz="8" w:space="0" w:color="auto"/>
            </w:tcBorders>
            <w:noWrap/>
            <w:vAlign w:val="center"/>
          </w:tcPr>
          <w:p w14:paraId="6AC8748C"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Coordinador de RRHH </w:t>
            </w:r>
          </w:p>
          <w:p w14:paraId="272C1A31"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391" w:type="dxa"/>
            <w:tcBorders>
              <w:top w:val="nil"/>
              <w:left w:val="single" w:sz="8" w:space="0" w:color="auto"/>
              <w:bottom w:val="single" w:sz="8" w:space="0" w:color="000000"/>
              <w:right w:val="single" w:sz="8" w:space="0" w:color="auto"/>
            </w:tcBorders>
            <w:vAlign w:val="center"/>
          </w:tcPr>
          <w:p w14:paraId="61F5A30A"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Administrador Adjunto y Director, BMS </w:t>
            </w:r>
          </w:p>
          <w:p w14:paraId="277C9D49"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524" w:type="dxa"/>
            <w:tcBorders>
              <w:top w:val="nil"/>
              <w:left w:val="nil"/>
              <w:bottom w:val="single" w:sz="8" w:space="0" w:color="auto"/>
              <w:right w:val="single" w:sz="8" w:space="0" w:color="auto"/>
            </w:tcBorders>
            <w:vAlign w:val="center"/>
          </w:tcPr>
          <w:p w14:paraId="72AACD83"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Todo el personal en el lugar de destino específico </w:t>
            </w:r>
          </w:p>
          <w:p w14:paraId="1D9B0C2F"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5340" w:type="dxa"/>
            <w:gridSpan w:val="4"/>
            <w:tcBorders>
              <w:top w:val="single" w:sz="8" w:space="0" w:color="auto"/>
              <w:left w:val="single" w:sz="8" w:space="0" w:color="auto"/>
              <w:bottom w:val="single" w:sz="8" w:space="0" w:color="000000"/>
              <w:right w:val="single" w:sz="8" w:space="0" w:color="000000"/>
            </w:tcBorders>
            <w:vAlign w:val="center"/>
          </w:tcPr>
          <w:p w14:paraId="602F28A3" w14:textId="77777777" w:rsidR="007D796A" w:rsidRPr="007D796A" w:rsidRDefault="007D796A" w:rsidP="007D796A">
            <w:pPr>
              <w:autoSpaceDE w:val="0"/>
              <w:autoSpaceDN w:val="0"/>
              <w:adjustRightInd w:val="0"/>
              <w:spacing w:after="0" w:line="240" w:lineRule="auto"/>
              <w:jc w:val="center"/>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Según se determine en el momento de la aprobación </w:t>
            </w:r>
          </w:p>
          <w:p w14:paraId="0C36CC96" w14:textId="77777777" w:rsidR="007D796A" w:rsidRPr="007D796A" w:rsidRDefault="007D796A" w:rsidP="007D796A">
            <w:pPr>
              <w:spacing w:after="0" w:line="240" w:lineRule="auto"/>
              <w:jc w:val="center"/>
              <w:rPr>
                <w:rFonts w:ascii="Calibri" w:eastAsia="Times New Roman" w:hAnsi="Calibri" w:cs="Calibri"/>
                <w:color w:val="000000"/>
                <w:kern w:val="0"/>
                <w:sz w:val="16"/>
                <w:szCs w:val="16"/>
                <w:lang w:val="es-ES" w:eastAsia="en-MY"/>
                <w14:ligatures w14:val="none"/>
              </w:rPr>
            </w:pPr>
          </w:p>
        </w:tc>
      </w:tr>
      <w:tr w:rsidR="007D796A" w:rsidRPr="007D796A" w14:paraId="4F633AE6" w14:textId="77777777" w:rsidTr="002A2322">
        <w:trPr>
          <w:trHeight w:val="662"/>
        </w:trPr>
        <w:tc>
          <w:tcPr>
            <w:tcW w:w="1310" w:type="dxa"/>
            <w:tcBorders>
              <w:top w:val="nil"/>
              <w:left w:val="single" w:sz="8" w:space="0" w:color="auto"/>
              <w:bottom w:val="single" w:sz="8" w:space="0" w:color="auto"/>
              <w:right w:val="single" w:sz="8" w:space="0" w:color="auto"/>
            </w:tcBorders>
            <w:noWrap/>
            <w:vAlign w:val="center"/>
          </w:tcPr>
          <w:p w14:paraId="6E18CE79"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Emergencia - Personal </w:t>
            </w:r>
          </w:p>
          <w:p w14:paraId="48B5E02F"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054" w:type="dxa"/>
            <w:tcBorders>
              <w:top w:val="single" w:sz="4" w:space="0" w:color="auto"/>
              <w:left w:val="nil"/>
              <w:bottom w:val="single" w:sz="8" w:space="0" w:color="auto"/>
              <w:right w:val="single" w:sz="8" w:space="0" w:color="auto"/>
            </w:tcBorders>
            <w:noWrap/>
            <w:vAlign w:val="center"/>
          </w:tcPr>
          <w:p w14:paraId="04663808"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Miembro del personal/Titular de la APS </w:t>
            </w:r>
          </w:p>
          <w:p w14:paraId="60802CEC"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391" w:type="dxa"/>
            <w:tcBorders>
              <w:top w:val="nil"/>
              <w:left w:val="single" w:sz="8" w:space="0" w:color="auto"/>
              <w:bottom w:val="single" w:sz="8" w:space="0" w:color="000000"/>
              <w:right w:val="single" w:sz="8" w:space="0" w:color="auto"/>
            </w:tcBorders>
            <w:vAlign w:val="center"/>
          </w:tcPr>
          <w:p w14:paraId="30484568"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Jefe o Director de la Oficina o Administrador Adjunto y Director, BMS </w:t>
            </w:r>
          </w:p>
          <w:p w14:paraId="5F9B814B"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524" w:type="dxa"/>
            <w:tcBorders>
              <w:top w:val="nil"/>
              <w:left w:val="nil"/>
              <w:bottom w:val="single" w:sz="8" w:space="0" w:color="auto"/>
              <w:right w:val="single" w:sz="8" w:space="0" w:color="auto"/>
            </w:tcBorders>
            <w:vAlign w:val="center"/>
          </w:tcPr>
          <w:p w14:paraId="6BBC0444"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r w:rsidRPr="007D796A">
              <w:rPr>
                <w:rFonts w:ascii="Calibri" w:eastAsia="Times New Roman" w:hAnsi="Calibri" w:cs="Calibri"/>
                <w:color w:val="000000"/>
                <w:kern w:val="0"/>
                <w:sz w:val="16"/>
                <w:szCs w:val="16"/>
                <w:lang w:val="es-ES" w:eastAsia="en-MY"/>
                <w14:ligatures w14:val="none"/>
              </w:rPr>
              <w:t>Todo el personal</w:t>
            </w:r>
          </w:p>
        </w:tc>
        <w:tc>
          <w:tcPr>
            <w:tcW w:w="1924" w:type="dxa"/>
            <w:tcBorders>
              <w:top w:val="single" w:sz="8" w:space="0" w:color="auto"/>
              <w:left w:val="single" w:sz="8" w:space="0" w:color="auto"/>
              <w:bottom w:val="single" w:sz="8" w:space="0" w:color="000000"/>
              <w:right w:val="single" w:sz="8" w:space="0" w:color="000000"/>
            </w:tcBorders>
            <w:vAlign w:val="center"/>
          </w:tcPr>
          <w:p w14:paraId="26FCA5BB"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Dos (2) meses de salario neto </w:t>
            </w:r>
          </w:p>
          <w:p w14:paraId="456EC8AE"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816" w:type="dxa"/>
            <w:gridSpan w:val="2"/>
            <w:tcBorders>
              <w:top w:val="single" w:sz="8" w:space="0" w:color="auto"/>
              <w:left w:val="single" w:sz="8" w:space="0" w:color="auto"/>
              <w:bottom w:val="single" w:sz="8" w:space="0" w:color="000000"/>
              <w:right w:val="single" w:sz="8" w:space="0" w:color="000000"/>
            </w:tcBorders>
            <w:vAlign w:val="center"/>
          </w:tcPr>
          <w:p w14:paraId="46159B92"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12 meses o fin de contrato, lo que ocurra primero </w:t>
            </w:r>
          </w:p>
          <w:p w14:paraId="45FDFA25"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p>
        </w:tc>
        <w:tc>
          <w:tcPr>
            <w:tcW w:w="1600" w:type="dxa"/>
            <w:tcBorders>
              <w:top w:val="single" w:sz="8" w:space="0" w:color="auto"/>
              <w:left w:val="single" w:sz="8" w:space="0" w:color="auto"/>
              <w:bottom w:val="single" w:sz="8" w:space="0" w:color="000000"/>
              <w:right w:val="single" w:sz="8" w:space="0" w:color="000000"/>
            </w:tcBorders>
            <w:vAlign w:val="center"/>
          </w:tcPr>
          <w:p w14:paraId="3B722992"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(1) Para condiciones específicas definidas relacionadas con el personal/titular de un APS o persona a su cargo reconocida por el PNUD </w:t>
            </w:r>
          </w:p>
          <w:p w14:paraId="25B18E7F" w14:textId="77777777" w:rsidR="007D796A" w:rsidRPr="007D796A" w:rsidRDefault="007D796A" w:rsidP="007D796A">
            <w:pPr>
              <w:autoSpaceDE w:val="0"/>
              <w:autoSpaceDN w:val="0"/>
              <w:adjustRightInd w:val="0"/>
              <w:spacing w:after="0" w:line="240" w:lineRule="auto"/>
              <w:rPr>
                <w:rFonts w:ascii="Calibri" w:eastAsia="Times New Roman" w:hAnsi="Calibri" w:cs="Calibri"/>
                <w:color w:val="000000"/>
                <w:kern w:val="0"/>
                <w:sz w:val="16"/>
                <w:szCs w:val="16"/>
                <w:lang w:val="es-ES" w:eastAsia="en-GB"/>
                <w14:ligatures w14:val="none"/>
              </w:rPr>
            </w:pPr>
            <w:r w:rsidRPr="007D796A">
              <w:rPr>
                <w:rFonts w:ascii="Calibri" w:eastAsia="Times New Roman" w:hAnsi="Calibri" w:cs="Calibri"/>
                <w:color w:val="000000"/>
                <w:kern w:val="0"/>
                <w:sz w:val="16"/>
                <w:szCs w:val="16"/>
                <w:lang w:val="es-ES" w:eastAsia="en-GB"/>
                <w14:ligatures w14:val="none"/>
              </w:rPr>
              <w:t xml:space="preserve">(2) Se requiere una prueba oficial de emergencia </w:t>
            </w:r>
          </w:p>
          <w:p w14:paraId="27B46A6A" w14:textId="77777777" w:rsidR="007D796A" w:rsidRPr="007D796A" w:rsidRDefault="007D796A" w:rsidP="007D796A">
            <w:pPr>
              <w:spacing w:after="0" w:line="240" w:lineRule="auto"/>
              <w:rPr>
                <w:rFonts w:ascii="Calibri" w:eastAsia="Times New Roman" w:hAnsi="Calibri" w:cs="Calibri"/>
                <w:color w:val="000000"/>
                <w:kern w:val="0"/>
                <w:sz w:val="16"/>
                <w:szCs w:val="16"/>
                <w:lang w:val="es-ES" w:eastAsia="en-MY"/>
                <w14:ligatures w14:val="none"/>
              </w:rPr>
            </w:pPr>
            <w:r w:rsidRPr="007D796A">
              <w:rPr>
                <w:rFonts w:ascii="Calibri" w:eastAsia="Calibri" w:hAnsi="Calibri" w:cs="Calibri"/>
                <w:color w:val="000000"/>
                <w:kern w:val="0"/>
                <w:sz w:val="16"/>
                <w:szCs w:val="16"/>
                <w:lang w:val="es-ES" w:eastAsia="en-GB"/>
                <w14:ligatures w14:val="none"/>
              </w:rPr>
              <w:t xml:space="preserve">(3) Sólo un anticipo en un periodo de 12 meses </w:t>
            </w:r>
          </w:p>
        </w:tc>
      </w:tr>
    </w:tbl>
    <w:p w14:paraId="2CD773F4" w14:textId="77777777" w:rsidR="007D796A" w:rsidRPr="007D796A" w:rsidRDefault="007D796A" w:rsidP="007D796A">
      <w:pPr>
        <w:spacing w:after="14" w:line="259" w:lineRule="auto"/>
        <w:ind w:left="512" w:hanging="370"/>
        <w:rPr>
          <w:rFonts w:ascii="Calibri" w:eastAsia="Calibri" w:hAnsi="Calibri" w:cs="Calibri"/>
          <w:color w:val="000000"/>
          <w:kern w:val="0"/>
          <w:sz w:val="22"/>
          <w:szCs w:val="22"/>
          <w:lang w:val="es-ES" w:eastAsia="en-GB"/>
          <w14:ligatures w14:val="none"/>
        </w:rPr>
      </w:pPr>
    </w:p>
    <w:p w14:paraId="2FD1FB93" w14:textId="77777777" w:rsidR="007D796A" w:rsidRPr="00B91C40" w:rsidRDefault="007D796A" w:rsidP="002A2322">
      <w:pPr>
        <w:pStyle w:val="NormalWeb"/>
        <w:shd w:val="clear" w:color="auto" w:fill="FFFFFF"/>
        <w:spacing w:before="0" w:beforeAutospacing="0" w:after="0" w:afterAutospacing="0"/>
        <w:ind w:right="-890"/>
        <w:rPr>
          <w:rFonts w:ascii="Calibri" w:hAnsi="Calibri"/>
          <w:color w:val="000000"/>
          <w:sz w:val="22"/>
          <w:szCs w:val="22"/>
        </w:rPr>
      </w:pPr>
      <w:r w:rsidRPr="00B91C40">
        <w:rPr>
          <w:rFonts w:ascii="Calibri" w:hAnsi="Calibri"/>
          <w:b/>
          <w:bCs/>
          <w:i/>
          <w:iCs/>
          <w:color w:val="212121"/>
          <w:sz w:val="22"/>
          <w:szCs w:val="22"/>
        </w:rPr>
        <w:t>Disclaimer:</w:t>
      </w:r>
      <w:r w:rsidRPr="00B91C40">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25AD0B86" w14:textId="77777777" w:rsidR="007D796A" w:rsidRPr="00B91C40" w:rsidRDefault="007D796A" w:rsidP="002A2322">
      <w:pPr>
        <w:pStyle w:val="NormalWeb"/>
        <w:shd w:val="clear" w:color="auto" w:fill="FFFFFF"/>
        <w:spacing w:before="0" w:beforeAutospacing="0" w:after="0" w:afterAutospacing="0"/>
        <w:ind w:right="-890"/>
        <w:rPr>
          <w:rFonts w:ascii="Calibri" w:hAnsi="Calibri"/>
          <w:color w:val="000000"/>
          <w:sz w:val="22"/>
          <w:szCs w:val="22"/>
        </w:rPr>
      </w:pPr>
      <w:r w:rsidRPr="00B91C40">
        <w:rPr>
          <w:rFonts w:ascii="Calibri" w:hAnsi="Calibri"/>
          <w:i/>
          <w:iCs/>
          <w:color w:val="212121"/>
          <w:sz w:val="22"/>
          <w:szCs w:val="22"/>
        </w:rPr>
        <w:t> </w:t>
      </w:r>
    </w:p>
    <w:p w14:paraId="7A9FD457" w14:textId="77777777" w:rsidR="007D796A" w:rsidRPr="00B91C40" w:rsidRDefault="007D796A" w:rsidP="002A2322">
      <w:pPr>
        <w:pStyle w:val="NormalWeb"/>
        <w:shd w:val="clear" w:color="auto" w:fill="FFFFFF"/>
        <w:spacing w:before="0" w:beforeAutospacing="0" w:after="0" w:afterAutospacing="0"/>
        <w:ind w:right="-890"/>
        <w:rPr>
          <w:rFonts w:ascii="Calibri" w:hAnsi="Calibri"/>
          <w:color w:val="000000"/>
          <w:sz w:val="22"/>
          <w:szCs w:val="22"/>
          <w:lang w:val="es-ES_tradnl"/>
        </w:rPr>
      </w:pPr>
      <w:r w:rsidRPr="00B91C40">
        <w:rPr>
          <w:rFonts w:ascii="Calibri" w:hAnsi="Calibri"/>
          <w:b/>
          <w:bCs/>
          <w:i/>
          <w:iCs/>
          <w:color w:val="212121"/>
          <w:sz w:val="22"/>
          <w:szCs w:val="22"/>
          <w:shd w:val="clear" w:color="auto" w:fill="FFFFFF"/>
          <w:lang w:val="es-ES_tradnl"/>
        </w:rPr>
        <w:t>Descargo de responsabilidad:</w:t>
      </w:r>
      <w:r w:rsidRPr="00B91C40">
        <w:rPr>
          <w:rFonts w:ascii="Calibri" w:hAnsi="Calibri"/>
          <w:i/>
          <w:iCs/>
          <w:color w:val="212121"/>
          <w:sz w:val="22"/>
          <w:szCs w:val="22"/>
          <w:shd w:val="clear" w:color="auto" w:fill="FFFFFF"/>
          <w:lang w:val="es-ES_tradnl"/>
        </w:rPr>
        <w:t xml:space="preserve"> esta es una traducción de un documento original en inglés. </w:t>
      </w:r>
      <w:r w:rsidRPr="00B91C40">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0297308E" w14:textId="77777777" w:rsidR="00DA504D" w:rsidRPr="002A2322" w:rsidRDefault="00DA504D">
      <w:pPr>
        <w:rPr>
          <w:rFonts w:ascii="Calibri" w:hAnsi="Calibri" w:cs="Calibri"/>
        </w:rPr>
      </w:pPr>
    </w:p>
    <w:sectPr w:rsidR="00DA504D" w:rsidRPr="002A2322" w:rsidSect="002A2322">
      <w:headerReference w:type="default" r:id="rId13"/>
      <w:footerReference w:type="even" r:id="rId14"/>
      <w:footerReference w:type="default" r:id="rId15"/>
      <w:headerReference w:type="first" r:id="rId16"/>
      <w:footerReference w:type="first" r:id="rId17"/>
      <w:pgSz w:w="12240" w:h="15840"/>
      <w:pgMar w:top="1836" w:right="1790" w:bottom="1350" w:left="1800" w:header="720" w:footer="7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32DA" w14:textId="77777777" w:rsidR="00DF5798" w:rsidRDefault="00DF5798" w:rsidP="007D796A">
      <w:pPr>
        <w:spacing w:after="0" w:line="240" w:lineRule="auto"/>
      </w:pPr>
      <w:r>
        <w:separator/>
      </w:r>
    </w:p>
  </w:endnote>
  <w:endnote w:type="continuationSeparator" w:id="0">
    <w:p w14:paraId="5E77181F" w14:textId="77777777" w:rsidR="00DF5798" w:rsidRDefault="00DF5798" w:rsidP="007D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39EE" w14:textId="77777777" w:rsidR="007D796A" w:rsidRDefault="007D796A">
    <w:pPr>
      <w:spacing w:after="1432" w:line="259" w:lineRule="auto"/>
      <w:ind w:left="619"/>
    </w:pPr>
    <w:r>
      <w:rPr>
        <w:rFonts w:ascii="Arial" w:hAnsi="Arial"/>
      </w:rPr>
      <w:t xml:space="preserve"> </w:t>
    </w:r>
  </w:p>
  <w:p w14:paraId="30E62E83" w14:textId="77777777" w:rsidR="007D796A" w:rsidRDefault="007D796A">
    <w:pPr>
      <w:spacing w:after="0" w:line="259" w:lineRule="auto"/>
      <w:ind w:right="7"/>
      <w:jc w:val="center"/>
    </w:pPr>
    <w:r>
      <w:fldChar w:fldCharType="begin"/>
    </w:r>
    <w:r>
      <w:instrText xml:space="preserve"> PAGE   \* MERGEFORMAT </w:instrText>
    </w:r>
    <w:r>
      <w:fldChar w:fldCharType="separate"/>
    </w:r>
    <w:r>
      <w:rPr>
        <w:noProof/>
      </w:rPr>
      <w:t>2</w:t>
    </w:r>
    <w:r>
      <w:fldChar w:fldCharType="end"/>
    </w:r>
    <w:r>
      <w:t xml:space="preserve">  </w:t>
    </w:r>
  </w:p>
  <w:p w14:paraId="09932345" w14:textId="77777777" w:rsidR="007D796A" w:rsidRDefault="007D796A">
    <w:pPr>
      <w:spacing w:after="0" w:line="259" w:lineRule="auto"/>
    </w:pPr>
    <w:r>
      <w:rPr>
        <w:rFonts w:ascii="Times New Roman" w:hAnsi="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64E8" w14:textId="77777777" w:rsidR="007D796A" w:rsidRPr="002A2322" w:rsidRDefault="007D796A">
    <w:pPr>
      <w:spacing w:after="0" w:line="259" w:lineRule="auto"/>
      <w:rPr>
        <w:rFonts w:ascii="Calibri" w:hAnsi="Calibri" w:cs="Calibri"/>
        <w:sz w:val="22"/>
        <w:szCs w:val="22"/>
      </w:rPr>
    </w:pPr>
    <w:r w:rsidRPr="002A2322">
      <w:rPr>
        <w:rFonts w:ascii="Calibri" w:hAnsi="Calibri" w:cs="Calibri"/>
        <w:sz w:val="22"/>
        <w:szCs w:val="22"/>
      </w:rPr>
      <w:t xml:space="preserve">Página </w:t>
    </w:r>
    <w:r w:rsidRPr="002A2322">
      <w:rPr>
        <w:rFonts w:ascii="Calibri" w:hAnsi="Calibri" w:cs="Calibri"/>
        <w:b/>
        <w:bCs/>
        <w:sz w:val="22"/>
        <w:szCs w:val="22"/>
      </w:rPr>
      <w:fldChar w:fldCharType="begin"/>
    </w:r>
    <w:r w:rsidRPr="002A2322">
      <w:rPr>
        <w:rFonts w:ascii="Calibri" w:hAnsi="Calibri" w:cs="Calibri"/>
        <w:b/>
        <w:bCs/>
        <w:sz w:val="22"/>
        <w:szCs w:val="22"/>
      </w:rPr>
      <w:instrText xml:space="preserve"> PAGE  \* Arabic  \* MERGEFORMAT </w:instrText>
    </w:r>
    <w:r w:rsidRPr="002A2322">
      <w:rPr>
        <w:rFonts w:ascii="Calibri" w:hAnsi="Calibri" w:cs="Calibri"/>
        <w:b/>
        <w:bCs/>
        <w:sz w:val="22"/>
        <w:szCs w:val="22"/>
      </w:rPr>
      <w:fldChar w:fldCharType="separate"/>
    </w:r>
    <w:r w:rsidRPr="002A2322">
      <w:rPr>
        <w:rFonts w:ascii="Calibri" w:hAnsi="Calibri" w:cs="Calibri"/>
        <w:b/>
        <w:bCs/>
        <w:noProof/>
        <w:sz w:val="22"/>
        <w:szCs w:val="22"/>
      </w:rPr>
      <w:t>1</w:t>
    </w:r>
    <w:r w:rsidRPr="002A2322">
      <w:rPr>
        <w:rFonts w:ascii="Calibri" w:hAnsi="Calibri" w:cs="Calibri"/>
        <w:b/>
        <w:bCs/>
        <w:sz w:val="22"/>
        <w:szCs w:val="22"/>
      </w:rPr>
      <w:fldChar w:fldCharType="end"/>
    </w:r>
    <w:r w:rsidRPr="002A2322">
      <w:rPr>
        <w:rFonts w:ascii="Calibri" w:hAnsi="Calibri" w:cs="Calibri"/>
        <w:sz w:val="22"/>
        <w:szCs w:val="22"/>
      </w:rPr>
      <w:t xml:space="preserve"> de </w:t>
    </w:r>
    <w:r w:rsidRPr="002A2322">
      <w:rPr>
        <w:rFonts w:ascii="Calibri" w:hAnsi="Calibri" w:cs="Calibri"/>
        <w:b/>
        <w:bCs/>
        <w:sz w:val="22"/>
        <w:szCs w:val="22"/>
      </w:rPr>
      <w:fldChar w:fldCharType="begin"/>
    </w:r>
    <w:r w:rsidRPr="002A2322">
      <w:rPr>
        <w:rFonts w:ascii="Calibri" w:hAnsi="Calibri" w:cs="Calibri"/>
        <w:b/>
        <w:bCs/>
        <w:sz w:val="22"/>
        <w:szCs w:val="22"/>
      </w:rPr>
      <w:instrText xml:space="preserve"> NUMPAGES  \* Arabic  \* MERGEFORMAT </w:instrText>
    </w:r>
    <w:r w:rsidRPr="002A2322">
      <w:rPr>
        <w:rFonts w:ascii="Calibri" w:hAnsi="Calibri" w:cs="Calibri"/>
        <w:b/>
        <w:bCs/>
        <w:sz w:val="22"/>
        <w:szCs w:val="22"/>
      </w:rPr>
      <w:fldChar w:fldCharType="separate"/>
    </w:r>
    <w:r w:rsidRPr="002A2322">
      <w:rPr>
        <w:rFonts w:ascii="Calibri" w:hAnsi="Calibri" w:cs="Calibri"/>
        <w:b/>
        <w:bCs/>
        <w:noProof/>
        <w:sz w:val="22"/>
        <w:szCs w:val="22"/>
      </w:rPr>
      <w:t>7</w:t>
    </w:r>
    <w:r w:rsidRPr="002A2322">
      <w:rPr>
        <w:rFonts w:ascii="Calibri" w:hAnsi="Calibri" w:cs="Calibri"/>
        <w:b/>
        <w:bCs/>
        <w:sz w:val="22"/>
        <w:szCs w:val="22"/>
      </w:rPr>
      <w:fldChar w:fldCharType="end"/>
    </w:r>
    <w:r w:rsidRPr="002A2322">
      <w:rPr>
        <w:rFonts w:ascii="Calibri" w:hAnsi="Calibri" w:cs="Calibri"/>
        <w:sz w:val="22"/>
        <w:szCs w:val="22"/>
      </w:rPr>
      <w:ptab w:relativeTo="margin" w:alignment="center" w:leader="none"/>
    </w:r>
    <w:r w:rsidRPr="002A2322">
      <w:rPr>
        <w:rFonts w:ascii="Calibri" w:hAnsi="Calibri" w:cs="Calibri"/>
        <w:sz w:val="22"/>
        <w:szCs w:val="22"/>
      </w:rPr>
      <w:t xml:space="preserve">Fecha de entrada en vigor: 15/01/2023 </w:t>
    </w:r>
    <w:r w:rsidRPr="002A2322">
      <w:rPr>
        <w:rFonts w:ascii="Calibri" w:hAnsi="Calibri" w:cs="Calibri"/>
        <w:sz w:val="22"/>
        <w:szCs w:val="22"/>
      </w:rPr>
      <w:ptab w:relativeTo="margin" w:alignment="right" w:leader="none"/>
    </w:r>
    <w:r w:rsidRPr="002A2322">
      <w:rPr>
        <w:rFonts w:ascii="Calibri" w:hAnsi="Calibri" w:cs="Calibri"/>
        <w:sz w:val="22"/>
        <w:szCs w:val="22"/>
      </w:rPr>
      <w:t xml:space="preserve">Versión #: </w:t>
    </w:r>
    <w:sdt>
      <w:sdtPr>
        <w:rPr>
          <w:rFonts w:ascii="Calibri" w:hAnsi="Calibri" w:cs="Calibri"/>
          <w:sz w:val="22"/>
          <w:szCs w:val="22"/>
        </w:rPr>
        <w:alias w:val="POPPRefItemVersion"/>
        <w:tag w:val="UNDP_POPP_REFITEM_VERSION"/>
        <w:id w:val="-208991144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E82C9A4-DDF6-43DA-8299-C46570CDD47C}"/>
        <w:text/>
      </w:sdtPr>
      <w:sdtContent>
        <w:r w:rsidRPr="002A2322">
          <w:rPr>
            <w:rFonts w:ascii="Calibri" w:hAnsi="Calibri" w:cs="Calibr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D07B" w14:textId="77777777" w:rsidR="007D796A" w:rsidRDefault="007D796A">
    <w:pPr>
      <w:spacing w:after="0" w:line="259" w:lineRule="auto"/>
      <w:ind w:right="7"/>
      <w:jc w:val="center"/>
    </w:pPr>
  </w:p>
  <w:p w14:paraId="23C2A1FA" w14:textId="77777777" w:rsidR="007D796A" w:rsidRDefault="007D796A">
    <w:pPr>
      <w:spacing w:after="0" w:line="259" w:lineRule="auto"/>
    </w:pPr>
    <w:r>
      <w:rPr>
        <w:rFonts w:ascii="Times New Roman" w:hAnsi="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7FF0" w14:textId="77777777" w:rsidR="00DF5798" w:rsidRDefault="00DF5798" w:rsidP="007D796A">
      <w:pPr>
        <w:spacing w:after="0" w:line="240" w:lineRule="auto"/>
      </w:pPr>
      <w:r>
        <w:separator/>
      </w:r>
    </w:p>
  </w:footnote>
  <w:footnote w:type="continuationSeparator" w:id="0">
    <w:p w14:paraId="132D6F8A" w14:textId="77777777" w:rsidR="00DF5798" w:rsidRDefault="00DF5798" w:rsidP="007D7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03B4" w14:textId="0AAE27CB" w:rsidR="007D796A" w:rsidRDefault="007D796A" w:rsidP="00BC515D">
    <w:pPr>
      <w:pStyle w:val="Header"/>
      <w:ind w:left="9010"/>
    </w:pPr>
    <w:r>
      <w:rPr>
        <w:noProof/>
      </w:rPr>
      <w:drawing>
        <wp:anchor distT="0" distB="0" distL="114300" distR="114300" simplePos="0" relativeHeight="251658240" behindDoc="0" locked="0" layoutInCell="1" allowOverlap="1" wp14:anchorId="191D16D5" wp14:editId="5E1B8429">
          <wp:simplePos x="0" y="0"/>
          <wp:positionH relativeFrom="column">
            <wp:posOffset>5669280</wp:posOffset>
          </wp:positionH>
          <wp:positionV relativeFrom="paragraph">
            <wp:posOffset>-281940</wp:posOffset>
          </wp:positionV>
          <wp:extent cx="591602" cy="900518"/>
          <wp:effectExtent l="0" t="0" r="0" b="0"/>
          <wp:wrapNone/>
          <wp:docPr id="824831916"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73792"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280" cy="904594"/>
                  </a:xfrm>
                  <a:prstGeom prst="rect">
                    <a:avLst/>
                  </a:prstGeom>
                </pic:spPr>
              </pic:pic>
            </a:graphicData>
          </a:graphic>
          <wp14:sizeRelH relativeFrom="margin">
            <wp14:pctWidth>0</wp14:pctWidth>
          </wp14:sizeRelH>
          <wp14:sizeRelV relativeFrom="margin">
            <wp14:pctHeight>0</wp14:pctHeight>
          </wp14:sizeRelV>
        </wp:anchor>
      </w:drawing>
    </w:r>
  </w:p>
  <w:p w14:paraId="41AEE7D5" w14:textId="77777777" w:rsidR="007D796A" w:rsidRDefault="007D7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EAC2" w14:textId="77777777" w:rsidR="007D796A" w:rsidRDefault="007D796A" w:rsidP="00EC281D">
    <w:pPr>
      <w:pStyle w:val="Header"/>
      <w:ind w:left="9010"/>
    </w:pPr>
    <w:r>
      <w:rPr>
        <w:noProof/>
      </w:rPr>
      <w:drawing>
        <wp:inline distT="0" distB="0" distL="0" distR="0" wp14:anchorId="5641369D" wp14:editId="1ED90D1D">
          <wp:extent cx="304800" cy="703072"/>
          <wp:effectExtent l="0" t="0" r="0" b="1905"/>
          <wp:docPr id="950143190" name="Picture 950143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04800" cy="703072"/>
                  </a:xfrm>
                  <a:prstGeom prst="rect">
                    <a:avLst/>
                  </a:prstGeom>
                </pic:spPr>
              </pic:pic>
            </a:graphicData>
          </a:graphic>
        </wp:inline>
      </w:drawing>
    </w:r>
  </w:p>
  <w:p w14:paraId="66321AAC" w14:textId="77777777" w:rsidR="007D796A" w:rsidRDefault="007D7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92A6E"/>
    <w:multiLevelType w:val="hybridMultilevel"/>
    <w:tmpl w:val="F984FA7A"/>
    <w:lvl w:ilvl="0" w:tplc="D562C0FA">
      <w:start w:val="1"/>
      <w:numFmt w:val="lowerLetter"/>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5CBBCA">
      <w:start w:val="1"/>
      <w:numFmt w:val="lowerRoman"/>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A4309E">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05596">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CE1D28">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CE86AA">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F81D78">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B65FB0">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C23A68">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FB5D3E"/>
    <w:multiLevelType w:val="hybridMultilevel"/>
    <w:tmpl w:val="D21060B0"/>
    <w:lvl w:ilvl="0" w:tplc="8E12C1E6">
      <w:start w:val="1"/>
      <w:numFmt w:val="lowerLetter"/>
      <w:lvlText w:val="(%1)"/>
      <w:lvlJc w:val="left"/>
      <w:pPr>
        <w:tabs>
          <w:tab w:val="num" w:pos="720"/>
        </w:tabs>
        <w:ind w:left="720" w:hanging="72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6261663D"/>
    <w:multiLevelType w:val="hybridMultilevel"/>
    <w:tmpl w:val="F1365E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49609E7"/>
    <w:multiLevelType w:val="hybridMultilevel"/>
    <w:tmpl w:val="170C6974"/>
    <w:lvl w:ilvl="0" w:tplc="D562C0FA">
      <w:start w:val="1"/>
      <w:numFmt w:val="lowerLetter"/>
      <w:lvlText w:val="(%1)"/>
      <w:lvlJc w:val="left"/>
      <w:pPr>
        <w:tabs>
          <w:tab w:val="num" w:pos="720"/>
        </w:tabs>
        <w:ind w:left="720" w:hanging="72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676D083E"/>
    <w:multiLevelType w:val="hybridMultilevel"/>
    <w:tmpl w:val="5D20260C"/>
    <w:lvl w:ilvl="0" w:tplc="B8F4E156">
      <w:start w:val="13"/>
      <w:numFmt w:val="decimal"/>
      <w:lvlText w:val="%1."/>
      <w:lvlJc w:val="left"/>
      <w:pPr>
        <w:ind w:left="428" w:firstLine="0"/>
      </w:pPr>
      <w:rPr>
        <w:rFonts w:ascii="Calibri" w:eastAsia="Calibri" w:hAnsi="Calibri" w:cs="Calibri" w:hint="default"/>
        <w:b w:val="0"/>
        <w:i w:val="0"/>
        <w:strike w:val="0"/>
        <w:dstrike w:val="0"/>
        <w:color w:val="000000"/>
        <w:sz w:val="22"/>
        <w:szCs w:val="22"/>
        <w:u w:val="none" w:color="000000"/>
        <w:vertAlign w:val="baseline"/>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87207FA"/>
    <w:multiLevelType w:val="hybridMultilevel"/>
    <w:tmpl w:val="60A038EE"/>
    <w:lvl w:ilvl="0" w:tplc="E912FF38">
      <w:start w:val="6"/>
      <w:numFmt w:val="decimal"/>
      <w:lvlText w:val="%1."/>
      <w:lvlJc w:val="left"/>
      <w:pPr>
        <w:ind w:left="428"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874" w:hanging="360"/>
      </w:pPr>
    </w:lvl>
    <w:lvl w:ilvl="2" w:tplc="2000001B" w:tentative="1">
      <w:start w:val="1"/>
      <w:numFmt w:val="lowerRoman"/>
      <w:lvlText w:val="%3."/>
      <w:lvlJc w:val="right"/>
      <w:pPr>
        <w:ind w:left="1594" w:hanging="180"/>
      </w:pPr>
    </w:lvl>
    <w:lvl w:ilvl="3" w:tplc="2000000F" w:tentative="1">
      <w:start w:val="1"/>
      <w:numFmt w:val="decimal"/>
      <w:lvlText w:val="%4."/>
      <w:lvlJc w:val="left"/>
      <w:pPr>
        <w:ind w:left="2314" w:hanging="360"/>
      </w:pPr>
    </w:lvl>
    <w:lvl w:ilvl="4" w:tplc="20000019" w:tentative="1">
      <w:start w:val="1"/>
      <w:numFmt w:val="lowerLetter"/>
      <w:lvlText w:val="%5."/>
      <w:lvlJc w:val="left"/>
      <w:pPr>
        <w:ind w:left="3034" w:hanging="360"/>
      </w:pPr>
    </w:lvl>
    <w:lvl w:ilvl="5" w:tplc="2000001B" w:tentative="1">
      <w:start w:val="1"/>
      <w:numFmt w:val="lowerRoman"/>
      <w:lvlText w:val="%6."/>
      <w:lvlJc w:val="right"/>
      <w:pPr>
        <w:ind w:left="3754" w:hanging="180"/>
      </w:pPr>
    </w:lvl>
    <w:lvl w:ilvl="6" w:tplc="2000000F" w:tentative="1">
      <w:start w:val="1"/>
      <w:numFmt w:val="decimal"/>
      <w:lvlText w:val="%7."/>
      <w:lvlJc w:val="left"/>
      <w:pPr>
        <w:ind w:left="4474" w:hanging="360"/>
      </w:pPr>
    </w:lvl>
    <w:lvl w:ilvl="7" w:tplc="20000019" w:tentative="1">
      <w:start w:val="1"/>
      <w:numFmt w:val="lowerLetter"/>
      <w:lvlText w:val="%8."/>
      <w:lvlJc w:val="left"/>
      <w:pPr>
        <w:ind w:left="5194" w:hanging="360"/>
      </w:pPr>
    </w:lvl>
    <w:lvl w:ilvl="8" w:tplc="2000001B" w:tentative="1">
      <w:start w:val="1"/>
      <w:numFmt w:val="lowerRoman"/>
      <w:lvlText w:val="%9."/>
      <w:lvlJc w:val="right"/>
      <w:pPr>
        <w:ind w:left="5914" w:hanging="180"/>
      </w:pPr>
    </w:lvl>
  </w:abstractNum>
  <w:num w:numId="1" w16cid:durableId="391467575">
    <w:abstractNumId w:val="0"/>
  </w:num>
  <w:num w:numId="2" w16cid:durableId="1945113120">
    <w:abstractNumId w:val="2"/>
  </w:num>
  <w:num w:numId="3" w16cid:durableId="1228154534">
    <w:abstractNumId w:val="5"/>
  </w:num>
  <w:num w:numId="4" w16cid:durableId="433324961">
    <w:abstractNumId w:val="4"/>
  </w:num>
  <w:num w:numId="5" w16cid:durableId="1722904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145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6A"/>
    <w:rsid w:val="002A2322"/>
    <w:rsid w:val="00695810"/>
    <w:rsid w:val="007D796A"/>
    <w:rsid w:val="00954126"/>
    <w:rsid w:val="00C61B9D"/>
    <w:rsid w:val="00C77ACA"/>
    <w:rsid w:val="00DA504D"/>
    <w:rsid w:val="00DF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0FFFC"/>
  <w15:chartTrackingRefBased/>
  <w15:docId w15:val="{C83DD637-2241-4535-9806-07B5C9DC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96A"/>
    <w:rPr>
      <w:rFonts w:eastAsiaTheme="majorEastAsia" w:cstheme="majorBidi"/>
      <w:color w:val="272727" w:themeColor="text1" w:themeTint="D8"/>
    </w:rPr>
  </w:style>
  <w:style w:type="paragraph" w:styleId="Title">
    <w:name w:val="Title"/>
    <w:basedOn w:val="Normal"/>
    <w:next w:val="Normal"/>
    <w:link w:val="TitleChar"/>
    <w:uiPriority w:val="10"/>
    <w:qFormat/>
    <w:rsid w:val="007D7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96A"/>
    <w:pPr>
      <w:spacing w:before="160"/>
      <w:jc w:val="center"/>
    </w:pPr>
    <w:rPr>
      <w:i/>
      <w:iCs/>
      <w:color w:val="404040" w:themeColor="text1" w:themeTint="BF"/>
    </w:rPr>
  </w:style>
  <w:style w:type="character" w:customStyle="1" w:styleId="QuoteChar">
    <w:name w:val="Quote Char"/>
    <w:basedOn w:val="DefaultParagraphFont"/>
    <w:link w:val="Quote"/>
    <w:uiPriority w:val="29"/>
    <w:rsid w:val="007D796A"/>
    <w:rPr>
      <w:i/>
      <w:iCs/>
      <w:color w:val="404040" w:themeColor="text1" w:themeTint="BF"/>
    </w:rPr>
  </w:style>
  <w:style w:type="paragraph" w:styleId="ListParagraph">
    <w:name w:val="List Paragraph"/>
    <w:basedOn w:val="Normal"/>
    <w:uiPriority w:val="34"/>
    <w:qFormat/>
    <w:rsid w:val="007D796A"/>
    <w:pPr>
      <w:ind w:left="720"/>
      <w:contextualSpacing/>
    </w:pPr>
  </w:style>
  <w:style w:type="character" w:styleId="IntenseEmphasis">
    <w:name w:val="Intense Emphasis"/>
    <w:basedOn w:val="DefaultParagraphFont"/>
    <w:uiPriority w:val="21"/>
    <w:qFormat/>
    <w:rsid w:val="007D796A"/>
    <w:rPr>
      <w:i/>
      <w:iCs/>
      <w:color w:val="0F4761" w:themeColor="accent1" w:themeShade="BF"/>
    </w:rPr>
  </w:style>
  <w:style w:type="paragraph" w:styleId="IntenseQuote">
    <w:name w:val="Intense Quote"/>
    <w:basedOn w:val="Normal"/>
    <w:next w:val="Normal"/>
    <w:link w:val="IntenseQuoteChar"/>
    <w:uiPriority w:val="30"/>
    <w:qFormat/>
    <w:rsid w:val="007D7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96A"/>
    <w:rPr>
      <w:i/>
      <w:iCs/>
      <w:color w:val="0F4761" w:themeColor="accent1" w:themeShade="BF"/>
    </w:rPr>
  </w:style>
  <w:style w:type="character" w:styleId="IntenseReference">
    <w:name w:val="Intense Reference"/>
    <w:basedOn w:val="DefaultParagraphFont"/>
    <w:uiPriority w:val="32"/>
    <w:qFormat/>
    <w:rsid w:val="007D796A"/>
    <w:rPr>
      <w:b/>
      <w:bCs/>
      <w:smallCaps/>
      <w:color w:val="0F4761" w:themeColor="accent1" w:themeShade="BF"/>
      <w:spacing w:val="5"/>
    </w:rPr>
  </w:style>
  <w:style w:type="paragraph" w:styleId="Header">
    <w:name w:val="header"/>
    <w:basedOn w:val="Normal"/>
    <w:link w:val="HeaderChar"/>
    <w:uiPriority w:val="99"/>
    <w:unhideWhenUsed/>
    <w:rsid w:val="007D7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96A"/>
  </w:style>
  <w:style w:type="paragraph" w:styleId="Revision">
    <w:name w:val="Revision"/>
    <w:hidden/>
    <w:uiPriority w:val="99"/>
    <w:semiHidden/>
    <w:rsid w:val="007D796A"/>
    <w:pPr>
      <w:spacing w:after="0" w:line="240" w:lineRule="auto"/>
    </w:pPr>
  </w:style>
  <w:style w:type="paragraph" w:styleId="NormalWeb">
    <w:name w:val="Normal (Web)"/>
    <w:basedOn w:val="Normal"/>
    <w:uiPriority w:val="99"/>
    <w:semiHidden/>
    <w:unhideWhenUsed/>
    <w:rsid w:val="007D796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easury.un.org/operationalrates/OperationalRates.asp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sc.un.org/Resources/COLD/Booklets/PABooklet.pdf?r=02131246" TargetMode="External"/><Relationship Id="rId12" Type="http://schemas.openxmlformats.org/officeDocument/2006/relationships/hyperlink" Target="https://icsc.un.org/Resources/COLD/Booklets/PABooklet.pdf?r=02131246"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easury.un.org/operationalrates/OperationalRates.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treasury.un.org/operationalrates/OperationalRates.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reasury.un.org/operationalrates/OperationalRates.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2661</Words>
  <Characters>15170</Characters>
  <Application>Microsoft Office Word</Application>
  <DocSecurity>0</DocSecurity>
  <Lines>126</Lines>
  <Paragraphs>35</Paragraphs>
  <ScaleCrop>false</ScaleCrop>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2026-05-14T20:02:00Z</dcterms:created>
  <dcterms:modified xsi:type="dcterms:W3CDTF">2026-05-14T20:12:00Z</dcterms:modified>
</cp:coreProperties>
</file>