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4D44E" w14:textId="77777777" w:rsidR="00AC3366" w:rsidRPr="00AC3366" w:rsidRDefault="00AC3366" w:rsidP="00AC3366">
      <w:pPr>
        <w:spacing w:after="0" w:line="259" w:lineRule="auto"/>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8"/>
          <w:szCs w:val="22"/>
          <w:lang w:val="en-GB" w:eastAsia="en-GB"/>
          <w14:ligatures w14:val="none"/>
        </w:rPr>
        <w:t>Salary Advance Policy</w:t>
      </w:r>
    </w:p>
    <w:p w14:paraId="369184CF" w14:textId="77777777" w:rsidR="00AC3366" w:rsidRPr="00AC3366" w:rsidRDefault="00AC3366" w:rsidP="00AC3366">
      <w:pPr>
        <w:spacing w:after="14" w:line="259" w:lineRule="auto"/>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07A0D630" w14:textId="77777777" w:rsidR="00AC3366" w:rsidRPr="00AC3366" w:rsidRDefault="00AC3366" w:rsidP="00AC3366">
      <w:pPr>
        <w:numPr>
          <w:ilvl w:val="0"/>
          <w:numId w:val="2"/>
        </w:numPr>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Staff compensation, including salary, benefits and allowances are designed to meet normal living requirements of staff members and their dependents. When exceptional and unexpected situations occur and additional monies are needed, UNDP may extend an advance under specific circumstances and conditions defined in this Policy.</w:t>
      </w:r>
    </w:p>
    <w:p w14:paraId="4045B2E0" w14:textId="77777777" w:rsidR="00AC3366" w:rsidRPr="00AC3366" w:rsidRDefault="00AC3366" w:rsidP="00AC3366">
      <w:pPr>
        <w:spacing w:after="4" w:line="253" w:lineRule="auto"/>
        <w:ind w:left="720"/>
        <w:contextualSpacing/>
        <w:jc w:val="both"/>
        <w:rPr>
          <w:rFonts w:ascii="Calibri" w:eastAsia="Calibri" w:hAnsi="Calibri" w:cs="Calibri"/>
          <w:color w:val="000000"/>
          <w:kern w:val="0"/>
          <w:sz w:val="22"/>
          <w:szCs w:val="22"/>
          <w:lang w:val="en-GB" w:eastAsia="en-GB"/>
          <w14:ligatures w14:val="none"/>
        </w:rPr>
      </w:pPr>
    </w:p>
    <w:p w14:paraId="4CEC0122" w14:textId="77777777" w:rsidR="00AC3366" w:rsidRPr="00AC3366" w:rsidRDefault="00AC3366" w:rsidP="00AC3366">
      <w:pPr>
        <w:numPr>
          <w:ilvl w:val="0"/>
          <w:numId w:val="2"/>
        </w:numPr>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As UNDP is not a financial (lending) institution, staff members are advised to approach available lending institutions such as banks or the United Nations Federal Credit Union (UNFCU) for all personal financial needs. </w:t>
      </w:r>
    </w:p>
    <w:p w14:paraId="14F45351" w14:textId="77777777" w:rsidR="00AC3366" w:rsidRPr="00AC3366" w:rsidRDefault="00AC3366" w:rsidP="00AC3366">
      <w:pPr>
        <w:spacing w:after="4" w:line="253" w:lineRule="auto"/>
        <w:ind w:left="720"/>
        <w:contextualSpacing/>
        <w:jc w:val="both"/>
        <w:rPr>
          <w:rFonts w:ascii="Calibri" w:eastAsia="Calibri" w:hAnsi="Calibri" w:cs="Calibri"/>
          <w:color w:val="000000"/>
          <w:kern w:val="0"/>
          <w:sz w:val="22"/>
          <w:szCs w:val="22"/>
          <w:lang w:val="en-GB" w:eastAsia="en-GB"/>
          <w14:ligatures w14:val="none"/>
        </w:rPr>
      </w:pPr>
    </w:p>
    <w:p w14:paraId="7C2CF55B" w14:textId="77777777" w:rsidR="00AC3366" w:rsidRPr="00AC3366" w:rsidRDefault="00AC3366" w:rsidP="00AC3366">
      <w:pPr>
        <w:numPr>
          <w:ilvl w:val="0"/>
          <w:numId w:val="2"/>
        </w:numPr>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This policy implements Staff Rule 3.16. </w:t>
      </w:r>
    </w:p>
    <w:p w14:paraId="63CDA755" w14:textId="77777777" w:rsidR="00AC3366" w:rsidRPr="00AC3366" w:rsidRDefault="00AC3366" w:rsidP="00AC3366">
      <w:pPr>
        <w:tabs>
          <w:tab w:val="left" w:pos="7005"/>
        </w:tabs>
        <w:spacing w:after="4" w:line="253" w:lineRule="auto"/>
        <w:ind w:left="72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ab/>
      </w:r>
    </w:p>
    <w:p w14:paraId="63994AB5" w14:textId="77777777" w:rsidR="00AC3366" w:rsidRPr="00AC3366" w:rsidRDefault="00AC3366" w:rsidP="00AC3366">
      <w:pPr>
        <w:keepNext/>
        <w:keepLines/>
        <w:spacing w:after="3" w:line="259" w:lineRule="auto"/>
        <w:outlineLvl w:val="0"/>
        <w:rPr>
          <w:rFonts w:ascii="Calibri" w:eastAsia="Calibri" w:hAnsi="Calibri" w:cs="Calibri"/>
          <w:b/>
          <w:color w:val="000000"/>
          <w:kern w:val="0"/>
          <w:sz w:val="22"/>
          <w:szCs w:val="22"/>
          <w:u w:val="single"/>
          <w:lang w:val="en-GB" w:eastAsia="en-GB"/>
          <w14:ligatures w14:val="none"/>
        </w:rPr>
      </w:pPr>
      <w:r w:rsidRPr="00AC3366">
        <w:rPr>
          <w:rFonts w:ascii="Calibri" w:eastAsia="Calibri" w:hAnsi="Calibri" w:cs="Calibri"/>
          <w:b/>
          <w:color w:val="000000"/>
          <w:kern w:val="0"/>
          <w:sz w:val="22"/>
          <w:szCs w:val="22"/>
          <w:u w:val="single"/>
          <w:lang w:val="en-GB" w:eastAsia="en-GB"/>
          <w14:ligatures w14:val="none"/>
        </w:rPr>
        <w:t xml:space="preserve">Applicability  </w:t>
      </w:r>
    </w:p>
    <w:p w14:paraId="0AD3F200" w14:textId="77777777" w:rsidR="00AC3366" w:rsidRPr="00AC3366" w:rsidRDefault="00AC3366" w:rsidP="00AC3366">
      <w:pPr>
        <w:spacing w:after="11" w:line="259" w:lineRule="auto"/>
        <w:ind w:left="720" w:hanging="360"/>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7FF7A138" w14:textId="77777777" w:rsidR="00AC3366" w:rsidRPr="00AC3366" w:rsidRDefault="00AC3366" w:rsidP="00AC3366">
      <w:pPr>
        <w:numPr>
          <w:ilvl w:val="0"/>
          <w:numId w:val="2"/>
        </w:numPr>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Staff members holding Permanent, Fixed-term and Temporary Appointments, as well as holders of Regular International and National Personnel Services Agreements (IPSAs and NPSAs) may request, and UNDP may grant, a salary advance in accordance with the conditions described below.  Unless specified otherwise, the terms and conditions related to salary advances apply to all personnel types listed above.</w:t>
      </w:r>
    </w:p>
    <w:p w14:paraId="59F0DC86" w14:textId="77777777" w:rsidR="00AC3366" w:rsidRPr="00AC3366" w:rsidRDefault="00AC3366" w:rsidP="00AC3366">
      <w:pPr>
        <w:spacing w:after="0" w:line="259" w:lineRule="auto"/>
        <w:ind w:left="720" w:hanging="360"/>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0848F233" w14:textId="77777777" w:rsidR="00AC3366" w:rsidRPr="00AC3366" w:rsidRDefault="00AC3366" w:rsidP="00AC3366">
      <w:pPr>
        <w:keepNext/>
        <w:keepLines/>
        <w:spacing w:after="3" w:line="259" w:lineRule="auto"/>
        <w:outlineLvl w:val="0"/>
        <w:rPr>
          <w:rFonts w:ascii="Calibri" w:eastAsia="Calibri" w:hAnsi="Calibri" w:cs="Calibri"/>
          <w:b/>
          <w:color w:val="000000"/>
          <w:kern w:val="0"/>
          <w:sz w:val="22"/>
          <w:szCs w:val="22"/>
          <w:u w:val="single"/>
          <w:lang w:val="en-GB" w:eastAsia="en-GB"/>
          <w14:ligatures w14:val="none"/>
        </w:rPr>
      </w:pPr>
      <w:r w:rsidRPr="00AC3366">
        <w:rPr>
          <w:rFonts w:ascii="Calibri" w:eastAsia="Calibri" w:hAnsi="Calibri" w:cs="Calibri"/>
          <w:b/>
          <w:color w:val="000000"/>
          <w:kern w:val="0"/>
          <w:sz w:val="22"/>
          <w:szCs w:val="22"/>
          <w:u w:val="single"/>
          <w:lang w:val="en-GB" w:eastAsia="en-GB"/>
          <w14:ligatures w14:val="none"/>
        </w:rPr>
        <w:t xml:space="preserve">General Conditions  </w:t>
      </w:r>
    </w:p>
    <w:p w14:paraId="7180491E" w14:textId="77777777" w:rsidR="00AC3366" w:rsidRPr="00AC3366" w:rsidRDefault="00AC3366" w:rsidP="00AC3366">
      <w:pPr>
        <w:spacing w:after="14" w:line="259" w:lineRule="auto"/>
        <w:ind w:left="720" w:hanging="360"/>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618205BF" w14:textId="77777777" w:rsidR="00AC3366" w:rsidRPr="00AC3366" w:rsidRDefault="00AC3366" w:rsidP="00AC3366">
      <w:pPr>
        <w:numPr>
          <w:ilvl w:val="0"/>
          <w:numId w:val="2"/>
        </w:numPr>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The following conditions apply to all salary advances:  </w:t>
      </w:r>
    </w:p>
    <w:p w14:paraId="54236859" w14:textId="77777777" w:rsidR="00AC3366" w:rsidRPr="00AC3366" w:rsidRDefault="00AC3366" w:rsidP="00AC3366">
      <w:pPr>
        <w:spacing w:after="4" w:line="253" w:lineRule="auto"/>
        <w:ind w:left="142"/>
        <w:jc w:val="both"/>
        <w:rPr>
          <w:rFonts w:ascii="Calibri" w:eastAsia="Calibri" w:hAnsi="Calibri" w:cs="Calibri"/>
          <w:color w:val="000000"/>
          <w:kern w:val="0"/>
          <w:sz w:val="22"/>
          <w:szCs w:val="22"/>
          <w:lang w:val="en-GB" w:eastAsia="en-GB"/>
          <w14:ligatures w14:val="none"/>
        </w:rPr>
      </w:pPr>
    </w:p>
    <w:p w14:paraId="6D66F0C0" w14:textId="77777777" w:rsidR="00AC3366" w:rsidRPr="00AC3366" w:rsidRDefault="00AC3366" w:rsidP="00AC3366">
      <w:pPr>
        <w:numPr>
          <w:ilvl w:val="0"/>
          <w:numId w:val="1"/>
        </w:numPr>
        <w:spacing w:after="4" w:line="253" w:lineRule="auto"/>
        <w:ind w:left="1440" w:hanging="427"/>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they are recovered in full through regular payroll deductions;  </w:t>
      </w:r>
    </w:p>
    <w:p w14:paraId="212EEE76" w14:textId="77777777" w:rsidR="00AC3366" w:rsidRPr="00AC3366" w:rsidRDefault="00AC3366" w:rsidP="00AC3366">
      <w:pPr>
        <w:spacing w:after="4" w:line="253" w:lineRule="auto"/>
        <w:ind w:left="993"/>
        <w:jc w:val="both"/>
        <w:rPr>
          <w:rFonts w:ascii="Calibri" w:eastAsia="Calibri" w:hAnsi="Calibri" w:cs="Calibri"/>
          <w:color w:val="000000"/>
          <w:kern w:val="0"/>
          <w:sz w:val="22"/>
          <w:szCs w:val="22"/>
          <w:lang w:val="en-GB" w:eastAsia="en-GB"/>
          <w14:ligatures w14:val="none"/>
        </w:rPr>
      </w:pPr>
    </w:p>
    <w:p w14:paraId="207EF052" w14:textId="77777777" w:rsidR="00AC3366" w:rsidRPr="00AC3366" w:rsidRDefault="00AC3366" w:rsidP="00AC3366">
      <w:pPr>
        <w:numPr>
          <w:ilvl w:val="0"/>
          <w:numId w:val="1"/>
        </w:numPr>
        <w:spacing w:after="4" w:line="253" w:lineRule="auto"/>
        <w:ind w:left="1440" w:hanging="427"/>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advances for internationally recruited staff members and IPSAs are always recovered in USD. Such advances can be disbursed in the local currency of the duty station.  Where an advance is paid out in a currency other than USD, the amount of that advance will be converted to USD at the official UN exchange rate in effect when the advance was issued, and that USD amount is what will be recovered;  </w:t>
      </w:r>
    </w:p>
    <w:p w14:paraId="40D65042"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78D1BEFA" w14:textId="77777777" w:rsidR="00AC3366" w:rsidRPr="00AC3366" w:rsidRDefault="00AC3366" w:rsidP="00AC3366">
      <w:pPr>
        <w:numPr>
          <w:ilvl w:val="0"/>
          <w:numId w:val="1"/>
        </w:numPr>
        <w:spacing w:after="4" w:line="253" w:lineRule="auto"/>
        <w:ind w:left="1440" w:hanging="427"/>
        <w:jc w:val="both"/>
        <w:rPr>
          <w:rFonts w:ascii="Calibri" w:eastAsia="Calibri" w:hAnsi="Calibri" w:cs="Calibri"/>
          <w:color w:val="000000"/>
          <w:kern w:val="0"/>
          <w:sz w:val="22"/>
          <w:szCs w:val="22"/>
          <w:lang w:val="en-GB" w:eastAsia="en-GB"/>
          <w14:ligatures w14:val="none"/>
        </w:rPr>
      </w:pPr>
      <w:proofErr w:type="gramStart"/>
      <w:r w:rsidRPr="00AC3366">
        <w:rPr>
          <w:rFonts w:ascii="Calibri" w:eastAsia="Calibri" w:hAnsi="Calibri" w:cs="Calibri"/>
          <w:color w:val="000000"/>
          <w:kern w:val="0"/>
          <w:sz w:val="22"/>
          <w:szCs w:val="22"/>
          <w:lang w:val="en-GB" w:eastAsia="en-GB"/>
          <w14:ligatures w14:val="none"/>
        </w:rPr>
        <w:t>locally-recruited</w:t>
      </w:r>
      <w:proofErr w:type="gramEnd"/>
      <w:r w:rsidRPr="00AC3366">
        <w:rPr>
          <w:rFonts w:ascii="Calibri" w:eastAsia="Calibri" w:hAnsi="Calibri" w:cs="Calibri"/>
          <w:color w:val="000000"/>
          <w:kern w:val="0"/>
          <w:sz w:val="22"/>
          <w:szCs w:val="22"/>
          <w:lang w:val="en-GB" w:eastAsia="en-GB"/>
          <w14:ligatures w14:val="none"/>
        </w:rPr>
        <w:t xml:space="preserve"> staff members and NPSAs can only receive advances in the currency in which their salary is </w:t>
      </w:r>
      <w:proofErr w:type="gramStart"/>
      <w:r w:rsidRPr="00AC3366">
        <w:rPr>
          <w:rFonts w:ascii="Calibri" w:eastAsia="Calibri" w:hAnsi="Calibri" w:cs="Calibri"/>
          <w:color w:val="000000"/>
          <w:kern w:val="0"/>
          <w:sz w:val="22"/>
          <w:szCs w:val="22"/>
          <w:lang w:val="en-GB" w:eastAsia="en-GB"/>
          <w14:ligatures w14:val="none"/>
        </w:rPr>
        <w:t>paid</w:t>
      </w:r>
      <w:proofErr w:type="gramEnd"/>
      <w:r w:rsidRPr="00AC3366">
        <w:rPr>
          <w:rFonts w:ascii="Calibri" w:eastAsia="Calibri" w:hAnsi="Calibri" w:cs="Calibri"/>
          <w:color w:val="000000"/>
          <w:kern w:val="0"/>
          <w:sz w:val="22"/>
          <w:szCs w:val="22"/>
          <w:lang w:val="en-GB" w:eastAsia="en-GB"/>
          <w14:ligatures w14:val="none"/>
        </w:rPr>
        <w:t xml:space="preserve"> and the advance must be repaid in the same currency;  </w:t>
      </w:r>
    </w:p>
    <w:p w14:paraId="21987635"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70FB8C9E" w14:textId="77777777" w:rsidR="00AC3366" w:rsidRPr="00AC3366" w:rsidRDefault="00AC3366" w:rsidP="00AC3366">
      <w:pPr>
        <w:numPr>
          <w:ilvl w:val="0"/>
          <w:numId w:val="1"/>
        </w:numPr>
        <w:spacing w:after="4" w:line="253" w:lineRule="auto"/>
        <w:ind w:left="1440" w:hanging="427"/>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recovery begins with the first end-month pay day after the advance has been given unless otherwise stipulated at the time of the approval; </w:t>
      </w:r>
    </w:p>
    <w:p w14:paraId="7D4E8088"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47A5DA6A" w14:textId="77777777" w:rsidR="00AC3366" w:rsidRPr="00AC3366" w:rsidRDefault="00AC3366" w:rsidP="00AC3366">
      <w:pPr>
        <w:numPr>
          <w:ilvl w:val="0"/>
          <w:numId w:val="1"/>
        </w:numPr>
        <w:spacing w:after="4" w:line="253" w:lineRule="auto"/>
        <w:ind w:left="1440" w:hanging="427"/>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lastRenderedPageBreak/>
        <w:t xml:space="preserve">unless otherwise specified, they are liquidated at a constant rate of up to a maximum of twelve (12) consecutive pay periods not extending beyond the expiry date of the appointment / agreement; </w:t>
      </w:r>
    </w:p>
    <w:p w14:paraId="40B8FBD6"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13A206BA" w14:textId="77777777" w:rsidR="00AC3366" w:rsidRPr="00AC3366" w:rsidRDefault="00AC3366" w:rsidP="00AC3366">
      <w:pPr>
        <w:numPr>
          <w:ilvl w:val="0"/>
          <w:numId w:val="1"/>
        </w:numPr>
        <w:spacing w:after="4" w:line="253" w:lineRule="auto"/>
        <w:ind w:left="1530" w:hanging="45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no new advances may be granted while a previous advance or any part thereof is outstanding, except:  </w:t>
      </w:r>
    </w:p>
    <w:p w14:paraId="49E8DA12" w14:textId="77777777" w:rsidR="00AC3366" w:rsidRPr="00AC3366" w:rsidRDefault="00AC3366" w:rsidP="00AC3366">
      <w:pPr>
        <w:spacing w:after="4" w:line="253" w:lineRule="auto"/>
        <w:ind w:left="993"/>
        <w:jc w:val="both"/>
        <w:rPr>
          <w:rFonts w:ascii="Calibri" w:eastAsia="Calibri" w:hAnsi="Calibri" w:cs="Calibri"/>
          <w:color w:val="000000"/>
          <w:kern w:val="0"/>
          <w:sz w:val="22"/>
          <w:szCs w:val="22"/>
          <w:lang w:val="en-GB" w:eastAsia="en-GB"/>
          <w14:ligatures w14:val="none"/>
        </w:rPr>
      </w:pPr>
    </w:p>
    <w:p w14:paraId="0502CFD7" w14:textId="77777777" w:rsidR="00AC3366" w:rsidRPr="00AC3366" w:rsidRDefault="00AC3366" w:rsidP="00AC3366">
      <w:pPr>
        <w:numPr>
          <w:ilvl w:val="1"/>
          <w:numId w:val="1"/>
        </w:numPr>
        <w:spacing w:after="4" w:line="253" w:lineRule="auto"/>
        <w:ind w:left="2340" w:hanging="3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for advances for major medical expenses pending reimbursement by a UN medical insurance scheme; or  </w:t>
      </w:r>
    </w:p>
    <w:p w14:paraId="57EC22C7" w14:textId="77777777" w:rsidR="00AC3366" w:rsidRPr="00AC3366" w:rsidRDefault="00AC3366" w:rsidP="00AC3366">
      <w:pPr>
        <w:spacing w:after="4" w:line="253" w:lineRule="auto"/>
        <w:ind w:left="2520" w:hanging="540"/>
        <w:jc w:val="both"/>
        <w:rPr>
          <w:rFonts w:ascii="Calibri" w:eastAsia="Calibri" w:hAnsi="Calibri" w:cs="Calibri"/>
          <w:color w:val="000000"/>
          <w:kern w:val="0"/>
          <w:sz w:val="22"/>
          <w:szCs w:val="22"/>
          <w:lang w:val="en-GB" w:eastAsia="en-GB"/>
          <w14:ligatures w14:val="none"/>
        </w:rPr>
      </w:pPr>
    </w:p>
    <w:p w14:paraId="18FF0490" w14:textId="77777777" w:rsidR="00AC3366" w:rsidRPr="00AC3366" w:rsidRDefault="00AC3366" w:rsidP="00AC3366">
      <w:pPr>
        <w:numPr>
          <w:ilvl w:val="1"/>
          <w:numId w:val="1"/>
        </w:numPr>
        <w:spacing w:after="4" w:line="253" w:lineRule="auto"/>
        <w:ind w:left="2340" w:hanging="3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if based on security determinations and approved duty station-wide in accordance with the UNDSS Security Manual; or</w:t>
      </w:r>
      <w:r w:rsidRPr="00AC3366">
        <w:rPr>
          <w:rFonts w:ascii="Calibri" w:eastAsia="Calibri" w:hAnsi="Calibri" w:cs="Calibri"/>
          <w:i/>
          <w:color w:val="000000"/>
          <w:kern w:val="0"/>
          <w:sz w:val="22"/>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0A5EBABE" w14:textId="77777777" w:rsidR="00AC3366" w:rsidRPr="00AC3366" w:rsidRDefault="00AC3366" w:rsidP="00AC3366">
      <w:pPr>
        <w:spacing w:after="4" w:line="253" w:lineRule="auto"/>
        <w:ind w:left="2520" w:hanging="540"/>
        <w:contextualSpacing/>
        <w:jc w:val="both"/>
        <w:rPr>
          <w:rFonts w:ascii="Calibri" w:eastAsia="Calibri" w:hAnsi="Calibri" w:cs="Calibri"/>
          <w:color w:val="000000"/>
          <w:kern w:val="0"/>
          <w:sz w:val="22"/>
          <w:szCs w:val="22"/>
          <w:lang w:val="en-GB" w:eastAsia="en-GB"/>
          <w14:ligatures w14:val="none"/>
        </w:rPr>
      </w:pPr>
    </w:p>
    <w:p w14:paraId="6F2EC7DD" w14:textId="77777777" w:rsidR="00AC3366" w:rsidRPr="00AC3366" w:rsidRDefault="00AC3366" w:rsidP="00AC3366">
      <w:pPr>
        <w:numPr>
          <w:ilvl w:val="1"/>
          <w:numId w:val="1"/>
        </w:numPr>
        <w:spacing w:after="26" w:line="253" w:lineRule="auto"/>
        <w:ind w:left="2340" w:hanging="3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for advances exceptionally approved in specific emergency situations by the Assistant Administrator and Director, BMS.</w:t>
      </w:r>
      <w:r w:rsidRPr="00AC3366">
        <w:rPr>
          <w:rFonts w:ascii="Calibri" w:eastAsia="Calibri" w:hAnsi="Calibri" w:cs="Calibri"/>
          <w:i/>
          <w:color w:val="000000"/>
          <w:kern w:val="0"/>
          <w:sz w:val="22"/>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70B65601" w14:textId="77777777" w:rsidR="00AC3366" w:rsidRPr="00AC3366" w:rsidRDefault="00AC3366" w:rsidP="00AC3366">
      <w:pPr>
        <w:spacing w:after="26" w:line="253" w:lineRule="auto"/>
        <w:ind w:left="2160"/>
        <w:jc w:val="both"/>
        <w:rPr>
          <w:rFonts w:ascii="Calibri" w:eastAsia="Calibri" w:hAnsi="Calibri" w:cs="Calibri"/>
          <w:color w:val="000000"/>
          <w:kern w:val="0"/>
          <w:sz w:val="22"/>
          <w:szCs w:val="22"/>
          <w:lang w:val="en-GB" w:eastAsia="en-GB"/>
          <w14:ligatures w14:val="none"/>
        </w:rPr>
      </w:pPr>
    </w:p>
    <w:p w14:paraId="1E0E53C9" w14:textId="77777777" w:rsidR="00AC3366" w:rsidRPr="00AC3366" w:rsidRDefault="00AC3366" w:rsidP="00AC3366">
      <w:pPr>
        <w:numPr>
          <w:ilvl w:val="0"/>
          <w:numId w:val="1"/>
        </w:numPr>
        <w:spacing w:after="4" w:line="253" w:lineRule="auto"/>
        <w:ind w:left="1620" w:hanging="54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the request for an advance must explain, in detail, the exceptional and unexpected situation for which the funds are needed and attach supporting documentation. It must also include a written undertaking that if the staff member / PSA holder separates from service, any outstanding balance of an advance is recovered in full against final emoluments. Any balance that exceeds the final emoluments due must be paid immediately and in full prior to separation.  </w:t>
      </w:r>
      <w:r w:rsidRPr="00AC3366">
        <w:rPr>
          <w:rFonts w:ascii="Calibri" w:eastAsia="Calibri" w:hAnsi="Calibri" w:cs="Calibri"/>
          <w:i/>
          <w:color w:val="000000"/>
          <w:kern w:val="0"/>
          <w:sz w:val="22"/>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26B0FD65" w14:textId="77777777" w:rsidR="00AC3366" w:rsidRPr="00AC3366" w:rsidRDefault="00AC3366" w:rsidP="00AC3366">
      <w:pPr>
        <w:spacing w:after="0" w:line="259" w:lineRule="auto"/>
        <w:rPr>
          <w:rFonts w:ascii="Calibri" w:eastAsia="Calibri" w:hAnsi="Calibri" w:cs="Calibri"/>
          <w:color w:val="000000"/>
          <w:kern w:val="0"/>
          <w:sz w:val="22"/>
          <w:szCs w:val="22"/>
          <w:lang w:val="en-GB" w:eastAsia="en-GB"/>
          <w14:ligatures w14:val="none"/>
        </w:rPr>
      </w:pPr>
    </w:p>
    <w:p w14:paraId="6EF5C815" w14:textId="77777777" w:rsidR="00AC3366" w:rsidRPr="00AC3366" w:rsidRDefault="00AC3366" w:rsidP="00AC3366">
      <w:pPr>
        <w:keepNext/>
        <w:keepLines/>
        <w:spacing w:after="3" w:line="259" w:lineRule="auto"/>
        <w:ind w:left="10" w:hanging="10"/>
        <w:outlineLvl w:val="0"/>
        <w:rPr>
          <w:rFonts w:ascii="Calibri" w:eastAsia="Calibri" w:hAnsi="Calibri" w:cs="Calibri"/>
          <w:b/>
          <w:color w:val="000000"/>
          <w:kern w:val="0"/>
          <w:sz w:val="22"/>
          <w:szCs w:val="22"/>
          <w:u w:val="single"/>
          <w:lang w:val="en-GB" w:eastAsia="en-GB"/>
          <w14:ligatures w14:val="none"/>
        </w:rPr>
      </w:pPr>
      <w:r w:rsidRPr="00AC3366">
        <w:rPr>
          <w:rFonts w:ascii="Calibri" w:eastAsia="Calibri" w:hAnsi="Calibri" w:cs="Calibri"/>
          <w:b/>
          <w:color w:val="000000"/>
          <w:kern w:val="0"/>
          <w:sz w:val="22"/>
          <w:szCs w:val="22"/>
          <w:u w:val="single"/>
          <w:lang w:val="en-GB" w:eastAsia="en-GB"/>
          <w14:ligatures w14:val="none"/>
        </w:rPr>
        <w:t xml:space="preserve">Authorization of Salary Advances and Responsibility for Recovery  </w:t>
      </w:r>
    </w:p>
    <w:p w14:paraId="6609B6E7" w14:textId="77777777" w:rsidR="00AC3366" w:rsidRPr="00AC3366" w:rsidRDefault="00AC3366" w:rsidP="00AC3366">
      <w:pPr>
        <w:spacing w:after="0" w:line="259" w:lineRule="auto"/>
        <w:rPr>
          <w:rFonts w:ascii="Calibri" w:eastAsia="Calibri" w:hAnsi="Calibri" w:cs="Calibri"/>
          <w:color w:val="000000"/>
          <w:kern w:val="0"/>
          <w:sz w:val="22"/>
          <w:szCs w:val="22"/>
          <w:lang w:val="en-GB" w:eastAsia="en-GB"/>
          <w14:ligatures w14:val="none"/>
        </w:rPr>
      </w:pPr>
    </w:p>
    <w:p w14:paraId="1DBA9DB4" w14:textId="77777777" w:rsidR="00AC3366" w:rsidRPr="00AC3366" w:rsidRDefault="00AC3366" w:rsidP="00AC3366">
      <w:pPr>
        <w:numPr>
          <w:ilvl w:val="0"/>
          <w:numId w:val="2"/>
        </w:numPr>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Requests for salary advances by locally recruited staff members and NPSAs outside of Headquarters (HQ) must be submitted using </w:t>
      </w:r>
      <w:bookmarkStart w:id="0" w:name="_Hlk103619381"/>
      <w:r w:rsidRPr="00AC3366">
        <w:rPr>
          <w:rFonts w:ascii="Calibri" w:eastAsia="Calibri" w:hAnsi="Calibri" w:cs="Calibri"/>
          <w:color w:val="000000"/>
          <w:kern w:val="0"/>
          <w:sz w:val="22"/>
          <w:szCs w:val="22"/>
          <w:lang w:val="en-GB" w:eastAsia="en-GB"/>
          <w14:ligatures w14:val="none"/>
        </w:rPr>
        <w:t>UNDP’s employee self-service platform</w:t>
      </w:r>
      <w:bookmarkEnd w:id="0"/>
      <w:r w:rsidRPr="00AC3366">
        <w:rPr>
          <w:rFonts w:ascii="Calibri" w:eastAsia="Calibri" w:hAnsi="Calibri" w:cs="Calibri"/>
          <w:color w:val="000000"/>
          <w:kern w:val="0"/>
          <w:sz w:val="22"/>
          <w:szCs w:val="22"/>
          <w:lang w:val="en-GB" w:eastAsia="en-GB"/>
          <w14:ligatures w14:val="none"/>
        </w:rPr>
        <w:t xml:space="preserve"> along with the necessary documentation as required under this Policy. The request is reviewed and approved by staff designated with these roles in the Office. Typically, the Approver role is with the Head of Office (Resident Representative) who may delegate it to the Deputy Resident Representative (operations) or a similar function.  </w:t>
      </w:r>
    </w:p>
    <w:p w14:paraId="1B40B771"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1CCA349B" w14:textId="77777777" w:rsidR="00AC3366" w:rsidRPr="00AC3366" w:rsidRDefault="00AC3366" w:rsidP="00AC3366">
      <w:pPr>
        <w:numPr>
          <w:ilvl w:val="0"/>
          <w:numId w:val="2"/>
        </w:numPr>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For locally recruited staff members and NPSAs at HQ, advances must be approved by the Director of the relevant office, who may delegate to the Deputy Director, or similar function. </w:t>
      </w:r>
    </w:p>
    <w:p w14:paraId="1450EDE3" w14:textId="77777777" w:rsidR="00AC3366" w:rsidRPr="00AC3366" w:rsidRDefault="00AC3366" w:rsidP="00AC3366">
      <w:pPr>
        <w:spacing w:after="4" w:line="253" w:lineRule="auto"/>
        <w:ind w:left="720"/>
        <w:contextualSpacing/>
        <w:jc w:val="both"/>
        <w:rPr>
          <w:rFonts w:ascii="Calibri" w:eastAsia="Calibri" w:hAnsi="Calibri" w:cs="Calibri"/>
          <w:color w:val="000000"/>
          <w:kern w:val="0"/>
          <w:sz w:val="22"/>
          <w:szCs w:val="22"/>
          <w:lang w:val="en-GB" w:eastAsia="en-GB"/>
          <w14:ligatures w14:val="none"/>
        </w:rPr>
      </w:pPr>
    </w:p>
    <w:p w14:paraId="7FC2CD31" w14:textId="77777777" w:rsidR="00AC3366" w:rsidRPr="00AC3366" w:rsidRDefault="00AC3366" w:rsidP="00AC3366">
      <w:pPr>
        <w:numPr>
          <w:ilvl w:val="0"/>
          <w:numId w:val="2"/>
        </w:numPr>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The Office approving the advance is responsible for ensuring that the payment is being made and recovered in line with this Policy. The Assistant Administrator and Director, BMS may revoke the delegation of authority of the Head of Office, or Director of the staff member’s office, to approve salary advances if advances are approved in breach of this policy.  </w:t>
      </w:r>
    </w:p>
    <w:p w14:paraId="6F46C5B0" w14:textId="77777777" w:rsidR="00AC3366" w:rsidRPr="00AC3366" w:rsidRDefault="00AC3366" w:rsidP="00AC3366">
      <w:pPr>
        <w:spacing w:after="4" w:line="253" w:lineRule="auto"/>
        <w:ind w:left="428"/>
        <w:jc w:val="both"/>
        <w:rPr>
          <w:rFonts w:ascii="Calibri" w:eastAsia="Calibri" w:hAnsi="Calibri" w:cs="Calibri"/>
          <w:color w:val="000000"/>
          <w:kern w:val="0"/>
          <w:sz w:val="22"/>
          <w:szCs w:val="22"/>
          <w:lang w:val="en-GB" w:eastAsia="en-GB"/>
          <w14:ligatures w14:val="none"/>
        </w:rPr>
      </w:pPr>
    </w:p>
    <w:p w14:paraId="091AD891" w14:textId="77777777" w:rsidR="00AC3366" w:rsidRPr="00AC3366" w:rsidRDefault="00AC3366" w:rsidP="00AC3366">
      <w:pPr>
        <w:numPr>
          <w:ilvl w:val="0"/>
          <w:numId w:val="2"/>
        </w:numPr>
        <w:spacing w:after="4" w:line="253" w:lineRule="auto"/>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lastRenderedPageBreak/>
        <w:t xml:space="preserve">Except for personal emergency advances, salary advances of internationally recruited staff members and IPSAs, must be approved by both the Global Payroll Services (GPS) and Benefits &amp; Entitlement Services (BES) Manager. The GPS and BES Managers are responsible for ensuring that all salary advances are approved and recovered within the framework of this policy. In the case of personal emergency advances, the Assistant Administrator and Director, BMS must approve the salary advance. </w:t>
      </w:r>
    </w:p>
    <w:p w14:paraId="65F2EE3E"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33AAA9E0" w14:textId="77777777" w:rsidR="00AC3366" w:rsidRPr="00AC3366" w:rsidRDefault="00AC3366" w:rsidP="00AC3366">
      <w:pPr>
        <w:spacing w:after="0" w:line="259" w:lineRule="auto"/>
        <w:ind w:left="90"/>
        <w:rPr>
          <w:rFonts w:ascii="Calibri" w:eastAsia="Calibri" w:hAnsi="Calibri" w:cs="Calibri"/>
          <w:color w:val="000000"/>
          <w:kern w:val="0"/>
          <w:sz w:val="22"/>
          <w:szCs w:val="22"/>
          <w:u w:val="single"/>
          <w:lang w:val="en-GB" w:eastAsia="en-GB"/>
          <w14:ligatures w14:val="none"/>
        </w:rPr>
      </w:pPr>
      <w:r w:rsidRPr="00AC3366">
        <w:rPr>
          <w:rFonts w:ascii="Calibri" w:eastAsia="Calibri" w:hAnsi="Calibri" w:cs="Calibri"/>
          <w:b/>
          <w:color w:val="000000"/>
          <w:kern w:val="0"/>
          <w:sz w:val="22"/>
          <w:szCs w:val="22"/>
          <w:u w:val="single"/>
          <w:lang w:val="en-GB" w:eastAsia="en-GB"/>
          <w14:ligatures w14:val="none"/>
        </w:rPr>
        <w:t xml:space="preserve">Types of Salary Advances </w:t>
      </w:r>
      <w:r w:rsidRPr="00AC3366">
        <w:rPr>
          <w:rFonts w:ascii="Calibri" w:eastAsia="Calibri" w:hAnsi="Calibri" w:cs="Calibri"/>
          <w:color w:val="000000"/>
          <w:kern w:val="0"/>
          <w:sz w:val="22"/>
          <w:szCs w:val="22"/>
          <w:u w:val="single"/>
          <w:lang w:val="en-GB" w:eastAsia="en-GB"/>
          <w14:ligatures w14:val="none"/>
        </w:rPr>
        <w:t xml:space="preserve"> </w:t>
      </w:r>
    </w:p>
    <w:p w14:paraId="3543B8B0" w14:textId="77777777" w:rsidR="00AC3366" w:rsidRPr="00AC3366" w:rsidRDefault="00AC3366" w:rsidP="00AC3366">
      <w:pPr>
        <w:spacing w:after="2" w:line="259" w:lineRule="auto"/>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0"/>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02110844" w14:textId="77777777" w:rsidR="00AC3366" w:rsidRPr="00AC3366" w:rsidRDefault="00AC3366" w:rsidP="00AC3366">
      <w:pPr>
        <w:keepNext/>
        <w:keepLines/>
        <w:spacing w:after="3" w:line="259" w:lineRule="auto"/>
        <w:ind w:left="408" w:hanging="318"/>
        <w:outlineLvl w:val="0"/>
        <w:rPr>
          <w:rFonts w:ascii="Calibri" w:eastAsia="Calibri" w:hAnsi="Calibri" w:cs="Calibri"/>
          <w:b/>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Advances upon initial appointment  </w:t>
      </w:r>
    </w:p>
    <w:p w14:paraId="6276C163" w14:textId="77777777" w:rsidR="00AC3366" w:rsidRPr="00AC3366" w:rsidRDefault="00AC3366" w:rsidP="00AC3366">
      <w:pPr>
        <w:spacing w:after="4" w:line="259" w:lineRule="auto"/>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0"/>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00E5E503" w14:textId="77777777" w:rsidR="00AC3366" w:rsidRPr="00AC3366" w:rsidRDefault="00AC3366" w:rsidP="00AC3366">
      <w:pPr>
        <w:numPr>
          <w:ilvl w:val="0"/>
          <w:numId w:val="2"/>
        </w:numPr>
        <w:spacing w:after="4" w:line="253" w:lineRule="auto"/>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Where a staff member / PSA holder has not yet been enrolled in active payroll in Quantum HCM, a one-time initial appointment advance may be granted. Should a duplicate payment be disbursed, a recovery will be made in full in the next payroll.   </w:t>
      </w:r>
    </w:p>
    <w:p w14:paraId="0E8F59BE" w14:textId="77777777" w:rsidR="00AC3366" w:rsidRPr="00AC3366" w:rsidRDefault="00AC3366" w:rsidP="00AC3366">
      <w:pPr>
        <w:spacing w:after="4" w:line="253" w:lineRule="auto"/>
        <w:ind w:left="428"/>
        <w:jc w:val="both"/>
        <w:rPr>
          <w:rFonts w:ascii="Calibri" w:eastAsia="Calibri" w:hAnsi="Calibri" w:cs="Calibri"/>
          <w:color w:val="000000"/>
          <w:kern w:val="0"/>
          <w:sz w:val="22"/>
          <w:szCs w:val="22"/>
          <w:lang w:val="en-GB" w:eastAsia="en-GB"/>
          <w14:ligatures w14:val="none"/>
        </w:rPr>
      </w:pPr>
    </w:p>
    <w:p w14:paraId="2C72839A" w14:textId="77777777" w:rsidR="00AC3366" w:rsidRPr="00AC3366" w:rsidRDefault="00AC3366" w:rsidP="00AC3366">
      <w:pPr>
        <w:keepNext/>
        <w:keepLines/>
        <w:spacing w:after="3" w:line="259" w:lineRule="auto"/>
        <w:ind w:left="408" w:hanging="318"/>
        <w:outlineLvl w:val="0"/>
        <w:rPr>
          <w:rFonts w:ascii="Calibri" w:eastAsia="Calibri" w:hAnsi="Calibri" w:cs="Calibri"/>
          <w:b/>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Advances due to non-receipt of salary  </w:t>
      </w:r>
    </w:p>
    <w:p w14:paraId="402F650D" w14:textId="77777777" w:rsidR="00AC3366" w:rsidRPr="00AC3366" w:rsidRDefault="00AC3366" w:rsidP="00AC3366">
      <w:pPr>
        <w:spacing w:after="4" w:line="259" w:lineRule="auto"/>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0"/>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75448B75" w14:textId="77777777" w:rsidR="00AC3366" w:rsidRPr="00AC3366" w:rsidRDefault="00AC3366" w:rsidP="00AC3366">
      <w:pPr>
        <w:numPr>
          <w:ilvl w:val="0"/>
          <w:numId w:val="2"/>
        </w:numPr>
        <w:spacing w:after="4" w:line="253" w:lineRule="auto"/>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Where a staff member / PSA holder does not receive a regular salary due to a banking or other technical issue or a partial first month salary due to timing of payroll processing, an advance shall be granted in the amount due. Should a duplicate salary be disbursed, a recovery will be made in full in the next payroll.   </w:t>
      </w:r>
    </w:p>
    <w:p w14:paraId="61A70708" w14:textId="77777777" w:rsidR="00AC3366" w:rsidRPr="00AC3366" w:rsidRDefault="00AC3366" w:rsidP="00AC3366">
      <w:pPr>
        <w:spacing w:after="4" w:line="253" w:lineRule="auto"/>
        <w:ind w:left="428"/>
        <w:jc w:val="both"/>
        <w:rPr>
          <w:rFonts w:ascii="Calibri" w:eastAsia="Calibri" w:hAnsi="Calibri" w:cs="Calibri"/>
          <w:color w:val="000000"/>
          <w:kern w:val="0"/>
          <w:sz w:val="22"/>
          <w:szCs w:val="22"/>
          <w:lang w:val="en-GB" w:eastAsia="en-GB"/>
          <w14:ligatures w14:val="none"/>
        </w:rPr>
      </w:pPr>
    </w:p>
    <w:p w14:paraId="5FC59DBD" w14:textId="77777777" w:rsidR="00AC3366" w:rsidRPr="00AC3366" w:rsidRDefault="00AC3366" w:rsidP="00AC3366">
      <w:pPr>
        <w:keepNext/>
        <w:keepLines/>
        <w:spacing w:after="3" w:line="259" w:lineRule="auto"/>
        <w:ind w:left="408" w:hanging="318"/>
        <w:outlineLvl w:val="0"/>
        <w:rPr>
          <w:rFonts w:ascii="Calibri" w:eastAsia="Calibri" w:hAnsi="Calibri" w:cs="Calibri"/>
          <w:b/>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Advances upon separation from service  </w:t>
      </w:r>
    </w:p>
    <w:p w14:paraId="3B4141B7" w14:textId="77777777" w:rsidR="00AC3366" w:rsidRPr="00AC3366" w:rsidRDefault="00AC3366" w:rsidP="00AC3366">
      <w:pPr>
        <w:spacing w:after="4" w:line="259" w:lineRule="auto"/>
        <w:rPr>
          <w:rFonts w:ascii="Calibri" w:eastAsia="Calibri" w:hAnsi="Calibri" w:cs="Calibri"/>
          <w:color w:val="000000"/>
          <w:kern w:val="0"/>
          <w:sz w:val="22"/>
          <w:szCs w:val="22"/>
          <w:lang w:val="en-GB" w:eastAsia="en-GB"/>
          <w14:ligatures w14:val="none"/>
        </w:rPr>
      </w:pPr>
      <w:r w:rsidRPr="00AC3366">
        <w:rPr>
          <w:rFonts w:ascii="Calibri" w:eastAsia="Calibri" w:hAnsi="Calibri" w:cs="Calibri"/>
          <w:b/>
          <w:color w:val="000000"/>
          <w:kern w:val="0"/>
          <w:sz w:val="20"/>
          <w:szCs w:val="22"/>
          <w:lang w:val="en-GB" w:eastAsia="en-GB"/>
          <w14:ligatures w14:val="none"/>
        </w:rPr>
        <w:t xml:space="preserve"> </w:t>
      </w:r>
      <w:r w:rsidRPr="00AC3366">
        <w:rPr>
          <w:rFonts w:ascii="Calibri" w:eastAsia="Calibri" w:hAnsi="Calibri" w:cs="Calibri"/>
          <w:color w:val="000000"/>
          <w:kern w:val="0"/>
          <w:sz w:val="22"/>
          <w:szCs w:val="22"/>
          <w:lang w:val="en-GB" w:eastAsia="en-GB"/>
          <w14:ligatures w14:val="none"/>
        </w:rPr>
        <w:t xml:space="preserve"> </w:t>
      </w:r>
    </w:p>
    <w:p w14:paraId="5182CC17" w14:textId="77777777" w:rsidR="00AC3366" w:rsidRPr="00AC3366" w:rsidRDefault="00AC3366" w:rsidP="00AC3366">
      <w:pPr>
        <w:numPr>
          <w:ilvl w:val="0"/>
          <w:numId w:val="2"/>
        </w:numPr>
        <w:spacing w:after="4" w:line="253" w:lineRule="auto"/>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Where a staff member / PSA holder separates from service and final settlement of pay accounts cannot be made at the time of departure, an advance not exceeding 80 per cent of estimated final net payments due may be granted.  </w:t>
      </w:r>
    </w:p>
    <w:p w14:paraId="21DC7A8E" w14:textId="77777777" w:rsidR="00AC3366" w:rsidRPr="00AC3366" w:rsidRDefault="00AC3366" w:rsidP="00AC3366">
      <w:pPr>
        <w:spacing w:after="4" w:line="253" w:lineRule="auto"/>
        <w:ind w:left="428"/>
        <w:jc w:val="both"/>
        <w:rPr>
          <w:rFonts w:ascii="Calibri" w:eastAsia="Calibri" w:hAnsi="Calibri" w:cs="Calibri"/>
          <w:color w:val="000000"/>
          <w:kern w:val="0"/>
          <w:sz w:val="22"/>
          <w:szCs w:val="22"/>
          <w:lang w:val="en-GB" w:eastAsia="en-GB"/>
          <w14:ligatures w14:val="none"/>
        </w:rPr>
      </w:pPr>
    </w:p>
    <w:p w14:paraId="22565827" w14:textId="77777777" w:rsidR="00AC3366" w:rsidRPr="00AC3366" w:rsidRDefault="00AC3366" w:rsidP="00AC3366">
      <w:pPr>
        <w:keepNext/>
        <w:keepLines/>
        <w:spacing w:after="3" w:line="259" w:lineRule="auto"/>
        <w:ind w:left="408" w:hanging="10"/>
        <w:outlineLvl w:val="0"/>
        <w:rPr>
          <w:rFonts w:ascii="Calibri" w:eastAsia="Calibri" w:hAnsi="Calibri" w:cs="Calibri"/>
          <w:b/>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Advances for medical expenses  </w:t>
      </w:r>
    </w:p>
    <w:p w14:paraId="65809D58" w14:textId="77777777" w:rsidR="00AC3366" w:rsidRPr="00AC3366" w:rsidRDefault="00AC3366" w:rsidP="00AC3366">
      <w:pPr>
        <w:spacing w:after="4" w:line="253" w:lineRule="auto"/>
        <w:ind w:left="512" w:hanging="370"/>
        <w:jc w:val="both"/>
        <w:rPr>
          <w:rFonts w:ascii="Calibri" w:eastAsia="Calibri" w:hAnsi="Calibri" w:cs="Calibri"/>
          <w:color w:val="000000"/>
          <w:kern w:val="0"/>
          <w:sz w:val="22"/>
          <w:szCs w:val="22"/>
          <w:lang w:val="en-GB" w:eastAsia="en-GB"/>
          <w14:ligatures w14:val="none"/>
        </w:rPr>
      </w:pPr>
    </w:p>
    <w:p w14:paraId="12211642"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A staff member / PSA holder may, exceptionally, request a salary advance for major and unforeseen medical expenses incurred by them or a dependent recognized by UNDP. Request for such advances will be considered only if (</w:t>
      </w:r>
      <w:proofErr w:type="spellStart"/>
      <w:r w:rsidRPr="00AC3366">
        <w:rPr>
          <w:rFonts w:ascii="Calibri" w:eastAsia="Calibri" w:hAnsi="Calibri" w:cs="Calibri"/>
          <w:color w:val="000000"/>
          <w:kern w:val="0"/>
          <w:sz w:val="22"/>
          <w:szCs w:val="22"/>
          <w:lang w:val="en-GB" w:eastAsia="en-GB"/>
          <w14:ligatures w14:val="none"/>
        </w:rPr>
        <w:t>i</w:t>
      </w:r>
      <w:proofErr w:type="spellEnd"/>
      <w:r w:rsidRPr="00AC3366">
        <w:rPr>
          <w:rFonts w:ascii="Calibri" w:eastAsia="Calibri" w:hAnsi="Calibri" w:cs="Calibri"/>
          <w:color w:val="000000"/>
          <w:kern w:val="0"/>
          <w:sz w:val="22"/>
          <w:szCs w:val="22"/>
          <w:lang w:val="en-GB" w:eastAsia="en-GB"/>
          <w14:ligatures w14:val="none"/>
        </w:rPr>
        <w:t xml:space="preserve">) the staff member / PSA holder, including the named dependent, are enrolled in an official UN medical Plan, (ii) direct billing/payment facility is not available between the health provider and the insurance company and (iii) the bills are required to be paid prior to receipt of insurance payment.  </w:t>
      </w:r>
    </w:p>
    <w:p w14:paraId="1A5F9AED" w14:textId="77777777" w:rsidR="00AC3366" w:rsidRPr="00AC3366" w:rsidRDefault="00AC3366" w:rsidP="00AC3366">
      <w:pPr>
        <w:spacing w:after="33" w:line="259" w:lineRule="auto"/>
        <w:ind w:left="810"/>
        <w:contextualSpacing/>
        <w:rPr>
          <w:rFonts w:ascii="Calibri" w:eastAsia="Calibri" w:hAnsi="Calibri" w:cs="Calibri"/>
          <w:color w:val="000000"/>
          <w:kern w:val="0"/>
          <w:sz w:val="22"/>
          <w:szCs w:val="22"/>
          <w:lang w:val="en-GB" w:eastAsia="en-GB"/>
          <w14:ligatures w14:val="none"/>
        </w:rPr>
      </w:pPr>
    </w:p>
    <w:p w14:paraId="60C72B5F"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It is expected that most medical expenses will be covered by a UN medical insurance scheme. However, if a staff member / PSA holder or a dependent recognised by UNDP, incurs major medical expenses that are beyond the limits of the medical insurance scheme and is faced with undue financial hardship, a salary advance may be considered under the provisions for personal emergency salary advances.</w:t>
      </w:r>
    </w:p>
    <w:p w14:paraId="53D7BAF8"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162CA5AC"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lastRenderedPageBreak/>
        <w:t>The advance may not exceed the lowest of (</w:t>
      </w:r>
      <w:proofErr w:type="spellStart"/>
      <w:r w:rsidRPr="00AC3366">
        <w:rPr>
          <w:rFonts w:ascii="Calibri" w:eastAsia="Calibri" w:hAnsi="Calibri" w:cs="Calibri"/>
          <w:color w:val="000000"/>
          <w:kern w:val="0"/>
          <w:sz w:val="22"/>
          <w:szCs w:val="22"/>
          <w:lang w:val="en-GB" w:eastAsia="en-GB"/>
          <w14:ligatures w14:val="none"/>
        </w:rPr>
        <w:t>i</w:t>
      </w:r>
      <w:proofErr w:type="spellEnd"/>
      <w:r w:rsidRPr="00AC3366">
        <w:rPr>
          <w:rFonts w:ascii="Calibri" w:eastAsia="Calibri" w:hAnsi="Calibri" w:cs="Calibri"/>
          <w:color w:val="000000"/>
          <w:kern w:val="0"/>
          <w:sz w:val="22"/>
          <w:szCs w:val="22"/>
          <w:lang w:val="en-GB" w:eastAsia="en-GB"/>
          <w14:ligatures w14:val="none"/>
        </w:rPr>
        <w:t>) two months’ net pay, (ii) the maximum reimbursable amount under the applicable medical insurance scheme or (iii) the amount of the hospital bill. Advances for medical expenses can be granted concurrently with an existing salary advance.</w:t>
      </w:r>
    </w:p>
    <w:p w14:paraId="49DC6856"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279B9591"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The advance for medical expenses must be settled through the applicable insurance scheme or by the staff member / PSA holder within four months from when the advance is granted.</w:t>
      </w:r>
    </w:p>
    <w:p w14:paraId="16C5ABDA"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385E8B4F" w14:textId="77777777" w:rsidR="00AC3366" w:rsidRPr="00AC3366" w:rsidRDefault="00AC3366" w:rsidP="00AC3366">
      <w:pPr>
        <w:spacing w:after="4" w:line="253" w:lineRule="auto"/>
        <w:ind w:left="512" w:hanging="370"/>
        <w:jc w:val="both"/>
        <w:rPr>
          <w:rFonts w:ascii="Calibri" w:eastAsia="Calibri" w:hAnsi="Calibri" w:cs="Calibri"/>
          <w:b/>
          <w:bCs/>
          <w:color w:val="000000"/>
          <w:kern w:val="0"/>
          <w:sz w:val="22"/>
          <w:szCs w:val="22"/>
          <w:lang w:val="en-GB" w:eastAsia="en-GB"/>
          <w14:ligatures w14:val="none"/>
        </w:rPr>
      </w:pPr>
      <w:r w:rsidRPr="00AC3366">
        <w:rPr>
          <w:rFonts w:ascii="Calibri" w:eastAsia="Calibri" w:hAnsi="Calibri" w:cs="Calibri"/>
          <w:b/>
          <w:bCs/>
          <w:color w:val="000000"/>
          <w:kern w:val="0"/>
          <w:sz w:val="22"/>
          <w:szCs w:val="22"/>
          <w:lang w:val="en-GB" w:eastAsia="en-GB"/>
          <w14:ligatures w14:val="none"/>
        </w:rPr>
        <w:t>Advances for pre-payment of rent</w:t>
      </w:r>
    </w:p>
    <w:p w14:paraId="1E13299F"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60307D05"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Internationally recruited staff members may be granted a rental advance where three or more months' rent must normally be paid in advance to secure accommodation as stipulated in the lease agreement. The request for advance must specify the amount of the rent, the number of months for which the lease agreement indicates it is to be prepaid, the amount and currency of the advance requested.</w:t>
      </w:r>
    </w:p>
    <w:p w14:paraId="3F3914DD"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0BE23948"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The number of months of advance must be in line with the normal practice for rental properties in the duty station as confirmed by the Head of Office.</w:t>
      </w:r>
    </w:p>
    <w:p w14:paraId="00BC2E37"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4E45AA27"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The amount of the advance covers only rent; it does not cover security deposits (generally returned to tenant at the end of the lease), agents’ fees or recurring costs such as electricity, water or other utilities where these are paid separately from rent.</w:t>
      </w:r>
    </w:p>
    <w:p w14:paraId="619D8085"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72585843"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The amount of the advance will be recovered within the term of the lease for which the advance was requested or within the staff member’s current contract period, whichever comes first.</w:t>
      </w:r>
    </w:p>
    <w:p w14:paraId="423EFC66"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0565AADA"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Advances for pre-payment of rent are not authorised for staff members assigned to Group I duty stations under the</w:t>
      </w:r>
      <w:bookmarkStart w:id="1" w:name="_Hlk100568945"/>
      <w:r w:rsidRPr="00AC3366">
        <w:rPr>
          <w:rFonts w:ascii="Calibri" w:eastAsia="Calibri" w:hAnsi="Calibri" w:cs="Calibri"/>
          <w:color w:val="000000"/>
          <w:kern w:val="0"/>
          <w:sz w:val="22"/>
          <w:szCs w:val="22"/>
          <w:lang w:val="en-GB" w:eastAsia="en-GB"/>
          <w14:ligatures w14:val="none"/>
        </w:rPr>
        <w:t xml:space="preserve"> </w:t>
      </w:r>
      <w:hyperlink r:id="rId7">
        <w:r w:rsidRPr="00EC11EE">
          <w:rPr>
            <w:rFonts w:ascii="Calibri" w:eastAsia="Calibri" w:hAnsi="Calibri" w:cs="Calibri"/>
            <w:color w:val="0563C1"/>
            <w:kern w:val="0"/>
            <w:sz w:val="22"/>
            <w:szCs w:val="22"/>
            <w:u w:val="single"/>
            <w:lang w:val="en-GB" w:eastAsia="en-GB"/>
            <w14:ligatures w14:val="none"/>
          </w:rPr>
          <w:t>post adjustment system</w:t>
        </w:r>
      </w:hyperlink>
      <w:bookmarkEnd w:id="1"/>
      <w:r w:rsidRPr="00AC3366">
        <w:rPr>
          <w:rFonts w:ascii="Calibri" w:eastAsia="Calibri" w:hAnsi="Calibri" w:cs="Calibri"/>
          <w:color w:val="000000"/>
          <w:kern w:val="0"/>
          <w:sz w:val="22"/>
          <w:szCs w:val="22"/>
          <w:lang w:val="en-GB" w:eastAsia="en-GB"/>
          <w14:ligatures w14:val="none"/>
        </w:rPr>
        <w:fldChar w:fldCharType="begin"/>
      </w:r>
      <w:r w:rsidRPr="00AC3366">
        <w:rPr>
          <w:rFonts w:ascii="Calibri" w:eastAsia="Calibri" w:hAnsi="Calibri" w:cs="Calibri"/>
          <w:color w:val="000000"/>
          <w:kern w:val="0"/>
          <w:sz w:val="22"/>
          <w:szCs w:val="22"/>
          <w:lang w:val="en-GB" w:eastAsia="en-GB"/>
          <w14:ligatures w14:val="none"/>
        </w:rPr>
        <w:instrText xml:space="preserve"> HYPERLINK "https://popp.undp.org/node/5956" \h </w:instrText>
      </w:r>
      <w:r w:rsidRPr="00AC3366">
        <w:rPr>
          <w:rFonts w:ascii="Calibri" w:eastAsia="Calibri" w:hAnsi="Calibri" w:cs="Calibri"/>
          <w:color w:val="000000"/>
          <w:kern w:val="0"/>
          <w:sz w:val="22"/>
          <w:szCs w:val="22"/>
          <w:lang w:val="en-GB" w:eastAsia="en-GB"/>
          <w14:ligatures w14:val="none"/>
        </w:rPr>
      </w:r>
      <w:r w:rsidRPr="00AC3366">
        <w:rPr>
          <w:rFonts w:ascii="Calibri" w:eastAsia="Calibri" w:hAnsi="Calibri" w:cs="Calibri"/>
          <w:color w:val="000000"/>
          <w:kern w:val="0"/>
          <w:sz w:val="22"/>
          <w:szCs w:val="22"/>
          <w:lang w:val="en-GB" w:eastAsia="en-GB"/>
          <w14:ligatures w14:val="none"/>
        </w:rPr>
        <w:fldChar w:fldCharType="separate"/>
      </w:r>
      <w:r w:rsidRPr="00AC3366">
        <w:rPr>
          <w:rFonts w:ascii="Calibri" w:eastAsia="Calibri" w:hAnsi="Calibri" w:cs="Calibri"/>
          <w:color w:val="000000"/>
          <w:kern w:val="0"/>
          <w:sz w:val="22"/>
          <w:szCs w:val="22"/>
          <w:lang w:val="en-GB" w:eastAsia="en-GB"/>
          <w14:ligatures w14:val="none"/>
        </w:rPr>
        <w:t>.</w:t>
      </w:r>
      <w:r w:rsidRPr="00AC3366">
        <w:rPr>
          <w:rFonts w:ascii="Calibri" w:eastAsia="Calibri" w:hAnsi="Calibri" w:cs="Calibri"/>
          <w:color w:val="000000"/>
          <w:kern w:val="0"/>
          <w:sz w:val="22"/>
          <w:szCs w:val="22"/>
          <w:lang w:val="en-GB" w:eastAsia="en-GB"/>
          <w14:ligatures w14:val="none"/>
        </w:rPr>
        <w:fldChar w:fldCharType="end"/>
      </w:r>
    </w:p>
    <w:p w14:paraId="28581FD9"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57CA9994" w14:textId="77777777" w:rsidR="00AC3366" w:rsidRPr="00AC3366" w:rsidRDefault="00AC3366" w:rsidP="00AC3366">
      <w:pPr>
        <w:spacing w:after="4" w:line="253" w:lineRule="auto"/>
        <w:ind w:left="512" w:hanging="370"/>
        <w:jc w:val="both"/>
        <w:rPr>
          <w:rFonts w:ascii="Calibri" w:eastAsia="Calibri" w:hAnsi="Calibri" w:cs="Calibri"/>
          <w:b/>
          <w:bCs/>
          <w:color w:val="000000"/>
          <w:kern w:val="0"/>
          <w:sz w:val="22"/>
          <w:szCs w:val="22"/>
          <w:lang w:val="en-GB" w:eastAsia="en-GB"/>
          <w14:ligatures w14:val="none"/>
        </w:rPr>
      </w:pPr>
      <w:r w:rsidRPr="00AC3366">
        <w:rPr>
          <w:rFonts w:ascii="Calibri" w:eastAsia="Calibri" w:hAnsi="Calibri" w:cs="Calibri"/>
          <w:b/>
          <w:bCs/>
          <w:color w:val="000000"/>
          <w:kern w:val="0"/>
          <w:sz w:val="22"/>
          <w:szCs w:val="22"/>
          <w:lang w:val="en-GB" w:eastAsia="en-GB"/>
          <w14:ligatures w14:val="none"/>
        </w:rPr>
        <w:t>Advances for purchase of a private vehicle</w:t>
      </w:r>
    </w:p>
    <w:p w14:paraId="1272A320"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52E8CCBA"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Internationally recruited staff members from grades P-1 to P-4 may be granted a salary advance for the purchase of a private automobile of up to US$7,500.00 or the local currency equivalent at the prevailing United Nations Operational Rate of </w:t>
      </w:r>
      <w:hyperlink r:id="rId8">
        <w:r w:rsidRPr="00AC3366">
          <w:rPr>
            <w:rFonts w:ascii="Calibri" w:eastAsia="Calibri" w:hAnsi="Calibri" w:cs="Calibri"/>
            <w:color w:val="000000"/>
            <w:kern w:val="0"/>
            <w:sz w:val="22"/>
            <w:szCs w:val="22"/>
            <w:lang w:val="en-GB" w:eastAsia="en-GB"/>
            <w14:ligatures w14:val="none"/>
          </w:rPr>
          <w:t>Exchang</w:t>
        </w:r>
      </w:hyperlink>
      <w:hyperlink r:id="rId9">
        <w:r w:rsidRPr="00AC3366">
          <w:rPr>
            <w:rFonts w:ascii="Calibri" w:eastAsia="Calibri" w:hAnsi="Calibri" w:cs="Calibri"/>
            <w:color w:val="000000"/>
            <w:kern w:val="0"/>
            <w:sz w:val="22"/>
            <w:szCs w:val="22"/>
            <w:lang w:val="en-GB" w:eastAsia="en-GB"/>
            <w14:ligatures w14:val="none"/>
          </w:rPr>
          <w:t>e</w:t>
        </w:r>
      </w:hyperlink>
      <w:hyperlink r:id="rId10">
        <w:r w:rsidRPr="00AC3366">
          <w:rPr>
            <w:rFonts w:ascii="Calibri" w:eastAsia="Calibri" w:hAnsi="Calibri" w:cs="Calibri"/>
            <w:color w:val="000000"/>
            <w:kern w:val="0"/>
            <w:sz w:val="22"/>
            <w:szCs w:val="22"/>
            <w:lang w:val="en-GB" w:eastAsia="en-GB"/>
            <w14:ligatures w14:val="none"/>
          </w:rPr>
          <w:t xml:space="preserve"> </w:t>
        </w:r>
      </w:hyperlink>
      <w:hyperlink r:id="rId11">
        <w:r w:rsidRPr="00AC3366">
          <w:rPr>
            <w:rFonts w:ascii="Calibri" w:eastAsia="Calibri" w:hAnsi="Calibri" w:cs="Calibri"/>
            <w:color w:val="000000"/>
            <w:kern w:val="0"/>
            <w:sz w:val="22"/>
            <w:szCs w:val="22"/>
            <w:lang w:val="en-GB" w:eastAsia="en-GB"/>
            <w14:ligatures w14:val="none"/>
          </w:rPr>
          <w:t>(</w:t>
        </w:r>
      </w:hyperlink>
      <w:r w:rsidRPr="00AC3366">
        <w:rPr>
          <w:rFonts w:ascii="Calibri" w:eastAsia="Calibri" w:hAnsi="Calibri" w:cs="Calibri"/>
          <w:color w:val="000000"/>
          <w:kern w:val="0"/>
          <w:sz w:val="22"/>
          <w:szCs w:val="22"/>
          <w:lang w:val="en-GB" w:eastAsia="en-GB"/>
          <w14:ligatures w14:val="none"/>
        </w:rPr>
        <w:t xml:space="preserve">UNORE, </w:t>
      </w:r>
      <w:hyperlink r:id="rId12" w:history="1">
        <w:r w:rsidRPr="00AC3366">
          <w:rPr>
            <w:rFonts w:ascii="Calibri" w:eastAsia="Calibri" w:hAnsi="Calibri" w:cs="Calibri"/>
            <w:color w:val="0563C1"/>
            <w:kern w:val="0"/>
            <w:sz w:val="22"/>
            <w:szCs w:val="22"/>
            <w:u w:val="single"/>
            <w:lang w:val="en-GB" w:eastAsia="en-GB"/>
            <w14:ligatures w14:val="none"/>
          </w:rPr>
          <w:t>https://treasury.un.org/operationalrates/OperationalRates.php</w:t>
        </w:r>
      </w:hyperlink>
      <w:r w:rsidRPr="00AC3366">
        <w:rPr>
          <w:rFonts w:ascii="Calibri" w:eastAsia="Calibri" w:hAnsi="Calibri" w:cs="Calibri"/>
          <w:color w:val="000000"/>
          <w:kern w:val="0"/>
          <w:sz w:val="22"/>
          <w:szCs w:val="22"/>
          <w:lang w:val="en-GB" w:eastAsia="en-GB"/>
          <w14:ligatures w14:val="none"/>
        </w:rPr>
        <w:t>).</w:t>
      </w:r>
    </w:p>
    <w:p w14:paraId="4802EE10"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3373A445"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The requests for advance for this purpose will be considered, one-time only, within six months of initial appointment or reassignment. The Head of Office must certify that the vehicle is necessary in connection with the staff member's assignment.</w:t>
      </w:r>
    </w:p>
    <w:p w14:paraId="7671B757"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0393815D"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lastRenderedPageBreak/>
        <w:t>The request for advance must specify the amount, currency and where the advance should be paid. Advances for the purchase of a private automobile are granted on the understanding that the staff member intends to keep the vehicle for at least two years or for the duration of the assignment, whichever is shorter.</w:t>
      </w:r>
    </w:p>
    <w:p w14:paraId="4CD690E5"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5E817F4D"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Advances for the purchase of a private vehicle are not authorised for staff members assigned to Group 1 duty stations under the </w:t>
      </w:r>
      <w:hyperlink r:id="rId13">
        <w:r w:rsidRPr="00AC3366">
          <w:rPr>
            <w:rFonts w:ascii="Calibri" w:eastAsia="Calibri" w:hAnsi="Calibri" w:cs="Calibri"/>
            <w:color w:val="954F72"/>
            <w:kern w:val="0"/>
            <w:sz w:val="22"/>
            <w:szCs w:val="22"/>
            <w:u w:val="single" w:color="954F72"/>
            <w:lang w:val="en-GB" w:eastAsia="en-GB"/>
            <w14:ligatures w14:val="none"/>
          </w:rPr>
          <w:t>post adjustment system</w:t>
        </w:r>
      </w:hyperlink>
      <w:hyperlink r:id="rId14">
        <w:r w:rsidRPr="00AC3366">
          <w:rPr>
            <w:rFonts w:ascii="Calibri" w:eastAsia="Calibri" w:hAnsi="Calibri" w:cs="Calibri"/>
            <w:color w:val="000000"/>
            <w:kern w:val="0"/>
            <w:sz w:val="22"/>
            <w:szCs w:val="22"/>
            <w:lang w:val="en-GB" w:eastAsia="en-GB"/>
            <w14:ligatures w14:val="none"/>
          </w:rPr>
          <w:t>.</w:t>
        </w:r>
      </w:hyperlink>
    </w:p>
    <w:p w14:paraId="28FD8C35"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21F8A1ED"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Staff members on Temporary Appointments are not eligible for this type of advance.</w:t>
      </w:r>
    </w:p>
    <w:p w14:paraId="5A68BE50"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7F59EC42" w14:textId="77777777" w:rsidR="00AC3366" w:rsidRPr="00AC3366" w:rsidRDefault="00AC3366" w:rsidP="00AC3366">
      <w:pPr>
        <w:spacing w:after="4" w:line="253" w:lineRule="auto"/>
        <w:ind w:left="512" w:hanging="370"/>
        <w:jc w:val="both"/>
        <w:rPr>
          <w:rFonts w:ascii="Calibri" w:eastAsia="Calibri" w:hAnsi="Calibri" w:cs="Calibri"/>
          <w:b/>
          <w:color w:val="000000"/>
          <w:kern w:val="0"/>
          <w:sz w:val="22"/>
          <w:szCs w:val="22"/>
          <w:lang w:val="en-GB" w:eastAsia="en-GB"/>
          <w14:ligatures w14:val="none"/>
        </w:rPr>
      </w:pPr>
      <w:r w:rsidRPr="00AC3366">
        <w:rPr>
          <w:rFonts w:ascii="Calibri" w:eastAsia="Calibri" w:hAnsi="Calibri" w:cs="Calibri"/>
          <w:b/>
          <w:color w:val="000000"/>
          <w:kern w:val="0"/>
          <w:sz w:val="22"/>
          <w:szCs w:val="22"/>
          <w:lang w:val="en-GB" w:eastAsia="en-GB"/>
          <w14:ligatures w14:val="none"/>
        </w:rPr>
        <w:t xml:space="preserve">Emergency Advances </w:t>
      </w:r>
    </w:p>
    <w:p w14:paraId="37C9A114" w14:textId="77777777" w:rsidR="00AC3366" w:rsidRPr="00AC3366" w:rsidRDefault="00AC3366" w:rsidP="00AC3366">
      <w:pPr>
        <w:spacing w:after="4" w:line="253" w:lineRule="auto"/>
        <w:ind w:left="512" w:hanging="370"/>
        <w:jc w:val="both"/>
        <w:rPr>
          <w:rFonts w:ascii="Calibri" w:eastAsia="Calibri" w:hAnsi="Calibri" w:cs="Calibri"/>
          <w:b/>
          <w:color w:val="000000"/>
          <w:kern w:val="0"/>
          <w:sz w:val="22"/>
          <w:szCs w:val="22"/>
          <w:lang w:val="en-GB" w:eastAsia="en-GB"/>
          <w14:ligatures w14:val="none"/>
        </w:rPr>
      </w:pPr>
    </w:p>
    <w:p w14:paraId="4D3554E8" w14:textId="77777777" w:rsidR="00AC3366" w:rsidRPr="00AC3366" w:rsidRDefault="00AC3366" w:rsidP="00AC3366">
      <w:pPr>
        <w:spacing w:after="4" w:line="253" w:lineRule="auto"/>
        <w:ind w:left="512" w:hanging="370"/>
        <w:jc w:val="both"/>
        <w:rPr>
          <w:rFonts w:ascii="Calibri" w:eastAsia="Calibri" w:hAnsi="Calibri" w:cs="Calibri"/>
          <w:bCs/>
          <w:i/>
          <w:iCs/>
          <w:color w:val="000000"/>
          <w:kern w:val="0"/>
          <w:sz w:val="22"/>
          <w:szCs w:val="22"/>
          <w:u w:val="single"/>
          <w:lang w:val="en-GB" w:eastAsia="en-GB"/>
          <w14:ligatures w14:val="none"/>
        </w:rPr>
      </w:pPr>
      <w:r w:rsidRPr="00AC3366">
        <w:rPr>
          <w:rFonts w:ascii="Calibri" w:eastAsia="Calibri" w:hAnsi="Calibri" w:cs="Calibri"/>
          <w:bCs/>
          <w:i/>
          <w:iCs/>
          <w:color w:val="000000"/>
          <w:kern w:val="0"/>
          <w:sz w:val="22"/>
          <w:szCs w:val="22"/>
          <w:u w:val="single"/>
          <w:lang w:val="en-GB" w:eastAsia="en-GB"/>
          <w14:ligatures w14:val="none"/>
        </w:rPr>
        <w:t>Bulk Emergency Advances to groups of staff members</w:t>
      </w:r>
    </w:p>
    <w:p w14:paraId="12071D8E"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360578D3"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Salary advances may be exceptionally approved to groups of staff members / PSA holders, in </w:t>
      </w:r>
      <w:r w:rsidRPr="00AC3366">
        <w:rPr>
          <w:rFonts w:ascii="Calibri" w:eastAsia="Calibri" w:hAnsi="Calibri" w:cs="Calibri"/>
          <w:bCs/>
          <w:color w:val="000000"/>
          <w:kern w:val="0"/>
          <w:sz w:val="22"/>
          <w:szCs w:val="22"/>
          <w:lang w:val="en-GB" w:eastAsia="en-GB"/>
          <w14:ligatures w14:val="none"/>
        </w:rPr>
        <w:t>specific</w:t>
      </w:r>
      <w:r w:rsidRPr="00AC3366">
        <w:rPr>
          <w:rFonts w:ascii="Calibri" w:eastAsia="Calibri" w:hAnsi="Calibri" w:cs="Calibri"/>
          <w:color w:val="000000"/>
          <w:kern w:val="0"/>
          <w:sz w:val="22"/>
          <w:szCs w:val="22"/>
          <w:lang w:val="en-GB" w:eastAsia="en-GB"/>
          <w14:ligatures w14:val="none"/>
        </w:rPr>
        <w:t xml:space="preserve"> emergency situations by the Assistant Administrator and Director, BMS in accordance with the conditions and procedures specified at the time of approval.</w:t>
      </w:r>
    </w:p>
    <w:p w14:paraId="0AF8FEE3" w14:textId="77777777" w:rsidR="00AC3366" w:rsidRPr="00AC3366" w:rsidRDefault="00AC3366" w:rsidP="00AC3366">
      <w:pPr>
        <w:spacing w:after="4" w:line="253" w:lineRule="auto"/>
        <w:ind w:left="720"/>
        <w:contextualSpacing/>
        <w:jc w:val="both"/>
        <w:rPr>
          <w:rFonts w:ascii="Calibri" w:eastAsia="Calibri" w:hAnsi="Calibri" w:cs="Calibri"/>
          <w:color w:val="000000"/>
          <w:kern w:val="0"/>
          <w:sz w:val="22"/>
          <w:szCs w:val="22"/>
          <w:lang w:val="en-GB" w:eastAsia="en-GB"/>
          <w14:ligatures w14:val="none"/>
        </w:rPr>
      </w:pPr>
    </w:p>
    <w:p w14:paraId="0D5701D7"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bCs/>
          <w:color w:val="000000"/>
          <w:kern w:val="0"/>
          <w:sz w:val="22"/>
          <w:szCs w:val="22"/>
          <w:lang w:val="en-GB" w:eastAsia="en-GB"/>
          <w14:ligatures w14:val="none"/>
        </w:rPr>
        <w:t xml:space="preserve">Bulk salary advances as may be proposed by the Head of Office or United Nations Country Team (UNCT) to respond to </w:t>
      </w:r>
      <w:proofErr w:type="gramStart"/>
      <w:r w:rsidRPr="00AC3366">
        <w:rPr>
          <w:rFonts w:ascii="Calibri" w:eastAsia="Calibri" w:hAnsi="Calibri" w:cs="Calibri"/>
          <w:bCs/>
          <w:color w:val="000000"/>
          <w:kern w:val="0"/>
          <w:sz w:val="22"/>
          <w:szCs w:val="22"/>
          <w:lang w:val="en-GB" w:eastAsia="en-GB"/>
          <w14:ligatures w14:val="none"/>
        </w:rPr>
        <w:t>an emergency situation</w:t>
      </w:r>
      <w:proofErr w:type="gramEnd"/>
      <w:r w:rsidRPr="00AC3366">
        <w:rPr>
          <w:rFonts w:ascii="Calibri" w:eastAsia="Calibri" w:hAnsi="Calibri" w:cs="Calibri"/>
          <w:bCs/>
          <w:color w:val="000000"/>
          <w:kern w:val="0"/>
          <w:sz w:val="22"/>
          <w:szCs w:val="22"/>
          <w:lang w:val="en-GB" w:eastAsia="en-GB"/>
          <w14:ligatures w14:val="none"/>
        </w:rPr>
        <w:t xml:space="preserve"> in a duty station, must be approved by the Assistant Administrator and Director, BMS.</w:t>
      </w:r>
    </w:p>
    <w:p w14:paraId="5DEE517F"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1AB95E6A" w14:textId="77777777" w:rsidR="00AC3366" w:rsidRPr="00AC3366" w:rsidRDefault="00AC3366" w:rsidP="00AC3366">
      <w:pPr>
        <w:spacing w:after="4" w:line="253" w:lineRule="auto"/>
        <w:ind w:left="512" w:hanging="370"/>
        <w:jc w:val="both"/>
        <w:rPr>
          <w:rFonts w:ascii="Calibri" w:eastAsia="Calibri" w:hAnsi="Calibri" w:cs="Calibri"/>
          <w:i/>
          <w:iCs/>
          <w:color w:val="000000"/>
          <w:kern w:val="0"/>
          <w:sz w:val="22"/>
          <w:szCs w:val="22"/>
          <w:u w:val="single"/>
          <w:lang w:val="en-GB" w:eastAsia="en-GB"/>
          <w14:ligatures w14:val="none"/>
        </w:rPr>
      </w:pPr>
      <w:r w:rsidRPr="00AC3366">
        <w:rPr>
          <w:rFonts w:ascii="Calibri" w:eastAsia="Calibri" w:hAnsi="Calibri" w:cs="Calibri"/>
          <w:i/>
          <w:iCs/>
          <w:color w:val="000000"/>
          <w:kern w:val="0"/>
          <w:sz w:val="22"/>
          <w:szCs w:val="22"/>
          <w:u w:val="single"/>
          <w:lang w:val="en-GB" w:eastAsia="en-GB"/>
          <w14:ligatures w14:val="none"/>
        </w:rPr>
        <w:t>Personal Emergency Advance</w:t>
      </w:r>
    </w:p>
    <w:p w14:paraId="5467C3DA"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2BD156A4"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Staff members / PSA holders may be granted an advance for personal emergencies of up to two months’ net pay to meet genuine urgent, non-recurring, needs. These requests will be considered on the merit of each individual case, including evidence provided, and granted based on the best judgment of the Head or Director of the Office, in the case of locally recruited staff and NPSAs or the Assistant Administrator and Director, BMS, in the case of internationally recruited staff and IPSAs.</w:t>
      </w:r>
    </w:p>
    <w:p w14:paraId="18F5A041"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2211ACD1"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Situations that may be considered for advances for personal emergencies include:  </w:t>
      </w:r>
    </w:p>
    <w:p w14:paraId="1B1F812E" w14:textId="77777777" w:rsidR="00AC3366" w:rsidRPr="00AC3366" w:rsidRDefault="00AC3366" w:rsidP="00AC3366">
      <w:pPr>
        <w:spacing w:after="4" w:line="253" w:lineRule="auto"/>
        <w:ind w:left="720" w:hanging="370"/>
        <w:contextualSpacing/>
        <w:jc w:val="both"/>
        <w:rPr>
          <w:rFonts w:ascii="Calibri" w:eastAsia="Calibri" w:hAnsi="Calibri" w:cs="Calibri"/>
          <w:color w:val="000000"/>
          <w:kern w:val="0"/>
          <w:sz w:val="22"/>
          <w:szCs w:val="22"/>
          <w:lang w:val="en-GB" w:eastAsia="en-GB"/>
          <w14:ligatures w14:val="none"/>
        </w:rPr>
      </w:pPr>
    </w:p>
    <w:p w14:paraId="22AB7E7B" w14:textId="77777777" w:rsidR="00AC3366" w:rsidRPr="00AC3366" w:rsidRDefault="00AC3366" w:rsidP="00AC3366">
      <w:pPr>
        <w:numPr>
          <w:ilvl w:val="1"/>
          <w:numId w:val="3"/>
        </w:numPr>
        <w:tabs>
          <w:tab w:val="left" w:pos="2340"/>
        </w:tabs>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major expenses to repair a private residence damaged by natural or man-made disasters (e.g., fire, flooding, etc.). Advances of this type may often be approved on a duty station-wide basis as part of a Bulk Emergency Advance;</w:t>
      </w:r>
    </w:p>
    <w:p w14:paraId="281FF413" w14:textId="77777777" w:rsidR="00AC3366" w:rsidRPr="00AC3366" w:rsidRDefault="00AC3366" w:rsidP="00AC3366">
      <w:pPr>
        <w:tabs>
          <w:tab w:val="left" w:pos="2340"/>
        </w:tabs>
        <w:spacing w:after="4" w:line="253" w:lineRule="auto"/>
        <w:ind w:left="1354"/>
        <w:contextualSpacing/>
        <w:jc w:val="both"/>
        <w:rPr>
          <w:rFonts w:ascii="Calibri" w:eastAsia="Calibri" w:hAnsi="Calibri" w:cs="Calibri"/>
          <w:color w:val="000000"/>
          <w:kern w:val="0"/>
          <w:sz w:val="22"/>
          <w:szCs w:val="22"/>
          <w:lang w:val="en-GB" w:eastAsia="en-GB"/>
          <w14:ligatures w14:val="none"/>
        </w:rPr>
      </w:pPr>
    </w:p>
    <w:p w14:paraId="6CE34A00" w14:textId="77777777" w:rsidR="00AC3366" w:rsidRPr="00AC3366" w:rsidRDefault="00AC3366" w:rsidP="00AC3366">
      <w:pPr>
        <w:numPr>
          <w:ilvl w:val="1"/>
          <w:numId w:val="3"/>
        </w:numPr>
        <w:tabs>
          <w:tab w:val="left" w:pos="2340"/>
        </w:tabs>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major expenses related to undertaking security-related measures (fences, alarm system, etc.) on a staff member’s / PSA holder’s primary residence based on written recommendation of the UNDP security officer or UNDSS and submission of a vendor invoice or estimate;</w:t>
      </w:r>
    </w:p>
    <w:p w14:paraId="669ADEAE" w14:textId="77777777" w:rsidR="00AC3366" w:rsidRPr="00AC3366" w:rsidRDefault="00AC3366" w:rsidP="00AC3366">
      <w:pPr>
        <w:tabs>
          <w:tab w:val="left" w:pos="2340"/>
        </w:tabs>
        <w:spacing w:after="4" w:line="253" w:lineRule="auto"/>
        <w:jc w:val="both"/>
        <w:rPr>
          <w:rFonts w:ascii="Calibri" w:eastAsia="Calibri" w:hAnsi="Calibri" w:cs="Calibri"/>
          <w:color w:val="000000"/>
          <w:kern w:val="0"/>
          <w:sz w:val="22"/>
          <w:szCs w:val="22"/>
          <w:lang w:val="en-GB" w:eastAsia="en-GB"/>
          <w14:ligatures w14:val="none"/>
        </w:rPr>
      </w:pPr>
    </w:p>
    <w:p w14:paraId="5E5D9CA4" w14:textId="77777777" w:rsidR="00AC3366" w:rsidRPr="00AC3366" w:rsidRDefault="00AC3366" w:rsidP="00AC3366">
      <w:pPr>
        <w:numPr>
          <w:ilvl w:val="1"/>
          <w:numId w:val="3"/>
        </w:numPr>
        <w:tabs>
          <w:tab w:val="left" w:pos="2340"/>
        </w:tabs>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lastRenderedPageBreak/>
        <w:t>crimes causing serious financial loss, evidenced by an official police report or an insurance claim, to the staff member and/or dependent as recognized by UNDP;</w:t>
      </w:r>
    </w:p>
    <w:p w14:paraId="484F1AD7" w14:textId="77777777" w:rsidR="00AC3366" w:rsidRPr="00AC3366" w:rsidRDefault="00AC3366" w:rsidP="00AC3366">
      <w:pPr>
        <w:tabs>
          <w:tab w:val="left" w:pos="2340"/>
        </w:tabs>
        <w:spacing w:after="4" w:line="253" w:lineRule="auto"/>
        <w:ind w:left="1354"/>
        <w:contextualSpacing/>
        <w:jc w:val="both"/>
        <w:rPr>
          <w:rFonts w:ascii="Calibri" w:eastAsia="Calibri" w:hAnsi="Calibri" w:cs="Calibri"/>
          <w:color w:val="000000"/>
          <w:kern w:val="0"/>
          <w:sz w:val="22"/>
          <w:szCs w:val="22"/>
          <w:lang w:val="en-GB" w:eastAsia="en-GB"/>
          <w14:ligatures w14:val="none"/>
        </w:rPr>
      </w:pPr>
    </w:p>
    <w:p w14:paraId="1DC58D17" w14:textId="77777777" w:rsidR="00AC3366" w:rsidRPr="00AC3366" w:rsidRDefault="00AC3366" w:rsidP="00AC3366">
      <w:pPr>
        <w:numPr>
          <w:ilvl w:val="1"/>
          <w:numId w:val="3"/>
        </w:numPr>
        <w:tabs>
          <w:tab w:val="left" w:pos="2340"/>
        </w:tabs>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funeral expenses in the event of death of an immediate family member;</w:t>
      </w:r>
    </w:p>
    <w:p w14:paraId="3EC25CCF" w14:textId="77777777" w:rsidR="00AC3366" w:rsidRPr="00AC3366" w:rsidRDefault="00AC3366" w:rsidP="00AC3366">
      <w:pPr>
        <w:tabs>
          <w:tab w:val="left" w:pos="2340"/>
        </w:tabs>
        <w:spacing w:after="4" w:line="253" w:lineRule="auto"/>
        <w:ind w:left="1354"/>
        <w:contextualSpacing/>
        <w:jc w:val="both"/>
        <w:rPr>
          <w:rFonts w:ascii="Calibri" w:eastAsia="Calibri" w:hAnsi="Calibri" w:cs="Calibri"/>
          <w:color w:val="000000"/>
          <w:kern w:val="0"/>
          <w:sz w:val="22"/>
          <w:szCs w:val="22"/>
          <w:lang w:val="en-GB" w:eastAsia="en-GB"/>
          <w14:ligatures w14:val="none"/>
        </w:rPr>
      </w:pPr>
    </w:p>
    <w:p w14:paraId="416F468B" w14:textId="77777777" w:rsidR="00AC3366" w:rsidRPr="00AC3366" w:rsidRDefault="00AC3366" w:rsidP="00AC3366">
      <w:pPr>
        <w:numPr>
          <w:ilvl w:val="1"/>
          <w:numId w:val="3"/>
        </w:numPr>
        <w:tabs>
          <w:tab w:val="left" w:pos="2340"/>
        </w:tabs>
        <w:spacing w:after="4" w:line="253" w:lineRule="auto"/>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expenses related to essential medical or dental procedures and treatments for staff members / PSA holders and/or their dependents as recognized by UNDP that are not covered by their insurance scheme and upon submission of a provider’s invoice or estimate.</w:t>
      </w:r>
    </w:p>
    <w:p w14:paraId="64F21810" w14:textId="77777777" w:rsidR="00AC3366" w:rsidRPr="00AC3366" w:rsidRDefault="00AC3366" w:rsidP="00AC3366">
      <w:pPr>
        <w:tabs>
          <w:tab w:val="left" w:pos="2340"/>
        </w:tabs>
        <w:spacing w:after="4" w:line="253" w:lineRule="auto"/>
        <w:ind w:left="2340"/>
        <w:jc w:val="both"/>
        <w:rPr>
          <w:rFonts w:ascii="Calibri" w:eastAsia="Calibri" w:hAnsi="Calibri" w:cs="Calibri"/>
          <w:color w:val="000000"/>
          <w:kern w:val="0"/>
          <w:sz w:val="22"/>
          <w:szCs w:val="22"/>
          <w:lang w:val="en-GB" w:eastAsia="en-GB"/>
          <w14:ligatures w14:val="none"/>
        </w:rPr>
      </w:pPr>
    </w:p>
    <w:p w14:paraId="36920849"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Only one personal salary advance for emergencies may be granted during any twelve-month period.  </w:t>
      </w:r>
    </w:p>
    <w:p w14:paraId="1B54B6A2"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1BEF1DBA" w14:textId="77777777" w:rsidR="00AC3366" w:rsidRPr="00AC3366" w:rsidRDefault="00AC3366" w:rsidP="00AC3366">
      <w:pPr>
        <w:spacing w:after="4" w:line="253" w:lineRule="auto"/>
        <w:ind w:left="512" w:hanging="370"/>
        <w:jc w:val="both"/>
        <w:rPr>
          <w:rFonts w:ascii="Calibri" w:eastAsia="Calibri" w:hAnsi="Calibri" w:cs="Calibri"/>
          <w:b/>
          <w:bCs/>
          <w:kern w:val="0"/>
          <w:sz w:val="22"/>
          <w:szCs w:val="22"/>
          <w:u w:val="single"/>
          <w:lang w:val="en-GB" w:eastAsia="en-GB"/>
          <w14:ligatures w14:val="none"/>
        </w:rPr>
      </w:pPr>
      <w:r w:rsidRPr="00AC3366">
        <w:rPr>
          <w:rFonts w:ascii="Calibri" w:eastAsia="Calibri" w:hAnsi="Calibri" w:cs="Calibri"/>
          <w:b/>
          <w:bCs/>
          <w:color w:val="000000"/>
          <w:kern w:val="0"/>
          <w:sz w:val="22"/>
          <w:szCs w:val="22"/>
          <w:u w:val="single"/>
          <w:lang w:val="en-GB" w:eastAsia="en-GB"/>
          <w14:ligatures w14:val="none"/>
        </w:rPr>
        <w:t xml:space="preserve">Unauthorized Requests </w:t>
      </w:r>
    </w:p>
    <w:p w14:paraId="3F5416E0" w14:textId="77777777" w:rsidR="00AC3366" w:rsidRPr="00AC3366" w:rsidRDefault="00AC3366" w:rsidP="00AC3366">
      <w:pPr>
        <w:spacing w:after="33" w:line="259" w:lineRule="auto"/>
        <w:ind w:left="810"/>
        <w:contextualSpacing/>
        <w:jc w:val="both"/>
        <w:rPr>
          <w:rFonts w:ascii="Calibri" w:eastAsia="Calibri" w:hAnsi="Calibri" w:cs="Calibri"/>
          <w:color w:val="000000"/>
          <w:kern w:val="0"/>
          <w:sz w:val="22"/>
          <w:szCs w:val="22"/>
          <w:lang w:val="en-GB" w:eastAsia="en-GB"/>
          <w14:ligatures w14:val="none"/>
        </w:rPr>
      </w:pPr>
    </w:p>
    <w:p w14:paraId="17FE72F5" w14:textId="77777777" w:rsidR="00AC3366" w:rsidRPr="00AC3366" w:rsidRDefault="00AC3366" w:rsidP="00AC3366">
      <w:pPr>
        <w:numPr>
          <w:ilvl w:val="0"/>
          <w:numId w:val="2"/>
        </w:numPr>
        <w:spacing w:after="33" w:line="259" w:lineRule="auto"/>
        <w:ind w:left="810"/>
        <w:contextualSpacing/>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Salary advances shall not be authorised for purposes outside those covered by this policy. These include but are not limited to the following:</w:t>
      </w:r>
    </w:p>
    <w:p w14:paraId="178CE3D8" w14:textId="77777777" w:rsidR="00AC3366" w:rsidRPr="00AC3366" w:rsidRDefault="00AC3366" w:rsidP="00AC3366">
      <w:pPr>
        <w:spacing w:after="0" w:line="240" w:lineRule="auto"/>
        <w:ind w:left="990"/>
        <w:jc w:val="both"/>
        <w:rPr>
          <w:rFonts w:ascii="Calibri" w:eastAsia="Calibri" w:hAnsi="Calibri" w:cs="Calibri"/>
          <w:color w:val="000000"/>
          <w:kern w:val="0"/>
          <w:sz w:val="22"/>
          <w:szCs w:val="22"/>
          <w:lang w:val="en-GB" w:eastAsia="en-GB"/>
          <w14:ligatures w14:val="none"/>
        </w:rPr>
      </w:pPr>
    </w:p>
    <w:p w14:paraId="130D89D9" w14:textId="77777777" w:rsidR="00AC3366" w:rsidRPr="00AC3366" w:rsidRDefault="00AC3366" w:rsidP="00EC11EE">
      <w:pPr>
        <w:numPr>
          <w:ilvl w:val="0"/>
          <w:numId w:val="4"/>
        </w:numPr>
        <w:tabs>
          <w:tab w:val="clear" w:pos="720"/>
          <w:tab w:val="num" w:pos="1890"/>
        </w:tabs>
        <w:spacing w:after="0" w:line="240" w:lineRule="auto"/>
        <w:ind w:left="21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weddings, parties, or other such gatherings;</w:t>
      </w:r>
    </w:p>
    <w:p w14:paraId="096DFC0A" w14:textId="77777777" w:rsidR="00AC3366" w:rsidRPr="00AC3366" w:rsidRDefault="00AC3366" w:rsidP="00EC11EE">
      <w:pPr>
        <w:spacing w:after="4" w:line="253" w:lineRule="auto"/>
        <w:ind w:left="2160"/>
        <w:jc w:val="both"/>
        <w:rPr>
          <w:rFonts w:ascii="Calibri" w:eastAsia="Calibri" w:hAnsi="Calibri" w:cs="Calibri"/>
          <w:color w:val="000000"/>
          <w:kern w:val="0"/>
          <w:sz w:val="22"/>
          <w:szCs w:val="22"/>
          <w:lang w:val="en-GB" w:eastAsia="en-GB"/>
          <w14:ligatures w14:val="none"/>
        </w:rPr>
      </w:pPr>
    </w:p>
    <w:p w14:paraId="5B6AB391" w14:textId="77777777" w:rsidR="00AC3366" w:rsidRPr="00AC3366" w:rsidRDefault="00AC3366" w:rsidP="00EC11EE">
      <w:pPr>
        <w:numPr>
          <w:ilvl w:val="0"/>
          <w:numId w:val="4"/>
        </w:numPr>
        <w:tabs>
          <w:tab w:val="clear" w:pos="720"/>
          <w:tab w:val="num" w:pos="1890"/>
        </w:tabs>
        <w:spacing w:after="0" w:line="240" w:lineRule="auto"/>
        <w:ind w:left="21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school or college fees;</w:t>
      </w:r>
    </w:p>
    <w:p w14:paraId="2777BAC3" w14:textId="77777777" w:rsidR="00AC3366" w:rsidRPr="00AC3366" w:rsidRDefault="00AC3366" w:rsidP="00EC11EE">
      <w:pPr>
        <w:spacing w:after="4" w:line="253" w:lineRule="auto"/>
        <w:ind w:left="2160"/>
        <w:contextualSpacing/>
        <w:jc w:val="both"/>
        <w:rPr>
          <w:rFonts w:ascii="Calibri" w:eastAsia="Calibri" w:hAnsi="Calibri" w:cs="Calibri"/>
          <w:color w:val="000000"/>
          <w:kern w:val="0"/>
          <w:sz w:val="22"/>
          <w:szCs w:val="22"/>
          <w:lang w:val="en-GB" w:eastAsia="en-GB"/>
          <w14:ligatures w14:val="none"/>
        </w:rPr>
      </w:pPr>
    </w:p>
    <w:p w14:paraId="374492B2" w14:textId="77777777" w:rsidR="00AC3366" w:rsidRPr="00AC3366" w:rsidRDefault="00AC3366" w:rsidP="00EC11EE">
      <w:pPr>
        <w:numPr>
          <w:ilvl w:val="0"/>
          <w:numId w:val="4"/>
        </w:numPr>
        <w:tabs>
          <w:tab w:val="clear" w:pos="720"/>
          <w:tab w:val="num" w:pos="1890"/>
        </w:tabs>
        <w:spacing w:after="0" w:line="240" w:lineRule="auto"/>
        <w:ind w:left="21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holiday or other personal travel;</w:t>
      </w:r>
    </w:p>
    <w:p w14:paraId="5CBC97EB" w14:textId="77777777" w:rsidR="00AC3366" w:rsidRPr="00AC3366" w:rsidRDefault="00AC3366" w:rsidP="00EC11EE">
      <w:pPr>
        <w:spacing w:after="4" w:line="253" w:lineRule="auto"/>
        <w:ind w:left="2160"/>
        <w:jc w:val="both"/>
        <w:rPr>
          <w:rFonts w:ascii="Calibri" w:eastAsia="Calibri" w:hAnsi="Calibri" w:cs="Calibri"/>
          <w:color w:val="000000"/>
          <w:kern w:val="0"/>
          <w:sz w:val="22"/>
          <w:szCs w:val="22"/>
          <w:lang w:val="en-GB" w:eastAsia="en-GB"/>
          <w14:ligatures w14:val="none"/>
        </w:rPr>
      </w:pPr>
    </w:p>
    <w:p w14:paraId="4A1D09BB" w14:textId="77777777" w:rsidR="00AC3366" w:rsidRPr="00AC3366" w:rsidRDefault="00AC3366" w:rsidP="00EC11EE">
      <w:pPr>
        <w:numPr>
          <w:ilvl w:val="0"/>
          <w:numId w:val="4"/>
        </w:numPr>
        <w:tabs>
          <w:tab w:val="clear" w:pos="720"/>
          <w:tab w:val="num" w:pos="1890"/>
        </w:tabs>
        <w:spacing w:after="0" w:line="240" w:lineRule="auto"/>
        <w:ind w:left="21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purchase of a house or land;</w:t>
      </w:r>
    </w:p>
    <w:p w14:paraId="570B3255" w14:textId="77777777" w:rsidR="00AC3366" w:rsidRPr="00AC3366" w:rsidRDefault="00AC3366" w:rsidP="00EC11EE">
      <w:pPr>
        <w:spacing w:after="4" w:line="253" w:lineRule="auto"/>
        <w:ind w:left="2160"/>
        <w:jc w:val="both"/>
        <w:rPr>
          <w:rFonts w:ascii="Calibri" w:eastAsia="Calibri" w:hAnsi="Calibri" w:cs="Calibri"/>
          <w:color w:val="000000"/>
          <w:kern w:val="0"/>
          <w:sz w:val="22"/>
          <w:szCs w:val="22"/>
          <w:lang w:val="en-GB" w:eastAsia="en-GB"/>
          <w14:ligatures w14:val="none"/>
        </w:rPr>
      </w:pPr>
    </w:p>
    <w:p w14:paraId="6396DA31" w14:textId="77777777" w:rsidR="00AC3366" w:rsidRPr="00AC3366" w:rsidRDefault="00AC3366" w:rsidP="00EC11EE">
      <w:pPr>
        <w:numPr>
          <w:ilvl w:val="0"/>
          <w:numId w:val="4"/>
        </w:numPr>
        <w:tabs>
          <w:tab w:val="clear" w:pos="720"/>
          <w:tab w:val="num" w:pos="1890"/>
        </w:tabs>
        <w:spacing w:after="0" w:line="240" w:lineRule="auto"/>
        <w:ind w:left="21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construction of houses, buildings or extension of existing premises;</w:t>
      </w:r>
    </w:p>
    <w:p w14:paraId="2D3D788C" w14:textId="77777777" w:rsidR="00AC3366" w:rsidRPr="00AC3366" w:rsidRDefault="00AC3366" w:rsidP="00EC11EE">
      <w:pPr>
        <w:spacing w:after="4" w:line="253" w:lineRule="auto"/>
        <w:ind w:left="2160"/>
        <w:jc w:val="both"/>
        <w:rPr>
          <w:rFonts w:ascii="Calibri" w:eastAsia="Calibri" w:hAnsi="Calibri" w:cs="Calibri"/>
          <w:color w:val="000000"/>
          <w:kern w:val="0"/>
          <w:sz w:val="22"/>
          <w:szCs w:val="22"/>
          <w:lang w:val="en-GB" w:eastAsia="en-GB"/>
          <w14:ligatures w14:val="none"/>
        </w:rPr>
      </w:pPr>
    </w:p>
    <w:p w14:paraId="2A46582B" w14:textId="77777777" w:rsidR="00AC3366" w:rsidRPr="00AC3366" w:rsidRDefault="00AC3366" w:rsidP="00EC11EE">
      <w:pPr>
        <w:numPr>
          <w:ilvl w:val="0"/>
          <w:numId w:val="4"/>
        </w:numPr>
        <w:tabs>
          <w:tab w:val="clear" w:pos="720"/>
          <w:tab w:val="num" w:pos="1890"/>
        </w:tabs>
        <w:spacing w:after="0" w:line="240" w:lineRule="auto"/>
        <w:ind w:left="21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 xml:space="preserve">renovation or repair of houses or buildings through normal wear and tear; </w:t>
      </w:r>
    </w:p>
    <w:p w14:paraId="67B14422" w14:textId="77777777" w:rsidR="00AC3366" w:rsidRPr="00AC3366" w:rsidRDefault="00AC3366" w:rsidP="00EC11EE">
      <w:pPr>
        <w:spacing w:after="4" w:line="253" w:lineRule="auto"/>
        <w:ind w:left="2160"/>
        <w:contextualSpacing/>
        <w:jc w:val="both"/>
        <w:rPr>
          <w:rFonts w:ascii="Calibri" w:eastAsia="Calibri" w:hAnsi="Calibri" w:cs="Calibri"/>
          <w:color w:val="000000"/>
          <w:kern w:val="0"/>
          <w:sz w:val="22"/>
          <w:szCs w:val="22"/>
          <w:lang w:val="en-GB" w:eastAsia="en-GB"/>
          <w14:ligatures w14:val="none"/>
        </w:rPr>
      </w:pPr>
    </w:p>
    <w:p w14:paraId="168FB661" w14:textId="77777777" w:rsidR="00AC3366" w:rsidRPr="00AC3366" w:rsidRDefault="00AC3366" w:rsidP="00EC11EE">
      <w:pPr>
        <w:numPr>
          <w:ilvl w:val="0"/>
          <w:numId w:val="4"/>
        </w:numPr>
        <w:tabs>
          <w:tab w:val="clear" w:pos="720"/>
          <w:tab w:val="num" w:pos="1890"/>
        </w:tabs>
        <w:spacing w:after="0" w:line="240" w:lineRule="auto"/>
        <w:ind w:left="21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purchase of household furnishings and personal effects;</w:t>
      </w:r>
    </w:p>
    <w:p w14:paraId="22545B8A" w14:textId="77777777" w:rsidR="00AC3366" w:rsidRPr="00AC3366" w:rsidRDefault="00AC3366" w:rsidP="00EC11EE">
      <w:pPr>
        <w:spacing w:after="4" w:line="253" w:lineRule="auto"/>
        <w:ind w:left="2160"/>
        <w:jc w:val="both"/>
        <w:rPr>
          <w:rFonts w:ascii="Calibri" w:eastAsia="Calibri" w:hAnsi="Calibri" w:cs="Calibri"/>
          <w:color w:val="000000"/>
          <w:kern w:val="0"/>
          <w:sz w:val="22"/>
          <w:szCs w:val="22"/>
          <w:lang w:val="en-GB" w:eastAsia="en-GB"/>
          <w14:ligatures w14:val="none"/>
        </w:rPr>
      </w:pPr>
    </w:p>
    <w:p w14:paraId="19488EBB" w14:textId="77777777" w:rsidR="00AC3366" w:rsidRPr="00AC3366" w:rsidRDefault="00AC3366" w:rsidP="00EC11EE">
      <w:pPr>
        <w:numPr>
          <w:ilvl w:val="0"/>
          <w:numId w:val="4"/>
        </w:numPr>
        <w:tabs>
          <w:tab w:val="clear" w:pos="720"/>
          <w:tab w:val="num" w:pos="1890"/>
        </w:tabs>
        <w:spacing w:after="0" w:line="240" w:lineRule="auto"/>
        <w:ind w:left="2160"/>
        <w:jc w:val="both"/>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t>payment of personal debts, bank loans or mortgages.</w:t>
      </w:r>
    </w:p>
    <w:p w14:paraId="0F986E5C" w14:textId="77777777" w:rsidR="00AC3366" w:rsidRPr="00AC3366" w:rsidRDefault="00AC3366" w:rsidP="00AC3366">
      <w:pPr>
        <w:spacing w:after="0" w:line="240" w:lineRule="auto"/>
        <w:jc w:val="both"/>
        <w:rPr>
          <w:rFonts w:ascii="Calibri" w:eastAsia="Calibri" w:hAnsi="Calibri" w:cs="Calibri"/>
          <w:color w:val="000000"/>
          <w:kern w:val="0"/>
          <w:sz w:val="22"/>
          <w:szCs w:val="22"/>
          <w:lang w:val="en-GB" w:eastAsia="en-GB"/>
          <w14:ligatures w14:val="none"/>
        </w:rPr>
      </w:pPr>
    </w:p>
    <w:p w14:paraId="65CE6B67" w14:textId="77777777" w:rsidR="00AC3366" w:rsidRPr="00AC3366" w:rsidRDefault="00AC3366" w:rsidP="00AC3366">
      <w:pPr>
        <w:spacing w:line="259" w:lineRule="auto"/>
        <w:rPr>
          <w:rFonts w:ascii="Calibri" w:eastAsia="Calibri" w:hAnsi="Calibri" w:cs="Calibri"/>
          <w:color w:val="000000"/>
          <w:kern w:val="0"/>
          <w:sz w:val="22"/>
          <w:szCs w:val="22"/>
          <w:lang w:val="en-GB" w:eastAsia="en-GB"/>
          <w14:ligatures w14:val="none"/>
        </w:rPr>
      </w:pPr>
      <w:r w:rsidRPr="00AC3366">
        <w:rPr>
          <w:rFonts w:ascii="Calibri" w:eastAsia="Calibri" w:hAnsi="Calibri" w:cs="Calibri"/>
          <w:color w:val="000000"/>
          <w:kern w:val="0"/>
          <w:sz w:val="22"/>
          <w:szCs w:val="22"/>
          <w:lang w:val="en-GB" w:eastAsia="en-GB"/>
          <w14:ligatures w14:val="none"/>
        </w:rPr>
        <w:br w:type="page"/>
      </w:r>
    </w:p>
    <w:p w14:paraId="3AFB4029" w14:textId="77777777" w:rsidR="00AC3366" w:rsidRPr="00AC3366" w:rsidRDefault="00AC3366" w:rsidP="00AC3366">
      <w:pPr>
        <w:spacing w:after="0" w:line="240" w:lineRule="auto"/>
        <w:jc w:val="both"/>
        <w:rPr>
          <w:rFonts w:ascii="Calibri" w:eastAsia="Calibri" w:hAnsi="Calibri" w:cs="Calibri"/>
          <w:b/>
          <w:bCs/>
          <w:color w:val="000000"/>
          <w:kern w:val="0"/>
          <w:sz w:val="22"/>
          <w:szCs w:val="22"/>
          <w:lang w:val="en-GB" w:eastAsia="en-GB"/>
          <w14:ligatures w14:val="none"/>
        </w:rPr>
      </w:pPr>
      <w:r w:rsidRPr="00AC3366">
        <w:rPr>
          <w:rFonts w:ascii="Calibri" w:eastAsia="Calibri" w:hAnsi="Calibri" w:cs="Calibri"/>
          <w:b/>
          <w:bCs/>
          <w:color w:val="000000"/>
          <w:kern w:val="0"/>
          <w:sz w:val="22"/>
          <w:szCs w:val="22"/>
          <w:lang w:val="en-GB" w:eastAsia="en-GB"/>
          <w14:ligatures w14:val="none"/>
        </w:rPr>
        <w:lastRenderedPageBreak/>
        <w:t>Annex: Summary of Payment, Recovery and Other Conditions</w:t>
      </w:r>
    </w:p>
    <w:p w14:paraId="53D93464" w14:textId="77777777" w:rsidR="00AC3366" w:rsidRPr="00AC3366" w:rsidRDefault="00AC3366" w:rsidP="00AC3366">
      <w:pPr>
        <w:spacing w:after="0" w:line="240" w:lineRule="auto"/>
        <w:jc w:val="both"/>
        <w:rPr>
          <w:rFonts w:ascii="Arial" w:eastAsia="Calibri" w:hAnsi="Arial" w:cs="Arial"/>
          <w:color w:val="000000"/>
          <w:kern w:val="0"/>
          <w:sz w:val="20"/>
          <w:szCs w:val="22"/>
          <w:lang w:val="en-GB" w:eastAsia="en-GB"/>
          <w14:ligatures w14:val="none"/>
        </w:rPr>
      </w:pPr>
    </w:p>
    <w:p w14:paraId="4EBBD5D1" w14:textId="77777777" w:rsidR="00AC3366" w:rsidRPr="00AC3366" w:rsidRDefault="00AC3366" w:rsidP="00AC3366">
      <w:pPr>
        <w:spacing w:after="0" w:line="240" w:lineRule="auto"/>
        <w:jc w:val="both"/>
        <w:rPr>
          <w:rFonts w:ascii="Arial" w:eastAsia="Calibri" w:hAnsi="Arial" w:cs="Arial"/>
          <w:color w:val="000000"/>
          <w:kern w:val="0"/>
          <w:sz w:val="20"/>
          <w:szCs w:val="22"/>
          <w:lang w:val="en-GB" w:eastAsia="en-GB"/>
          <w14:ligatures w14:val="none"/>
        </w:rPr>
      </w:pPr>
    </w:p>
    <w:tbl>
      <w:tblPr>
        <w:tblW w:w="10494" w:type="dxa"/>
        <w:tblInd w:w="-934" w:type="dxa"/>
        <w:tblLook w:val="04A0" w:firstRow="1" w:lastRow="0" w:firstColumn="1" w:lastColumn="0" w:noHBand="0" w:noVBand="1"/>
      </w:tblPr>
      <w:tblGrid>
        <w:gridCol w:w="1310"/>
        <w:gridCol w:w="1139"/>
        <w:gridCol w:w="1181"/>
        <w:gridCol w:w="1524"/>
        <w:gridCol w:w="1924"/>
        <w:gridCol w:w="1763"/>
        <w:gridCol w:w="53"/>
        <w:gridCol w:w="1600"/>
      </w:tblGrid>
      <w:tr w:rsidR="00AC3366" w:rsidRPr="00AC3366" w14:paraId="69AD141A" w14:textId="77777777" w:rsidTr="00AC3366">
        <w:trPr>
          <w:trHeight w:val="312"/>
        </w:trPr>
        <w:tc>
          <w:tcPr>
            <w:tcW w:w="1310" w:type="dxa"/>
            <w:tcBorders>
              <w:top w:val="single" w:sz="8" w:space="0" w:color="auto"/>
              <w:left w:val="single" w:sz="8" w:space="0" w:color="auto"/>
              <w:bottom w:val="single" w:sz="8" w:space="0" w:color="auto"/>
              <w:right w:val="single" w:sz="8" w:space="0" w:color="auto"/>
            </w:tcBorders>
            <w:shd w:val="clear" w:color="auto" w:fill="F4B083"/>
            <w:noWrap/>
            <w:vAlign w:val="center"/>
            <w:hideMark/>
          </w:tcPr>
          <w:p w14:paraId="17068593" w14:textId="77777777" w:rsidR="00AC3366" w:rsidRPr="00AC3366" w:rsidRDefault="00AC3366" w:rsidP="00AC3366">
            <w:pPr>
              <w:spacing w:after="0" w:line="240" w:lineRule="auto"/>
              <w:rPr>
                <w:rFonts w:ascii="Calibri" w:eastAsia="Times New Roman" w:hAnsi="Calibri" w:cs="Calibri"/>
                <w:b/>
                <w:bCs/>
                <w:color w:val="000000"/>
                <w:kern w:val="0"/>
                <w:sz w:val="16"/>
                <w:szCs w:val="16"/>
                <w:lang w:val="en-MY" w:eastAsia="en-MY"/>
                <w14:ligatures w14:val="none"/>
              </w:rPr>
            </w:pPr>
            <w:r w:rsidRPr="00AC3366">
              <w:rPr>
                <w:rFonts w:ascii="Calibri" w:eastAsia="Times New Roman" w:hAnsi="Calibri" w:cs="Calibri"/>
                <w:b/>
                <w:bCs/>
                <w:color w:val="000000"/>
                <w:kern w:val="0"/>
                <w:sz w:val="16"/>
                <w:szCs w:val="16"/>
                <w:lang w:val="en-MY" w:eastAsia="en-MY"/>
                <w14:ligatures w14:val="none"/>
              </w:rPr>
              <w:t>Type of Advance</w:t>
            </w:r>
          </w:p>
        </w:tc>
        <w:tc>
          <w:tcPr>
            <w:tcW w:w="1139" w:type="dxa"/>
            <w:tcBorders>
              <w:top w:val="single" w:sz="8" w:space="0" w:color="auto"/>
              <w:left w:val="nil"/>
              <w:bottom w:val="single" w:sz="8" w:space="0" w:color="auto"/>
              <w:right w:val="single" w:sz="8" w:space="0" w:color="auto"/>
            </w:tcBorders>
            <w:shd w:val="clear" w:color="auto" w:fill="F4B083"/>
            <w:vAlign w:val="center"/>
            <w:hideMark/>
          </w:tcPr>
          <w:p w14:paraId="703F194A" w14:textId="77777777" w:rsidR="00AC3366" w:rsidRPr="00AC3366" w:rsidRDefault="00AC3366" w:rsidP="00AC3366">
            <w:pPr>
              <w:spacing w:after="0" w:line="240" w:lineRule="auto"/>
              <w:rPr>
                <w:rFonts w:ascii="Calibri" w:eastAsia="Times New Roman" w:hAnsi="Calibri" w:cs="Calibri"/>
                <w:b/>
                <w:bCs/>
                <w:color w:val="000000"/>
                <w:kern w:val="0"/>
                <w:sz w:val="16"/>
                <w:szCs w:val="16"/>
                <w:lang w:val="en-MY" w:eastAsia="en-MY"/>
                <w14:ligatures w14:val="none"/>
              </w:rPr>
            </w:pPr>
            <w:r w:rsidRPr="00AC3366">
              <w:rPr>
                <w:rFonts w:ascii="Calibri" w:eastAsia="Times New Roman" w:hAnsi="Calibri" w:cs="Calibri"/>
                <w:b/>
                <w:bCs/>
                <w:color w:val="000000"/>
                <w:kern w:val="0"/>
                <w:sz w:val="16"/>
                <w:szCs w:val="16"/>
                <w:lang w:val="en-MY" w:eastAsia="en-MY"/>
                <w14:ligatures w14:val="none"/>
              </w:rPr>
              <w:t xml:space="preserve">Request Initiated by </w:t>
            </w:r>
          </w:p>
        </w:tc>
        <w:tc>
          <w:tcPr>
            <w:tcW w:w="1181" w:type="dxa"/>
            <w:tcBorders>
              <w:top w:val="single" w:sz="8" w:space="0" w:color="auto"/>
              <w:left w:val="nil"/>
              <w:bottom w:val="single" w:sz="8" w:space="0" w:color="auto"/>
              <w:right w:val="single" w:sz="8" w:space="0" w:color="auto"/>
            </w:tcBorders>
            <w:shd w:val="clear" w:color="auto" w:fill="F4B083"/>
            <w:vAlign w:val="center"/>
            <w:hideMark/>
          </w:tcPr>
          <w:p w14:paraId="3FBA1143" w14:textId="77777777" w:rsidR="00AC3366" w:rsidRPr="00AC3366" w:rsidRDefault="00AC3366" w:rsidP="00AC3366">
            <w:pPr>
              <w:spacing w:after="0" w:line="240" w:lineRule="auto"/>
              <w:rPr>
                <w:rFonts w:ascii="Calibri" w:eastAsia="Times New Roman" w:hAnsi="Calibri" w:cs="Calibri"/>
                <w:b/>
                <w:bCs/>
                <w:color w:val="000000"/>
                <w:kern w:val="0"/>
                <w:sz w:val="16"/>
                <w:szCs w:val="16"/>
                <w:lang w:val="en-MY" w:eastAsia="en-MY"/>
                <w14:ligatures w14:val="none"/>
              </w:rPr>
            </w:pPr>
            <w:r w:rsidRPr="00AC3366">
              <w:rPr>
                <w:rFonts w:ascii="Calibri" w:eastAsia="Times New Roman" w:hAnsi="Calibri" w:cs="Calibri"/>
                <w:b/>
                <w:bCs/>
                <w:color w:val="000000"/>
                <w:kern w:val="0"/>
                <w:sz w:val="16"/>
                <w:szCs w:val="16"/>
                <w:lang w:val="en-MY" w:eastAsia="en-MY"/>
                <w14:ligatures w14:val="none"/>
              </w:rPr>
              <w:t>Advance Approved by</w:t>
            </w:r>
          </w:p>
        </w:tc>
        <w:tc>
          <w:tcPr>
            <w:tcW w:w="1524" w:type="dxa"/>
            <w:tcBorders>
              <w:top w:val="single" w:sz="8" w:space="0" w:color="auto"/>
              <w:left w:val="nil"/>
              <w:bottom w:val="single" w:sz="8" w:space="0" w:color="auto"/>
              <w:right w:val="single" w:sz="8" w:space="0" w:color="auto"/>
            </w:tcBorders>
            <w:shd w:val="clear" w:color="auto" w:fill="F4B083"/>
            <w:noWrap/>
            <w:vAlign w:val="center"/>
            <w:hideMark/>
          </w:tcPr>
          <w:p w14:paraId="60350809" w14:textId="77777777" w:rsidR="00AC3366" w:rsidRPr="00AC3366" w:rsidRDefault="00AC3366" w:rsidP="00AC3366">
            <w:pPr>
              <w:spacing w:after="0" w:line="240" w:lineRule="auto"/>
              <w:rPr>
                <w:rFonts w:ascii="Calibri" w:eastAsia="Times New Roman" w:hAnsi="Calibri" w:cs="Calibri"/>
                <w:b/>
                <w:bCs/>
                <w:color w:val="000000"/>
                <w:kern w:val="0"/>
                <w:sz w:val="16"/>
                <w:szCs w:val="16"/>
                <w:lang w:val="en-MY" w:eastAsia="en-MY"/>
                <w14:ligatures w14:val="none"/>
              </w:rPr>
            </w:pPr>
            <w:r w:rsidRPr="00AC3366">
              <w:rPr>
                <w:rFonts w:ascii="Calibri" w:eastAsia="Times New Roman" w:hAnsi="Calibri" w:cs="Calibri"/>
                <w:b/>
                <w:bCs/>
                <w:color w:val="000000"/>
                <w:kern w:val="0"/>
                <w:sz w:val="16"/>
                <w:szCs w:val="16"/>
                <w:lang w:val="en-MY" w:eastAsia="en-MY"/>
                <w14:ligatures w14:val="none"/>
              </w:rPr>
              <w:t>Eligibility</w:t>
            </w:r>
          </w:p>
        </w:tc>
        <w:tc>
          <w:tcPr>
            <w:tcW w:w="1924" w:type="dxa"/>
            <w:tcBorders>
              <w:top w:val="single" w:sz="8" w:space="0" w:color="auto"/>
              <w:left w:val="nil"/>
              <w:bottom w:val="single" w:sz="8" w:space="0" w:color="auto"/>
              <w:right w:val="single" w:sz="8" w:space="0" w:color="auto"/>
            </w:tcBorders>
            <w:shd w:val="clear" w:color="auto" w:fill="F4B083"/>
            <w:noWrap/>
            <w:vAlign w:val="center"/>
            <w:hideMark/>
          </w:tcPr>
          <w:p w14:paraId="6D823328" w14:textId="77777777" w:rsidR="00AC3366" w:rsidRPr="00AC3366" w:rsidRDefault="00AC3366" w:rsidP="00AC3366">
            <w:pPr>
              <w:spacing w:after="0" w:line="240" w:lineRule="auto"/>
              <w:rPr>
                <w:rFonts w:ascii="Calibri" w:eastAsia="Times New Roman" w:hAnsi="Calibri" w:cs="Calibri"/>
                <w:b/>
                <w:bCs/>
                <w:color w:val="000000"/>
                <w:kern w:val="0"/>
                <w:sz w:val="16"/>
                <w:szCs w:val="16"/>
                <w:lang w:val="en-MY" w:eastAsia="en-MY"/>
                <w14:ligatures w14:val="none"/>
              </w:rPr>
            </w:pPr>
            <w:r w:rsidRPr="00AC3366">
              <w:rPr>
                <w:rFonts w:ascii="Calibri" w:eastAsia="Times New Roman" w:hAnsi="Calibri" w:cs="Calibri"/>
                <w:b/>
                <w:bCs/>
                <w:color w:val="000000"/>
                <w:kern w:val="0"/>
                <w:sz w:val="16"/>
                <w:szCs w:val="16"/>
                <w:lang w:val="en-MY" w:eastAsia="en-MY"/>
                <w14:ligatures w14:val="none"/>
              </w:rPr>
              <w:t>Maximum Amount</w:t>
            </w:r>
          </w:p>
        </w:tc>
        <w:tc>
          <w:tcPr>
            <w:tcW w:w="1763" w:type="dxa"/>
            <w:tcBorders>
              <w:top w:val="single" w:sz="8" w:space="0" w:color="auto"/>
              <w:left w:val="nil"/>
              <w:bottom w:val="single" w:sz="8" w:space="0" w:color="auto"/>
              <w:right w:val="single" w:sz="8" w:space="0" w:color="auto"/>
            </w:tcBorders>
            <w:shd w:val="clear" w:color="auto" w:fill="F4B083"/>
            <w:vAlign w:val="center"/>
            <w:hideMark/>
          </w:tcPr>
          <w:p w14:paraId="36F18955" w14:textId="77777777" w:rsidR="00AC3366" w:rsidRPr="00AC3366" w:rsidRDefault="00AC3366" w:rsidP="00AC3366">
            <w:pPr>
              <w:spacing w:after="0" w:line="240" w:lineRule="auto"/>
              <w:rPr>
                <w:rFonts w:ascii="Calibri" w:eastAsia="Times New Roman" w:hAnsi="Calibri" w:cs="Calibri"/>
                <w:b/>
                <w:bCs/>
                <w:color w:val="000000"/>
                <w:kern w:val="0"/>
                <w:sz w:val="16"/>
                <w:szCs w:val="16"/>
                <w:lang w:val="en-MY" w:eastAsia="en-MY"/>
                <w14:ligatures w14:val="none"/>
              </w:rPr>
            </w:pPr>
            <w:r w:rsidRPr="00AC3366">
              <w:rPr>
                <w:rFonts w:ascii="Calibri" w:eastAsia="Times New Roman" w:hAnsi="Calibri" w:cs="Calibri"/>
                <w:b/>
                <w:bCs/>
                <w:color w:val="000000"/>
                <w:kern w:val="0"/>
                <w:sz w:val="16"/>
                <w:szCs w:val="16"/>
                <w:lang w:val="en-MY" w:eastAsia="en-MY"/>
                <w14:ligatures w14:val="none"/>
              </w:rPr>
              <w:t>Maximum Recovery Duration</w:t>
            </w:r>
          </w:p>
        </w:tc>
        <w:tc>
          <w:tcPr>
            <w:tcW w:w="1653" w:type="dxa"/>
            <w:gridSpan w:val="2"/>
            <w:tcBorders>
              <w:top w:val="single" w:sz="8" w:space="0" w:color="auto"/>
              <w:left w:val="nil"/>
              <w:bottom w:val="single" w:sz="8" w:space="0" w:color="auto"/>
              <w:right w:val="single" w:sz="8" w:space="0" w:color="auto"/>
            </w:tcBorders>
            <w:shd w:val="clear" w:color="auto" w:fill="F4B083"/>
            <w:vAlign w:val="center"/>
            <w:hideMark/>
          </w:tcPr>
          <w:p w14:paraId="6B2E48D5" w14:textId="77777777" w:rsidR="00AC3366" w:rsidRPr="00AC3366" w:rsidRDefault="00AC3366" w:rsidP="00AC3366">
            <w:pPr>
              <w:spacing w:after="0" w:line="240" w:lineRule="auto"/>
              <w:rPr>
                <w:rFonts w:ascii="Calibri" w:eastAsia="Times New Roman" w:hAnsi="Calibri" w:cs="Calibri"/>
                <w:b/>
                <w:bCs/>
                <w:color w:val="000000"/>
                <w:kern w:val="0"/>
                <w:sz w:val="16"/>
                <w:szCs w:val="16"/>
                <w:lang w:val="en-MY" w:eastAsia="en-MY"/>
                <w14:ligatures w14:val="none"/>
              </w:rPr>
            </w:pPr>
            <w:r w:rsidRPr="00AC3366">
              <w:rPr>
                <w:rFonts w:ascii="Calibri" w:eastAsia="Times New Roman" w:hAnsi="Calibri" w:cs="Calibri"/>
                <w:b/>
                <w:bCs/>
                <w:color w:val="000000"/>
                <w:kern w:val="0"/>
                <w:sz w:val="16"/>
                <w:szCs w:val="16"/>
                <w:lang w:val="en-MY" w:eastAsia="en-MY"/>
                <w14:ligatures w14:val="none"/>
              </w:rPr>
              <w:t>Other Terms &amp; Conditions</w:t>
            </w:r>
          </w:p>
        </w:tc>
      </w:tr>
      <w:tr w:rsidR="00AC3366" w:rsidRPr="00AC3366" w14:paraId="74015B8E" w14:textId="77777777" w:rsidTr="00DA4587">
        <w:trPr>
          <w:trHeight w:val="312"/>
        </w:trPr>
        <w:tc>
          <w:tcPr>
            <w:tcW w:w="1310" w:type="dxa"/>
            <w:tcBorders>
              <w:top w:val="nil"/>
              <w:left w:val="single" w:sz="8" w:space="0" w:color="auto"/>
              <w:bottom w:val="single" w:sz="8" w:space="0" w:color="auto"/>
              <w:right w:val="single" w:sz="8" w:space="0" w:color="auto"/>
            </w:tcBorders>
            <w:noWrap/>
            <w:vAlign w:val="center"/>
            <w:hideMark/>
          </w:tcPr>
          <w:p w14:paraId="2FE92C0C"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Upon Initial Appointment</w:t>
            </w:r>
          </w:p>
        </w:tc>
        <w:tc>
          <w:tcPr>
            <w:tcW w:w="1139" w:type="dxa"/>
            <w:vMerge w:val="restart"/>
            <w:tcBorders>
              <w:top w:val="nil"/>
              <w:left w:val="nil"/>
              <w:right w:val="single" w:sz="8" w:space="0" w:color="auto"/>
            </w:tcBorders>
            <w:noWrap/>
            <w:vAlign w:val="center"/>
            <w:hideMark/>
          </w:tcPr>
          <w:p w14:paraId="1F4B92D7"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HR Focal Point</w:t>
            </w:r>
          </w:p>
          <w:p w14:paraId="314D0AB6"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181" w:type="dxa"/>
            <w:vMerge w:val="restart"/>
            <w:tcBorders>
              <w:top w:val="nil"/>
              <w:left w:val="nil"/>
              <w:right w:val="single" w:sz="8" w:space="0" w:color="auto"/>
            </w:tcBorders>
            <w:noWrap/>
            <w:vAlign w:val="center"/>
          </w:tcPr>
          <w:p w14:paraId="73A0C254"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GB" w:eastAsia="en-MY"/>
                <w14:ligatures w14:val="none"/>
              </w:rPr>
              <w:t xml:space="preserve">Ma    Manager, Global Payroll Services (GPS) and Manager, Benefits &amp; Entitlement Services (BES) </w:t>
            </w:r>
          </w:p>
        </w:tc>
        <w:tc>
          <w:tcPr>
            <w:tcW w:w="1524" w:type="dxa"/>
            <w:vMerge w:val="restart"/>
            <w:tcBorders>
              <w:top w:val="nil"/>
              <w:left w:val="nil"/>
              <w:right w:val="single" w:sz="8" w:space="0" w:color="auto"/>
            </w:tcBorders>
            <w:noWrap/>
            <w:vAlign w:val="center"/>
            <w:hideMark/>
          </w:tcPr>
          <w:p w14:paraId="794C0507"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All personnel</w:t>
            </w:r>
          </w:p>
          <w:p w14:paraId="7469C8C3"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924" w:type="dxa"/>
            <w:vMerge w:val="restart"/>
            <w:tcBorders>
              <w:top w:val="nil"/>
              <w:left w:val="nil"/>
              <w:right w:val="single" w:sz="8" w:space="0" w:color="auto"/>
            </w:tcBorders>
            <w:noWrap/>
            <w:vAlign w:val="center"/>
            <w:hideMark/>
          </w:tcPr>
          <w:p w14:paraId="1947DE59"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Monthly Net Pay</w:t>
            </w:r>
          </w:p>
        </w:tc>
        <w:tc>
          <w:tcPr>
            <w:tcW w:w="1763" w:type="dxa"/>
            <w:vMerge w:val="restart"/>
            <w:tcBorders>
              <w:top w:val="nil"/>
              <w:left w:val="nil"/>
              <w:right w:val="single" w:sz="8" w:space="0" w:color="auto"/>
            </w:tcBorders>
            <w:noWrap/>
            <w:vAlign w:val="center"/>
            <w:hideMark/>
          </w:tcPr>
          <w:p w14:paraId="7529B965"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Full recovery in next regular payroll</w:t>
            </w:r>
          </w:p>
        </w:tc>
        <w:tc>
          <w:tcPr>
            <w:tcW w:w="1653" w:type="dxa"/>
            <w:gridSpan w:val="2"/>
            <w:tcBorders>
              <w:top w:val="nil"/>
              <w:left w:val="nil"/>
              <w:bottom w:val="single" w:sz="8" w:space="0" w:color="auto"/>
              <w:right w:val="single" w:sz="8" w:space="0" w:color="auto"/>
            </w:tcBorders>
            <w:noWrap/>
            <w:vAlign w:val="center"/>
            <w:hideMark/>
          </w:tcPr>
          <w:p w14:paraId="5CBA5951"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 </w:t>
            </w:r>
          </w:p>
        </w:tc>
      </w:tr>
      <w:tr w:rsidR="00AC3366" w:rsidRPr="00AC3366" w14:paraId="617BF356" w14:textId="77777777" w:rsidTr="00DA4587">
        <w:trPr>
          <w:trHeight w:val="507"/>
        </w:trPr>
        <w:tc>
          <w:tcPr>
            <w:tcW w:w="1310" w:type="dxa"/>
            <w:tcBorders>
              <w:top w:val="nil"/>
              <w:left w:val="single" w:sz="8" w:space="0" w:color="auto"/>
              <w:bottom w:val="single" w:sz="8" w:space="0" w:color="auto"/>
              <w:right w:val="single" w:sz="8" w:space="0" w:color="auto"/>
            </w:tcBorders>
            <w:noWrap/>
            <w:vAlign w:val="center"/>
            <w:hideMark/>
          </w:tcPr>
          <w:p w14:paraId="73223C56"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Non-receipt of salary</w:t>
            </w:r>
          </w:p>
        </w:tc>
        <w:tc>
          <w:tcPr>
            <w:tcW w:w="1139" w:type="dxa"/>
            <w:vMerge/>
            <w:tcBorders>
              <w:left w:val="nil"/>
              <w:right w:val="single" w:sz="8" w:space="0" w:color="auto"/>
            </w:tcBorders>
            <w:noWrap/>
            <w:vAlign w:val="center"/>
            <w:hideMark/>
          </w:tcPr>
          <w:p w14:paraId="0371A2DC"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181" w:type="dxa"/>
            <w:vMerge/>
            <w:tcBorders>
              <w:left w:val="nil"/>
              <w:right w:val="single" w:sz="8" w:space="0" w:color="auto"/>
            </w:tcBorders>
            <w:noWrap/>
            <w:vAlign w:val="center"/>
            <w:hideMark/>
          </w:tcPr>
          <w:p w14:paraId="39818FE3"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524" w:type="dxa"/>
            <w:vMerge/>
            <w:tcBorders>
              <w:left w:val="nil"/>
              <w:right w:val="single" w:sz="8" w:space="0" w:color="auto"/>
            </w:tcBorders>
            <w:noWrap/>
            <w:vAlign w:val="center"/>
            <w:hideMark/>
          </w:tcPr>
          <w:p w14:paraId="3A79D99F"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924" w:type="dxa"/>
            <w:vMerge/>
            <w:tcBorders>
              <w:left w:val="nil"/>
              <w:bottom w:val="single" w:sz="8" w:space="0" w:color="auto"/>
              <w:right w:val="single" w:sz="8" w:space="0" w:color="auto"/>
            </w:tcBorders>
            <w:noWrap/>
            <w:vAlign w:val="center"/>
            <w:hideMark/>
          </w:tcPr>
          <w:p w14:paraId="6F9E80A6"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p>
        </w:tc>
        <w:tc>
          <w:tcPr>
            <w:tcW w:w="1763" w:type="dxa"/>
            <w:vMerge/>
            <w:tcBorders>
              <w:left w:val="nil"/>
              <w:bottom w:val="single" w:sz="8" w:space="0" w:color="auto"/>
              <w:right w:val="single" w:sz="8" w:space="0" w:color="auto"/>
            </w:tcBorders>
            <w:noWrap/>
            <w:vAlign w:val="center"/>
            <w:hideMark/>
          </w:tcPr>
          <w:p w14:paraId="2EBA62FB"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p>
        </w:tc>
        <w:tc>
          <w:tcPr>
            <w:tcW w:w="1653" w:type="dxa"/>
            <w:gridSpan w:val="2"/>
            <w:tcBorders>
              <w:top w:val="nil"/>
              <w:left w:val="nil"/>
              <w:bottom w:val="single" w:sz="8" w:space="0" w:color="auto"/>
              <w:right w:val="single" w:sz="8" w:space="0" w:color="auto"/>
            </w:tcBorders>
            <w:noWrap/>
            <w:vAlign w:val="center"/>
            <w:hideMark/>
          </w:tcPr>
          <w:p w14:paraId="3F7408A2"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 </w:t>
            </w:r>
          </w:p>
        </w:tc>
      </w:tr>
      <w:tr w:rsidR="00AC3366" w:rsidRPr="00AC3366" w14:paraId="401D1F82" w14:textId="77777777" w:rsidTr="00DA4587">
        <w:trPr>
          <w:trHeight w:val="810"/>
        </w:trPr>
        <w:tc>
          <w:tcPr>
            <w:tcW w:w="1310" w:type="dxa"/>
            <w:tcBorders>
              <w:top w:val="nil"/>
              <w:left w:val="single" w:sz="8" w:space="0" w:color="auto"/>
              <w:bottom w:val="single" w:sz="8" w:space="0" w:color="auto"/>
              <w:right w:val="single" w:sz="8" w:space="0" w:color="auto"/>
            </w:tcBorders>
            <w:noWrap/>
            <w:vAlign w:val="center"/>
            <w:hideMark/>
          </w:tcPr>
          <w:p w14:paraId="6B3304D4"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Separation from Service</w:t>
            </w:r>
          </w:p>
        </w:tc>
        <w:tc>
          <w:tcPr>
            <w:tcW w:w="1139" w:type="dxa"/>
            <w:vMerge/>
            <w:tcBorders>
              <w:left w:val="nil"/>
              <w:bottom w:val="single" w:sz="8" w:space="0" w:color="auto"/>
              <w:right w:val="single" w:sz="8" w:space="0" w:color="auto"/>
            </w:tcBorders>
            <w:noWrap/>
            <w:vAlign w:val="center"/>
            <w:hideMark/>
          </w:tcPr>
          <w:p w14:paraId="1F4D2A03"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p>
        </w:tc>
        <w:tc>
          <w:tcPr>
            <w:tcW w:w="1181" w:type="dxa"/>
            <w:vMerge/>
            <w:tcBorders>
              <w:left w:val="nil"/>
              <w:bottom w:val="single" w:sz="8" w:space="0" w:color="auto"/>
              <w:right w:val="single" w:sz="8" w:space="0" w:color="auto"/>
            </w:tcBorders>
            <w:noWrap/>
            <w:vAlign w:val="center"/>
            <w:hideMark/>
          </w:tcPr>
          <w:p w14:paraId="6E516544"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p>
        </w:tc>
        <w:tc>
          <w:tcPr>
            <w:tcW w:w="1524" w:type="dxa"/>
            <w:vMerge/>
            <w:tcBorders>
              <w:left w:val="nil"/>
              <w:right w:val="single" w:sz="8" w:space="0" w:color="auto"/>
            </w:tcBorders>
            <w:noWrap/>
            <w:vAlign w:val="center"/>
            <w:hideMark/>
          </w:tcPr>
          <w:p w14:paraId="43A6DA0A"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924" w:type="dxa"/>
            <w:tcBorders>
              <w:top w:val="nil"/>
              <w:left w:val="nil"/>
              <w:bottom w:val="single" w:sz="8" w:space="0" w:color="auto"/>
              <w:right w:val="single" w:sz="8" w:space="0" w:color="auto"/>
            </w:tcBorders>
            <w:noWrap/>
            <w:vAlign w:val="center"/>
            <w:hideMark/>
          </w:tcPr>
          <w:p w14:paraId="730780AE"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80% of Final Pay</w:t>
            </w:r>
          </w:p>
        </w:tc>
        <w:tc>
          <w:tcPr>
            <w:tcW w:w="1763" w:type="dxa"/>
            <w:tcBorders>
              <w:top w:val="nil"/>
              <w:left w:val="nil"/>
              <w:bottom w:val="single" w:sz="8" w:space="0" w:color="auto"/>
              <w:right w:val="single" w:sz="8" w:space="0" w:color="auto"/>
            </w:tcBorders>
            <w:vAlign w:val="center"/>
            <w:hideMark/>
          </w:tcPr>
          <w:p w14:paraId="01E08542"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Full recovery from Final Pay</w:t>
            </w:r>
          </w:p>
        </w:tc>
        <w:tc>
          <w:tcPr>
            <w:tcW w:w="1653" w:type="dxa"/>
            <w:gridSpan w:val="2"/>
            <w:tcBorders>
              <w:top w:val="nil"/>
              <w:left w:val="nil"/>
              <w:bottom w:val="single" w:sz="8" w:space="0" w:color="auto"/>
              <w:right w:val="single" w:sz="8" w:space="0" w:color="auto"/>
            </w:tcBorders>
            <w:noWrap/>
            <w:vAlign w:val="center"/>
            <w:hideMark/>
          </w:tcPr>
          <w:p w14:paraId="1D64D3C6"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 </w:t>
            </w:r>
          </w:p>
        </w:tc>
      </w:tr>
      <w:tr w:rsidR="00AC3366" w:rsidRPr="00AC3366" w14:paraId="1F393406" w14:textId="77777777" w:rsidTr="00DA4587">
        <w:trPr>
          <w:trHeight w:val="437"/>
        </w:trPr>
        <w:tc>
          <w:tcPr>
            <w:tcW w:w="1310" w:type="dxa"/>
            <w:tcBorders>
              <w:top w:val="nil"/>
              <w:left w:val="single" w:sz="8" w:space="0" w:color="auto"/>
              <w:bottom w:val="single" w:sz="8" w:space="0" w:color="auto"/>
              <w:right w:val="single" w:sz="8" w:space="0" w:color="auto"/>
            </w:tcBorders>
            <w:noWrap/>
            <w:vAlign w:val="center"/>
            <w:hideMark/>
          </w:tcPr>
          <w:p w14:paraId="384EA122"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Medical Expense</w:t>
            </w:r>
          </w:p>
        </w:tc>
        <w:tc>
          <w:tcPr>
            <w:tcW w:w="1139" w:type="dxa"/>
            <w:vMerge w:val="restart"/>
            <w:tcBorders>
              <w:top w:val="nil"/>
              <w:left w:val="nil"/>
              <w:right w:val="single" w:sz="8" w:space="0" w:color="auto"/>
            </w:tcBorders>
            <w:noWrap/>
            <w:vAlign w:val="center"/>
            <w:hideMark/>
          </w:tcPr>
          <w:p w14:paraId="3B886633"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Staff Member</w:t>
            </w:r>
          </w:p>
          <w:p w14:paraId="7AC58BFD"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181" w:type="dxa"/>
            <w:tcBorders>
              <w:top w:val="nil"/>
              <w:left w:val="nil"/>
              <w:bottom w:val="single" w:sz="8" w:space="0" w:color="auto"/>
              <w:right w:val="single" w:sz="8" w:space="0" w:color="auto"/>
            </w:tcBorders>
            <w:vAlign w:val="center"/>
            <w:hideMark/>
          </w:tcPr>
          <w:p w14:paraId="07986478"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Head of Office or Designate</w:t>
            </w:r>
          </w:p>
        </w:tc>
        <w:tc>
          <w:tcPr>
            <w:tcW w:w="1524" w:type="dxa"/>
            <w:vMerge/>
            <w:tcBorders>
              <w:left w:val="nil"/>
              <w:bottom w:val="single" w:sz="8" w:space="0" w:color="auto"/>
              <w:right w:val="single" w:sz="8" w:space="0" w:color="auto"/>
            </w:tcBorders>
            <w:noWrap/>
            <w:vAlign w:val="center"/>
            <w:hideMark/>
          </w:tcPr>
          <w:p w14:paraId="7C53174C"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p>
        </w:tc>
        <w:tc>
          <w:tcPr>
            <w:tcW w:w="1924" w:type="dxa"/>
            <w:tcBorders>
              <w:top w:val="nil"/>
              <w:left w:val="nil"/>
              <w:bottom w:val="single" w:sz="8" w:space="0" w:color="auto"/>
              <w:right w:val="single" w:sz="8" w:space="0" w:color="auto"/>
            </w:tcBorders>
            <w:vAlign w:val="center"/>
            <w:hideMark/>
          </w:tcPr>
          <w:p w14:paraId="1AB1B84C"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Lowest of: (</w:t>
            </w:r>
            <w:proofErr w:type="spellStart"/>
            <w:r w:rsidRPr="00AC3366">
              <w:rPr>
                <w:rFonts w:ascii="Calibri" w:eastAsia="Times New Roman" w:hAnsi="Calibri" w:cs="Calibri"/>
                <w:color w:val="000000"/>
                <w:kern w:val="0"/>
                <w:sz w:val="16"/>
                <w:szCs w:val="16"/>
                <w:lang w:val="en-MY" w:eastAsia="en-MY"/>
                <w14:ligatures w14:val="none"/>
              </w:rPr>
              <w:t>i</w:t>
            </w:r>
            <w:proofErr w:type="spellEnd"/>
            <w:r w:rsidRPr="00AC3366">
              <w:rPr>
                <w:rFonts w:ascii="Calibri" w:eastAsia="Times New Roman" w:hAnsi="Calibri" w:cs="Calibri"/>
                <w:color w:val="000000"/>
                <w:kern w:val="0"/>
                <w:sz w:val="16"/>
                <w:szCs w:val="16"/>
                <w:lang w:val="en-MY" w:eastAsia="en-MY"/>
                <w14:ligatures w14:val="none"/>
              </w:rPr>
              <w:t>) 2 months Net Pay (ii) insurance reimbursable (iii) hospital bill</w:t>
            </w:r>
          </w:p>
        </w:tc>
        <w:tc>
          <w:tcPr>
            <w:tcW w:w="1763" w:type="dxa"/>
            <w:tcBorders>
              <w:top w:val="nil"/>
              <w:left w:val="nil"/>
              <w:bottom w:val="single" w:sz="8" w:space="0" w:color="auto"/>
              <w:right w:val="single" w:sz="8" w:space="0" w:color="auto"/>
            </w:tcBorders>
            <w:vAlign w:val="center"/>
            <w:hideMark/>
          </w:tcPr>
          <w:p w14:paraId="2EF7EE7D"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Over 4 months or by end of contract whichever comes first</w:t>
            </w:r>
          </w:p>
        </w:tc>
        <w:tc>
          <w:tcPr>
            <w:tcW w:w="1653" w:type="dxa"/>
            <w:gridSpan w:val="2"/>
            <w:tcBorders>
              <w:top w:val="nil"/>
              <w:left w:val="nil"/>
              <w:bottom w:val="single" w:sz="8" w:space="0" w:color="auto"/>
              <w:right w:val="single" w:sz="8" w:space="0" w:color="auto"/>
            </w:tcBorders>
            <w:noWrap/>
            <w:vAlign w:val="center"/>
            <w:hideMark/>
          </w:tcPr>
          <w:p w14:paraId="7884F1B2"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 Must be covered by a UN or UNDP medical insurance plan.</w:t>
            </w:r>
          </w:p>
        </w:tc>
      </w:tr>
      <w:tr w:rsidR="00AC3366" w:rsidRPr="00AC3366" w14:paraId="2D522FEE" w14:textId="77777777" w:rsidTr="00DA4587">
        <w:trPr>
          <w:trHeight w:val="1175"/>
        </w:trPr>
        <w:tc>
          <w:tcPr>
            <w:tcW w:w="1310" w:type="dxa"/>
            <w:tcBorders>
              <w:top w:val="nil"/>
              <w:left w:val="single" w:sz="8" w:space="0" w:color="auto"/>
              <w:bottom w:val="single" w:sz="8" w:space="0" w:color="auto"/>
              <w:right w:val="single" w:sz="8" w:space="0" w:color="auto"/>
            </w:tcBorders>
            <w:noWrap/>
            <w:vAlign w:val="center"/>
            <w:hideMark/>
          </w:tcPr>
          <w:p w14:paraId="708D957B"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Rent</w:t>
            </w:r>
          </w:p>
        </w:tc>
        <w:tc>
          <w:tcPr>
            <w:tcW w:w="1139" w:type="dxa"/>
            <w:vMerge/>
            <w:tcBorders>
              <w:left w:val="nil"/>
              <w:right w:val="single" w:sz="8" w:space="0" w:color="auto"/>
            </w:tcBorders>
            <w:noWrap/>
            <w:vAlign w:val="center"/>
            <w:hideMark/>
          </w:tcPr>
          <w:p w14:paraId="02AC7E95"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181" w:type="dxa"/>
            <w:vMerge w:val="restart"/>
            <w:tcBorders>
              <w:top w:val="nil"/>
              <w:left w:val="single" w:sz="8" w:space="0" w:color="auto"/>
              <w:bottom w:val="single" w:sz="8" w:space="0" w:color="000000"/>
              <w:right w:val="single" w:sz="8" w:space="0" w:color="auto"/>
            </w:tcBorders>
            <w:vAlign w:val="center"/>
            <w:hideMark/>
          </w:tcPr>
          <w:p w14:paraId="2E80C703"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GB" w:eastAsia="en-MY"/>
                <w14:ligatures w14:val="none"/>
              </w:rPr>
              <w:t xml:space="preserve">Manager, Global Payroll Services (GPS) and Manager, Benefits &amp; Entitlement Services (BES) </w:t>
            </w:r>
          </w:p>
        </w:tc>
        <w:tc>
          <w:tcPr>
            <w:tcW w:w="1524" w:type="dxa"/>
            <w:tcBorders>
              <w:top w:val="nil"/>
              <w:left w:val="nil"/>
              <w:bottom w:val="single" w:sz="8" w:space="0" w:color="auto"/>
              <w:right w:val="single" w:sz="8" w:space="0" w:color="auto"/>
            </w:tcBorders>
            <w:vAlign w:val="center"/>
            <w:hideMark/>
          </w:tcPr>
          <w:p w14:paraId="1D5F905E"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IP Staff outside of Group 1 Duty Stations</w:t>
            </w:r>
          </w:p>
        </w:tc>
        <w:tc>
          <w:tcPr>
            <w:tcW w:w="1924" w:type="dxa"/>
            <w:tcBorders>
              <w:top w:val="nil"/>
              <w:left w:val="nil"/>
              <w:bottom w:val="single" w:sz="8" w:space="0" w:color="auto"/>
              <w:right w:val="single" w:sz="8" w:space="0" w:color="auto"/>
            </w:tcBorders>
            <w:vAlign w:val="center"/>
            <w:hideMark/>
          </w:tcPr>
          <w:p w14:paraId="76321B32"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Per signed Lease</w:t>
            </w:r>
          </w:p>
        </w:tc>
        <w:tc>
          <w:tcPr>
            <w:tcW w:w="1763" w:type="dxa"/>
            <w:tcBorders>
              <w:top w:val="nil"/>
              <w:left w:val="nil"/>
              <w:bottom w:val="single" w:sz="8" w:space="0" w:color="auto"/>
              <w:right w:val="single" w:sz="8" w:space="0" w:color="auto"/>
            </w:tcBorders>
            <w:vAlign w:val="center"/>
            <w:hideMark/>
          </w:tcPr>
          <w:p w14:paraId="7B4A3E14"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 xml:space="preserve">Term of Lease or end of contract whichever comes first </w:t>
            </w:r>
          </w:p>
        </w:tc>
        <w:tc>
          <w:tcPr>
            <w:tcW w:w="1653" w:type="dxa"/>
            <w:gridSpan w:val="2"/>
            <w:tcBorders>
              <w:top w:val="nil"/>
              <w:left w:val="nil"/>
              <w:bottom w:val="single" w:sz="8" w:space="0" w:color="auto"/>
              <w:right w:val="single" w:sz="8" w:space="0" w:color="auto"/>
            </w:tcBorders>
            <w:vAlign w:val="center"/>
            <w:hideMark/>
          </w:tcPr>
          <w:p w14:paraId="6A3C7B47"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In line with local rental market practice</w:t>
            </w:r>
          </w:p>
        </w:tc>
      </w:tr>
      <w:tr w:rsidR="00AC3366" w:rsidRPr="00AC3366" w14:paraId="0F46F470" w14:textId="77777777" w:rsidTr="00DA4587">
        <w:trPr>
          <w:trHeight w:val="750"/>
        </w:trPr>
        <w:tc>
          <w:tcPr>
            <w:tcW w:w="1310" w:type="dxa"/>
            <w:tcBorders>
              <w:top w:val="nil"/>
              <w:left w:val="single" w:sz="8" w:space="0" w:color="auto"/>
              <w:bottom w:val="single" w:sz="8" w:space="0" w:color="auto"/>
              <w:right w:val="single" w:sz="8" w:space="0" w:color="auto"/>
            </w:tcBorders>
            <w:noWrap/>
            <w:vAlign w:val="center"/>
            <w:hideMark/>
          </w:tcPr>
          <w:p w14:paraId="45058ED5"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Vehicle</w:t>
            </w:r>
          </w:p>
        </w:tc>
        <w:tc>
          <w:tcPr>
            <w:tcW w:w="1139" w:type="dxa"/>
            <w:vMerge/>
            <w:tcBorders>
              <w:left w:val="nil"/>
              <w:bottom w:val="single" w:sz="4" w:space="0" w:color="auto"/>
              <w:right w:val="single" w:sz="8" w:space="0" w:color="auto"/>
            </w:tcBorders>
            <w:noWrap/>
            <w:vAlign w:val="center"/>
            <w:hideMark/>
          </w:tcPr>
          <w:p w14:paraId="01456543" w14:textId="77777777" w:rsidR="00AC3366" w:rsidRPr="00AC3366" w:rsidRDefault="00AC3366" w:rsidP="00AC3366">
            <w:pPr>
              <w:spacing w:after="0" w:line="240" w:lineRule="auto"/>
              <w:ind w:hanging="370"/>
              <w:rPr>
                <w:rFonts w:ascii="Calibri" w:eastAsia="Times New Roman" w:hAnsi="Calibri" w:cs="Calibri"/>
                <w:color w:val="000000"/>
                <w:kern w:val="0"/>
                <w:sz w:val="16"/>
                <w:szCs w:val="16"/>
                <w:lang w:val="en-MY" w:eastAsia="en-MY"/>
                <w14:ligatures w14:val="none"/>
              </w:rPr>
            </w:pPr>
          </w:p>
        </w:tc>
        <w:tc>
          <w:tcPr>
            <w:tcW w:w="1181" w:type="dxa"/>
            <w:vMerge/>
            <w:tcBorders>
              <w:top w:val="nil"/>
              <w:left w:val="single" w:sz="8" w:space="0" w:color="auto"/>
              <w:bottom w:val="single" w:sz="8" w:space="0" w:color="000000"/>
              <w:right w:val="single" w:sz="8" w:space="0" w:color="auto"/>
            </w:tcBorders>
            <w:vAlign w:val="center"/>
            <w:hideMark/>
          </w:tcPr>
          <w:p w14:paraId="5E4A73AF"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p>
        </w:tc>
        <w:tc>
          <w:tcPr>
            <w:tcW w:w="1524" w:type="dxa"/>
            <w:tcBorders>
              <w:top w:val="nil"/>
              <w:left w:val="nil"/>
              <w:bottom w:val="single" w:sz="8" w:space="0" w:color="auto"/>
              <w:right w:val="single" w:sz="8" w:space="0" w:color="auto"/>
            </w:tcBorders>
            <w:vAlign w:val="center"/>
            <w:hideMark/>
          </w:tcPr>
          <w:p w14:paraId="6944F131"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IP Staff (P1-P4) except TAs, outside of Group 1 Duty Stations</w:t>
            </w:r>
          </w:p>
        </w:tc>
        <w:tc>
          <w:tcPr>
            <w:tcW w:w="1924" w:type="dxa"/>
            <w:tcBorders>
              <w:top w:val="nil"/>
              <w:left w:val="nil"/>
              <w:bottom w:val="single" w:sz="8" w:space="0" w:color="auto"/>
              <w:right w:val="single" w:sz="8" w:space="0" w:color="auto"/>
            </w:tcBorders>
            <w:noWrap/>
            <w:vAlign w:val="center"/>
            <w:hideMark/>
          </w:tcPr>
          <w:p w14:paraId="14E5CA55"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$7,500</w:t>
            </w:r>
          </w:p>
        </w:tc>
        <w:tc>
          <w:tcPr>
            <w:tcW w:w="1763" w:type="dxa"/>
            <w:tcBorders>
              <w:top w:val="nil"/>
              <w:left w:val="nil"/>
              <w:bottom w:val="single" w:sz="8" w:space="0" w:color="auto"/>
              <w:right w:val="single" w:sz="8" w:space="0" w:color="auto"/>
            </w:tcBorders>
            <w:vAlign w:val="center"/>
            <w:hideMark/>
          </w:tcPr>
          <w:p w14:paraId="4E8FD713"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 xml:space="preserve">12 months or end of contract whichever comes first </w:t>
            </w:r>
          </w:p>
        </w:tc>
        <w:tc>
          <w:tcPr>
            <w:tcW w:w="1653" w:type="dxa"/>
            <w:gridSpan w:val="2"/>
            <w:tcBorders>
              <w:top w:val="nil"/>
              <w:left w:val="nil"/>
              <w:bottom w:val="single" w:sz="8" w:space="0" w:color="auto"/>
              <w:right w:val="single" w:sz="8" w:space="0" w:color="auto"/>
            </w:tcBorders>
            <w:vAlign w:val="center"/>
            <w:hideMark/>
          </w:tcPr>
          <w:p w14:paraId="7F3AD694"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Once only within 6 months of initial appointment or reassignment</w:t>
            </w:r>
          </w:p>
        </w:tc>
      </w:tr>
      <w:tr w:rsidR="00AC3366" w:rsidRPr="00AC3366" w14:paraId="557A64EB" w14:textId="77777777" w:rsidTr="00DA4587">
        <w:trPr>
          <w:trHeight w:val="662"/>
        </w:trPr>
        <w:tc>
          <w:tcPr>
            <w:tcW w:w="1310" w:type="dxa"/>
            <w:tcBorders>
              <w:top w:val="nil"/>
              <w:left w:val="single" w:sz="8" w:space="0" w:color="auto"/>
              <w:bottom w:val="single" w:sz="8" w:space="0" w:color="auto"/>
              <w:right w:val="single" w:sz="8" w:space="0" w:color="auto"/>
            </w:tcBorders>
            <w:noWrap/>
            <w:vAlign w:val="center"/>
          </w:tcPr>
          <w:p w14:paraId="301C2C27"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 xml:space="preserve">Emergency - Bulk </w:t>
            </w:r>
          </w:p>
        </w:tc>
        <w:tc>
          <w:tcPr>
            <w:tcW w:w="1139" w:type="dxa"/>
            <w:tcBorders>
              <w:top w:val="single" w:sz="4" w:space="0" w:color="auto"/>
              <w:left w:val="nil"/>
              <w:bottom w:val="single" w:sz="8" w:space="0" w:color="auto"/>
              <w:right w:val="single" w:sz="8" w:space="0" w:color="auto"/>
            </w:tcBorders>
            <w:noWrap/>
            <w:vAlign w:val="center"/>
          </w:tcPr>
          <w:p w14:paraId="43D6A83D"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HR Focal Point</w:t>
            </w:r>
          </w:p>
        </w:tc>
        <w:tc>
          <w:tcPr>
            <w:tcW w:w="1181" w:type="dxa"/>
            <w:tcBorders>
              <w:top w:val="nil"/>
              <w:left w:val="single" w:sz="8" w:space="0" w:color="auto"/>
              <w:bottom w:val="single" w:sz="8" w:space="0" w:color="000000"/>
              <w:right w:val="single" w:sz="8" w:space="0" w:color="auto"/>
            </w:tcBorders>
            <w:vAlign w:val="center"/>
          </w:tcPr>
          <w:p w14:paraId="1D00FE5C"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Assistant Administrator and Director, BMS</w:t>
            </w:r>
          </w:p>
        </w:tc>
        <w:tc>
          <w:tcPr>
            <w:tcW w:w="1524" w:type="dxa"/>
            <w:tcBorders>
              <w:top w:val="nil"/>
              <w:left w:val="nil"/>
              <w:bottom w:val="single" w:sz="8" w:space="0" w:color="auto"/>
              <w:right w:val="single" w:sz="8" w:space="0" w:color="auto"/>
            </w:tcBorders>
            <w:vAlign w:val="center"/>
          </w:tcPr>
          <w:p w14:paraId="4A2ACCDD"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All personnel at specific Duty station</w:t>
            </w:r>
          </w:p>
        </w:tc>
        <w:tc>
          <w:tcPr>
            <w:tcW w:w="5340" w:type="dxa"/>
            <w:gridSpan w:val="4"/>
            <w:tcBorders>
              <w:top w:val="single" w:sz="8" w:space="0" w:color="auto"/>
              <w:left w:val="single" w:sz="8" w:space="0" w:color="auto"/>
              <w:bottom w:val="single" w:sz="8" w:space="0" w:color="000000"/>
              <w:right w:val="single" w:sz="8" w:space="0" w:color="000000"/>
            </w:tcBorders>
            <w:vAlign w:val="center"/>
          </w:tcPr>
          <w:p w14:paraId="67021206" w14:textId="77777777" w:rsidR="00AC3366" w:rsidRPr="00AC3366" w:rsidRDefault="00AC3366" w:rsidP="00AC3366">
            <w:pPr>
              <w:spacing w:after="0" w:line="240" w:lineRule="auto"/>
              <w:jc w:val="center"/>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As determined at time of approval</w:t>
            </w:r>
          </w:p>
        </w:tc>
      </w:tr>
      <w:tr w:rsidR="00AC3366" w:rsidRPr="00AC3366" w14:paraId="6D4EA0FB" w14:textId="77777777" w:rsidTr="00DA4587">
        <w:trPr>
          <w:trHeight w:val="662"/>
        </w:trPr>
        <w:tc>
          <w:tcPr>
            <w:tcW w:w="1310" w:type="dxa"/>
            <w:tcBorders>
              <w:top w:val="nil"/>
              <w:left w:val="single" w:sz="8" w:space="0" w:color="auto"/>
              <w:bottom w:val="single" w:sz="8" w:space="0" w:color="auto"/>
              <w:right w:val="single" w:sz="8" w:space="0" w:color="auto"/>
            </w:tcBorders>
            <w:noWrap/>
            <w:vAlign w:val="center"/>
          </w:tcPr>
          <w:p w14:paraId="537E650F"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Emergency - Personal</w:t>
            </w:r>
          </w:p>
        </w:tc>
        <w:tc>
          <w:tcPr>
            <w:tcW w:w="1139" w:type="dxa"/>
            <w:tcBorders>
              <w:top w:val="single" w:sz="4" w:space="0" w:color="auto"/>
              <w:left w:val="nil"/>
              <w:bottom w:val="single" w:sz="8" w:space="0" w:color="auto"/>
              <w:right w:val="single" w:sz="8" w:space="0" w:color="auto"/>
            </w:tcBorders>
            <w:noWrap/>
            <w:vAlign w:val="center"/>
          </w:tcPr>
          <w:p w14:paraId="32F7DA8C"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Staff Member/PSA holder</w:t>
            </w:r>
          </w:p>
        </w:tc>
        <w:tc>
          <w:tcPr>
            <w:tcW w:w="1181" w:type="dxa"/>
            <w:tcBorders>
              <w:top w:val="nil"/>
              <w:left w:val="single" w:sz="8" w:space="0" w:color="auto"/>
              <w:bottom w:val="single" w:sz="8" w:space="0" w:color="000000"/>
              <w:right w:val="single" w:sz="8" w:space="0" w:color="auto"/>
            </w:tcBorders>
            <w:vAlign w:val="center"/>
          </w:tcPr>
          <w:p w14:paraId="69880E7D"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Head or Director of the Office or Assistant Administrator and Director, BMS</w:t>
            </w:r>
          </w:p>
        </w:tc>
        <w:tc>
          <w:tcPr>
            <w:tcW w:w="1524" w:type="dxa"/>
            <w:tcBorders>
              <w:top w:val="nil"/>
              <w:left w:val="nil"/>
              <w:bottom w:val="single" w:sz="8" w:space="0" w:color="auto"/>
              <w:right w:val="single" w:sz="8" w:space="0" w:color="auto"/>
            </w:tcBorders>
            <w:vAlign w:val="center"/>
          </w:tcPr>
          <w:p w14:paraId="23A0C540"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All personnel</w:t>
            </w:r>
          </w:p>
        </w:tc>
        <w:tc>
          <w:tcPr>
            <w:tcW w:w="1924" w:type="dxa"/>
            <w:tcBorders>
              <w:top w:val="single" w:sz="8" w:space="0" w:color="auto"/>
              <w:left w:val="single" w:sz="8" w:space="0" w:color="auto"/>
              <w:bottom w:val="single" w:sz="8" w:space="0" w:color="000000"/>
              <w:right w:val="single" w:sz="8" w:space="0" w:color="000000"/>
            </w:tcBorders>
            <w:vAlign w:val="center"/>
          </w:tcPr>
          <w:p w14:paraId="69BBFB0B"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Two (2) month's net pay</w:t>
            </w:r>
          </w:p>
        </w:tc>
        <w:tc>
          <w:tcPr>
            <w:tcW w:w="1816" w:type="dxa"/>
            <w:gridSpan w:val="2"/>
            <w:tcBorders>
              <w:top w:val="single" w:sz="8" w:space="0" w:color="auto"/>
              <w:left w:val="single" w:sz="8" w:space="0" w:color="auto"/>
              <w:bottom w:val="single" w:sz="8" w:space="0" w:color="000000"/>
              <w:right w:val="single" w:sz="8" w:space="0" w:color="000000"/>
            </w:tcBorders>
            <w:vAlign w:val="center"/>
          </w:tcPr>
          <w:p w14:paraId="6B9ACA2E"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12 months or end of contract whichever comes first</w:t>
            </w:r>
          </w:p>
        </w:tc>
        <w:tc>
          <w:tcPr>
            <w:tcW w:w="1600" w:type="dxa"/>
            <w:tcBorders>
              <w:top w:val="single" w:sz="8" w:space="0" w:color="auto"/>
              <w:left w:val="single" w:sz="8" w:space="0" w:color="auto"/>
              <w:bottom w:val="single" w:sz="8" w:space="0" w:color="000000"/>
              <w:right w:val="single" w:sz="8" w:space="0" w:color="000000"/>
            </w:tcBorders>
            <w:vAlign w:val="center"/>
          </w:tcPr>
          <w:p w14:paraId="2C4B4A36"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(1) For defined specific conditions related to staff/PSA holder or dependant as recognised by UNDP</w:t>
            </w:r>
          </w:p>
          <w:p w14:paraId="5F6ACB10"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(2) Official proof of emergency is required</w:t>
            </w:r>
          </w:p>
          <w:p w14:paraId="1EFD0FAA" w14:textId="77777777" w:rsidR="00AC3366" w:rsidRPr="00AC3366" w:rsidRDefault="00AC3366" w:rsidP="00AC3366">
            <w:pPr>
              <w:spacing w:after="0" w:line="240" w:lineRule="auto"/>
              <w:rPr>
                <w:rFonts w:ascii="Calibri" w:eastAsia="Times New Roman" w:hAnsi="Calibri" w:cs="Calibri"/>
                <w:color w:val="000000"/>
                <w:kern w:val="0"/>
                <w:sz w:val="16"/>
                <w:szCs w:val="16"/>
                <w:lang w:val="en-MY" w:eastAsia="en-MY"/>
                <w14:ligatures w14:val="none"/>
              </w:rPr>
            </w:pPr>
            <w:r w:rsidRPr="00AC3366">
              <w:rPr>
                <w:rFonts w:ascii="Calibri" w:eastAsia="Times New Roman" w:hAnsi="Calibri" w:cs="Calibri"/>
                <w:color w:val="000000"/>
                <w:kern w:val="0"/>
                <w:sz w:val="16"/>
                <w:szCs w:val="16"/>
                <w:lang w:val="en-MY" w:eastAsia="en-MY"/>
                <w14:ligatures w14:val="none"/>
              </w:rPr>
              <w:t>(3) Only one advance over a 12-month period</w:t>
            </w:r>
          </w:p>
        </w:tc>
      </w:tr>
    </w:tbl>
    <w:p w14:paraId="7C82AE2C" w14:textId="77777777" w:rsidR="00AC3366" w:rsidRPr="00AC3366" w:rsidRDefault="00AC3366" w:rsidP="00AC3366">
      <w:pPr>
        <w:spacing w:after="0" w:line="240" w:lineRule="auto"/>
        <w:jc w:val="both"/>
        <w:rPr>
          <w:rFonts w:ascii="Arial" w:eastAsia="Calibri" w:hAnsi="Arial" w:cs="Arial"/>
          <w:color w:val="000000"/>
          <w:kern w:val="0"/>
          <w:sz w:val="20"/>
          <w:szCs w:val="22"/>
          <w:lang w:val="en-GB" w:eastAsia="en-GB"/>
          <w14:ligatures w14:val="none"/>
        </w:rPr>
      </w:pPr>
    </w:p>
    <w:p w14:paraId="3C60CAE4" w14:textId="77777777" w:rsidR="00AC3366" w:rsidRPr="00AC3366" w:rsidRDefault="00AC3366" w:rsidP="00AC3366">
      <w:pPr>
        <w:spacing w:after="0" w:line="259" w:lineRule="auto"/>
        <w:rPr>
          <w:rFonts w:ascii="Calibri" w:eastAsia="Calibri" w:hAnsi="Calibri" w:cs="Calibri"/>
          <w:color w:val="000000"/>
          <w:kern w:val="0"/>
          <w:sz w:val="22"/>
          <w:szCs w:val="22"/>
          <w:lang w:val="en-GB" w:eastAsia="en-GB"/>
          <w14:ligatures w14:val="none"/>
        </w:rPr>
      </w:pPr>
    </w:p>
    <w:p w14:paraId="2B9CFF93" w14:textId="77777777" w:rsidR="00DA504D" w:rsidRDefault="00DA504D"/>
    <w:sectPr w:rsidR="00DA504D" w:rsidSect="00AC3366">
      <w:headerReference w:type="default" r:id="rId15"/>
      <w:footerReference w:type="even" r:id="rId16"/>
      <w:footerReference w:type="default" r:id="rId17"/>
      <w:headerReference w:type="first" r:id="rId18"/>
      <w:footerReference w:type="first" r:id="rId19"/>
      <w:pgSz w:w="12240" w:h="15840"/>
      <w:pgMar w:top="1164" w:right="1790" w:bottom="1350" w:left="1800" w:header="720" w:footer="7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9B37F" w14:textId="77777777" w:rsidR="004E2338" w:rsidRDefault="004E2338" w:rsidP="00AC3366">
      <w:pPr>
        <w:spacing w:after="0" w:line="240" w:lineRule="auto"/>
      </w:pPr>
      <w:r>
        <w:separator/>
      </w:r>
    </w:p>
  </w:endnote>
  <w:endnote w:type="continuationSeparator" w:id="0">
    <w:p w14:paraId="487FB3C8" w14:textId="77777777" w:rsidR="004E2338" w:rsidRDefault="004E2338" w:rsidP="00AC3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670B" w14:textId="77777777" w:rsidR="00AC3366" w:rsidRDefault="00AC3366">
    <w:pPr>
      <w:spacing w:after="1432" w:line="259" w:lineRule="auto"/>
      <w:ind w:left="619"/>
    </w:pPr>
    <w:r>
      <w:rPr>
        <w:rFonts w:ascii="Arial" w:eastAsia="Arial" w:hAnsi="Arial" w:cs="Arial"/>
      </w:rPr>
      <w:t xml:space="preserve"> </w:t>
    </w:r>
  </w:p>
  <w:p w14:paraId="09E4EEE3" w14:textId="77777777" w:rsidR="00AC3366" w:rsidRDefault="00AC3366">
    <w:pPr>
      <w:spacing w:after="0" w:line="259" w:lineRule="auto"/>
      <w:ind w:right="7"/>
      <w:jc w:val="center"/>
    </w:pPr>
    <w:r>
      <w:fldChar w:fldCharType="begin"/>
    </w:r>
    <w:r>
      <w:instrText xml:space="preserve"> PAGE   \* MERGEFORMAT </w:instrText>
    </w:r>
    <w:r>
      <w:fldChar w:fldCharType="separate"/>
    </w:r>
    <w:r>
      <w:t>2</w:t>
    </w:r>
    <w:r>
      <w:fldChar w:fldCharType="end"/>
    </w:r>
    <w:r>
      <w:t xml:space="preserve">  </w:t>
    </w:r>
  </w:p>
  <w:p w14:paraId="2EAD1E6F" w14:textId="77777777" w:rsidR="00AC3366" w:rsidRDefault="00AC3366">
    <w:pPr>
      <w:spacing w:after="0" w:line="259" w:lineRule="auto"/>
    </w:pPr>
    <w:r>
      <w:rPr>
        <w:rFonts w:ascii="Times New Roman" w:eastAsia="Times New Roman" w:hAnsi="Times New Roman" w:cs="Times New Roman"/>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ECBB" w14:textId="77777777" w:rsidR="00AC3366" w:rsidRPr="00EC11EE" w:rsidRDefault="00AC3366">
    <w:pPr>
      <w:spacing w:after="0" w:line="259" w:lineRule="auto"/>
      <w:rPr>
        <w:rFonts w:ascii="Calibri" w:hAnsi="Calibri" w:cs="Calibri"/>
        <w:sz w:val="22"/>
        <w:szCs w:val="22"/>
      </w:rPr>
    </w:pPr>
    <w:r w:rsidRPr="00EC11EE">
      <w:rPr>
        <w:rFonts w:ascii="Calibri" w:hAnsi="Calibri" w:cs="Calibri"/>
        <w:sz w:val="22"/>
        <w:szCs w:val="22"/>
      </w:rPr>
      <w:t xml:space="preserve">Page </w:t>
    </w:r>
    <w:r w:rsidRPr="00EC11EE">
      <w:rPr>
        <w:rFonts w:ascii="Calibri" w:hAnsi="Calibri" w:cs="Calibri"/>
        <w:b/>
        <w:bCs/>
        <w:sz w:val="22"/>
        <w:szCs w:val="22"/>
      </w:rPr>
      <w:fldChar w:fldCharType="begin"/>
    </w:r>
    <w:r w:rsidRPr="00EC11EE">
      <w:rPr>
        <w:rFonts w:ascii="Calibri" w:hAnsi="Calibri" w:cs="Calibri"/>
        <w:b/>
        <w:bCs/>
        <w:sz w:val="22"/>
        <w:szCs w:val="22"/>
      </w:rPr>
      <w:instrText xml:space="preserve"> PAGE  \* Arabic  \* MERGEFORMAT </w:instrText>
    </w:r>
    <w:r w:rsidRPr="00EC11EE">
      <w:rPr>
        <w:rFonts w:ascii="Calibri" w:hAnsi="Calibri" w:cs="Calibri"/>
        <w:b/>
        <w:bCs/>
        <w:sz w:val="22"/>
        <w:szCs w:val="22"/>
      </w:rPr>
      <w:fldChar w:fldCharType="separate"/>
    </w:r>
    <w:r w:rsidRPr="00EC11EE">
      <w:rPr>
        <w:rFonts w:ascii="Calibri" w:hAnsi="Calibri" w:cs="Calibri"/>
        <w:b/>
        <w:bCs/>
        <w:noProof/>
        <w:sz w:val="22"/>
        <w:szCs w:val="22"/>
      </w:rPr>
      <w:t>2</w:t>
    </w:r>
    <w:r w:rsidRPr="00EC11EE">
      <w:rPr>
        <w:rFonts w:ascii="Calibri" w:hAnsi="Calibri" w:cs="Calibri"/>
        <w:b/>
        <w:bCs/>
        <w:sz w:val="22"/>
        <w:szCs w:val="22"/>
      </w:rPr>
      <w:fldChar w:fldCharType="end"/>
    </w:r>
    <w:r w:rsidRPr="00EC11EE">
      <w:rPr>
        <w:rFonts w:ascii="Calibri" w:hAnsi="Calibri" w:cs="Calibri"/>
        <w:sz w:val="22"/>
        <w:szCs w:val="22"/>
      </w:rPr>
      <w:t xml:space="preserve"> of </w:t>
    </w:r>
    <w:r w:rsidRPr="00EC11EE">
      <w:rPr>
        <w:rFonts w:ascii="Calibri" w:hAnsi="Calibri" w:cs="Calibri"/>
        <w:b/>
        <w:bCs/>
        <w:sz w:val="22"/>
        <w:szCs w:val="22"/>
      </w:rPr>
      <w:fldChar w:fldCharType="begin"/>
    </w:r>
    <w:r w:rsidRPr="00EC11EE">
      <w:rPr>
        <w:rFonts w:ascii="Calibri" w:hAnsi="Calibri" w:cs="Calibri"/>
        <w:b/>
        <w:bCs/>
        <w:sz w:val="22"/>
        <w:szCs w:val="22"/>
      </w:rPr>
      <w:instrText xml:space="preserve"> NUMPAGES  \* Arabic  \* MERGEFORMAT </w:instrText>
    </w:r>
    <w:r w:rsidRPr="00EC11EE">
      <w:rPr>
        <w:rFonts w:ascii="Calibri" w:hAnsi="Calibri" w:cs="Calibri"/>
        <w:b/>
        <w:bCs/>
        <w:sz w:val="22"/>
        <w:szCs w:val="22"/>
      </w:rPr>
      <w:fldChar w:fldCharType="separate"/>
    </w:r>
    <w:r w:rsidRPr="00EC11EE">
      <w:rPr>
        <w:rFonts w:ascii="Calibri" w:hAnsi="Calibri" w:cs="Calibri"/>
        <w:b/>
        <w:bCs/>
        <w:noProof/>
        <w:sz w:val="22"/>
        <w:szCs w:val="22"/>
      </w:rPr>
      <w:t>6</w:t>
    </w:r>
    <w:r w:rsidRPr="00EC11EE">
      <w:rPr>
        <w:rFonts w:ascii="Calibri" w:hAnsi="Calibri" w:cs="Calibri"/>
        <w:b/>
        <w:bCs/>
        <w:sz w:val="22"/>
        <w:szCs w:val="22"/>
      </w:rPr>
      <w:fldChar w:fldCharType="end"/>
    </w:r>
    <w:r w:rsidRPr="00EC11EE">
      <w:rPr>
        <w:rFonts w:ascii="Calibri" w:hAnsi="Calibri" w:cs="Calibri"/>
        <w:sz w:val="22"/>
        <w:szCs w:val="22"/>
      </w:rPr>
      <w:ptab w:relativeTo="margin" w:alignment="center" w:leader="none"/>
    </w:r>
    <w:r w:rsidRPr="00EC11EE">
      <w:rPr>
        <w:rFonts w:ascii="Calibri" w:hAnsi="Calibri" w:cs="Calibri"/>
        <w:sz w:val="22"/>
        <w:szCs w:val="22"/>
      </w:rPr>
      <w:t xml:space="preserve">Effective Date: 15/01/2023 </w:t>
    </w:r>
    <w:r w:rsidRPr="00EC11EE">
      <w:rPr>
        <w:rFonts w:ascii="Calibri" w:hAnsi="Calibri" w:cs="Calibri"/>
        <w:sz w:val="22"/>
        <w:szCs w:val="22"/>
      </w:rPr>
      <w:ptab w:relativeTo="margin" w:alignment="right" w:leader="none"/>
    </w:r>
    <w:r w:rsidRPr="00EC11EE">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08991144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2E82C9A4-DDF6-43DA-8299-C46570CDD47C}"/>
        <w:text/>
      </w:sdtPr>
      <w:sdtContent>
        <w:r w:rsidRPr="00EC11EE">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84F1" w14:textId="77777777" w:rsidR="00AC3366" w:rsidRDefault="00AC3366">
    <w:pPr>
      <w:spacing w:after="0" w:line="259" w:lineRule="auto"/>
      <w:ind w:right="7"/>
      <w:jc w:val="center"/>
    </w:pPr>
  </w:p>
  <w:p w14:paraId="3FD9ED6A" w14:textId="77777777" w:rsidR="00AC3366" w:rsidRDefault="00AC3366">
    <w:pPr>
      <w:spacing w:after="0" w:line="259" w:lineRule="auto"/>
    </w:pPr>
    <w:r>
      <w:rPr>
        <w:rFonts w:ascii="Times New Roman" w:eastAsia="Times New Roman" w:hAnsi="Times New Roman" w:cs="Times New Roman"/>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B6CA0" w14:textId="77777777" w:rsidR="004E2338" w:rsidRDefault="004E2338" w:rsidP="00AC3366">
      <w:pPr>
        <w:spacing w:after="0" w:line="240" w:lineRule="auto"/>
      </w:pPr>
      <w:r>
        <w:separator/>
      </w:r>
    </w:p>
  </w:footnote>
  <w:footnote w:type="continuationSeparator" w:id="0">
    <w:p w14:paraId="1C8B2847" w14:textId="77777777" w:rsidR="004E2338" w:rsidRDefault="004E2338" w:rsidP="00AC3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5EDF" w14:textId="77777777" w:rsidR="00AC3366" w:rsidRDefault="00AC3366" w:rsidP="00BC515D">
    <w:pPr>
      <w:pStyle w:val="Header"/>
      <w:ind w:left="9010"/>
    </w:pPr>
    <w:r>
      <w:rPr>
        <w:noProof/>
      </w:rPr>
      <w:drawing>
        <wp:inline distT="0" distB="0" distL="0" distR="0" wp14:anchorId="1BF93FDB" wp14:editId="44136EEE">
          <wp:extent cx="3048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8699"/>
                  <a:stretch/>
                </pic:blipFill>
                <pic:spPr bwMode="auto">
                  <a:xfrm>
                    <a:off x="0" y="0"/>
                    <a:ext cx="308590" cy="578606"/>
                  </a:xfrm>
                  <a:prstGeom prst="rect">
                    <a:avLst/>
                  </a:prstGeom>
                  <a:ln>
                    <a:noFill/>
                  </a:ln>
                  <a:extLst>
                    <a:ext uri="{53640926-AAD7-44D8-BBD7-CCE9431645EC}">
                      <a14:shadowObscured xmlns:a14="http://schemas.microsoft.com/office/drawing/2010/main"/>
                    </a:ext>
                  </a:extLst>
                </pic:spPr>
              </pic:pic>
            </a:graphicData>
          </a:graphic>
        </wp:inline>
      </w:drawing>
    </w:r>
  </w:p>
  <w:p w14:paraId="07C88D3F" w14:textId="77777777" w:rsidR="00AC3366" w:rsidRDefault="00AC33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A211" w14:textId="77777777" w:rsidR="00AC3366" w:rsidRDefault="00AC3366" w:rsidP="00EC281D">
    <w:pPr>
      <w:pStyle w:val="Header"/>
      <w:ind w:left="9010"/>
    </w:pPr>
    <w:r>
      <w:rPr>
        <w:noProof/>
      </w:rPr>
      <w:drawing>
        <wp:inline distT="0" distB="0" distL="0" distR="0" wp14:anchorId="7F257E17" wp14:editId="5C6330D7">
          <wp:extent cx="304800" cy="70307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8534" cy="711685"/>
                  </a:xfrm>
                  <a:prstGeom prst="rect">
                    <a:avLst/>
                  </a:prstGeom>
                </pic:spPr>
              </pic:pic>
            </a:graphicData>
          </a:graphic>
        </wp:inline>
      </w:drawing>
    </w:r>
  </w:p>
  <w:p w14:paraId="218A5F7D" w14:textId="77777777" w:rsidR="00AC3366" w:rsidRDefault="00AC3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221AB"/>
    <w:multiLevelType w:val="hybridMultilevel"/>
    <w:tmpl w:val="C38ECE86"/>
    <w:lvl w:ilvl="0" w:tplc="FFFFFFFF">
      <w:start w:val="1"/>
      <w:numFmt w:val="lowerLetter"/>
      <w:lvlText w:val="%1)"/>
      <w:lvlJc w:val="left"/>
      <w:pPr>
        <w:ind w:left="720" w:hanging="360"/>
      </w:pPr>
    </w:lvl>
    <w:lvl w:ilvl="1" w:tplc="D562C0FA">
      <w:start w:val="1"/>
      <w:numFmt w:val="lowerLetter"/>
      <w:lvlText w:val="(%2)"/>
      <w:lvlJc w:val="left"/>
      <w:pPr>
        <w:ind w:left="1354"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692A6E"/>
    <w:multiLevelType w:val="hybridMultilevel"/>
    <w:tmpl w:val="FE8A9C02"/>
    <w:lvl w:ilvl="0" w:tplc="D562C0FA">
      <w:start w:val="1"/>
      <w:numFmt w:val="lowerLetter"/>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5CBBCA">
      <w:start w:val="1"/>
      <w:numFmt w:val="lowerRoman"/>
      <w:lvlText w:val="%2)"/>
      <w:lvlJc w:val="left"/>
      <w:pPr>
        <w:ind w:left="1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A4309E">
      <w:start w:val="1"/>
      <w:numFmt w:val="lowerRoman"/>
      <w:lvlText w:val="%3"/>
      <w:lvlJc w:val="left"/>
      <w:pPr>
        <w:ind w:left="2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05596">
      <w:start w:val="1"/>
      <w:numFmt w:val="decimal"/>
      <w:lvlText w:val="%4"/>
      <w:lvlJc w:val="left"/>
      <w:pPr>
        <w:ind w:left="2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CE1D28">
      <w:start w:val="1"/>
      <w:numFmt w:val="lowerLetter"/>
      <w:lvlText w:val="%5"/>
      <w:lvlJc w:val="left"/>
      <w:pPr>
        <w:ind w:left="3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CE86AA">
      <w:start w:val="1"/>
      <w:numFmt w:val="lowerRoman"/>
      <w:lvlText w:val="%6"/>
      <w:lvlJc w:val="left"/>
      <w:pPr>
        <w:ind w:left="4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F81D78">
      <w:start w:val="1"/>
      <w:numFmt w:val="decimal"/>
      <w:lvlText w:val="%7"/>
      <w:lvlJc w:val="left"/>
      <w:pPr>
        <w:ind w:left="4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B65FB0">
      <w:start w:val="1"/>
      <w:numFmt w:val="lowerLetter"/>
      <w:lvlText w:val="%8"/>
      <w:lvlJc w:val="left"/>
      <w:pPr>
        <w:ind w:left="5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3C23A68">
      <w:start w:val="1"/>
      <w:numFmt w:val="lowerRoman"/>
      <w:lvlText w:val="%9"/>
      <w:lvlJc w:val="left"/>
      <w:pPr>
        <w:ind w:left="6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2DE31D4"/>
    <w:multiLevelType w:val="hybridMultilevel"/>
    <w:tmpl w:val="BA14424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649609E7"/>
    <w:multiLevelType w:val="hybridMultilevel"/>
    <w:tmpl w:val="170C6974"/>
    <w:lvl w:ilvl="0" w:tplc="D562C0FA">
      <w:start w:val="1"/>
      <w:numFmt w:val="lowerLetter"/>
      <w:lvlText w:val="(%1)"/>
      <w:lvlJc w:val="left"/>
      <w:pPr>
        <w:tabs>
          <w:tab w:val="num" w:pos="720"/>
        </w:tabs>
        <w:ind w:left="720" w:hanging="72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49690278">
    <w:abstractNumId w:val="1"/>
  </w:num>
  <w:num w:numId="2" w16cid:durableId="226503404">
    <w:abstractNumId w:val="2"/>
  </w:num>
  <w:num w:numId="3" w16cid:durableId="727652924">
    <w:abstractNumId w:val="0"/>
  </w:num>
  <w:num w:numId="4" w16cid:durableId="450126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366"/>
    <w:rsid w:val="0038562A"/>
    <w:rsid w:val="004E2338"/>
    <w:rsid w:val="00580818"/>
    <w:rsid w:val="00752808"/>
    <w:rsid w:val="007B2D77"/>
    <w:rsid w:val="00AC3366"/>
    <w:rsid w:val="00C61B9D"/>
    <w:rsid w:val="00CC0E97"/>
    <w:rsid w:val="00DA504D"/>
    <w:rsid w:val="00EC1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96AD"/>
  <w15:chartTrackingRefBased/>
  <w15:docId w15:val="{031D0A46-5EF2-4665-A0CE-00ADB41D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3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3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3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3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3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3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3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366"/>
    <w:rPr>
      <w:rFonts w:eastAsiaTheme="majorEastAsia" w:cstheme="majorBidi"/>
      <w:color w:val="272727" w:themeColor="text1" w:themeTint="D8"/>
    </w:rPr>
  </w:style>
  <w:style w:type="paragraph" w:styleId="Title">
    <w:name w:val="Title"/>
    <w:basedOn w:val="Normal"/>
    <w:next w:val="Normal"/>
    <w:link w:val="TitleChar"/>
    <w:uiPriority w:val="10"/>
    <w:qFormat/>
    <w:rsid w:val="00AC3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3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366"/>
    <w:pPr>
      <w:spacing w:before="160"/>
      <w:jc w:val="center"/>
    </w:pPr>
    <w:rPr>
      <w:i/>
      <w:iCs/>
      <w:color w:val="404040" w:themeColor="text1" w:themeTint="BF"/>
    </w:rPr>
  </w:style>
  <w:style w:type="character" w:customStyle="1" w:styleId="QuoteChar">
    <w:name w:val="Quote Char"/>
    <w:basedOn w:val="DefaultParagraphFont"/>
    <w:link w:val="Quote"/>
    <w:uiPriority w:val="29"/>
    <w:rsid w:val="00AC3366"/>
    <w:rPr>
      <w:i/>
      <w:iCs/>
      <w:color w:val="404040" w:themeColor="text1" w:themeTint="BF"/>
    </w:rPr>
  </w:style>
  <w:style w:type="paragraph" w:styleId="ListParagraph">
    <w:name w:val="List Paragraph"/>
    <w:basedOn w:val="Normal"/>
    <w:uiPriority w:val="34"/>
    <w:qFormat/>
    <w:rsid w:val="00AC3366"/>
    <w:pPr>
      <w:ind w:left="720"/>
      <w:contextualSpacing/>
    </w:pPr>
  </w:style>
  <w:style w:type="character" w:styleId="IntenseEmphasis">
    <w:name w:val="Intense Emphasis"/>
    <w:basedOn w:val="DefaultParagraphFont"/>
    <w:uiPriority w:val="21"/>
    <w:qFormat/>
    <w:rsid w:val="00AC3366"/>
    <w:rPr>
      <w:i/>
      <w:iCs/>
      <w:color w:val="0F4761" w:themeColor="accent1" w:themeShade="BF"/>
    </w:rPr>
  </w:style>
  <w:style w:type="paragraph" w:styleId="IntenseQuote">
    <w:name w:val="Intense Quote"/>
    <w:basedOn w:val="Normal"/>
    <w:next w:val="Normal"/>
    <w:link w:val="IntenseQuoteChar"/>
    <w:uiPriority w:val="30"/>
    <w:qFormat/>
    <w:rsid w:val="00AC3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366"/>
    <w:rPr>
      <w:i/>
      <w:iCs/>
      <w:color w:val="0F4761" w:themeColor="accent1" w:themeShade="BF"/>
    </w:rPr>
  </w:style>
  <w:style w:type="character" w:styleId="IntenseReference">
    <w:name w:val="Intense Reference"/>
    <w:basedOn w:val="DefaultParagraphFont"/>
    <w:uiPriority w:val="32"/>
    <w:qFormat/>
    <w:rsid w:val="00AC3366"/>
    <w:rPr>
      <w:b/>
      <w:bCs/>
      <w:smallCaps/>
      <w:color w:val="0F4761" w:themeColor="accent1" w:themeShade="BF"/>
      <w:spacing w:val="5"/>
    </w:rPr>
  </w:style>
  <w:style w:type="paragraph" w:styleId="Header">
    <w:name w:val="header"/>
    <w:basedOn w:val="Normal"/>
    <w:link w:val="HeaderChar"/>
    <w:uiPriority w:val="99"/>
    <w:unhideWhenUsed/>
    <w:rsid w:val="00AC33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366"/>
  </w:style>
  <w:style w:type="paragraph" w:styleId="Revision">
    <w:name w:val="Revision"/>
    <w:hidden/>
    <w:uiPriority w:val="99"/>
    <w:semiHidden/>
    <w:rsid w:val="00AC33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easury.un.org/operationalrates/OperationalRates.aspx" TargetMode="External"/><Relationship Id="rId13" Type="http://schemas.openxmlformats.org/officeDocument/2006/relationships/hyperlink" Target="https://icsc.un.org/Resources/COLD/Booklets/PABooklet.pdf?r=02131246"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csc.un.org/Resources/COLD/Booklets/PABooklet.pdf?r=02131246" TargetMode="External"/><Relationship Id="rId12" Type="http://schemas.openxmlformats.org/officeDocument/2006/relationships/hyperlink" Target="https://treasury.un.org/operationalrates/OperationalRates.ph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easury.un.org/operationalrates/OperationalRates.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treasury.un.org/operationalrates/OperationalRates.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treasury.un.org/operationalrates/OperationalRates.aspx" TargetMode="External"/><Relationship Id="rId14" Type="http://schemas.openxmlformats.org/officeDocument/2006/relationships/hyperlink" Target="https://popp.undp.org/node/59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2171</Words>
  <Characters>12380</Characters>
  <Application>Microsoft Office Word</Application>
  <DocSecurity>0</DocSecurity>
  <Lines>103</Lines>
  <Paragraphs>29</Paragraphs>
  <ScaleCrop>false</ScaleCrop>
  <Company/>
  <LinksUpToDate>false</LinksUpToDate>
  <CharactersWithSpaces>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2026-05-14T19:52:00Z</dcterms:created>
  <dcterms:modified xsi:type="dcterms:W3CDTF">2026-05-14T20:11:00Z</dcterms:modified>
</cp:coreProperties>
</file>