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A844E" w14:textId="77777777" w:rsidR="00AD7E61" w:rsidRPr="00AD7E61" w:rsidRDefault="00AD7E61" w:rsidP="00AD7E61">
      <w:pPr>
        <w:spacing w:after="0" w:line="259" w:lineRule="auto"/>
        <w:rPr>
          <w:rFonts w:ascii="Calibri" w:eastAsia="Calibri" w:hAnsi="Calibri" w:cs="Calibri"/>
          <w:color w:val="000000"/>
          <w:kern w:val="0"/>
          <w:sz w:val="22"/>
          <w:szCs w:val="22"/>
          <w:lang w:val="fr-FR" w:eastAsia="en-GB"/>
          <w14:ligatures w14:val="none"/>
        </w:rPr>
      </w:pPr>
      <w:r w:rsidRPr="00AD7E61">
        <w:rPr>
          <w:rFonts w:ascii="Calibri" w:eastAsia="Calibri" w:hAnsi="Calibri" w:cs="Calibri"/>
          <w:b/>
          <w:color w:val="000000"/>
          <w:kern w:val="0"/>
          <w:sz w:val="28"/>
          <w:szCs w:val="22"/>
          <w:lang w:val="fr-FR" w:eastAsia="en-GB"/>
          <w14:ligatures w14:val="none"/>
        </w:rPr>
        <w:t xml:space="preserve">Congé annuel </w:t>
      </w:r>
    </w:p>
    <w:p w14:paraId="5F82A1D7" w14:textId="77777777" w:rsidR="00AD7E61" w:rsidRPr="00AD7E61" w:rsidRDefault="00AD7E61" w:rsidP="00AD7E61">
      <w:pPr>
        <w:spacing w:after="0" w:line="259" w:lineRule="auto"/>
        <w:rPr>
          <w:rFonts w:ascii="Calibri" w:eastAsia="Calibri" w:hAnsi="Calibri" w:cs="Calibri"/>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 </w:t>
      </w:r>
    </w:p>
    <w:p w14:paraId="31879876" w14:textId="77777777" w:rsidR="00AD7E61" w:rsidRPr="00AD7E61" w:rsidRDefault="00AD7E61" w:rsidP="00AD7E61">
      <w:pPr>
        <w:numPr>
          <w:ilvl w:val="0"/>
          <w:numId w:val="1"/>
        </w:numPr>
        <w:spacing w:after="0" w:line="239" w:lineRule="auto"/>
        <w:ind w:right="33"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Le PNUD accorde des congés annuels à plein traitement aux fonctionnaires pour leur permettre de s’absenter du travail pour des raisons personnelles et à des fins de santé, de repos et de loisirs.  </w:t>
      </w:r>
    </w:p>
    <w:p w14:paraId="39F0BB2A"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6348FAFE" w14:textId="77777777" w:rsidR="00AD7E61" w:rsidRPr="00AD7E61" w:rsidRDefault="00AD7E61" w:rsidP="00AD7E61">
      <w:pPr>
        <w:numPr>
          <w:ilvl w:val="0"/>
          <w:numId w:val="1"/>
        </w:numPr>
        <w:spacing w:after="0" w:line="248" w:lineRule="auto"/>
        <w:ind w:right="33"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Sous réserve des nécessités de service, les fonctionnaires doivent exercer leur droit au congé dans le délai prévu à cet effet. </w:t>
      </w:r>
    </w:p>
    <w:p w14:paraId="01D1E015" w14:textId="77777777" w:rsidR="00AD7E61" w:rsidRPr="00AD7E61" w:rsidRDefault="00AD7E61" w:rsidP="00AD7E61">
      <w:pPr>
        <w:spacing w:after="0" w:line="259" w:lineRule="auto"/>
        <w:rPr>
          <w:rFonts w:ascii="Calibri" w:eastAsia="Calibri" w:hAnsi="Calibri" w:cs="Calibri"/>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 </w:t>
      </w:r>
    </w:p>
    <w:p w14:paraId="6B8E3821" w14:textId="77777777" w:rsidR="00AD7E61" w:rsidRPr="0035169F" w:rsidRDefault="00AD7E61" w:rsidP="00AD7E61">
      <w:pPr>
        <w:keepNext/>
        <w:keepLines/>
        <w:spacing w:after="0" w:line="259" w:lineRule="auto"/>
        <w:ind w:left="-5" w:hanging="10"/>
        <w:outlineLvl w:val="0"/>
        <w:rPr>
          <w:rFonts w:ascii="Calibri" w:eastAsia="Calibri" w:hAnsi="Calibri" w:cs="Calibri"/>
          <w:b/>
          <w:color w:val="000000"/>
          <w:kern w:val="0"/>
          <w:sz w:val="22"/>
          <w:szCs w:val="22"/>
          <w:u w:val="single"/>
          <w:lang w:val="fr-FR" w:eastAsia="en-GB"/>
          <w14:ligatures w14:val="none"/>
        </w:rPr>
      </w:pPr>
      <w:r w:rsidRPr="0035169F">
        <w:rPr>
          <w:rFonts w:ascii="Calibri" w:eastAsia="Calibri" w:hAnsi="Calibri" w:cs="Calibri"/>
          <w:b/>
          <w:color w:val="000000"/>
          <w:kern w:val="0"/>
          <w:sz w:val="22"/>
          <w:szCs w:val="22"/>
          <w:u w:val="single"/>
          <w:lang w:val="fr-FR" w:eastAsia="en-GB"/>
          <w14:ligatures w14:val="none"/>
        </w:rPr>
        <w:t xml:space="preserve">Admissibilité  </w:t>
      </w:r>
    </w:p>
    <w:p w14:paraId="4A0C342A"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513A087F" w14:textId="77777777" w:rsidR="00AD7E61" w:rsidRPr="00AD7E61" w:rsidRDefault="00AD7E61" w:rsidP="00AD7E61">
      <w:pPr>
        <w:spacing w:after="0" w:line="248" w:lineRule="auto"/>
        <w:ind w:left="715" w:right="33" w:hanging="37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3.</w:t>
      </w:r>
      <w:r w:rsidRPr="00AD7E61">
        <w:rPr>
          <w:rFonts w:ascii="Arial" w:eastAsia="Calibri" w:hAnsi="Arial" w:cs="Calibri"/>
          <w:color w:val="000000"/>
          <w:kern w:val="0"/>
          <w:sz w:val="22"/>
          <w:szCs w:val="22"/>
          <w:lang w:val="fr-FR" w:eastAsia="en-GB"/>
          <w14:ligatures w14:val="none"/>
        </w:rPr>
        <w:tab/>
      </w:r>
      <w:r w:rsidRPr="00AD7E61">
        <w:rPr>
          <w:rFonts w:ascii="Calibri" w:eastAsia="Calibri" w:hAnsi="Calibri" w:cs="Calibri"/>
          <w:color w:val="000000"/>
          <w:kern w:val="0"/>
          <w:sz w:val="22"/>
          <w:szCs w:val="22"/>
          <w:lang w:val="fr-FR" w:eastAsia="en-GB"/>
          <w14:ligatures w14:val="none"/>
        </w:rPr>
        <w:t xml:space="preserve">Tous les fonctionnaires dont les engagements sont régis par le Statut et Règlement du personnel des Nations Unies sont admissibles aux congés annuels à compter de la date de leur engagement.  </w:t>
      </w:r>
    </w:p>
    <w:p w14:paraId="3A64D6CA" w14:textId="77777777" w:rsidR="00AD7E61" w:rsidRPr="00AD7E61" w:rsidRDefault="00AD7E61" w:rsidP="00AD7E61">
      <w:pPr>
        <w:spacing w:after="0" w:line="259" w:lineRule="auto"/>
        <w:rPr>
          <w:rFonts w:ascii="Calibri" w:eastAsia="Calibri" w:hAnsi="Calibri" w:cs="Calibri"/>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 </w:t>
      </w:r>
    </w:p>
    <w:p w14:paraId="4990D761" w14:textId="77777777" w:rsidR="00AD7E61" w:rsidRPr="0035169F" w:rsidRDefault="00AD7E61" w:rsidP="00AD7E61">
      <w:pPr>
        <w:spacing w:after="0" w:line="259" w:lineRule="auto"/>
        <w:ind w:left="-5" w:hanging="10"/>
        <w:rPr>
          <w:rFonts w:ascii="Calibri" w:eastAsia="Calibri" w:hAnsi="Calibri" w:cs="Calibri"/>
          <w:color w:val="000000"/>
          <w:kern w:val="0"/>
          <w:sz w:val="22"/>
          <w:szCs w:val="22"/>
          <w:u w:val="single"/>
          <w:lang w:val="fr-FR" w:eastAsia="en-GB"/>
          <w14:ligatures w14:val="none"/>
        </w:rPr>
      </w:pPr>
      <w:r w:rsidRPr="0035169F">
        <w:rPr>
          <w:rFonts w:ascii="Calibri" w:eastAsia="Calibri" w:hAnsi="Calibri" w:cs="Calibri"/>
          <w:b/>
          <w:color w:val="000000"/>
          <w:kern w:val="0"/>
          <w:sz w:val="22"/>
          <w:szCs w:val="22"/>
          <w:u w:val="single"/>
          <w:lang w:val="fr-FR" w:eastAsia="en-GB"/>
          <w14:ligatures w14:val="none"/>
        </w:rPr>
        <w:t xml:space="preserve">Comptabilité d’exercice et utilisation  </w:t>
      </w:r>
    </w:p>
    <w:p w14:paraId="54A36F77" w14:textId="77777777" w:rsidR="00AD7E61" w:rsidRPr="00AD7E61" w:rsidRDefault="00AD7E61" w:rsidP="00AD7E61">
      <w:pPr>
        <w:spacing w:after="0" w:line="259" w:lineRule="auto"/>
        <w:rPr>
          <w:rFonts w:ascii="Calibri" w:eastAsia="Calibri" w:hAnsi="Calibri" w:cs="Calibri"/>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 </w:t>
      </w:r>
    </w:p>
    <w:p w14:paraId="1CF81029" w14:textId="77777777" w:rsidR="00AD7E61" w:rsidRPr="00AD7E61" w:rsidRDefault="00AD7E61" w:rsidP="00AD7E61">
      <w:pPr>
        <w:keepNext/>
        <w:keepLines/>
        <w:spacing w:after="0" w:line="259" w:lineRule="auto"/>
        <w:ind w:left="370"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Taux d’accumulation </w:t>
      </w:r>
    </w:p>
    <w:p w14:paraId="7390A5E5"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0F393A74" w14:textId="77777777" w:rsidR="00AD7E61" w:rsidRPr="00AD7E61" w:rsidRDefault="00AD7E61" w:rsidP="00AD7E61">
      <w:pPr>
        <w:numPr>
          <w:ilvl w:val="0"/>
          <w:numId w:val="2"/>
        </w:numPr>
        <w:spacing w:after="0" w:line="248" w:lineRule="auto"/>
        <w:ind w:right="33"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Personnel à temps plein : Les membres du personnel acquièrent des crédits de congé annuel au taux suivant pour chaque mois complet de service, en fonction de leur type d'engagement : </w:t>
      </w:r>
    </w:p>
    <w:p w14:paraId="21843C26" w14:textId="5C7DA233" w:rsidR="00AD7E61" w:rsidRPr="00AD7E61" w:rsidRDefault="00AD7E61" w:rsidP="00A844BF">
      <w:pPr>
        <w:numPr>
          <w:ilvl w:val="1"/>
          <w:numId w:val="2"/>
        </w:numPr>
        <w:tabs>
          <w:tab w:val="left" w:pos="1080"/>
        </w:tabs>
        <w:spacing w:after="0" w:line="248" w:lineRule="auto"/>
        <w:ind w:left="720" w:right="33"/>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Nominations à durée déterminée, permanentes et continues (FTA, PA, CA) :</w:t>
      </w:r>
      <w:r w:rsidR="00E130A7">
        <w:rPr>
          <w:rFonts w:ascii="Calibri" w:eastAsia="Calibri" w:hAnsi="Calibri" w:cs="Calibri"/>
          <w:color w:val="000000"/>
          <w:kern w:val="0"/>
          <w:sz w:val="22"/>
          <w:szCs w:val="22"/>
          <w:lang w:val="fr-FR" w:eastAsia="en-GB"/>
          <w14:ligatures w14:val="none"/>
        </w:rPr>
        <w:t xml:space="preserve"> 2</w:t>
      </w:r>
      <w:r w:rsidR="00E130A7" w:rsidRPr="00E130A7">
        <w:rPr>
          <w:rFonts w:ascii="Calibri" w:eastAsia="Calibri" w:hAnsi="Calibri" w:cs="Calibri"/>
          <w:color w:val="000000"/>
          <w:kern w:val="0"/>
          <w:sz w:val="22"/>
          <w:szCs w:val="22"/>
          <w:lang w:val="fr-FR" w:eastAsia="en-GB"/>
          <w14:ligatures w14:val="none"/>
        </w:rPr>
        <w:t>.5 jours</w:t>
      </w:r>
    </w:p>
    <w:p w14:paraId="690446A2" w14:textId="4FB2FC42" w:rsidR="00AD7E61" w:rsidRPr="00AD7E61" w:rsidRDefault="00AD7E61" w:rsidP="00A844BF">
      <w:pPr>
        <w:numPr>
          <w:ilvl w:val="1"/>
          <w:numId w:val="2"/>
        </w:numPr>
        <w:tabs>
          <w:tab w:val="left" w:pos="1080"/>
        </w:tabs>
        <w:spacing w:after="0" w:line="248" w:lineRule="auto"/>
        <w:ind w:left="720" w:right="33"/>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Engagement temporaire (TA) : 1.5 jours.</w:t>
      </w:r>
    </w:p>
    <w:p w14:paraId="6416A3F8"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539D493E" w14:textId="7B7D7CC4" w:rsidR="00AD7E61" w:rsidRPr="00AD7E61" w:rsidRDefault="00AD7E61" w:rsidP="00AD7E61">
      <w:pPr>
        <w:numPr>
          <w:ilvl w:val="0"/>
          <w:numId w:val="2"/>
        </w:numPr>
        <w:spacing w:after="0" w:line="248" w:lineRule="auto"/>
        <w:ind w:right="33"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Personnel à temps partiel </w:t>
      </w:r>
      <w:r w:rsidRPr="00AD7E61">
        <w:rPr>
          <w:rFonts w:ascii="Calibri" w:eastAsia="Calibri" w:hAnsi="Calibri" w:cs="Calibri"/>
          <w:b/>
          <w:color w:val="000000"/>
          <w:kern w:val="0"/>
          <w:sz w:val="22"/>
          <w:szCs w:val="22"/>
          <w:lang w:val="fr-FR" w:eastAsia="en-GB"/>
          <w14:ligatures w14:val="none"/>
        </w:rPr>
        <w:t>:</w:t>
      </w:r>
      <w:r w:rsidRPr="00AD7E61">
        <w:rPr>
          <w:rFonts w:ascii="Calibri" w:eastAsia="Calibri" w:hAnsi="Calibri" w:cs="Calibri"/>
          <w:color w:val="000000"/>
          <w:kern w:val="0"/>
          <w:sz w:val="22"/>
          <w:szCs w:val="22"/>
          <w:lang w:val="fr-FR" w:eastAsia="en-GB"/>
          <w14:ligatures w14:val="none"/>
        </w:rPr>
        <w:t xml:space="preserve"> Les fonctionnaires engagés à temps partiel (par </w:t>
      </w:r>
      <w:proofErr w:type="spellStart"/>
      <w:r w:rsidRPr="00AD7E61">
        <w:rPr>
          <w:rFonts w:ascii="Calibri" w:eastAsia="Calibri" w:hAnsi="Calibri" w:cs="Calibri"/>
          <w:color w:val="000000"/>
          <w:kern w:val="0"/>
          <w:sz w:val="22"/>
          <w:szCs w:val="22"/>
          <w:lang w:val="fr-FR" w:eastAsia="en-GB"/>
          <w14:ligatures w14:val="none"/>
        </w:rPr>
        <w:t>example</w:t>
      </w:r>
      <w:proofErr w:type="spellEnd"/>
      <w:r w:rsidRPr="00AD7E61">
        <w:rPr>
          <w:rFonts w:ascii="Calibri" w:eastAsia="Calibri" w:hAnsi="Calibri" w:cs="Calibri"/>
          <w:color w:val="000000"/>
          <w:kern w:val="0"/>
          <w:sz w:val="22"/>
          <w:szCs w:val="22"/>
          <w:lang w:val="fr-FR" w:eastAsia="en-GB"/>
          <w14:ligatures w14:val="none"/>
        </w:rPr>
        <w:t xml:space="preserve"> 50 % d’une semaine de travail ordinaire) ont un crédit de congé annuel calculé au prorata du taux défini au paragraphe précédent, en fonction du pourcentage d'emploi.  </w:t>
      </w:r>
    </w:p>
    <w:p w14:paraId="540FBBCB"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7AA446A4" w14:textId="77777777" w:rsidR="00AD7E61" w:rsidRPr="00AD7E61" w:rsidRDefault="00AD7E61" w:rsidP="00AD7E61">
      <w:pPr>
        <w:numPr>
          <w:ilvl w:val="0"/>
          <w:numId w:val="2"/>
        </w:numPr>
        <w:spacing w:after="0" w:line="248" w:lineRule="auto"/>
        <w:ind w:right="33"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Lorsqu’ils sont en congé de maladie ou bénéficient de congés spéciaux à plein traitement : Lors du calcul des congés annuels, le temps de service inclut le temps passé en congé de maladie à plein traitement ou en congé spécial à plein traitement (</w:t>
      </w:r>
      <w:proofErr w:type="spellStart"/>
      <w:r w:rsidRPr="00AD7E61">
        <w:rPr>
          <w:rFonts w:ascii="Calibri" w:eastAsia="Calibri" w:hAnsi="Calibri" w:cs="Calibri"/>
          <w:i/>
          <w:iCs/>
          <w:color w:val="000000"/>
          <w:kern w:val="0"/>
          <w:sz w:val="22"/>
          <w:szCs w:val="22"/>
          <w:lang w:val="fr-FR" w:eastAsia="en-GB"/>
          <w14:ligatures w14:val="none"/>
        </w:rPr>
        <w:t>special</w:t>
      </w:r>
      <w:proofErr w:type="spellEnd"/>
      <w:r w:rsidRPr="00AD7E61">
        <w:rPr>
          <w:rFonts w:ascii="Calibri" w:eastAsia="Calibri" w:hAnsi="Calibri" w:cs="Calibri"/>
          <w:i/>
          <w:iCs/>
          <w:color w:val="000000"/>
          <w:kern w:val="0"/>
          <w:sz w:val="22"/>
          <w:szCs w:val="22"/>
          <w:lang w:val="fr-FR" w:eastAsia="en-GB"/>
          <w14:ligatures w14:val="none"/>
        </w:rPr>
        <w:t xml:space="preserve"> </w:t>
      </w:r>
      <w:proofErr w:type="spellStart"/>
      <w:r w:rsidRPr="00AD7E61">
        <w:rPr>
          <w:rFonts w:ascii="Calibri" w:eastAsia="Calibri" w:hAnsi="Calibri" w:cs="Calibri"/>
          <w:i/>
          <w:iCs/>
          <w:color w:val="000000"/>
          <w:kern w:val="0"/>
          <w:sz w:val="22"/>
          <w:szCs w:val="22"/>
          <w:lang w:val="fr-FR" w:eastAsia="en-GB"/>
          <w14:ligatures w14:val="none"/>
        </w:rPr>
        <w:t>leave</w:t>
      </w:r>
      <w:proofErr w:type="spellEnd"/>
      <w:r w:rsidRPr="00AD7E61">
        <w:rPr>
          <w:rFonts w:ascii="Calibri" w:eastAsia="Calibri" w:hAnsi="Calibri" w:cs="Calibri"/>
          <w:i/>
          <w:iCs/>
          <w:color w:val="000000"/>
          <w:kern w:val="0"/>
          <w:sz w:val="22"/>
          <w:szCs w:val="22"/>
          <w:lang w:val="fr-FR" w:eastAsia="en-GB"/>
          <w14:ligatures w14:val="none"/>
        </w:rPr>
        <w:t xml:space="preserve"> </w:t>
      </w:r>
      <w:proofErr w:type="spellStart"/>
      <w:r w:rsidRPr="00AD7E61">
        <w:rPr>
          <w:rFonts w:ascii="Calibri" w:eastAsia="Calibri" w:hAnsi="Calibri" w:cs="Calibri"/>
          <w:i/>
          <w:iCs/>
          <w:color w:val="000000"/>
          <w:kern w:val="0"/>
          <w:sz w:val="22"/>
          <w:szCs w:val="22"/>
          <w:lang w:val="fr-FR" w:eastAsia="en-GB"/>
          <w14:ligatures w14:val="none"/>
        </w:rPr>
        <w:t>with</w:t>
      </w:r>
      <w:proofErr w:type="spellEnd"/>
      <w:r w:rsidRPr="00AD7E61">
        <w:rPr>
          <w:rFonts w:ascii="Calibri" w:eastAsia="Calibri" w:hAnsi="Calibri" w:cs="Calibri"/>
          <w:i/>
          <w:iCs/>
          <w:color w:val="000000"/>
          <w:kern w:val="0"/>
          <w:sz w:val="22"/>
          <w:szCs w:val="22"/>
          <w:lang w:val="fr-FR" w:eastAsia="en-GB"/>
          <w14:ligatures w14:val="none"/>
        </w:rPr>
        <w:t xml:space="preserve"> full </w:t>
      </w:r>
      <w:proofErr w:type="spellStart"/>
      <w:r w:rsidRPr="00AD7E61">
        <w:rPr>
          <w:rFonts w:ascii="Calibri" w:eastAsia="Calibri" w:hAnsi="Calibri" w:cs="Calibri"/>
          <w:i/>
          <w:iCs/>
          <w:color w:val="000000"/>
          <w:kern w:val="0"/>
          <w:sz w:val="22"/>
          <w:szCs w:val="22"/>
          <w:lang w:val="fr-FR" w:eastAsia="en-GB"/>
          <w14:ligatures w14:val="none"/>
        </w:rPr>
        <w:t>pay</w:t>
      </w:r>
      <w:proofErr w:type="spellEnd"/>
      <w:r w:rsidRPr="00AD7E61">
        <w:rPr>
          <w:rFonts w:ascii="Calibri" w:eastAsia="Calibri" w:hAnsi="Calibri" w:cs="Calibri"/>
          <w:color w:val="000000"/>
          <w:kern w:val="0"/>
          <w:sz w:val="22"/>
          <w:szCs w:val="22"/>
          <w:lang w:val="fr-FR" w:eastAsia="en-GB"/>
          <w14:ligatures w14:val="none"/>
        </w:rPr>
        <w:t xml:space="preserve">, SLWFP).  </w:t>
      </w:r>
    </w:p>
    <w:p w14:paraId="0B36F100"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55C8445F" w14:textId="77777777" w:rsidR="00AD7E61" w:rsidRPr="00AD7E61" w:rsidRDefault="00AD7E61" w:rsidP="00AD7E61">
      <w:pPr>
        <w:numPr>
          <w:ilvl w:val="0"/>
          <w:numId w:val="2"/>
        </w:numPr>
        <w:spacing w:after="120" w:line="247" w:lineRule="auto"/>
        <w:ind w:right="29"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Congé parental : Sauf indication contraire dans le paragraphe précédent, les congés annuels sont également comptabilisés pendant les périodes  de congé parental :  </w:t>
      </w:r>
    </w:p>
    <w:p w14:paraId="7EF3D344" w14:textId="77777777" w:rsidR="00AD7E61" w:rsidRDefault="00AD7E61" w:rsidP="00AD7E61">
      <w:pPr>
        <w:spacing w:after="0" w:line="259" w:lineRule="auto"/>
        <w:rPr>
          <w:rFonts w:ascii="Calibri" w:eastAsia="Calibri" w:hAnsi="Calibri" w:cs="Calibri"/>
          <w:b/>
          <w:color w:val="000000"/>
          <w:kern w:val="0"/>
          <w:sz w:val="22"/>
          <w:szCs w:val="22"/>
          <w:lang w:val="fr-FR" w:eastAsia="en-GB"/>
          <w14:ligatures w14:val="none"/>
        </w:rPr>
      </w:pPr>
    </w:p>
    <w:p w14:paraId="7FCA5968" w14:textId="77777777" w:rsidR="00DF36CD" w:rsidRDefault="00DF36CD" w:rsidP="00AD7E61">
      <w:pPr>
        <w:spacing w:after="0" w:line="259" w:lineRule="auto"/>
        <w:rPr>
          <w:rFonts w:ascii="Calibri" w:eastAsia="Calibri" w:hAnsi="Calibri" w:cs="Calibri"/>
          <w:b/>
          <w:color w:val="000000"/>
          <w:kern w:val="0"/>
          <w:sz w:val="22"/>
          <w:szCs w:val="22"/>
          <w:lang w:val="fr-FR" w:eastAsia="en-GB"/>
          <w14:ligatures w14:val="none"/>
        </w:rPr>
      </w:pPr>
    </w:p>
    <w:p w14:paraId="5244E2EF" w14:textId="77777777" w:rsidR="00DF36CD" w:rsidRDefault="00DF36CD" w:rsidP="00AD7E61">
      <w:pPr>
        <w:spacing w:after="0" w:line="259" w:lineRule="auto"/>
        <w:rPr>
          <w:rFonts w:ascii="Calibri" w:eastAsia="Calibri" w:hAnsi="Calibri" w:cs="Calibri"/>
          <w:b/>
          <w:color w:val="000000"/>
          <w:kern w:val="0"/>
          <w:sz w:val="22"/>
          <w:szCs w:val="22"/>
          <w:lang w:val="fr-FR" w:eastAsia="en-GB"/>
          <w14:ligatures w14:val="none"/>
        </w:rPr>
      </w:pPr>
    </w:p>
    <w:p w14:paraId="4510EA2A" w14:textId="77777777" w:rsidR="00DF36CD" w:rsidRDefault="00DF36CD" w:rsidP="00AD7E61">
      <w:pPr>
        <w:spacing w:after="0" w:line="259" w:lineRule="auto"/>
        <w:rPr>
          <w:rFonts w:ascii="Calibri" w:eastAsia="Calibri" w:hAnsi="Calibri" w:cs="Calibri"/>
          <w:b/>
          <w:color w:val="000000"/>
          <w:kern w:val="0"/>
          <w:sz w:val="22"/>
          <w:szCs w:val="22"/>
          <w:lang w:val="fr-FR" w:eastAsia="en-GB"/>
          <w14:ligatures w14:val="none"/>
        </w:rPr>
      </w:pPr>
    </w:p>
    <w:p w14:paraId="14FFE218" w14:textId="77777777" w:rsidR="00DF36CD" w:rsidRPr="00AD7E61" w:rsidRDefault="00DF36CD" w:rsidP="00AD7E61">
      <w:pPr>
        <w:spacing w:after="0" w:line="259" w:lineRule="auto"/>
        <w:rPr>
          <w:rFonts w:ascii="Calibri" w:eastAsia="Calibri" w:hAnsi="Calibri" w:cs="Calibri"/>
          <w:b/>
          <w:color w:val="000000"/>
          <w:kern w:val="0"/>
          <w:sz w:val="22"/>
          <w:szCs w:val="22"/>
          <w:lang w:val="fr-FR" w:eastAsia="en-GB"/>
          <w14:ligatures w14:val="none"/>
        </w:rPr>
      </w:pPr>
    </w:p>
    <w:p w14:paraId="6AFCC0FA" w14:textId="77777777" w:rsidR="00AD7E61" w:rsidRPr="00AD7E61" w:rsidRDefault="00AD7E61" w:rsidP="00AD7E61">
      <w:pPr>
        <w:keepNext/>
        <w:keepLines/>
        <w:spacing w:after="0" w:line="259" w:lineRule="auto"/>
        <w:ind w:left="370"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lastRenderedPageBreak/>
        <w:t xml:space="preserve">Non-comptabilisation des congés </w:t>
      </w:r>
    </w:p>
    <w:p w14:paraId="7D841899"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4FB0A76F" w14:textId="77777777" w:rsidR="00AD7E61" w:rsidRPr="00AD7E61" w:rsidRDefault="00AD7E61" w:rsidP="00AD7E61">
      <w:pPr>
        <w:spacing w:after="120" w:line="247" w:lineRule="auto"/>
        <w:ind w:left="345" w:right="33"/>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8.</w:t>
      </w:r>
      <w:r w:rsidRPr="00AD7E61">
        <w:rPr>
          <w:rFonts w:ascii="Arial" w:eastAsia="Calibri" w:hAnsi="Arial" w:cs="Calibri"/>
          <w:color w:val="000000"/>
          <w:kern w:val="0"/>
          <w:sz w:val="22"/>
          <w:szCs w:val="22"/>
          <w:lang w:val="fr-FR" w:eastAsia="en-GB"/>
          <w14:ligatures w14:val="none"/>
        </w:rPr>
        <w:tab/>
      </w:r>
      <w:r w:rsidRPr="00AD7E61">
        <w:rPr>
          <w:rFonts w:ascii="Calibri" w:eastAsia="Calibri" w:hAnsi="Calibri" w:cs="Calibri"/>
          <w:color w:val="000000"/>
          <w:kern w:val="0"/>
          <w:sz w:val="22"/>
          <w:szCs w:val="22"/>
          <w:lang w:val="fr-FR" w:eastAsia="en-GB"/>
          <w14:ligatures w14:val="none"/>
        </w:rPr>
        <w:t xml:space="preserve">Les congés annuels ne sont pas comptabilisés dans les cas suivants :  </w:t>
      </w:r>
    </w:p>
    <w:p w14:paraId="47141EEC" w14:textId="77777777" w:rsidR="00AD7E61" w:rsidRPr="00AD7E61" w:rsidRDefault="00AD7E61" w:rsidP="00A844BF">
      <w:pPr>
        <w:numPr>
          <w:ilvl w:val="1"/>
          <w:numId w:val="2"/>
        </w:numPr>
        <w:tabs>
          <w:tab w:val="left" w:pos="1080"/>
        </w:tabs>
        <w:spacing w:after="0" w:line="248" w:lineRule="auto"/>
        <w:ind w:left="720" w:right="33"/>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Périodes d’absence non autorisée ;  </w:t>
      </w:r>
    </w:p>
    <w:p w14:paraId="69F31627" w14:textId="77777777" w:rsidR="00AD7E61" w:rsidRPr="00AD7E61" w:rsidRDefault="00AD7E61" w:rsidP="00272641">
      <w:pPr>
        <w:numPr>
          <w:ilvl w:val="1"/>
          <w:numId w:val="2"/>
        </w:numPr>
        <w:tabs>
          <w:tab w:val="left" w:pos="1080"/>
        </w:tabs>
        <w:spacing w:after="0" w:line="248" w:lineRule="auto"/>
        <w:ind w:left="1080" w:right="33"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Périodes de suspension des fonctions sans traitement, à moins que ladite période ne soit rétablie par la suite ;  </w:t>
      </w:r>
    </w:p>
    <w:p w14:paraId="2DA5CEE1" w14:textId="77777777" w:rsidR="00AD7E61" w:rsidRPr="00AD7E61" w:rsidRDefault="00AD7E61" w:rsidP="00272641">
      <w:pPr>
        <w:numPr>
          <w:ilvl w:val="1"/>
          <w:numId w:val="2"/>
        </w:numPr>
        <w:tabs>
          <w:tab w:val="left" w:pos="1080"/>
        </w:tabs>
        <w:spacing w:after="0" w:line="248" w:lineRule="auto"/>
        <w:ind w:left="1080" w:right="33"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Périodes de congé spécial à traitement partiel ou sans traitement pour une durée d’un mois ou plus ;  </w:t>
      </w:r>
    </w:p>
    <w:p w14:paraId="4CFE591E" w14:textId="77777777" w:rsidR="00AD7E61" w:rsidRPr="00AD7E61" w:rsidRDefault="00AD7E61" w:rsidP="00272641">
      <w:pPr>
        <w:numPr>
          <w:ilvl w:val="1"/>
          <w:numId w:val="2"/>
        </w:numPr>
        <w:tabs>
          <w:tab w:val="left" w:pos="1080"/>
        </w:tabs>
        <w:spacing w:after="0" w:line="248" w:lineRule="auto"/>
        <w:ind w:left="1080" w:right="33"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Périodes de congé maladie à traitement partiel, à moins que le traitement intégral ne soit conservé en combinant chaque demi-journée de congé maladie à une demi-journée des congés annuels ou à une demi-journée de travail ;  </w:t>
      </w:r>
    </w:p>
    <w:p w14:paraId="54ADA365" w14:textId="77777777" w:rsidR="00AD7E61" w:rsidRPr="00AD7E61" w:rsidRDefault="00AD7E61" w:rsidP="00272641">
      <w:pPr>
        <w:numPr>
          <w:ilvl w:val="1"/>
          <w:numId w:val="2"/>
        </w:numPr>
        <w:tabs>
          <w:tab w:val="left" w:pos="1080"/>
        </w:tabs>
        <w:spacing w:after="0" w:line="248" w:lineRule="auto"/>
        <w:ind w:left="1080" w:right="33"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Les périodes au cours desquelles le membre du personnel perçoit des compensations équivalentes au salaire et des allocations pour une blessure ou une maladie imputable au service, en vertu de l’annexe D des Règles du personnel des Nations Unies ;  </w:t>
      </w:r>
    </w:p>
    <w:p w14:paraId="24624F2E" w14:textId="77777777" w:rsidR="00AD7E61" w:rsidRPr="00AD7E61" w:rsidRDefault="00AD7E61" w:rsidP="00272641">
      <w:pPr>
        <w:numPr>
          <w:ilvl w:val="1"/>
          <w:numId w:val="2"/>
        </w:numPr>
        <w:tabs>
          <w:tab w:val="left" w:pos="1080"/>
        </w:tabs>
        <w:spacing w:after="0" w:line="248" w:lineRule="auto"/>
        <w:ind w:left="1080" w:right="33"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Les périodes au cours desquelles un engagement à durée déterminée n’est prorogé que pour permettre à un membre du personnel de se prévaloir de son droit à :  </w:t>
      </w:r>
    </w:p>
    <w:p w14:paraId="6A846A5B" w14:textId="77777777" w:rsidR="00AD7E61" w:rsidRPr="00AD7E61" w:rsidRDefault="00AD7E61" w:rsidP="002E34D8">
      <w:pPr>
        <w:numPr>
          <w:ilvl w:val="1"/>
          <w:numId w:val="3"/>
        </w:numPr>
        <w:spacing w:after="120" w:line="247" w:lineRule="auto"/>
        <w:ind w:left="1260" w:right="2448" w:hanging="18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Un congé de maladie ;  </w:t>
      </w:r>
    </w:p>
    <w:p w14:paraId="74F10C4F" w14:textId="6C5F5FAC" w:rsidR="00AD7E61" w:rsidRPr="00AD7E61" w:rsidRDefault="002E34D8" w:rsidP="002E34D8">
      <w:pPr>
        <w:numPr>
          <w:ilvl w:val="1"/>
          <w:numId w:val="3"/>
        </w:numPr>
        <w:spacing w:after="120" w:line="247" w:lineRule="auto"/>
        <w:ind w:left="1260" w:right="2022" w:hanging="180"/>
        <w:jc w:val="both"/>
        <w:rPr>
          <w:rFonts w:ascii="Calibri" w:eastAsia="Calibri" w:hAnsi="Calibri" w:cs="Calibri"/>
          <w:color w:val="000000"/>
          <w:kern w:val="0"/>
          <w:sz w:val="22"/>
          <w:szCs w:val="22"/>
          <w:lang w:val="fr-FR" w:eastAsia="en-GB"/>
          <w14:ligatures w14:val="none"/>
        </w:rPr>
      </w:pPr>
      <w:r>
        <w:rPr>
          <w:rFonts w:ascii="Calibri" w:eastAsia="Calibri" w:hAnsi="Calibri" w:cs="Calibri"/>
          <w:color w:val="000000"/>
          <w:kern w:val="0"/>
          <w:sz w:val="22"/>
          <w:szCs w:val="22"/>
          <w:lang w:val="fr-FR" w:eastAsia="en-GB"/>
          <w14:ligatures w14:val="none"/>
        </w:rPr>
        <w:t xml:space="preserve"> </w:t>
      </w:r>
      <w:r w:rsidR="00AD7E61" w:rsidRPr="00AD7E61">
        <w:rPr>
          <w:rFonts w:ascii="Calibri" w:eastAsia="Calibri" w:hAnsi="Calibri" w:cs="Calibri"/>
          <w:color w:val="000000"/>
          <w:kern w:val="0"/>
          <w:sz w:val="22"/>
          <w:szCs w:val="22"/>
          <w:lang w:val="fr-FR" w:eastAsia="en-GB"/>
          <w14:ligatures w14:val="none"/>
        </w:rPr>
        <w:t xml:space="preserve">Congé parental ; et </w:t>
      </w:r>
    </w:p>
    <w:p w14:paraId="5E721813" w14:textId="77777777" w:rsidR="00AD7E61" w:rsidRPr="00AD7E61" w:rsidRDefault="00AD7E61" w:rsidP="00272641">
      <w:pPr>
        <w:numPr>
          <w:ilvl w:val="1"/>
          <w:numId w:val="2"/>
        </w:numPr>
        <w:tabs>
          <w:tab w:val="left" w:pos="1080"/>
        </w:tabs>
        <w:spacing w:after="0" w:line="248" w:lineRule="auto"/>
        <w:ind w:left="1080" w:right="33"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En cas de paiement de ce qui suit :  </w:t>
      </w:r>
    </w:p>
    <w:p w14:paraId="5A1287F6" w14:textId="77777777" w:rsidR="00AD7E61" w:rsidRPr="00AD7E61" w:rsidRDefault="00AD7E61" w:rsidP="002E34D8">
      <w:pPr>
        <w:numPr>
          <w:ilvl w:val="0"/>
          <w:numId w:val="23"/>
        </w:numPr>
        <w:spacing w:after="120" w:line="247" w:lineRule="auto"/>
        <w:ind w:left="1260" w:right="2448" w:hanging="18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Congés annuels accumulés ;  </w:t>
      </w:r>
    </w:p>
    <w:p w14:paraId="41967541" w14:textId="77777777" w:rsidR="002E34D8" w:rsidRDefault="00AD7E61" w:rsidP="002E34D8">
      <w:pPr>
        <w:numPr>
          <w:ilvl w:val="0"/>
          <w:numId w:val="23"/>
        </w:numPr>
        <w:spacing w:after="120" w:line="247" w:lineRule="auto"/>
        <w:ind w:left="1260" w:right="2448" w:hanging="180"/>
        <w:jc w:val="both"/>
        <w:rPr>
          <w:rFonts w:ascii="Calibri" w:eastAsia="Calibri" w:hAnsi="Calibri" w:cs="Calibri"/>
          <w:color w:val="000000"/>
          <w:kern w:val="0"/>
          <w:sz w:val="22"/>
          <w:szCs w:val="22"/>
          <w:lang w:val="fr-FR" w:eastAsia="en-GB"/>
          <w14:ligatures w14:val="none"/>
        </w:rPr>
      </w:pPr>
      <w:r w:rsidRPr="002E34D8">
        <w:rPr>
          <w:rFonts w:ascii="Calibri" w:eastAsia="Calibri" w:hAnsi="Calibri" w:cs="Calibri"/>
          <w:color w:val="000000"/>
          <w:kern w:val="0"/>
          <w:sz w:val="22"/>
          <w:szCs w:val="22"/>
          <w:lang w:val="fr-FR" w:eastAsia="en-GB"/>
          <w14:ligatures w14:val="none"/>
        </w:rPr>
        <w:t xml:space="preserve">Somme forfaitaire en lieu et place d’un préavis ; </w:t>
      </w:r>
      <w:proofErr w:type="gramStart"/>
      <w:r w:rsidRPr="002E34D8">
        <w:rPr>
          <w:rFonts w:ascii="Calibri" w:eastAsia="Calibri" w:hAnsi="Calibri" w:cs="Calibri"/>
          <w:color w:val="000000"/>
          <w:kern w:val="0"/>
          <w:sz w:val="22"/>
          <w:szCs w:val="22"/>
          <w:lang w:val="fr-FR" w:eastAsia="en-GB"/>
          <w14:ligatures w14:val="none"/>
        </w:rPr>
        <w:t>ou</w:t>
      </w:r>
      <w:proofErr w:type="gramEnd"/>
      <w:r w:rsidRPr="002E34D8">
        <w:rPr>
          <w:rFonts w:ascii="Calibri" w:eastAsia="Calibri" w:hAnsi="Calibri" w:cs="Calibri"/>
          <w:color w:val="000000"/>
          <w:kern w:val="0"/>
          <w:sz w:val="22"/>
          <w:szCs w:val="22"/>
          <w:lang w:val="fr-FR" w:eastAsia="en-GB"/>
          <w14:ligatures w14:val="none"/>
        </w:rPr>
        <w:t xml:space="preserve">  </w:t>
      </w:r>
    </w:p>
    <w:p w14:paraId="001FF36B" w14:textId="3548B6B8" w:rsidR="00AD7E61" w:rsidRPr="002E34D8" w:rsidRDefault="00AD7E61" w:rsidP="002E34D8">
      <w:pPr>
        <w:numPr>
          <w:ilvl w:val="0"/>
          <w:numId w:val="23"/>
        </w:numPr>
        <w:spacing w:after="120" w:line="247" w:lineRule="auto"/>
        <w:ind w:left="1260" w:right="2448" w:hanging="180"/>
        <w:jc w:val="both"/>
        <w:rPr>
          <w:rFonts w:ascii="Calibri" w:eastAsia="Calibri" w:hAnsi="Calibri" w:cs="Calibri"/>
          <w:color w:val="000000"/>
          <w:kern w:val="0"/>
          <w:sz w:val="22"/>
          <w:szCs w:val="22"/>
          <w:lang w:val="fr-FR" w:eastAsia="en-GB"/>
          <w14:ligatures w14:val="none"/>
        </w:rPr>
      </w:pPr>
      <w:r w:rsidRPr="002E34D8">
        <w:rPr>
          <w:rFonts w:ascii="Calibri" w:eastAsia="Calibri" w:hAnsi="Calibri" w:cs="Calibri"/>
          <w:color w:val="000000"/>
          <w:kern w:val="0"/>
          <w:sz w:val="22"/>
          <w:szCs w:val="22"/>
          <w:lang w:val="fr-FR" w:eastAsia="en-GB"/>
          <w14:ligatures w14:val="none"/>
        </w:rPr>
        <w:t xml:space="preserve">Indemnité de licenciement.  </w:t>
      </w:r>
    </w:p>
    <w:p w14:paraId="48146C02" w14:textId="77777777" w:rsidR="00AD7E61" w:rsidRPr="00AD7E61" w:rsidRDefault="00AD7E61" w:rsidP="00AD7E61">
      <w:pPr>
        <w:spacing w:after="120" w:line="247" w:lineRule="auto"/>
        <w:ind w:left="503" w:right="3015" w:hanging="370"/>
        <w:jc w:val="both"/>
        <w:rPr>
          <w:rFonts w:ascii="Calibri" w:eastAsia="Calibri" w:hAnsi="Calibri" w:cs="Calibri"/>
          <w:color w:val="000000"/>
          <w:kern w:val="0"/>
          <w:sz w:val="22"/>
          <w:szCs w:val="22"/>
          <w:lang w:val="fr-FR" w:eastAsia="en-GB"/>
          <w14:ligatures w14:val="none"/>
        </w:rPr>
      </w:pPr>
    </w:p>
    <w:p w14:paraId="52807200" w14:textId="77777777" w:rsidR="00AD7E61" w:rsidRPr="00AD7E61" w:rsidRDefault="00AD7E61" w:rsidP="00AD7E61">
      <w:pPr>
        <w:keepNext/>
        <w:keepLines/>
        <w:spacing w:after="0" w:line="259" w:lineRule="auto"/>
        <w:ind w:left="370" w:hanging="10"/>
        <w:outlineLvl w:val="0"/>
        <w:rPr>
          <w:rFonts w:ascii="Calibri" w:eastAsia="Calibri" w:hAnsi="Calibri" w:cs="Calibri"/>
          <w:b/>
          <w:color w:val="000000"/>
          <w:kern w:val="0"/>
          <w:sz w:val="22"/>
          <w:szCs w:val="22"/>
          <w:lang w:val="en-GB" w:eastAsia="en-GB"/>
          <w14:ligatures w14:val="none"/>
        </w:rPr>
      </w:pPr>
      <w:r w:rsidRPr="00AD7E61">
        <w:rPr>
          <w:rFonts w:ascii="Calibri" w:eastAsia="Calibri" w:hAnsi="Calibri" w:cs="Calibri"/>
          <w:b/>
          <w:color w:val="000000"/>
          <w:kern w:val="0"/>
          <w:sz w:val="22"/>
          <w:szCs w:val="22"/>
          <w:lang w:val="en-GB" w:eastAsia="en-GB"/>
          <w14:ligatures w14:val="none"/>
        </w:rPr>
        <w:t xml:space="preserve">Mode </w:t>
      </w:r>
      <w:proofErr w:type="spellStart"/>
      <w:r w:rsidRPr="00AD7E61">
        <w:rPr>
          <w:rFonts w:ascii="Calibri" w:eastAsia="Calibri" w:hAnsi="Calibri" w:cs="Calibri"/>
          <w:b/>
          <w:color w:val="000000"/>
          <w:kern w:val="0"/>
          <w:sz w:val="22"/>
          <w:szCs w:val="22"/>
          <w:lang w:val="en-GB" w:eastAsia="en-GB"/>
          <w14:ligatures w14:val="none"/>
        </w:rPr>
        <w:t>d’utilisation</w:t>
      </w:r>
      <w:proofErr w:type="spellEnd"/>
      <w:r w:rsidRPr="00AD7E61">
        <w:rPr>
          <w:rFonts w:ascii="Calibri" w:eastAsia="Calibri" w:hAnsi="Calibri" w:cs="Calibri"/>
          <w:b/>
          <w:color w:val="000000"/>
          <w:kern w:val="0"/>
          <w:sz w:val="22"/>
          <w:szCs w:val="22"/>
          <w:lang w:val="en-GB" w:eastAsia="en-GB"/>
          <w14:ligatures w14:val="none"/>
        </w:rPr>
        <w:t xml:space="preserve"> </w:t>
      </w:r>
    </w:p>
    <w:p w14:paraId="24A24BB5"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013F3334" w14:textId="77777777" w:rsidR="00AD7E61" w:rsidRPr="001635A7" w:rsidRDefault="00AD7E61" w:rsidP="001635A7">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1635A7">
        <w:rPr>
          <w:rFonts w:ascii="Calibri" w:eastAsia="Calibri" w:hAnsi="Calibri" w:cs="Calibri"/>
          <w:color w:val="000000"/>
          <w:kern w:val="0"/>
          <w:sz w:val="22"/>
          <w:szCs w:val="22"/>
          <w:lang w:val="fr-FR" w:eastAsia="en-GB"/>
          <w14:ligatures w14:val="none"/>
        </w:rPr>
        <w:t xml:space="preserve">Les congés annuels peuvent être pris par journées ou par demi-journées.  </w:t>
      </w:r>
    </w:p>
    <w:p w14:paraId="709BFA33" w14:textId="3CC1A948" w:rsidR="00AD7E61" w:rsidRPr="00AD7E61" w:rsidRDefault="00AD7E61" w:rsidP="00C76940">
      <w:pPr>
        <w:spacing w:after="0" w:line="248" w:lineRule="auto"/>
        <w:ind w:left="705" w:right="33"/>
        <w:jc w:val="both"/>
        <w:rPr>
          <w:rFonts w:ascii="Calibri" w:eastAsia="Calibri" w:hAnsi="Calibri" w:cs="Calibri"/>
          <w:color w:val="000000"/>
          <w:kern w:val="0"/>
          <w:sz w:val="22"/>
          <w:szCs w:val="22"/>
          <w:lang w:val="fr-FR" w:eastAsia="en-GB"/>
          <w14:ligatures w14:val="none"/>
        </w:rPr>
      </w:pPr>
    </w:p>
    <w:p w14:paraId="325F6FAE" w14:textId="5EFC12F8" w:rsidR="00A8379E" w:rsidRPr="00A8379E" w:rsidRDefault="00AD7E61" w:rsidP="001635A7">
      <w:pPr>
        <w:pStyle w:val="ListParagraph"/>
        <w:numPr>
          <w:ilvl w:val="0"/>
          <w:numId w:val="29"/>
        </w:numPr>
        <w:spacing w:after="0" w:line="259" w:lineRule="auto"/>
        <w:ind w:left="720" w:hanging="360"/>
        <w:rPr>
          <w:rFonts w:ascii="Calibri" w:eastAsia="Calibri" w:hAnsi="Calibri" w:cs="Calibri"/>
          <w:color w:val="000000"/>
          <w:kern w:val="0"/>
          <w:sz w:val="22"/>
          <w:szCs w:val="22"/>
          <w:lang w:val="fr-FR" w:eastAsia="en-GB"/>
          <w14:ligatures w14:val="none"/>
        </w:rPr>
      </w:pPr>
      <w:r w:rsidRPr="00A8379E">
        <w:rPr>
          <w:rFonts w:ascii="Calibri" w:eastAsia="Calibri" w:hAnsi="Calibri" w:cs="Calibri"/>
          <w:color w:val="000000"/>
          <w:kern w:val="0"/>
          <w:sz w:val="22"/>
          <w:szCs w:val="22"/>
          <w:lang w:val="fr-FR" w:eastAsia="en-GB"/>
          <w14:ligatures w14:val="none"/>
        </w:rPr>
        <w:t xml:space="preserve">Dans le calcul du congé à déduire, toute absence de plus de deux heures, mais inférieure à quatre heures (à l’exclusion de la pause-déjeuner) est comptabilisée comme une demi-journée de congé ; de même, toute absence de plus de quatre heures (à l’exclusion de la pause-déjeuner) est comptabilisée comme une journée de congé.  </w:t>
      </w:r>
    </w:p>
    <w:p w14:paraId="2A7277B6" w14:textId="77777777" w:rsidR="00A8379E" w:rsidRPr="00AD7E61" w:rsidRDefault="00A8379E" w:rsidP="00C76940">
      <w:pPr>
        <w:spacing w:after="0" w:line="248" w:lineRule="auto"/>
        <w:ind w:left="705" w:right="33"/>
        <w:jc w:val="both"/>
        <w:rPr>
          <w:rFonts w:ascii="Calibri" w:eastAsia="Calibri" w:hAnsi="Calibri" w:cs="Calibri"/>
          <w:color w:val="000000"/>
          <w:kern w:val="0"/>
          <w:sz w:val="22"/>
          <w:szCs w:val="22"/>
          <w:lang w:val="fr-FR" w:eastAsia="en-GB"/>
          <w14:ligatures w14:val="none"/>
        </w:rPr>
      </w:pPr>
    </w:p>
    <w:p w14:paraId="775F5B9C" w14:textId="50184426" w:rsidR="00C76940" w:rsidRDefault="00A8379E" w:rsidP="001635A7">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C76940">
        <w:rPr>
          <w:rFonts w:ascii="Calibri" w:eastAsia="Calibri" w:hAnsi="Calibri" w:cs="Calibri"/>
          <w:color w:val="000000"/>
          <w:kern w:val="0"/>
          <w:sz w:val="22"/>
          <w:szCs w:val="22"/>
          <w:lang w:val="fr-FR" w:eastAsia="en-GB"/>
          <w14:ligatures w14:val="none"/>
        </w:rPr>
        <w:t>Dans les lieux d’affectation où la semaine de travail compte cinq jours, les congés annuels sont comptabilisés par jours et par demi-journées, proportionnellement au nombre effectif de jours pris.</w:t>
      </w:r>
      <w:r w:rsidR="00C76940" w:rsidRPr="00C76940">
        <w:rPr>
          <w:rFonts w:ascii="Calibri" w:eastAsia="Calibri" w:hAnsi="Calibri" w:cs="Calibri"/>
          <w:color w:val="000000"/>
          <w:kern w:val="0"/>
          <w:sz w:val="22"/>
          <w:szCs w:val="22"/>
          <w:lang w:val="fr-FR" w:eastAsia="en-GB"/>
          <w14:ligatures w14:val="none"/>
        </w:rPr>
        <w:t xml:space="preserve"> </w:t>
      </w:r>
    </w:p>
    <w:p w14:paraId="3B130B1F" w14:textId="77777777" w:rsidR="00C76940" w:rsidRPr="00C76940" w:rsidRDefault="00C76940" w:rsidP="001635A7">
      <w:pPr>
        <w:pStyle w:val="ListParagraph"/>
        <w:spacing w:after="0" w:line="259" w:lineRule="auto"/>
        <w:rPr>
          <w:rFonts w:ascii="Calibri" w:eastAsia="Calibri" w:hAnsi="Calibri" w:cs="Calibri"/>
          <w:color w:val="000000"/>
          <w:kern w:val="0"/>
          <w:sz w:val="22"/>
          <w:szCs w:val="22"/>
          <w:lang w:val="fr-FR" w:eastAsia="en-GB"/>
          <w14:ligatures w14:val="none"/>
        </w:rPr>
      </w:pPr>
    </w:p>
    <w:p w14:paraId="4B2FFC5E" w14:textId="559C267B" w:rsidR="00A8379E" w:rsidRPr="00C76940" w:rsidRDefault="00A8379E" w:rsidP="001635A7">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C76940">
        <w:rPr>
          <w:rFonts w:ascii="Calibri" w:eastAsia="Calibri" w:hAnsi="Calibri" w:cs="Calibri"/>
          <w:color w:val="000000"/>
          <w:kern w:val="0"/>
          <w:sz w:val="22"/>
          <w:szCs w:val="22"/>
          <w:lang w:val="fr-FR" w:eastAsia="en-GB"/>
          <w14:ligatures w14:val="none"/>
        </w:rPr>
        <w:t xml:space="preserve">Dans les lieux d’affectation où la semaine de travail compte plus de cinq jours, les congés annuels sont imputés sur le nombre effectif de jours pris à concurrence de cinq jours, et une semaine complète de congés annuels n’est comptabilisée que comme cinq jours, comme le montre l’illustration ci-après : </w:t>
      </w:r>
    </w:p>
    <w:p w14:paraId="0AF189ED" w14:textId="77777777" w:rsidR="00A8379E" w:rsidRPr="00AD7E61" w:rsidRDefault="00A8379E" w:rsidP="00A8379E">
      <w:pPr>
        <w:spacing w:after="0" w:line="240" w:lineRule="auto"/>
        <w:ind w:left="360"/>
        <w:contextualSpacing/>
        <w:jc w:val="both"/>
        <w:rPr>
          <w:rFonts w:ascii="Calibri" w:eastAsia="Times New Roman" w:hAnsi="Calibri" w:cs="Arial"/>
          <w:kern w:val="0"/>
          <w:sz w:val="22"/>
          <w:szCs w:val="22"/>
          <w:lang w:val="fr-FR"/>
          <w14:ligatures w14:val="none"/>
        </w:rPr>
      </w:pPr>
      <w:r w:rsidRPr="00AD7E61">
        <w:rPr>
          <w:rFonts w:ascii="Calibri" w:eastAsia="Times New Roman" w:hAnsi="Calibri" w:cs="Times New Roman"/>
          <w:kern w:val="0"/>
          <w:lang w:val="fr-FR"/>
          <w14:ligatures w14:val="none"/>
        </w:rPr>
        <w:lastRenderedPageBreak/>
        <w:t xml:space="preserve"> </w:t>
      </w:r>
    </w:p>
    <w:tbl>
      <w:tblPr>
        <w:tblW w:w="4542" w:type="pct"/>
        <w:tblInd w:w="720" w:type="dxa"/>
        <w:shd w:val="clear" w:color="auto" w:fill="FFFFFF"/>
        <w:tblCellMar>
          <w:left w:w="0" w:type="dxa"/>
          <w:right w:w="0" w:type="dxa"/>
        </w:tblCellMar>
        <w:tblLook w:val="04A0" w:firstRow="1" w:lastRow="0" w:firstColumn="1" w:lastColumn="0" w:noHBand="0" w:noVBand="1"/>
      </w:tblPr>
      <w:tblGrid>
        <w:gridCol w:w="3937"/>
        <w:gridCol w:w="3938"/>
      </w:tblGrid>
      <w:tr w:rsidR="00A8379E" w:rsidRPr="009A3C89" w14:paraId="28BB9555" w14:textId="77777777" w:rsidTr="004A0C01">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F451286" w14:textId="77777777" w:rsidR="00A8379E" w:rsidRPr="00AD7E61" w:rsidRDefault="00A8379E" w:rsidP="004A0C0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b/>
                <w:bCs/>
                <w:color w:val="000000"/>
                <w:kern w:val="0"/>
                <w:sz w:val="22"/>
                <w:szCs w:val="22"/>
                <w:lang w:val="fr-FR" w:eastAsia="en-GB"/>
                <w14:ligatures w14:val="none"/>
              </w:rPr>
              <w:t>Temps pris</w:t>
            </w:r>
          </w:p>
        </w:tc>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47E49F2E" w14:textId="77777777" w:rsidR="00A8379E" w:rsidRPr="00AD7E61" w:rsidRDefault="00A8379E" w:rsidP="004A0C0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b/>
                <w:bCs/>
                <w:color w:val="000000"/>
                <w:kern w:val="0"/>
                <w:sz w:val="22"/>
                <w:szCs w:val="22"/>
                <w:lang w:val="fr-FR" w:eastAsia="en-GB"/>
                <w14:ligatures w14:val="none"/>
              </w:rPr>
              <w:t>Nombre de jours de congé à déduire</w:t>
            </w:r>
          </w:p>
        </w:tc>
      </w:tr>
      <w:tr w:rsidR="00A8379E" w:rsidRPr="00AD7E61" w14:paraId="68F6A0E2" w14:textId="77777777" w:rsidTr="004A0C01">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3F5CADC1" w14:textId="77777777" w:rsidR="00A8379E" w:rsidRPr="00AD7E61" w:rsidRDefault="00A8379E" w:rsidP="004A0C0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1 à 5 jours </w:t>
            </w:r>
          </w:p>
        </w:tc>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18290B7" w14:textId="77777777" w:rsidR="00A8379E" w:rsidRPr="00AD7E61" w:rsidRDefault="00A8379E" w:rsidP="004A0C0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Nombre effectif de jours </w:t>
            </w:r>
          </w:p>
        </w:tc>
      </w:tr>
      <w:tr w:rsidR="00A8379E" w:rsidRPr="00AD7E61" w14:paraId="170C67CB" w14:textId="77777777" w:rsidTr="004A0C01">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5886E73A" w14:textId="77777777" w:rsidR="00A8379E" w:rsidRPr="00AD7E61" w:rsidRDefault="00A8379E" w:rsidP="004A0C01">
            <w:pPr>
              <w:spacing w:after="0" w:line="248" w:lineRule="auto"/>
              <w:ind w:left="187" w:hanging="33"/>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Semaine complète (qu’il s’agisse de 5 jours ou plus) </w:t>
            </w:r>
          </w:p>
        </w:tc>
        <w:tc>
          <w:tcPr>
            <w:tcW w:w="250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4A616FD7" w14:textId="77777777" w:rsidR="00A8379E" w:rsidRPr="00AD7E61" w:rsidRDefault="00A8379E" w:rsidP="004A0C0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5 jours </w:t>
            </w:r>
          </w:p>
        </w:tc>
      </w:tr>
    </w:tbl>
    <w:p w14:paraId="51F6A4AC" w14:textId="77777777" w:rsidR="00A8379E" w:rsidRPr="00AD7E61" w:rsidRDefault="00A8379E" w:rsidP="00A8379E">
      <w:pPr>
        <w:spacing w:after="0" w:line="248" w:lineRule="auto"/>
        <w:ind w:left="705" w:right="33"/>
        <w:jc w:val="both"/>
        <w:rPr>
          <w:rFonts w:ascii="Calibri" w:eastAsia="Calibri" w:hAnsi="Calibri" w:cs="Calibri"/>
          <w:color w:val="000000"/>
          <w:kern w:val="0"/>
          <w:sz w:val="22"/>
          <w:szCs w:val="22"/>
          <w:lang w:val="fr-FR" w:eastAsia="en-GB"/>
          <w14:ligatures w14:val="none"/>
        </w:rPr>
      </w:pPr>
    </w:p>
    <w:p w14:paraId="69A24583" w14:textId="77777777" w:rsidR="00AD7E61" w:rsidRDefault="00AD7E61" w:rsidP="001635A7">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Les congés annuels sont assujettis aux nécessités du service et doivent être autorisés à l’avance par le superviseur, sauf si les circonstances les rendent impossibles.</w:t>
      </w:r>
    </w:p>
    <w:p w14:paraId="4D7F91D1" w14:textId="77777777" w:rsidR="009B45D3" w:rsidRDefault="009B45D3" w:rsidP="001635A7">
      <w:pPr>
        <w:pStyle w:val="ListParagraph"/>
        <w:spacing w:after="0" w:line="259" w:lineRule="auto"/>
        <w:rPr>
          <w:rFonts w:ascii="Calibri" w:eastAsia="Calibri" w:hAnsi="Calibri" w:cs="Calibri"/>
          <w:color w:val="000000"/>
          <w:kern w:val="0"/>
          <w:sz w:val="22"/>
          <w:szCs w:val="22"/>
          <w:lang w:val="fr-FR" w:eastAsia="en-GB"/>
          <w14:ligatures w14:val="none"/>
        </w:rPr>
      </w:pPr>
    </w:p>
    <w:p w14:paraId="40888961" w14:textId="77777777" w:rsidR="009B45D3" w:rsidRDefault="009B45D3" w:rsidP="009B45D3">
      <w:pPr>
        <w:spacing w:after="0" w:line="248" w:lineRule="auto"/>
        <w:ind w:right="33"/>
        <w:jc w:val="both"/>
        <w:rPr>
          <w:rFonts w:ascii="Calibri" w:eastAsia="Calibri" w:hAnsi="Calibri" w:cs="Calibri"/>
          <w:color w:val="000000"/>
          <w:kern w:val="0"/>
          <w:sz w:val="22"/>
          <w:szCs w:val="22"/>
          <w:lang w:val="fr-FR" w:eastAsia="en-GB"/>
          <w14:ligatures w14:val="none"/>
        </w:rPr>
      </w:pPr>
    </w:p>
    <w:p w14:paraId="01907D9C" w14:textId="77777777" w:rsidR="00AD7E61" w:rsidRPr="00B247FA" w:rsidRDefault="00AD7E61" w:rsidP="00B247FA">
      <w:pPr>
        <w:spacing w:after="0" w:line="259" w:lineRule="auto"/>
        <w:rPr>
          <w:rFonts w:ascii="Calibri" w:eastAsia="Calibri" w:hAnsi="Calibri" w:cs="Calibri"/>
          <w:color w:val="000000"/>
          <w:kern w:val="0"/>
          <w:sz w:val="22"/>
          <w:szCs w:val="22"/>
          <w:u w:val="single"/>
          <w:lang w:val="fr-FR" w:eastAsia="en-GB"/>
          <w14:ligatures w14:val="none"/>
        </w:rPr>
      </w:pPr>
      <w:r w:rsidRPr="00B247FA">
        <w:rPr>
          <w:rFonts w:ascii="Calibri" w:eastAsia="Calibri" w:hAnsi="Calibri" w:cs="Calibri"/>
          <w:b/>
          <w:color w:val="000000"/>
          <w:kern w:val="0"/>
          <w:sz w:val="22"/>
          <w:szCs w:val="22"/>
          <w:u w:val="single"/>
          <w:lang w:val="fr-FR" w:eastAsia="en-GB"/>
          <w14:ligatures w14:val="none"/>
        </w:rPr>
        <w:t xml:space="preserve">Planification et demandes de congé </w:t>
      </w:r>
    </w:p>
    <w:p w14:paraId="1F2F7D13" w14:textId="77777777" w:rsidR="00AD7E61" w:rsidRPr="00AD7E61" w:rsidRDefault="00AD7E61" w:rsidP="00AD7E61">
      <w:pPr>
        <w:spacing w:after="0" w:line="259" w:lineRule="auto"/>
        <w:rPr>
          <w:rFonts w:ascii="Calibri" w:eastAsia="Calibri" w:hAnsi="Calibri" w:cs="Calibri"/>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 </w:t>
      </w:r>
    </w:p>
    <w:p w14:paraId="7BDE0C9B" w14:textId="77777777" w:rsidR="00AD7E61" w:rsidRPr="00AD7E61" w:rsidRDefault="00AD7E61" w:rsidP="00AD7E61">
      <w:pPr>
        <w:keepNext/>
        <w:keepLines/>
        <w:spacing w:after="0" w:line="259" w:lineRule="auto"/>
        <w:ind w:left="370"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Planification des congés </w:t>
      </w:r>
    </w:p>
    <w:p w14:paraId="10967F53"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789F4953" w14:textId="4913D45A" w:rsidR="00AD7E61" w:rsidRPr="00AD7E61" w:rsidRDefault="00AD7E61" w:rsidP="001635A7">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La planification anticipée des congés est indispensable pour s’assurer que le bureau puisse fonctionner efficacement en tout temps et pour permettre aux fonctionnaires d’organiser leurs propres plans de congé le plus tôt possible.</w:t>
      </w:r>
      <w:r w:rsidR="00DE53EC">
        <w:rPr>
          <w:rFonts w:ascii="Calibri" w:eastAsia="Calibri" w:hAnsi="Calibri" w:cs="Calibri"/>
          <w:color w:val="000000"/>
          <w:kern w:val="0"/>
          <w:sz w:val="22"/>
          <w:szCs w:val="22"/>
          <w:lang w:val="fr-FR" w:eastAsia="en-GB"/>
          <w14:ligatures w14:val="none"/>
        </w:rPr>
        <w:t xml:space="preserve"> </w:t>
      </w:r>
      <w:r w:rsidR="00DE53EC" w:rsidRPr="00DE53EC">
        <w:rPr>
          <w:rFonts w:ascii="Calibri" w:eastAsia="Calibri" w:hAnsi="Calibri" w:cs="Calibri"/>
          <w:color w:val="000000"/>
          <w:kern w:val="0"/>
          <w:sz w:val="22"/>
          <w:szCs w:val="22"/>
          <w:lang w:val="fr-FR" w:eastAsia="en-GB"/>
          <w14:ligatures w14:val="none"/>
        </w:rPr>
        <w:t>Prendre régulièrement des congés annuels pour se reposer et se ressourcer est un moyen important de promouvoir le bien-être du personnel et d’assurer un rendement professionnel élevé. Il s’agit donc d’une responsabilité managériale essentielle, dans le cadre du processus de gestion de la performance, pour les superviseurs de planifier de manière proactive avec les membres du personnel placés sous leur supervision l’utilisation d’un nombre raisonnable de jours de congés annuels au cours de chaque cycle de congés.</w:t>
      </w:r>
    </w:p>
    <w:p w14:paraId="7B0DC27F" w14:textId="77777777" w:rsidR="00AD7E61" w:rsidRPr="00AD7E61" w:rsidRDefault="00AD7E61" w:rsidP="00AD7E61">
      <w:pPr>
        <w:spacing w:after="0" w:line="259" w:lineRule="auto"/>
        <w:rPr>
          <w:rFonts w:ascii="Calibri" w:eastAsia="Calibri" w:hAnsi="Calibri" w:cs="Calibri"/>
          <w:color w:val="000000"/>
          <w:kern w:val="0"/>
          <w:sz w:val="22"/>
          <w:szCs w:val="22"/>
          <w:lang w:val="fr-FR" w:eastAsia="en-GB"/>
          <w14:ligatures w14:val="none"/>
        </w:rPr>
      </w:pPr>
    </w:p>
    <w:p w14:paraId="24E61F11" w14:textId="77777777" w:rsidR="00AD7E61" w:rsidRPr="00AD7E61" w:rsidRDefault="00AD7E61" w:rsidP="00AD7E61">
      <w:pPr>
        <w:spacing w:after="0" w:line="259" w:lineRule="auto"/>
        <w:ind w:left="-5" w:hanging="10"/>
        <w:rPr>
          <w:rFonts w:ascii="Calibri" w:eastAsia="Calibri" w:hAnsi="Calibri" w:cs="Calibri"/>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Paiement des congés annuels non utilisés  </w:t>
      </w:r>
    </w:p>
    <w:p w14:paraId="2B428773" w14:textId="77777777" w:rsidR="00AD7E61" w:rsidRPr="00AD7E61" w:rsidRDefault="00AD7E61" w:rsidP="00AD7E61">
      <w:pPr>
        <w:spacing w:after="0" w:line="259" w:lineRule="auto"/>
        <w:rPr>
          <w:rFonts w:ascii="Calibri" w:eastAsia="Calibri" w:hAnsi="Calibri" w:cs="Calibri"/>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 </w:t>
      </w:r>
    </w:p>
    <w:p w14:paraId="32530A10" w14:textId="77777777" w:rsidR="00AD7E61" w:rsidRPr="00AD7E61" w:rsidRDefault="00AD7E61" w:rsidP="00AD7E61">
      <w:pPr>
        <w:keepNext/>
        <w:keepLines/>
        <w:spacing w:after="0" w:line="259" w:lineRule="auto"/>
        <w:ind w:left="370"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Conditions d’admissibilité  </w:t>
      </w:r>
    </w:p>
    <w:p w14:paraId="36B5E600"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7B454DD6" w14:textId="77777777" w:rsidR="00AD7E61" w:rsidRPr="00224737"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224737">
        <w:rPr>
          <w:rFonts w:ascii="Calibri" w:eastAsia="Calibri" w:hAnsi="Calibri" w:cs="Calibri"/>
          <w:color w:val="000000"/>
          <w:kern w:val="0"/>
          <w:sz w:val="22"/>
          <w:szCs w:val="22"/>
          <w:lang w:val="fr-FR" w:eastAsia="en-GB"/>
          <w14:ligatures w14:val="none"/>
        </w:rPr>
        <w:t xml:space="preserve">Les fonctionnaires dont les engagements sont régis par le Statut et Règlement  du personnel des Nations Unies qui, à la cessation de service, ont accumulé des congés annuels, seront rémunérés pour tous les jours de congés annuels non utilisés, et ce, jusqu’à 60 jours pour les contrats d’engagement à durée déterminée (FTA), d’engagement continu (CA), d’engagement permanent (PA) et jusqu’à 18 jours pour les titulaires de contrats d’engagement temporaire (TA). </w:t>
      </w:r>
    </w:p>
    <w:p w14:paraId="23A30C9A" w14:textId="77777777" w:rsidR="00AF57BD" w:rsidRPr="00224737" w:rsidRDefault="00AF57BD" w:rsidP="002E2D24">
      <w:pPr>
        <w:pStyle w:val="ListParagraph"/>
        <w:spacing w:after="0" w:line="259" w:lineRule="auto"/>
        <w:jc w:val="both"/>
        <w:rPr>
          <w:rFonts w:ascii="Calibri" w:eastAsia="Calibri" w:hAnsi="Calibri" w:cs="Calibri"/>
          <w:color w:val="000000"/>
          <w:kern w:val="0"/>
          <w:sz w:val="22"/>
          <w:szCs w:val="22"/>
          <w:lang w:val="fr-FR" w:eastAsia="en-GB"/>
          <w14:ligatures w14:val="none"/>
        </w:rPr>
      </w:pPr>
    </w:p>
    <w:p w14:paraId="2CC801A8" w14:textId="77777777" w:rsidR="00AD7E61" w:rsidRPr="00224737"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224737">
        <w:rPr>
          <w:rFonts w:ascii="Calibri" w:eastAsia="Calibri" w:hAnsi="Calibri" w:cs="Calibri"/>
          <w:color w:val="000000"/>
          <w:kern w:val="0"/>
          <w:sz w:val="22"/>
          <w:szCs w:val="22"/>
          <w:lang w:val="fr-FR" w:eastAsia="en-GB"/>
          <w14:ligatures w14:val="none"/>
        </w:rPr>
        <w:t>Si un membre du personnel bénéficiant d'un TA est nommé dans le cadre d'un FTA, les jours accumulés au titre de l'TA ne sont pas reportés sur l'FTA et doivent être payés.</w:t>
      </w:r>
    </w:p>
    <w:p w14:paraId="44768904" w14:textId="354D2097" w:rsidR="002A46D7" w:rsidRDefault="00AD7E61" w:rsidP="00AD7E61">
      <w:pPr>
        <w:spacing w:after="0" w:line="259" w:lineRule="auto"/>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 </w:t>
      </w:r>
    </w:p>
    <w:p w14:paraId="48B9C4BE" w14:textId="77777777" w:rsidR="002E2D24" w:rsidRDefault="002E2D24" w:rsidP="00AD7E61">
      <w:pPr>
        <w:spacing w:after="0" w:line="259" w:lineRule="auto"/>
        <w:rPr>
          <w:rFonts w:ascii="Calibri" w:eastAsia="Calibri" w:hAnsi="Calibri" w:cs="Calibri"/>
          <w:b/>
          <w:color w:val="000000"/>
          <w:kern w:val="0"/>
          <w:sz w:val="22"/>
          <w:szCs w:val="22"/>
          <w:lang w:val="fr-FR" w:eastAsia="en-GB"/>
          <w14:ligatures w14:val="none"/>
        </w:rPr>
      </w:pPr>
    </w:p>
    <w:p w14:paraId="156D4F29" w14:textId="77777777" w:rsidR="002E2D24" w:rsidRPr="00AD7E61" w:rsidRDefault="002E2D24" w:rsidP="00AD7E61">
      <w:pPr>
        <w:spacing w:after="0" w:line="259" w:lineRule="auto"/>
        <w:rPr>
          <w:rFonts w:ascii="Calibri" w:eastAsia="Calibri" w:hAnsi="Calibri" w:cs="Calibri"/>
          <w:color w:val="000000"/>
          <w:kern w:val="0"/>
          <w:sz w:val="22"/>
          <w:szCs w:val="22"/>
          <w:lang w:val="fr-FR" w:eastAsia="en-GB"/>
          <w14:ligatures w14:val="none"/>
        </w:rPr>
      </w:pPr>
    </w:p>
    <w:p w14:paraId="296F6450" w14:textId="77777777" w:rsidR="00AD7E61" w:rsidRPr="00AD7E61" w:rsidRDefault="00AD7E61" w:rsidP="00AD7E61">
      <w:pPr>
        <w:keepNext/>
        <w:keepLines/>
        <w:spacing w:after="0" w:line="259" w:lineRule="auto"/>
        <w:ind w:left="370"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lastRenderedPageBreak/>
        <w:t xml:space="preserve">Renouvellement d’un contrat d’engagement à la suite d’une cessation de service  </w:t>
      </w:r>
    </w:p>
    <w:p w14:paraId="31681313"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00B09AB8" w14:textId="034D5DFC" w:rsidR="00AD7E61" w:rsidRPr="00C76940"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C76940">
        <w:rPr>
          <w:rFonts w:ascii="Calibri" w:eastAsia="Calibri" w:hAnsi="Calibri" w:cs="Calibri"/>
          <w:color w:val="000000"/>
          <w:kern w:val="0"/>
          <w:sz w:val="22"/>
          <w:szCs w:val="22"/>
          <w:lang w:val="fr-FR" w:eastAsia="en-GB"/>
          <w14:ligatures w14:val="none"/>
        </w:rPr>
        <w:t xml:space="preserve">Pour les fonctionnaires réengagés dans les 12 mois suivant la cessation d’un engagement précédent, l’alinéa (c) de l’article 4.18 (c) des Règles du personnel stipule que la deuxième cessation de service sera ajustée de telle manière que la rémunération totale pour la première et la deuxième cessation ne dépasse pas le montant qui aurait été versé si le service avait été continu. Par conséquent, toute rémunération perçue par le membre du personnel au titre des congés annuels accumulés lors de la première cessation de service, conformément au régime commun des Nations Unies sera prise en compte si ce membre du personnel était rengagé dans ledit régime commun dans un délai d’un an et qu’il a finalement quitté son emploi. (Exemple) : Un membre du personnel ayant travaillé pour le compte des Nations Unies et à la cessation de service s’est vu rémunérer 32 jours de congés annuels accumulés. S’il est rengagé par le PNUD dans une période de 12 mois, ce membre du personnel ne sera rémunéré qu’un maximum de 28 jours de congés annuels accumulés à la cessation de service pour le compte du PNUD.  </w:t>
      </w:r>
    </w:p>
    <w:p w14:paraId="122C3E04" w14:textId="79C132DB" w:rsidR="00AD7E61" w:rsidRPr="002E2D24" w:rsidRDefault="00AD7E61" w:rsidP="002E2D24">
      <w:pPr>
        <w:pStyle w:val="ListParagraph"/>
        <w:spacing w:after="0" w:line="259" w:lineRule="auto"/>
        <w:jc w:val="both"/>
        <w:rPr>
          <w:rFonts w:ascii="Calibri" w:eastAsia="Calibri" w:hAnsi="Calibri" w:cs="Calibri"/>
          <w:color w:val="000000"/>
          <w:kern w:val="0"/>
          <w:sz w:val="22"/>
          <w:szCs w:val="22"/>
          <w:lang w:val="fr-FR" w:eastAsia="en-GB"/>
          <w14:ligatures w14:val="none"/>
        </w:rPr>
      </w:pPr>
    </w:p>
    <w:p w14:paraId="4653E9A2" w14:textId="77777777" w:rsidR="00AD7E61" w:rsidRPr="00AD7E61" w:rsidRDefault="00AD7E61" w:rsidP="00AD7E61">
      <w:pPr>
        <w:spacing w:after="0" w:line="259" w:lineRule="auto"/>
        <w:ind w:left="-5" w:hanging="10"/>
        <w:rPr>
          <w:rFonts w:ascii="Calibri" w:eastAsia="Calibri" w:hAnsi="Calibri" w:cs="Calibri"/>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Absence autorisée et non autorisée  </w:t>
      </w:r>
    </w:p>
    <w:p w14:paraId="1C36CA73" w14:textId="77777777" w:rsidR="00AD7E61" w:rsidRPr="00AD7E61" w:rsidRDefault="00AD7E61" w:rsidP="00AD7E61">
      <w:pPr>
        <w:spacing w:after="0" w:line="259" w:lineRule="auto"/>
        <w:rPr>
          <w:rFonts w:ascii="Calibri" w:eastAsia="Calibri" w:hAnsi="Calibri" w:cs="Calibri"/>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 </w:t>
      </w:r>
    </w:p>
    <w:p w14:paraId="7D0170CB" w14:textId="77777777" w:rsidR="00AD7E61" w:rsidRPr="00AD7E61" w:rsidRDefault="00AD7E61" w:rsidP="00AD7E61">
      <w:pPr>
        <w:keepNext/>
        <w:keepLines/>
        <w:spacing w:after="0" w:line="259" w:lineRule="auto"/>
        <w:ind w:left="370"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Absence autorisée  </w:t>
      </w:r>
    </w:p>
    <w:p w14:paraId="3B5125D7" w14:textId="4ABC679A" w:rsidR="00AD7E61" w:rsidRPr="00224737" w:rsidRDefault="00AD7E61" w:rsidP="00224737">
      <w:pPr>
        <w:spacing w:after="0" w:line="248" w:lineRule="auto"/>
        <w:ind w:left="360" w:right="33"/>
        <w:jc w:val="both"/>
        <w:rPr>
          <w:rFonts w:ascii="Calibri" w:eastAsia="Calibri" w:hAnsi="Calibri" w:cs="Calibri"/>
          <w:color w:val="000000"/>
          <w:kern w:val="0"/>
          <w:sz w:val="22"/>
          <w:szCs w:val="22"/>
          <w:lang w:val="fr-FR" w:eastAsia="en-GB"/>
          <w14:ligatures w14:val="none"/>
        </w:rPr>
      </w:pPr>
    </w:p>
    <w:p w14:paraId="6B71D328" w14:textId="35D2FF0C" w:rsidR="00AE3FF6"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224737">
        <w:rPr>
          <w:rFonts w:ascii="Calibri" w:eastAsia="Calibri" w:hAnsi="Calibri" w:cs="Calibri"/>
          <w:color w:val="000000"/>
          <w:kern w:val="0"/>
          <w:sz w:val="22"/>
          <w:szCs w:val="22"/>
          <w:lang w:val="fr-FR" w:eastAsia="en-GB"/>
          <w14:ligatures w14:val="none"/>
        </w:rPr>
        <w:t xml:space="preserve">Les absences de travail raisonnables dues à certaines circonstances ne sont pas imputées sur les congés annuels. Il s’agit notamment, sans toutefois s’y limiter, des absences aux motifs suivants :  </w:t>
      </w:r>
    </w:p>
    <w:p w14:paraId="61481ACD" w14:textId="220DF16A" w:rsidR="00AE3FF6" w:rsidRDefault="00AD7E61" w:rsidP="00C76940">
      <w:pPr>
        <w:numPr>
          <w:ilvl w:val="0"/>
          <w:numId w:val="22"/>
        </w:numPr>
        <w:spacing w:after="120" w:line="247" w:lineRule="auto"/>
        <w:ind w:left="990" w:right="33" w:hanging="270"/>
        <w:jc w:val="both"/>
        <w:rPr>
          <w:rFonts w:ascii="Calibri" w:eastAsia="Calibri" w:hAnsi="Calibri" w:cs="Calibri"/>
          <w:color w:val="000000"/>
          <w:kern w:val="0"/>
          <w:sz w:val="22"/>
          <w:szCs w:val="22"/>
          <w:lang w:val="fr-FR" w:eastAsia="en-GB"/>
          <w14:ligatures w14:val="none"/>
        </w:rPr>
      </w:pPr>
      <w:r w:rsidRPr="00AE3FF6">
        <w:rPr>
          <w:rFonts w:ascii="Calibri" w:eastAsia="Calibri" w:hAnsi="Calibri" w:cs="Calibri"/>
          <w:color w:val="000000"/>
          <w:kern w:val="0"/>
          <w:sz w:val="22"/>
          <w:szCs w:val="22"/>
          <w:lang w:val="fr-FR" w:eastAsia="en-GB"/>
          <w14:ligatures w14:val="none"/>
        </w:rPr>
        <w:t xml:space="preserve">Effectuer des examens médicaux requis par le PNUD ;  </w:t>
      </w:r>
    </w:p>
    <w:p w14:paraId="3726BF1F" w14:textId="7F8682C3" w:rsidR="00AE3FF6" w:rsidRDefault="00AD7E61" w:rsidP="00C76940">
      <w:pPr>
        <w:numPr>
          <w:ilvl w:val="0"/>
          <w:numId w:val="22"/>
        </w:numPr>
        <w:spacing w:after="120" w:line="247" w:lineRule="auto"/>
        <w:ind w:left="990" w:right="33" w:hanging="270"/>
        <w:jc w:val="both"/>
        <w:rPr>
          <w:rFonts w:ascii="Calibri" w:eastAsia="Calibri" w:hAnsi="Calibri" w:cs="Calibri"/>
          <w:color w:val="000000"/>
          <w:kern w:val="0"/>
          <w:sz w:val="22"/>
          <w:szCs w:val="22"/>
          <w:lang w:val="fr-FR" w:eastAsia="en-GB"/>
          <w14:ligatures w14:val="none"/>
        </w:rPr>
      </w:pPr>
      <w:r w:rsidRPr="00AE3FF6">
        <w:rPr>
          <w:rFonts w:ascii="Calibri" w:eastAsia="Calibri" w:hAnsi="Calibri" w:cs="Calibri"/>
          <w:color w:val="000000"/>
          <w:kern w:val="0"/>
          <w:sz w:val="22"/>
          <w:szCs w:val="22"/>
          <w:lang w:val="fr-FR" w:eastAsia="en-GB"/>
          <w14:ligatures w14:val="none"/>
        </w:rPr>
        <w:t xml:space="preserve">Effectuer des tests ou des examens officiels prescrits ou exigés par le PNUD ;  </w:t>
      </w:r>
    </w:p>
    <w:p w14:paraId="5B6E3A9A" w14:textId="55A2DC5C" w:rsidR="00AE3FF6" w:rsidRDefault="00AD7E61" w:rsidP="00C76940">
      <w:pPr>
        <w:numPr>
          <w:ilvl w:val="0"/>
          <w:numId w:val="22"/>
        </w:numPr>
        <w:spacing w:after="120" w:line="247" w:lineRule="auto"/>
        <w:ind w:left="990" w:right="33" w:hanging="270"/>
        <w:jc w:val="both"/>
        <w:rPr>
          <w:rFonts w:ascii="Calibri" w:eastAsia="Calibri" w:hAnsi="Calibri" w:cs="Calibri"/>
          <w:color w:val="000000"/>
          <w:kern w:val="0"/>
          <w:sz w:val="22"/>
          <w:szCs w:val="22"/>
          <w:lang w:val="fr-FR" w:eastAsia="en-GB"/>
          <w14:ligatures w14:val="none"/>
        </w:rPr>
      </w:pPr>
      <w:r w:rsidRPr="00AE3FF6">
        <w:rPr>
          <w:rFonts w:ascii="Calibri" w:eastAsia="Calibri" w:hAnsi="Calibri" w:cs="Calibri"/>
          <w:color w:val="000000"/>
          <w:kern w:val="0"/>
          <w:sz w:val="22"/>
          <w:szCs w:val="22"/>
          <w:lang w:val="fr-FR" w:eastAsia="en-GB"/>
          <w14:ligatures w14:val="none"/>
        </w:rPr>
        <w:t xml:space="preserve">Voter lors d’une élection nationale ;  </w:t>
      </w:r>
    </w:p>
    <w:p w14:paraId="244BE9AD" w14:textId="77777777" w:rsidR="00FA4E27" w:rsidRDefault="00AD7E61" w:rsidP="00D61124">
      <w:pPr>
        <w:numPr>
          <w:ilvl w:val="0"/>
          <w:numId w:val="25"/>
        </w:numPr>
        <w:spacing w:after="0" w:line="248" w:lineRule="auto"/>
        <w:ind w:left="990" w:right="33" w:hanging="270"/>
        <w:jc w:val="both"/>
        <w:rPr>
          <w:rFonts w:ascii="Calibri" w:eastAsia="Calibri" w:hAnsi="Calibri" w:cs="Calibri"/>
          <w:color w:val="000000"/>
          <w:kern w:val="0"/>
          <w:sz w:val="22"/>
          <w:szCs w:val="22"/>
          <w:lang w:val="fr-FR" w:eastAsia="en-GB"/>
          <w14:ligatures w14:val="none"/>
        </w:rPr>
      </w:pPr>
      <w:r w:rsidRPr="00FA4E27">
        <w:rPr>
          <w:rFonts w:ascii="Calibri" w:eastAsia="Calibri" w:hAnsi="Calibri" w:cs="Calibri"/>
          <w:color w:val="000000"/>
          <w:kern w:val="0"/>
          <w:sz w:val="22"/>
          <w:szCs w:val="22"/>
          <w:lang w:val="fr-FR" w:eastAsia="en-GB"/>
          <w14:ligatures w14:val="none"/>
        </w:rPr>
        <w:t xml:space="preserve">Comparaître pour assumer des fonctions juridiques ; et  </w:t>
      </w:r>
    </w:p>
    <w:p w14:paraId="187450D0" w14:textId="77777777" w:rsidR="00FA4E27" w:rsidRDefault="00FA4E27" w:rsidP="00C76940">
      <w:pPr>
        <w:spacing w:after="0" w:line="248" w:lineRule="auto"/>
        <w:ind w:left="990" w:right="33" w:hanging="270"/>
        <w:jc w:val="both"/>
        <w:rPr>
          <w:rFonts w:ascii="Calibri" w:eastAsia="Calibri" w:hAnsi="Calibri" w:cs="Calibri"/>
          <w:color w:val="000000"/>
          <w:kern w:val="0"/>
          <w:sz w:val="22"/>
          <w:szCs w:val="22"/>
          <w:lang w:val="fr-FR" w:eastAsia="en-GB"/>
          <w14:ligatures w14:val="none"/>
        </w:rPr>
      </w:pPr>
    </w:p>
    <w:p w14:paraId="45CC8A45" w14:textId="5C2C231D" w:rsidR="00AD7E61" w:rsidRPr="00FA4E27" w:rsidRDefault="00AD7E61" w:rsidP="00D61124">
      <w:pPr>
        <w:numPr>
          <w:ilvl w:val="0"/>
          <w:numId w:val="25"/>
        </w:numPr>
        <w:spacing w:after="0" w:line="248" w:lineRule="auto"/>
        <w:ind w:left="990" w:right="33" w:hanging="270"/>
        <w:jc w:val="both"/>
        <w:rPr>
          <w:rFonts w:ascii="Calibri" w:eastAsia="Calibri" w:hAnsi="Calibri" w:cs="Calibri"/>
          <w:color w:val="000000"/>
          <w:kern w:val="0"/>
          <w:sz w:val="22"/>
          <w:szCs w:val="22"/>
          <w:lang w:val="fr-FR" w:eastAsia="en-GB"/>
          <w14:ligatures w14:val="none"/>
        </w:rPr>
      </w:pPr>
      <w:r w:rsidRPr="00FA4E27">
        <w:rPr>
          <w:rFonts w:ascii="Calibri" w:eastAsia="Calibri" w:hAnsi="Calibri" w:cs="Calibri"/>
          <w:color w:val="000000"/>
          <w:kern w:val="0"/>
          <w:sz w:val="22"/>
          <w:szCs w:val="22"/>
          <w:lang w:val="fr-FR" w:eastAsia="en-GB"/>
          <w14:ligatures w14:val="none"/>
        </w:rPr>
        <w:t xml:space="preserve">Pour les femmes allaitantes, s’absenter le jour du travail pour allaiter leurs nourrissons (voir la </w:t>
      </w:r>
      <w:hyperlink r:id="rId7">
        <w:r w:rsidRPr="00FA4E27">
          <w:rPr>
            <w:rFonts w:ascii="Calibri" w:eastAsia="Calibri" w:hAnsi="Calibri" w:cs="Calibri"/>
            <w:color w:val="0070C0"/>
            <w:kern w:val="0"/>
            <w:sz w:val="22"/>
            <w:szCs w:val="22"/>
            <w:u w:val="single" w:color="0000FF"/>
            <w:lang w:val="fr-FR" w:eastAsia="en-GB"/>
            <w14:ligatures w14:val="none"/>
          </w:rPr>
          <w:t>politique</w:t>
        </w:r>
      </w:hyperlink>
      <w:hyperlink r:id="rId8">
        <w:r w:rsidRPr="00FA4E27">
          <w:rPr>
            <w:rFonts w:ascii="Calibri" w:eastAsia="Calibri" w:hAnsi="Calibri" w:cs="Calibri"/>
            <w:color w:val="000000"/>
            <w:kern w:val="0"/>
            <w:sz w:val="22"/>
            <w:szCs w:val="22"/>
            <w:lang w:val="fr-FR" w:eastAsia="en-GB"/>
            <w14:ligatures w14:val="none"/>
          </w:rPr>
          <w:t xml:space="preserve"> en la matière)</w:t>
        </w:r>
      </w:hyperlink>
      <w:r w:rsidRPr="00FA4E27">
        <w:rPr>
          <w:rFonts w:ascii="Calibri" w:eastAsia="Calibri" w:hAnsi="Calibri" w:cs="Calibri"/>
          <w:color w:val="000000"/>
          <w:kern w:val="0"/>
          <w:sz w:val="22"/>
          <w:szCs w:val="22"/>
          <w:lang w:val="fr-FR" w:eastAsia="en-GB"/>
          <w14:ligatures w14:val="none"/>
        </w:rPr>
        <w:t xml:space="preserve">. </w:t>
      </w:r>
    </w:p>
    <w:p w14:paraId="52E15F58" w14:textId="77777777" w:rsidR="00AD7E61" w:rsidRPr="00AD7E61" w:rsidRDefault="00AD7E61" w:rsidP="00C76940">
      <w:pPr>
        <w:spacing w:after="0" w:line="259" w:lineRule="auto"/>
        <w:ind w:left="990" w:hanging="270"/>
        <w:rPr>
          <w:rFonts w:ascii="Calibri" w:eastAsia="Calibri" w:hAnsi="Calibri" w:cs="Calibri"/>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 </w:t>
      </w:r>
    </w:p>
    <w:p w14:paraId="2B138A7D" w14:textId="77777777" w:rsidR="00AD7E61" w:rsidRPr="00AD7E61" w:rsidRDefault="00AD7E61" w:rsidP="00AD7E61">
      <w:pPr>
        <w:keepNext/>
        <w:keepLines/>
        <w:spacing w:after="0" w:line="259" w:lineRule="auto"/>
        <w:ind w:left="370"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Fermeture du Bureau en cas d’événement météorologique grave  </w:t>
      </w:r>
    </w:p>
    <w:p w14:paraId="27B496E2"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560D1BCA" w14:textId="77777777" w:rsidR="00AD7E61" w:rsidRPr="00AD7E61"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Si le bureau est fermé en raison d’un événement météorologique grave s’accompagnant d’une perturbation des systèmes de transport, les conditions générales suivantes s’appliquent :  </w:t>
      </w:r>
    </w:p>
    <w:p w14:paraId="4FEFFD5B" w14:textId="5C17200C"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p>
    <w:p w14:paraId="26970804" w14:textId="77777777" w:rsidR="00F50F1D" w:rsidRPr="00F50F1D" w:rsidRDefault="00F50F1D" w:rsidP="00D61124">
      <w:pPr>
        <w:spacing w:after="0" w:line="259" w:lineRule="auto"/>
        <w:ind w:left="720"/>
        <w:jc w:val="both"/>
        <w:rPr>
          <w:rFonts w:ascii="Calibri" w:eastAsia="Calibri" w:hAnsi="Calibri" w:cs="Calibri"/>
          <w:color w:val="000000"/>
          <w:kern w:val="0"/>
          <w:sz w:val="22"/>
          <w:szCs w:val="22"/>
          <w:lang w:val="fr-FR" w:eastAsia="en-GB"/>
          <w14:ligatures w14:val="none"/>
        </w:rPr>
      </w:pPr>
      <w:r w:rsidRPr="00F50F1D">
        <w:rPr>
          <w:rFonts w:ascii="Calibri" w:eastAsia="Calibri" w:hAnsi="Calibri" w:cs="Calibri"/>
          <w:color w:val="000000"/>
          <w:kern w:val="0"/>
          <w:sz w:val="22"/>
          <w:szCs w:val="22"/>
          <w:lang w:val="fr-FR" w:eastAsia="en-GB"/>
          <w14:ligatures w14:val="none"/>
        </w:rPr>
        <w:t>a) Les membres du personnel ne seront pas débités de leurs congés annuels pendant la période de fermeture officielle du bureau. Toutefois, dans la mesure du possible, les membres du personnel qui en ont la capacité seront tenus de travailler à distance depuis un lieu situé en dehors du bureau.</w:t>
      </w:r>
    </w:p>
    <w:p w14:paraId="0B1B37C8" w14:textId="77777777" w:rsidR="00F50F1D" w:rsidRPr="00F50F1D" w:rsidRDefault="00F50F1D" w:rsidP="00D61124">
      <w:pPr>
        <w:spacing w:after="0" w:line="259" w:lineRule="auto"/>
        <w:ind w:left="720"/>
        <w:rPr>
          <w:rFonts w:ascii="Calibri" w:eastAsia="Calibri" w:hAnsi="Calibri" w:cs="Calibri"/>
          <w:color w:val="000000"/>
          <w:kern w:val="0"/>
          <w:sz w:val="22"/>
          <w:szCs w:val="22"/>
          <w:lang w:val="fr-FR" w:eastAsia="en-GB"/>
          <w14:ligatures w14:val="none"/>
        </w:rPr>
      </w:pPr>
    </w:p>
    <w:p w14:paraId="2E379B38" w14:textId="77777777" w:rsidR="00F50F1D" w:rsidRPr="00F50F1D" w:rsidRDefault="00F50F1D" w:rsidP="00D61124">
      <w:pPr>
        <w:spacing w:after="0" w:line="259" w:lineRule="auto"/>
        <w:ind w:left="720"/>
        <w:jc w:val="both"/>
        <w:rPr>
          <w:rFonts w:ascii="Calibri" w:eastAsia="Calibri" w:hAnsi="Calibri" w:cs="Calibri"/>
          <w:color w:val="000000"/>
          <w:kern w:val="0"/>
          <w:sz w:val="22"/>
          <w:szCs w:val="22"/>
          <w:lang w:val="fr-FR" w:eastAsia="en-GB"/>
          <w14:ligatures w14:val="none"/>
        </w:rPr>
      </w:pPr>
      <w:r w:rsidRPr="00F50F1D">
        <w:rPr>
          <w:rFonts w:ascii="Calibri" w:eastAsia="Calibri" w:hAnsi="Calibri" w:cs="Calibri"/>
          <w:color w:val="000000"/>
          <w:kern w:val="0"/>
          <w:sz w:val="22"/>
          <w:szCs w:val="22"/>
          <w:lang w:val="fr-FR" w:eastAsia="en-GB"/>
          <w14:ligatures w14:val="none"/>
        </w:rPr>
        <w:t>b) Les membres du personnel qui étaient en congé de maladie, en congé annuel préalablement autorisé ou en tout autre type de congé doivent continuer à être débités de leurs droits à congé pour la période de congé autorisé.</w:t>
      </w:r>
    </w:p>
    <w:p w14:paraId="264A8997" w14:textId="77777777" w:rsidR="00F50F1D" w:rsidRPr="00F50F1D" w:rsidRDefault="00F50F1D" w:rsidP="009541B6">
      <w:pPr>
        <w:spacing w:after="0" w:line="259" w:lineRule="auto"/>
        <w:ind w:left="990"/>
        <w:rPr>
          <w:rFonts w:ascii="Calibri" w:eastAsia="Calibri" w:hAnsi="Calibri" w:cs="Calibri"/>
          <w:color w:val="000000"/>
          <w:kern w:val="0"/>
          <w:sz w:val="22"/>
          <w:szCs w:val="22"/>
          <w:lang w:val="fr-FR" w:eastAsia="en-GB"/>
          <w14:ligatures w14:val="none"/>
        </w:rPr>
      </w:pPr>
    </w:p>
    <w:p w14:paraId="148D1BF5" w14:textId="77777777" w:rsidR="00F50F1D" w:rsidRPr="00F50F1D" w:rsidRDefault="00F50F1D" w:rsidP="00D61124">
      <w:pPr>
        <w:spacing w:after="0" w:line="259" w:lineRule="auto"/>
        <w:ind w:left="720"/>
        <w:jc w:val="both"/>
        <w:rPr>
          <w:rFonts w:ascii="Calibri" w:eastAsia="Calibri" w:hAnsi="Calibri" w:cs="Calibri"/>
          <w:color w:val="000000"/>
          <w:kern w:val="0"/>
          <w:sz w:val="22"/>
          <w:szCs w:val="22"/>
          <w:lang w:val="fr-FR" w:eastAsia="en-GB"/>
          <w14:ligatures w14:val="none"/>
        </w:rPr>
      </w:pPr>
      <w:r w:rsidRPr="00F50F1D">
        <w:rPr>
          <w:rFonts w:ascii="Calibri" w:eastAsia="Calibri" w:hAnsi="Calibri" w:cs="Calibri"/>
          <w:color w:val="000000"/>
          <w:kern w:val="0"/>
          <w:sz w:val="22"/>
          <w:szCs w:val="22"/>
          <w:lang w:val="fr-FR" w:eastAsia="en-GB"/>
          <w14:ligatures w14:val="none"/>
        </w:rPr>
        <w:t>c) Lorsque le bureau rouvre, les membres du personnel qui ne peuvent pas se présenter au travail en raison de difficultés de transport persistantes et de l’état d’urgence en cours, et qui ne sont pas en mesure, en raison de la nature de leurs fonctions, de travailler à distance, ne verront pas leur congé annuel débité pour le premier jour de la réouverture du bureau.</w:t>
      </w:r>
    </w:p>
    <w:p w14:paraId="04763F07" w14:textId="77777777" w:rsidR="00F50F1D" w:rsidRPr="00F50F1D" w:rsidRDefault="00F50F1D" w:rsidP="00D61124">
      <w:pPr>
        <w:spacing w:after="0" w:line="259" w:lineRule="auto"/>
        <w:ind w:left="720"/>
        <w:jc w:val="both"/>
        <w:rPr>
          <w:rFonts w:ascii="Calibri" w:eastAsia="Calibri" w:hAnsi="Calibri" w:cs="Calibri"/>
          <w:color w:val="000000"/>
          <w:kern w:val="0"/>
          <w:sz w:val="22"/>
          <w:szCs w:val="22"/>
          <w:lang w:val="fr-FR" w:eastAsia="en-GB"/>
          <w14:ligatures w14:val="none"/>
        </w:rPr>
      </w:pPr>
    </w:p>
    <w:p w14:paraId="76074352" w14:textId="4C8C3AF6" w:rsidR="00F50F1D" w:rsidRPr="00AD7E61" w:rsidRDefault="00F50F1D" w:rsidP="00D61124">
      <w:pPr>
        <w:spacing w:after="0" w:line="259" w:lineRule="auto"/>
        <w:ind w:left="720"/>
        <w:jc w:val="both"/>
        <w:rPr>
          <w:rFonts w:ascii="Calibri" w:eastAsia="Calibri" w:hAnsi="Calibri" w:cs="Calibri"/>
          <w:color w:val="000000"/>
          <w:kern w:val="0"/>
          <w:sz w:val="22"/>
          <w:szCs w:val="22"/>
          <w:lang w:val="fr-FR" w:eastAsia="en-GB"/>
          <w14:ligatures w14:val="none"/>
        </w:rPr>
      </w:pPr>
      <w:r w:rsidRPr="00F50F1D">
        <w:rPr>
          <w:rFonts w:ascii="Calibri" w:eastAsia="Calibri" w:hAnsi="Calibri" w:cs="Calibri"/>
          <w:color w:val="000000"/>
          <w:kern w:val="0"/>
          <w:sz w:val="22"/>
          <w:szCs w:val="22"/>
          <w:lang w:val="fr-FR" w:eastAsia="en-GB"/>
          <w14:ligatures w14:val="none"/>
        </w:rPr>
        <w:t>d) Les jours suivants seront considérés comme des jours ouvrables normaux, malgré les difficultés générales que certains membres du personnel continuent de rencontrer. Si les membres du personnel ne peuvent pas se rendre au bureau ou n’obtiennent pas l’autorisation de travailler à distance, les absences durant ces jours seront déduites des congés annuels ou d’un autre type de congé, selon le cas.</w:t>
      </w:r>
    </w:p>
    <w:p w14:paraId="15FAADEA" w14:textId="77777777" w:rsidR="00AD7E61" w:rsidRPr="00AD7E61" w:rsidRDefault="00AD7E61" w:rsidP="009541B6">
      <w:pPr>
        <w:spacing w:after="0" w:line="259" w:lineRule="auto"/>
        <w:ind w:left="990"/>
        <w:jc w:val="both"/>
        <w:rPr>
          <w:rFonts w:ascii="Calibri" w:eastAsia="Calibri" w:hAnsi="Calibri" w:cs="Calibri"/>
          <w:color w:val="000000"/>
          <w:kern w:val="0"/>
          <w:sz w:val="22"/>
          <w:szCs w:val="22"/>
          <w:lang w:val="fr-FR" w:eastAsia="en-GB"/>
          <w14:ligatures w14:val="none"/>
        </w:rPr>
      </w:pPr>
    </w:p>
    <w:p w14:paraId="4CEE995D" w14:textId="77777777" w:rsidR="00AD7E61" w:rsidRPr="00B247FA" w:rsidRDefault="00AD7E61" w:rsidP="00AD7E61">
      <w:pPr>
        <w:keepNext/>
        <w:keepLines/>
        <w:spacing w:after="0" w:line="259" w:lineRule="auto"/>
        <w:ind w:left="370" w:hanging="10"/>
        <w:outlineLvl w:val="0"/>
        <w:rPr>
          <w:rFonts w:ascii="Calibri" w:eastAsia="Calibri" w:hAnsi="Calibri" w:cs="Calibri"/>
          <w:b/>
          <w:color w:val="000000"/>
          <w:kern w:val="0"/>
          <w:sz w:val="22"/>
          <w:szCs w:val="22"/>
          <w:lang w:val="fr-FR" w:eastAsia="en-GB"/>
          <w14:ligatures w14:val="none"/>
        </w:rPr>
      </w:pPr>
      <w:r w:rsidRPr="00B247FA">
        <w:rPr>
          <w:rFonts w:ascii="Calibri" w:eastAsia="Calibri" w:hAnsi="Calibri" w:cs="Calibri"/>
          <w:b/>
          <w:color w:val="000000"/>
          <w:kern w:val="0"/>
          <w:sz w:val="22"/>
          <w:szCs w:val="22"/>
          <w:lang w:val="fr-FR" w:eastAsia="en-GB"/>
          <w14:ligatures w14:val="none"/>
        </w:rPr>
        <w:t xml:space="preserve">Absence non autorisée  </w:t>
      </w:r>
    </w:p>
    <w:p w14:paraId="787E56D4" w14:textId="77777777" w:rsidR="00AD7E61" w:rsidRPr="00AD7E61" w:rsidRDefault="00AD7E61" w:rsidP="00AD7E61">
      <w:pPr>
        <w:spacing w:after="0" w:line="259" w:lineRule="auto"/>
        <w:ind w:left="36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21D5FF40" w14:textId="1D57CC94" w:rsidR="00AD7E61"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Les fonctionnaires ne sont pas rémunérés pour les périodes d’absence non autorisée du travail telles que les absences dues à la grève, aux moyens de pression ou aux autres actions ou conflits de travail professionnels. Un membre du personnel peut faire l’objet de mesures disciplinaires ou voir leur contrat résilié au motif d’absence non autorisée. </w:t>
      </w:r>
    </w:p>
    <w:p w14:paraId="6AAF7071" w14:textId="77777777" w:rsidR="00F87A9D" w:rsidRPr="00AD7E61" w:rsidRDefault="00F87A9D" w:rsidP="00B247FA">
      <w:pPr>
        <w:spacing w:after="0" w:line="248" w:lineRule="auto"/>
        <w:ind w:right="33"/>
        <w:jc w:val="both"/>
        <w:rPr>
          <w:rFonts w:ascii="Calibri" w:eastAsia="Calibri" w:hAnsi="Calibri" w:cs="Calibri"/>
          <w:color w:val="000000"/>
          <w:kern w:val="0"/>
          <w:sz w:val="22"/>
          <w:szCs w:val="22"/>
          <w:lang w:val="fr-FR" w:eastAsia="en-GB"/>
          <w14:ligatures w14:val="none"/>
        </w:rPr>
      </w:pPr>
    </w:p>
    <w:p w14:paraId="62D60E1E" w14:textId="77777777" w:rsidR="00AD7E61" w:rsidRPr="00AD7E61" w:rsidRDefault="00AD7E61" w:rsidP="00AD7E61">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Mission officielle pendant les congés </w:t>
      </w:r>
    </w:p>
    <w:p w14:paraId="48E87E66"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4DDA6479" w14:textId="7DB3AF51" w:rsidR="00195B01" w:rsidRPr="00D61124"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D61124">
        <w:rPr>
          <w:rFonts w:ascii="Calibri" w:eastAsia="Calibri" w:hAnsi="Calibri" w:cs="Calibri"/>
          <w:color w:val="000000"/>
          <w:kern w:val="0"/>
          <w:sz w:val="22"/>
          <w:szCs w:val="22"/>
          <w:lang w:val="fr-FR" w:eastAsia="en-GB"/>
          <w14:ligatures w14:val="none"/>
        </w:rPr>
        <w:t xml:space="preserve">Si un membre du personnel est tenu d’effectuer des missions officielles pendant qu’il est en congé annuel, les périodes pendant lesquelles ces missions officielles sont remplies ne sont pas imputées aux congés annuels. Cependant, toute mission officielle effectuée lors des congés annuels doit être approuvée par le chef de bureau ou d’unité du membre du personnel concerné, en consultation avec le bureau où lesdites missions doivent être remplies.  </w:t>
      </w:r>
    </w:p>
    <w:p w14:paraId="0F9998FF" w14:textId="77777777" w:rsidR="00FD41ED" w:rsidRDefault="00FD41ED" w:rsidP="00AD7E61">
      <w:pPr>
        <w:spacing w:after="0" w:line="259" w:lineRule="auto"/>
        <w:rPr>
          <w:rFonts w:ascii="Calibri" w:eastAsia="Calibri" w:hAnsi="Calibri" w:cs="Calibri"/>
          <w:color w:val="000000"/>
          <w:kern w:val="0"/>
          <w:sz w:val="22"/>
          <w:szCs w:val="22"/>
          <w:lang w:val="fr-FR" w:eastAsia="en-GB"/>
          <w14:ligatures w14:val="none"/>
        </w:rPr>
      </w:pPr>
    </w:p>
    <w:p w14:paraId="25E085DD" w14:textId="77777777" w:rsidR="002E2D24" w:rsidRDefault="002E2D24" w:rsidP="00AD7E61">
      <w:pPr>
        <w:spacing w:after="0" w:line="259" w:lineRule="auto"/>
        <w:rPr>
          <w:rFonts w:ascii="Calibri" w:eastAsia="Calibri" w:hAnsi="Calibri" w:cs="Calibri"/>
          <w:color w:val="000000"/>
          <w:kern w:val="0"/>
          <w:sz w:val="22"/>
          <w:szCs w:val="22"/>
          <w:lang w:val="fr-FR" w:eastAsia="en-GB"/>
          <w14:ligatures w14:val="none"/>
        </w:rPr>
      </w:pPr>
    </w:p>
    <w:p w14:paraId="04E0A6E6" w14:textId="77777777" w:rsidR="002E2D24" w:rsidRDefault="002E2D24" w:rsidP="00AD7E61">
      <w:pPr>
        <w:spacing w:after="0" w:line="259" w:lineRule="auto"/>
        <w:rPr>
          <w:rFonts w:ascii="Calibri" w:eastAsia="Calibri" w:hAnsi="Calibri" w:cs="Calibri"/>
          <w:color w:val="000000"/>
          <w:kern w:val="0"/>
          <w:sz w:val="22"/>
          <w:szCs w:val="22"/>
          <w:lang w:val="fr-FR" w:eastAsia="en-GB"/>
          <w14:ligatures w14:val="none"/>
        </w:rPr>
      </w:pPr>
    </w:p>
    <w:p w14:paraId="06BEFFD9" w14:textId="77777777" w:rsidR="002E2D24" w:rsidRDefault="002E2D24" w:rsidP="00AD7E61">
      <w:pPr>
        <w:spacing w:after="0" w:line="259" w:lineRule="auto"/>
        <w:rPr>
          <w:rFonts w:ascii="Calibri" w:eastAsia="Calibri" w:hAnsi="Calibri" w:cs="Calibri"/>
          <w:color w:val="000000"/>
          <w:kern w:val="0"/>
          <w:sz w:val="22"/>
          <w:szCs w:val="22"/>
          <w:lang w:val="fr-FR" w:eastAsia="en-GB"/>
          <w14:ligatures w14:val="none"/>
        </w:rPr>
      </w:pPr>
    </w:p>
    <w:p w14:paraId="3DD3311B" w14:textId="77777777" w:rsidR="002E2D24" w:rsidRDefault="002E2D24" w:rsidP="00AD7E61">
      <w:pPr>
        <w:spacing w:after="0" w:line="259" w:lineRule="auto"/>
        <w:rPr>
          <w:rFonts w:ascii="Calibri" w:eastAsia="Calibri" w:hAnsi="Calibri" w:cs="Calibri"/>
          <w:color w:val="000000"/>
          <w:kern w:val="0"/>
          <w:sz w:val="22"/>
          <w:szCs w:val="22"/>
          <w:lang w:val="fr-FR" w:eastAsia="en-GB"/>
          <w14:ligatures w14:val="none"/>
        </w:rPr>
      </w:pPr>
    </w:p>
    <w:p w14:paraId="795EE3CA" w14:textId="77777777" w:rsidR="002E2D24" w:rsidRDefault="002E2D24" w:rsidP="00AD7E61">
      <w:pPr>
        <w:spacing w:after="0" w:line="259" w:lineRule="auto"/>
        <w:rPr>
          <w:rFonts w:ascii="Calibri" w:eastAsia="Calibri" w:hAnsi="Calibri" w:cs="Calibri"/>
          <w:color w:val="000000"/>
          <w:kern w:val="0"/>
          <w:sz w:val="22"/>
          <w:szCs w:val="22"/>
          <w:lang w:val="fr-FR" w:eastAsia="en-GB"/>
          <w14:ligatures w14:val="none"/>
        </w:rPr>
      </w:pPr>
    </w:p>
    <w:p w14:paraId="1B9DFEC3" w14:textId="77777777" w:rsidR="002E2D24" w:rsidRDefault="002E2D24" w:rsidP="00AD7E61">
      <w:pPr>
        <w:spacing w:after="0" w:line="259" w:lineRule="auto"/>
        <w:rPr>
          <w:rFonts w:ascii="Calibri" w:eastAsia="Calibri" w:hAnsi="Calibri" w:cs="Calibri"/>
          <w:color w:val="000000"/>
          <w:kern w:val="0"/>
          <w:sz w:val="22"/>
          <w:szCs w:val="22"/>
          <w:lang w:val="fr-FR" w:eastAsia="en-GB"/>
          <w14:ligatures w14:val="none"/>
        </w:rPr>
      </w:pPr>
    </w:p>
    <w:p w14:paraId="0A9D2031" w14:textId="77777777" w:rsidR="002E2D24" w:rsidRDefault="002E2D24" w:rsidP="00AD7E61">
      <w:pPr>
        <w:spacing w:after="0" w:line="259" w:lineRule="auto"/>
        <w:rPr>
          <w:rFonts w:ascii="Calibri" w:eastAsia="Calibri" w:hAnsi="Calibri" w:cs="Calibri"/>
          <w:color w:val="000000"/>
          <w:kern w:val="0"/>
          <w:sz w:val="22"/>
          <w:szCs w:val="22"/>
          <w:lang w:val="fr-FR" w:eastAsia="en-GB"/>
          <w14:ligatures w14:val="none"/>
        </w:rPr>
      </w:pPr>
    </w:p>
    <w:p w14:paraId="22CE5FA5" w14:textId="77777777" w:rsidR="002E2D24" w:rsidRDefault="002E2D24" w:rsidP="00AD7E61">
      <w:pPr>
        <w:spacing w:after="0" w:line="259" w:lineRule="auto"/>
        <w:rPr>
          <w:rFonts w:ascii="Calibri" w:eastAsia="Calibri" w:hAnsi="Calibri" w:cs="Calibri"/>
          <w:color w:val="000000"/>
          <w:kern w:val="0"/>
          <w:sz w:val="22"/>
          <w:szCs w:val="22"/>
          <w:lang w:val="fr-FR" w:eastAsia="en-GB"/>
          <w14:ligatures w14:val="none"/>
        </w:rPr>
      </w:pPr>
    </w:p>
    <w:p w14:paraId="2C4F87AC" w14:textId="77777777" w:rsidR="00AD7E61" w:rsidRPr="00AD7E61" w:rsidRDefault="00AD7E61" w:rsidP="00AD7E61">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lastRenderedPageBreak/>
        <w:t>Crédit mensuel accordé au moment de l’engagement/cessation de service</w:t>
      </w:r>
      <w:r w:rsidRPr="00AD7E61">
        <w:rPr>
          <w:rFonts w:ascii="Calibri" w:eastAsia="Calibri" w:hAnsi="Calibri" w:cs="Calibri"/>
          <w:color w:val="000000"/>
          <w:kern w:val="0"/>
          <w:sz w:val="22"/>
          <w:szCs w:val="22"/>
          <w:lang w:val="fr-FR" w:eastAsia="en-GB"/>
          <w14:ligatures w14:val="none"/>
        </w:rPr>
        <w:t xml:space="preserve"> </w:t>
      </w:r>
      <w:r w:rsidRPr="00AD7E61">
        <w:rPr>
          <w:rFonts w:ascii="Calibri" w:eastAsia="Calibri" w:hAnsi="Calibri" w:cs="Calibri"/>
          <w:b/>
          <w:color w:val="000000"/>
          <w:kern w:val="0"/>
          <w:sz w:val="22"/>
          <w:szCs w:val="22"/>
          <w:lang w:val="fr-FR" w:eastAsia="en-GB"/>
          <w14:ligatures w14:val="none"/>
        </w:rPr>
        <w:t xml:space="preserve"> </w:t>
      </w:r>
    </w:p>
    <w:p w14:paraId="0214961F"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6ACFE56C" w14:textId="221D3077" w:rsidR="00AD7E61" w:rsidRPr="00AD7E61"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Le type d’engagement, la date d’engagement et la date de cessation de service ont une incidence sur les crédits mensuels de congé annuel, de la manière suivante :  </w:t>
      </w:r>
    </w:p>
    <w:p w14:paraId="7A79D9EA" w14:textId="5D047B59" w:rsidR="00AD7E61" w:rsidRPr="00AD7E61" w:rsidRDefault="00AD7E61" w:rsidP="00B247FA">
      <w:pPr>
        <w:spacing w:after="0" w:line="259" w:lineRule="auto"/>
        <w:ind w:left="720"/>
        <w:rPr>
          <w:rFonts w:ascii="Calibri" w:eastAsia="Times New Roman" w:hAnsi="Calibri" w:cs="Arial"/>
          <w:kern w:val="0"/>
          <w:sz w:val="22"/>
          <w:szCs w:val="22"/>
          <w:lang w:val="fr-FR"/>
          <w14:ligatures w14:val="none"/>
        </w:rPr>
      </w:pPr>
      <w:r w:rsidRPr="00AD7E61">
        <w:rPr>
          <w:rFonts w:ascii="Calibri" w:eastAsia="Calibri" w:hAnsi="Calibri" w:cs="Calibri"/>
          <w:color w:val="000000"/>
          <w:kern w:val="0"/>
          <w:sz w:val="22"/>
          <w:szCs w:val="22"/>
          <w:lang w:val="fr-FR" w:eastAsia="en-GB"/>
          <w14:ligatures w14:val="none"/>
        </w:rPr>
        <w:t xml:space="preserve"> </w:t>
      </w:r>
    </w:p>
    <w:tbl>
      <w:tblPr>
        <w:tblW w:w="4544" w:type="pct"/>
        <w:tblInd w:w="720" w:type="dxa"/>
        <w:shd w:val="clear" w:color="auto" w:fill="FFFFFF"/>
        <w:tblCellMar>
          <w:left w:w="0" w:type="dxa"/>
          <w:right w:w="0" w:type="dxa"/>
        </w:tblCellMar>
        <w:tblLook w:val="04A0" w:firstRow="1" w:lastRow="0" w:firstColumn="1" w:lastColumn="0" w:noHBand="0" w:noVBand="1"/>
      </w:tblPr>
      <w:tblGrid>
        <w:gridCol w:w="3940"/>
        <w:gridCol w:w="1970"/>
        <w:gridCol w:w="1968"/>
      </w:tblGrid>
      <w:tr w:rsidR="00AD7E61" w:rsidRPr="00AD7E61" w14:paraId="390A4618" w14:textId="77777777" w:rsidTr="004A0C01">
        <w:trPr>
          <w:trHeight w:val="310"/>
        </w:trPr>
        <w:tc>
          <w:tcPr>
            <w:tcW w:w="2501" w:type="pct"/>
            <w:vMerge w:val="restart"/>
            <w:tcBorders>
              <w:top w:val="single" w:sz="6" w:space="0" w:color="auto"/>
              <w:left w:val="single" w:sz="6" w:space="0" w:color="auto"/>
              <w:right w:val="single" w:sz="6" w:space="0" w:color="auto"/>
            </w:tcBorders>
            <w:shd w:val="clear" w:color="auto" w:fill="FFFFFF"/>
            <w:tcMar>
              <w:top w:w="45" w:type="dxa"/>
              <w:left w:w="75" w:type="dxa"/>
              <w:bottom w:w="45" w:type="dxa"/>
              <w:right w:w="75" w:type="dxa"/>
            </w:tcMar>
            <w:hideMark/>
          </w:tcPr>
          <w:p w14:paraId="2FA9D534"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b/>
                <w:bCs/>
                <w:color w:val="000000"/>
                <w:kern w:val="0"/>
                <w:sz w:val="22"/>
                <w:szCs w:val="22"/>
                <w:lang w:val="fr-FR" w:eastAsia="en-GB"/>
                <w14:ligatures w14:val="none"/>
              </w:rPr>
              <w:t>Date d’engagement :</w:t>
            </w:r>
          </w:p>
        </w:tc>
        <w:tc>
          <w:tcPr>
            <w:tcW w:w="2499" w:type="pct"/>
            <w:gridSpan w:val="2"/>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2164F4A6"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b/>
                <w:bCs/>
                <w:color w:val="000000"/>
                <w:kern w:val="0"/>
                <w:sz w:val="22"/>
                <w:szCs w:val="22"/>
                <w:lang w:val="fr-FR" w:eastAsia="en-GB"/>
                <w14:ligatures w14:val="none"/>
              </w:rPr>
              <w:t>Crédits de congé annuel comptabilisés pour le mois civil au cours duquel le membre du personnel prend ses fonctions</w:t>
            </w:r>
          </w:p>
        </w:tc>
      </w:tr>
      <w:tr w:rsidR="00AD7E61" w:rsidRPr="00AD7E61" w14:paraId="3EBC693C" w14:textId="77777777" w:rsidTr="004A0C01">
        <w:trPr>
          <w:trHeight w:val="310"/>
        </w:trPr>
        <w:tc>
          <w:tcPr>
            <w:tcW w:w="2501" w:type="pct"/>
            <w:vMerge/>
            <w:tcBorders>
              <w:left w:val="single" w:sz="6" w:space="0" w:color="auto"/>
              <w:right w:val="single" w:sz="6" w:space="0" w:color="auto"/>
            </w:tcBorders>
            <w:shd w:val="clear" w:color="auto" w:fill="FFFFFF"/>
            <w:tcMar>
              <w:top w:w="45" w:type="dxa"/>
              <w:left w:w="75" w:type="dxa"/>
              <w:bottom w:w="45" w:type="dxa"/>
              <w:right w:w="75" w:type="dxa"/>
            </w:tcMar>
          </w:tcPr>
          <w:p w14:paraId="5A2FCCA0" w14:textId="77777777" w:rsidR="00AD7E61" w:rsidRPr="00AD7E61" w:rsidRDefault="00AD7E61" w:rsidP="00AD7E61">
            <w:pPr>
              <w:spacing w:after="0" w:line="248" w:lineRule="auto"/>
              <w:ind w:left="503" w:hanging="370"/>
              <w:jc w:val="both"/>
              <w:rPr>
                <w:rFonts w:ascii="Calibri" w:eastAsia="Calibri" w:hAnsi="Calibri" w:cs="Calibri"/>
                <w:b/>
                <w:bCs/>
                <w:color w:val="000000"/>
                <w:kern w:val="0"/>
                <w:sz w:val="22"/>
                <w:szCs w:val="22"/>
                <w:lang w:val="fr-FR" w:eastAsia="en-GB"/>
                <w14:ligatures w14:val="none"/>
              </w:rPr>
            </w:pPr>
          </w:p>
        </w:tc>
        <w:tc>
          <w:tcPr>
            <w:tcW w:w="2499" w:type="pct"/>
            <w:gridSpan w:val="2"/>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76CA0205" w14:textId="77777777" w:rsidR="00AD7E61" w:rsidRPr="00AD7E61" w:rsidRDefault="00AD7E61" w:rsidP="00AD7E61">
            <w:pPr>
              <w:spacing w:after="0" w:line="248" w:lineRule="auto"/>
              <w:ind w:left="503" w:hanging="370"/>
              <w:jc w:val="center"/>
              <w:rPr>
                <w:rFonts w:ascii="Calibri" w:eastAsia="Calibri" w:hAnsi="Calibri" w:cs="Calibri"/>
                <w:b/>
                <w:bCs/>
                <w:color w:val="000000"/>
                <w:kern w:val="0"/>
                <w:sz w:val="22"/>
                <w:szCs w:val="22"/>
                <w:lang w:val="fr-FR" w:eastAsia="en-GB"/>
                <w14:ligatures w14:val="none"/>
              </w:rPr>
            </w:pPr>
            <w:r w:rsidRPr="00AD7E61">
              <w:rPr>
                <w:rFonts w:ascii="Calibri" w:eastAsia="Calibri" w:hAnsi="Calibri" w:cs="Calibri"/>
                <w:b/>
                <w:bCs/>
                <w:color w:val="000000"/>
                <w:kern w:val="0"/>
                <w:sz w:val="22"/>
                <w:szCs w:val="22"/>
                <w:lang w:val="fr-FR" w:eastAsia="en-GB"/>
                <w14:ligatures w14:val="none"/>
              </w:rPr>
              <w:t>Type d’engagement</w:t>
            </w:r>
          </w:p>
        </w:tc>
      </w:tr>
      <w:tr w:rsidR="00AD7E61" w:rsidRPr="00AD7E61" w14:paraId="1EFBCD54" w14:textId="77777777" w:rsidTr="004A0C01">
        <w:trPr>
          <w:trHeight w:val="310"/>
        </w:trPr>
        <w:tc>
          <w:tcPr>
            <w:tcW w:w="2501" w:type="pct"/>
            <w:vMerge/>
            <w:tcBorders>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5D1E0088" w14:textId="77777777" w:rsidR="00AD7E61" w:rsidRPr="00AD7E61" w:rsidRDefault="00AD7E61" w:rsidP="00AD7E61">
            <w:pPr>
              <w:spacing w:after="0" w:line="248" w:lineRule="auto"/>
              <w:ind w:left="503" w:hanging="370"/>
              <w:jc w:val="both"/>
              <w:rPr>
                <w:rFonts w:ascii="Calibri" w:eastAsia="Calibri" w:hAnsi="Calibri" w:cs="Calibri"/>
                <w:b/>
                <w:bCs/>
                <w:color w:val="000000"/>
                <w:kern w:val="0"/>
                <w:sz w:val="22"/>
                <w:szCs w:val="22"/>
                <w:lang w:val="fr-FR" w:eastAsia="en-GB"/>
                <w14:ligatures w14:val="none"/>
              </w:rPr>
            </w:pPr>
          </w:p>
        </w:tc>
        <w:tc>
          <w:tcPr>
            <w:tcW w:w="125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63074429" w14:textId="77777777" w:rsidR="00AD7E61" w:rsidRPr="00AD7E61" w:rsidRDefault="00AD7E61" w:rsidP="00AD7E61">
            <w:pPr>
              <w:spacing w:after="0" w:line="248" w:lineRule="auto"/>
              <w:ind w:left="503" w:hanging="370"/>
              <w:jc w:val="center"/>
              <w:rPr>
                <w:rFonts w:ascii="Calibri" w:eastAsia="Calibri" w:hAnsi="Calibri" w:cs="Calibri"/>
                <w:b/>
                <w:bCs/>
                <w:color w:val="000000"/>
                <w:kern w:val="0"/>
                <w:sz w:val="22"/>
                <w:szCs w:val="22"/>
                <w:lang w:val="fr-FR" w:eastAsia="en-GB"/>
                <w14:ligatures w14:val="none"/>
              </w:rPr>
            </w:pPr>
            <w:r w:rsidRPr="00AD7E61">
              <w:rPr>
                <w:rFonts w:ascii="Calibri" w:eastAsia="Calibri" w:hAnsi="Calibri" w:cs="Calibri"/>
                <w:b/>
                <w:bCs/>
                <w:color w:val="000000"/>
                <w:kern w:val="0"/>
                <w:sz w:val="22"/>
                <w:szCs w:val="22"/>
                <w:lang w:val="fr-FR" w:eastAsia="en-GB"/>
                <w14:ligatures w14:val="none"/>
              </w:rPr>
              <w:t>FTA/PA/CA</w:t>
            </w:r>
          </w:p>
        </w:tc>
        <w:tc>
          <w:tcPr>
            <w:tcW w:w="1249" w:type="pct"/>
            <w:tcBorders>
              <w:top w:val="single" w:sz="6" w:space="0" w:color="auto"/>
              <w:left w:val="single" w:sz="6" w:space="0" w:color="auto"/>
              <w:bottom w:val="single" w:sz="6" w:space="0" w:color="auto"/>
              <w:right w:val="single" w:sz="6" w:space="0" w:color="auto"/>
            </w:tcBorders>
            <w:shd w:val="clear" w:color="auto" w:fill="FFFFFF"/>
          </w:tcPr>
          <w:p w14:paraId="28CEC22C" w14:textId="77777777" w:rsidR="00AD7E61" w:rsidRPr="00AD7E61" w:rsidRDefault="00AD7E61" w:rsidP="00AD7E61">
            <w:pPr>
              <w:spacing w:after="0" w:line="248" w:lineRule="auto"/>
              <w:ind w:left="503" w:hanging="370"/>
              <w:jc w:val="center"/>
              <w:rPr>
                <w:rFonts w:ascii="Calibri" w:eastAsia="Calibri" w:hAnsi="Calibri" w:cs="Calibri"/>
                <w:b/>
                <w:bCs/>
                <w:color w:val="000000"/>
                <w:kern w:val="0"/>
                <w:sz w:val="22"/>
                <w:szCs w:val="22"/>
                <w:lang w:val="fr-FR" w:eastAsia="en-GB"/>
                <w14:ligatures w14:val="none"/>
              </w:rPr>
            </w:pPr>
            <w:r w:rsidRPr="00AD7E61">
              <w:rPr>
                <w:rFonts w:ascii="Calibri" w:eastAsia="Calibri" w:hAnsi="Calibri" w:cs="Calibri"/>
                <w:b/>
                <w:bCs/>
                <w:color w:val="000000"/>
                <w:kern w:val="0"/>
                <w:sz w:val="22"/>
                <w:szCs w:val="22"/>
                <w:lang w:val="fr-FR" w:eastAsia="en-GB"/>
                <w14:ligatures w14:val="none"/>
              </w:rPr>
              <w:t>TA</w:t>
            </w:r>
          </w:p>
        </w:tc>
      </w:tr>
      <w:tr w:rsidR="00AD7E61" w:rsidRPr="00AD7E61" w14:paraId="6A0B53C7" w14:textId="77777777" w:rsidTr="004A0C01">
        <w:tc>
          <w:tcPr>
            <w:tcW w:w="2501"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3D00E3F6"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Premier jour ouvrable du mois </w:t>
            </w:r>
          </w:p>
        </w:tc>
        <w:tc>
          <w:tcPr>
            <w:tcW w:w="125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6636230A" w14:textId="77777777" w:rsidR="00AD7E61" w:rsidRPr="00AD7E61" w:rsidRDefault="00AD7E61" w:rsidP="00AD7E61">
            <w:pPr>
              <w:spacing w:after="0" w:line="248" w:lineRule="auto"/>
              <w:ind w:left="503" w:hanging="364"/>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2,5 jours</w:t>
            </w:r>
          </w:p>
        </w:tc>
        <w:tc>
          <w:tcPr>
            <w:tcW w:w="1249" w:type="pct"/>
            <w:tcBorders>
              <w:top w:val="single" w:sz="6" w:space="0" w:color="auto"/>
              <w:left w:val="single" w:sz="6" w:space="0" w:color="auto"/>
              <w:bottom w:val="single" w:sz="6" w:space="0" w:color="auto"/>
              <w:right w:val="single" w:sz="6" w:space="0" w:color="auto"/>
            </w:tcBorders>
            <w:shd w:val="clear" w:color="auto" w:fill="FFFFFF"/>
          </w:tcPr>
          <w:p w14:paraId="45EB2C32" w14:textId="77777777" w:rsidR="00AD7E61" w:rsidRPr="00AD7E61" w:rsidRDefault="00AD7E61" w:rsidP="00AD7E61">
            <w:pPr>
              <w:spacing w:after="0" w:line="248" w:lineRule="auto"/>
              <w:ind w:left="503" w:hanging="364"/>
              <w:jc w:val="both"/>
              <w:rPr>
                <w:rFonts w:ascii="Calibri" w:eastAsia="Calibri" w:hAnsi="Calibri" w:cs="Arial"/>
                <w:color w:val="000000"/>
                <w:kern w:val="0"/>
                <w:sz w:val="22"/>
                <w:szCs w:val="22"/>
                <w:lang w:val="fr-FR" w:eastAsia="en-GB"/>
                <w14:ligatures w14:val="none"/>
              </w:rPr>
            </w:pPr>
            <w:r w:rsidRPr="00AD7E61">
              <w:rPr>
                <w:rFonts w:ascii="Calibri" w:eastAsia="Calibri" w:hAnsi="Calibri" w:cs="Arial"/>
                <w:color w:val="000000"/>
                <w:kern w:val="0"/>
                <w:sz w:val="22"/>
                <w:szCs w:val="22"/>
                <w:lang w:val="fr-FR" w:eastAsia="en-GB"/>
                <w14:ligatures w14:val="none"/>
              </w:rPr>
              <w:t>1.5 jours</w:t>
            </w:r>
          </w:p>
        </w:tc>
      </w:tr>
      <w:tr w:rsidR="00AD7E61" w:rsidRPr="00AD7E61" w14:paraId="471DC468" w14:textId="77777777" w:rsidTr="004A0C01">
        <w:tc>
          <w:tcPr>
            <w:tcW w:w="2501"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4F99DC6C"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Après le premier jour ouvrable, mais au plus tard le 16e jour du mois </w:t>
            </w:r>
          </w:p>
        </w:tc>
        <w:tc>
          <w:tcPr>
            <w:tcW w:w="125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5CAA00FC"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2 jours</w:t>
            </w:r>
          </w:p>
        </w:tc>
        <w:tc>
          <w:tcPr>
            <w:tcW w:w="1249" w:type="pct"/>
            <w:tcBorders>
              <w:top w:val="single" w:sz="6" w:space="0" w:color="auto"/>
              <w:left w:val="single" w:sz="6" w:space="0" w:color="auto"/>
              <w:bottom w:val="single" w:sz="6" w:space="0" w:color="auto"/>
              <w:right w:val="single" w:sz="6" w:space="0" w:color="auto"/>
            </w:tcBorders>
            <w:shd w:val="clear" w:color="auto" w:fill="FFFFFF"/>
          </w:tcPr>
          <w:p w14:paraId="00F4B704"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Arial"/>
                <w:color w:val="000000"/>
                <w:kern w:val="0"/>
                <w:sz w:val="22"/>
                <w:szCs w:val="22"/>
                <w:lang w:val="fr-FR" w:eastAsia="en-GB"/>
                <w14:ligatures w14:val="none"/>
              </w:rPr>
              <w:t>1 jour</w:t>
            </w:r>
          </w:p>
        </w:tc>
      </w:tr>
      <w:tr w:rsidR="00AD7E61" w:rsidRPr="00AD7E61" w14:paraId="206308EF" w14:textId="77777777" w:rsidTr="004A0C01">
        <w:tc>
          <w:tcPr>
            <w:tcW w:w="2501"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5C04AD36"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Le 17e jour du mois ou plus tard </w:t>
            </w:r>
          </w:p>
        </w:tc>
        <w:tc>
          <w:tcPr>
            <w:tcW w:w="125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3A75D758"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1 jour</w:t>
            </w:r>
          </w:p>
        </w:tc>
        <w:tc>
          <w:tcPr>
            <w:tcW w:w="1250" w:type="pct"/>
            <w:tcBorders>
              <w:top w:val="single" w:sz="6" w:space="0" w:color="auto"/>
              <w:left w:val="single" w:sz="6" w:space="0" w:color="auto"/>
              <w:bottom w:val="single" w:sz="6" w:space="0" w:color="auto"/>
              <w:right w:val="single" w:sz="6" w:space="0" w:color="auto"/>
            </w:tcBorders>
            <w:shd w:val="clear" w:color="auto" w:fill="FFFFFF"/>
          </w:tcPr>
          <w:p w14:paraId="55D325EE"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Arial"/>
                <w:color w:val="000000"/>
                <w:kern w:val="0"/>
                <w:sz w:val="22"/>
                <w:szCs w:val="22"/>
                <w:lang w:val="fr-FR" w:eastAsia="en-GB"/>
                <w14:ligatures w14:val="none"/>
              </w:rPr>
              <w:t>0.5 jours</w:t>
            </w:r>
          </w:p>
        </w:tc>
      </w:tr>
    </w:tbl>
    <w:p w14:paraId="125A7AC4"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p>
    <w:p w14:paraId="34245EB0"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p>
    <w:tbl>
      <w:tblPr>
        <w:tblW w:w="4541" w:type="pct"/>
        <w:tblInd w:w="720" w:type="dxa"/>
        <w:shd w:val="clear" w:color="auto" w:fill="FFFFFF"/>
        <w:tblCellMar>
          <w:left w:w="0" w:type="dxa"/>
          <w:right w:w="0" w:type="dxa"/>
        </w:tblCellMar>
        <w:tblLook w:val="04A0" w:firstRow="1" w:lastRow="0" w:firstColumn="1" w:lastColumn="0" w:noHBand="0" w:noVBand="1"/>
      </w:tblPr>
      <w:tblGrid>
        <w:gridCol w:w="3935"/>
        <w:gridCol w:w="1968"/>
        <w:gridCol w:w="1970"/>
      </w:tblGrid>
      <w:tr w:rsidR="00AD7E61" w:rsidRPr="009A3C89" w14:paraId="651C12DA" w14:textId="77777777" w:rsidTr="004A0C01">
        <w:trPr>
          <w:trHeight w:val="310"/>
        </w:trPr>
        <w:tc>
          <w:tcPr>
            <w:tcW w:w="2499" w:type="pct"/>
            <w:vMerge w:val="restart"/>
            <w:tcBorders>
              <w:top w:val="single" w:sz="6" w:space="0" w:color="auto"/>
              <w:left w:val="single" w:sz="6" w:space="0" w:color="auto"/>
              <w:right w:val="single" w:sz="6" w:space="0" w:color="auto"/>
            </w:tcBorders>
            <w:shd w:val="clear" w:color="auto" w:fill="FFFFFF"/>
            <w:tcMar>
              <w:top w:w="45" w:type="dxa"/>
              <w:left w:w="75" w:type="dxa"/>
              <w:bottom w:w="45" w:type="dxa"/>
              <w:right w:w="75" w:type="dxa"/>
            </w:tcMar>
            <w:hideMark/>
          </w:tcPr>
          <w:p w14:paraId="7251433A"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b/>
                <w:bCs/>
                <w:color w:val="000000"/>
                <w:kern w:val="0"/>
                <w:sz w:val="22"/>
                <w:szCs w:val="22"/>
                <w:lang w:val="fr-FR" w:eastAsia="en-GB"/>
                <w14:ligatures w14:val="none"/>
              </w:rPr>
              <w:t>Date de cessation de service :</w:t>
            </w:r>
          </w:p>
        </w:tc>
        <w:tc>
          <w:tcPr>
            <w:tcW w:w="2501" w:type="pct"/>
            <w:gridSpan w:val="2"/>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328CF83D"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b/>
                <w:bCs/>
                <w:color w:val="000000"/>
                <w:kern w:val="0"/>
                <w:sz w:val="22"/>
                <w:szCs w:val="22"/>
                <w:lang w:val="fr-FR" w:eastAsia="en-GB"/>
                <w14:ligatures w14:val="none"/>
              </w:rPr>
              <w:t>Crédits de congé annuel comptabilisés pour le mois civil au cours duquel le membre du personnel cesse le service</w:t>
            </w:r>
          </w:p>
        </w:tc>
      </w:tr>
      <w:tr w:rsidR="00AD7E61" w:rsidRPr="00AD7E61" w14:paraId="58648115" w14:textId="77777777" w:rsidTr="004A0C01">
        <w:trPr>
          <w:trHeight w:val="310"/>
        </w:trPr>
        <w:tc>
          <w:tcPr>
            <w:tcW w:w="2499" w:type="pct"/>
            <w:vMerge/>
            <w:tcBorders>
              <w:left w:val="single" w:sz="6" w:space="0" w:color="auto"/>
              <w:right w:val="single" w:sz="6" w:space="0" w:color="auto"/>
            </w:tcBorders>
            <w:shd w:val="clear" w:color="auto" w:fill="FFFFFF"/>
            <w:tcMar>
              <w:top w:w="45" w:type="dxa"/>
              <w:left w:w="75" w:type="dxa"/>
              <w:bottom w:w="45" w:type="dxa"/>
              <w:right w:w="75" w:type="dxa"/>
            </w:tcMar>
          </w:tcPr>
          <w:p w14:paraId="010C151C" w14:textId="77777777" w:rsidR="00AD7E61" w:rsidRPr="00AD7E61" w:rsidRDefault="00AD7E61" w:rsidP="00AD7E61">
            <w:pPr>
              <w:spacing w:after="0" w:line="248" w:lineRule="auto"/>
              <w:ind w:left="503" w:hanging="370"/>
              <w:jc w:val="both"/>
              <w:rPr>
                <w:rFonts w:ascii="Calibri" w:eastAsia="Calibri" w:hAnsi="Calibri" w:cs="Calibri"/>
                <w:b/>
                <w:bCs/>
                <w:color w:val="000000"/>
                <w:kern w:val="0"/>
                <w:sz w:val="22"/>
                <w:szCs w:val="22"/>
                <w:lang w:val="fr-FR" w:eastAsia="en-GB"/>
                <w14:ligatures w14:val="none"/>
              </w:rPr>
            </w:pPr>
          </w:p>
        </w:tc>
        <w:tc>
          <w:tcPr>
            <w:tcW w:w="2501" w:type="pct"/>
            <w:gridSpan w:val="2"/>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47927377" w14:textId="77777777" w:rsidR="00AD7E61" w:rsidRPr="00AD7E61" w:rsidRDefault="00AD7E61" w:rsidP="00AD7E61">
            <w:pPr>
              <w:spacing w:after="0" w:line="248" w:lineRule="auto"/>
              <w:ind w:left="503" w:hanging="370"/>
              <w:jc w:val="center"/>
              <w:rPr>
                <w:rFonts w:ascii="Calibri" w:eastAsia="Calibri" w:hAnsi="Calibri" w:cs="Calibri"/>
                <w:b/>
                <w:bCs/>
                <w:color w:val="000000"/>
                <w:kern w:val="0"/>
                <w:sz w:val="22"/>
                <w:szCs w:val="22"/>
                <w:lang w:val="fr-FR" w:eastAsia="en-GB"/>
                <w14:ligatures w14:val="none"/>
              </w:rPr>
            </w:pPr>
            <w:r w:rsidRPr="00AD7E61">
              <w:rPr>
                <w:rFonts w:ascii="Calibri" w:eastAsia="Calibri" w:hAnsi="Calibri" w:cs="Calibri"/>
                <w:b/>
                <w:bCs/>
                <w:color w:val="000000"/>
                <w:kern w:val="0"/>
                <w:sz w:val="22"/>
                <w:szCs w:val="22"/>
                <w:lang w:val="fr-FR" w:eastAsia="en-GB"/>
                <w14:ligatures w14:val="none"/>
              </w:rPr>
              <w:t>Type d’engagement</w:t>
            </w:r>
          </w:p>
        </w:tc>
      </w:tr>
      <w:tr w:rsidR="00AD7E61" w:rsidRPr="00AD7E61" w14:paraId="78118BA8" w14:textId="77777777" w:rsidTr="004A0C01">
        <w:trPr>
          <w:trHeight w:val="310"/>
        </w:trPr>
        <w:tc>
          <w:tcPr>
            <w:tcW w:w="2499" w:type="pct"/>
            <w:vMerge/>
            <w:tcBorders>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22B8FAAB" w14:textId="77777777" w:rsidR="00AD7E61" w:rsidRPr="00AD7E61" w:rsidRDefault="00AD7E61" w:rsidP="00AD7E61">
            <w:pPr>
              <w:spacing w:after="0" w:line="248" w:lineRule="auto"/>
              <w:ind w:left="503" w:hanging="370"/>
              <w:jc w:val="both"/>
              <w:rPr>
                <w:rFonts w:ascii="Calibri" w:eastAsia="Calibri" w:hAnsi="Calibri" w:cs="Calibri"/>
                <w:b/>
                <w:bCs/>
                <w:color w:val="000000"/>
                <w:kern w:val="0"/>
                <w:sz w:val="22"/>
                <w:szCs w:val="22"/>
                <w:lang w:val="fr-FR" w:eastAsia="en-GB"/>
                <w14:ligatures w14:val="none"/>
              </w:rPr>
            </w:pPr>
          </w:p>
        </w:tc>
        <w:tc>
          <w:tcPr>
            <w:tcW w:w="125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tcPr>
          <w:p w14:paraId="2D752526" w14:textId="77777777" w:rsidR="00AD7E61" w:rsidRPr="00AD7E61" w:rsidRDefault="00AD7E61" w:rsidP="00AD7E61">
            <w:pPr>
              <w:spacing w:after="0" w:line="248" w:lineRule="auto"/>
              <w:ind w:left="503" w:hanging="370"/>
              <w:jc w:val="center"/>
              <w:rPr>
                <w:rFonts w:ascii="Calibri" w:eastAsia="Calibri" w:hAnsi="Calibri" w:cs="Calibri"/>
                <w:b/>
                <w:bCs/>
                <w:color w:val="000000"/>
                <w:kern w:val="0"/>
                <w:sz w:val="22"/>
                <w:szCs w:val="22"/>
                <w:lang w:val="fr-FR" w:eastAsia="en-GB"/>
                <w14:ligatures w14:val="none"/>
              </w:rPr>
            </w:pPr>
            <w:r w:rsidRPr="00AD7E61">
              <w:rPr>
                <w:rFonts w:ascii="Calibri" w:eastAsia="Calibri" w:hAnsi="Calibri" w:cs="Calibri"/>
                <w:b/>
                <w:bCs/>
                <w:color w:val="000000"/>
                <w:kern w:val="0"/>
                <w:sz w:val="22"/>
                <w:szCs w:val="22"/>
                <w:lang w:val="fr-FR" w:eastAsia="en-GB"/>
                <w14:ligatures w14:val="none"/>
              </w:rPr>
              <w:t>FTA/PA/CA</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021EF109" w14:textId="77777777" w:rsidR="00AD7E61" w:rsidRPr="00AD7E61" w:rsidRDefault="00AD7E61" w:rsidP="00AD7E61">
            <w:pPr>
              <w:spacing w:after="0" w:line="248" w:lineRule="auto"/>
              <w:ind w:left="503" w:hanging="370"/>
              <w:jc w:val="center"/>
              <w:rPr>
                <w:rFonts w:ascii="Calibri" w:eastAsia="Calibri" w:hAnsi="Calibri" w:cs="Calibri"/>
                <w:b/>
                <w:bCs/>
                <w:color w:val="000000"/>
                <w:kern w:val="0"/>
                <w:sz w:val="22"/>
                <w:szCs w:val="22"/>
                <w:lang w:val="fr-FR" w:eastAsia="en-GB"/>
                <w14:ligatures w14:val="none"/>
              </w:rPr>
            </w:pPr>
            <w:r w:rsidRPr="00AD7E61">
              <w:rPr>
                <w:rFonts w:ascii="Calibri" w:eastAsia="Calibri" w:hAnsi="Calibri" w:cs="Calibri"/>
                <w:b/>
                <w:bCs/>
                <w:color w:val="000000"/>
                <w:kern w:val="0"/>
                <w:sz w:val="22"/>
                <w:szCs w:val="22"/>
                <w:lang w:val="fr-FR" w:eastAsia="en-GB"/>
                <w14:ligatures w14:val="none"/>
              </w:rPr>
              <w:t>TA</w:t>
            </w:r>
          </w:p>
        </w:tc>
      </w:tr>
      <w:tr w:rsidR="00AD7E61" w:rsidRPr="00AD7E61" w14:paraId="0987E997" w14:textId="77777777" w:rsidTr="004A0C01">
        <w:tc>
          <w:tcPr>
            <w:tcW w:w="2499"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54279E60"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Au plus tard le 16e jour du mois </w:t>
            </w:r>
          </w:p>
        </w:tc>
        <w:tc>
          <w:tcPr>
            <w:tcW w:w="125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0EF39A7A"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1 jour</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3279E661"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Arial"/>
                <w:color w:val="000000"/>
                <w:kern w:val="0"/>
                <w:sz w:val="22"/>
                <w:szCs w:val="22"/>
                <w:lang w:val="fr-FR" w:eastAsia="en-GB"/>
                <w14:ligatures w14:val="none"/>
              </w:rPr>
              <w:t>0.5 jours</w:t>
            </w:r>
          </w:p>
        </w:tc>
      </w:tr>
      <w:tr w:rsidR="00AD7E61" w:rsidRPr="00AD7E61" w14:paraId="0FFB0B21" w14:textId="77777777" w:rsidTr="004A0C01">
        <w:tc>
          <w:tcPr>
            <w:tcW w:w="2499"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3E18EADF"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Du 17e jour à l’avant-dernier jour du mois </w:t>
            </w:r>
          </w:p>
        </w:tc>
        <w:tc>
          <w:tcPr>
            <w:tcW w:w="125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5CF73C82"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2 jours</w:t>
            </w:r>
          </w:p>
        </w:tc>
        <w:tc>
          <w:tcPr>
            <w:tcW w:w="1251" w:type="pct"/>
            <w:tcBorders>
              <w:top w:val="single" w:sz="6" w:space="0" w:color="auto"/>
              <w:left w:val="single" w:sz="6" w:space="0" w:color="auto"/>
              <w:bottom w:val="single" w:sz="6" w:space="0" w:color="auto"/>
              <w:right w:val="single" w:sz="6" w:space="0" w:color="auto"/>
            </w:tcBorders>
            <w:shd w:val="clear" w:color="auto" w:fill="FFFFFF"/>
          </w:tcPr>
          <w:p w14:paraId="13D93CB8"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Arial"/>
                <w:color w:val="000000"/>
                <w:kern w:val="0"/>
                <w:sz w:val="22"/>
                <w:szCs w:val="22"/>
                <w:lang w:val="fr-FR" w:eastAsia="en-GB"/>
                <w14:ligatures w14:val="none"/>
              </w:rPr>
              <w:t>1 jour</w:t>
            </w:r>
          </w:p>
        </w:tc>
      </w:tr>
      <w:tr w:rsidR="00AD7E61" w:rsidRPr="00AD7E61" w14:paraId="579C7E38" w14:textId="77777777" w:rsidTr="004A0C01">
        <w:tc>
          <w:tcPr>
            <w:tcW w:w="2499"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2CE6B1E1" w14:textId="77777777" w:rsidR="00AD7E61" w:rsidRPr="00AD7E61" w:rsidRDefault="00AD7E61" w:rsidP="00AD7E61">
            <w:pPr>
              <w:spacing w:after="0" w:line="248" w:lineRule="auto"/>
              <w:ind w:left="503" w:hanging="3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Du dernier jour du mois à la fermeture des bureaux </w:t>
            </w:r>
          </w:p>
        </w:tc>
        <w:tc>
          <w:tcPr>
            <w:tcW w:w="1250" w:type="pct"/>
            <w:tcBorders>
              <w:top w:val="single" w:sz="6" w:space="0" w:color="auto"/>
              <w:left w:val="single" w:sz="6" w:space="0" w:color="auto"/>
              <w:bottom w:val="single" w:sz="6" w:space="0" w:color="auto"/>
              <w:right w:val="single" w:sz="6" w:space="0" w:color="auto"/>
            </w:tcBorders>
            <w:shd w:val="clear" w:color="auto" w:fill="FFFFFF"/>
            <w:tcMar>
              <w:top w:w="45" w:type="dxa"/>
              <w:left w:w="75" w:type="dxa"/>
              <w:bottom w:w="45" w:type="dxa"/>
              <w:right w:w="75" w:type="dxa"/>
            </w:tcMar>
            <w:hideMark/>
          </w:tcPr>
          <w:p w14:paraId="2942C3C1" w14:textId="77777777" w:rsidR="00AD7E61" w:rsidRPr="00AD7E61" w:rsidRDefault="00AD7E61" w:rsidP="00AD7E61">
            <w:pPr>
              <w:spacing w:after="0" w:line="248" w:lineRule="auto"/>
              <w:ind w:left="310" w:hanging="2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2,5 jours</w:t>
            </w:r>
          </w:p>
        </w:tc>
        <w:tc>
          <w:tcPr>
            <w:tcW w:w="1250" w:type="pct"/>
            <w:tcBorders>
              <w:top w:val="single" w:sz="6" w:space="0" w:color="auto"/>
              <w:left w:val="single" w:sz="6" w:space="0" w:color="auto"/>
              <w:bottom w:val="single" w:sz="6" w:space="0" w:color="auto"/>
              <w:right w:val="single" w:sz="6" w:space="0" w:color="auto"/>
            </w:tcBorders>
            <w:shd w:val="clear" w:color="auto" w:fill="FFFFFF"/>
          </w:tcPr>
          <w:p w14:paraId="015C93BE" w14:textId="77777777" w:rsidR="00AD7E61" w:rsidRPr="00AD7E61" w:rsidRDefault="00AD7E61" w:rsidP="00AD7E61">
            <w:pPr>
              <w:spacing w:after="0" w:line="248" w:lineRule="auto"/>
              <w:ind w:left="310" w:hanging="270"/>
              <w:jc w:val="both"/>
              <w:rPr>
                <w:rFonts w:ascii="Calibri" w:eastAsia="Calibri" w:hAnsi="Calibri" w:cs="Arial"/>
                <w:color w:val="000000"/>
                <w:kern w:val="0"/>
                <w:sz w:val="22"/>
                <w:szCs w:val="22"/>
                <w:lang w:val="fr-FR" w:eastAsia="en-GB"/>
                <w14:ligatures w14:val="none"/>
              </w:rPr>
            </w:pPr>
            <w:r w:rsidRPr="00AD7E61">
              <w:rPr>
                <w:rFonts w:ascii="Calibri" w:eastAsia="Calibri" w:hAnsi="Calibri" w:cs="Arial"/>
                <w:color w:val="000000"/>
                <w:kern w:val="0"/>
                <w:sz w:val="22"/>
                <w:szCs w:val="22"/>
                <w:lang w:val="fr-FR" w:eastAsia="en-GB"/>
                <w14:ligatures w14:val="none"/>
              </w:rPr>
              <w:t>1.5 jour</w:t>
            </w:r>
          </w:p>
        </w:tc>
      </w:tr>
    </w:tbl>
    <w:p w14:paraId="29A30BE7" w14:textId="77777777" w:rsidR="00AD7E61" w:rsidRPr="00AD7E61" w:rsidRDefault="00AD7E61" w:rsidP="00AD7E61">
      <w:pPr>
        <w:spacing w:after="0" w:line="240" w:lineRule="auto"/>
        <w:jc w:val="both"/>
        <w:rPr>
          <w:rFonts w:ascii="Calibri" w:eastAsia="Times New Roman" w:hAnsi="Calibri" w:cs="Arial"/>
          <w:b/>
          <w:kern w:val="0"/>
          <w:sz w:val="22"/>
          <w:szCs w:val="22"/>
          <w:lang w:val="fr-FR"/>
          <w14:ligatures w14:val="none"/>
        </w:rPr>
      </w:pPr>
    </w:p>
    <w:p w14:paraId="6F0C6EE3" w14:textId="77777777" w:rsidR="00AD7E61" w:rsidRPr="00AD7E61" w:rsidRDefault="00AD7E61" w:rsidP="00AD7E61">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Congé de maladie non certifié  </w:t>
      </w:r>
    </w:p>
    <w:p w14:paraId="4B06EFBA"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642796BF" w14:textId="2C6386AA" w:rsidR="00AD7E61"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Les congés annuels sont facturés dès que le nombre de jours de congé de maladie non certifié dépasse le maximum permis, sans qu’un certificat établi par un médecin qualifié ne soit présenté. Les limites du congé de maladie non certifié sont un maximum consécutif ou cumulatif de sept jours ouvrables dans un cycle annuel commençant le 1er avril de l'année en cours et se terminant le 31 mars de l'année suivante. </w:t>
      </w:r>
    </w:p>
    <w:p w14:paraId="19062985" w14:textId="77777777" w:rsidR="009541B6" w:rsidRDefault="009541B6" w:rsidP="00AD7E61">
      <w:pPr>
        <w:spacing w:after="0" w:line="248" w:lineRule="auto"/>
        <w:ind w:left="715" w:right="33" w:hanging="370"/>
        <w:jc w:val="both"/>
        <w:rPr>
          <w:rFonts w:ascii="Calibri" w:eastAsia="Calibri" w:hAnsi="Calibri" w:cs="Calibri"/>
          <w:color w:val="000000"/>
          <w:kern w:val="0"/>
          <w:sz w:val="22"/>
          <w:szCs w:val="22"/>
          <w:lang w:val="fr-FR" w:eastAsia="en-GB"/>
          <w14:ligatures w14:val="none"/>
        </w:rPr>
      </w:pPr>
    </w:p>
    <w:p w14:paraId="71A19A14" w14:textId="77777777" w:rsidR="002E2D24" w:rsidRPr="00AD7E61" w:rsidRDefault="002E2D24" w:rsidP="00AD7E61">
      <w:pPr>
        <w:spacing w:after="0" w:line="248" w:lineRule="auto"/>
        <w:ind w:left="715" w:right="33" w:hanging="370"/>
        <w:jc w:val="both"/>
        <w:rPr>
          <w:rFonts w:ascii="Calibri" w:eastAsia="Calibri" w:hAnsi="Calibri" w:cs="Calibri"/>
          <w:color w:val="000000"/>
          <w:kern w:val="0"/>
          <w:sz w:val="22"/>
          <w:szCs w:val="22"/>
          <w:lang w:val="fr-FR" w:eastAsia="en-GB"/>
          <w14:ligatures w14:val="none"/>
        </w:rPr>
      </w:pPr>
    </w:p>
    <w:p w14:paraId="6CD76539" w14:textId="0A8A8CF1" w:rsidR="00AD7E61" w:rsidRPr="00AD7E61" w:rsidRDefault="00AD7E61" w:rsidP="000F1170">
      <w:pPr>
        <w:spacing w:after="0" w:line="259" w:lineRule="auto"/>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lastRenderedPageBreak/>
        <w:t xml:space="preserve"> Congé de maladie certifié  </w:t>
      </w:r>
    </w:p>
    <w:p w14:paraId="1E533DA3"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7A70487D" w14:textId="09C66B63" w:rsidR="00AD7E61" w:rsidRPr="00D61124"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Les congés de maladie déclarés au cours d’une période de congé annuel, de congé dans les foyers ou de visite familiale sont imputés aux congés annuels, à moins que la maladie ne soit certifiée par un médecin qualifié et qu’une demande d’autorisation de congé de maladie accompagnée d’un certificat médical soit présentée dès la reprise de service.  </w:t>
      </w:r>
      <w:r w:rsidRPr="00D61124">
        <w:rPr>
          <w:rFonts w:ascii="Calibri" w:eastAsia="Calibri" w:hAnsi="Calibri" w:cs="Calibri"/>
          <w:color w:val="000000"/>
          <w:kern w:val="0"/>
          <w:sz w:val="22"/>
          <w:szCs w:val="22"/>
          <w:lang w:val="fr-FR" w:eastAsia="en-GB"/>
          <w14:ligatures w14:val="none"/>
        </w:rPr>
        <w:t xml:space="preserve"> </w:t>
      </w:r>
    </w:p>
    <w:p w14:paraId="599C4061" w14:textId="77777777" w:rsidR="00F278CA" w:rsidRPr="00AD7E61" w:rsidRDefault="00F278CA" w:rsidP="00AD7E61">
      <w:pPr>
        <w:spacing w:after="0" w:line="248" w:lineRule="auto"/>
        <w:ind w:left="715" w:right="33" w:hanging="370"/>
        <w:jc w:val="both"/>
        <w:rPr>
          <w:rFonts w:ascii="Calibri" w:eastAsia="Calibri" w:hAnsi="Calibri" w:cs="Calibri"/>
          <w:color w:val="000000"/>
          <w:kern w:val="0"/>
          <w:sz w:val="22"/>
          <w:szCs w:val="22"/>
          <w:lang w:val="fr-FR" w:eastAsia="en-GB"/>
          <w14:ligatures w14:val="none"/>
        </w:rPr>
      </w:pPr>
    </w:p>
    <w:p w14:paraId="4099DF0B" w14:textId="77777777" w:rsidR="00AD7E61" w:rsidRPr="00AD7E61" w:rsidRDefault="00AD7E61" w:rsidP="00AD7E61">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Congé dans les foyers et visite familiale  </w:t>
      </w:r>
    </w:p>
    <w:p w14:paraId="6A0E77BE"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4814B08E" w14:textId="6D78A239" w:rsidR="00AD7E61"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Les congés pris à l'occasion d'un congé dans les foyers ou d'une visite familiale sont imputés sur le solde de congés annuels de l'agent, à l'exception du temps de voyage autorisé.</w:t>
      </w:r>
    </w:p>
    <w:p w14:paraId="7527CFC3" w14:textId="77777777" w:rsidR="00006B32" w:rsidRDefault="00006B32" w:rsidP="002E2D24">
      <w:pPr>
        <w:pStyle w:val="ListParagraph"/>
        <w:spacing w:after="0" w:line="259" w:lineRule="auto"/>
        <w:jc w:val="both"/>
        <w:rPr>
          <w:rFonts w:ascii="Calibri" w:eastAsia="Calibri" w:hAnsi="Calibri" w:cs="Calibri"/>
          <w:color w:val="000000"/>
          <w:kern w:val="0"/>
          <w:sz w:val="22"/>
          <w:szCs w:val="22"/>
          <w:lang w:val="fr-FR" w:eastAsia="en-GB"/>
          <w14:ligatures w14:val="none"/>
        </w:rPr>
      </w:pPr>
    </w:p>
    <w:p w14:paraId="28EF4338" w14:textId="16E88A57" w:rsidR="00006B32" w:rsidRPr="00B247FA" w:rsidRDefault="00006B32"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B247FA">
        <w:rPr>
          <w:rFonts w:ascii="Calibri" w:eastAsia="Calibri" w:hAnsi="Calibri" w:cs="Calibri"/>
          <w:color w:val="000000"/>
          <w:kern w:val="0"/>
          <w:sz w:val="22"/>
          <w:szCs w:val="22"/>
          <w:lang w:val="fr-FR" w:eastAsia="en-GB"/>
          <w14:ligatures w14:val="none"/>
        </w:rPr>
        <w:t xml:space="preserve">Pour les voyages aller et </w:t>
      </w:r>
      <w:r w:rsidR="006059D6" w:rsidRPr="006059D6">
        <w:rPr>
          <w:rFonts w:ascii="Calibri" w:eastAsia="Calibri" w:hAnsi="Calibri" w:cs="Calibri"/>
          <w:color w:val="000000"/>
          <w:kern w:val="0"/>
          <w:sz w:val="22"/>
          <w:szCs w:val="22"/>
          <w:lang w:val="fr-FR" w:eastAsia="en-GB"/>
          <w14:ligatures w14:val="none"/>
        </w:rPr>
        <w:t>retours effectués</w:t>
      </w:r>
      <w:r w:rsidRPr="00B247FA">
        <w:rPr>
          <w:rFonts w:ascii="Calibri" w:eastAsia="Calibri" w:hAnsi="Calibri" w:cs="Calibri"/>
          <w:color w:val="000000"/>
          <w:kern w:val="0"/>
          <w:sz w:val="22"/>
          <w:szCs w:val="22"/>
          <w:lang w:val="fr-FR" w:eastAsia="en-GB"/>
          <w14:ligatures w14:val="none"/>
        </w:rPr>
        <w:t xml:space="preserve"> dans le cadre d’une visite dans le pays d’origine ou d’une visite familiale, les membres du personnel se verront accorder un nombre fixe de jours de voyage non imputés sur les congés annuels, déterminé en fonction du vol le plus direct disponible, comme suit :</w:t>
      </w:r>
      <w:r>
        <w:rPr>
          <w:rFonts w:ascii="Calibri" w:eastAsia="Calibri" w:hAnsi="Calibri" w:cs="Calibri"/>
          <w:color w:val="000000"/>
          <w:kern w:val="0"/>
          <w:sz w:val="22"/>
          <w:szCs w:val="22"/>
          <w:lang w:val="fr-FR" w:eastAsia="en-GB"/>
          <w14:ligatures w14:val="none"/>
        </w:rPr>
        <w:t xml:space="preserve"> </w:t>
      </w:r>
    </w:p>
    <w:p w14:paraId="7088FA69" w14:textId="77777777" w:rsidR="0010745A" w:rsidRDefault="00006B32" w:rsidP="00B247FA">
      <w:pPr>
        <w:pStyle w:val="ListParagraph"/>
        <w:numPr>
          <w:ilvl w:val="1"/>
          <w:numId w:val="20"/>
        </w:numPr>
        <w:tabs>
          <w:tab w:val="left" w:pos="720"/>
          <w:tab w:val="left" w:pos="1080"/>
        </w:tabs>
        <w:spacing w:after="0" w:line="248" w:lineRule="auto"/>
        <w:ind w:right="33" w:hanging="720"/>
        <w:jc w:val="both"/>
        <w:rPr>
          <w:rFonts w:ascii="Calibri" w:eastAsia="Calibri" w:hAnsi="Calibri" w:cs="Calibri"/>
          <w:color w:val="000000"/>
          <w:kern w:val="0"/>
          <w:sz w:val="22"/>
          <w:szCs w:val="22"/>
          <w:lang w:val="fr-FR" w:eastAsia="en-GB"/>
          <w14:ligatures w14:val="none"/>
        </w:rPr>
      </w:pPr>
      <w:r w:rsidRPr="00B247FA">
        <w:rPr>
          <w:rFonts w:ascii="Calibri" w:eastAsia="Calibri" w:hAnsi="Calibri" w:cs="Calibri"/>
          <w:color w:val="000000"/>
          <w:kern w:val="0"/>
          <w:sz w:val="22"/>
          <w:szCs w:val="22"/>
          <w:lang w:val="fr-FR" w:eastAsia="en-GB"/>
          <w14:ligatures w14:val="none"/>
        </w:rPr>
        <w:t>Un jour pour chaque trajet de moins de 10 heures ;</w:t>
      </w:r>
    </w:p>
    <w:p w14:paraId="2D24F744" w14:textId="77777777" w:rsidR="009C209A" w:rsidRDefault="00006B32" w:rsidP="00B247FA">
      <w:pPr>
        <w:pStyle w:val="ListParagraph"/>
        <w:numPr>
          <w:ilvl w:val="1"/>
          <w:numId w:val="20"/>
        </w:numPr>
        <w:tabs>
          <w:tab w:val="left" w:pos="720"/>
          <w:tab w:val="left" w:pos="1080"/>
        </w:tabs>
        <w:spacing w:after="0" w:line="248" w:lineRule="auto"/>
        <w:ind w:right="33" w:hanging="720"/>
        <w:jc w:val="both"/>
        <w:rPr>
          <w:rFonts w:ascii="Calibri" w:eastAsia="Calibri" w:hAnsi="Calibri" w:cs="Calibri"/>
          <w:color w:val="000000"/>
          <w:kern w:val="0"/>
          <w:sz w:val="22"/>
          <w:szCs w:val="22"/>
          <w:lang w:val="fr-FR" w:eastAsia="en-GB"/>
          <w14:ligatures w14:val="none"/>
        </w:rPr>
      </w:pPr>
      <w:r w:rsidRPr="00B247FA">
        <w:rPr>
          <w:rFonts w:ascii="Calibri" w:eastAsia="Calibri" w:hAnsi="Calibri" w:cs="Calibri"/>
          <w:color w:val="000000"/>
          <w:kern w:val="0"/>
          <w:sz w:val="22"/>
          <w:szCs w:val="22"/>
          <w:lang w:val="fr-FR" w:eastAsia="en-GB"/>
          <w14:ligatures w14:val="none"/>
        </w:rPr>
        <w:t>Deux jours pour chaque trajet de 10 heures ou plus mais de moins de 16 heures ;</w:t>
      </w:r>
      <w:r w:rsidR="009C209A">
        <w:rPr>
          <w:rFonts w:ascii="Calibri" w:eastAsia="Calibri" w:hAnsi="Calibri" w:cs="Calibri"/>
          <w:color w:val="000000"/>
          <w:kern w:val="0"/>
          <w:sz w:val="22"/>
          <w:szCs w:val="22"/>
          <w:lang w:val="fr-FR" w:eastAsia="en-GB"/>
          <w14:ligatures w14:val="none"/>
        </w:rPr>
        <w:t xml:space="preserve"> </w:t>
      </w:r>
    </w:p>
    <w:p w14:paraId="7DF27A6E" w14:textId="04D0B707" w:rsidR="00006B32" w:rsidRPr="00B247FA" w:rsidRDefault="00006B32" w:rsidP="00B247FA">
      <w:pPr>
        <w:pStyle w:val="ListParagraph"/>
        <w:numPr>
          <w:ilvl w:val="1"/>
          <w:numId w:val="20"/>
        </w:numPr>
        <w:tabs>
          <w:tab w:val="left" w:pos="720"/>
          <w:tab w:val="left" w:pos="1080"/>
        </w:tabs>
        <w:spacing w:after="0" w:line="248" w:lineRule="auto"/>
        <w:ind w:right="33" w:hanging="720"/>
        <w:jc w:val="both"/>
        <w:rPr>
          <w:rFonts w:ascii="Calibri" w:eastAsia="Calibri" w:hAnsi="Calibri" w:cs="Calibri"/>
          <w:color w:val="000000"/>
          <w:kern w:val="0"/>
          <w:sz w:val="22"/>
          <w:szCs w:val="22"/>
          <w:lang w:val="fr-FR" w:eastAsia="en-GB"/>
          <w14:ligatures w14:val="none"/>
        </w:rPr>
      </w:pPr>
      <w:r w:rsidRPr="00B247FA">
        <w:rPr>
          <w:rFonts w:ascii="Calibri" w:eastAsia="Calibri" w:hAnsi="Calibri" w:cs="Calibri"/>
          <w:color w:val="000000"/>
          <w:kern w:val="0"/>
          <w:sz w:val="22"/>
          <w:szCs w:val="22"/>
          <w:lang w:val="fr-FR" w:eastAsia="en-GB"/>
          <w14:ligatures w14:val="none"/>
        </w:rPr>
        <w:t>Trois jours pour chaque trajet de 16 heures ou plus.</w:t>
      </w:r>
    </w:p>
    <w:p w14:paraId="512FD38F" w14:textId="77777777" w:rsidR="00006B32" w:rsidRPr="00AD7E61" w:rsidRDefault="00006B32" w:rsidP="00AD7E61">
      <w:pPr>
        <w:spacing w:after="0" w:line="248" w:lineRule="auto"/>
        <w:ind w:left="715" w:right="33" w:hanging="370"/>
        <w:jc w:val="both"/>
        <w:rPr>
          <w:rFonts w:ascii="Calibri" w:eastAsia="Calibri" w:hAnsi="Calibri" w:cs="Calibri"/>
          <w:color w:val="000000"/>
          <w:kern w:val="0"/>
          <w:sz w:val="22"/>
          <w:szCs w:val="22"/>
          <w:lang w:val="fr-FR" w:eastAsia="en-GB"/>
          <w14:ligatures w14:val="none"/>
        </w:rPr>
      </w:pPr>
    </w:p>
    <w:p w14:paraId="34F09BC5" w14:textId="77777777" w:rsidR="00AD7E61" w:rsidRPr="00AD7E61" w:rsidRDefault="00AD7E61" w:rsidP="00AD7E61">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Transfert du solde des congés annuels  </w:t>
      </w:r>
    </w:p>
    <w:p w14:paraId="0D94B6CD"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1D358EF9" w14:textId="77777777" w:rsidR="00AD7E61" w:rsidRPr="00AD7E61"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Des membres du personnel qui sont mutées, détachés ou prêtés à une autre organisation affectent leur crédit de congé annuel accumulé à l’organisation d’accueil. Le droit au congé annuel du membre du personnel concerné est régi et administré comme suit :  </w:t>
      </w:r>
    </w:p>
    <w:p w14:paraId="2ABA9849" w14:textId="77777777" w:rsidR="00AD7E61" w:rsidRPr="00AD7E61" w:rsidRDefault="00AD7E61" w:rsidP="00D61124">
      <w:pPr>
        <w:pStyle w:val="ListParagraph"/>
        <w:numPr>
          <w:ilvl w:val="1"/>
          <w:numId w:val="26"/>
        </w:numPr>
        <w:tabs>
          <w:tab w:val="left" w:pos="720"/>
          <w:tab w:val="left" w:pos="1080"/>
        </w:tabs>
        <w:spacing w:after="0" w:line="248" w:lineRule="auto"/>
        <w:ind w:left="1080" w:right="33"/>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Mutation ou détachement : régi(e) et administré(e) conformément au règlement de l’organisation d’accueil ; et  </w:t>
      </w:r>
    </w:p>
    <w:p w14:paraId="5370FA57" w14:textId="77777777" w:rsidR="00AD7E61" w:rsidRPr="00AD7E61" w:rsidRDefault="00AD7E61" w:rsidP="00D61124">
      <w:pPr>
        <w:pStyle w:val="ListParagraph"/>
        <w:numPr>
          <w:ilvl w:val="1"/>
          <w:numId w:val="26"/>
        </w:numPr>
        <w:tabs>
          <w:tab w:val="left" w:pos="720"/>
          <w:tab w:val="left" w:pos="1080"/>
        </w:tabs>
        <w:spacing w:after="0" w:line="248" w:lineRule="auto"/>
        <w:ind w:left="1080" w:right="33"/>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Prêt : régi conformément au règlement de l’organisation d’origine, mais soumis au contrôle administratif de l’organisation d’accueil.  </w:t>
      </w:r>
    </w:p>
    <w:p w14:paraId="3040C2EF" w14:textId="77777777" w:rsidR="00AD7E61" w:rsidRPr="00AD7E61" w:rsidRDefault="00AD7E61" w:rsidP="00AD7E61">
      <w:pPr>
        <w:spacing w:after="0" w:line="248" w:lineRule="auto"/>
        <w:ind w:left="705" w:right="33"/>
        <w:jc w:val="both"/>
        <w:rPr>
          <w:rFonts w:ascii="Calibri" w:eastAsia="Calibri" w:hAnsi="Calibri" w:cs="Calibri"/>
          <w:color w:val="000000"/>
          <w:kern w:val="0"/>
          <w:sz w:val="22"/>
          <w:szCs w:val="22"/>
          <w:lang w:val="fr-FR" w:eastAsia="en-GB"/>
          <w14:ligatures w14:val="none"/>
        </w:rPr>
      </w:pPr>
    </w:p>
    <w:p w14:paraId="3F8310CF" w14:textId="77777777" w:rsidR="00AD7E61" w:rsidRPr="00AD7E61"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Si des membres du personnel mutés, détachés ou prêtés à une autre organisation cesse d’exercer leur fonctions, le paiement des jours de congé annuel non utilisés est soumis aux conditions suivantes :  </w:t>
      </w:r>
    </w:p>
    <w:p w14:paraId="2228A1B4" w14:textId="77777777" w:rsidR="00AD7E61" w:rsidRPr="00AD7E61" w:rsidRDefault="00AD7E61" w:rsidP="00D61124">
      <w:pPr>
        <w:pStyle w:val="ListParagraph"/>
        <w:numPr>
          <w:ilvl w:val="1"/>
          <w:numId w:val="27"/>
        </w:numPr>
        <w:tabs>
          <w:tab w:val="left" w:pos="720"/>
          <w:tab w:val="left" w:pos="1080"/>
        </w:tabs>
        <w:spacing w:after="0" w:line="248" w:lineRule="auto"/>
        <w:ind w:left="1080" w:right="33"/>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Mutation ou détachement : la valeur maximale prévue par le règlement de l’organisation d’accueil ; et  </w:t>
      </w:r>
    </w:p>
    <w:p w14:paraId="0BD03B54" w14:textId="77777777" w:rsidR="00AD7E61" w:rsidRPr="00AD7E61" w:rsidRDefault="00AD7E61" w:rsidP="00D61124">
      <w:pPr>
        <w:pStyle w:val="ListParagraph"/>
        <w:numPr>
          <w:ilvl w:val="1"/>
          <w:numId w:val="27"/>
        </w:numPr>
        <w:tabs>
          <w:tab w:val="left" w:pos="720"/>
          <w:tab w:val="left" w:pos="1080"/>
        </w:tabs>
        <w:spacing w:after="0" w:line="248" w:lineRule="auto"/>
        <w:ind w:left="1080" w:right="33"/>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Prêt : la valeur maximale prévue par le règlement de l’organisation d’origine.  </w:t>
      </w:r>
    </w:p>
    <w:p w14:paraId="4E80BD30" w14:textId="77777777" w:rsidR="00AD7E61" w:rsidRPr="00AD7E61" w:rsidRDefault="00AD7E61" w:rsidP="00AD7E61">
      <w:pPr>
        <w:spacing w:after="0" w:line="248" w:lineRule="auto"/>
        <w:ind w:left="705" w:right="33"/>
        <w:jc w:val="both"/>
        <w:rPr>
          <w:rFonts w:ascii="Calibri" w:eastAsia="Calibri" w:hAnsi="Calibri" w:cs="Calibri"/>
          <w:color w:val="000000"/>
          <w:kern w:val="0"/>
          <w:sz w:val="22"/>
          <w:szCs w:val="22"/>
          <w:lang w:val="fr-FR" w:eastAsia="en-GB"/>
          <w14:ligatures w14:val="none"/>
        </w:rPr>
      </w:pPr>
    </w:p>
    <w:p w14:paraId="3BE6B2B4" w14:textId="77777777" w:rsidR="00AD7E61"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Décembres du personnel qui retournent dans l'organisme de détachement emportent avec lui tout crédit de congé annuel accumulé à la date prévue pour le retour.   </w:t>
      </w:r>
    </w:p>
    <w:p w14:paraId="6A1B6271" w14:textId="77777777" w:rsidR="002E2D24" w:rsidRDefault="002E2D24" w:rsidP="002E2D24">
      <w:pPr>
        <w:spacing w:after="0" w:line="259" w:lineRule="auto"/>
        <w:jc w:val="both"/>
        <w:rPr>
          <w:rFonts w:ascii="Calibri" w:eastAsia="Calibri" w:hAnsi="Calibri" w:cs="Calibri"/>
          <w:color w:val="000000"/>
          <w:kern w:val="0"/>
          <w:sz w:val="22"/>
          <w:szCs w:val="22"/>
          <w:lang w:val="fr-FR" w:eastAsia="en-GB"/>
          <w14:ligatures w14:val="none"/>
        </w:rPr>
      </w:pPr>
    </w:p>
    <w:p w14:paraId="6CC7DC3C" w14:textId="77777777" w:rsidR="002E2D24" w:rsidRPr="002E2D24" w:rsidRDefault="002E2D24" w:rsidP="002E2D24">
      <w:pPr>
        <w:spacing w:after="0" w:line="259" w:lineRule="auto"/>
        <w:jc w:val="both"/>
        <w:rPr>
          <w:rFonts w:ascii="Calibri" w:eastAsia="Calibri" w:hAnsi="Calibri" w:cs="Calibri"/>
          <w:color w:val="000000"/>
          <w:kern w:val="0"/>
          <w:sz w:val="22"/>
          <w:szCs w:val="22"/>
          <w:lang w:val="fr-FR" w:eastAsia="en-GB"/>
          <w14:ligatures w14:val="none"/>
        </w:rPr>
      </w:pPr>
    </w:p>
    <w:p w14:paraId="0942D3EB" w14:textId="1CE97B65" w:rsidR="00AD7E61" w:rsidRPr="00AD7E61" w:rsidRDefault="00AD7E61" w:rsidP="009541B6">
      <w:pPr>
        <w:spacing w:after="0" w:line="259" w:lineRule="auto"/>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lastRenderedPageBreak/>
        <w:t>Démission</w:t>
      </w:r>
      <w:r w:rsidRPr="00AD7E61">
        <w:rPr>
          <w:rFonts w:ascii="Calibri" w:eastAsia="Calibri" w:hAnsi="Calibri" w:cs="Calibri"/>
          <w:color w:val="000000"/>
          <w:kern w:val="0"/>
          <w:sz w:val="22"/>
          <w:szCs w:val="22"/>
          <w:lang w:val="fr-FR" w:eastAsia="en-GB"/>
          <w14:ligatures w14:val="none"/>
        </w:rPr>
        <w:t xml:space="preserve"> </w:t>
      </w:r>
      <w:r w:rsidRPr="00AD7E61">
        <w:rPr>
          <w:rFonts w:ascii="Calibri" w:eastAsia="Calibri" w:hAnsi="Calibri" w:cs="Calibri"/>
          <w:b/>
          <w:color w:val="000000"/>
          <w:kern w:val="0"/>
          <w:sz w:val="22"/>
          <w:szCs w:val="22"/>
          <w:lang w:val="fr-FR" w:eastAsia="en-GB"/>
          <w14:ligatures w14:val="none"/>
        </w:rPr>
        <w:t xml:space="preserve"> </w:t>
      </w:r>
    </w:p>
    <w:p w14:paraId="63C8A4BA"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236462EA" w14:textId="77777777" w:rsidR="00AD7E61" w:rsidRPr="00AD7E61"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Un/Une fonctionnaires sont appelés à exercer leurs fonctions tout au long de la période de préavis de démission, sauf lorsque la démission prend effet à l’expiration des délais suivants :  </w:t>
      </w:r>
    </w:p>
    <w:p w14:paraId="5D3381B3" w14:textId="77777777" w:rsidR="00AD7E61" w:rsidRPr="00B247FA" w:rsidRDefault="00AD7E61" w:rsidP="00D61124">
      <w:pPr>
        <w:numPr>
          <w:ilvl w:val="0"/>
          <w:numId w:val="21"/>
        </w:numPr>
        <w:spacing w:after="0" w:line="248" w:lineRule="auto"/>
        <w:ind w:left="1080" w:right="33" w:hanging="360"/>
        <w:jc w:val="both"/>
        <w:rPr>
          <w:rFonts w:ascii="Calibri" w:eastAsia="Calibri" w:hAnsi="Calibri" w:cs="Calibri"/>
          <w:color w:val="000000"/>
          <w:kern w:val="0"/>
          <w:sz w:val="22"/>
          <w:szCs w:val="22"/>
          <w:lang w:val="fr-FR" w:eastAsia="en-GB"/>
          <w14:ligatures w14:val="none"/>
        </w:rPr>
      </w:pPr>
      <w:r w:rsidRPr="00B247FA">
        <w:rPr>
          <w:rFonts w:ascii="Calibri" w:eastAsia="Calibri" w:hAnsi="Calibri" w:cs="Calibri"/>
          <w:color w:val="000000"/>
          <w:kern w:val="0"/>
          <w:sz w:val="22"/>
          <w:szCs w:val="22"/>
          <w:lang w:val="fr-FR" w:eastAsia="en-GB"/>
          <w14:ligatures w14:val="none"/>
        </w:rPr>
        <w:t xml:space="preserve">Congé parental ;  </w:t>
      </w:r>
    </w:p>
    <w:p w14:paraId="5DF2E528" w14:textId="2D245A48" w:rsidR="00FD584C" w:rsidRPr="00AD7E61" w:rsidRDefault="00AD7E61" w:rsidP="00D61124">
      <w:pPr>
        <w:numPr>
          <w:ilvl w:val="0"/>
          <w:numId w:val="21"/>
        </w:numPr>
        <w:spacing w:after="0" w:line="248" w:lineRule="auto"/>
        <w:ind w:left="1080" w:right="33"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Congé de maladie ; </w:t>
      </w:r>
      <w:proofErr w:type="gramStart"/>
      <w:r w:rsidRPr="00AD7E61">
        <w:rPr>
          <w:rFonts w:ascii="Calibri" w:eastAsia="Calibri" w:hAnsi="Calibri" w:cs="Calibri"/>
          <w:color w:val="000000"/>
          <w:kern w:val="0"/>
          <w:sz w:val="22"/>
          <w:szCs w:val="22"/>
          <w:lang w:val="fr-FR" w:eastAsia="en-GB"/>
          <w14:ligatures w14:val="none"/>
        </w:rPr>
        <w:t>ou</w:t>
      </w:r>
      <w:proofErr w:type="gramEnd"/>
      <w:r w:rsidRPr="00AD7E61">
        <w:rPr>
          <w:rFonts w:ascii="Calibri" w:eastAsia="Calibri" w:hAnsi="Calibri" w:cs="Calibri"/>
          <w:color w:val="000000"/>
          <w:kern w:val="0"/>
          <w:sz w:val="22"/>
          <w:szCs w:val="22"/>
          <w:lang w:val="fr-FR" w:eastAsia="en-GB"/>
          <w14:ligatures w14:val="none"/>
        </w:rPr>
        <w:t xml:space="preserve">  </w:t>
      </w:r>
    </w:p>
    <w:p w14:paraId="4FB5B0D8" w14:textId="77777777" w:rsidR="00AD7E61" w:rsidRPr="00B247FA" w:rsidRDefault="00AD7E61" w:rsidP="00D61124">
      <w:pPr>
        <w:numPr>
          <w:ilvl w:val="0"/>
          <w:numId w:val="21"/>
        </w:numPr>
        <w:spacing w:after="0" w:line="248" w:lineRule="auto"/>
        <w:ind w:left="1080" w:right="33" w:hanging="360"/>
        <w:jc w:val="both"/>
        <w:rPr>
          <w:rFonts w:ascii="Calibri" w:eastAsia="Calibri" w:hAnsi="Calibri" w:cs="Calibri"/>
          <w:color w:val="000000"/>
          <w:kern w:val="0"/>
          <w:sz w:val="22"/>
          <w:szCs w:val="22"/>
          <w:lang w:val="fr-FR" w:eastAsia="en-GB"/>
          <w14:ligatures w14:val="none"/>
        </w:rPr>
      </w:pPr>
      <w:hyperlink r:id="rId9">
        <w:r w:rsidRPr="00B247FA">
          <w:rPr>
            <w:rFonts w:ascii="Calibri" w:eastAsia="Calibri" w:hAnsi="Calibri" w:cs="Calibri"/>
            <w:color w:val="000000"/>
            <w:kern w:val="0"/>
            <w:sz w:val="22"/>
            <w:szCs w:val="22"/>
            <w:lang w:val="fr-FR" w:eastAsia="en-GB"/>
            <w14:ligatures w14:val="none"/>
          </w:rPr>
          <w:t>Congé spécial</w:t>
        </w:r>
      </w:hyperlink>
      <w:hyperlink r:id="rId10">
        <w:r w:rsidRPr="00B247FA">
          <w:rPr>
            <w:rFonts w:ascii="Calibri" w:eastAsia="Calibri" w:hAnsi="Calibri" w:cs="Calibri"/>
            <w:color w:val="000000"/>
            <w:kern w:val="0"/>
            <w:sz w:val="22"/>
            <w:szCs w:val="22"/>
            <w:lang w:val="fr-FR" w:eastAsia="en-GB"/>
            <w14:ligatures w14:val="none"/>
          </w:rPr>
          <w:t xml:space="preserve"> </w:t>
        </w:r>
      </w:hyperlink>
    </w:p>
    <w:p w14:paraId="084E3353"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3B13BD5C" w14:textId="77777777" w:rsidR="00AD7E61" w:rsidRPr="00AD7E61"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Le congé annuel ne peut être approuvé pendant la période de préavis de démission que pour de brèves périodes et sous réserve des nécessités du service.  </w:t>
      </w:r>
    </w:p>
    <w:p w14:paraId="7F5453D3" w14:textId="77777777" w:rsidR="00AD7E61" w:rsidRDefault="00AD7E61" w:rsidP="00AD7E61">
      <w:pPr>
        <w:spacing w:after="0" w:line="248" w:lineRule="auto"/>
        <w:ind w:left="426" w:right="33"/>
        <w:jc w:val="both"/>
        <w:rPr>
          <w:rFonts w:ascii="Calibri" w:eastAsia="Calibri" w:hAnsi="Calibri" w:cs="Calibri"/>
          <w:color w:val="000000"/>
          <w:kern w:val="0"/>
          <w:sz w:val="22"/>
          <w:szCs w:val="22"/>
          <w:lang w:val="fr-FR" w:eastAsia="en-GB"/>
          <w14:ligatures w14:val="none"/>
        </w:rPr>
      </w:pPr>
    </w:p>
    <w:p w14:paraId="4216AB83" w14:textId="77777777" w:rsidR="00AD7E61" w:rsidRPr="00AD7E61" w:rsidRDefault="00AD7E61" w:rsidP="00B247FA">
      <w:pPr>
        <w:spacing w:after="0" w:line="259" w:lineRule="auto"/>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Service gouvernemental ou militaire  </w:t>
      </w:r>
    </w:p>
    <w:p w14:paraId="7ABE9541"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7C70E88E" w14:textId="604AA951" w:rsidR="00AD7E61" w:rsidRPr="00B247FA"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B247FA">
        <w:rPr>
          <w:rFonts w:ascii="Calibri" w:eastAsia="Calibri" w:hAnsi="Calibri" w:cs="Calibri"/>
          <w:color w:val="000000"/>
          <w:kern w:val="0"/>
          <w:sz w:val="22"/>
          <w:szCs w:val="22"/>
          <w:lang w:val="fr-FR" w:eastAsia="en-GB"/>
          <w14:ligatures w14:val="none"/>
        </w:rPr>
        <w:t xml:space="preserve">Les fonctionnaires qui bénéficient d’un congé spécial sans traitement pour avoir servi dans le gouvernement ou dans l’armée voient leurs congés annuels accumulés conservés à titre de crédit jusqu’à la date de reprise de service.  </w:t>
      </w:r>
    </w:p>
    <w:p w14:paraId="129678DD" w14:textId="77777777" w:rsidR="00AD7E61" w:rsidRPr="00AD7E61" w:rsidRDefault="00AD7E61" w:rsidP="00AD7E61">
      <w:pPr>
        <w:spacing w:after="0" w:line="259" w:lineRule="auto"/>
        <w:rPr>
          <w:rFonts w:ascii="Calibri" w:eastAsia="Calibri" w:hAnsi="Calibri" w:cs="Calibri"/>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 </w:t>
      </w:r>
    </w:p>
    <w:p w14:paraId="31A771B4" w14:textId="77777777" w:rsidR="00AD7E61" w:rsidRPr="00AD7E61" w:rsidRDefault="00AD7E61" w:rsidP="00AD7E61">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Indemnité journalière de subsistance versée lors de la mission officielle  </w:t>
      </w:r>
    </w:p>
    <w:p w14:paraId="7FC1E1CD"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4C006664" w14:textId="7D106ED9" w:rsidR="00AD7E61" w:rsidRPr="00AD7E61"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Un membre du personnel qui prend un congé annuel alors qu’il est en voyage officiel pour le compte du PNUD peut prétendre à une indemnité journalière de subsistance (</w:t>
      </w:r>
      <w:r w:rsidRPr="002E2D24">
        <w:rPr>
          <w:rFonts w:ascii="Calibri" w:eastAsia="Calibri" w:hAnsi="Calibri" w:cs="Calibri"/>
          <w:i/>
          <w:iCs/>
          <w:color w:val="000000"/>
          <w:kern w:val="0"/>
          <w:sz w:val="22"/>
          <w:szCs w:val="22"/>
          <w:lang w:val="fr-FR" w:eastAsia="en-GB"/>
          <w14:ligatures w14:val="none"/>
        </w:rPr>
        <w:t xml:space="preserve">Daily </w:t>
      </w:r>
      <w:proofErr w:type="spellStart"/>
      <w:r w:rsidRPr="002E2D24">
        <w:rPr>
          <w:rFonts w:ascii="Calibri" w:eastAsia="Calibri" w:hAnsi="Calibri" w:cs="Calibri"/>
          <w:i/>
          <w:iCs/>
          <w:color w:val="000000"/>
          <w:kern w:val="0"/>
          <w:sz w:val="22"/>
          <w:szCs w:val="22"/>
          <w:lang w:val="fr-FR" w:eastAsia="en-GB"/>
          <w14:ligatures w14:val="none"/>
        </w:rPr>
        <w:t>Subsistence</w:t>
      </w:r>
      <w:proofErr w:type="spellEnd"/>
      <w:r w:rsidRPr="002E2D24">
        <w:rPr>
          <w:rFonts w:ascii="Calibri" w:eastAsia="Calibri" w:hAnsi="Calibri" w:cs="Calibri"/>
          <w:i/>
          <w:iCs/>
          <w:color w:val="000000"/>
          <w:kern w:val="0"/>
          <w:sz w:val="22"/>
          <w:szCs w:val="22"/>
          <w:lang w:val="fr-FR" w:eastAsia="en-GB"/>
          <w14:ligatures w14:val="none"/>
        </w:rPr>
        <w:t xml:space="preserve"> </w:t>
      </w:r>
      <w:proofErr w:type="spellStart"/>
      <w:r w:rsidRPr="002E2D24">
        <w:rPr>
          <w:rFonts w:ascii="Calibri" w:eastAsia="Calibri" w:hAnsi="Calibri" w:cs="Calibri"/>
          <w:i/>
          <w:iCs/>
          <w:color w:val="000000"/>
          <w:kern w:val="0"/>
          <w:sz w:val="22"/>
          <w:szCs w:val="22"/>
          <w:lang w:val="fr-FR" w:eastAsia="en-GB"/>
          <w14:ligatures w14:val="none"/>
        </w:rPr>
        <w:t>Allowance</w:t>
      </w:r>
      <w:proofErr w:type="spellEnd"/>
      <w:r w:rsidRPr="00AD7E61">
        <w:rPr>
          <w:rFonts w:ascii="Calibri" w:eastAsia="Calibri" w:hAnsi="Calibri" w:cs="Calibri"/>
          <w:color w:val="000000"/>
          <w:kern w:val="0"/>
          <w:sz w:val="22"/>
          <w:szCs w:val="22"/>
          <w:lang w:val="fr-FR" w:eastAsia="en-GB"/>
          <w14:ligatures w14:val="none"/>
        </w:rPr>
        <w:t xml:space="preserve">, DSA) d’une valeur maximale de 1,5 jour de congé annuel, pour chaque mois complet de voyage, à condition que le congé annuel ne soit pas pris à la fin de sa mission ou immédiatement avant son retour au lieu d’affectation officiel. (Exemple) : Si un membre du personnel voyage pour deux mois, la demande d’indemnité journalière de subsistance peut être faite pour trois jours de congé annuel, à condition qu’il retourne à son lieu de voyage à la fin de son congé annuel.  </w:t>
      </w:r>
    </w:p>
    <w:p w14:paraId="4664D9FA" w14:textId="77777777" w:rsidR="00AD7E61" w:rsidRPr="00AD7E61" w:rsidRDefault="00AD7E61" w:rsidP="00AD7E61">
      <w:pPr>
        <w:spacing w:after="0" w:line="259" w:lineRule="auto"/>
        <w:rPr>
          <w:rFonts w:ascii="Calibri" w:eastAsia="Calibri" w:hAnsi="Calibri" w:cs="Calibri"/>
          <w:color w:val="000000"/>
          <w:kern w:val="0"/>
          <w:sz w:val="22"/>
          <w:szCs w:val="22"/>
          <w:lang w:val="fr-FR" w:eastAsia="en-GB"/>
          <w14:ligatures w14:val="none"/>
        </w:rPr>
      </w:pPr>
    </w:p>
    <w:p w14:paraId="260B28E2" w14:textId="77777777" w:rsidR="00AD7E61" w:rsidRPr="00AD7E61" w:rsidRDefault="00AD7E61" w:rsidP="00AD7E61">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Congé parental</w:t>
      </w:r>
      <w:r w:rsidRPr="00AD7E61">
        <w:rPr>
          <w:rFonts w:ascii="Calibri" w:eastAsia="Calibri" w:hAnsi="Calibri" w:cs="Calibri"/>
          <w:color w:val="000000"/>
          <w:kern w:val="0"/>
          <w:sz w:val="22"/>
          <w:szCs w:val="22"/>
          <w:lang w:val="fr-FR" w:eastAsia="en-GB"/>
          <w14:ligatures w14:val="none"/>
        </w:rPr>
        <w:t xml:space="preserve"> </w:t>
      </w:r>
      <w:r w:rsidRPr="00AD7E61">
        <w:rPr>
          <w:rFonts w:ascii="Calibri" w:eastAsia="Calibri" w:hAnsi="Calibri" w:cs="Calibri"/>
          <w:b/>
          <w:color w:val="000000"/>
          <w:kern w:val="0"/>
          <w:sz w:val="22"/>
          <w:szCs w:val="22"/>
          <w:lang w:val="fr-FR" w:eastAsia="en-GB"/>
          <w14:ligatures w14:val="none"/>
        </w:rPr>
        <w:t xml:space="preserve"> </w:t>
      </w:r>
    </w:p>
    <w:p w14:paraId="152C3082"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5B4DACDD" w14:textId="77777777" w:rsidR="00AD7E61" w:rsidRPr="00AD7E61"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Lorsqu’un contrat d’engagement est prorogé uniquement pour permettre à un membre du personnel d’utiliser son congé parental, cette prorogation ne donne pas droit à d’autres augmentations de traitement, congés annuels ou congés dans les foyers.  </w:t>
      </w:r>
    </w:p>
    <w:p w14:paraId="4DED789F" w14:textId="7E629A08" w:rsidR="00AD7E61" w:rsidRPr="00AD7E61" w:rsidRDefault="00AD7E61" w:rsidP="002E2D24">
      <w:pPr>
        <w:pStyle w:val="ListParagraph"/>
        <w:spacing w:after="0" w:line="259" w:lineRule="auto"/>
        <w:jc w:val="both"/>
        <w:rPr>
          <w:rFonts w:ascii="Calibri" w:eastAsia="Calibri" w:hAnsi="Calibri" w:cs="Calibri"/>
          <w:color w:val="000000"/>
          <w:kern w:val="0"/>
          <w:sz w:val="22"/>
          <w:szCs w:val="22"/>
          <w:lang w:val="fr-FR" w:eastAsia="en-GB"/>
          <w14:ligatures w14:val="none"/>
        </w:rPr>
      </w:pPr>
    </w:p>
    <w:p w14:paraId="2C5C54F7" w14:textId="7A7981C6" w:rsidR="00840AD2" w:rsidRPr="00DE7E34" w:rsidRDefault="00840AD2"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DE7E34">
        <w:rPr>
          <w:rFonts w:ascii="Calibri" w:eastAsia="Calibri" w:hAnsi="Calibri" w:cs="Calibri"/>
          <w:color w:val="000000"/>
          <w:kern w:val="0"/>
          <w:sz w:val="22"/>
          <w:szCs w:val="22"/>
          <w:lang w:val="fr-FR" w:eastAsia="en-GB"/>
          <w14:ligatures w14:val="none"/>
        </w:rPr>
        <w:t>Les congés annuels accumulés pendant la période de congé parental n’auront pas à être épuisés pour les membres du personnel titulaires d’un engagement PA/CA/FTA si la période de congé parental est immédiatement suivie d’une période de congé spécial sans traitement. Les membres du personnel titulaires d’un engagement temporaire ne sont pas éligibles au congé parental non payé.</w:t>
      </w:r>
    </w:p>
    <w:p w14:paraId="5116A253" w14:textId="77777777" w:rsidR="005D485F" w:rsidRDefault="005D485F" w:rsidP="00B247FA">
      <w:pPr>
        <w:pStyle w:val="ListParagraph"/>
        <w:rPr>
          <w:rFonts w:ascii="Calibri" w:eastAsia="Calibri" w:hAnsi="Calibri" w:cs="Calibri"/>
          <w:color w:val="000000"/>
          <w:kern w:val="0"/>
          <w:sz w:val="22"/>
          <w:szCs w:val="22"/>
          <w:lang w:val="fr-FR" w:eastAsia="en-GB"/>
          <w14:ligatures w14:val="none"/>
        </w:rPr>
      </w:pPr>
    </w:p>
    <w:p w14:paraId="5ACC4C64" w14:textId="77777777" w:rsidR="00AD7E61" w:rsidRDefault="00AD7E61" w:rsidP="00AD7E61">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lastRenderedPageBreak/>
        <w:t xml:space="preserve">Accumulation maximale de congés annuels  </w:t>
      </w:r>
    </w:p>
    <w:p w14:paraId="79AF9FB7" w14:textId="77777777" w:rsidR="005121CB" w:rsidRPr="00AD7E61" w:rsidRDefault="005121CB" w:rsidP="00AD7E61">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p>
    <w:p w14:paraId="692FA504" w14:textId="659C4605" w:rsidR="00AD7E61" w:rsidRPr="005121CB" w:rsidRDefault="00AD7E61"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5121CB">
        <w:rPr>
          <w:rFonts w:ascii="Calibri" w:eastAsia="Calibri" w:hAnsi="Calibri" w:cs="Calibri"/>
          <w:color w:val="000000"/>
          <w:kern w:val="0"/>
          <w:sz w:val="22"/>
          <w:szCs w:val="22"/>
          <w:lang w:val="fr-FR" w:eastAsia="en-GB"/>
          <w14:ligatures w14:val="none"/>
        </w:rPr>
        <w:t xml:space="preserve">L’accumulation des congés annuels doit rigoureusement respecter les limites suivantes. Les fonctionnaires devraient surveiller leur solde de congés, mais aussi planifier et utiliser le droit d’exercer leurs congés en conséquence afin d’éviter de perdre tout solde excédentaire au-delà de la date limite annuelle.  </w:t>
      </w:r>
    </w:p>
    <w:p w14:paraId="00ECF15B" w14:textId="77777777" w:rsidR="00566D6D" w:rsidRDefault="00566D6D" w:rsidP="00566D6D">
      <w:pPr>
        <w:spacing w:after="0" w:line="259" w:lineRule="auto"/>
        <w:ind w:right="33"/>
        <w:jc w:val="both"/>
        <w:rPr>
          <w:rFonts w:ascii="Calibri" w:eastAsia="Calibri" w:hAnsi="Calibri" w:cs="Calibri"/>
          <w:color w:val="000000"/>
          <w:kern w:val="0"/>
          <w:sz w:val="22"/>
          <w:szCs w:val="22"/>
          <w:lang w:val="fr-FR" w:eastAsia="en-GB"/>
          <w14:ligatures w14:val="none"/>
        </w:rPr>
      </w:pPr>
    </w:p>
    <w:p w14:paraId="23A70D9A" w14:textId="4B202294" w:rsidR="004237C4" w:rsidRPr="0035169F" w:rsidRDefault="00995516" w:rsidP="0035169F">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35169F">
        <w:rPr>
          <w:rFonts w:ascii="Calibri" w:eastAsia="Calibri" w:hAnsi="Calibri" w:cs="Calibri"/>
          <w:b/>
          <w:color w:val="000000"/>
          <w:kern w:val="0"/>
          <w:sz w:val="22"/>
          <w:szCs w:val="22"/>
          <w:lang w:val="fr-FR" w:eastAsia="en-GB"/>
          <w14:ligatures w14:val="none"/>
        </w:rPr>
        <w:t>Report des congés annuels à la fin de l'année de congé (date limite : 31 mars)</w:t>
      </w:r>
    </w:p>
    <w:p w14:paraId="4DAA726C" w14:textId="289459AB" w:rsidR="004237C4" w:rsidRPr="00AD7E61" w:rsidRDefault="004237C4" w:rsidP="004237C4">
      <w:pPr>
        <w:spacing w:after="0" w:line="259" w:lineRule="auto"/>
        <w:ind w:left="720"/>
        <w:rPr>
          <w:rFonts w:ascii="Calibri" w:eastAsia="Calibri" w:hAnsi="Calibri" w:cs="Calibri"/>
          <w:color w:val="000000"/>
          <w:kern w:val="0"/>
          <w:sz w:val="22"/>
          <w:szCs w:val="22"/>
          <w:lang w:val="fr-FR" w:eastAsia="en-GB"/>
          <w14:ligatures w14:val="none"/>
        </w:rPr>
      </w:pPr>
    </w:p>
    <w:p w14:paraId="21D47397" w14:textId="798BB2AD" w:rsidR="006F1503" w:rsidRDefault="006F1503"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6F1503">
        <w:rPr>
          <w:rFonts w:ascii="Calibri" w:eastAsia="Calibri" w:hAnsi="Calibri" w:cs="Calibri"/>
          <w:color w:val="000000"/>
          <w:kern w:val="0"/>
          <w:sz w:val="22"/>
          <w:szCs w:val="22"/>
          <w:lang w:val="fr-FR" w:eastAsia="en-GB"/>
          <w14:ligatures w14:val="none"/>
        </w:rPr>
        <w:t xml:space="preserve">Dans un souci de bien-être, il est recommandé aux membres du personnel de prendre au moins la moitié de leurs congés annuels chaque année. De plus, ils sont vivement encouragés à prendre chaque année une période raisonnable de congés annuels consécutifs. Sous réserve de ce qui précède, les </w:t>
      </w:r>
      <w:r w:rsidR="004E768F" w:rsidRPr="004E768F">
        <w:rPr>
          <w:rFonts w:ascii="Calibri" w:eastAsia="Calibri" w:hAnsi="Calibri" w:cs="Calibri"/>
          <w:color w:val="000000"/>
          <w:kern w:val="0"/>
          <w:sz w:val="22"/>
          <w:szCs w:val="22"/>
          <w:lang w:val="fr-FR" w:eastAsia="en-GB"/>
          <w14:ligatures w14:val="none"/>
        </w:rPr>
        <w:t xml:space="preserve">fonctionnaires </w:t>
      </w:r>
      <w:r w:rsidRPr="006F1503">
        <w:rPr>
          <w:rFonts w:ascii="Calibri" w:eastAsia="Calibri" w:hAnsi="Calibri" w:cs="Calibri"/>
          <w:color w:val="000000"/>
          <w:kern w:val="0"/>
          <w:sz w:val="22"/>
          <w:szCs w:val="22"/>
          <w:lang w:val="fr-FR" w:eastAsia="en-GB"/>
          <w14:ligatures w14:val="none"/>
        </w:rPr>
        <w:t xml:space="preserve">régis par le Règlement et les Règles du personnel des Nations Unies peuvent reporter un maximum de 60 jours de congés annuels accumulés au-delà du 31 mars de chaque année. </w:t>
      </w:r>
      <w:r w:rsidR="00150A5C" w:rsidRPr="00150A5C">
        <w:rPr>
          <w:rFonts w:ascii="Calibri" w:eastAsia="Calibri" w:hAnsi="Calibri" w:cs="Calibri"/>
          <w:color w:val="000000"/>
          <w:kern w:val="0"/>
          <w:sz w:val="22"/>
          <w:szCs w:val="22"/>
          <w:lang w:val="fr-FR" w:eastAsia="en-GB"/>
          <w14:ligatures w14:val="none"/>
        </w:rPr>
        <w:t xml:space="preserve">Au 1er avril, tous les jours de congé annuel accumulés supérieurs 60 jours sont dévolus.  </w:t>
      </w:r>
    </w:p>
    <w:p w14:paraId="38F58824" w14:textId="77777777" w:rsidR="00862D18" w:rsidRDefault="00862D18" w:rsidP="00B247FA">
      <w:pPr>
        <w:spacing w:after="0" w:line="248" w:lineRule="auto"/>
        <w:ind w:right="33"/>
        <w:jc w:val="both"/>
        <w:rPr>
          <w:rFonts w:ascii="Calibri" w:eastAsia="Calibri" w:hAnsi="Calibri" w:cs="Calibri"/>
          <w:color w:val="000000"/>
          <w:kern w:val="0"/>
          <w:sz w:val="22"/>
          <w:szCs w:val="22"/>
          <w:lang w:val="fr-FR" w:eastAsia="en-GB"/>
          <w14:ligatures w14:val="none"/>
        </w:rPr>
      </w:pPr>
    </w:p>
    <w:p w14:paraId="4BF314EE" w14:textId="77777777" w:rsidR="005121CB" w:rsidRDefault="005121CB" w:rsidP="00A46D97">
      <w:pPr>
        <w:spacing w:after="0" w:line="248" w:lineRule="auto"/>
        <w:ind w:left="360" w:right="33"/>
        <w:jc w:val="both"/>
        <w:rPr>
          <w:rFonts w:ascii="Calibri" w:eastAsia="Calibri" w:hAnsi="Calibri" w:cs="Calibri"/>
          <w:color w:val="000000"/>
          <w:kern w:val="0"/>
          <w:sz w:val="22"/>
          <w:szCs w:val="22"/>
          <w:lang w:val="fr-FR" w:eastAsia="en-GB"/>
          <w14:ligatures w14:val="none"/>
        </w:rPr>
      </w:pPr>
    </w:p>
    <w:p w14:paraId="4CED1B6B" w14:textId="77777777" w:rsidR="00AD7E61" w:rsidRPr="00AD7E61" w:rsidRDefault="00AD7E61" w:rsidP="00AD7E61">
      <w:pPr>
        <w:keepNext/>
        <w:keepLines/>
        <w:spacing w:after="0" w:line="259" w:lineRule="auto"/>
        <w:ind w:left="-5" w:hanging="10"/>
        <w:outlineLvl w:val="0"/>
        <w:rPr>
          <w:rFonts w:ascii="Calibri" w:eastAsia="Calibri" w:hAnsi="Calibri" w:cs="Calibri"/>
          <w:b/>
          <w:color w:val="000000"/>
          <w:kern w:val="0"/>
          <w:sz w:val="22"/>
          <w:szCs w:val="22"/>
          <w:lang w:val="fr-FR" w:eastAsia="en-GB"/>
          <w14:ligatures w14:val="none"/>
        </w:rPr>
      </w:pPr>
      <w:r w:rsidRPr="00AD7E61">
        <w:rPr>
          <w:rFonts w:ascii="Calibri" w:eastAsia="Calibri" w:hAnsi="Calibri" w:cs="Calibri"/>
          <w:b/>
          <w:color w:val="000000"/>
          <w:kern w:val="0"/>
          <w:sz w:val="22"/>
          <w:szCs w:val="22"/>
          <w:lang w:val="fr-FR" w:eastAsia="en-GB"/>
          <w14:ligatures w14:val="none"/>
        </w:rPr>
        <w:t xml:space="preserve">Congé annuel anticipé </w:t>
      </w:r>
    </w:p>
    <w:p w14:paraId="3F41A86B" w14:textId="77777777" w:rsidR="00AD7E61" w:rsidRPr="00AD7E61" w:rsidRDefault="00AD7E61" w:rsidP="00AD7E61">
      <w:pPr>
        <w:spacing w:after="0" w:line="259" w:lineRule="auto"/>
        <w:ind w:left="720"/>
        <w:rPr>
          <w:rFonts w:ascii="Calibri" w:eastAsia="Calibri" w:hAnsi="Calibri" w:cs="Calibri"/>
          <w:color w:val="000000"/>
          <w:kern w:val="0"/>
          <w:sz w:val="22"/>
          <w:szCs w:val="22"/>
          <w:lang w:val="fr-FR" w:eastAsia="en-GB"/>
          <w14:ligatures w14:val="none"/>
        </w:rPr>
      </w:pPr>
      <w:r w:rsidRPr="00AD7E61">
        <w:rPr>
          <w:rFonts w:ascii="Calibri" w:eastAsia="Calibri" w:hAnsi="Calibri" w:cs="Calibri"/>
          <w:color w:val="000000"/>
          <w:kern w:val="0"/>
          <w:sz w:val="22"/>
          <w:szCs w:val="22"/>
          <w:lang w:val="fr-FR" w:eastAsia="en-GB"/>
          <w14:ligatures w14:val="none"/>
        </w:rPr>
        <w:t xml:space="preserve"> </w:t>
      </w:r>
    </w:p>
    <w:p w14:paraId="1F4E4C88" w14:textId="3E5B4E46" w:rsidR="00AD7E61" w:rsidRPr="00B247FA" w:rsidRDefault="00D32C3B" w:rsidP="002E2D24">
      <w:pPr>
        <w:pStyle w:val="ListParagraph"/>
        <w:numPr>
          <w:ilvl w:val="0"/>
          <w:numId w:val="29"/>
        </w:numPr>
        <w:spacing w:after="0" w:line="259" w:lineRule="auto"/>
        <w:ind w:left="720" w:hanging="360"/>
        <w:jc w:val="both"/>
        <w:rPr>
          <w:rFonts w:ascii="Calibri" w:eastAsia="Calibri" w:hAnsi="Calibri" w:cs="Calibri"/>
          <w:color w:val="000000"/>
          <w:kern w:val="0"/>
          <w:sz w:val="22"/>
          <w:szCs w:val="22"/>
          <w:lang w:val="fr-FR" w:eastAsia="en-GB"/>
          <w14:ligatures w14:val="none"/>
        </w:rPr>
      </w:pPr>
      <w:r w:rsidRPr="00D32C3B">
        <w:rPr>
          <w:rFonts w:ascii="Calibri" w:eastAsia="Calibri" w:hAnsi="Calibri" w:cs="Calibri"/>
          <w:color w:val="000000"/>
          <w:kern w:val="0"/>
          <w:sz w:val="22"/>
          <w:szCs w:val="22"/>
          <w:lang w:val="fr-FR" w:eastAsia="en-GB"/>
          <w14:ligatures w14:val="none"/>
        </w:rPr>
        <w:t>Avec l’autorisation du RR/chef de bureau, un membre du personnel peut, dans des circonstances exceptionnelles, se voir accorder une avance sur congé annuel allant jusqu’à un maximum de 10 jours ouvrables (pour les titulaires d’un engagement FTA/PA/CA) ou de 5 jours ouvrables (pour les titulaires d’un engagement TA), à condition que la durée prévue du service soit suffisante pour permettre l’acquisition du congé anticipé. Si le membre du personnel prend plus que le nombre maximal de jours ouvrables pouvant être accordés à titre de congé anticipé, toute la période excédant les congés annuels acquis sera considérée comme un congé spécial sans traitement.</w:t>
      </w:r>
      <w:r w:rsidRPr="00D32C3B" w:rsidDel="006B651C">
        <w:rPr>
          <w:rFonts w:ascii="Calibri" w:eastAsia="Calibri" w:hAnsi="Calibri" w:cs="Calibri"/>
          <w:color w:val="000000"/>
          <w:kern w:val="0"/>
          <w:sz w:val="22"/>
          <w:szCs w:val="22"/>
          <w:lang w:val="fr-FR" w:eastAsia="en-GB"/>
          <w14:ligatures w14:val="none"/>
        </w:rPr>
        <w:t xml:space="preserve"> </w:t>
      </w:r>
    </w:p>
    <w:p w14:paraId="6012CAC2" w14:textId="77777777" w:rsidR="00D32C3B" w:rsidRPr="002E2D24" w:rsidRDefault="00D32C3B" w:rsidP="002E2D24">
      <w:pPr>
        <w:pStyle w:val="ListParagraph"/>
        <w:spacing w:after="0" w:line="259" w:lineRule="auto"/>
        <w:jc w:val="both"/>
        <w:rPr>
          <w:rFonts w:ascii="Calibri" w:eastAsia="Calibri" w:hAnsi="Calibri" w:cs="Calibri"/>
          <w:color w:val="000000"/>
          <w:kern w:val="0"/>
          <w:sz w:val="22"/>
          <w:szCs w:val="22"/>
          <w:lang w:val="fr-FR" w:eastAsia="en-GB"/>
          <w14:ligatures w14:val="none"/>
        </w:rPr>
      </w:pPr>
    </w:p>
    <w:p w14:paraId="3E56BB3B" w14:textId="77777777" w:rsidR="00D32C3B" w:rsidRPr="002E2D24" w:rsidRDefault="00D32C3B" w:rsidP="002E2D24">
      <w:pPr>
        <w:pStyle w:val="ListParagraph"/>
        <w:spacing w:after="0" w:line="259" w:lineRule="auto"/>
        <w:jc w:val="both"/>
        <w:rPr>
          <w:rFonts w:ascii="Calibri" w:eastAsia="Calibri" w:hAnsi="Calibri" w:cs="Calibri"/>
          <w:color w:val="000000"/>
          <w:kern w:val="0"/>
          <w:sz w:val="22"/>
          <w:szCs w:val="22"/>
          <w:lang w:val="fr-FR" w:eastAsia="en-GB"/>
          <w14:ligatures w14:val="none"/>
        </w:rPr>
      </w:pPr>
    </w:p>
    <w:p w14:paraId="179C5D41" w14:textId="77777777" w:rsidR="00D32C3B" w:rsidRDefault="00D32C3B" w:rsidP="00AD7E61">
      <w:pPr>
        <w:spacing w:after="0" w:line="259" w:lineRule="auto"/>
        <w:rPr>
          <w:rFonts w:ascii="Calibri" w:eastAsia="Calibri" w:hAnsi="Calibri" w:cs="Calibri"/>
          <w:b/>
          <w:color w:val="333333"/>
          <w:kern w:val="0"/>
          <w:sz w:val="22"/>
          <w:szCs w:val="22"/>
          <w:lang w:val="fr-FR" w:eastAsia="en-GB"/>
          <w14:ligatures w14:val="none"/>
        </w:rPr>
      </w:pPr>
    </w:p>
    <w:p w14:paraId="3D74E3F1" w14:textId="77777777" w:rsidR="00D32C3B" w:rsidRPr="00AD7E61" w:rsidRDefault="00D32C3B" w:rsidP="00AD7E61">
      <w:pPr>
        <w:spacing w:after="0" w:line="259" w:lineRule="auto"/>
        <w:rPr>
          <w:rFonts w:ascii="Calibri" w:eastAsia="Calibri" w:hAnsi="Calibri" w:cs="Calibri"/>
          <w:b/>
          <w:color w:val="333333"/>
          <w:kern w:val="0"/>
          <w:sz w:val="22"/>
          <w:szCs w:val="22"/>
          <w:lang w:val="fr-FR" w:eastAsia="en-GB"/>
          <w14:ligatures w14:val="none"/>
        </w:rPr>
      </w:pPr>
    </w:p>
    <w:p w14:paraId="77222FDD" w14:textId="77777777" w:rsidR="00AD7E61" w:rsidRPr="00AD7E61" w:rsidRDefault="00AD7E61" w:rsidP="00AD7E61">
      <w:pPr>
        <w:spacing w:after="0" w:line="259" w:lineRule="auto"/>
        <w:rPr>
          <w:rFonts w:ascii="Calibri" w:eastAsia="Calibri" w:hAnsi="Calibri" w:cs="Calibri"/>
          <w:b/>
          <w:color w:val="333333"/>
          <w:kern w:val="0"/>
          <w:sz w:val="22"/>
          <w:szCs w:val="22"/>
          <w:lang w:val="fr-FR" w:eastAsia="en-GB"/>
          <w14:ligatures w14:val="none"/>
        </w:rPr>
      </w:pPr>
    </w:p>
    <w:p w14:paraId="759328DE" w14:textId="77777777" w:rsidR="00AD7E61" w:rsidRPr="00AD7E61" w:rsidRDefault="00AD7E61" w:rsidP="00AD7E61">
      <w:pPr>
        <w:spacing w:after="0" w:line="259" w:lineRule="auto"/>
        <w:ind w:left="720"/>
        <w:jc w:val="center"/>
        <w:rPr>
          <w:rFonts w:ascii="Calibri" w:eastAsia="Calibri" w:hAnsi="Calibri" w:cs="Calibri"/>
          <w:i/>
          <w:iCs/>
          <w:color w:val="000000"/>
          <w:kern w:val="0"/>
          <w:sz w:val="22"/>
          <w:szCs w:val="22"/>
          <w:lang w:val="en-GB" w:eastAsia="es-ES" w:bidi="es-ES"/>
          <w14:ligatures w14:val="none"/>
        </w:rPr>
      </w:pPr>
      <w:r w:rsidRPr="00AD7E61">
        <w:rPr>
          <w:rFonts w:ascii="Calibri" w:eastAsia="Calibri" w:hAnsi="Calibri" w:cs="Calibri"/>
          <w:b/>
          <w:bCs/>
          <w:i/>
          <w:iCs/>
          <w:color w:val="000000"/>
          <w:kern w:val="0"/>
          <w:sz w:val="22"/>
          <w:szCs w:val="22"/>
          <w:lang w:val="en-GB" w:eastAsia="es-ES" w:bidi="es-ES"/>
          <w14:ligatures w14:val="none"/>
        </w:rPr>
        <w:t>Disclaimer:</w:t>
      </w:r>
      <w:r w:rsidRPr="00AD7E61">
        <w:rPr>
          <w:rFonts w:ascii="Calibri" w:eastAsia="Calibri" w:hAnsi="Calibri" w:cs="Calibri"/>
          <w:i/>
          <w:iCs/>
          <w:color w:val="000000"/>
          <w:kern w:val="0"/>
          <w:sz w:val="22"/>
          <w:szCs w:val="22"/>
          <w:lang w:val="en-GB" w:eastAsia="es-ES" w:bidi="es-ES"/>
          <w14:ligatures w14:val="none"/>
        </w:rPr>
        <w:t xml:space="preserve"> This document was translated from English into French. In the event of any discrepancy between this translation and the original English document, the original English document shall prevail.</w:t>
      </w:r>
    </w:p>
    <w:p w14:paraId="2993C8F5" w14:textId="77777777" w:rsidR="00AD7E61" w:rsidRPr="00AD7E61" w:rsidRDefault="00AD7E61" w:rsidP="00AD7E61">
      <w:pPr>
        <w:spacing w:after="0" w:line="259" w:lineRule="auto"/>
        <w:ind w:left="720"/>
        <w:jc w:val="center"/>
        <w:rPr>
          <w:rFonts w:ascii="Calibri" w:eastAsia="Calibri" w:hAnsi="Calibri" w:cs="Calibri"/>
          <w:i/>
          <w:iCs/>
          <w:color w:val="000000"/>
          <w:kern w:val="0"/>
          <w:sz w:val="22"/>
          <w:szCs w:val="22"/>
          <w:lang w:val="en-GB" w:eastAsia="es-ES" w:bidi="es-ES"/>
          <w14:ligatures w14:val="none"/>
        </w:rPr>
      </w:pPr>
    </w:p>
    <w:p w14:paraId="25911FAB" w14:textId="77777777" w:rsidR="00AD7E61" w:rsidRPr="00AD7E61" w:rsidRDefault="00AD7E61" w:rsidP="00AD7E61">
      <w:pPr>
        <w:spacing w:after="0" w:line="259" w:lineRule="auto"/>
        <w:ind w:left="720"/>
        <w:jc w:val="center"/>
        <w:rPr>
          <w:rFonts w:ascii="Calibri" w:eastAsia="Calibri" w:hAnsi="Calibri" w:cs="Calibri"/>
          <w:i/>
          <w:iCs/>
          <w:color w:val="000000"/>
          <w:kern w:val="0"/>
          <w:sz w:val="22"/>
          <w:szCs w:val="22"/>
          <w:lang w:val="fr-FR" w:eastAsia="es-ES" w:bidi="es-ES"/>
          <w14:ligatures w14:val="none"/>
        </w:rPr>
      </w:pPr>
      <w:r w:rsidRPr="00AD7E61">
        <w:rPr>
          <w:rFonts w:ascii="Calibri" w:eastAsia="Calibri" w:hAnsi="Calibri" w:cs="Calibri"/>
          <w:b/>
          <w:bCs/>
          <w:i/>
          <w:iCs/>
          <w:color w:val="000000"/>
          <w:kern w:val="0"/>
          <w:sz w:val="22"/>
          <w:szCs w:val="22"/>
          <w:lang w:val="fr-FR" w:eastAsia="es-ES" w:bidi="es-ES"/>
          <w14:ligatures w14:val="none"/>
        </w:rPr>
        <w:t>Attention :</w:t>
      </w:r>
      <w:r w:rsidRPr="00AD7E61">
        <w:rPr>
          <w:rFonts w:ascii="Calibri" w:eastAsia="Calibri" w:hAnsi="Calibri" w:cs="Calibri"/>
          <w:i/>
          <w:iCs/>
          <w:color w:val="000000"/>
          <w:kern w:val="0"/>
          <w:sz w:val="22"/>
          <w:szCs w:val="22"/>
          <w:lang w:val="fr-FR" w:eastAsia="es-ES" w:bidi="es-ES"/>
          <w14:ligatures w14:val="none"/>
        </w:rPr>
        <w:t xml:space="preserve"> En cas de divergence entre les textes français et anglais de cette politique, le texte anglais fait foi, sauf disposition expresse écrite contraire.</w:t>
      </w:r>
    </w:p>
    <w:p w14:paraId="4B78B398" w14:textId="77777777" w:rsidR="00AD7E61" w:rsidRPr="00AD7E61" w:rsidRDefault="00AD7E61" w:rsidP="00AD7E61">
      <w:pPr>
        <w:spacing w:after="0" w:line="259" w:lineRule="auto"/>
        <w:rPr>
          <w:rFonts w:ascii="Calibri" w:eastAsia="Calibri" w:hAnsi="Calibri" w:cs="Calibri"/>
          <w:color w:val="000000"/>
          <w:kern w:val="0"/>
          <w:sz w:val="22"/>
          <w:szCs w:val="22"/>
          <w:lang w:val="fr-FR" w:eastAsia="en-GB"/>
          <w14:ligatures w14:val="none"/>
        </w:rPr>
      </w:pPr>
    </w:p>
    <w:p w14:paraId="30BDA22C" w14:textId="77777777" w:rsidR="00AD7E61" w:rsidRPr="00AD7E61" w:rsidRDefault="00AD7E61">
      <w:pPr>
        <w:rPr>
          <w:lang w:val="fr-FR"/>
        </w:rPr>
      </w:pPr>
    </w:p>
    <w:sectPr w:rsidR="00AD7E61" w:rsidRPr="00AD7E61" w:rsidSect="00AD7E61">
      <w:headerReference w:type="default" r:id="rId11"/>
      <w:footerReference w:type="even" r:id="rId12"/>
      <w:footerReference w:type="default" r:id="rId13"/>
      <w:footerReference w:type="first" r:id="rId14"/>
      <w:pgSz w:w="12240" w:h="15840"/>
      <w:pgMar w:top="578" w:right="1755" w:bottom="1080" w:left="1800" w:header="720"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0D8A6" w14:textId="77777777" w:rsidR="00AD7E61" w:rsidRDefault="00AD7E61" w:rsidP="00AD7E61">
      <w:pPr>
        <w:spacing w:after="0" w:line="240" w:lineRule="auto"/>
      </w:pPr>
      <w:r>
        <w:separator/>
      </w:r>
    </w:p>
  </w:endnote>
  <w:endnote w:type="continuationSeparator" w:id="0">
    <w:p w14:paraId="1960FA32" w14:textId="77777777" w:rsidR="00AD7E61" w:rsidRDefault="00AD7E61" w:rsidP="00AD7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88F6" w14:textId="77777777" w:rsidR="00C33DDA" w:rsidRDefault="00C33DDA">
    <w:pPr>
      <w:spacing w:line="259" w:lineRule="auto"/>
      <w:ind w:right="42"/>
      <w:jc w:val="center"/>
    </w:pPr>
    <w:r>
      <w:fldChar w:fldCharType="begin"/>
    </w:r>
    <w:r>
      <w:instrText xml:space="preserve"> PAGE   \* MERGEFORMAT </w:instrText>
    </w:r>
    <w:r>
      <w:fldChar w:fldCharType="separate"/>
    </w:r>
    <w:r>
      <w:rPr>
        <w:noProof/>
      </w:rPr>
      <w:t>1</w:t>
    </w:r>
    <w:r>
      <w:fldChar w:fldCharType="end"/>
    </w:r>
    <w:r>
      <w:rPr>
        <w:rFonts w:ascii="Times New Roman" w:hAnsi="Times New Roman"/>
      </w:rPr>
      <w:t xml:space="preserve"> </w:t>
    </w:r>
  </w:p>
  <w:p w14:paraId="07802834" w14:textId="77777777" w:rsidR="00C33DDA" w:rsidRDefault="00C33DDA">
    <w:pPr>
      <w:spacing w:line="259" w:lineRule="auto"/>
    </w:pPr>
    <w:r>
      <w:rPr>
        <w:rFonts w:ascii="Times New Roman" w:hAnsi="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3D15E" w14:textId="4FD69704" w:rsidR="00C33DDA" w:rsidRPr="00AD7E61" w:rsidRDefault="00C33DDA">
    <w:pPr>
      <w:spacing w:line="259" w:lineRule="auto"/>
      <w:rPr>
        <w:rFonts w:ascii="Calibri" w:hAnsi="Calibri" w:cs="Calibri"/>
        <w:sz w:val="22"/>
        <w:szCs w:val="22"/>
        <w:lang w:val="da-DK"/>
      </w:rPr>
    </w:pPr>
    <w:r w:rsidRPr="00AD7E61">
      <w:rPr>
        <w:rFonts w:ascii="Calibri" w:hAnsi="Calibri" w:cs="Calibri"/>
        <w:sz w:val="22"/>
        <w:szCs w:val="22"/>
        <w:lang w:val="da-DK"/>
      </w:rPr>
      <w:t xml:space="preserve">Page </w:t>
    </w:r>
    <w:r w:rsidRPr="00AD7E61">
      <w:rPr>
        <w:rFonts w:ascii="Calibri" w:hAnsi="Calibri" w:cs="Calibri"/>
        <w:b/>
        <w:sz w:val="22"/>
        <w:szCs w:val="22"/>
      </w:rPr>
      <w:fldChar w:fldCharType="begin"/>
    </w:r>
    <w:r w:rsidRPr="00AD7E61">
      <w:rPr>
        <w:rFonts w:ascii="Calibri" w:hAnsi="Calibri" w:cs="Calibri"/>
        <w:b/>
        <w:sz w:val="22"/>
        <w:szCs w:val="22"/>
        <w:lang w:val="da-DK"/>
      </w:rPr>
      <w:instrText xml:space="preserve"> PAGE  \* Arabic  \* MERGEFORMAT </w:instrText>
    </w:r>
    <w:r w:rsidRPr="00AD7E61">
      <w:rPr>
        <w:rFonts w:ascii="Calibri" w:hAnsi="Calibri" w:cs="Calibri"/>
        <w:b/>
        <w:sz w:val="22"/>
        <w:szCs w:val="22"/>
      </w:rPr>
      <w:fldChar w:fldCharType="separate"/>
    </w:r>
    <w:r w:rsidRPr="00AD7E61">
      <w:rPr>
        <w:rFonts w:ascii="Calibri" w:hAnsi="Calibri" w:cs="Calibri"/>
        <w:b/>
        <w:noProof/>
        <w:sz w:val="22"/>
        <w:szCs w:val="22"/>
        <w:lang w:val="da-DK"/>
      </w:rPr>
      <w:t>11</w:t>
    </w:r>
    <w:r w:rsidRPr="00AD7E61">
      <w:rPr>
        <w:rFonts w:ascii="Calibri" w:hAnsi="Calibri" w:cs="Calibri"/>
        <w:b/>
        <w:sz w:val="22"/>
        <w:szCs w:val="22"/>
      </w:rPr>
      <w:fldChar w:fldCharType="end"/>
    </w:r>
    <w:r w:rsidRPr="00AD7E61">
      <w:rPr>
        <w:rFonts w:ascii="Calibri" w:hAnsi="Calibri" w:cs="Calibri"/>
        <w:sz w:val="22"/>
        <w:szCs w:val="22"/>
        <w:lang w:val="da-DK"/>
      </w:rPr>
      <w:t xml:space="preserve"> sur </w:t>
    </w:r>
    <w:r w:rsidRPr="00AD7E61">
      <w:rPr>
        <w:rFonts w:ascii="Calibri" w:hAnsi="Calibri" w:cs="Calibri"/>
        <w:b/>
        <w:sz w:val="22"/>
        <w:szCs w:val="22"/>
      </w:rPr>
      <w:fldChar w:fldCharType="begin"/>
    </w:r>
    <w:r w:rsidRPr="00AD7E61">
      <w:rPr>
        <w:rFonts w:ascii="Calibri" w:hAnsi="Calibri" w:cs="Calibri"/>
        <w:b/>
        <w:sz w:val="22"/>
        <w:szCs w:val="22"/>
        <w:lang w:val="da-DK"/>
      </w:rPr>
      <w:instrText xml:space="preserve"> NUMPAGES  \* Arabic  \* MERGEFORMAT </w:instrText>
    </w:r>
    <w:r w:rsidRPr="00AD7E61">
      <w:rPr>
        <w:rFonts w:ascii="Calibri" w:hAnsi="Calibri" w:cs="Calibri"/>
        <w:b/>
        <w:sz w:val="22"/>
        <w:szCs w:val="22"/>
      </w:rPr>
      <w:fldChar w:fldCharType="separate"/>
    </w:r>
    <w:r w:rsidRPr="00AD7E61">
      <w:rPr>
        <w:rFonts w:ascii="Calibri" w:hAnsi="Calibri" w:cs="Calibri"/>
        <w:b/>
        <w:noProof/>
        <w:sz w:val="22"/>
        <w:szCs w:val="22"/>
        <w:lang w:val="da-DK"/>
      </w:rPr>
      <w:t>11</w:t>
    </w:r>
    <w:r w:rsidRPr="00AD7E61">
      <w:rPr>
        <w:rFonts w:ascii="Calibri" w:hAnsi="Calibri" w:cs="Calibri"/>
        <w:b/>
        <w:sz w:val="22"/>
        <w:szCs w:val="22"/>
      </w:rPr>
      <w:fldChar w:fldCharType="end"/>
    </w:r>
    <w:r w:rsidRPr="00AD7E61">
      <w:rPr>
        <w:rFonts w:ascii="Calibri" w:hAnsi="Calibri" w:cs="Calibri"/>
        <w:sz w:val="22"/>
        <w:szCs w:val="22"/>
      </w:rPr>
      <w:ptab w:relativeTo="margin" w:alignment="center" w:leader="none"/>
    </w:r>
    <w:r w:rsidRPr="00AD7E61">
      <w:rPr>
        <w:rFonts w:ascii="Calibri" w:hAnsi="Calibri" w:cs="Calibri"/>
        <w:sz w:val="22"/>
        <w:szCs w:val="22"/>
        <w:lang w:val="da-DK"/>
      </w:rPr>
      <w:t>Date d’entrée en vigueur : 01/01/2025</w:t>
    </w:r>
    <w:r w:rsidRPr="00AD7E61">
      <w:rPr>
        <w:rFonts w:ascii="Calibri" w:hAnsi="Calibri" w:cs="Calibri"/>
        <w:sz w:val="22"/>
        <w:szCs w:val="22"/>
      </w:rPr>
      <w:ptab w:relativeTo="margin" w:alignment="right" w:leader="none"/>
    </w:r>
    <w:r w:rsidRPr="00AD7E61">
      <w:rPr>
        <w:rFonts w:ascii="Calibri" w:hAnsi="Calibri" w:cs="Calibri"/>
        <w:sz w:val="22"/>
        <w:szCs w:val="22"/>
        <w:lang w:val="da-DK"/>
      </w:rPr>
      <w:t xml:space="preserve">Numéro de version : </w:t>
    </w:r>
    <w:r w:rsidR="00DC3710">
      <w:rPr>
        <w:rFonts w:ascii="Calibri" w:hAnsi="Calibri" w:cs="Calibri"/>
        <w:sz w:val="22"/>
        <w:szCs w:val="22"/>
        <w:lang w:val="da-DK"/>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1103F" w14:textId="77777777" w:rsidR="00C33DDA" w:rsidRDefault="00C33DDA">
    <w:pPr>
      <w:spacing w:line="259" w:lineRule="auto"/>
      <w:ind w:right="42"/>
      <w:jc w:val="center"/>
    </w:pPr>
    <w:r>
      <w:fldChar w:fldCharType="begin"/>
    </w:r>
    <w:r>
      <w:instrText xml:space="preserve"> PAGE   \* MERGEFORMAT </w:instrText>
    </w:r>
    <w:r>
      <w:fldChar w:fldCharType="separate"/>
    </w:r>
    <w:r>
      <w:rPr>
        <w:noProof/>
      </w:rPr>
      <w:t>1</w:t>
    </w:r>
    <w:r>
      <w:fldChar w:fldCharType="end"/>
    </w:r>
    <w:r>
      <w:rPr>
        <w:rFonts w:ascii="Times New Roman" w:hAnsi="Times New Roman"/>
      </w:rPr>
      <w:t xml:space="preserve"> </w:t>
    </w:r>
  </w:p>
  <w:p w14:paraId="00D921D9" w14:textId="77777777" w:rsidR="00C33DDA" w:rsidRDefault="00C33DDA">
    <w:pPr>
      <w:spacing w:line="259" w:lineRule="auto"/>
    </w:pPr>
    <w:r>
      <w:rPr>
        <w:rFonts w:ascii="Times New Roman" w:hAnsi="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D2FF9" w14:textId="77777777" w:rsidR="00AD7E61" w:rsidRDefault="00AD7E61" w:rsidP="00AD7E61">
      <w:pPr>
        <w:spacing w:after="0" w:line="240" w:lineRule="auto"/>
      </w:pPr>
      <w:r>
        <w:separator/>
      </w:r>
    </w:p>
  </w:footnote>
  <w:footnote w:type="continuationSeparator" w:id="0">
    <w:p w14:paraId="4A756813" w14:textId="77777777" w:rsidR="00AD7E61" w:rsidRDefault="00AD7E61" w:rsidP="00AD7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AB34" w14:textId="77777777" w:rsidR="00C33DDA" w:rsidRDefault="00C33DDA" w:rsidP="00A7657B">
    <w:pPr>
      <w:pStyle w:val="Header"/>
      <w:jc w:val="right"/>
    </w:pPr>
    <w:r>
      <w:rPr>
        <w:noProof/>
      </w:rPr>
      <w:drawing>
        <wp:inline distT="0" distB="0" distL="0" distR="0" wp14:anchorId="3F246469" wp14:editId="722CE170">
          <wp:extent cx="591279" cy="900000"/>
          <wp:effectExtent l="0" t="0" r="0" b="0"/>
          <wp:docPr id="435624554"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511636"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inline>
      </w:drawing>
    </w:r>
  </w:p>
  <w:p w14:paraId="2C4AD3B1" w14:textId="77777777" w:rsidR="00C33DDA" w:rsidRDefault="00C33DDA" w:rsidP="00A7657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8ED"/>
    <w:multiLevelType w:val="multilevel"/>
    <w:tmpl w:val="754EB750"/>
    <w:lvl w:ilvl="0">
      <w:start w:val="26"/>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792389"/>
    <w:multiLevelType w:val="hybridMultilevel"/>
    <w:tmpl w:val="49D61482"/>
    <w:lvl w:ilvl="0" w:tplc="570E0F02">
      <w:start w:val="10"/>
      <w:numFmt w:val="decimal"/>
      <w:lvlText w:val="%1."/>
      <w:lvlJc w:val="left"/>
      <w:pPr>
        <w:ind w:left="5940"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5940" w:hanging="360"/>
      </w:pPr>
    </w:lvl>
    <w:lvl w:ilvl="2" w:tplc="2000001B" w:tentative="1">
      <w:start w:val="1"/>
      <w:numFmt w:val="lowerRoman"/>
      <w:lvlText w:val="%3."/>
      <w:lvlJc w:val="right"/>
      <w:pPr>
        <w:ind w:left="6660" w:hanging="180"/>
      </w:pPr>
    </w:lvl>
    <w:lvl w:ilvl="3" w:tplc="2000000F" w:tentative="1">
      <w:start w:val="1"/>
      <w:numFmt w:val="decimal"/>
      <w:lvlText w:val="%4."/>
      <w:lvlJc w:val="left"/>
      <w:pPr>
        <w:ind w:left="7380" w:hanging="360"/>
      </w:pPr>
    </w:lvl>
    <w:lvl w:ilvl="4" w:tplc="20000019" w:tentative="1">
      <w:start w:val="1"/>
      <w:numFmt w:val="lowerLetter"/>
      <w:lvlText w:val="%5."/>
      <w:lvlJc w:val="left"/>
      <w:pPr>
        <w:ind w:left="8100" w:hanging="360"/>
      </w:pPr>
    </w:lvl>
    <w:lvl w:ilvl="5" w:tplc="2000001B" w:tentative="1">
      <w:start w:val="1"/>
      <w:numFmt w:val="lowerRoman"/>
      <w:lvlText w:val="%6."/>
      <w:lvlJc w:val="right"/>
      <w:pPr>
        <w:ind w:left="8820" w:hanging="180"/>
      </w:pPr>
    </w:lvl>
    <w:lvl w:ilvl="6" w:tplc="2000000F" w:tentative="1">
      <w:start w:val="1"/>
      <w:numFmt w:val="decimal"/>
      <w:lvlText w:val="%7."/>
      <w:lvlJc w:val="left"/>
      <w:pPr>
        <w:ind w:left="9540" w:hanging="360"/>
      </w:pPr>
    </w:lvl>
    <w:lvl w:ilvl="7" w:tplc="20000019" w:tentative="1">
      <w:start w:val="1"/>
      <w:numFmt w:val="lowerLetter"/>
      <w:lvlText w:val="%8."/>
      <w:lvlJc w:val="left"/>
      <w:pPr>
        <w:ind w:left="10260" w:hanging="360"/>
      </w:pPr>
    </w:lvl>
    <w:lvl w:ilvl="8" w:tplc="2000001B" w:tentative="1">
      <w:start w:val="1"/>
      <w:numFmt w:val="lowerRoman"/>
      <w:lvlText w:val="%9."/>
      <w:lvlJc w:val="right"/>
      <w:pPr>
        <w:ind w:left="10980" w:hanging="180"/>
      </w:pPr>
    </w:lvl>
  </w:abstractNum>
  <w:abstractNum w:abstractNumId="2" w15:restartNumberingAfterBreak="0">
    <w:nsid w:val="02D56218"/>
    <w:multiLevelType w:val="hybridMultilevel"/>
    <w:tmpl w:val="C66CB9B6"/>
    <w:lvl w:ilvl="0" w:tplc="FFFFFFFF">
      <w:start w:val="1"/>
      <w:numFmt w:val="lowerLetter"/>
      <w:lvlText w:val="%1)"/>
      <w:lvlJc w:val="left"/>
      <w:pPr>
        <w:ind w:left="1440" w:firstLine="0"/>
      </w:pPr>
      <w:rPr>
        <w:rFonts w:hint="default"/>
        <w:b w:val="0"/>
        <w:i w:val="0"/>
        <w:strike w:val="0"/>
        <w:dstrike w:val="0"/>
        <w:color w:val="000000"/>
        <w:sz w:val="22"/>
        <w:szCs w:val="22"/>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06227F"/>
    <w:multiLevelType w:val="hybridMultilevel"/>
    <w:tmpl w:val="4CB89292"/>
    <w:lvl w:ilvl="0" w:tplc="6450C868">
      <w:start w:val="9"/>
      <w:numFmt w:val="decimal"/>
      <w:lvlText w:val="%1."/>
      <w:lvlJc w:val="left"/>
      <w:pPr>
        <w:ind w:left="1425"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50D7BCC"/>
    <w:multiLevelType w:val="hybridMultilevel"/>
    <w:tmpl w:val="3F54E3D2"/>
    <w:lvl w:ilvl="0" w:tplc="E148443E">
      <w:start w:val="2"/>
      <w:numFmt w:val="lowerLetter"/>
      <w:lvlText w:val="%1)"/>
      <w:lvlJc w:val="left"/>
      <w:pPr>
        <w:ind w:left="1440" w:firstLine="0"/>
      </w:pPr>
      <w:rPr>
        <w:rFonts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4F445E"/>
    <w:multiLevelType w:val="hybridMultilevel"/>
    <w:tmpl w:val="F4D06360"/>
    <w:lvl w:ilvl="0" w:tplc="1CF6891E">
      <w:start w:val="4"/>
      <w:numFmt w:val="decimal"/>
      <w:lvlText w:val="%1."/>
      <w:lvlJc w:val="left"/>
      <w:pPr>
        <w:ind w:left="14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6" w15:restartNumberingAfterBreak="0">
    <w:nsid w:val="06D00F4A"/>
    <w:multiLevelType w:val="multilevel"/>
    <w:tmpl w:val="754EB750"/>
    <w:lvl w:ilvl="0">
      <w:start w:val="26"/>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675E5F"/>
    <w:multiLevelType w:val="hybridMultilevel"/>
    <w:tmpl w:val="7388BC70"/>
    <w:lvl w:ilvl="0" w:tplc="20000019">
      <w:start w:val="1"/>
      <w:numFmt w:val="lowerLetter"/>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8" w15:restartNumberingAfterBreak="0">
    <w:nsid w:val="0DFA6836"/>
    <w:multiLevelType w:val="hybridMultilevel"/>
    <w:tmpl w:val="619AE522"/>
    <w:lvl w:ilvl="0" w:tplc="B9ACA26C">
      <w:start w:val="20"/>
      <w:numFmt w:val="decimal"/>
      <w:lvlText w:val="%1."/>
      <w:lvlJc w:val="left"/>
      <w:pPr>
        <w:ind w:left="1440"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41B7B26"/>
    <w:multiLevelType w:val="hybridMultilevel"/>
    <w:tmpl w:val="819825EE"/>
    <w:lvl w:ilvl="0" w:tplc="1CF6891E">
      <w:start w:val="4"/>
      <w:numFmt w:val="decimal"/>
      <w:lvlText w:val="%1."/>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7387258"/>
    <w:multiLevelType w:val="hybridMultilevel"/>
    <w:tmpl w:val="D1F06CA0"/>
    <w:lvl w:ilvl="0" w:tplc="A5B24B16">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1946F1C">
      <w:start w:val="1"/>
      <w:numFmt w:val="lowerLetter"/>
      <w:lvlText w:val="%2"/>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46F916">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7CE72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FAA108">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F6930A">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24B4DC">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3AF470">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FAD04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A5E4559"/>
    <w:multiLevelType w:val="hybridMultilevel"/>
    <w:tmpl w:val="5C046B6C"/>
    <w:lvl w:ilvl="0" w:tplc="AD74E076">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107016">
      <w:start w:val="1"/>
      <w:numFmt w:val="lowerRoman"/>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39CC0D8">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265A58">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7183BE2">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6180546">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B9870EE">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23CCFFE">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1C6CBC">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07323AA"/>
    <w:multiLevelType w:val="hybridMultilevel"/>
    <w:tmpl w:val="F81A9A94"/>
    <w:lvl w:ilvl="0" w:tplc="B5FAEC76">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600152">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A2617A0">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760979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C6C6BE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AA760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41CD72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9927AF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021D3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09E7470"/>
    <w:multiLevelType w:val="hybridMultilevel"/>
    <w:tmpl w:val="780CFC4E"/>
    <w:lvl w:ilvl="0" w:tplc="3AB4755E">
      <w:start w:val="9"/>
      <w:numFmt w:val="decimal"/>
      <w:lvlText w:val="%1."/>
      <w:lvlJc w:val="left"/>
      <w:pPr>
        <w:ind w:left="1440"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264A52"/>
    <w:multiLevelType w:val="hybridMultilevel"/>
    <w:tmpl w:val="F582257C"/>
    <w:lvl w:ilvl="0" w:tplc="AC107016">
      <w:start w:val="1"/>
      <w:numFmt w:val="lowerRoman"/>
      <w:lvlText w:val="%1)"/>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A7365A"/>
    <w:multiLevelType w:val="hybridMultilevel"/>
    <w:tmpl w:val="C81EC5E2"/>
    <w:lvl w:ilvl="0" w:tplc="6DE6933C">
      <w:start w:val="16"/>
      <w:numFmt w:val="decimal"/>
      <w:lvlText w:val="%1."/>
      <w:lvlJc w:val="left"/>
      <w:pPr>
        <w:ind w:left="720"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7446CCD"/>
    <w:multiLevelType w:val="hybridMultilevel"/>
    <w:tmpl w:val="64C8E5C6"/>
    <w:lvl w:ilvl="0" w:tplc="C152036E">
      <w:start w:val="30"/>
      <w:numFmt w:val="decimal"/>
      <w:lvlText w:val="%1."/>
      <w:lvlJc w:val="left"/>
      <w:pPr>
        <w:ind w:left="370" w:firstLine="0"/>
      </w:pPr>
      <w:rPr>
        <w:rFonts w:ascii="Calibri" w:eastAsia="Calibri" w:hAnsi="Calibri" w:cs="Calibri" w:hint="default"/>
        <w:b w:val="0"/>
        <w:i w:val="0"/>
        <w:strike w:val="0"/>
        <w:dstrike w:val="0"/>
        <w:color w:val="000000"/>
        <w:sz w:val="22"/>
        <w:szCs w:val="22"/>
        <w:u w:val="none" w:color="000000"/>
        <w:vertAlign w:val="baseline"/>
      </w:rPr>
    </w:lvl>
    <w:lvl w:ilvl="1" w:tplc="20000017">
      <w:start w:val="1"/>
      <w:numFmt w:val="lowerLetter"/>
      <w:lvlText w:val="%2)"/>
      <w:lvlJc w:val="left"/>
      <w:pPr>
        <w:ind w:left="180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FFF5EAD"/>
    <w:multiLevelType w:val="hybridMultilevel"/>
    <w:tmpl w:val="9B3E196C"/>
    <w:lvl w:ilvl="0" w:tplc="8B0605A6">
      <w:start w:val="4"/>
      <w:numFmt w:val="lowerLetter"/>
      <w:lvlText w:val="%1)"/>
      <w:lvlJc w:val="left"/>
      <w:pPr>
        <w:ind w:left="1440"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46680C"/>
    <w:multiLevelType w:val="hybridMultilevel"/>
    <w:tmpl w:val="CB5C0268"/>
    <w:lvl w:ilvl="0" w:tplc="014C1918">
      <w:start w:val="19"/>
      <w:numFmt w:val="decimal"/>
      <w:lvlText w:val="%1."/>
      <w:lvlJc w:val="left"/>
      <w:pPr>
        <w:ind w:left="1440" w:firstLine="0"/>
      </w:pPr>
      <w:rPr>
        <w:rFonts w:ascii="Calibri" w:eastAsia="Calibri" w:hAnsi="Calibri" w:cs="Calibri"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725DED"/>
    <w:multiLevelType w:val="hybridMultilevel"/>
    <w:tmpl w:val="FE4E9664"/>
    <w:lvl w:ilvl="0" w:tplc="5B264DF4">
      <w:start w:val="32"/>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288148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C0AC4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D9C6C6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745BA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71C886C">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42738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894F75A">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AE05E0">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0CF4AA7"/>
    <w:multiLevelType w:val="hybridMultilevel"/>
    <w:tmpl w:val="5C046B6C"/>
    <w:lvl w:ilvl="0" w:tplc="FFFFFFFF">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Roman"/>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7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49A6212"/>
    <w:multiLevelType w:val="hybridMultilevel"/>
    <w:tmpl w:val="C66CB9B6"/>
    <w:lvl w:ilvl="0" w:tplc="20000017">
      <w:start w:val="1"/>
      <w:numFmt w:val="lowerLetter"/>
      <w:lvlText w:val="%1)"/>
      <w:lvlJc w:val="left"/>
      <w:pPr>
        <w:ind w:left="1440" w:firstLine="0"/>
      </w:pPr>
      <w:rPr>
        <w:rFonts w:hint="default"/>
        <w:b w:val="0"/>
        <w:i w:val="0"/>
        <w:strike w:val="0"/>
        <w:dstrike w:val="0"/>
        <w:color w:val="000000"/>
        <w:sz w:val="22"/>
        <w:szCs w:val="22"/>
        <w:u w:val="none" w:color="00000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F204B3"/>
    <w:multiLevelType w:val="hybridMultilevel"/>
    <w:tmpl w:val="6DDC2622"/>
    <w:lvl w:ilvl="0" w:tplc="1CF6891E">
      <w:start w:val="4"/>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360CECE">
      <w:start w:val="1"/>
      <w:numFmt w:val="lowerLetter"/>
      <w:lvlText w:val="%2)"/>
      <w:lvlJc w:val="left"/>
      <w:pPr>
        <w:ind w:left="1440" w:firstLine="0"/>
      </w:pPr>
      <w:rPr>
        <w:rFonts w:ascii="Calibri" w:eastAsia="Calibri" w:hAnsi="Calibri" w:cs="Calibri" w:hint="default"/>
        <w:b w:val="0"/>
        <w:i w:val="0"/>
        <w:strike w:val="0"/>
        <w:dstrike w:val="0"/>
        <w:color w:val="000000"/>
        <w:sz w:val="22"/>
        <w:szCs w:val="22"/>
        <w:u w:val="none" w:color="000000"/>
        <w:vertAlign w:val="baseline"/>
      </w:rPr>
    </w:lvl>
    <w:lvl w:ilvl="2" w:tplc="8A28991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72292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E090C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A0023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7E847A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A2887B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C846146">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AC15D7C"/>
    <w:multiLevelType w:val="hybridMultilevel"/>
    <w:tmpl w:val="68309B40"/>
    <w:lvl w:ilvl="0" w:tplc="E6BE8AF4">
      <w:start w:val="37"/>
      <w:numFmt w:val="decimal"/>
      <w:lvlText w:val="%1."/>
      <w:lvlJc w:val="left"/>
      <w:pPr>
        <w:ind w:left="370"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60654C09"/>
    <w:multiLevelType w:val="hybridMultilevel"/>
    <w:tmpl w:val="6D0E2198"/>
    <w:lvl w:ilvl="0" w:tplc="A928E3FA">
      <w:start w:val="1"/>
      <w:numFmt w:val="lowerLetter"/>
      <w:lvlText w:val="%1)"/>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8B413A"/>
    <w:multiLevelType w:val="hybridMultilevel"/>
    <w:tmpl w:val="8F7E3600"/>
    <w:lvl w:ilvl="0" w:tplc="6450C868">
      <w:start w:val="9"/>
      <w:numFmt w:val="decimal"/>
      <w:lvlText w:val="%1."/>
      <w:lvlJc w:val="left"/>
      <w:pPr>
        <w:ind w:left="705"/>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440" w:firstLine="0"/>
      </w:pPr>
      <w:rPr>
        <w:rFonts w:ascii="Calibri" w:eastAsia="Calibri" w:hAnsi="Calibri" w:cs="Calibri" w:hint="default"/>
        <w:b w:val="0"/>
        <w:i w:val="0"/>
        <w:strike w:val="0"/>
        <w:dstrike w:val="0"/>
        <w:color w:val="000000"/>
        <w:sz w:val="22"/>
        <w:szCs w:val="22"/>
        <w:u w:val="none" w:color="000000"/>
        <w:vertAlign w:val="baseline"/>
      </w:rPr>
    </w:lvl>
    <w:lvl w:ilvl="2" w:tplc="FFFFFFFF">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7223F6A"/>
    <w:multiLevelType w:val="multilevel"/>
    <w:tmpl w:val="754EB750"/>
    <w:lvl w:ilvl="0">
      <w:start w:val="26"/>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46B0420"/>
    <w:multiLevelType w:val="hybridMultilevel"/>
    <w:tmpl w:val="C2269E28"/>
    <w:lvl w:ilvl="0" w:tplc="31F4C9C8">
      <w:start w:val="22"/>
      <w:numFmt w:val="decimal"/>
      <w:lvlText w:val="%1."/>
      <w:lvlJc w:val="left"/>
      <w:pPr>
        <w:ind w:left="6300"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78482244"/>
    <w:multiLevelType w:val="hybridMultilevel"/>
    <w:tmpl w:val="BA9202C6"/>
    <w:lvl w:ilvl="0" w:tplc="B280455E">
      <w:start w:val="30"/>
      <w:numFmt w:val="decimal"/>
      <w:lvlText w:val="%1."/>
      <w:lvlJc w:val="left"/>
      <w:pPr>
        <w:ind w:left="720"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7D527762"/>
    <w:multiLevelType w:val="multilevel"/>
    <w:tmpl w:val="105C159E"/>
    <w:lvl w:ilvl="0">
      <w:start w:val="15"/>
      <w:numFmt w:val="decimal"/>
      <w:lvlText w:val="%1."/>
      <w:lvlJc w:val="left"/>
      <w:pPr>
        <w:ind w:left="705"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144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2">
      <w:start w:val="1"/>
      <w:numFmt w:val="lowerRoman"/>
      <w:lvlText w:val="%3"/>
      <w:lvlJc w:val="left"/>
      <w:pPr>
        <w:ind w:left="216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3">
      <w:start w:val="1"/>
      <w:numFmt w:val="decimal"/>
      <w:lvlText w:val="%4"/>
      <w:lvlJc w:val="left"/>
      <w:pPr>
        <w:ind w:left="288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4">
      <w:start w:val="1"/>
      <w:numFmt w:val="lowerLetter"/>
      <w:lvlText w:val="%5"/>
      <w:lvlJc w:val="left"/>
      <w:pPr>
        <w:ind w:left="360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5">
      <w:start w:val="1"/>
      <w:numFmt w:val="lowerRoman"/>
      <w:lvlText w:val="%6"/>
      <w:lvlJc w:val="left"/>
      <w:pPr>
        <w:ind w:left="432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6">
      <w:start w:val="1"/>
      <w:numFmt w:val="decimal"/>
      <w:lvlText w:val="%7"/>
      <w:lvlJc w:val="left"/>
      <w:pPr>
        <w:ind w:left="504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7">
      <w:start w:val="1"/>
      <w:numFmt w:val="lowerLetter"/>
      <w:lvlText w:val="%8"/>
      <w:lvlJc w:val="left"/>
      <w:pPr>
        <w:ind w:left="576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lvl w:ilvl="8">
      <w:start w:val="1"/>
      <w:numFmt w:val="lowerRoman"/>
      <w:lvlText w:val="%9"/>
      <w:lvlJc w:val="left"/>
      <w:pPr>
        <w:ind w:left="6480" w:firstLine="0"/>
      </w:pPr>
      <w:rPr>
        <w:rFonts w:ascii="Calibri" w:eastAsia="Calibri" w:hAnsi="Calibri" w:cs="Calibri" w:hint="default"/>
        <w:b w:val="0"/>
        <w:i w:val="0"/>
        <w:strike w:val="0"/>
        <w:dstrike w:val="0"/>
        <w:color w:val="000000"/>
        <w:sz w:val="22"/>
        <w:szCs w:val="22"/>
        <w:u w:val="none" w:color="000000"/>
        <w:shd w:val="clear" w:color="auto" w:fill="auto"/>
        <w:vertAlign w:val="baseline"/>
      </w:rPr>
    </w:lvl>
  </w:abstractNum>
  <w:num w:numId="1" w16cid:durableId="884803104">
    <w:abstractNumId w:val="12"/>
  </w:num>
  <w:num w:numId="2" w16cid:durableId="1885752082">
    <w:abstractNumId w:val="22"/>
  </w:num>
  <w:num w:numId="3" w16cid:durableId="1141389590">
    <w:abstractNumId w:val="11"/>
  </w:num>
  <w:num w:numId="4" w16cid:durableId="861751155">
    <w:abstractNumId w:val="10"/>
  </w:num>
  <w:num w:numId="5" w16cid:durableId="146827862">
    <w:abstractNumId w:val="19"/>
  </w:num>
  <w:num w:numId="6" w16cid:durableId="1869296317">
    <w:abstractNumId w:val="16"/>
  </w:num>
  <w:num w:numId="7" w16cid:durableId="399597030">
    <w:abstractNumId w:val="1"/>
  </w:num>
  <w:num w:numId="8" w16cid:durableId="1391077104">
    <w:abstractNumId w:val="7"/>
  </w:num>
  <w:num w:numId="9" w16cid:durableId="187330005">
    <w:abstractNumId w:val="23"/>
  </w:num>
  <w:num w:numId="10" w16cid:durableId="1333216050">
    <w:abstractNumId w:val="29"/>
  </w:num>
  <w:num w:numId="11" w16cid:durableId="1816221846">
    <w:abstractNumId w:val="15"/>
  </w:num>
  <w:num w:numId="12" w16cid:durableId="1215460449">
    <w:abstractNumId w:val="8"/>
  </w:num>
  <w:num w:numId="13" w16cid:durableId="490171104">
    <w:abstractNumId w:val="21"/>
  </w:num>
  <w:num w:numId="14" w16cid:durableId="1020425633">
    <w:abstractNumId w:val="27"/>
  </w:num>
  <w:num w:numId="15" w16cid:durableId="1555892020">
    <w:abstractNumId w:val="28"/>
  </w:num>
  <w:num w:numId="16" w16cid:durableId="257182912">
    <w:abstractNumId w:val="13"/>
  </w:num>
  <w:num w:numId="17" w16cid:durableId="424152282">
    <w:abstractNumId w:val="18"/>
  </w:num>
  <w:num w:numId="18" w16cid:durableId="148326328">
    <w:abstractNumId w:val="2"/>
  </w:num>
  <w:num w:numId="19" w16cid:durableId="928542380">
    <w:abstractNumId w:val="4"/>
  </w:num>
  <w:num w:numId="20" w16cid:durableId="1281182723">
    <w:abstractNumId w:val="26"/>
  </w:num>
  <w:num w:numId="21" w16cid:durableId="327170480">
    <w:abstractNumId w:val="24"/>
  </w:num>
  <w:num w:numId="22" w16cid:durableId="1037008351">
    <w:abstractNumId w:val="20"/>
  </w:num>
  <w:num w:numId="23" w16cid:durableId="303701464">
    <w:abstractNumId w:val="14"/>
  </w:num>
  <w:num w:numId="24" w16cid:durableId="494612686">
    <w:abstractNumId w:val="5"/>
  </w:num>
  <w:num w:numId="25" w16cid:durableId="221868904">
    <w:abstractNumId w:val="17"/>
  </w:num>
  <w:num w:numId="26" w16cid:durableId="1847937473">
    <w:abstractNumId w:val="0"/>
  </w:num>
  <w:num w:numId="27" w16cid:durableId="1134058554">
    <w:abstractNumId w:val="6"/>
  </w:num>
  <w:num w:numId="28" w16cid:durableId="552038722">
    <w:abstractNumId w:val="25"/>
  </w:num>
  <w:num w:numId="29" w16cid:durableId="1568149474">
    <w:abstractNumId w:val="3"/>
  </w:num>
  <w:num w:numId="30" w16cid:durableId="77864230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E61"/>
    <w:rsid w:val="00006B32"/>
    <w:rsid w:val="00092D62"/>
    <w:rsid w:val="000A32CF"/>
    <w:rsid w:val="000F1170"/>
    <w:rsid w:val="00105852"/>
    <w:rsid w:val="0010745A"/>
    <w:rsid w:val="00145B5F"/>
    <w:rsid w:val="00150A5C"/>
    <w:rsid w:val="001635A7"/>
    <w:rsid w:val="00195B01"/>
    <w:rsid w:val="00224737"/>
    <w:rsid w:val="00272641"/>
    <w:rsid w:val="00287385"/>
    <w:rsid w:val="002A46D7"/>
    <w:rsid w:val="002C5A8C"/>
    <w:rsid w:val="002E2D24"/>
    <w:rsid w:val="002E34D8"/>
    <w:rsid w:val="00342236"/>
    <w:rsid w:val="0035169F"/>
    <w:rsid w:val="00386CF9"/>
    <w:rsid w:val="003A3C31"/>
    <w:rsid w:val="003B24C0"/>
    <w:rsid w:val="003F15A2"/>
    <w:rsid w:val="003F433A"/>
    <w:rsid w:val="004237C4"/>
    <w:rsid w:val="00435102"/>
    <w:rsid w:val="00435786"/>
    <w:rsid w:val="00461FC2"/>
    <w:rsid w:val="004E768F"/>
    <w:rsid w:val="00501C48"/>
    <w:rsid w:val="005121CB"/>
    <w:rsid w:val="005327B8"/>
    <w:rsid w:val="00560621"/>
    <w:rsid w:val="00566D6D"/>
    <w:rsid w:val="0057660E"/>
    <w:rsid w:val="005A057F"/>
    <w:rsid w:val="005D485F"/>
    <w:rsid w:val="006059D6"/>
    <w:rsid w:val="006759BF"/>
    <w:rsid w:val="006B651C"/>
    <w:rsid w:val="006C1609"/>
    <w:rsid w:val="006C7284"/>
    <w:rsid w:val="006F1503"/>
    <w:rsid w:val="0079491D"/>
    <w:rsid w:val="00823099"/>
    <w:rsid w:val="00840AD2"/>
    <w:rsid w:val="00853BA7"/>
    <w:rsid w:val="00855AB3"/>
    <w:rsid w:val="00862D18"/>
    <w:rsid w:val="009541B6"/>
    <w:rsid w:val="00962330"/>
    <w:rsid w:val="00966E94"/>
    <w:rsid w:val="00994C80"/>
    <w:rsid w:val="00995516"/>
    <w:rsid w:val="009A3C89"/>
    <w:rsid w:val="009B45D3"/>
    <w:rsid w:val="009C209A"/>
    <w:rsid w:val="00A46D97"/>
    <w:rsid w:val="00A8379E"/>
    <w:rsid w:val="00A844BF"/>
    <w:rsid w:val="00A96627"/>
    <w:rsid w:val="00AD7E61"/>
    <w:rsid w:val="00AE3FF6"/>
    <w:rsid w:val="00AF57BD"/>
    <w:rsid w:val="00B247FA"/>
    <w:rsid w:val="00B723D9"/>
    <w:rsid w:val="00BF165C"/>
    <w:rsid w:val="00C33DDA"/>
    <w:rsid w:val="00C35057"/>
    <w:rsid w:val="00C76940"/>
    <w:rsid w:val="00CA7496"/>
    <w:rsid w:val="00D32C3B"/>
    <w:rsid w:val="00D4783E"/>
    <w:rsid w:val="00D61124"/>
    <w:rsid w:val="00DC3710"/>
    <w:rsid w:val="00DE53EC"/>
    <w:rsid w:val="00DE7E34"/>
    <w:rsid w:val="00DF36CD"/>
    <w:rsid w:val="00E130A7"/>
    <w:rsid w:val="00E54069"/>
    <w:rsid w:val="00E96EF6"/>
    <w:rsid w:val="00EE42AA"/>
    <w:rsid w:val="00EE5629"/>
    <w:rsid w:val="00F0620B"/>
    <w:rsid w:val="00F278CA"/>
    <w:rsid w:val="00F40382"/>
    <w:rsid w:val="00F50F1D"/>
    <w:rsid w:val="00F60B56"/>
    <w:rsid w:val="00F87A9D"/>
    <w:rsid w:val="00FA4E27"/>
    <w:rsid w:val="00FD41ED"/>
    <w:rsid w:val="00FD568D"/>
    <w:rsid w:val="00FD584C"/>
    <w:rsid w:val="00FD5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7EF63"/>
  <w15:chartTrackingRefBased/>
  <w15:docId w15:val="{D208E6D7-C383-4D2B-9750-A13EBE1C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E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7E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7E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7E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7E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7E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E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E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E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E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7E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7E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7E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7E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7E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E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E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E61"/>
    <w:rPr>
      <w:rFonts w:eastAsiaTheme="majorEastAsia" w:cstheme="majorBidi"/>
      <w:color w:val="272727" w:themeColor="text1" w:themeTint="D8"/>
    </w:rPr>
  </w:style>
  <w:style w:type="paragraph" w:styleId="Title">
    <w:name w:val="Title"/>
    <w:basedOn w:val="Normal"/>
    <w:next w:val="Normal"/>
    <w:link w:val="TitleChar"/>
    <w:uiPriority w:val="10"/>
    <w:qFormat/>
    <w:rsid w:val="00AD7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E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E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E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E61"/>
    <w:pPr>
      <w:spacing w:before="160"/>
      <w:jc w:val="center"/>
    </w:pPr>
    <w:rPr>
      <w:i/>
      <w:iCs/>
      <w:color w:val="404040" w:themeColor="text1" w:themeTint="BF"/>
    </w:rPr>
  </w:style>
  <w:style w:type="character" w:customStyle="1" w:styleId="QuoteChar">
    <w:name w:val="Quote Char"/>
    <w:basedOn w:val="DefaultParagraphFont"/>
    <w:link w:val="Quote"/>
    <w:uiPriority w:val="29"/>
    <w:rsid w:val="00AD7E61"/>
    <w:rPr>
      <w:i/>
      <w:iCs/>
      <w:color w:val="404040" w:themeColor="text1" w:themeTint="BF"/>
    </w:rPr>
  </w:style>
  <w:style w:type="paragraph" w:styleId="ListParagraph">
    <w:name w:val="List Paragraph"/>
    <w:basedOn w:val="Normal"/>
    <w:uiPriority w:val="34"/>
    <w:qFormat/>
    <w:rsid w:val="00AD7E61"/>
    <w:pPr>
      <w:ind w:left="720"/>
      <w:contextualSpacing/>
    </w:pPr>
  </w:style>
  <w:style w:type="character" w:styleId="IntenseEmphasis">
    <w:name w:val="Intense Emphasis"/>
    <w:basedOn w:val="DefaultParagraphFont"/>
    <w:uiPriority w:val="21"/>
    <w:qFormat/>
    <w:rsid w:val="00AD7E61"/>
    <w:rPr>
      <w:i/>
      <w:iCs/>
      <w:color w:val="0F4761" w:themeColor="accent1" w:themeShade="BF"/>
    </w:rPr>
  </w:style>
  <w:style w:type="paragraph" w:styleId="IntenseQuote">
    <w:name w:val="Intense Quote"/>
    <w:basedOn w:val="Normal"/>
    <w:next w:val="Normal"/>
    <w:link w:val="IntenseQuoteChar"/>
    <w:uiPriority w:val="30"/>
    <w:qFormat/>
    <w:rsid w:val="00AD7E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7E61"/>
    <w:rPr>
      <w:i/>
      <w:iCs/>
      <w:color w:val="0F4761" w:themeColor="accent1" w:themeShade="BF"/>
    </w:rPr>
  </w:style>
  <w:style w:type="character" w:styleId="IntenseReference">
    <w:name w:val="Intense Reference"/>
    <w:basedOn w:val="DefaultParagraphFont"/>
    <w:uiPriority w:val="32"/>
    <w:qFormat/>
    <w:rsid w:val="00AD7E61"/>
    <w:rPr>
      <w:b/>
      <w:bCs/>
      <w:smallCaps/>
      <w:color w:val="0F4761" w:themeColor="accent1" w:themeShade="BF"/>
      <w:spacing w:val="5"/>
    </w:rPr>
  </w:style>
  <w:style w:type="paragraph" w:styleId="Header">
    <w:name w:val="header"/>
    <w:basedOn w:val="Normal"/>
    <w:link w:val="HeaderChar"/>
    <w:uiPriority w:val="99"/>
    <w:unhideWhenUsed/>
    <w:rsid w:val="00AD7E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E61"/>
  </w:style>
  <w:style w:type="paragraph" w:styleId="Revision">
    <w:name w:val="Revision"/>
    <w:hidden/>
    <w:uiPriority w:val="99"/>
    <w:semiHidden/>
    <w:rsid w:val="00F403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263579">
      <w:bodyDiv w:val="1"/>
      <w:marLeft w:val="0"/>
      <w:marRight w:val="0"/>
      <w:marTop w:val="0"/>
      <w:marBottom w:val="0"/>
      <w:divBdr>
        <w:top w:val="none" w:sz="0" w:space="0" w:color="auto"/>
        <w:left w:val="none" w:sz="0" w:space="0" w:color="auto"/>
        <w:bottom w:val="none" w:sz="0" w:space="0" w:color="auto"/>
        <w:right w:val="none" w:sz="0" w:space="0" w:color="auto"/>
      </w:divBdr>
    </w:div>
    <w:div w:id="150342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fr/node/1165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popp.undp.org/fr/node/11651"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popp.undp.org/node/11586" TargetMode="External"/><Relationship Id="rId4" Type="http://schemas.openxmlformats.org/officeDocument/2006/relationships/webSettings" Target="webSettings.xml"/><Relationship Id="rId9" Type="http://schemas.openxmlformats.org/officeDocument/2006/relationships/hyperlink" Target="https://popp.undp.org/node/11586"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24</cp:revision>
  <dcterms:created xsi:type="dcterms:W3CDTF">2025-06-05T22:10:00Z</dcterms:created>
  <dcterms:modified xsi:type="dcterms:W3CDTF">2025-06-10T22:00:00Z</dcterms:modified>
</cp:coreProperties>
</file>