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B6" w:rsidRDefault="000C14A1" w:rsidP="00805BD2">
      <w:pPr>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DIRECTIVES </w:t>
      </w:r>
      <w:r w:rsidR="000018B6">
        <w:rPr>
          <w:rFonts w:ascii="Times New Roman" w:hAnsi="Times New Roman" w:cs="Times New Roman"/>
          <w:b/>
          <w:bCs/>
          <w:sz w:val="28"/>
          <w:szCs w:val="28"/>
        </w:rPr>
        <w:t>SUR LA PRÉPARATION DE L'</w:t>
      </w:r>
      <w:r w:rsidR="00A82093">
        <w:rPr>
          <w:rFonts w:ascii="Times New Roman" w:hAnsi="Times New Roman" w:cs="Times New Roman"/>
          <w:b/>
          <w:bCs/>
          <w:sz w:val="28"/>
          <w:szCs w:val="28"/>
        </w:rPr>
        <w:t>INVITATION</w:t>
      </w:r>
      <w:r w:rsidR="000018B6">
        <w:rPr>
          <w:rFonts w:ascii="Times New Roman" w:hAnsi="Times New Roman" w:cs="Times New Roman"/>
          <w:b/>
          <w:bCs/>
          <w:sz w:val="28"/>
          <w:szCs w:val="28"/>
        </w:rPr>
        <w:t xml:space="preserve"> À SOUMISSIONNER POUR DES SERVICES BANCAIRES</w:t>
      </w:r>
      <w:r w:rsidR="000018B6">
        <w:rPr>
          <w:rFonts w:ascii="Times New Roman" w:hAnsi="Times New Roman" w:cs="Times New Roman"/>
          <w:b/>
          <w:bCs/>
          <w:sz w:val="28"/>
          <w:szCs w:val="28"/>
        </w:rPr>
        <w:br/>
      </w:r>
    </w:p>
    <w:p w:rsidR="000018B6" w:rsidRDefault="000018B6" w:rsidP="00805BD2">
      <w:pPr>
        <w:jc w:val="center"/>
        <w:rPr>
          <w:rFonts w:ascii="Times New Roman" w:hAnsi="Times New Roman" w:cs="Times New Roman"/>
          <w:sz w:val="28"/>
          <w:szCs w:val="28"/>
        </w:rPr>
      </w:pPr>
    </w:p>
    <w:p w:rsidR="000018B6" w:rsidRDefault="000018B6" w:rsidP="00251300">
      <w:pPr>
        <w:pStyle w:val="BodyTextIndent"/>
        <w:numPr>
          <w:ilvl w:val="0"/>
          <w:numId w:val="25"/>
        </w:numPr>
        <w:rPr>
          <w:rFonts w:ascii="Times New Roman" w:hAnsi="Times New Roman"/>
        </w:rPr>
      </w:pPr>
      <w:r>
        <w:rPr>
          <w:rFonts w:ascii="Times New Roman" w:hAnsi="Times New Roman"/>
          <w:b/>
          <w:bCs/>
        </w:rPr>
        <w:t>L'objet</w:t>
      </w:r>
      <w:r>
        <w:rPr>
          <w:rFonts w:ascii="Times New Roman" w:hAnsi="Times New Roman"/>
        </w:rPr>
        <w:t xml:space="preserve"> de ces </w:t>
      </w:r>
      <w:r w:rsidR="000C14A1">
        <w:rPr>
          <w:rFonts w:ascii="Times New Roman" w:hAnsi="Times New Roman"/>
        </w:rPr>
        <w:t xml:space="preserve">directives </w:t>
      </w:r>
      <w:r>
        <w:rPr>
          <w:rFonts w:ascii="Times New Roman" w:hAnsi="Times New Roman"/>
        </w:rPr>
        <w:t>est de prêter assistance aux bureaux de pays du PNUD dans la conduite d'</w:t>
      </w:r>
      <w:r w:rsidR="00A82093">
        <w:rPr>
          <w:rFonts w:ascii="Times New Roman" w:hAnsi="Times New Roman"/>
        </w:rPr>
        <w:t xml:space="preserve">IAS des </w:t>
      </w:r>
      <w:r>
        <w:rPr>
          <w:rFonts w:ascii="Times New Roman" w:hAnsi="Times New Roman"/>
        </w:rPr>
        <w:t>offres de services bancaires. Comme le prévoient les politiques et procédures d'acquisition du PNUD, cette opération nécessite une mise en concurrence. [</w:t>
      </w:r>
      <w:r>
        <w:rPr>
          <w:rFonts w:ascii="Times New Roman" w:hAnsi="Times New Roman"/>
          <w:i/>
          <w:iCs/>
          <w:color w:val="FF0000"/>
        </w:rPr>
        <w:t>Pour plus de précisions, se reporter au Guide de l'utilisateur sur les</w:t>
      </w:r>
      <w:r>
        <w:rPr>
          <w:rFonts w:ascii="Times New Roman" w:hAnsi="Times New Roman"/>
          <w:color w:val="FF0000"/>
        </w:rPr>
        <w:t xml:space="preserve"> "</w:t>
      </w:r>
      <w:r>
        <w:rPr>
          <w:rFonts w:ascii="Times New Roman" w:hAnsi="Times New Roman"/>
          <w:i/>
          <w:iCs/>
          <w:color w:val="FF0000"/>
        </w:rPr>
        <w:t>Principes de l'acquisition de biens et services</w:t>
      </w:r>
      <w:r>
        <w:rPr>
          <w:rFonts w:ascii="Times New Roman" w:hAnsi="Times New Roman"/>
          <w:color w:val="FF0000"/>
        </w:rPr>
        <w:t>".</w:t>
      </w:r>
      <w:r>
        <w:rPr>
          <w:rFonts w:ascii="Times New Roman" w:hAnsi="Times New Roman"/>
        </w:rPr>
        <w:t xml:space="preserve">] </w:t>
      </w:r>
    </w:p>
    <w:p w:rsidR="000018B6" w:rsidRDefault="000018B6">
      <w:pPr>
        <w:jc w:val="both"/>
        <w:rPr>
          <w:rFonts w:ascii="Times New Roman" w:hAnsi="Times New Roman" w:cs="Times New Roman"/>
        </w:rPr>
      </w:pPr>
    </w:p>
    <w:p w:rsidR="000018B6" w:rsidRDefault="000018B6" w:rsidP="00251300">
      <w:pPr>
        <w:pStyle w:val="BodyTextIndent"/>
        <w:numPr>
          <w:ilvl w:val="0"/>
          <w:numId w:val="25"/>
        </w:numPr>
        <w:rPr>
          <w:rFonts w:ascii="Times New Roman" w:hAnsi="Times New Roman"/>
        </w:rPr>
      </w:pPr>
      <w:r>
        <w:rPr>
          <w:rFonts w:ascii="Times New Roman" w:hAnsi="Times New Roman"/>
          <w:b/>
          <w:bCs/>
        </w:rPr>
        <w:t>La responsabilité</w:t>
      </w:r>
      <w:r>
        <w:rPr>
          <w:rFonts w:ascii="Times New Roman" w:hAnsi="Times New Roman"/>
        </w:rPr>
        <w:t xml:space="preserve"> pour l'attribution </w:t>
      </w:r>
      <w:r w:rsidR="00253EC7">
        <w:rPr>
          <w:rFonts w:ascii="Times New Roman" w:hAnsi="Times New Roman"/>
        </w:rPr>
        <w:t>d’un</w:t>
      </w:r>
      <w:r>
        <w:rPr>
          <w:rFonts w:ascii="Times New Roman" w:hAnsi="Times New Roman"/>
        </w:rPr>
        <w:t xml:space="preserve"> contrat à une banque en vue de prestation de services bancaires a été déléguée par l'Administrateur au Trésorier, comme le prévoit la Règle 125.01 du Règlement financier. Le Trésorier est la seule personne habilitée à approuver la recommandation formulée par le Représentant résident ou le chef de bureau de pays à l'issue de l'examen des offres.</w:t>
      </w:r>
      <w:r w:rsidR="00253EC7">
        <w:rPr>
          <w:rFonts w:ascii="Times New Roman" w:hAnsi="Times New Roman"/>
        </w:rPr>
        <w:t xml:space="preserve"> </w:t>
      </w:r>
      <w:r>
        <w:rPr>
          <w:rFonts w:ascii="Times New Roman" w:hAnsi="Times New Roman"/>
        </w:rPr>
        <w:t xml:space="preserve">Cette approbation donnera lieu à la conclusion d'un contrat, désigné Convention de services </w:t>
      </w:r>
      <w:r w:rsidR="00253EC7">
        <w:rPr>
          <w:rFonts w:ascii="Times New Roman" w:hAnsi="Times New Roman"/>
        </w:rPr>
        <w:t>bancaires [</w:t>
      </w:r>
      <w:r>
        <w:rPr>
          <w:rFonts w:ascii="Times New Roman" w:hAnsi="Times New Roman"/>
          <w:color w:val="FF0000"/>
        </w:rPr>
        <w:t>Convention</w:t>
      </w:r>
      <w:r>
        <w:rPr>
          <w:rFonts w:ascii="Times New Roman" w:hAnsi="Times New Roman"/>
        </w:rPr>
        <w:t>] Le Trésorier peut déléguer la signature de la Convention au Représentant résident ou au chef de bureau.</w:t>
      </w:r>
    </w:p>
    <w:p w:rsidR="000018B6" w:rsidRDefault="000018B6">
      <w:pPr>
        <w:pStyle w:val="BodyTextIndent"/>
        <w:ind w:left="0" w:firstLine="0"/>
        <w:rPr>
          <w:rFonts w:ascii="Times New Roman" w:hAnsi="Times New Roman"/>
        </w:rPr>
      </w:pPr>
    </w:p>
    <w:p w:rsidR="000018B6" w:rsidRDefault="000018B6" w:rsidP="00251300">
      <w:pPr>
        <w:pStyle w:val="BodyTextIndent"/>
        <w:numPr>
          <w:ilvl w:val="0"/>
          <w:numId w:val="25"/>
        </w:numPr>
        <w:rPr>
          <w:rFonts w:ascii="Times New Roman" w:hAnsi="Times New Roman"/>
        </w:rPr>
      </w:pPr>
      <w:r>
        <w:rPr>
          <w:rFonts w:ascii="Times New Roman" w:hAnsi="Times New Roman"/>
          <w:b/>
          <w:bCs/>
        </w:rPr>
        <w:t>Le principe Unis dans l'action</w:t>
      </w:r>
      <w:r>
        <w:rPr>
          <w:rFonts w:ascii="Times New Roman" w:hAnsi="Times New Roman"/>
        </w:rPr>
        <w:t xml:space="preserve"> doit être appliqué aux </w:t>
      </w:r>
      <w:r w:rsidR="00A82093">
        <w:rPr>
          <w:rFonts w:ascii="Times New Roman" w:hAnsi="Times New Roman"/>
        </w:rPr>
        <w:t>Invitation</w:t>
      </w:r>
      <w:r>
        <w:rPr>
          <w:rFonts w:ascii="Times New Roman" w:hAnsi="Times New Roman"/>
        </w:rPr>
        <w:t>s à soumissionner pour la prestation de services bancaires.</w:t>
      </w:r>
      <w:r w:rsidR="00253EC7">
        <w:rPr>
          <w:rFonts w:ascii="Times New Roman" w:hAnsi="Times New Roman"/>
        </w:rPr>
        <w:t xml:space="preserve"> </w:t>
      </w:r>
      <w:r>
        <w:rPr>
          <w:rFonts w:ascii="Times New Roman" w:hAnsi="Times New Roman"/>
        </w:rPr>
        <w:t>Toutes les agences de l'ONU ayant établi leurs propres relations bancaires dans le pays</w:t>
      </w:r>
      <w:r w:rsidR="00342231">
        <w:rPr>
          <w:rFonts w:ascii="Times New Roman" w:hAnsi="Times New Roman"/>
        </w:rPr>
        <w:t xml:space="preserve"> </w:t>
      </w:r>
      <w:r>
        <w:rPr>
          <w:rFonts w:ascii="Times New Roman" w:hAnsi="Times New Roman"/>
        </w:rPr>
        <w:t>[</w:t>
      </w:r>
      <w:r>
        <w:rPr>
          <w:rFonts w:ascii="Times New Roman" w:hAnsi="Times New Roman"/>
          <w:i/>
          <w:iCs/>
          <w:color w:val="FF0000"/>
        </w:rPr>
        <w:t>à l'exclusion des agences</w:t>
      </w:r>
      <w:r w:rsidR="00342231">
        <w:rPr>
          <w:rFonts w:ascii="Times New Roman" w:hAnsi="Times New Roman"/>
          <w:i/>
          <w:iCs/>
          <w:color w:val="FF0000"/>
        </w:rPr>
        <w:t xml:space="preserve"> utilisant </w:t>
      </w:r>
      <w:r>
        <w:rPr>
          <w:rFonts w:ascii="Times New Roman" w:hAnsi="Times New Roman"/>
          <w:i/>
          <w:iCs/>
          <w:color w:val="FF0000"/>
        </w:rPr>
        <w:t>Atlas pour lesquelles le bureau de pays du PNUD assure des services bancaires</w:t>
      </w:r>
      <w:r>
        <w:rPr>
          <w:rFonts w:ascii="Times New Roman" w:hAnsi="Times New Roman"/>
        </w:rPr>
        <w:t>] devraient être invitées à participer au processus de l'</w:t>
      </w:r>
      <w:r w:rsidR="00A82093">
        <w:rPr>
          <w:rFonts w:ascii="Times New Roman" w:hAnsi="Times New Roman"/>
        </w:rPr>
        <w:t>IAS</w:t>
      </w:r>
      <w:r>
        <w:rPr>
          <w:rFonts w:ascii="Times New Roman" w:hAnsi="Times New Roman"/>
        </w:rPr>
        <w:t>.</w:t>
      </w:r>
      <w:r w:rsidR="00253EC7">
        <w:rPr>
          <w:rFonts w:ascii="Times New Roman" w:hAnsi="Times New Roman"/>
        </w:rPr>
        <w:t xml:space="preserve"> </w:t>
      </w:r>
      <w:r>
        <w:rPr>
          <w:rFonts w:ascii="Times New Roman" w:hAnsi="Times New Roman"/>
        </w:rPr>
        <w:t xml:space="preserve">Cependant, les agences de l'ONU ne sont </w:t>
      </w:r>
      <w:r>
        <w:rPr>
          <w:rFonts w:ascii="Times New Roman" w:hAnsi="Times New Roman"/>
          <w:b/>
          <w:bCs/>
        </w:rPr>
        <w:t>pas tenues</w:t>
      </w:r>
      <w:r>
        <w:rPr>
          <w:rFonts w:ascii="Times New Roman" w:hAnsi="Times New Roman"/>
        </w:rPr>
        <w:t xml:space="preserve"> d'y participer.</w:t>
      </w:r>
    </w:p>
    <w:p w:rsidR="000018B6" w:rsidRDefault="000018B6">
      <w:pPr>
        <w:rPr>
          <w:rFonts w:ascii="Times New Roman" w:hAnsi="Times New Roman" w:cs="Times New Roman"/>
        </w:rPr>
      </w:pPr>
      <w:r>
        <w:rPr>
          <w:rFonts w:ascii="Times New Roman" w:hAnsi="Times New Roman" w:cs="Times New Roman"/>
        </w:rPr>
        <w:t> </w:t>
      </w:r>
    </w:p>
    <w:p w:rsidR="000018B6" w:rsidRDefault="000018B6" w:rsidP="00251300">
      <w:pPr>
        <w:pStyle w:val="BodyTextIndent"/>
        <w:numPr>
          <w:ilvl w:val="0"/>
          <w:numId w:val="25"/>
        </w:numPr>
        <w:rPr>
          <w:rFonts w:ascii="Times New Roman" w:hAnsi="Times New Roman"/>
        </w:rPr>
      </w:pPr>
      <w:r>
        <w:rPr>
          <w:rFonts w:ascii="Times New Roman" w:hAnsi="Times New Roman"/>
          <w:b/>
          <w:bCs/>
        </w:rPr>
        <w:t>Les coûts</w:t>
      </w:r>
      <w:r>
        <w:rPr>
          <w:rFonts w:ascii="Times New Roman" w:hAnsi="Times New Roman"/>
        </w:rPr>
        <w:t xml:space="preserve"> encourus dans le processus d'acquisition de services bancaires, tels que l'impression de la documentation et la publication de l'annonce de l'</w:t>
      </w:r>
      <w:r w:rsidR="00A82093">
        <w:rPr>
          <w:rFonts w:ascii="Times New Roman" w:hAnsi="Times New Roman"/>
        </w:rPr>
        <w:t>IAS</w:t>
      </w:r>
      <w:r>
        <w:rPr>
          <w:rFonts w:ascii="Times New Roman" w:hAnsi="Times New Roman"/>
        </w:rPr>
        <w:t xml:space="preserve">, doivent être partagés équitablement entre le bureau de pays du PNUD et les agences de l'ONU participantes. Il incombe au bureau de pays d'estimer ces coûts à l'avance, d'en informer les agences participantes et d'obtenir leur accord par écrit au partage des coûts. Le bureau de pays est responsable du recouvrement des coûts encourus localement dans une </w:t>
      </w:r>
      <w:r w:rsidR="00A82093">
        <w:rPr>
          <w:rFonts w:ascii="Times New Roman" w:hAnsi="Times New Roman"/>
        </w:rPr>
        <w:t>IAS</w:t>
      </w:r>
      <w:r>
        <w:rPr>
          <w:rFonts w:ascii="Times New Roman" w:hAnsi="Times New Roman"/>
        </w:rPr>
        <w:t xml:space="preserve"> pour des services bancaires.</w:t>
      </w:r>
    </w:p>
    <w:p w:rsidR="000018B6" w:rsidRDefault="000018B6">
      <w:pPr>
        <w:pStyle w:val="ListParagraph"/>
        <w:rPr>
          <w:rFonts w:ascii="Times New Roman" w:hAnsi="Times New Roman" w:cs="Times New Roman"/>
        </w:rPr>
      </w:pPr>
    </w:p>
    <w:p w:rsidR="000018B6" w:rsidRDefault="000018B6">
      <w:pPr>
        <w:rPr>
          <w:rFonts w:ascii="Times New Roman" w:hAnsi="Times New Roman" w:cs="Times New Roman"/>
        </w:rPr>
      </w:pPr>
    </w:p>
    <w:p w:rsidR="000018B6" w:rsidRDefault="000018B6" w:rsidP="00251300">
      <w:pPr>
        <w:pStyle w:val="ListParagraph"/>
        <w:numPr>
          <w:ilvl w:val="0"/>
          <w:numId w:val="25"/>
        </w:numPr>
        <w:rPr>
          <w:rFonts w:ascii="Times New Roman" w:hAnsi="Times New Roman" w:cs="Times New Roman"/>
        </w:rPr>
      </w:pPr>
      <w:r>
        <w:rPr>
          <w:rFonts w:ascii="Times New Roman" w:hAnsi="Times New Roman" w:cs="Times New Roman"/>
          <w:b/>
          <w:bCs/>
        </w:rPr>
        <w:t>L'</w:t>
      </w:r>
      <w:r w:rsidR="00A82093">
        <w:rPr>
          <w:rFonts w:ascii="Times New Roman" w:hAnsi="Times New Roman" w:cs="Times New Roman"/>
          <w:b/>
          <w:bCs/>
        </w:rPr>
        <w:t>IAS</w:t>
      </w:r>
      <w:r>
        <w:rPr>
          <w:rFonts w:ascii="Times New Roman" w:hAnsi="Times New Roman" w:cs="Times New Roman"/>
          <w:b/>
          <w:bCs/>
        </w:rPr>
        <w:t xml:space="preserve"> doit comprendre les documents suivants :</w:t>
      </w:r>
      <w:r>
        <w:rPr>
          <w:rFonts w:ascii="Times New Roman" w:hAnsi="Times New Roman" w:cs="Times New Roman"/>
        </w:rPr>
        <w:br/>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Lettre de couverture</w:t>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1</w:t>
      </w:r>
      <w:r w:rsidR="000C14A1">
        <w:rPr>
          <w:rFonts w:ascii="Times New Roman" w:hAnsi="Times New Roman"/>
        </w:rPr>
        <w:t> </w:t>
      </w:r>
      <w:r>
        <w:rPr>
          <w:rFonts w:ascii="Times New Roman" w:hAnsi="Times New Roman"/>
        </w:rPr>
        <w:t>: Lettre d'</w:t>
      </w:r>
      <w:r w:rsidR="00A82093">
        <w:rPr>
          <w:rFonts w:ascii="Times New Roman" w:hAnsi="Times New Roman"/>
        </w:rPr>
        <w:t>Invitation</w:t>
      </w:r>
      <w:r>
        <w:rPr>
          <w:rFonts w:ascii="Times New Roman" w:hAnsi="Times New Roman"/>
        </w:rPr>
        <w:t xml:space="preserve"> </w:t>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2</w:t>
      </w:r>
      <w:r w:rsidR="000C14A1">
        <w:rPr>
          <w:rFonts w:ascii="Times New Roman" w:hAnsi="Times New Roman"/>
        </w:rPr>
        <w:t> </w:t>
      </w:r>
      <w:r>
        <w:rPr>
          <w:rFonts w:ascii="Times New Roman" w:hAnsi="Times New Roman"/>
        </w:rPr>
        <w:t>: Instructions aux Soumissionnaires</w:t>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2</w:t>
      </w:r>
      <w:r w:rsidR="000C14A1">
        <w:rPr>
          <w:rFonts w:ascii="Times New Roman" w:hAnsi="Times New Roman"/>
        </w:rPr>
        <w:t> </w:t>
      </w:r>
      <w:r w:rsidR="00A82093">
        <w:rPr>
          <w:rFonts w:ascii="Times New Roman" w:hAnsi="Times New Roman"/>
        </w:rPr>
        <w:t>: Fiche d’information</w:t>
      </w:r>
      <w:r>
        <w:rPr>
          <w:rFonts w:ascii="Times New Roman" w:hAnsi="Times New Roman"/>
        </w:rPr>
        <w:tab/>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3</w:t>
      </w:r>
      <w:r w:rsidR="000C14A1">
        <w:rPr>
          <w:rFonts w:ascii="Times New Roman" w:hAnsi="Times New Roman"/>
        </w:rPr>
        <w:t> </w:t>
      </w:r>
      <w:r>
        <w:rPr>
          <w:rFonts w:ascii="Times New Roman" w:hAnsi="Times New Roman"/>
        </w:rPr>
        <w:t>: Termes de référence (TdR)</w:t>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4</w:t>
      </w:r>
      <w:r w:rsidR="000C14A1">
        <w:rPr>
          <w:rFonts w:ascii="Times New Roman" w:hAnsi="Times New Roman"/>
        </w:rPr>
        <w:t> </w:t>
      </w:r>
      <w:r>
        <w:rPr>
          <w:rFonts w:ascii="Times New Roman" w:hAnsi="Times New Roman"/>
        </w:rPr>
        <w:t>: Modèle de soumission</w:t>
      </w:r>
      <w:r>
        <w:rPr>
          <w:rFonts w:ascii="Times New Roman" w:hAnsi="Times New Roman"/>
        </w:rPr>
        <w:tab/>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5</w:t>
      </w:r>
      <w:r w:rsidR="000C14A1">
        <w:rPr>
          <w:rFonts w:ascii="Times New Roman" w:hAnsi="Times New Roman"/>
        </w:rPr>
        <w:t> </w:t>
      </w:r>
      <w:r>
        <w:rPr>
          <w:rFonts w:ascii="Times New Roman" w:hAnsi="Times New Roman"/>
        </w:rPr>
        <w:t>: Formulaire d'Offre technique</w:t>
      </w:r>
      <w:r>
        <w:rPr>
          <w:rFonts w:ascii="Times New Roman" w:hAnsi="Times New Roman"/>
        </w:rPr>
        <w:tab/>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6</w:t>
      </w:r>
      <w:r w:rsidR="000C14A1">
        <w:rPr>
          <w:rFonts w:ascii="Times New Roman" w:hAnsi="Times New Roman"/>
        </w:rPr>
        <w:t> </w:t>
      </w:r>
      <w:r>
        <w:rPr>
          <w:rFonts w:ascii="Times New Roman" w:hAnsi="Times New Roman"/>
        </w:rPr>
        <w:t>: Formulaire d'Offre financière</w:t>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t>Section 7</w:t>
      </w:r>
      <w:r w:rsidR="000C14A1">
        <w:rPr>
          <w:rFonts w:ascii="Times New Roman" w:hAnsi="Times New Roman"/>
        </w:rPr>
        <w:t> </w:t>
      </w:r>
      <w:r>
        <w:rPr>
          <w:rFonts w:ascii="Times New Roman" w:hAnsi="Times New Roman"/>
        </w:rPr>
        <w:t>: Formulaire de services bancaires aux particuliers</w:t>
      </w:r>
      <w:r>
        <w:rPr>
          <w:rFonts w:ascii="Times New Roman" w:hAnsi="Times New Roman"/>
        </w:rPr>
        <w:tab/>
      </w:r>
    </w:p>
    <w:p w:rsidR="000018B6" w:rsidRDefault="000018B6">
      <w:pPr>
        <w:pStyle w:val="BodyTextIndent2"/>
        <w:numPr>
          <w:ilvl w:val="0"/>
          <w:numId w:val="28"/>
        </w:numPr>
        <w:tabs>
          <w:tab w:val="clear" w:pos="5040"/>
          <w:tab w:val="left" w:pos="6480"/>
        </w:tabs>
        <w:jc w:val="both"/>
        <w:rPr>
          <w:rFonts w:ascii="Times New Roman" w:hAnsi="Times New Roman"/>
        </w:rPr>
      </w:pPr>
      <w:r>
        <w:rPr>
          <w:rFonts w:ascii="Times New Roman" w:hAnsi="Times New Roman"/>
        </w:rPr>
        <w:lastRenderedPageBreak/>
        <w:t>Section 8 : Convention type de services bancaires (comprenant les conditions générales)</w:t>
      </w:r>
      <w:r>
        <w:rPr>
          <w:rFonts w:ascii="Times New Roman" w:hAnsi="Times New Roman"/>
        </w:rPr>
        <w:tab/>
      </w:r>
      <w:r>
        <w:rPr>
          <w:rFonts w:ascii="Times New Roman" w:hAnsi="Times New Roman"/>
        </w:rPr>
        <w:br/>
      </w:r>
    </w:p>
    <w:p w:rsidR="000018B6" w:rsidRDefault="000018B6">
      <w:pPr>
        <w:rPr>
          <w:rFonts w:ascii="Times New Roman" w:hAnsi="Times New Roman" w:cs="Times New Roman"/>
        </w:rPr>
      </w:pPr>
    </w:p>
    <w:p w:rsidR="000018B6" w:rsidRDefault="000018B6">
      <w:pPr>
        <w:pStyle w:val="ListParagraph"/>
        <w:numPr>
          <w:ilvl w:val="0"/>
          <w:numId w:val="25"/>
        </w:numPr>
        <w:rPr>
          <w:rFonts w:ascii="Times New Roman" w:hAnsi="Times New Roman" w:cs="Times New Roman"/>
          <w:sz w:val="28"/>
          <w:szCs w:val="28"/>
        </w:rPr>
      </w:pPr>
      <w:r>
        <w:rPr>
          <w:rFonts w:ascii="Times New Roman" w:hAnsi="Times New Roman" w:cs="Times New Roman"/>
          <w:b/>
          <w:bCs/>
        </w:rPr>
        <w:t xml:space="preserve">Les étapes du lancement d'une </w:t>
      </w:r>
      <w:r w:rsidR="00A82093">
        <w:rPr>
          <w:rFonts w:ascii="Times New Roman" w:hAnsi="Times New Roman" w:cs="Times New Roman"/>
          <w:b/>
          <w:bCs/>
        </w:rPr>
        <w:t>IAS</w:t>
      </w:r>
      <w:r>
        <w:rPr>
          <w:rFonts w:ascii="Times New Roman" w:hAnsi="Times New Roman" w:cs="Times New Roman"/>
          <w:b/>
          <w:bCs/>
        </w:rPr>
        <w:t xml:space="preserve"> pour services bancaires</w:t>
      </w:r>
      <w:r>
        <w:rPr>
          <w:rFonts w:ascii="Times New Roman" w:hAnsi="Times New Roman" w:cs="Times New Roman"/>
          <w:sz w:val="28"/>
          <w:szCs w:val="28"/>
        </w:rPr>
        <w:tab/>
      </w:r>
      <w:r>
        <w:rPr>
          <w:rFonts w:ascii="Times New Roman" w:hAnsi="Times New Roman" w:cs="Times New Roman"/>
          <w:sz w:val="28"/>
          <w:szCs w:val="28"/>
        </w:rPr>
        <w:br/>
      </w:r>
    </w:p>
    <w:tbl>
      <w:tblPr>
        <w:tblW w:w="10191" w:type="dxa"/>
        <w:tblLook w:val="0000" w:firstRow="0" w:lastRow="0" w:firstColumn="0" w:lastColumn="0" w:noHBand="0" w:noVBand="0"/>
      </w:tblPr>
      <w:tblGrid>
        <w:gridCol w:w="695"/>
        <w:gridCol w:w="9496"/>
      </w:tblGrid>
      <w:tr w:rsidR="000018B6">
        <w:trPr>
          <w:trHeight w:val="162"/>
        </w:trPr>
        <w:tc>
          <w:tcPr>
            <w:tcW w:w="695" w:type="dxa"/>
          </w:tcPr>
          <w:p w:rsidR="000018B6" w:rsidRDefault="000018B6" w:rsidP="00F36A64">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Préparer le projet de documentation de l'</w:t>
            </w:r>
            <w:r w:rsidR="00A82093">
              <w:rPr>
                <w:rFonts w:ascii="Times New Roman" w:hAnsi="Times New Roman" w:cs="Times New Roman"/>
                <w:b/>
                <w:bCs/>
                <w:u w:val="single"/>
              </w:rPr>
              <w:t>IAS</w:t>
            </w:r>
            <w:r>
              <w:rPr>
                <w:rFonts w:ascii="Times New Roman" w:hAnsi="Times New Roman" w:cs="Times New Roman"/>
                <w:b/>
                <w:bCs/>
                <w:u w:val="single"/>
              </w:rPr>
              <w:t xml:space="preserve"> </w:t>
            </w:r>
            <w:r>
              <w:rPr>
                <w:rFonts w:ascii="Times New Roman" w:hAnsi="Times New Roman" w:cs="Times New Roman"/>
                <w:b/>
                <w:bCs/>
                <w:u w:val="single"/>
              </w:rPr>
              <w:br/>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Lettre de couverture de l'</w:t>
            </w:r>
            <w:r w:rsidR="00A82093">
              <w:rPr>
                <w:rFonts w:ascii="Times New Roman" w:hAnsi="Times New Roman"/>
              </w:rPr>
              <w:t>IAS</w:t>
            </w:r>
            <w:r>
              <w:rPr>
                <w:rFonts w:ascii="Times New Roman" w:hAnsi="Times New Roman"/>
              </w:rPr>
              <w:t xml:space="preserve"> [</w:t>
            </w:r>
            <w:r>
              <w:rPr>
                <w:rFonts w:ascii="Times New Roman" w:hAnsi="Times New Roman"/>
                <w:i/>
                <w:iCs/>
                <w:color w:val="FF0000"/>
              </w:rPr>
              <w:t>Insérer l'information pertinente</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 xml:space="preserve">Lettre </w:t>
            </w:r>
            <w:r w:rsidR="00253EC7">
              <w:rPr>
                <w:rFonts w:ascii="Times New Roman" w:hAnsi="Times New Roman"/>
              </w:rPr>
              <w:t>d’</w:t>
            </w:r>
            <w:r w:rsidR="00A82093">
              <w:rPr>
                <w:rFonts w:ascii="Times New Roman" w:hAnsi="Times New Roman"/>
              </w:rPr>
              <w:t>Invitation</w:t>
            </w:r>
            <w:r w:rsidR="00253EC7">
              <w:rPr>
                <w:rFonts w:ascii="Times New Roman" w:hAnsi="Times New Roman"/>
              </w:rPr>
              <w:t xml:space="preserve"> [</w:t>
            </w:r>
            <w:r>
              <w:rPr>
                <w:rFonts w:ascii="Times New Roman" w:hAnsi="Times New Roman"/>
                <w:i/>
                <w:iCs/>
                <w:color w:val="FF0000"/>
              </w:rPr>
              <w:t>Insérer l'information pertinente</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Instructions aux Soumissionnaires [</w:t>
            </w:r>
            <w:r>
              <w:rPr>
                <w:rFonts w:ascii="Times New Roman" w:hAnsi="Times New Roman"/>
                <w:i/>
                <w:iCs/>
                <w:color w:val="FF0000"/>
              </w:rPr>
              <w:t>Ne pas modifier ce document</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Fiche d'information [</w:t>
            </w:r>
            <w:r>
              <w:rPr>
                <w:rFonts w:ascii="Times New Roman" w:hAnsi="Times New Roman"/>
                <w:i/>
                <w:iCs/>
                <w:color w:val="FF0000"/>
              </w:rPr>
              <w:t>Remplir la Fiche d'information comme il convient</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Termes de référence [</w:t>
            </w:r>
            <w:r>
              <w:rPr>
                <w:rFonts w:ascii="Times New Roman" w:hAnsi="Times New Roman"/>
                <w:i/>
                <w:iCs/>
                <w:color w:val="FF0000"/>
              </w:rPr>
              <w:t>Insérer l'information pertinente et remplir le tableau des caractéristiques essentielles des services bancaires requis</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Modèle de soumission [</w:t>
            </w:r>
            <w:r>
              <w:rPr>
                <w:rFonts w:ascii="Times New Roman" w:hAnsi="Times New Roman"/>
                <w:i/>
                <w:iCs/>
                <w:color w:val="FF0000"/>
              </w:rPr>
              <w:t xml:space="preserve">Insérer l'information pertinente et signer au bas de la dernière </w:t>
            </w:r>
            <w:r w:rsidR="00253EC7">
              <w:rPr>
                <w:rFonts w:ascii="Times New Roman" w:hAnsi="Times New Roman"/>
                <w:i/>
                <w:iCs/>
                <w:color w:val="FF0000"/>
              </w:rPr>
              <w:t>page]</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Formulaire d'Offre technique [</w:t>
            </w:r>
            <w:r>
              <w:rPr>
                <w:rFonts w:ascii="Times New Roman" w:hAnsi="Times New Roman"/>
                <w:i/>
                <w:iCs/>
                <w:color w:val="FF0000"/>
              </w:rPr>
              <w:t>La catégorie A ne soit pas être modifiée. Si d'autres changements doivent être apportés à ce formulaire, veillez à ce que les changements soient insérés sous les catégories de services B, C, D, etc.  Cela facilitera l'établissement des scores pendant l'évaluation</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Formulaire d'Offre financière [</w:t>
            </w:r>
            <w:r>
              <w:rPr>
                <w:rFonts w:ascii="Times New Roman" w:hAnsi="Times New Roman"/>
                <w:i/>
                <w:iCs/>
                <w:color w:val="FF0000"/>
              </w:rPr>
              <w:t>Il est permis de modifier ce formulaire en fonction du type de services requis par le bureau</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Formulaire d'Offre de services bancaires aux particuliers [</w:t>
            </w:r>
            <w:r>
              <w:rPr>
                <w:rFonts w:ascii="Times New Roman" w:hAnsi="Times New Roman"/>
                <w:i/>
                <w:iCs/>
                <w:color w:val="FF0000"/>
              </w:rPr>
              <w:t>Il est permis de modifier ce formulaire en fonction du type de services requis par le bureau</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Formulaire de contrat [</w:t>
            </w:r>
            <w:r>
              <w:rPr>
                <w:rFonts w:ascii="Times New Roman" w:hAnsi="Times New Roman"/>
                <w:i/>
                <w:iCs/>
                <w:color w:val="FF0000"/>
              </w:rPr>
              <w:t>Il s'agit de la Convention type du PNUD pour l'exécution de services bancaires. Nous encourageons toutes les banques à l'adopter</w:t>
            </w:r>
            <w:r>
              <w:rPr>
                <w:rFonts w:ascii="Times New Roman" w:hAnsi="Times New Roman"/>
              </w:rPr>
              <w:t>]</w:t>
            </w:r>
          </w:p>
          <w:p w:rsidR="000018B6" w:rsidRDefault="000018B6" w:rsidP="004C79B3">
            <w:pPr>
              <w:pStyle w:val="BodyTextIndent2"/>
              <w:numPr>
                <w:ilvl w:val="0"/>
                <w:numId w:val="24"/>
              </w:numPr>
              <w:tabs>
                <w:tab w:val="clear" w:pos="5040"/>
                <w:tab w:val="left" w:pos="6480"/>
              </w:tabs>
              <w:jc w:val="both"/>
              <w:rPr>
                <w:rFonts w:ascii="Times New Roman" w:hAnsi="Times New Roman"/>
              </w:rPr>
            </w:pPr>
            <w:r>
              <w:rPr>
                <w:rFonts w:ascii="Times New Roman" w:hAnsi="Times New Roman"/>
              </w:rPr>
              <w:t>Dans la préparation des pièces qui précèdent, on recherchera les contributions des agences participantes de l'ONU, en prenant note de leurs besoins opérationnels et en les priant de passer en revue la version finale de l'</w:t>
            </w:r>
            <w:r w:rsidR="00A82093">
              <w:rPr>
                <w:rFonts w:ascii="Times New Roman" w:hAnsi="Times New Roman"/>
              </w:rPr>
              <w:t>IAS</w:t>
            </w:r>
            <w:r>
              <w:rPr>
                <w:rFonts w:ascii="Times New Roman" w:hAnsi="Times New Roman"/>
              </w:rPr>
              <w:t>.</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rsidP="004B15FC">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Nommer les membres du comité d'évaluation</w:t>
            </w:r>
          </w:p>
          <w:p w:rsidR="000018B6" w:rsidRDefault="000018B6" w:rsidP="00B321B2">
            <w:pPr>
              <w:pStyle w:val="BodyTextIndent2"/>
              <w:tabs>
                <w:tab w:val="clear" w:pos="5040"/>
              </w:tabs>
              <w:ind w:left="0" w:firstLine="0"/>
              <w:rPr>
                <w:rFonts w:ascii="Times New Roman" w:hAnsi="Times New Roman"/>
              </w:rPr>
            </w:pPr>
          </w:p>
          <w:p w:rsidR="000018B6" w:rsidRDefault="000018B6">
            <w:pPr>
              <w:pStyle w:val="BodyTextIndent2"/>
              <w:numPr>
                <w:ilvl w:val="0"/>
                <w:numId w:val="3"/>
              </w:numPr>
              <w:tabs>
                <w:tab w:val="clear" w:pos="5040"/>
                <w:tab w:val="left" w:pos="6480"/>
              </w:tabs>
              <w:ind w:left="1800"/>
              <w:jc w:val="both"/>
              <w:rPr>
                <w:rFonts w:ascii="Times New Roman" w:hAnsi="Times New Roman"/>
              </w:rPr>
            </w:pPr>
            <w:r>
              <w:rPr>
                <w:rFonts w:ascii="Times New Roman" w:hAnsi="Times New Roman"/>
              </w:rPr>
              <w:t xml:space="preserve">Pour le PNUD, les membres en </w:t>
            </w:r>
            <w:r w:rsidR="00253EC7">
              <w:rPr>
                <w:rFonts w:ascii="Times New Roman" w:hAnsi="Times New Roman"/>
              </w:rPr>
              <w:t>seront :</w:t>
            </w:r>
          </w:p>
          <w:p w:rsidR="000018B6" w:rsidRDefault="00FD20B1">
            <w:pPr>
              <w:pStyle w:val="BodyTextIndent2"/>
              <w:numPr>
                <w:ilvl w:val="0"/>
                <w:numId w:val="29"/>
              </w:numPr>
              <w:tabs>
                <w:tab w:val="clear" w:pos="5040"/>
              </w:tabs>
              <w:rPr>
                <w:rFonts w:ascii="Times New Roman" w:hAnsi="Times New Roman"/>
              </w:rPr>
            </w:pPr>
            <w:r>
              <w:rPr>
                <w:rFonts w:ascii="Times New Roman" w:hAnsi="Times New Roman"/>
              </w:rPr>
              <w:t xml:space="preserve">Représentant résident adjoint </w:t>
            </w:r>
            <w:r w:rsidR="000018B6">
              <w:rPr>
                <w:rFonts w:ascii="Times New Roman" w:hAnsi="Times New Roman"/>
              </w:rPr>
              <w:t>(Opérations) ou Responsable Opérations</w:t>
            </w:r>
          </w:p>
          <w:p w:rsidR="000018B6" w:rsidRDefault="00FD20B1">
            <w:pPr>
              <w:pStyle w:val="BodyTextIndent2"/>
              <w:numPr>
                <w:ilvl w:val="0"/>
                <w:numId w:val="29"/>
              </w:numPr>
              <w:tabs>
                <w:tab w:val="clear" w:pos="5040"/>
              </w:tabs>
              <w:rPr>
                <w:rFonts w:ascii="Times New Roman" w:hAnsi="Times New Roman"/>
              </w:rPr>
            </w:pPr>
            <w:r>
              <w:rPr>
                <w:rFonts w:ascii="Times New Roman" w:hAnsi="Times New Roman"/>
              </w:rPr>
              <w:t>Chef d’équipe</w:t>
            </w:r>
            <w:r w:rsidR="000018B6">
              <w:rPr>
                <w:rFonts w:ascii="Times New Roman" w:hAnsi="Times New Roman"/>
              </w:rPr>
              <w:t>/Chef de section/unité Finances</w:t>
            </w:r>
          </w:p>
          <w:p w:rsidR="000018B6" w:rsidRDefault="000018B6">
            <w:pPr>
              <w:pStyle w:val="BodyTextIndent2"/>
              <w:numPr>
                <w:ilvl w:val="0"/>
                <w:numId w:val="29"/>
              </w:numPr>
              <w:tabs>
                <w:tab w:val="clear" w:pos="5040"/>
              </w:tabs>
              <w:rPr>
                <w:rFonts w:ascii="Times New Roman" w:hAnsi="Times New Roman"/>
              </w:rPr>
            </w:pPr>
            <w:r>
              <w:rPr>
                <w:rFonts w:ascii="Times New Roman" w:hAnsi="Times New Roman"/>
              </w:rPr>
              <w:t>Responsable/Associé Achats</w:t>
            </w:r>
          </w:p>
          <w:p w:rsidR="000018B6" w:rsidRDefault="000018B6">
            <w:pPr>
              <w:pStyle w:val="BodyTextIndent2"/>
              <w:tabs>
                <w:tab w:val="clear" w:pos="5040"/>
              </w:tabs>
              <w:ind w:left="504" w:firstLine="0"/>
              <w:rPr>
                <w:rFonts w:ascii="Times New Roman" w:hAnsi="Times New Roman"/>
              </w:rPr>
            </w:pPr>
          </w:p>
          <w:p w:rsidR="000018B6" w:rsidRDefault="000018B6">
            <w:pPr>
              <w:pStyle w:val="BodyTextIndent2"/>
              <w:numPr>
                <w:ilvl w:val="0"/>
                <w:numId w:val="3"/>
              </w:numPr>
              <w:tabs>
                <w:tab w:val="clear" w:pos="5040"/>
                <w:tab w:val="left" w:pos="6480"/>
              </w:tabs>
              <w:ind w:left="1800"/>
              <w:jc w:val="both"/>
              <w:rPr>
                <w:rFonts w:ascii="Times New Roman" w:hAnsi="Times New Roman"/>
              </w:rPr>
            </w:pPr>
            <w:r>
              <w:rPr>
                <w:rFonts w:ascii="Times New Roman" w:hAnsi="Times New Roman"/>
              </w:rPr>
              <w:t>Les membres représentant les agences participantes seront nommés par les chefs des agences respectives :</w:t>
            </w:r>
          </w:p>
          <w:p w:rsidR="000018B6" w:rsidRDefault="000018B6">
            <w:pPr>
              <w:pStyle w:val="BodyTextIndent2"/>
              <w:numPr>
                <w:ilvl w:val="0"/>
                <w:numId w:val="30"/>
              </w:numPr>
              <w:tabs>
                <w:tab w:val="clear" w:pos="5040"/>
              </w:tabs>
              <w:rPr>
                <w:rFonts w:ascii="Times New Roman" w:hAnsi="Times New Roman"/>
              </w:rPr>
            </w:pPr>
            <w:r>
              <w:rPr>
                <w:rFonts w:ascii="Times New Roman" w:hAnsi="Times New Roman"/>
              </w:rPr>
              <w:t>Au maximum 3 membres [</w:t>
            </w:r>
            <w:r>
              <w:rPr>
                <w:rFonts w:ascii="Times New Roman" w:hAnsi="Times New Roman"/>
                <w:i/>
                <w:iCs/>
                <w:color w:val="FF0000"/>
              </w:rPr>
              <w:t>provenant de toutes les agences participantes</w:t>
            </w:r>
            <w:r>
              <w:rPr>
                <w:rFonts w:ascii="Times New Roman" w:hAnsi="Times New Roman"/>
              </w:rPr>
              <w:t>]</w:t>
            </w:r>
          </w:p>
          <w:p w:rsidR="000018B6" w:rsidRDefault="000018B6">
            <w:pPr>
              <w:pStyle w:val="BodyTextIndent2"/>
              <w:numPr>
                <w:ilvl w:val="0"/>
                <w:numId w:val="30"/>
              </w:numPr>
              <w:tabs>
                <w:tab w:val="clear" w:pos="5040"/>
              </w:tabs>
              <w:rPr>
                <w:rFonts w:ascii="Times New Roman" w:hAnsi="Times New Roman"/>
              </w:rPr>
            </w:pPr>
            <w:r>
              <w:rPr>
                <w:rFonts w:ascii="Times New Roman" w:hAnsi="Times New Roman"/>
              </w:rPr>
              <w:t>Les personnes nommées doivent posséder les qualifications appropriées, telles que celles d'un responsable des opérations ou des achats.</w:t>
            </w:r>
          </w:p>
          <w:p w:rsidR="000018B6" w:rsidRDefault="000018B6">
            <w:pPr>
              <w:pStyle w:val="ListParagraph"/>
              <w:numPr>
                <w:ilvl w:val="0"/>
                <w:numId w:val="30"/>
              </w:numPr>
              <w:jc w:val="both"/>
              <w:rPr>
                <w:rFonts w:ascii="Times New Roman" w:hAnsi="Times New Roman" w:cs="Times New Roman"/>
              </w:rPr>
            </w:pPr>
            <w:r>
              <w:rPr>
                <w:rFonts w:ascii="Times New Roman" w:hAnsi="Times New Roman" w:cs="Times New Roman"/>
              </w:rPr>
              <w:t xml:space="preserve">Le Trésorier nommera son représentant à l'Unité de gestion de trésorerie </w:t>
            </w:r>
            <w:r>
              <w:rPr>
                <w:rFonts w:ascii="Times New Roman" w:hAnsi="Times New Roman" w:cs="Times New Roman"/>
              </w:rPr>
              <w:lastRenderedPageBreak/>
              <w:t>de bureau de pays au Siège à titre de point focal en vue d'appuyer le processus d'</w:t>
            </w:r>
            <w:r w:rsidR="00A82093">
              <w:rPr>
                <w:rFonts w:ascii="Times New Roman" w:hAnsi="Times New Roman" w:cs="Times New Roman"/>
              </w:rPr>
              <w:t>IAS</w:t>
            </w:r>
            <w:r>
              <w:rPr>
                <w:rFonts w:ascii="Times New Roman" w:hAnsi="Times New Roman" w:cs="Times New Roman"/>
              </w:rPr>
              <w:t xml:space="preserve">.  </w:t>
            </w:r>
          </w:p>
          <w:p w:rsidR="000018B6" w:rsidRDefault="000018B6">
            <w:pPr>
              <w:pStyle w:val="ListParagraph"/>
              <w:ind w:left="1296"/>
              <w:jc w:val="both"/>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Faire viser les points 1 et 2 ci-dessus par </w:t>
            </w:r>
            <w:r w:rsidR="00A25F11">
              <w:rPr>
                <w:rFonts w:ascii="Times New Roman" w:hAnsi="Times New Roman" w:cs="Times New Roman"/>
                <w:b/>
                <w:bCs/>
                <w:u w:val="single"/>
              </w:rPr>
              <w:t xml:space="preserve">la </w:t>
            </w:r>
            <w:r>
              <w:rPr>
                <w:rFonts w:ascii="Times New Roman" w:hAnsi="Times New Roman" w:cs="Times New Roman"/>
                <w:b/>
                <w:bCs/>
                <w:u w:val="single"/>
              </w:rPr>
              <w:t>Trésor</w:t>
            </w:r>
            <w:r w:rsidR="00A25F11">
              <w:rPr>
                <w:rFonts w:ascii="Times New Roman" w:hAnsi="Times New Roman" w:cs="Times New Roman"/>
                <w:b/>
                <w:bCs/>
                <w:u w:val="single"/>
              </w:rPr>
              <w:t>erie</w:t>
            </w:r>
            <w:r>
              <w:rPr>
                <w:rFonts w:ascii="Times New Roman" w:hAnsi="Times New Roman" w:cs="Times New Roman"/>
                <w:b/>
                <w:bCs/>
                <w:u w:val="single"/>
              </w:rPr>
              <w:t xml:space="preserve"> et obtenir son agrément</w:t>
            </w:r>
            <w:r>
              <w:rPr>
                <w:rFonts w:ascii="Times New Roman" w:hAnsi="Times New Roman" w:cs="Times New Roman"/>
                <w:b/>
                <w:bCs/>
                <w:u w:val="single"/>
              </w:rPr>
              <w:br/>
            </w:r>
          </w:p>
          <w:p w:rsidR="000018B6" w:rsidRDefault="00A25F11">
            <w:pPr>
              <w:pStyle w:val="BodyTextIndent2"/>
              <w:numPr>
                <w:ilvl w:val="0"/>
                <w:numId w:val="31"/>
              </w:numPr>
              <w:tabs>
                <w:tab w:val="clear" w:pos="5040"/>
                <w:tab w:val="left" w:pos="6480"/>
              </w:tabs>
              <w:jc w:val="both"/>
              <w:rPr>
                <w:rFonts w:ascii="Times New Roman" w:hAnsi="Times New Roman"/>
              </w:rPr>
            </w:pPr>
            <w:r>
              <w:rPr>
                <w:rFonts w:ascii="Times New Roman" w:hAnsi="Times New Roman"/>
              </w:rPr>
              <w:t xml:space="preserve">La </w:t>
            </w:r>
            <w:r w:rsidR="000018B6">
              <w:rPr>
                <w:rFonts w:ascii="Times New Roman" w:hAnsi="Times New Roman"/>
              </w:rPr>
              <w:t>Trésor</w:t>
            </w:r>
            <w:r>
              <w:rPr>
                <w:rFonts w:ascii="Times New Roman" w:hAnsi="Times New Roman"/>
              </w:rPr>
              <w:t>erie</w:t>
            </w:r>
            <w:r w:rsidR="000018B6">
              <w:rPr>
                <w:rFonts w:ascii="Times New Roman" w:hAnsi="Times New Roman"/>
              </w:rPr>
              <w:t xml:space="preserve"> devra examiner le texte provisoire de l'</w:t>
            </w:r>
            <w:r w:rsidR="00A82093">
              <w:rPr>
                <w:rFonts w:ascii="Times New Roman" w:hAnsi="Times New Roman"/>
              </w:rPr>
              <w:t>IAS</w:t>
            </w:r>
            <w:r w:rsidR="000018B6">
              <w:rPr>
                <w:rFonts w:ascii="Times New Roman" w:hAnsi="Times New Roman"/>
              </w:rPr>
              <w:t>, les banques potentielles, et les membres pressentis du comité d'évaluation.</w:t>
            </w:r>
          </w:p>
          <w:p w:rsidR="000018B6" w:rsidRDefault="000018B6">
            <w:pPr>
              <w:pStyle w:val="BodyTextIndent2"/>
              <w:numPr>
                <w:ilvl w:val="0"/>
                <w:numId w:val="31"/>
              </w:numPr>
              <w:tabs>
                <w:tab w:val="clear" w:pos="5040"/>
                <w:tab w:val="left" w:pos="6480"/>
              </w:tabs>
              <w:jc w:val="both"/>
              <w:rPr>
                <w:rFonts w:ascii="Times New Roman" w:hAnsi="Times New Roman"/>
              </w:rPr>
            </w:pPr>
            <w:r>
              <w:rPr>
                <w:rFonts w:ascii="Times New Roman" w:hAnsi="Times New Roman"/>
              </w:rPr>
              <w:t xml:space="preserve">Au besoin, </w:t>
            </w:r>
            <w:r w:rsidR="00A25F11">
              <w:rPr>
                <w:rFonts w:ascii="Times New Roman" w:hAnsi="Times New Roman"/>
              </w:rPr>
              <w:t xml:space="preserve">la </w:t>
            </w:r>
            <w:r>
              <w:rPr>
                <w:rFonts w:ascii="Times New Roman" w:hAnsi="Times New Roman"/>
              </w:rPr>
              <w:t>Trésor</w:t>
            </w:r>
            <w:r w:rsidR="00A25F11">
              <w:rPr>
                <w:rFonts w:ascii="Times New Roman" w:hAnsi="Times New Roman"/>
              </w:rPr>
              <w:t>erie</w:t>
            </w:r>
            <w:r>
              <w:rPr>
                <w:rFonts w:ascii="Times New Roman" w:hAnsi="Times New Roman"/>
              </w:rPr>
              <w:t xml:space="preserve"> demandera des éclaircissements/amendements au projet de texte.</w:t>
            </w:r>
          </w:p>
          <w:p w:rsidR="000018B6" w:rsidRDefault="00A25F11">
            <w:pPr>
              <w:pStyle w:val="BodyTextIndent2"/>
              <w:numPr>
                <w:ilvl w:val="0"/>
                <w:numId w:val="31"/>
              </w:numPr>
              <w:tabs>
                <w:tab w:val="clear" w:pos="5040"/>
                <w:tab w:val="left" w:pos="6480"/>
              </w:tabs>
              <w:jc w:val="both"/>
              <w:rPr>
                <w:rFonts w:ascii="Times New Roman" w:hAnsi="Times New Roman"/>
              </w:rPr>
            </w:pPr>
            <w:r>
              <w:rPr>
                <w:rFonts w:ascii="Times New Roman" w:hAnsi="Times New Roman"/>
              </w:rPr>
              <w:t xml:space="preserve">La </w:t>
            </w:r>
            <w:r w:rsidR="000018B6">
              <w:rPr>
                <w:rFonts w:ascii="Times New Roman" w:hAnsi="Times New Roman"/>
              </w:rPr>
              <w:t>Trésor</w:t>
            </w:r>
            <w:r>
              <w:rPr>
                <w:rFonts w:ascii="Times New Roman" w:hAnsi="Times New Roman"/>
              </w:rPr>
              <w:t>erie</w:t>
            </w:r>
            <w:r w:rsidR="000018B6">
              <w:rPr>
                <w:rFonts w:ascii="Times New Roman" w:hAnsi="Times New Roman"/>
              </w:rPr>
              <w:t xml:space="preserve"> autorise le bureau de pays à passer à l'étape suivante.</w:t>
            </w:r>
          </w:p>
          <w:p w:rsidR="000018B6" w:rsidRDefault="000018B6">
            <w:pPr>
              <w:pStyle w:val="BodyTextIndent2"/>
              <w:tabs>
                <w:tab w:val="clear" w:pos="5040"/>
              </w:tabs>
              <w:ind w:left="720" w:firstLine="0"/>
              <w:rPr>
                <w:rFonts w:ascii="Times New Roman" w:hAnsi="Times New Roman"/>
              </w:rPr>
            </w:pPr>
          </w:p>
        </w:tc>
      </w:tr>
      <w:tr w:rsidR="000018B6">
        <w:trPr>
          <w:trHeight w:val="162"/>
        </w:trPr>
        <w:tc>
          <w:tcPr>
            <w:tcW w:w="695" w:type="dxa"/>
          </w:tcPr>
          <w:p w:rsidR="000018B6" w:rsidRDefault="000018B6" w:rsidP="00791473">
            <w:pPr>
              <w:ind w:left="720"/>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Publier l'</w:t>
            </w:r>
            <w:r w:rsidR="00A82093">
              <w:rPr>
                <w:rFonts w:ascii="Times New Roman" w:hAnsi="Times New Roman" w:cs="Times New Roman"/>
                <w:b/>
                <w:bCs/>
                <w:u w:val="single"/>
              </w:rPr>
              <w:t>IAS</w:t>
            </w:r>
            <w:r>
              <w:rPr>
                <w:rFonts w:ascii="Times New Roman" w:hAnsi="Times New Roman" w:cs="Times New Roman"/>
                <w:b/>
                <w:bCs/>
                <w:u w:val="single"/>
              </w:rPr>
              <w:t xml:space="preserve"> en procédant aux étapes ci-après :</w:t>
            </w:r>
          </w:p>
          <w:p w:rsidR="000018B6" w:rsidRDefault="000018B6">
            <w:pPr>
              <w:rPr>
                <w:rFonts w:ascii="Times New Roman" w:hAnsi="Times New Roman" w:cs="Times New Roman"/>
              </w:rPr>
            </w:pPr>
          </w:p>
          <w:p w:rsidR="000018B6" w:rsidRDefault="000018B6">
            <w:pPr>
              <w:pStyle w:val="BodyTextIndent2"/>
              <w:numPr>
                <w:ilvl w:val="0"/>
                <w:numId w:val="32"/>
              </w:numPr>
              <w:tabs>
                <w:tab w:val="clear" w:pos="5040"/>
                <w:tab w:val="left" w:pos="6480"/>
              </w:tabs>
              <w:jc w:val="both"/>
              <w:rPr>
                <w:rFonts w:ascii="Times New Roman" w:hAnsi="Times New Roman"/>
              </w:rPr>
            </w:pPr>
            <w:r>
              <w:rPr>
                <w:rFonts w:ascii="Times New Roman" w:hAnsi="Times New Roman"/>
              </w:rPr>
              <w:t>Annoncer aux banques potentielles que le PNUD recherche des offres pour la prestation de services bancaires</w:t>
            </w:r>
          </w:p>
          <w:p w:rsidR="000018B6" w:rsidRDefault="000018B6">
            <w:pPr>
              <w:pStyle w:val="BodyTextIndent2"/>
              <w:numPr>
                <w:ilvl w:val="0"/>
                <w:numId w:val="32"/>
              </w:numPr>
              <w:tabs>
                <w:tab w:val="clear" w:pos="5040"/>
                <w:tab w:val="left" w:pos="6480"/>
              </w:tabs>
              <w:jc w:val="both"/>
              <w:rPr>
                <w:rFonts w:ascii="Times New Roman" w:hAnsi="Times New Roman"/>
              </w:rPr>
            </w:pPr>
            <w:r>
              <w:rPr>
                <w:rFonts w:ascii="Times New Roman" w:hAnsi="Times New Roman"/>
              </w:rPr>
              <w:t>Faire connaître le bureau/l'adresse où la documentation complète de l'</w:t>
            </w:r>
            <w:r w:rsidR="00A82093">
              <w:rPr>
                <w:rFonts w:ascii="Times New Roman" w:hAnsi="Times New Roman"/>
              </w:rPr>
              <w:t>IAS</w:t>
            </w:r>
            <w:r>
              <w:rPr>
                <w:rFonts w:ascii="Times New Roman" w:hAnsi="Times New Roman"/>
              </w:rPr>
              <w:t xml:space="preserve"> peut être recueillie par les banques potentielles</w:t>
            </w:r>
          </w:p>
          <w:p w:rsidR="000018B6" w:rsidRDefault="000018B6">
            <w:pPr>
              <w:pStyle w:val="BodyTextIndent2"/>
              <w:numPr>
                <w:ilvl w:val="0"/>
                <w:numId w:val="32"/>
              </w:numPr>
              <w:tabs>
                <w:tab w:val="clear" w:pos="5040"/>
                <w:tab w:val="left" w:pos="6480"/>
              </w:tabs>
              <w:jc w:val="both"/>
              <w:rPr>
                <w:rFonts w:ascii="Times New Roman" w:hAnsi="Times New Roman"/>
              </w:rPr>
            </w:pPr>
            <w:r>
              <w:rPr>
                <w:rFonts w:ascii="Times New Roman" w:hAnsi="Times New Roman"/>
              </w:rPr>
              <w:t>Fixer les conditions et modalités régissant le lancement de l'</w:t>
            </w:r>
            <w:r w:rsidR="00A82093">
              <w:rPr>
                <w:rFonts w:ascii="Times New Roman" w:hAnsi="Times New Roman"/>
              </w:rPr>
              <w:t>IAS</w:t>
            </w:r>
            <w:r>
              <w:rPr>
                <w:rFonts w:ascii="Times New Roman" w:hAnsi="Times New Roman"/>
              </w:rPr>
              <w:t xml:space="preserve"> [</w:t>
            </w:r>
            <w:r>
              <w:rPr>
                <w:rFonts w:ascii="Times New Roman" w:hAnsi="Times New Roman"/>
                <w:i/>
                <w:iCs/>
                <w:color w:val="FF0000"/>
              </w:rPr>
              <w:t>voir l'ANNEXE 1</w:t>
            </w:r>
            <w:r>
              <w:rPr>
                <w:rFonts w:ascii="Times New Roman" w:hAnsi="Times New Roman"/>
              </w:rPr>
              <w:t>]</w:t>
            </w:r>
            <w:r>
              <w:rPr>
                <w:rFonts w:ascii="Times New Roman" w:hAnsi="Times New Roman"/>
              </w:rPr>
              <w:tab/>
            </w:r>
          </w:p>
          <w:p w:rsidR="000018B6" w:rsidRDefault="000018B6">
            <w:pPr>
              <w:pStyle w:val="BodyTextIndent2"/>
              <w:numPr>
                <w:ilvl w:val="0"/>
                <w:numId w:val="32"/>
              </w:numPr>
              <w:tabs>
                <w:tab w:val="clear" w:pos="5040"/>
                <w:tab w:val="left" w:pos="6480"/>
              </w:tabs>
              <w:jc w:val="both"/>
              <w:rPr>
                <w:rFonts w:ascii="Times New Roman" w:hAnsi="Times New Roman"/>
              </w:rPr>
            </w:pPr>
            <w:r>
              <w:rPr>
                <w:rFonts w:ascii="Times New Roman" w:hAnsi="Times New Roman"/>
              </w:rPr>
              <w:t>L'</w:t>
            </w:r>
            <w:r w:rsidR="00A82093">
              <w:rPr>
                <w:rFonts w:ascii="Times New Roman" w:hAnsi="Times New Roman"/>
              </w:rPr>
              <w:t>IAS</w:t>
            </w:r>
            <w:r>
              <w:rPr>
                <w:rFonts w:ascii="Times New Roman" w:hAnsi="Times New Roman"/>
              </w:rPr>
              <w:t xml:space="preserve"> sera annoncée pendant deux jours dans des journaux et affichée sur le site Internet du PNUD.</w:t>
            </w:r>
          </w:p>
          <w:p w:rsidR="000018B6" w:rsidRDefault="000018B6" w:rsidP="00325DFE">
            <w:pPr>
              <w:pStyle w:val="BodyTextIndent2"/>
              <w:tabs>
                <w:tab w:val="clear" w:pos="5040"/>
                <w:tab w:val="left" w:pos="6480"/>
              </w:tabs>
              <w:ind w:left="1656" w:firstLine="0"/>
              <w:jc w:val="both"/>
              <w:rPr>
                <w:rFonts w:ascii="Times New Roman" w:hAnsi="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Diffuser l'</w:t>
            </w:r>
            <w:r w:rsidR="00A82093">
              <w:rPr>
                <w:rFonts w:ascii="Times New Roman" w:hAnsi="Times New Roman" w:cs="Times New Roman"/>
                <w:b/>
                <w:bCs/>
                <w:u w:val="single"/>
              </w:rPr>
              <w:t>IAS</w:t>
            </w:r>
            <w:r>
              <w:rPr>
                <w:rFonts w:ascii="Times New Roman" w:hAnsi="Times New Roman" w:cs="Times New Roman"/>
                <w:b/>
                <w:bCs/>
                <w:u w:val="single"/>
              </w:rPr>
              <w:t xml:space="preserve"> parmi les banques potentielles qualifiées</w:t>
            </w:r>
          </w:p>
          <w:p w:rsidR="000018B6" w:rsidRDefault="000018B6">
            <w:pPr>
              <w:pStyle w:val="BodyTextIndent2"/>
              <w:tabs>
                <w:tab w:val="clear" w:pos="5040"/>
              </w:tabs>
              <w:ind w:left="576" w:firstLine="0"/>
              <w:jc w:val="both"/>
              <w:rPr>
                <w:rFonts w:ascii="Times New Roman" w:hAnsi="Times New Roman"/>
              </w:rPr>
            </w:pPr>
          </w:p>
          <w:p w:rsidR="000018B6" w:rsidRDefault="000018B6" w:rsidP="003137E9">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w:t>
            </w:r>
            <w:r w:rsidR="00A82093">
              <w:rPr>
                <w:rFonts w:ascii="Times New Roman" w:hAnsi="Times New Roman"/>
              </w:rPr>
              <w:t>IAS</w:t>
            </w:r>
            <w:r>
              <w:rPr>
                <w:rFonts w:ascii="Times New Roman" w:hAnsi="Times New Roman"/>
              </w:rPr>
              <w:t xml:space="preserve"> ne doit être distribuée qu'à des banques potentielles membres de SWIFT [Society for Worldwide Interbank Financial Telecommunication].  Les banques potentielles auront à indiquer leur code SWIFT pour démontrer leur adhésion à SWIFT.  </w:t>
            </w:r>
          </w:p>
          <w:p w:rsidR="000018B6" w:rsidRDefault="000018B6" w:rsidP="00920EFC">
            <w:pPr>
              <w:pStyle w:val="BodyTextIndent2"/>
              <w:tabs>
                <w:tab w:val="clear" w:pos="5040"/>
                <w:tab w:val="left" w:pos="6480"/>
              </w:tabs>
              <w:ind w:left="1800" w:firstLine="0"/>
              <w:jc w:val="both"/>
              <w:rPr>
                <w:rFonts w:ascii="Times New Roman" w:hAnsi="Times New Roman"/>
              </w:rPr>
            </w:pPr>
          </w:p>
          <w:p w:rsidR="000018B6" w:rsidRDefault="000018B6">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Le bureau de pays décide de la méthode à utiliser pour distribuer l'</w:t>
            </w:r>
            <w:r w:rsidR="00A82093">
              <w:rPr>
                <w:rFonts w:ascii="Times New Roman" w:hAnsi="Times New Roman"/>
              </w:rPr>
              <w:t>IAS</w:t>
            </w:r>
            <w:r>
              <w:rPr>
                <w:rFonts w:ascii="Times New Roman" w:hAnsi="Times New Roman"/>
              </w:rPr>
              <w:t>, laquelle peut être envoyée par e-mail, remise par messager, ou recueillie sur place par les banques.</w:t>
            </w:r>
          </w:p>
          <w:p w:rsidR="000018B6" w:rsidRDefault="000018B6" w:rsidP="00BD23E1">
            <w:pPr>
              <w:pStyle w:val="BodyTextIndent2"/>
              <w:tabs>
                <w:tab w:val="clear" w:pos="5040"/>
                <w:tab w:val="left" w:pos="6480"/>
              </w:tabs>
              <w:ind w:left="1296" w:firstLine="0"/>
              <w:jc w:val="both"/>
              <w:rPr>
                <w:rFonts w:ascii="Times New Roman" w:hAnsi="Times New Roman"/>
                <w:i/>
                <w:iCs/>
                <w:color w:val="FF0000"/>
              </w:rPr>
            </w:pPr>
          </w:p>
          <w:p w:rsidR="000018B6" w:rsidRDefault="000018B6">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La documentation totale de l'</w:t>
            </w:r>
            <w:r w:rsidR="00A82093">
              <w:rPr>
                <w:rFonts w:ascii="Times New Roman" w:hAnsi="Times New Roman"/>
              </w:rPr>
              <w:t>IAS</w:t>
            </w:r>
            <w:r>
              <w:rPr>
                <w:rFonts w:ascii="Times New Roman" w:hAnsi="Times New Roman"/>
              </w:rPr>
              <w:t xml:space="preserve"> peut être gravée sur le nombre approprié de cédéroms. Cela devrait réduire les frais d'impression de copies papier du  PNUD.</w:t>
            </w:r>
            <w:r w:rsidR="00253EC7">
              <w:rPr>
                <w:rFonts w:ascii="Times New Roman" w:hAnsi="Times New Roman"/>
              </w:rPr>
              <w:t xml:space="preserve"> </w:t>
            </w:r>
            <w:r>
              <w:rPr>
                <w:rFonts w:ascii="Times New Roman" w:hAnsi="Times New Roman"/>
              </w:rPr>
              <w:t>Cela devrait également permettre aux banques potentielles de fournir l'information demandée dans l'</w:t>
            </w:r>
            <w:r w:rsidR="00A82093">
              <w:rPr>
                <w:rFonts w:ascii="Times New Roman" w:hAnsi="Times New Roman"/>
              </w:rPr>
              <w:t>IAS</w:t>
            </w:r>
            <w:r>
              <w:rPr>
                <w:rFonts w:ascii="Times New Roman" w:hAnsi="Times New Roman"/>
              </w:rPr>
              <w:t xml:space="preserve"> et de compléter leurs Offres sous format électronique, ce qui en facilitera l'examen par le comité d'évaluation.  </w:t>
            </w:r>
          </w:p>
          <w:p w:rsidR="000018B6" w:rsidRDefault="000018B6" w:rsidP="002364D5">
            <w:pPr>
              <w:pStyle w:val="ListParagraph"/>
              <w:rPr>
                <w:rFonts w:ascii="Times New Roman" w:hAnsi="Times New Roman" w:cs="Times New Roman"/>
              </w:rPr>
            </w:pPr>
          </w:p>
          <w:p w:rsidR="000018B6" w:rsidRDefault="000018B6">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Le bureau de pays devra vérifier le contenu de chaque cédérom ainsi gravé pour s'assurer que les documents de l'</w:t>
            </w:r>
            <w:r w:rsidR="00A82093">
              <w:rPr>
                <w:rFonts w:ascii="Times New Roman" w:hAnsi="Times New Roman"/>
              </w:rPr>
              <w:t>IAS</w:t>
            </w:r>
            <w:r>
              <w:rPr>
                <w:rFonts w:ascii="Times New Roman" w:hAnsi="Times New Roman"/>
              </w:rPr>
              <w:t xml:space="preserve"> sont exacts et complets.</w:t>
            </w:r>
          </w:p>
          <w:p w:rsidR="000018B6" w:rsidRDefault="000018B6" w:rsidP="00F36A64">
            <w:pPr>
              <w:pStyle w:val="ListParagraph"/>
              <w:ind w:left="1341"/>
              <w:jc w:val="both"/>
              <w:rPr>
                <w:rFonts w:ascii="Times New Roman" w:hAnsi="Times New Roman" w:cs="Times New Roman"/>
              </w:rPr>
            </w:pPr>
          </w:p>
          <w:p w:rsidR="000018B6" w:rsidRDefault="000018B6">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La documentation</w:t>
            </w:r>
            <w:r w:rsidR="00253EC7">
              <w:rPr>
                <w:rFonts w:ascii="Times New Roman" w:hAnsi="Times New Roman"/>
              </w:rPr>
              <w:t xml:space="preserve"> </w:t>
            </w:r>
            <w:r>
              <w:rPr>
                <w:rFonts w:ascii="Times New Roman" w:hAnsi="Times New Roman"/>
              </w:rPr>
              <w:t>entière doit être mise à la disposition des banques potentielles. La liste de ces banques sera visée par l</w:t>
            </w:r>
            <w:r w:rsidR="00A25F11">
              <w:rPr>
                <w:rFonts w:ascii="Times New Roman" w:hAnsi="Times New Roman"/>
              </w:rPr>
              <w:t>a</w:t>
            </w:r>
            <w:r>
              <w:rPr>
                <w:rFonts w:ascii="Times New Roman" w:hAnsi="Times New Roman"/>
              </w:rPr>
              <w:t xml:space="preserve"> Trésor</w:t>
            </w:r>
            <w:r w:rsidR="00A25F11">
              <w:rPr>
                <w:rFonts w:ascii="Times New Roman" w:hAnsi="Times New Roman"/>
              </w:rPr>
              <w:t>erie</w:t>
            </w:r>
            <w:r>
              <w:rPr>
                <w:rFonts w:ascii="Times New Roman" w:hAnsi="Times New Roman"/>
              </w:rPr>
              <w:t>.</w:t>
            </w:r>
          </w:p>
          <w:p w:rsidR="000018B6" w:rsidRDefault="000018B6" w:rsidP="00BD23E1">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Le bureau de pays gardera un journal pour enregistrer la distribution de l'</w:t>
            </w:r>
            <w:r w:rsidR="00A82093">
              <w:rPr>
                <w:rFonts w:ascii="Times New Roman" w:hAnsi="Times New Roman"/>
              </w:rPr>
              <w:t>IAS</w:t>
            </w:r>
            <w:r>
              <w:rPr>
                <w:rFonts w:ascii="Times New Roman" w:hAnsi="Times New Roman"/>
              </w:rPr>
              <w:t xml:space="preserve"> et la réception des réponses. Ce journal précisera :</w:t>
            </w:r>
          </w:p>
          <w:p w:rsidR="000018B6" w:rsidRDefault="000018B6">
            <w:pPr>
              <w:pStyle w:val="ListParagraph"/>
              <w:numPr>
                <w:ilvl w:val="0"/>
                <w:numId w:val="34"/>
              </w:numPr>
              <w:jc w:val="both"/>
              <w:rPr>
                <w:rFonts w:ascii="Times New Roman" w:hAnsi="Times New Roman" w:cs="Times New Roman"/>
              </w:rPr>
            </w:pPr>
            <w:r>
              <w:rPr>
                <w:rFonts w:ascii="Times New Roman" w:hAnsi="Times New Roman" w:cs="Times New Roman"/>
              </w:rPr>
              <w:lastRenderedPageBreak/>
              <w:t>le nom de la banque</w:t>
            </w:r>
          </w:p>
          <w:p w:rsidR="000018B6" w:rsidRDefault="000018B6">
            <w:pPr>
              <w:pStyle w:val="ListParagraph"/>
              <w:numPr>
                <w:ilvl w:val="0"/>
                <w:numId w:val="34"/>
              </w:numPr>
              <w:jc w:val="both"/>
              <w:rPr>
                <w:rFonts w:ascii="Times New Roman" w:hAnsi="Times New Roman" w:cs="Times New Roman"/>
              </w:rPr>
            </w:pPr>
            <w:r>
              <w:rPr>
                <w:rFonts w:ascii="Times New Roman" w:hAnsi="Times New Roman" w:cs="Times New Roman"/>
              </w:rPr>
              <w:t>son adresse</w:t>
            </w:r>
          </w:p>
          <w:p w:rsidR="000018B6" w:rsidRDefault="000018B6">
            <w:pPr>
              <w:pStyle w:val="ListParagraph"/>
              <w:numPr>
                <w:ilvl w:val="0"/>
                <w:numId w:val="34"/>
              </w:numPr>
              <w:jc w:val="both"/>
              <w:rPr>
                <w:rFonts w:ascii="Times New Roman" w:hAnsi="Times New Roman" w:cs="Times New Roman"/>
              </w:rPr>
            </w:pPr>
            <w:r>
              <w:rPr>
                <w:rFonts w:ascii="Times New Roman" w:hAnsi="Times New Roman" w:cs="Times New Roman"/>
              </w:rPr>
              <w:t>la personne de contact et son adresse électronique</w:t>
            </w:r>
          </w:p>
          <w:p w:rsidR="000018B6" w:rsidRDefault="000018B6">
            <w:pPr>
              <w:pStyle w:val="ListParagraph"/>
              <w:numPr>
                <w:ilvl w:val="0"/>
                <w:numId w:val="34"/>
              </w:numPr>
              <w:jc w:val="both"/>
              <w:rPr>
                <w:rFonts w:ascii="Times New Roman" w:hAnsi="Times New Roman" w:cs="Times New Roman"/>
              </w:rPr>
            </w:pPr>
            <w:r>
              <w:rPr>
                <w:rFonts w:ascii="Times New Roman" w:hAnsi="Times New Roman" w:cs="Times New Roman"/>
              </w:rPr>
              <w:t>la date à laquelle l'</w:t>
            </w:r>
            <w:r w:rsidR="00A82093">
              <w:rPr>
                <w:rFonts w:ascii="Times New Roman" w:hAnsi="Times New Roman" w:cs="Times New Roman"/>
              </w:rPr>
              <w:t>IAS</w:t>
            </w:r>
            <w:r>
              <w:rPr>
                <w:rFonts w:ascii="Times New Roman" w:hAnsi="Times New Roman" w:cs="Times New Roman"/>
              </w:rPr>
              <w:t xml:space="preserve"> a été distribuée</w:t>
            </w:r>
          </w:p>
          <w:p w:rsidR="000018B6" w:rsidRDefault="000018B6">
            <w:pPr>
              <w:pStyle w:val="ListParagraph"/>
              <w:numPr>
                <w:ilvl w:val="0"/>
                <w:numId w:val="34"/>
              </w:numPr>
              <w:jc w:val="both"/>
              <w:rPr>
                <w:rFonts w:ascii="Times New Roman" w:hAnsi="Times New Roman" w:cs="Times New Roman"/>
              </w:rPr>
            </w:pPr>
            <w:r>
              <w:rPr>
                <w:rFonts w:ascii="Times New Roman" w:hAnsi="Times New Roman" w:cs="Times New Roman"/>
              </w:rPr>
              <w:t>au moment où les enveloppes contenant les Offres seront reçues, le Bureau de pays y apposera l'heure et la date de réception.</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Tenir une conférence de pré-soumission à l'intention des banques potentielles</w:t>
            </w:r>
          </w:p>
          <w:p w:rsidR="000018B6" w:rsidRDefault="000018B6" w:rsidP="00C93770">
            <w:pPr>
              <w:pStyle w:val="BodyTextIndent2"/>
              <w:tabs>
                <w:tab w:val="clear" w:pos="5040"/>
              </w:tabs>
              <w:ind w:left="621" w:firstLine="0"/>
              <w:jc w:val="both"/>
              <w:rPr>
                <w:rFonts w:ascii="Times New Roman" w:hAnsi="Times New Roman"/>
              </w:rPr>
            </w:pPr>
          </w:p>
          <w:p w:rsidR="000018B6" w:rsidRDefault="000018B6">
            <w:pPr>
              <w:pStyle w:val="BodyTextIndent2"/>
              <w:numPr>
                <w:ilvl w:val="0"/>
                <w:numId w:val="35"/>
              </w:numPr>
              <w:tabs>
                <w:tab w:val="clear" w:pos="5040"/>
                <w:tab w:val="left" w:pos="6480"/>
              </w:tabs>
              <w:jc w:val="both"/>
              <w:rPr>
                <w:rFonts w:ascii="Times New Roman" w:hAnsi="Times New Roman"/>
              </w:rPr>
            </w:pPr>
            <w:r>
              <w:rPr>
                <w:rFonts w:ascii="Times New Roman" w:hAnsi="Times New Roman"/>
              </w:rPr>
              <w:t>Voir l'</w:t>
            </w:r>
            <w:r w:rsidR="00A82093">
              <w:rPr>
                <w:rFonts w:ascii="Times New Roman" w:hAnsi="Times New Roman"/>
              </w:rPr>
              <w:t>IAS</w:t>
            </w:r>
            <w:r>
              <w:rPr>
                <w:rFonts w:ascii="Times New Roman" w:hAnsi="Times New Roman"/>
              </w:rPr>
              <w:t xml:space="preserve">, </w:t>
            </w:r>
            <w:r w:rsidR="00FD20B1">
              <w:rPr>
                <w:rFonts w:ascii="Times New Roman" w:hAnsi="Times New Roman"/>
              </w:rPr>
              <w:t xml:space="preserve">Section </w:t>
            </w:r>
            <w:r>
              <w:rPr>
                <w:rFonts w:ascii="Times New Roman" w:hAnsi="Times New Roman"/>
              </w:rPr>
              <w:t>2</w:t>
            </w:r>
            <w:r w:rsidR="00FD20B1">
              <w:rPr>
                <w:rFonts w:ascii="Times New Roman" w:hAnsi="Times New Roman"/>
              </w:rPr>
              <w:t> </w:t>
            </w:r>
            <w:r>
              <w:rPr>
                <w:rFonts w:ascii="Times New Roman" w:hAnsi="Times New Roman"/>
              </w:rPr>
              <w:t>: Instructions aux Soumissionnaires, sous-section F, n° 28</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Ouvrir les Offres techniques</w:t>
            </w:r>
          </w:p>
          <w:p w:rsidR="000018B6" w:rsidRDefault="000018B6">
            <w:pPr>
              <w:rPr>
                <w:rFonts w:ascii="Times New Roman" w:hAnsi="Times New Roman" w:cs="Times New Roman"/>
              </w:rPr>
            </w:pPr>
          </w:p>
          <w:p w:rsidR="000018B6" w:rsidRDefault="00A82093">
            <w:pPr>
              <w:pStyle w:val="BodyTextIndent2"/>
              <w:numPr>
                <w:ilvl w:val="0"/>
                <w:numId w:val="36"/>
              </w:numPr>
              <w:tabs>
                <w:tab w:val="clear" w:pos="5040"/>
                <w:tab w:val="left" w:pos="6480"/>
              </w:tabs>
              <w:jc w:val="both"/>
              <w:rPr>
                <w:rFonts w:ascii="Times New Roman" w:hAnsi="Times New Roman"/>
              </w:rPr>
            </w:pPr>
            <w:r>
              <w:rPr>
                <w:rFonts w:ascii="Times New Roman" w:hAnsi="Times New Roman"/>
              </w:rPr>
              <w:t>Le bureau de pays doit établir</w:t>
            </w:r>
            <w:r w:rsidR="000018B6">
              <w:rPr>
                <w:rFonts w:ascii="Times New Roman" w:hAnsi="Times New Roman"/>
              </w:rPr>
              <w:t xml:space="preserve"> un comité ad hoc réunissant au moins 3 collaborateurs et/ou cadres.</w:t>
            </w:r>
          </w:p>
          <w:p w:rsidR="000018B6" w:rsidRDefault="000018B6">
            <w:pPr>
              <w:pStyle w:val="BodyTextIndent2"/>
              <w:numPr>
                <w:ilvl w:val="0"/>
                <w:numId w:val="36"/>
              </w:numPr>
              <w:tabs>
                <w:tab w:val="clear" w:pos="5040"/>
                <w:tab w:val="left" w:pos="6480"/>
              </w:tabs>
              <w:jc w:val="both"/>
              <w:rPr>
                <w:rFonts w:ascii="Times New Roman" w:hAnsi="Times New Roman"/>
              </w:rPr>
            </w:pPr>
            <w:r>
              <w:rPr>
                <w:rFonts w:ascii="Times New Roman" w:hAnsi="Times New Roman"/>
              </w:rPr>
              <w:t>Les membres du comité ont à signer une Déclaration d'impartialité.</w:t>
            </w:r>
          </w:p>
          <w:p w:rsidR="000018B6" w:rsidRDefault="000018B6">
            <w:pPr>
              <w:pStyle w:val="BodyTextIndent2"/>
              <w:numPr>
                <w:ilvl w:val="0"/>
                <w:numId w:val="36"/>
              </w:numPr>
              <w:tabs>
                <w:tab w:val="clear" w:pos="5040"/>
                <w:tab w:val="left" w:pos="6480"/>
              </w:tabs>
              <w:jc w:val="both"/>
              <w:rPr>
                <w:rFonts w:ascii="Times New Roman" w:hAnsi="Times New Roman"/>
              </w:rPr>
            </w:pPr>
            <w:r>
              <w:rPr>
                <w:rFonts w:ascii="Times New Roman" w:hAnsi="Times New Roman"/>
              </w:rPr>
              <w:t xml:space="preserve">Si l'Offre technique est sur papier, les membres du comité devront en parapher toutes les pages et dénombrer le nombre de pages total. </w:t>
            </w:r>
          </w:p>
          <w:p w:rsidR="000018B6" w:rsidRDefault="000018B6">
            <w:pPr>
              <w:pStyle w:val="BodyTextIndent2"/>
              <w:numPr>
                <w:ilvl w:val="0"/>
                <w:numId w:val="36"/>
              </w:numPr>
              <w:tabs>
                <w:tab w:val="clear" w:pos="5040"/>
                <w:tab w:val="left" w:pos="6480"/>
              </w:tabs>
              <w:jc w:val="both"/>
              <w:rPr>
                <w:rFonts w:ascii="Times New Roman" w:hAnsi="Times New Roman"/>
              </w:rPr>
            </w:pPr>
            <w:r>
              <w:rPr>
                <w:rFonts w:ascii="Times New Roman" w:hAnsi="Times New Roman"/>
              </w:rPr>
              <w:t>Les détails qui précèdent seront documentés sur le Dossier d'ouverture de l'Offre technique.</w:t>
            </w:r>
          </w:p>
          <w:p w:rsidR="000018B6" w:rsidRDefault="000018B6">
            <w:pPr>
              <w:pStyle w:val="BodyTextIndent2"/>
              <w:numPr>
                <w:ilvl w:val="0"/>
                <w:numId w:val="36"/>
              </w:numPr>
              <w:tabs>
                <w:tab w:val="clear" w:pos="5040"/>
                <w:tab w:val="left" w:pos="6480"/>
              </w:tabs>
              <w:jc w:val="both"/>
              <w:rPr>
                <w:rFonts w:ascii="Times New Roman" w:hAnsi="Times New Roman"/>
              </w:rPr>
            </w:pPr>
            <w:r>
              <w:rPr>
                <w:rFonts w:ascii="Times New Roman" w:hAnsi="Times New Roman"/>
              </w:rPr>
              <w:t>Les membres du comité signeront le Dossier d'ouverture de l'Offre technique lorsque toutes les Offres techniques auront été ouvertes.</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Examiner et évaluer les Offres techniques</w:t>
            </w:r>
          </w:p>
          <w:p w:rsidR="000018B6" w:rsidRDefault="000018B6">
            <w:pPr>
              <w:rPr>
                <w:rFonts w:ascii="Times New Roman" w:hAnsi="Times New Roman" w:cs="Times New Roman"/>
              </w:rPr>
            </w:pPr>
          </w:p>
          <w:p w:rsidR="000018B6" w:rsidRDefault="000018B6" w:rsidP="00FD0BD7">
            <w:pPr>
              <w:pStyle w:val="ListParagraph"/>
              <w:numPr>
                <w:ilvl w:val="0"/>
                <w:numId w:val="49"/>
              </w:numPr>
              <w:spacing w:after="120"/>
              <w:jc w:val="both"/>
              <w:rPr>
                <w:rFonts w:ascii="Times New Roman" w:hAnsi="Times New Roman" w:cs="Times New Roman"/>
              </w:rPr>
            </w:pPr>
            <w:r>
              <w:rPr>
                <w:rFonts w:ascii="Times New Roman" w:hAnsi="Times New Roman" w:cs="Times New Roman"/>
              </w:rPr>
              <w:t>Utiliser l'outil d'évaluation/l'évaluation technique de l'</w:t>
            </w:r>
            <w:r w:rsidR="00A82093">
              <w:rPr>
                <w:rFonts w:ascii="Times New Roman" w:hAnsi="Times New Roman" w:cs="Times New Roman"/>
              </w:rPr>
              <w:t>IAS</w:t>
            </w:r>
            <w:r>
              <w:rPr>
                <w:rFonts w:ascii="Times New Roman" w:hAnsi="Times New Roman" w:cs="Times New Roman"/>
              </w:rPr>
              <w:t xml:space="preserve"> [</w:t>
            </w:r>
            <w:r>
              <w:rPr>
                <w:rFonts w:ascii="Times New Roman" w:hAnsi="Times New Roman" w:cs="Times New Roman"/>
                <w:i/>
                <w:iCs/>
                <w:color w:val="FF0000"/>
              </w:rPr>
              <w:t>Annexe 2</w:t>
            </w:r>
            <w:r>
              <w:rPr>
                <w:rFonts w:ascii="Times New Roman" w:hAnsi="Times New Roman" w:cs="Times New Roman"/>
              </w:rPr>
              <w:t>]</w:t>
            </w:r>
          </w:p>
          <w:p w:rsidR="000018B6" w:rsidRDefault="000018B6" w:rsidP="0068182C">
            <w:pPr>
              <w:pStyle w:val="ListParagraph"/>
              <w:spacing w:after="120"/>
              <w:ind w:left="1800"/>
              <w:jc w:val="both"/>
              <w:rPr>
                <w:rFonts w:ascii="Times New Roman" w:hAnsi="Times New Roman" w:cs="Times New Roman"/>
              </w:rPr>
            </w:pPr>
          </w:p>
          <w:p w:rsidR="000018B6" w:rsidRDefault="000018B6" w:rsidP="00FD0BD7">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A1</w:t>
            </w:r>
            <w:r>
              <w:rPr>
                <w:rFonts w:ascii="Times New Roman" w:hAnsi="Times New Roman" w:cs="Times New Roman"/>
              </w:rPr>
              <w:t xml:space="preserve"> – </w:t>
            </w:r>
            <w:r>
              <w:rPr>
                <w:rFonts w:ascii="Times New Roman" w:hAnsi="Times New Roman" w:cs="Times New Roman"/>
                <w:b/>
                <w:bCs/>
              </w:rPr>
              <w:t>Notation financière :</w:t>
            </w:r>
            <w:r w:rsidR="00A82093">
              <w:rPr>
                <w:rFonts w:ascii="Times New Roman" w:hAnsi="Times New Roman" w:cs="Times New Roman"/>
              </w:rPr>
              <w:t xml:space="preserve"> Pour é</w:t>
            </w:r>
            <w:r>
              <w:rPr>
                <w:rFonts w:ascii="Times New Roman" w:hAnsi="Times New Roman" w:cs="Times New Roman"/>
              </w:rPr>
              <w:t>valuer la solvabilité, ou solidité financière, de la banque. Normalement, les notations financières reposent sur une échelle variant de AAA pour la société la plus solvable, à D pour la plus faible.</w:t>
            </w:r>
            <w:r w:rsidR="00253EC7">
              <w:rPr>
                <w:rFonts w:ascii="Times New Roman" w:hAnsi="Times New Roman" w:cs="Times New Roman"/>
              </w:rPr>
              <w:t xml:space="preserve"> </w:t>
            </w:r>
            <w:r>
              <w:rPr>
                <w:rFonts w:ascii="Times New Roman" w:hAnsi="Times New Roman" w:cs="Times New Roman"/>
              </w:rPr>
              <w:t>Les notations financières ne se fondent pas uniquement sur des formules mathématiques mais tiennent également compte du jugement et de l'expérience des agences de notation dans leur appréciation de données qualitatives et quantitatives, y compris de renseignements non publics sur des sociétés, y compris des banques.</w:t>
            </w:r>
            <w:r w:rsidR="00253EC7">
              <w:rPr>
                <w:rFonts w:ascii="Times New Roman" w:hAnsi="Times New Roman" w:cs="Times New Roman"/>
              </w:rPr>
              <w:t xml:space="preserve"> </w:t>
            </w:r>
            <w:r>
              <w:rPr>
                <w:rFonts w:ascii="Times New Roman" w:hAnsi="Times New Roman" w:cs="Times New Roman"/>
              </w:rPr>
              <w:t>Les notations financières représentent une évaluation indépendante de la santé financière d'une banque. On doit donc y accorder une certaine importance en décidant d'un score. Si la banque n'est pas notée par une agence de notation financière internationalement reconnue, l'autre option consistera à examiner la notation proposée par l'agence de notation nationale, ou le classement accordé à cette banque par la Banque centrale du pays.</w:t>
            </w:r>
            <w:r>
              <w:rPr>
                <w:rFonts w:ascii="Times New Roman" w:hAnsi="Times New Roman" w:cs="Times New Roman"/>
              </w:rPr>
              <w:br/>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A2</w:t>
            </w:r>
            <w:r>
              <w:rPr>
                <w:rFonts w:ascii="Times New Roman" w:hAnsi="Times New Roman" w:cs="Times New Roman"/>
              </w:rPr>
              <w:t xml:space="preserve"> – </w:t>
            </w:r>
            <w:r>
              <w:rPr>
                <w:rFonts w:ascii="Times New Roman" w:hAnsi="Times New Roman" w:cs="Times New Roman"/>
                <w:b/>
                <w:bCs/>
              </w:rPr>
              <w:t>Situation du bilan et des ratios financiers :</w:t>
            </w:r>
            <w:r>
              <w:rPr>
                <w:rFonts w:ascii="Times New Roman" w:hAnsi="Times New Roman" w:cs="Times New Roman"/>
              </w:rPr>
              <w:t xml:space="preserve"> Pour évaluer les résultats d'exploitation de la banque, ses fonds propres et sa solidité financière, son </w:t>
            </w:r>
            <w:r>
              <w:rPr>
                <w:rFonts w:ascii="Times New Roman" w:hAnsi="Times New Roman" w:cs="Times New Roman"/>
              </w:rPr>
              <w:lastRenderedPageBreak/>
              <w:t>profil de risque, des perspectives de croissance et de réalisation de bénéfices.  Compte non tenu du passif total, la banque sera d'autant plus solide que les indicateurs de santé financière énumérés seront élevés. Ces indicateurs sont : l'actif total, le résultat net, le rendement de l'actif, le ratio fonds propres/montant des crédits distribués, le ratio fonds propres/montant des crédits distribués pondérés par les risques associés, et le ratio de liquidité bancaire.</w:t>
            </w:r>
            <w:r w:rsidR="00253EC7">
              <w:rPr>
                <w:rFonts w:ascii="Times New Roman" w:hAnsi="Times New Roman" w:cs="Times New Roman"/>
              </w:rPr>
              <w:t xml:space="preserve"> </w:t>
            </w:r>
            <w:r>
              <w:rPr>
                <w:rFonts w:ascii="Times New Roman" w:hAnsi="Times New Roman" w:cs="Times New Roman"/>
              </w:rPr>
              <w:t xml:space="preserve">En cherchant à établir le score, </w:t>
            </w:r>
            <w:r w:rsidR="002B1546">
              <w:rPr>
                <w:rFonts w:ascii="Times New Roman" w:hAnsi="Times New Roman" w:cs="Times New Roman"/>
              </w:rPr>
              <w:t xml:space="preserve">il incombe de </w:t>
            </w:r>
            <w:r>
              <w:rPr>
                <w:rFonts w:ascii="Times New Roman" w:hAnsi="Times New Roman" w:cs="Times New Roman"/>
              </w:rPr>
              <w:t xml:space="preserve">tenir également compte de la tendance (comparaisons sur trois ans) et </w:t>
            </w:r>
            <w:r w:rsidR="002B1546">
              <w:rPr>
                <w:rFonts w:ascii="Times New Roman" w:hAnsi="Times New Roman" w:cs="Times New Roman"/>
              </w:rPr>
              <w:t xml:space="preserve">de </w:t>
            </w:r>
            <w:r>
              <w:rPr>
                <w:rFonts w:ascii="Times New Roman" w:hAnsi="Times New Roman" w:cs="Times New Roman"/>
              </w:rPr>
              <w:t>guetter toutes évolutions négatives dans ces indicateurs et dans la situation du bilan.</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4842E1">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A3</w:t>
            </w:r>
            <w:r>
              <w:rPr>
                <w:rFonts w:ascii="Times New Roman" w:hAnsi="Times New Roman" w:cs="Times New Roman"/>
              </w:rPr>
              <w:t xml:space="preserve"> – </w:t>
            </w:r>
            <w:r>
              <w:rPr>
                <w:rFonts w:ascii="Times New Roman" w:hAnsi="Times New Roman" w:cs="Times New Roman"/>
                <w:b/>
                <w:bCs/>
              </w:rPr>
              <w:t>Présence et couverture géographiques :</w:t>
            </w:r>
            <w:r>
              <w:rPr>
                <w:rFonts w:ascii="Times New Roman" w:hAnsi="Times New Roman" w:cs="Times New Roman"/>
              </w:rPr>
              <w:t xml:space="preserve"> Pour apprécier la couverture géographique de la banque dans les régions où le PNUD et les agences participantes de l'ONU mènent des projets de programme et des activités nécessitant des services bancaires.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B1</w:t>
            </w:r>
            <w:r>
              <w:rPr>
                <w:rFonts w:ascii="Times New Roman" w:hAnsi="Times New Roman" w:cs="Times New Roman"/>
              </w:rPr>
              <w:t xml:space="preserve"> – </w:t>
            </w:r>
            <w:r>
              <w:rPr>
                <w:rFonts w:ascii="Times New Roman" w:hAnsi="Times New Roman" w:cs="Times New Roman"/>
                <w:b/>
                <w:bCs/>
              </w:rPr>
              <w:t>Frais appliqués aux bénéficiaires de paiements:</w:t>
            </w:r>
            <w:r>
              <w:rPr>
                <w:rFonts w:ascii="Times New Roman" w:hAnsi="Times New Roman" w:cs="Times New Roman"/>
              </w:rPr>
              <w:t xml:space="preserve"> Pour évaluer la pratique de la banque et savoir si elle applique un tarif fixe ou un pourcentage sur chaque paiement initié par le PNUD [</w:t>
            </w:r>
            <w:r>
              <w:rPr>
                <w:rFonts w:ascii="Times New Roman" w:hAnsi="Times New Roman" w:cs="Times New Roman"/>
                <w:i/>
                <w:iCs/>
                <w:color w:val="FF0000"/>
              </w:rPr>
              <w:t>dans quel cas le montant touché par le bénéficiaire serait réduit</w:t>
            </w:r>
            <w:r>
              <w:rPr>
                <w:rFonts w:ascii="Times New Roman" w:hAnsi="Times New Roman" w:cs="Times New Roman"/>
              </w:rPr>
              <w:t>].</w:t>
            </w:r>
            <w:r w:rsidR="00253EC7">
              <w:rPr>
                <w:rFonts w:ascii="Times New Roman" w:hAnsi="Times New Roman" w:cs="Times New Roman"/>
              </w:rPr>
              <w:t xml:space="preserve"> </w:t>
            </w:r>
            <w:r>
              <w:rPr>
                <w:rFonts w:ascii="Times New Roman" w:hAnsi="Times New Roman" w:cs="Times New Roman"/>
              </w:rPr>
              <w:t>Le PNUD s'attend à ce que les bénéficiaires touchent l'intégralité des montants qui leur sont destinés. Les frais de services de paiement doivent être présentés de manière explicite, et facturés au PNUD en conformité avec le tableau des tarifs. Ils ne doivent pas être intégrés aux paiements individuels.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AB10A3">
            <w:pPr>
              <w:pStyle w:val="ListParagraph"/>
              <w:numPr>
                <w:ilvl w:val="0"/>
                <w:numId w:val="49"/>
              </w:numPr>
              <w:spacing w:after="120"/>
              <w:rPr>
                <w:rFonts w:ascii="Times New Roman" w:hAnsi="Times New Roman" w:cs="Times New Roman"/>
              </w:rPr>
            </w:pPr>
            <w:r>
              <w:rPr>
                <w:rFonts w:ascii="Times New Roman" w:hAnsi="Times New Roman" w:cs="Times New Roman"/>
                <w:b/>
                <w:bCs/>
              </w:rPr>
              <w:t>B2</w:t>
            </w:r>
            <w:r>
              <w:rPr>
                <w:rFonts w:ascii="Times New Roman" w:hAnsi="Times New Roman" w:cs="Times New Roman"/>
              </w:rPr>
              <w:t xml:space="preserve">– </w:t>
            </w:r>
            <w:r>
              <w:rPr>
                <w:rFonts w:ascii="Times New Roman" w:hAnsi="Times New Roman" w:cs="Times New Roman"/>
                <w:b/>
                <w:bCs/>
              </w:rPr>
              <w:t>Temps de traitement et heure limite :</w:t>
            </w:r>
            <w:r>
              <w:rPr>
                <w:rFonts w:ascii="Times New Roman" w:hAnsi="Times New Roman" w:cs="Times New Roman"/>
              </w:rPr>
              <w:t xml:space="preserve"> Pour évaluer les capacités et la flexibilité de la banque dans ses prestations de services.</w:t>
            </w:r>
            <w:r w:rsidR="00253EC7">
              <w:rPr>
                <w:rFonts w:ascii="Times New Roman" w:hAnsi="Times New Roman" w:cs="Times New Roman"/>
              </w:rPr>
              <w:t xml:space="preserve"> </w:t>
            </w:r>
            <w:r>
              <w:rPr>
                <w:rFonts w:ascii="Times New Roman" w:hAnsi="Times New Roman" w:cs="Times New Roman"/>
              </w:rPr>
              <w:t xml:space="preserve">Plus les horaires de services seront étendus et les heures limites seront souples, plus le score de la banque sera élevé. </w:t>
            </w:r>
            <w:r>
              <w:rPr>
                <w:rFonts w:ascii="Times New Roman" w:hAnsi="Times New Roman" w:cs="Times New Roman"/>
              </w:rPr>
              <w:br/>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B3</w:t>
            </w:r>
            <w:r>
              <w:rPr>
                <w:rFonts w:ascii="Times New Roman" w:hAnsi="Times New Roman" w:cs="Times New Roman"/>
              </w:rPr>
              <w:t xml:space="preserve"> – </w:t>
            </w:r>
            <w:r>
              <w:rPr>
                <w:rFonts w:ascii="Times New Roman" w:hAnsi="Times New Roman" w:cs="Times New Roman"/>
                <w:b/>
                <w:bCs/>
              </w:rPr>
              <w:t>Disponibilités en fonds :</w:t>
            </w:r>
            <w:r>
              <w:rPr>
                <w:rFonts w:ascii="Times New Roman" w:hAnsi="Times New Roman" w:cs="Times New Roman"/>
              </w:rPr>
              <w:t xml:space="preserve"> Pour établir la rapidité avec laquelle la banque crédite les comptes du </w:t>
            </w:r>
            <w:r w:rsidR="008A495B">
              <w:rPr>
                <w:rFonts w:ascii="Times New Roman" w:hAnsi="Times New Roman" w:cs="Times New Roman"/>
              </w:rPr>
              <w:t xml:space="preserve">PNUD </w:t>
            </w:r>
            <w:r>
              <w:rPr>
                <w:rFonts w:ascii="Times New Roman" w:hAnsi="Times New Roman" w:cs="Times New Roman"/>
              </w:rPr>
              <w:t xml:space="preserve">des fonds entrants, et traite les </w:t>
            </w:r>
            <w:r w:rsidR="00253EC7">
              <w:rPr>
                <w:rFonts w:ascii="Times New Roman" w:hAnsi="Times New Roman" w:cs="Times New Roman"/>
              </w:rPr>
              <w:t>paiements</w:t>
            </w:r>
            <w:r>
              <w:rPr>
                <w:rFonts w:ascii="Times New Roman" w:hAnsi="Times New Roman" w:cs="Times New Roman"/>
              </w:rPr>
              <w:t xml:space="preserve"> sortants.</w:t>
            </w:r>
            <w:r w:rsidR="00253EC7">
              <w:rPr>
                <w:rFonts w:ascii="Times New Roman" w:hAnsi="Times New Roman" w:cs="Times New Roman"/>
              </w:rPr>
              <w:t xml:space="preserve"> </w:t>
            </w:r>
            <w:r>
              <w:rPr>
                <w:rFonts w:ascii="Times New Roman" w:hAnsi="Times New Roman" w:cs="Times New Roman"/>
              </w:rPr>
              <w:t>Dans le cas des fonds entrants, la banque devra créditer le compte du PNUP dès qu'elle reçoit les fonds.</w:t>
            </w:r>
            <w:r w:rsidR="00253EC7">
              <w:rPr>
                <w:rFonts w:ascii="Times New Roman" w:hAnsi="Times New Roman" w:cs="Times New Roman"/>
              </w:rPr>
              <w:t xml:space="preserve"> </w:t>
            </w:r>
            <w:r>
              <w:rPr>
                <w:rFonts w:ascii="Times New Roman" w:hAnsi="Times New Roman" w:cs="Times New Roman"/>
              </w:rPr>
              <w:t xml:space="preserve">Dans le cas de paiements sortants, elle ne devra débiter le compte du PNUD qu'à la date de valeur. </w:t>
            </w:r>
          </w:p>
          <w:p w:rsidR="000018B6" w:rsidRDefault="000018B6" w:rsidP="009720FE">
            <w:pPr>
              <w:pStyle w:val="ListParagraph"/>
              <w:spacing w:after="120"/>
              <w:ind w:left="18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B4</w:t>
            </w:r>
            <w:r>
              <w:rPr>
                <w:rFonts w:ascii="Times New Roman" w:hAnsi="Times New Roman" w:cs="Times New Roman"/>
              </w:rPr>
              <w:t xml:space="preserve"> – </w:t>
            </w:r>
            <w:r>
              <w:rPr>
                <w:rFonts w:ascii="Times New Roman" w:hAnsi="Times New Roman" w:cs="Times New Roman"/>
                <w:b/>
                <w:bCs/>
              </w:rPr>
              <w:t>Traitements de paiements à des bénéficiaires ne possédant pas de compte en banque:</w:t>
            </w:r>
            <w:r w:rsidR="00A82093">
              <w:rPr>
                <w:rFonts w:ascii="Times New Roman" w:hAnsi="Times New Roman" w:cs="Times New Roman"/>
              </w:rPr>
              <w:t xml:space="preserve"> Pour é</w:t>
            </w:r>
            <w:r>
              <w:rPr>
                <w:rFonts w:ascii="Times New Roman" w:hAnsi="Times New Roman" w:cs="Times New Roman"/>
              </w:rPr>
              <w:t>valuer la capacité de la banque à proposer des solutions personnalisées.</w:t>
            </w:r>
            <w:r>
              <w:rPr>
                <w:rFonts w:ascii="Times New Roman" w:hAnsi="Times New Roman" w:cs="Times New Roman"/>
              </w:rPr>
              <w:tab/>
              <w:t xml:space="preserve"> Une telle capacité pourrait intéresser des bureaux utilisant des systèmes bancaires plus rudimentaires dans leurs pays respectifs.</w:t>
            </w:r>
            <w:r>
              <w:rPr>
                <w:rFonts w:ascii="Times New Roman" w:hAnsi="Times New Roman" w:cs="Times New Roman"/>
              </w:rPr>
              <w:tab/>
            </w:r>
          </w:p>
          <w:p w:rsidR="000018B6" w:rsidRDefault="000018B6" w:rsidP="00AB10A3">
            <w:pPr>
              <w:pStyle w:val="ListParagraph"/>
              <w:spacing w:after="120"/>
              <w:ind w:left="18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B5-B6-B7-B8-B9</w:t>
            </w:r>
            <w:r>
              <w:rPr>
                <w:rFonts w:ascii="Times New Roman" w:hAnsi="Times New Roman" w:cs="Times New Roman"/>
              </w:rPr>
              <w:t xml:space="preserve"> – </w:t>
            </w:r>
            <w:r>
              <w:rPr>
                <w:rFonts w:ascii="Times New Roman" w:hAnsi="Times New Roman" w:cs="Times New Roman"/>
                <w:b/>
                <w:bCs/>
              </w:rPr>
              <w:t>Opérations de change :</w:t>
            </w:r>
            <w:r w:rsidR="002B1546">
              <w:rPr>
                <w:rFonts w:ascii="Times New Roman" w:hAnsi="Times New Roman" w:cs="Times New Roman"/>
                <w:b/>
                <w:bCs/>
              </w:rPr>
              <w:t xml:space="preserve"> </w:t>
            </w:r>
            <w:r>
              <w:rPr>
                <w:rFonts w:ascii="Times New Roman" w:hAnsi="Times New Roman" w:cs="Times New Roman"/>
              </w:rPr>
              <w:t xml:space="preserve">Pour évaluer les services de change de la banque, y compris les monnaies traitées, la compétitivité de ses </w:t>
            </w:r>
            <w:r>
              <w:rPr>
                <w:rFonts w:ascii="Times New Roman" w:hAnsi="Times New Roman" w:cs="Times New Roman"/>
              </w:rPr>
              <w:lastRenderedPageBreak/>
              <w:t>tarifs et la rapidité du règlement des transactions. Il s'agit en particulier de connaître le délai entre un achat de devises et son inscription au crédit du compte du PNUD, et d'établir l'heure limite pour l'exécution de services de change.</w:t>
            </w:r>
            <w:r>
              <w:rPr>
                <w:rFonts w:ascii="Times New Roman" w:hAnsi="Times New Roman" w:cs="Times New Roman"/>
              </w:rPr>
              <w:tab/>
            </w:r>
          </w:p>
          <w:p w:rsidR="000018B6" w:rsidRDefault="000018B6" w:rsidP="009720FE">
            <w:pPr>
              <w:pStyle w:val="ListParagraph"/>
              <w:spacing w:after="120"/>
              <w:ind w:left="18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C1-C2 – Capacités en matière de banque électronique et d'interfaçage avec le progiciel de gestion intégré (ERP) du client :</w:t>
            </w:r>
            <w:r>
              <w:rPr>
                <w:rFonts w:ascii="Times New Roman" w:hAnsi="Times New Roman" w:cs="Times New Roman"/>
              </w:rPr>
              <w:t xml:space="preserve"> Pour connaître les capacités de la banque en vue de communiquer avec les systèmes informatiques des clients, tout plan d'expansion en la matière ainsi que le calendrier d'exécution prévu ; pour comprendre les exigences éventuellement imposées aux systèmes du client et les procédures opérationnelles à appliquer pour utiliser le système de banque électronique de la banque.</w:t>
            </w:r>
          </w:p>
          <w:p w:rsidR="000018B6" w:rsidRDefault="000018B6" w:rsidP="00772887">
            <w:pPr>
              <w:pStyle w:val="ListParagraph"/>
              <w:rPr>
                <w:rFonts w:ascii="Times New Roman" w:hAnsi="Times New Roman" w:cs="Times New Roman"/>
              </w:rPr>
            </w:pP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C3 – Sécurité et contrôle de banque électronique et d'interface de banque électronique</w:t>
            </w:r>
            <w:r w:rsidR="00253EC7">
              <w:rPr>
                <w:rFonts w:ascii="Times New Roman" w:hAnsi="Times New Roman" w:cs="Times New Roman"/>
                <w:b/>
                <w:bCs/>
              </w:rPr>
              <w:t xml:space="preserve"> :</w:t>
            </w:r>
            <w:r w:rsidR="00253EC7">
              <w:rPr>
                <w:rFonts w:ascii="Times New Roman" w:hAnsi="Times New Roman" w:cs="Times New Roman"/>
              </w:rPr>
              <w:t xml:space="preserve"> Pour</w:t>
            </w:r>
            <w:r>
              <w:rPr>
                <w:rFonts w:ascii="Times New Roman" w:hAnsi="Times New Roman" w:cs="Times New Roman"/>
              </w:rPr>
              <w:t xml:space="preserve"> évaluer les caractéristiques du système de sécurité</w:t>
            </w:r>
            <w:r w:rsidR="00A82093">
              <w:rPr>
                <w:rFonts w:ascii="Times New Roman" w:hAnsi="Times New Roman" w:cs="Times New Roman"/>
              </w:rPr>
              <w:t xml:space="preserve"> et les mesures d'atténuation du risques présenté</w:t>
            </w:r>
            <w:r>
              <w:rPr>
                <w:rFonts w:ascii="Times New Roman" w:hAnsi="Times New Roman" w:cs="Times New Roman"/>
              </w:rPr>
              <w:t xml:space="preserve"> par les opérations de banque électronique et par l'interface entre les systèmes de la banque et ceux du PNUD.</w:t>
            </w:r>
            <w:r>
              <w:rPr>
                <w:rFonts w:ascii="Times New Roman" w:hAnsi="Times New Roman" w:cs="Times New Roman"/>
              </w:rPr>
              <w:tab/>
            </w:r>
          </w:p>
          <w:p w:rsidR="000018B6" w:rsidRDefault="000018B6" w:rsidP="009720FE">
            <w:pPr>
              <w:pStyle w:val="ListParagraph"/>
              <w:spacing w:after="120"/>
              <w:ind w:left="18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C4 – Information du client :</w:t>
            </w:r>
            <w:r>
              <w:rPr>
                <w:rFonts w:ascii="Times New Roman" w:hAnsi="Times New Roman" w:cs="Times New Roman"/>
              </w:rPr>
              <w:t xml:space="preserve"> Pour établir si la banque propose une information de compte pour le même jour ou la veille sur le solde et les opérations sur comptes, ou toute alternative.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8B6" w:rsidRDefault="000018B6" w:rsidP="009720FE">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 xml:space="preserve">D1 – Service au client : </w:t>
            </w:r>
            <w:r>
              <w:rPr>
                <w:rFonts w:ascii="Times New Roman" w:hAnsi="Times New Roman" w:cs="Times New Roman"/>
              </w:rPr>
              <w:t>Évaluer l'organigramme de la banque, la chaîne de commande</w:t>
            </w:r>
            <w:r w:rsidR="00A82093">
              <w:rPr>
                <w:rFonts w:ascii="Times New Roman" w:hAnsi="Times New Roman" w:cs="Times New Roman"/>
              </w:rPr>
              <w:t>ment</w:t>
            </w:r>
            <w:r>
              <w:rPr>
                <w:rFonts w:ascii="Times New Roman" w:hAnsi="Times New Roman" w:cs="Times New Roman"/>
              </w:rPr>
              <w:t xml:space="preserve"> partant d</w:t>
            </w:r>
            <w:r w:rsidR="00A82093">
              <w:rPr>
                <w:rFonts w:ascii="Times New Roman" w:hAnsi="Times New Roman" w:cs="Times New Roman"/>
              </w:rPr>
              <w:t xml:space="preserve">u directeur de l'établissement ; </w:t>
            </w:r>
            <w:r>
              <w:rPr>
                <w:rFonts w:ascii="Times New Roman" w:hAnsi="Times New Roman" w:cs="Times New Roman"/>
              </w:rPr>
              <w:t>la présence d'un préposé aux relations avec le PNUD</w:t>
            </w:r>
            <w:r w:rsidR="00253EC7">
              <w:rPr>
                <w:rFonts w:ascii="Times New Roman" w:hAnsi="Times New Roman" w:cs="Times New Roman"/>
              </w:rPr>
              <w:t xml:space="preserve"> </w:t>
            </w:r>
            <w:r>
              <w:rPr>
                <w:rFonts w:ascii="Times New Roman" w:hAnsi="Times New Roman" w:cs="Times New Roman"/>
              </w:rPr>
              <w:t xml:space="preserve">ainsi que d'une personne de </w:t>
            </w:r>
            <w:r w:rsidR="00A82093">
              <w:rPr>
                <w:rFonts w:ascii="Times New Roman" w:hAnsi="Times New Roman" w:cs="Times New Roman"/>
              </w:rPr>
              <w:t>contact pour le service courant ;</w:t>
            </w:r>
            <w:r>
              <w:rPr>
                <w:rFonts w:ascii="Times New Roman" w:hAnsi="Times New Roman" w:cs="Times New Roman"/>
              </w:rPr>
              <w:t xml:space="preserve"> les délais de réponse, et la bonne résolution de problèmes.</w:t>
            </w:r>
          </w:p>
          <w:p w:rsidR="000018B6" w:rsidRDefault="000018B6" w:rsidP="009720FE">
            <w:pPr>
              <w:pStyle w:val="ListParagraph"/>
              <w:spacing w:after="120"/>
              <w:ind w:left="1800"/>
              <w:jc w:val="both"/>
              <w:rPr>
                <w:rFonts w:ascii="Times New Roman" w:hAnsi="Times New Roman" w:cs="Times New Roman"/>
              </w:rPr>
            </w:pPr>
            <w:r>
              <w:rPr>
                <w:rFonts w:ascii="Times New Roman" w:hAnsi="Times New Roman" w:cs="Times New Roman"/>
              </w:rPr>
              <w:tab/>
            </w:r>
          </w:p>
          <w:p w:rsidR="000018B6" w:rsidRDefault="000018B6" w:rsidP="0068182C">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E1 – Gestion du risque :</w:t>
            </w:r>
            <w:r>
              <w:rPr>
                <w:rFonts w:ascii="Times New Roman" w:hAnsi="Times New Roman" w:cs="Times New Roman"/>
              </w:rPr>
              <w:t xml:space="preserve"> Pour évaluer les pratiques de la banque en matière de gestion du risque et ses dispositions pour assurer la continuité des affaires, autant de facteurs susceptibles d'impacter la manière dont la banque saura desservir le PNUD en période de crise et dans des régions problématiques.</w:t>
            </w:r>
          </w:p>
          <w:p w:rsidR="000018B6" w:rsidRDefault="000018B6" w:rsidP="00612653">
            <w:pPr>
              <w:pStyle w:val="ListParagraph"/>
              <w:rPr>
                <w:rFonts w:ascii="Times New Roman" w:hAnsi="Times New Roman" w:cs="Times New Roman"/>
              </w:rPr>
            </w:pPr>
          </w:p>
          <w:p w:rsidR="000018B6" w:rsidRDefault="000018B6" w:rsidP="00612653">
            <w:pPr>
              <w:pStyle w:val="ListParagraph"/>
              <w:numPr>
                <w:ilvl w:val="0"/>
                <w:numId w:val="49"/>
              </w:numPr>
              <w:spacing w:after="120"/>
              <w:jc w:val="both"/>
              <w:rPr>
                <w:rFonts w:ascii="Times New Roman" w:hAnsi="Times New Roman" w:cs="Times New Roman"/>
              </w:rPr>
            </w:pPr>
            <w:r>
              <w:rPr>
                <w:rFonts w:ascii="Times New Roman" w:hAnsi="Times New Roman" w:cs="Times New Roman"/>
                <w:b/>
                <w:bCs/>
              </w:rPr>
              <w:t xml:space="preserve">F – Autres services </w:t>
            </w:r>
            <w:r w:rsidR="00253EC7">
              <w:rPr>
                <w:rFonts w:ascii="Times New Roman" w:hAnsi="Times New Roman" w:cs="Times New Roman"/>
                <w:b/>
                <w:bCs/>
              </w:rPr>
              <w:t>:</w:t>
            </w:r>
            <w:r w:rsidR="00253EC7">
              <w:rPr>
                <w:rFonts w:ascii="Times New Roman" w:hAnsi="Times New Roman" w:cs="Times New Roman"/>
              </w:rPr>
              <w:t xml:space="preserve"> Il</w:t>
            </w:r>
            <w:r>
              <w:rPr>
                <w:rFonts w:ascii="Times New Roman" w:hAnsi="Times New Roman" w:cs="Times New Roman"/>
              </w:rPr>
              <w:t xml:space="preserve"> appartiendra au bureau de pays de déterminer si les services dont il a besoin ne sont pas couverts par les catégories A à E énumérées plus haut.</w:t>
            </w:r>
            <w:r w:rsidR="00253EC7">
              <w:rPr>
                <w:rFonts w:ascii="Times New Roman" w:hAnsi="Times New Roman" w:cs="Times New Roman"/>
              </w:rPr>
              <w:t xml:space="preserve"> </w:t>
            </w:r>
            <w:r>
              <w:rPr>
                <w:rFonts w:ascii="Times New Roman" w:hAnsi="Times New Roman" w:cs="Times New Roman"/>
              </w:rPr>
              <w:t>S'il est prévu d'inclure cette section à l'</w:t>
            </w:r>
            <w:r w:rsidR="00A82093">
              <w:rPr>
                <w:rFonts w:ascii="Times New Roman" w:hAnsi="Times New Roman" w:cs="Times New Roman"/>
              </w:rPr>
              <w:t>IAS</w:t>
            </w:r>
            <w:r>
              <w:rPr>
                <w:rFonts w:ascii="Times New Roman" w:hAnsi="Times New Roman" w:cs="Times New Roman"/>
              </w:rPr>
              <w:t>, le bureau de pays devra en discuter avec l</w:t>
            </w:r>
            <w:r w:rsidR="00005344">
              <w:rPr>
                <w:rFonts w:ascii="Times New Roman" w:hAnsi="Times New Roman" w:cs="Times New Roman"/>
              </w:rPr>
              <w:t>a</w:t>
            </w:r>
            <w:r>
              <w:rPr>
                <w:rFonts w:ascii="Times New Roman" w:hAnsi="Times New Roman" w:cs="Times New Roman"/>
              </w:rPr>
              <w:t xml:space="preserve"> Trésor</w:t>
            </w:r>
            <w:r w:rsidR="00005344">
              <w:rPr>
                <w:rFonts w:ascii="Times New Roman" w:hAnsi="Times New Roman" w:cs="Times New Roman"/>
              </w:rPr>
              <w:t>erie</w:t>
            </w:r>
            <w:r>
              <w:rPr>
                <w:rFonts w:ascii="Times New Roman" w:hAnsi="Times New Roman" w:cs="Times New Roman"/>
              </w:rPr>
              <w:t xml:space="preserve"> afin de finaliser les exigences de service et les points d'évaluation.</w:t>
            </w:r>
            <w:r>
              <w:rPr>
                <w:rFonts w:ascii="Times New Roman" w:hAnsi="Times New Roman" w:cs="Times New Roman"/>
              </w:rPr>
              <w:tab/>
            </w:r>
            <w:r>
              <w:rPr>
                <w:rFonts w:ascii="Times New Roman" w:hAnsi="Times New Roman" w:cs="Times New Roman"/>
              </w:rPr>
              <w:br/>
            </w: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Ouvrir les Offres financières</w:t>
            </w:r>
          </w:p>
          <w:p w:rsidR="000018B6" w:rsidRDefault="000018B6">
            <w:pPr>
              <w:rPr>
                <w:rFonts w:ascii="Times New Roman" w:hAnsi="Times New Roman" w:cs="Times New Roman"/>
              </w:rPr>
            </w:pPr>
          </w:p>
          <w:p w:rsidR="000018B6" w:rsidRDefault="000018B6">
            <w:pPr>
              <w:pStyle w:val="BodyTextIndent2"/>
              <w:numPr>
                <w:ilvl w:val="0"/>
                <w:numId w:val="38"/>
              </w:numPr>
              <w:tabs>
                <w:tab w:val="clear" w:pos="5040"/>
                <w:tab w:val="left" w:pos="6480"/>
              </w:tabs>
              <w:jc w:val="both"/>
              <w:rPr>
                <w:rFonts w:ascii="Times New Roman" w:hAnsi="Times New Roman"/>
              </w:rPr>
            </w:pPr>
            <w:r>
              <w:rPr>
                <w:rFonts w:ascii="Times New Roman" w:hAnsi="Times New Roman"/>
              </w:rPr>
              <w:t xml:space="preserve">Les membres du comité ad hoc sont convoqués à une séance d'ouverture des </w:t>
            </w:r>
            <w:r>
              <w:rPr>
                <w:rFonts w:ascii="Times New Roman" w:hAnsi="Times New Roman"/>
              </w:rPr>
              <w:lastRenderedPageBreak/>
              <w:t>Offres financières lorsque le comité aura terminé son examen des Offres techniques.</w:t>
            </w:r>
          </w:p>
          <w:p w:rsidR="000018B6" w:rsidRDefault="000018B6" w:rsidP="00194FB8">
            <w:pPr>
              <w:pStyle w:val="BodyTextIndent2"/>
              <w:tabs>
                <w:tab w:val="clear" w:pos="5040"/>
                <w:tab w:val="left" w:pos="6480"/>
              </w:tabs>
              <w:ind w:left="1800" w:firstLine="0"/>
              <w:jc w:val="both"/>
              <w:rPr>
                <w:rFonts w:ascii="Times New Roman" w:hAnsi="Times New Roman"/>
              </w:rPr>
            </w:pPr>
          </w:p>
          <w:p w:rsidR="000018B6" w:rsidRDefault="000018B6">
            <w:pPr>
              <w:pStyle w:val="BodyTextIndent2"/>
              <w:numPr>
                <w:ilvl w:val="0"/>
                <w:numId w:val="38"/>
              </w:numPr>
              <w:tabs>
                <w:tab w:val="clear" w:pos="5040"/>
                <w:tab w:val="left" w:pos="6480"/>
              </w:tabs>
              <w:jc w:val="both"/>
              <w:rPr>
                <w:rFonts w:ascii="Times New Roman" w:hAnsi="Times New Roman"/>
              </w:rPr>
            </w:pPr>
            <w:r>
              <w:rPr>
                <w:rFonts w:ascii="Times New Roman" w:hAnsi="Times New Roman"/>
              </w:rPr>
              <w:t xml:space="preserve">Les mêmes étapes que celles décrites sous </w:t>
            </w:r>
            <w:r>
              <w:rPr>
                <w:rFonts w:ascii="Times New Roman" w:hAnsi="Times New Roman"/>
                <w:b/>
                <w:bCs/>
              </w:rPr>
              <w:t>6.7</w:t>
            </w:r>
            <w:r w:rsidR="00005344">
              <w:rPr>
                <w:rFonts w:ascii="Times New Roman" w:hAnsi="Times New Roman"/>
                <w:b/>
                <w:bCs/>
              </w:rPr>
              <w:t xml:space="preserve"> </w:t>
            </w:r>
            <w:r>
              <w:rPr>
                <w:rFonts w:ascii="Times New Roman" w:hAnsi="Times New Roman"/>
              </w:rPr>
              <w:t>sont à suivre.</w:t>
            </w:r>
          </w:p>
          <w:p w:rsidR="000018B6" w:rsidRDefault="000018B6">
            <w:pPr>
              <w:pStyle w:val="BodyTextIndent2"/>
              <w:tabs>
                <w:tab w:val="clear" w:pos="5040"/>
              </w:tabs>
              <w:ind w:left="1296" w:firstLine="0"/>
              <w:jc w:val="both"/>
              <w:rPr>
                <w:rFonts w:ascii="Times New Roman" w:hAnsi="Times New Roman"/>
              </w:rPr>
            </w:pPr>
          </w:p>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Évaluer les offres financières et les résultats récapitulatifs</w:t>
            </w:r>
          </w:p>
          <w:p w:rsidR="000018B6" w:rsidRDefault="000018B6">
            <w:pPr>
              <w:rPr>
                <w:rFonts w:ascii="Times New Roman" w:hAnsi="Times New Roman" w:cs="Times New Roman"/>
              </w:rPr>
            </w:pPr>
          </w:p>
          <w:p w:rsidR="000018B6" w:rsidRDefault="000018B6">
            <w:pPr>
              <w:pStyle w:val="BodyTextIndent2"/>
              <w:numPr>
                <w:ilvl w:val="0"/>
                <w:numId w:val="39"/>
              </w:numPr>
              <w:tabs>
                <w:tab w:val="clear" w:pos="5040"/>
                <w:tab w:val="left" w:pos="6480"/>
              </w:tabs>
              <w:jc w:val="both"/>
              <w:rPr>
                <w:rFonts w:ascii="Times New Roman" w:hAnsi="Times New Roman"/>
              </w:rPr>
            </w:pPr>
            <w:r>
              <w:rPr>
                <w:rFonts w:ascii="Times New Roman" w:hAnsi="Times New Roman"/>
              </w:rPr>
              <w:t xml:space="preserve">Utiliser l'outil d'évaluation/l'évaluation </w:t>
            </w:r>
            <w:r w:rsidR="00005344">
              <w:rPr>
                <w:rFonts w:ascii="Times New Roman" w:hAnsi="Times New Roman"/>
              </w:rPr>
              <w:t xml:space="preserve">financière </w:t>
            </w:r>
            <w:r>
              <w:rPr>
                <w:rFonts w:ascii="Times New Roman" w:hAnsi="Times New Roman"/>
              </w:rPr>
              <w:t>de l'</w:t>
            </w:r>
            <w:r w:rsidR="00A82093">
              <w:rPr>
                <w:rFonts w:ascii="Times New Roman" w:hAnsi="Times New Roman"/>
              </w:rPr>
              <w:t>IAS</w:t>
            </w:r>
            <w:r>
              <w:rPr>
                <w:rFonts w:ascii="Times New Roman" w:hAnsi="Times New Roman"/>
              </w:rPr>
              <w:t xml:space="preserve"> [</w:t>
            </w:r>
            <w:r>
              <w:rPr>
                <w:rFonts w:ascii="Times New Roman" w:hAnsi="Times New Roman"/>
                <w:i/>
                <w:iCs/>
                <w:color w:val="FF0000"/>
              </w:rPr>
              <w:t>voir l'Annexe 2</w:t>
            </w:r>
            <w:r>
              <w:rPr>
                <w:rFonts w:ascii="Times New Roman" w:hAnsi="Times New Roman"/>
              </w:rPr>
              <w:t>]</w:t>
            </w:r>
          </w:p>
          <w:p w:rsidR="000018B6" w:rsidRDefault="000018B6" w:rsidP="0068182C">
            <w:pPr>
              <w:pStyle w:val="BodyTextIndent2"/>
              <w:tabs>
                <w:tab w:val="clear" w:pos="5040"/>
                <w:tab w:val="left" w:pos="6480"/>
              </w:tabs>
              <w:ind w:left="1800" w:firstLine="0"/>
              <w:jc w:val="both"/>
              <w:rPr>
                <w:rFonts w:ascii="Times New Roman" w:hAnsi="Times New Roman"/>
              </w:rPr>
            </w:pPr>
          </w:p>
          <w:p w:rsidR="000018B6" w:rsidRDefault="000018B6">
            <w:pPr>
              <w:pStyle w:val="BodyTextIndent2"/>
              <w:numPr>
                <w:ilvl w:val="0"/>
                <w:numId w:val="39"/>
              </w:numPr>
              <w:tabs>
                <w:tab w:val="clear" w:pos="5040"/>
                <w:tab w:val="left" w:pos="6480"/>
              </w:tabs>
              <w:jc w:val="both"/>
              <w:rPr>
                <w:rFonts w:ascii="Times New Roman" w:hAnsi="Times New Roman"/>
              </w:rPr>
            </w:pPr>
            <w:r>
              <w:rPr>
                <w:rFonts w:ascii="Times New Roman" w:hAnsi="Times New Roman"/>
                <w:b/>
                <w:bCs/>
              </w:rPr>
              <w:t>Section A: Tarifs proposés par les banques potentielles</w:t>
            </w:r>
            <w:r w:rsidR="00253EC7">
              <w:rPr>
                <w:rFonts w:ascii="Times New Roman" w:hAnsi="Times New Roman"/>
                <w:b/>
                <w:bCs/>
              </w:rPr>
              <w:t xml:space="preserve"> </w:t>
            </w:r>
            <w:r>
              <w:rPr>
                <w:rFonts w:ascii="Times New Roman" w:hAnsi="Times New Roman"/>
              </w:rPr>
              <w:t>- Capter les données tarifaires comprises dans les Offres financières des banques potentielles.</w:t>
            </w:r>
            <w:r w:rsidR="00253EC7">
              <w:rPr>
                <w:rFonts w:ascii="Times New Roman" w:hAnsi="Times New Roman"/>
              </w:rPr>
              <w:t xml:space="preserve"> </w:t>
            </w:r>
            <w:r>
              <w:rPr>
                <w:rFonts w:ascii="Times New Roman" w:hAnsi="Times New Roman"/>
              </w:rPr>
              <w:t>Si les tarifs sont présentés sous la forme de prix unitaires, multiplier ces prix par les volumes mensuels estimatifs des services respectifs.</w:t>
            </w:r>
          </w:p>
          <w:p w:rsidR="000018B6" w:rsidRDefault="000018B6" w:rsidP="0068182C">
            <w:pPr>
              <w:pStyle w:val="ListParagraph"/>
              <w:rPr>
                <w:rFonts w:ascii="Times New Roman" w:hAnsi="Times New Roman" w:cs="Times New Roman"/>
              </w:rPr>
            </w:pPr>
          </w:p>
          <w:p w:rsidR="000018B6" w:rsidRDefault="000018B6">
            <w:pPr>
              <w:pStyle w:val="BodyTextIndent2"/>
              <w:numPr>
                <w:ilvl w:val="0"/>
                <w:numId w:val="39"/>
              </w:numPr>
              <w:tabs>
                <w:tab w:val="clear" w:pos="5040"/>
                <w:tab w:val="left" w:pos="6480"/>
              </w:tabs>
              <w:jc w:val="both"/>
              <w:rPr>
                <w:rFonts w:ascii="Times New Roman" w:hAnsi="Times New Roman"/>
              </w:rPr>
            </w:pPr>
            <w:r>
              <w:rPr>
                <w:rFonts w:ascii="Times New Roman" w:hAnsi="Times New Roman"/>
                <w:b/>
                <w:bCs/>
              </w:rPr>
              <w:t>Section B: Évaluer les Offres des banques potentielles individuelles</w:t>
            </w:r>
            <w:r>
              <w:rPr>
                <w:rFonts w:ascii="Times New Roman" w:hAnsi="Times New Roman"/>
              </w:rPr>
              <w:t xml:space="preserve"> - Suivre les étapes prévues sur le tableau pour saisir les données pertinentes.  Le tableau effectuera le calcul automatique du score financier pour chaque banque potentielle (</w:t>
            </w:r>
            <w:r>
              <w:rPr>
                <w:rFonts w:ascii="Times New Roman" w:hAnsi="Times New Roman"/>
                <w:i/>
                <w:iCs/>
                <w:color w:val="FF0000"/>
              </w:rPr>
              <w:t>vous aurez à répéter les mêmes étapes pour chaque banque</w:t>
            </w:r>
            <w:r>
              <w:rPr>
                <w:rFonts w:ascii="Times New Roman" w:hAnsi="Times New Roman"/>
              </w:rPr>
              <w:t>).</w:t>
            </w:r>
            <w:r w:rsidR="00253EC7">
              <w:rPr>
                <w:rFonts w:ascii="Times New Roman" w:hAnsi="Times New Roman"/>
              </w:rPr>
              <w:t xml:space="preserve"> </w:t>
            </w:r>
            <w:r>
              <w:rPr>
                <w:rFonts w:ascii="Times New Roman" w:hAnsi="Times New Roman"/>
              </w:rPr>
              <w:t xml:space="preserve">Le score financier comporte deux composantes : la composante frais bancaires (95 %) et la composante intérêt sur </w:t>
            </w:r>
            <w:r w:rsidR="00253EC7">
              <w:rPr>
                <w:rFonts w:ascii="Times New Roman" w:hAnsi="Times New Roman"/>
              </w:rPr>
              <w:t>compte-chèques</w:t>
            </w:r>
            <w:r>
              <w:rPr>
                <w:rFonts w:ascii="Times New Roman" w:hAnsi="Times New Roman"/>
              </w:rPr>
              <w:t xml:space="preserve"> (5 %).</w:t>
            </w:r>
            <w:r w:rsidR="00253EC7">
              <w:rPr>
                <w:rFonts w:ascii="Times New Roman" w:hAnsi="Times New Roman"/>
              </w:rPr>
              <w:t xml:space="preserve"> </w:t>
            </w:r>
            <w:r>
              <w:rPr>
                <w:rFonts w:ascii="Times New Roman" w:hAnsi="Times New Roman"/>
              </w:rPr>
              <w:t xml:space="preserve">La formule est protégée. Dans un pays n'autorisant pas le versement d'intérêt sur les </w:t>
            </w:r>
            <w:r w:rsidR="00253EC7">
              <w:rPr>
                <w:rFonts w:ascii="Times New Roman" w:hAnsi="Times New Roman"/>
              </w:rPr>
              <w:t>compte-chèques</w:t>
            </w:r>
            <w:r>
              <w:rPr>
                <w:rFonts w:ascii="Times New Roman" w:hAnsi="Times New Roman"/>
              </w:rPr>
              <w:t>, mettre 0 (zéro) dans les champs pertinents.</w:t>
            </w:r>
            <w:r w:rsidR="00253EC7">
              <w:rPr>
                <w:rFonts w:ascii="Times New Roman" w:hAnsi="Times New Roman"/>
              </w:rPr>
              <w:t xml:space="preserve"> </w:t>
            </w:r>
            <w:r>
              <w:rPr>
                <w:rFonts w:ascii="Times New Roman" w:hAnsi="Times New Roman"/>
              </w:rPr>
              <w:t>Le tableau affectera automatiquement 5 points à chaque banque potentielle, de sorte que l'impact de cette composante sera neutre sur le score financier final de toutes les banques potentielles.</w:t>
            </w:r>
          </w:p>
          <w:p w:rsidR="000018B6" w:rsidRDefault="000018B6" w:rsidP="0068182C">
            <w:pPr>
              <w:pStyle w:val="ListParagraph"/>
              <w:rPr>
                <w:rFonts w:ascii="Times New Roman" w:hAnsi="Times New Roman" w:cs="Times New Roman"/>
              </w:rPr>
            </w:pPr>
          </w:p>
          <w:p w:rsidR="000018B6" w:rsidRDefault="000018B6">
            <w:pPr>
              <w:pStyle w:val="BodyTextIndent2"/>
              <w:numPr>
                <w:ilvl w:val="0"/>
                <w:numId w:val="39"/>
              </w:numPr>
              <w:tabs>
                <w:tab w:val="clear" w:pos="5040"/>
                <w:tab w:val="left" w:pos="6480"/>
              </w:tabs>
              <w:jc w:val="both"/>
              <w:rPr>
                <w:rFonts w:ascii="Times New Roman" w:hAnsi="Times New Roman"/>
              </w:rPr>
            </w:pPr>
            <w:r>
              <w:rPr>
                <w:rFonts w:ascii="Times New Roman" w:hAnsi="Times New Roman"/>
                <w:b/>
                <w:bCs/>
              </w:rPr>
              <w:t>Section C: Saisir le résultat obtenu à la section B pour chaque banque potentielle</w:t>
            </w:r>
            <w:r>
              <w:rPr>
                <w:rFonts w:ascii="Times New Roman" w:hAnsi="Times New Roman"/>
              </w:rPr>
              <w:t xml:space="preserve"> - Cette section est évidente.</w:t>
            </w:r>
          </w:p>
          <w:p w:rsidR="000018B6" w:rsidRDefault="000018B6" w:rsidP="0068182C">
            <w:pPr>
              <w:pStyle w:val="ListParagraph"/>
              <w:rPr>
                <w:rFonts w:ascii="Times New Roman" w:hAnsi="Times New Roman" w:cs="Times New Roman"/>
              </w:rPr>
            </w:pPr>
          </w:p>
          <w:p w:rsidR="000018B6" w:rsidRDefault="000018B6">
            <w:pPr>
              <w:pStyle w:val="BodyTextIndent2"/>
              <w:numPr>
                <w:ilvl w:val="0"/>
                <w:numId w:val="39"/>
              </w:numPr>
              <w:tabs>
                <w:tab w:val="clear" w:pos="5040"/>
                <w:tab w:val="left" w:pos="6480"/>
              </w:tabs>
              <w:jc w:val="both"/>
              <w:rPr>
                <w:rFonts w:ascii="Times New Roman" w:hAnsi="Times New Roman"/>
              </w:rPr>
            </w:pPr>
            <w:r>
              <w:rPr>
                <w:rFonts w:ascii="Times New Roman" w:hAnsi="Times New Roman"/>
                <w:b/>
                <w:bCs/>
              </w:rPr>
              <w:t>Utiliser l'outil d'évaluation/les résultats récapitulatifs de l'</w:t>
            </w:r>
            <w:r w:rsidR="00A82093">
              <w:rPr>
                <w:rFonts w:ascii="Times New Roman" w:hAnsi="Times New Roman"/>
                <w:b/>
                <w:bCs/>
              </w:rPr>
              <w:t>IAS</w:t>
            </w:r>
            <w:r w:rsidR="00253EC7">
              <w:rPr>
                <w:rFonts w:ascii="Times New Roman" w:hAnsi="Times New Roman"/>
                <w:b/>
                <w:bCs/>
              </w:rPr>
              <w:t xml:space="preserve"> </w:t>
            </w:r>
            <w:r>
              <w:rPr>
                <w:rFonts w:ascii="Times New Roman" w:hAnsi="Times New Roman"/>
              </w:rPr>
              <w:t>– Saisir le score final des évaluations technique et financière pour chaque banque potentielle. Les scores finaux combinés sont calculés automatiquement.</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Ouvrir et évaluer l'Offre de services bancaires aux particuliers</w:t>
            </w:r>
            <w:r w:rsidR="00253EC7">
              <w:rPr>
                <w:rFonts w:ascii="Times New Roman" w:hAnsi="Times New Roman" w:cs="Times New Roman"/>
                <w:b/>
                <w:bCs/>
                <w:u w:val="single"/>
              </w:rPr>
              <w:t xml:space="preserve"> </w:t>
            </w:r>
            <w:r>
              <w:rPr>
                <w:rFonts w:ascii="Times New Roman" w:hAnsi="Times New Roman" w:cs="Times New Roman"/>
                <w:b/>
                <w:bCs/>
                <w:u w:val="single"/>
              </w:rPr>
              <w:t>[</w:t>
            </w:r>
            <w:r>
              <w:rPr>
                <w:rFonts w:ascii="Times New Roman" w:hAnsi="Times New Roman" w:cs="Times New Roman"/>
                <w:b/>
                <w:bCs/>
                <w:color w:val="FF0000"/>
                <w:u w:val="single"/>
              </w:rPr>
              <w:t>NOTA :</w:t>
            </w:r>
            <w:r>
              <w:rPr>
                <w:rFonts w:ascii="Times New Roman" w:hAnsi="Times New Roman" w:cs="Times New Roman"/>
                <w:b/>
                <w:bCs/>
                <w:i/>
                <w:iCs/>
                <w:color w:val="FF0000"/>
                <w:u w:val="single"/>
              </w:rPr>
              <w:t xml:space="preserve"> seulement en cas d'égalité de Soumissionnaires après l'évaluation financière.</w:t>
            </w:r>
            <w:r>
              <w:rPr>
                <w:rFonts w:ascii="Times New Roman" w:hAnsi="Times New Roman" w:cs="Times New Roman"/>
                <w:b/>
                <w:bCs/>
                <w:u w:val="single"/>
              </w:rPr>
              <w:t>]</w:t>
            </w:r>
          </w:p>
          <w:p w:rsidR="000018B6" w:rsidRDefault="000018B6">
            <w:pPr>
              <w:rPr>
                <w:rFonts w:ascii="Times New Roman" w:hAnsi="Times New Roman" w:cs="Times New Roman"/>
              </w:rPr>
            </w:pP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 xml:space="preserve">On se </w:t>
            </w:r>
            <w:r w:rsidR="00253EC7">
              <w:rPr>
                <w:rFonts w:ascii="Times New Roman" w:hAnsi="Times New Roman"/>
              </w:rPr>
              <w:t>rappellera</w:t>
            </w:r>
            <w:r>
              <w:rPr>
                <w:rFonts w:ascii="Times New Roman" w:hAnsi="Times New Roman"/>
              </w:rPr>
              <w:t xml:space="preserve"> que le PNUD souhaite obtenir des services bancaires à l'appui de ses opérations. Il ne cherche </w:t>
            </w:r>
            <w:r>
              <w:rPr>
                <w:rFonts w:ascii="Times New Roman" w:hAnsi="Times New Roman"/>
                <w:b/>
                <w:bCs/>
              </w:rPr>
              <w:t>pas</w:t>
            </w:r>
            <w:r>
              <w:rPr>
                <w:rFonts w:ascii="Times New Roman" w:hAnsi="Times New Roman"/>
              </w:rPr>
              <w:t xml:space="preserve"> à obtenir des services bancaires à l'appui des besoins </w:t>
            </w:r>
            <w:r w:rsidR="00005344">
              <w:rPr>
                <w:rFonts w:ascii="Times New Roman" w:hAnsi="Times New Roman"/>
              </w:rPr>
              <w:t xml:space="preserve">de son </w:t>
            </w:r>
            <w:r>
              <w:rPr>
                <w:rFonts w:ascii="Times New Roman" w:hAnsi="Times New Roman"/>
              </w:rPr>
              <w:t>personnel</w:t>
            </w:r>
            <w:r w:rsidR="00005344">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br/>
            </w: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Le PNUD est néanmoins conscient du fait que s'il conclut un contrat avec une banque, celle-ci ne bénéficiera pas seulement de sa mission pour le PNUD et pour les Agences participantes des Nations Unies, mais également du nombre important de comptes en banque individuels que leurs personnels sont susceptibles d'ouvrir et du volume d'activité supplémentaire qui en découlera. L'</w:t>
            </w:r>
            <w:r w:rsidR="00A82093">
              <w:rPr>
                <w:rFonts w:ascii="Times New Roman" w:hAnsi="Times New Roman"/>
              </w:rPr>
              <w:t>IAS</w:t>
            </w:r>
            <w:r>
              <w:rPr>
                <w:rFonts w:ascii="Times New Roman" w:hAnsi="Times New Roman"/>
              </w:rPr>
              <w:t xml:space="preserve"> comprend donc des instructions aux banques potentielles pré-</w:t>
            </w:r>
            <w:r>
              <w:rPr>
                <w:rFonts w:ascii="Times New Roman" w:hAnsi="Times New Roman"/>
              </w:rPr>
              <w:lastRenderedPageBreak/>
              <w:t>qualifiées pour qu'elles soumettent une Offre distincte en matière de services aux particuliers.</w:t>
            </w:r>
            <w:r w:rsidR="00253EC7">
              <w:rPr>
                <w:rFonts w:ascii="Times New Roman" w:hAnsi="Times New Roman"/>
              </w:rPr>
              <w:t xml:space="preserve"> </w:t>
            </w:r>
            <w:r>
              <w:rPr>
                <w:rFonts w:ascii="Times New Roman" w:hAnsi="Times New Roman"/>
              </w:rPr>
              <w:t>Cette Offre doit être soumise de la manière prescrite à la section 7 de l'</w:t>
            </w:r>
            <w:r w:rsidR="00A82093">
              <w:rPr>
                <w:rFonts w:ascii="Times New Roman" w:hAnsi="Times New Roman"/>
              </w:rPr>
              <w:t>IAS</w:t>
            </w:r>
            <w:r>
              <w:rPr>
                <w:rFonts w:ascii="Times New Roman" w:hAnsi="Times New Roman"/>
              </w:rPr>
              <w:t>, Services bancaires.</w:t>
            </w:r>
            <w:r>
              <w:rPr>
                <w:rFonts w:ascii="Times New Roman" w:hAnsi="Times New Roman"/>
              </w:rPr>
              <w:tab/>
            </w:r>
            <w:r>
              <w:rPr>
                <w:rFonts w:ascii="Times New Roman" w:hAnsi="Times New Roman"/>
              </w:rPr>
              <w:br/>
            </w: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 xml:space="preserve">L'Offre de services bancaires aux particuliers ne sera pas ouverte/étudiée tant que les Offres techniques et financières n'auront pas été évaluées. Ce ne sera que si l'évaluation des Offres techniques et financières donne </w:t>
            </w:r>
            <w:r w:rsidR="00253EC7">
              <w:rPr>
                <w:rFonts w:ascii="Times New Roman" w:hAnsi="Times New Roman"/>
              </w:rPr>
              <w:t>lieu</w:t>
            </w:r>
            <w:r>
              <w:rPr>
                <w:rFonts w:ascii="Times New Roman" w:hAnsi="Times New Roman"/>
              </w:rPr>
              <w:t xml:space="preserve"> à une situation d'égalité parmi deux Soumissionnaires ou plus,</w:t>
            </w:r>
            <w:r w:rsidR="00253EC7">
              <w:rPr>
                <w:rFonts w:ascii="Times New Roman" w:hAnsi="Times New Roman"/>
              </w:rPr>
              <w:t xml:space="preserve"> </w:t>
            </w:r>
            <w:r>
              <w:rPr>
                <w:rFonts w:ascii="Times New Roman" w:hAnsi="Times New Roman"/>
              </w:rPr>
              <w:t xml:space="preserve">signifiant que deux soumissions ou plus auront été jugées égales, que le comité ad hoc se réunira pour ouvrir les Offres de services bancaires aux particuliers des banques à scores égaux.  </w:t>
            </w:r>
          </w:p>
          <w:p w:rsidR="000018B6" w:rsidRDefault="000018B6" w:rsidP="00C17E3A">
            <w:pPr>
              <w:pStyle w:val="ListParagraph"/>
              <w:jc w:val="both"/>
              <w:rPr>
                <w:rFonts w:ascii="Times New Roman" w:hAnsi="Times New Roman" w:cs="Times New Roman"/>
              </w:rPr>
            </w:pP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Le comité d'évaluation examine et compare les Offres de services bancaires aux particuliers des banques aux scores égaux, se penchant notamment sur l'offre de produits, la tarification et les services au client.</w:t>
            </w:r>
            <w:r w:rsidR="00253EC7">
              <w:rPr>
                <w:rFonts w:ascii="Times New Roman" w:hAnsi="Times New Roman"/>
              </w:rPr>
              <w:t xml:space="preserve"> </w:t>
            </w:r>
            <w:r>
              <w:rPr>
                <w:rFonts w:ascii="Times New Roman" w:hAnsi="Times New Roman"/>
              </w:rPr>
              <w:t>Le comité sélectio</w:t>
            </w:r>
            <w:r w:rsidR="00A82093">
              <w:rPr>
                <w:rFonts w:ascii="Times New Roman" w:hAnsi="Times New Roman"/>
              </w:rPr>
              <w:t>nne alors la banque qui aura fait preuve de</w:t>
            </w:r>
            <w:r>
              <w:rPr>
                <w:rFonts w:ascii="Times New Roman" w:hAnsi="Times New Roman"/>
              </w:rPr>
              <w:t xml:space="preserve"> capacités lui permettant de proposer les meilleurs services aux particuliers, cette banque étant déclarée gagnante parmi celles qui ont répondu à l'</w:t>
            </w:r>
            <w:r w:rsidR="00A82093">
              <w:rPr>
                <w:rFonts w:ascii="Times New Roman" w:hAnsi="Times New Roman"/>
              </w:rPr>
              <w:t>IAS</w:t>
            </w:r>
            <w:r>
              <w:rPr>
                <w:rFonts w:ascii="Times New Roman" w:hAnsi="Times New Roman"/>
              </w:rPr>
              <w:t>.</w:t>
            </w:r>
          </w:p>
          <w:p w:rsidR="000018B6" w:rsidRDefault="000018B6" w:rsidP="004B4CC6">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 xml:space="preserve">Si les étapes de la Section </w:t>
            </w:r>
            <w:r>
              <w:rPr>
                <w:rFonts w:ascii="Times New Roman" w:hAnsi="Times New Roman"/>
                <w:b/>
                <w:bCs/>
              </w:rPr>
              <w:t>8</w:t>
            </w:r>
            <w:r>
              <w:rPr>
                <w:rFonts w:ascii="Times New Roman" w:hAnsi="Times New Roman"/>
              </w:rPr>
              <w:t xml:space="preserve"> et de la Section</w:t>
            </w:r>
            <w:r>
              <w:rPr>
                <w:rFonts w:ascii="Times New Roman" w:hAnsi="Times New Roman"/>
                <w:b/>
                <w:bCs/>
              </w:rPr>
              <w:t>10</w:t>
            </w:r>
            <w:r>
              <w:rPr>
                <w:rFonts w:ascii="Times New Roman" w:hAnsi="Times New Roman"/>
              </w:rPr>
              <w:t xml:space="preserve"> dégagent une seule gagnante, le comité ad hoc se réunira pour n'examiner que l'Offre de services bancaires aux particuliers de cette banque sélectionnée.</w:t>
            </w:r>
            <w:r w:rsidR="00253EC7">
              <w:rPr>
                <w:rFonts w:ascii="Times New Roman" w:hAnsi="Times New Roman"/>
              </w:rPr>
              <w:t xml:space="preserve"> </w:t>
            </w:r>
            <w:r>
              <w:rPr>
                <w:rFonts w:ascii="Times New Roman" w:hAnsi="Times New Roman"/>
              </w:rPr>
              <w:t>Les Offres de services bancaires aux particuliers des autres banques ne seront pas ouvertes.</w:t>
            </w:r>
          </w:p>
          <w:p w:rsidR="000018B6" w:rsidRDefault="000018B6" w:rsidP="004B4CC6">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40"/>
              </w:numPr>
              <w:tabs>
                <w:tab w:val="clear" w:pos="5040"/>
                <w:tab w:val="left" w:pos="6480"/>
              </w:tabs>
              <w:jc w:val="both"/>
              <w:rPr>
                <w:rFonts w:ascii="Times New Roman" w:hAnsi="Times New Roman"/>
              </w:rPr>
            </w:pPr>
            <w:r>
              <w:rPr>
                <w:rFonts w:ascii="Times New Roman" w:hAnsi="Times New Roman"/>
              </w:rPr>
              <w:t>Les services bancaires aux particuliers proposés au personnel de l'ONU</w:t>
            </w:r>
            <w:r w:rsidR="00A82093">
              <w:rPr>
                <w:rFonts w:ascii="Times New Roman" w:hAnsi="Times New Roman"/>
              </w:rPr>
              <w:t xml:space="preserve"> doivent figurer en ANNEXE</w:t>
            </w:r>
            <w:r w:rsidR="002B1546">
              <w:rPr>
                <w:rFonts w:ascii="Times New Roman" w:hAnsi="Times New Roman"/>
              </w:rPr>
              <w:t xml:space="preserve"> à</w:t>
            </w:r>
            <w:r w:rsidR="00DD0247">
              <w:rPr>
                <w:rFonts w:ascii="Times New Roman" w:hAnsi="Times New Roman"/>
              </w:rPr>
              <w:t xml:space="preserve"> la Convention définitive</w:t>
            </w:r>
            <w:r w:rsidR="002B1546">
              <w:rPr>
                <w:rFonts w:ascii="Times New Roman" w:hAnsi="Times New Roman"/>
              </w:rPr>
              <w:t>.</w:t>
            </w:r>
          </w:p>
          <w:p w:rsidR="000018B6" w:rsidRDefault="000018B6">
            <w:pPr>
              <w:rPr>
                <w:rFonts w:ascii="Times New Roman" w:hAnsi="Times New Roman" w:cs="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Finaliser la recommandation du comité d'évaluation</w:t>
            </w:r>
          </w:p>
          <w:p w:rsidR="000018B6" w:rsidRDefault="000018B6">
            <w:pPr>
              <w:rPr>
                <w:rFonts w:ascii="Times New Roman" w:hAnsi="Times New Roman" w:cs="Times New Roman"/>
              </w:rPr>
            </w:pPr>
          </w:p>
          <w:p w:rsidR="000018B6" w:rsidRDefault="000018B6">
            <w:pPr>
              <w:pStyle w:val="BodyTextIndent2"/>
              <w:numPr>
                <w:ilvl w:val="0"/>
                <w:numId w:val="41"/>
              </w:numPr>
              <w:tabs>
                <w:tab w:val="clear" w:pos="5040"/>
                <w:tab w:val="left" w:pos="6480"/>
              </w:tabs>
              <w:jc w:val="both"/>
              <w:rPr>
                <w:rFonts w:ascii="Times New Roman" w:hAnsi="Times New Roman"/>
              </w:rPr>
            </w:pPr>
            <w:r>
              <w:rPr>
                <w:rFonts w:ascii="Times New Roman" w:hAnsi="Times New Roman"/>
              </w:rPr>
              <w:t>Le comité d'évaluation complètera et signera le rapport d'évaluation présentant une évaluation qualitative et quantitative de l'ensemble des Offres pour la recommandation définitive.</w:t>
            </w:r>
            <w:r w:rsidR="00253EC7">
              <w:rPr>
                <w:rFonts w:ascii="Times New Roman" w:hAnsi="Times New Roman"/>
              </w:rPr>
              <w:t xml:space="preserve"> </w:t>
            </w:r>
            <w:r>
              <w:rPr>
                <w:rFonts w:ascii="Times New Roman" w:hAnsi="Times New Roman"/>
              </w:rPr>
              <w:t>Joindre tous les documents à l'appui de la recommandation, soit :</w:t>
            </w:r>
          </w:p>
          <w:p w:rsidR="000018B6" w:rsidRDefault="000018B6" w:rsidP="00DC550E">
            <w:pPr>
              <w:pStyle w:val="BodyTextIndent2"/>
              <w:tabs>
                <w:tab w:val="clear" w:pos="5040"/>
                <w:tab w:val="left" w:pos="6480"/>
              </w:tabs>
              <w:ind w:left="1800" w:firstLine="0"/>
              <w:jc w:val="both"/>
              <w:rPr>
                <w:rFonts w:ascii="Times New Roman" w:hAnsi="Times New Roman"/>
              </w:rPr>
            </w:pPr>
          </w:p>
          <w:p w:rsidR="000018B6" w:rsidRDefault="000018B6">
            <w:pPr>
              <w:pStyle w:val="ListParagraph"/>
              <w:numPr>
                <w:ilvl w:val="0"/>
                <w:numId w:val="42"/>
              </w:numPr>
              <w:jc w:val="both"/>
              <w:rPr>
                <w:rFonts w:ascii="Times New Roman" w:hAnsi="Times New Roman" w:cs="Times New Roman"/>
              </w:rPr>
            </w:pPr>
            <w:r>
              <w:rPr>
                <w:rFonts w:ascii="Times New Roman" w:hAnsi="Times New Roman" w:cs="Times New Roman"/>
              </w:rPr>
              <w:t xml:space="preserve">Tableaux des scores des Offres techniques et </w:t>
            </w:r>
            <w:r w:rsidR="00253EC7">
              <w:rPr>
                <w:rFonts w:ascii="Times New Roman" w:hAnsi="Times New Roman" w:cs="Times New Roman"/>
              </w:rPr>
              <w:t>financières</w:t>
            </w:r>
          </w:p>
          <w:p w:rsidR="000018B6" w:rsidRDefault="000018B6">
            <w:pPr>
              <w:pStyle w:val="ListParagraph"/>
              <w:numPr>
                <w:ilvl w:val="0"/>
                <w:numId w:val="42"/>
              </w:numPr>
              <w:jc w:val="both"/>
              <w:rPr>
                <w:rFonts w:ascii="Times New Roman" w:hAnsi="Times New Roman" w:cs="Times New Roman"/>
              </w:rPr>
            </w:pPr>
            <w:r>
              <w:rPr>
                <w:rFonts w:ascii="Times New Roman" w:hAnsi="Times New Roman" w:cs="Times New Roman"/>
              </w:rPr>
              <w:t>Journal de distribution de l'</w:t>
            </w:r>
            <w:r w:rsidR="00A82093">
              <w:rPr>
                <w:rFonts w:ascii="Times New Roman" w:hAnsi="Times New Roman" w:cs="Times New Roman"/>
              </w:rPr>
              <w:t>IAS</w:t>
            </w:r>
            <w:r>
              <w:rPr>
                <w:rFonts w:ascii="Times New Roman" w:hAnsi="Times New Roman" w:cs="Times New Roman"/>
              </w:rPr>
              <w:t xml:space="preserve"> et de réception des Offres</w:t>
            </w:r>
          </w:p>
          <w:p w:rsidR="000018B6" w:rsidRDefault="000018B6">
            <w:pPr>
              <w:pStyle w:val="ListParagraph"/>
              <w:numPr>
                <w:ilvl w:val="0"/>
                <w:numId w:val="42"/>
              </w:numPr>
              <w:jc w:val="both"/>
              <w:rPr>
                <w:rFonts w:ascii="Times New Roman" w:hAnsi="Times New Roman" w:cs="Times New Roman"/>
              </w:rPr>
            </w:pPr>
            <w:r>
              <w:rPr>
                <w:rFonts w:ascii="Times New Roman" w:hAnsi="Times New Roman" w:cs="Times New Roman"/>
              </w:rPr>
              <w:t>Dossier d'ouverture des Offres</w:t>
            </w:r>
          </w:p>
          <w:p w:rsidR="000018B6" w:rsidRDefault="000018B6">
            <w:pPr>
              <w:pStyle w:val="ListParagraph"/>
              <w:numPr>
                <w:ilvl w:val="0"/>
                <w:numId w:val="42"/>
              </w:numPr>
              <w:jc w:val="both"/>
              <w:rPr>
                <w:rFonts w:ascii="Times New Roman" w:hAnsi="Times New Roman" w:cs="Times New Roman"/>
              </w:rPr>
            </w:pPr>
            <w:r>
              <w:rPr>
                <w:rFonts w:ascii="Times New Roman" w:hAnsi="Times New Roman" w:cs="Times New Roman"/>
              </w:rPr>
              <w:t>Formulaire de déclaration d'impartialité</w:t>
            </w:r>
          </w:p>
          <w:p w:rsidR="000018B6" w:rsidRDefault="000018B6">
            <w:pPr>
              <w:ind w:left="1980"/>
              <w:jc w:val="both"/>
              <w:rPr>
                <w:rFonts w:ascii="Times New Roman" w:hAnsi="Times New Roman" w:cs="Times New Roman"/>
              </w:rPr>
            </w:pPr>
          </w:p>
          <w:p w:rsidR="000018B6" w:rsidRDefault="000018B6">
            <w:pPr>
              <w:pStyle w:val="BodyTextIndent2"/>
              <w:numPr>
                <w:ilvl w:val="0"/>
                <w:numId w:val="41"/>
              </w:numPr>
              <w:tabs>
                <w:tab w:val="clear" w:pos="5040"/>
                <w:tab w:val="left" w:pos="6480"/>
              </w:tabs>
              <w:jc w:val="both"/>
              <w:rPr>
                <w:rFonts w:ascii="Times New Roman" w:hAnsi="Times New Roman"/>
              </w:rPr>
            </w:pPr>
            <w:r>
              <w:rPr>
                <w:rFonts w:ascii="Times New Roman" w:hAnsi="Times New Roman"/>
              </w:rPr>
              <w:t xml:space="preserve">Le responsable des acquisitions (CAP) du bureau de pays examine le rapport d'évaluation ainsi que les documents d'appui pour s'assurer que les procédures et directives d'acquisition touchant aux </w:t>
            </w:r>
            <w:r w:rsidR="00A82093">
              <w:rPr>
                <w:rFonts w:ascii="Times New Roman" w:hAnsi="Times New Roman"/>
              </w:rPr>
              <w:t>Invitation</w:t>
            </w:r>
            <w:r>
              <w:rPr>
                <w:rFonts w:ascii="Times New Roman" w:hAnsi="Times New Roman"/>
              </w:rPr>
              <w:t>s à soumissionner pour services bancaires ont été suivies et que la banque gagnante est celle qui proposera le meilleure rapport qualité/prix.</w:t>
            </w:r>
          </w:p>
          <w:p w:rsidR="000018B6" w:rsidRDefault="000018B6" w:rsidP="00720963">
            <w:pPr>
              <w:pStyle w:val="BodyTextIndent2"/>
              <w:tabs>
                <w:tab w:val="clear" w:pos="5040"/>
                <w:tab w:val="left" w:pos="6480"/>
              </w:tabs>
              <w:ind w:left="1800" w:firstLine="0"/>
              <w:jc w:val="both"/>
              <w:rPr>
                <w:rFonts w:ascii="Times New Roman" w:hAnsi="Times New Roman"/>
              </w:rPr>
            </w:pPr>
          </w:p>
          <w:p w:rsidR="000018B6" w:rsidRDefault="000018B6">
            <w:pPr>
              <w:pStyle w:val="BodyTextIndent2"/>
              <w:numPr>
                <w:ilvl w:val="0"/>
                <w:numId w:val="41"/>
              </w:numPr>
              <w:tabs>
                <w:tab w:val="clear" w:pos="5040"/>
                <w:tab w:val="left" w:pos="6480"/>
              </w:tabs>
              <w:jc w:val="both"/>
              <w:rPr>
                <w:rFonts w:ascii="Times New Roman" w:hAnsi="Times New Roman"/>
              </w:rPr>
            </w:pPr>
            <w:r>
              <w:rPr>
                <w:rFonts w:ascii="Times New Roman" w:hAnsi="Times New Roman"/>
              </w:rPr>
              <w:t xml:space="preserve">Le CAP avalise la recommandation du comité d'évaluation et soumet son </w:t>
            </w:r>
            <w:r>
              <w:rPr>
                <w:rFonts w:ascii="Times New Roman" w:hAnsi="Times New Roman"/>
              </w:rPr>
              <w:lastRenderedPageBreak/>
              <w:t>procès-verbal et toute la documentation au RR ou au chef de bureau.</w:t>
            </w:r>
          </w:p>
          <w:p w:rsidR="000018B6" w:rsidRDefault="000018B6" w:rsidP="00720963">
            <w:pPr>
              <w:pStyle w:val="BodyTextIndent2"/>
              <w:tabs>
                <w:tab w:val="clear" w:pos="5040"/>
                <w:tab w:val="left" w:pos="6480"/>
              </w:tabs>
              <w:ind w:left="1800" w:firstLine="0"/>
              <w:jc w:val="both"/>
              <w:rPr>
                <w:rFonts w:ascii="Times New Roman" w:hAnsi="Times New Roman"/>
              </w:rPr>
            </w:pPr>
          </w:p>
          <w:p w:rsidR="000018B6" w:rsidRDefault="000018B6">
            <w:pPr>
              <w:pStyle w:val="BodyTextIndent2"/>
              <w:numPr>
                <w:ilvl w:val="0"/>
                <w:numId w:val="41"/>
              </w:numPr>
              <w:tabs>
                <w:tab w:val="clear" w:pos="5040"/>
                <w:tab w:val="left" w:pos="6480"/>
              </w:tabs>
              <w:jc w:val="both"/>
              <w:rPr>
                <w:rFonts w:ascii="Times New Roman" w:hAnsi="Times New Roman"/>
              </w:rPr>
            </w:pPr>
            <w:r>
              <w:rPr>
                <w:rFonts w:ascii="Times New Roman" w:hAnsi="Times New Roman"/>
              </w:rPr>
              <w:t>Le RR ou le chef de bureau avalise la recommandation à titre définitif et soumet les documents au Trésorier.</w:t>
            </w:r>
            <w:r w:rsidR="00253EC7">
              <w:rPr>
                <w:rFonts w:ascii="Times New Roman" w:hAnsi="Times New Roman"/>
              </w:rPr>
              <w:t xml:space="preserve"> </w:t>
            </w:r>
            <w:r>
              <w:rPr>
                <w:rFonts w:ascii="Times New Roman" w:hAnsi="Times New Roman"/>
              </w:rPr>
              <w:t>Les documents doivent comprendre :</w:t>
            </w:r>
          </w:p>
          <w:p w:rsidR="000018B6" w:rsidRDefault="000018B6" w:rsidP="00DC550E">
            <w:pPr>
              <w:pStyle w:val="ListParagraph"/>
              <w:rPr>
                <w:rFonts w:ascii="Times New Roman" w:hAnsi="Times New Roman" w:cs="Times New Roman"/>
              </w:rPr>
            </w:pPr>
          </w:p>
          <w:p w:rsidR="000018B6" w:rsidRDefault="000018B6">
            <w:pPr>
              <w:pStyle w:val="ListParagraph"/>
              <w:numPr>
                <w:ilvl w:val="0"/>
                <w:numId w:val="43"/>
              </w:numPr>
              <w:jc w:val="both"/>
              <w:rPr>
                <w:rFonts w:ascii="Times New Roman" w:hAnsi="Times New Roman" w:cs="Times New Roman"/>
              </w:rPr>
            </w:pPr>
            <w:r>
              <w:rPr>
                <w:rFonts w:ascii="Times New Roman" w:hAnsi="Times New Roman" w:cs="Times New Roman"/>
              </w:rPr>
              <w:t>Toutes les offres soumises par les banques</w:t>
            </w:r>
          </w:p>
          <w:p w:rsidR="000018B6" w:rsidRDefault="000018B6">
            <w:pPr>
              <w:pStyle w:val="ListParagraph"/>
              <w:numPr>
                <w:ilvl w:val="0"/>
                <w:numId w:val="43"/>
              </w:numPr>
              <w:jc w:val="both"/>
              <w:rPr>
                <w:rFonts w:ascii="Times New Roman" w:hAnsi="Times New Roman" w:cs="Times New Roman"/>
              </w:rPr>
            </w:pPr>
            <w:r>
              <w:rPr>
                <w:rFonts w:ascii="Times New Roman" w:hAnsi="Times New Roman" w:cs="Times New Roman"/>
              </w:rPr>
              <w:t>Le rapport d'évaluation signé accompagné des documents justificatifs</w:t>
            </w:r>
          </w:p>
          <w:p w:rsidR="000018B6" w:rsidRDefault="000018B6">
            <w:pPr>
              <w:pStyle w:val="ListParagraph"/>
              <w:numPr>
                <w:ilvl w:val="0"/>
                <w:numId w:val="43"/>
              </w:numPr>
              <w:jc w:val="both"/>
              <w:rPr>
                <w:rFonts w:ascii="Times New Roman" w:hAnsi="Times New Roman" w:cs="Times New Roman"/>
              </w:rPr>
            </w:pPr>
            <w:r>
              <w:rPr>
                <w:rFonts w:ascii="Times New Roman" w:hAnsi="Times New Roman" w:cs="Times New Roman"/>
              </w:rPr>
              <w:t>Le procès-verbal du CAP</w:t>
            </w:r>
          </w:p>
          <w:p w:rsidR="000018B6" w:rsidRDefault="000018B6">
            <w:pPr>
              <w:pStyle w:val="ListParagraph"/>
              <w:numPr>
                <w:ilvl w:val="0"/>
                <w:numId w:val="43"/>
              </w:numPr>
              <w:jc w:val="both"/>
              <w:rPr>
                <w:rFonts w:ascii="Times New Roman" w:hAnsi="Times New Roman" w:cs="Times New Roman"/>
              </w:rPr>
            </w:pPr>
            <w:r>
              <w:rPr>
                <w:rFonts w:ascii="Times New Roman" w:hAnsi="Times New Roman" w:cs="Times New Roman"/>
              </w:rPr>
              <w:t xml:space="preserve">L'aval du RR ou du chef de bureau </w:t>
            </w:r>
          </w:p>
          <w:p w:rsidR="000018B6" w:rsidRDefault="000018B6">
            <w:pPr>
              <w:pStyle w:val="ListParagraph"/>
              <w:ind w:left="975"/>
              <w:rPr>
                <w:rFonts w:ascii="Times New Roman" w:hAnsi="Times New Roman" w:cs="Times New Roman"/>
              </w:rPr>
            </w:pPr>
          </w:p>
        </w:tc>
      </w:tr>
      <w:tr w:rsidR="000018B6">
        <w:trPr>
          <w:trHeight w:val="162"/>
        </w:trPr>
        <w:tc>
          <w:tcPr>
            <w:tcW w:w="695" w:type="dxa"/>
          </w:tcPr>
          <w:p w:rsidR="000018B6" w:rsidRDefault="000018B6" w:rsidP="00AC52FE">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 Décision du Trésorier</w:t>
            </w:r>
          </w:p>
          <w:p w:rsidR="000018B6" w:rsidRDefault="000018B6" w:rsidP="00FE6029">
            <w:pPr>
              <w:pStyle w:val="BodyTextIndent2"/>
              <w:tabs>
                <w:tab w:val="clear" w:pos="5040"/>
                <w:tab w:val="left" w:pos="6480"/>
              </w:tabs>
              <w:ind w:left="1296" w:firstLine="0"/>
              <w:jc w:val="both"/>
              <w:rPr>
                <w:rFonts w:ascii="Times New Roman" w:hAnsi="Times New Roman"/>
              </w:rPr>
            </w:pPr>
          </w:p>
          <w:p w:rsidR="000018B6" w:rsidRDefault="000018B6" w:rsidP="002F6B1E">
            <w:pPr>
              <w:pStyle w:val="BodyTextIndent2"/>
              <w:numPr>
                <w:ilvl w:val="0"/>
                <w:numId w:val="44"/>
              </w:numPr>
              <w:tabs>
                <w:tab w:val="clear" w:pos="5040"/>
                <w:tab w:val="left" w:pos="6480"/>
              </w:tabs>
              <w:jc w:val="both"/>
              <w:rPr>
                <w:rFonts w:ascii="Times New Roman" w:hAnsi="Times New Roman"/>
              </w:rPr>
            </w:pPr>
            <w:r>
              <w:rPr>
                <w:rFonts w:ascii="Times New Roman" w:hAnsi="Times New Roman"/>
              </w:rPr>
              <w:t>Le Trésorier approuve la recommandation à partir d'un examen du rapport d'évaluation, du procès-verbal du CAP et de l'aval du RR. Si la présentation de ces pièces est incomplète ou non conforme aux procédures et directives, il est possible qu'elles soient rejetées ou que la décision d'agrément soit retardée.</w:t>
            </w:r>
          </w:p>
          <w:p w:rsidR="000018B6" w:rsidRDefault="000018B6" w:rsidP="00AB10A3">
            <w:pPr>
              <w:pStyle w:val="BodyTextIndent2"/>
              <w:tabs>
                <w:tab w:val="clear" w:pos="5040"/>
                <w:tab w:val="left" w:pos="6480"/>
              </w:tabs>
              <w:jc w:val="both"/>
              <w:rPr>
                <w:rFonts w:ascii="Times New Roman" w:hAnsi="Times New Roman"/>
              </w:rPr>
            </w:pP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0018B6">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Finalisation du texte et signature de la Convention</w:t>
            </w:r>
          </w:p>
          <w:p w:rsidR="000018B6" w:rsidRDefault="000018B6">
            <w:pPr>
              <w:ind w:left="252"/>
              <w:rPr>
                <w:rFonts w:ascii="Times New Roman" w:hAnsi="Times New Roman" w:cs="Times New Roman"/>
              </w:rPr>
            </w:pPr>
          </w:p>
          <w:p w:rsidR="000018B6" w:rsidRDefault="000018B6">
            <w:pPr>
              <w:pStyle w:val="BodyTextIndent2"/>
              <w:numPr>
                <w:ilvl w:val="0"/>
                <w:numId w:val="46"/>
              </w:numPr>
              <w:tabs>
                <w:tab w:val="clear" w:pos="5040"/>
                <w:tab w:val="left" w:pos="6480"/>
              </w:tabs>
              <w:jc w:val="both"/>
              <w:rPr>
                <w:rFonts w:ascii="Times New Roman" w:hAnsi="Times New Roman"/>
              </w:rPr>
            </w:pPr>
            <w:r>
              <w:rPr>
                <w:rFonts w:ascii="Times New Roman" w:hAnsi="Times New Roman"/>
              </w:rPr>
              <w:t>Le Trésorier signe la délégation d'autorité au RR ou au chef de bureau de pays pour qu'il signe la Convention.</w:t>
            </w:r>
          </w:p>
          <w:p w:rsidR="000018B6" w:rsidRDefault="000018B6">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46"/>
              </w:numPr>
              <w:tabs>
                <w:tab w:val="clear" w:pos="5040"/>
                <w:tab w:val="left" w:pos="6480"/>
              </w:tabs>
              <w:jc w:val="both"/>
              <w:rPr>
                <w:rFonts w:ascii="Times New Roman" w:hAnsi="Times New Roman"/>
              </w:rPr>
            </w:pPr>
            <w:r>
              <w:rPr>
                <w:rFonts w:ascii="Times New Roman" w:hAnsi="Times New Roman"/>
              </w:rPr>
              <w:t>Toute modification à la Convention devra recevoir le feu vert du Bureau d'appui juridique (LSO) préalablement à son approbation par le Trésorier.</w:t>
            </w:r>
          </w:p>
          <w:p w:rsidR="000018B6" w:rsidRDefault="000018B6" w:rsidP="00A14663">
            <w:pPr>
              <w:pStyle w:val="ListParagraph"/>
              <w:rPr>
                <w:rFonts w:ascii="Times New Roman" w:hAnsi="Times New Roman" w:cs="Times New Roman"/>
              </w:rPr>
            </w:pPr>
          </w:p>
          <w:p w:rsidR="000018B6" w:rsidRDefault="000018B6">
            <w:pPr>
              <w:pStyle w:val="BodyTextIndent2"/>
              <w:numPr>
                <w:ilvl w:val="0"/>
                <w:numId w:val="46"/>
              </w:numPr>
              <w:tabs>
                <w:tab w:val="clear" w:pos="5040"/>
                <w:tab w:val="left" w:pos="6480"/>
              </w:tabs>
              <w:jc w:val="both"/>
              <w:rPr>
                <w:rFonts w:ascii="Times New Roman" w:hAnsi="Times New Roman"/>
              </w:rPr>
            </w:pPr>
            <w:r>
              <w:rPr>
                <w:rFonts w:ascii="Times New Roman" w:hAnsi="Times New Roman"/>
              </w:rPr>
              <w:t xml:space="preserve">Le terme initial de la Convention est de cinq ans, le PNUD ayant alors l'option de la reconduire de 5 ans pour autant que le réexamen annuel des services de la banque à entreprendre par le bureau de pays ait donné des résultats satisfaisants (voir la carte de pointage bancaire qui sera publiée dans la section des POPP consacrée à la gestion des relations avec les banques) </w:t>
            </w:r>
          </w:p>
          <w:p w:rsidR="000018B6" w:rsidRDefault="000018B6">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46"/>
              </w:numPr>
              <w:tabs>
                <w:tab w:val="clear" w:pos="5040"/>
                <w:tab w:val="left" w:pos="6480"/>
              </w:tabs>
              <w:jc w:val="both"/>
              <w:rPr>
                <w:rFonts w:ascii="Times New Roman" w:hAnsi="Times New Roman"/>
              </w:rPr>
            </w:pPr>
            <w:r>
              <w:rPr>
                <w:rFonts w:ascii="Times New Roman" w:hAnsi="Times New Roman"/>
              </w:rPr>
              <w:t>La Convention définitive comprendra :</w:t>
            </w:r>
          </w:p>
          <w:p w:rsidR="000018B6" w:rsidRDefault="000018B6">
            <w:pPr>
              <w:pStyle w:val="ListParagraph"/>
              <w:numPr>
                <w:ilvl w:val="0"/>
                <w:numId w:val="45"/>
              </w:numPr>
              <w:jc w:val="both"/>
              <w:rPr>
                <w:rFonts w:ascii="Times New Roman" w:hAnsi="Times New Roman" w:cs="Times New Roman"/>
              </w:rPr>
            </w:pPr>
            <w:r>
              <w:rPr>
                <w:rFonts w:ascii="Times New Roman" w:hAnsi="Times New Roman" w:cs="Times New Roman"/>
              </w:rPr>
              <w:t>La désignation d'une personne de contact p</w:t>
            </w:r>
            <w:r w:rsidR="00AD1196">
              <w:rPr>
                <w:rFonts w:ascii="Times New Roman" w:hAnsi="Times New Roman" w:cs="Times New Roman"/>
              </w:rPr>
              <w:t xml:space="preserve">our les relations avec le PNUD </w:t>
            </w:r>
            <w:r>
              <w:rPr>
                <w:rFonts w:ascii="Times New Roman" w:hAnsi="Times New Roman" w:cs="Times New Roman"/>
              </w:rPr>
              <w:t xml:space="preserve"> et d'une personne de contact pour les services courants</w:t>
            </w:r>
          </w:p>
          <w:p w:rsidR="000018B6" w:rsidRDefault="000018B6">
            <w:pPr>
              <w:pStyle w:val="ListParagraph"/>
              <w:numPr>
                <w:ilvl w:val="0"/>
                <w:numId w:val="45"/>
              </w:numPr>
              <w:jc w:val="both"/>
              <w:rPr>
                <w:rFonts w:ascii="Times New Roman" w:hAnsi="Times New Roman" w:cs="Times New Roman"/>
              </w:rPr>
            </w:pPr>
            <w:r>
              <w:rPr>
                <w:rFonts w:ascii="Times New Roman" w:hAnsi="Times New Roman" w:cs="Times New Roman"/>
              </w:rPr>
              <w:t xml:space="preserve">Un tableau des prestations </w:t>
            </w:r>
          </w:p>
          <w:p w:rsidR="000018B6" w:rsidRDefault="000018B6">
            <w:pPr>
              <w:pStyle w:val="ListParagraph"/>
              <w:numPr>
                <w:ilvl w:val="0"/>
                <w:numId w:val="45"/>
              </w:numPr>
              <w:jc w:val="both"/>
              <w:rPr>
                <w:rFonts w:ascii="Times New Roman" w:hAnsi="Times New Roman" w:cs="Times New Roman"/>
              </w:rPr>
            </w:pPr>
            <w:r>
              <w:rPr>
                <w:rFonts w:ascii="Times New Roman" w:hAnsi="Times New Roman" w:cs="Times New Roman"/>
              </w:rPr>
              <w:t xml:space="preserve">Un tableau des disponibilités </w:t>
            </w:r>
            <w:r w:rsidR="006F5904">
              <w:rPr>
                <w:rFonts w:ascii="Times New Roman" w:hAnsi="Times New Roman" w:cs="Times New Roman"/>
              </w:rPr>
              <w:t>à l’encaissement</w:t>
            </w:r>
          </w:p>
          <w:p w:rsidR="000018B6" w:rsidRDefault="000018B6">
            <w:pPr>
              <w:pStyle w:val="ListParagraph"/>
              <w:numPr>
                <w:ilvl w:val="0"/>
                <w:numId w:val="45"/>
              </w:numPr>
              <w:jc w:val="both"/>
              <w:rPr>
                <w:rFonts w:ascii="Times New Roman" w:hAnsi="Times New Roman" w:cs="Times New Roman"/>
              </w:rPr>
            </w:pPr>
            <w:r>
              <w:rPr>
                <w:rFonts w:ascii="Times New Roman" w:hAnsi="Times New Roman" w:cs="Times New Roman"/>
              </w:rPr>
              <w:t xml:space="preserve">Un tableau des tarifs </w:t>
            </w:r>
          </w:p>
          <w:p w:rsidR="000018B6" w:rsidRDefault="000018B6">
            <w:pPr>
              <w:pStyle w:val="ListParagraph"/>
              <w:numPr>
                <w:ilvl w:val="0"/>
                <w:numId w:val="45"/>
              </w:numPr>
              <w:jc w:val="both"/>
              <w:rPr>
                <w:rFonts w:ascii="Times New Roman" w:hAnsi="Times New Roman" w:cs="Times New Roman"/>
              </w:rPr>
            </w:pPr>
            <w:r>
              <w:rPr>
                <w:rFonts w:ascii="Times New Roman" w:hAnsi="Times New Roman" w:cs="Times New Roman"/>
              </w:rPr>
              <w:t>Une Annexe portant sur les services bancaires aux particuliers</w:t>
            </w:r>
          </w:p>
          <w:p w:rsidR="000018B6" w:rsidRDefault="000018B6">
            <w:pPr>
              <w:rPr>
                <w:rFonts w:ascii="Times New Roman" w:hAnsi="Times New Roman" w:cs="Times New Roman"/>
              </w:rPr>
            </w:pPr>
          </w:p>
          <w:p w:rsidR="000018B6" w:rsidRDefault="000018B6">
            <w:pPr>
              <w:pStyle w:val="BodyTextIndent2"/>
              <w:numPr>
                <w:ilvl w:val="0"/>
                <w:numId w:val="46"/>
              </w:numPr>
              <w:tabs>
                <w:tab w:val="clear" w:pos="5040"/>
                <w:tab w:val="left" w:pos="6480"/>
              </w:tabs>
              <w:rPr>
                <w:rFonts w:ascii="Times New Roman" w:hAnsi="Times New Roman"/>
              </w:rPr>
            </w:pPr>
            <w:r>
              <w:rPr>
                <w:rFonts w:ascii="Times New Roman" w:hAnsi="Times New Roman"/>
              </w:rPr>
              <w:t>Un exemplaire de la délégation d'autorité acceptée par le RR ou le chef de bureau, ainsi que l'exemplaire signé de la Convention [</w:t>
            </w:r>
            <w:r>
              <w:rPr>
                <w:rFonts w:ascii="Times New Roman" w:hAnsi="Times New Roman"/>
                <w:i/>
                <w:iCs/>
                <w:color w:val="FF0000"/>
              </w:rPr>
              <w:t>signé par le PNUD et la banque sélectionnée</w:t>
            </w:r>
            <w:r>
              <w:rPr>
                <w:rFonts w:ascii="Times New Roman" w:hAnsi="Times New Roman"/>
              </w:rPr>
              <w:t>] seront envoyés au Trésorier pour archivage.</w:t>
            </w:r>
            <w:r>
              <w:rPr>
                <w:rFonts w:ascii="Times New Roman" w:hAnsi="Times New Roman"/>
              </w:rPr>
              <w:br/>
            </w:r>
          </w:p>
        </w:tc>
      </w:tr>
      <w:tr w:rsidR="000018B6">
        <w:trPr>
          <w:trHeight w:val="162"/>
        </w:trPr>
        <w:tc>
          <w:tcPr>
            <w:tcW w:w="695" w:type="dxa"/>
          </w:tcPr>
          <w:p w:rsidR="000018B6" w:rsidRDefault="000018B6">
            <w:pPr>
              <w:jc w:val="right"/>
              <w:rPr>
                <w:rFonts w:ascii="Times New Roman" w:hAnsi="Times New Roman" w:cs="Times New Roman"/>
              </w:rPr>
            </w:pPr>
          </w:p>
        </w:tc>
        <w:tc>
          <w:tcPr>
            <w:tcW w:w="9496" w:type="dxa"/>
          </w:tcPr>
          <w:p w:rsidR="000018B6" w:rsidRDefault="00C322B7">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Mise en œuvre de </w:t>
            </w:r>
            <w:r w:rsidR="000018B6">
              <w:rPr>
                <w:rFonts w:ascii="Times New Roman" w:hAnsi="Times New Roman" w:cs="Times New Roman"/>
                <w:b/>
                <w:bCs/>
                <w:u w:val="single"/>
              </w:rPr>
              <w:t xml:space="preserve">la Convention </w:t>
            </w:r>
          </w:p>
          <w:p w:rsidR="000018B6" w:rsidRDefault="000018B6" w:rsidP="00A31106">
            <w:pPr>
              <w:ind w:left="252"/>
              <w:rPr>
                <w:rFonts w:ascii="Times New Roman" w:hAnsi="Times New Roman" w:cs="Times New Roman"/>
              </w:rPr>
            </w:pPr>
          </w:p>
          <w:p w:rsidR="000018B6" w:rsidRDefault="000018B6">
            <w:pPr>
              <w:pStyle w:val="BodyTextIndent2"/>
              <w:numPr>
                <w:ilvl w:val="0"/>
                <w:numId w:val="47"/>
              </w:numPr>
              <w:tabs>
                <w:tab w:val="clear" w:pos="5040"/>
                <w:tab w:val="left" w:pos="6480"/>
              </w:tabs>
              <w:jc w:val="both"/>
              <w:rPr>
                <w:rFonts w:ascii="Times New Roman" w:hAnsi="Times New Roman"/>
              </w:rPr>
            </w:pPr>
            <w:r>
              <w:rPr>
                <w:rFonts w:ascii="Times New Roman" w:hAnsi="Times New Roman"/>
              </w:rPr>
              <w:lastRenderedPageBreak/>
              <w:t xml:space="preserve">Si la banque sélectionnée est le prestataire de services existant, la </w:t>
            </w:r>
            <w:r w:rsidR="00C322B7">
              <w:rPr>
                <w:rFonts w:ascii="Times New Roman" w:hAnsi="Times New Roman"/>
              </w:rPr>
              <w:t xml:space="preserve">nouvelle </w:t>
            </w:r>
            <w:r>
              <w:rPr>
                <w:rFonts w:ascii="Times New Roman" w:hAnsi="Times New Roman"/>
              </w:rPr>
              <w:t xml:space="preserve">Convention </w:t>
            </w:r>
            <w:r w:rsidR="00C322B7">
              <w:rPr>
                <w:rFonts w:ascii="Times New Roman" w:hAnsi="Times New Roman"/>
              </w:rPr>
              <w:t xml:space="preserve"> doit quand même s’appliquer.</w:t>
            </w:r>
            <w:r>
              <w:rPr>
                <w:rFonts w:ascii="Times New Roman" w:hAnsi="Times New Roman"/>
              </w:rPr>
              <w:t>.</w:t>
            </w:r>
          </w:p>
          <w:p w:rsidR="000018B6" w:rsidRDefault="000018B6" w:rsidP="003755A0">
            <w:pPr>
              <w:pStyle w:val="BodyTextIndent2"/>
              <w:tabs>
                <w:tab w:val="clear" w:pos="5040"/>
                <w:tab w:val="left" w:pos="6480"/>
              </w:tabs>
              <w:ind w:left="1296" w:firstLine="0"/>
              <w:jc w:val="both"/>
              <w:rPr>
                <w:rFonts w:ascii="Times New Roman" w:hAnsi="Times New Roman"/>
              </w:rPr>
            </w:pPr>
          </w:p>
          <w:p w:rsidR="000018B6" w:rsidRDefault="000018B6">
            <w:pPr>
              <w:pStyle w:val="BodyTextIndent2"/>
              <w:numPr>
                <w:ilvl w:val="0"/>
                <w:numId w:val="47"/>
              </w:numPr>
              <w:tabs>
                <w:tab w:val="clear" w:pos="5040"/>
                <w:tab w:val="left" w:pos="6480"/>
              </w:tabs>
              <w:jc w:val="both"/>
              <w:rPr>
                <w:rFonts w:ascii="Times New Roman" w:hAnsi="Times New Roman"/>
              </w:rPr>
            </w:pPr>
            <w:r>
              <w:rPr>
                <w:rFonts w:ascii="Times New Roman" w:hAnsi="Times New Roman"/>
              </w:rPr>
              <w:t xml:space="preserve">Si la banque sélectionnée est un nouveau prestataire de services, </w:t>
            </w:r>
            <w:r w:rsidR="00C322B7">
              <w:rPr>
                <w:rFonts w:ascii="Times New Roman" w:hAnsi="Times New Roman"/>
              </w:rPr>
              <w:t xml:space="preserve">la </w:t>
            </w:r>
            <w:r>
              <w:rPr>
                <w:rFonts w:ascii="Times New Roman" w:hAnsi="Times New Roman"/>
              </w:rPr>
              <w:t>Trésor</w:t>
            </w:r>
            <w:r w:rsidR="00C322B7">
              <w:rPr>
                <w:rFonts w:ascii="Times New Roman" w:hAnsi="Times New Roman"/>
              </w:rPr>
              <w:t>erie</w:t>
            </w:r>
            <w:r>
              <w:rPr>
                <w:rFonts w:ascii="Times New Roman" w:hAnsi="Times New Roman"/>
              </w:rPr>
              <w:t xml:space="preserve"> se concertera avec le bureau de pays pour amorcer la mise en œuvre, procédant aux étapes suivantes :</w:t>
            </w:r>
          </w:p>
          <w:p w:rsidR="000018B6" w:rsidRDefault="000018B6" w:rsidP="009D4FD4">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3722"/>
            </w:tblGrid>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b/>
                      <w:bCs/>
                    </w:rPr>
                  </w:pPr>
                  <w:r>
                    <w:rPr>
                      <w:rFonts w:ascii="Times New Roman" w:hAnsi="Times New Roman"/>
                      <w:b/>
                      <w:bCs/>
                    </w:rPr>
                    <w:t>Étapes</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b/>
                      <w:bCs/>
                    </w:rPr>
                  </w:pPr>
                  <w:r>
                    <w:rPr>
                      <w:rFonts w:ascii="Times New Roman" w:hAnsi="Times New Roman"/>
                      <w:b/>
                      <w:bCs/>
                    </w:rPr>
                    <w:t>Parties responsables</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Préparer une lettre en vue d'ouvrir des comptes en banque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p>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Trésorier</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Paramétrer les nouveaux comptes en banque dans Atlas et dans le s</w:t>
                  </w:r>
                  <w:r w:rsidR="00AD1196">
                    <w:rPr>
                      <w:rFonts w:ascii="Times New Roman" w:hAnsi="Times New Roman"/>
                    </w:rPr>
                    <w:t>ystème d'administration bancaire du PNUD</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 xml:space="preserve">Assistant au Trésorier </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Reporting SWIFT, le cas échéant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OIST et la banque sélectionnée</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Saisir les instructions de règlement dans Atlas, y compris AP, AR, BT, Deal, selon le cas.</w:t>
                  </w:r>
                </w:p>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S'assurer que le service de paie est connecté au nouveau compte en banque et déconnecté de l'ancien</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p>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 xml:space="preserve">Spécialiste systèmes </w:t>
                  </w:r>
                  <w:r w:rsidR="00C322B7">
                    <w:rPr>
                      <w:rFonts w:ascii="Times New Roman" w:hAnsi="Times New Roman"/>
                    </w:rPr>
                    <w:t xml:space="preserve">de </w:t>
                  </w:r>
                  <w:r>
                    <w:rPr>
                      <w:rFonts w:ascii="Times New Roman" w:hAnsi="Times New Roman"/>
                    </w:rPr>
                    <w:t>Trésor</w:t>
                  </w:r>
                  <w:r w:rsidR="00C322B7">
                    <w:rPr>
                      <w:rFonts w:ascii="Times New Roman" w:hAnsi="Times New Roman"/>
                    </w:rPr>
                    <w:t>erie</w:t>
                  </w:r>
                </w:p>
                <w:p w:rsidR="000018B6" w:rsidRDefault="000018B6" w:rsidP="00FA6F07">
                  <w:pPr>
                    <w:pStyle w:val="BodyTextIndent2"/>
                    <w:tabs>
                      <w:tab w:val="clear" w:pos="5040"/>
                      <w:tab w:val="left" w:pos="6480"/>
                    </w:tabs>
                    <w:ind w:left="0" w:firstLine="0"/>
                    <w:jc w:val="both"/>
                    <w:rPr>
                      <w:rFonts w:ascii="Times New Roman" w:hAnsi="Times New Roman"/>
                    </w:rPr>
                  </w:pPr>
                </w:p>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Paie mondiale</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Interface entre Atlas et le système de la banque, le cas échéant</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OIST, Unités Finances et TIC du bureau de pays, et la banque sélectionnée</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Tester le fonctionnement des transferts électroniques de fonds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OIST, Unités Finances et TIC du bureau de pays, et la banque sélectionnée</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Convenir de la date effective d'utilisation des nouveaux comptes en banque et de clôture des anciens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Gestion de trésorerie de bureau de pays au Siège et unité Finances au bureau de pays</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Effectuer le rapprochement total des anciens comptes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Unité Finances du bureau de pays</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Préparer la lettre en vue de la clôture des anciens comptes en banque 90 jours après la date effective des nouveaux comptes </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p>
                <w:p w:rsidR="000018B6" w:rsidRDefault="000018B6" w:rsidP="00FA6F07">
                  <w:pPr>
                    <w:pStyle w:val="BodyTextIndent2"/>
                    <w:tabs>
                      <w:tab w:val="clear" w:pos="5040"/>
                      <w:tab w:val="left" w:pos="6480"/>
                    </w:tabs>
                    <w:ind w:left="0" w:firstLine="0"/>
                    <w:jc w:val="both"/>
                    <w:rPr>
                      <w:rFonts w:ascii="Times New Roman" w:hAnsi="Times New Roman"/>
                    </w:rPr>
                  </w:pPr>
                  <w:r>
                    <w:rPr>
                      <w:rFonts w:ascii="Times New Roman" w:hAnsi="Times New Roman"/>
                    </w:rPr>
                    <w:t>Gestion de trésorerie de bureau de pays au Siège, unité Finances du bureau de pays, et Assistant au Trésor</w:t>
                  </w:r>
                </w:p>
              </w:tc>
            </w:tr>
            <w:tr w:rsidR="000018B6">
              <w:tc>
                <w:tcPr>
                  <w:tcW w:w="3748"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Mettre le statut des comptes en banque clôturés sur Inactif dans Atlas</w:t>
                  </w:r>
                </w:p>
              </w:tc>
              <w:tc>
                <w:tcPr>
                  <w:tcW w:w="3722" w:type="dxa"/>
                  <w:tcBorders>
                    <w:top w:val="single" w:sz="4" w:space="0" w:color="auto"/>
                    <w:left w:val="single" w:sz="4" w:space="0" w:color="auto"/>
                    <w:bottom w:val="single" w:sz="4" w:space="0" w:color="auto"/>
                    <w:right w:val="single" w:sz="4" w:space="0" w:color="auto"/>
                  </w:tcBorders>
                </w:tcPr>
                <w:p w:rsidR="000018B6" w:rsidRDefault="000018B6" w:rsidP="00FA6F07">
                  <w:pPr>
                    <w:pStyle w:val="BodyTextIndent2"/>
                    <w:tabs>
                      <w:tab w:val="clear" w:pos="5040"/>
                      <w:tab w:val="left" w:pos="6480"/>
                    </w:tabs>
                    <w:ind w:left="0" w:firstLine="0"/>
                    <w:jc w:val="both"/>
                    <w:rPr>
                      <w:rFonts w:ascii="Times New Roman" w:hAnsi="Times New Roman"/>
                    </w:rPr>
                  </w:pPr>
                </w:p>
                <w:p w:rsidR="000018B6" w:rsidRDefault="00ED5752" w:rsidP="00FA6F07">
                  <w:pPr>
                    <w:pStyle w:val="BodyTextIndent2"/>
                    <w:tabs>
                      <w:tab w:val="clear" w:pos="5040"/>
                      <w:tab w:val="left" w:pos="6480"/>
                    </w:tabs>
                    <w:ind w:left="0" w:firstLine="0"/>
                    <w:jc w:val="both"/>
                    <w:rPr>
                      <w:rFonts w:ascii="Times New Roman" w:hAnsi="Times New Roman"/>
                    </w:rPr>
                  </w:pPr>
                  <w:r>
                    <w:rPr>
                      <w:rFonts w:ascii="Times New Roman" w:hAnsi="Times New Roman"/>
                    </w:rPr>
                    <w:t>Spécialiste systèmes a</w:t>
                  </w:r>
                  <w:r w:rsidR="000018B6">
                    <w:rPr>
                      <w:rFonts w:ascii="Times New Roman" w:hAnsi="Times New Roman"/>
                    </w:rPr>
                    <w:t>u Trésor</w:t>
                  </w:r>
                </w:p>
              </w:tc>
            </w:tr>
          </w:tbl>
          <w:p w:rsidR="000018B6" w:rsidRDefault="000018B6" w:rsidP="009D4FD4">
            <w:pPr>
              <w:pStyle w:val="BodyTextIndent2"/>
              <w:tabs>
                <w:tab w:val="clear" w:pos="5040"/>
                <w:tab w:val="left" w:pos="6480"/>
              </w:tabs>
              <w:ind w:left="1800" w:firstLine="0"/>
              <w:jc w:val="both"/>
              <w:rPr>
                <w:rFonts w:ascii="Times New Roman" w:hAnsi="Times New Roman"/>
              </w:rPr>
            </w:pPr>
          </w:p>
          <w:p w:rsidR="000018B6" w:rsidRDefault="000018B6" w:rsidP="009D4FD4">
            <w:pPr>
              <w:pStyle w:val="BodyTextIndent2"/>
              <w:tabs>
                <w:tab w:val="clear" w:pos="5040"/>
                <w:tab w:val="left" w:pos="6480"/>
              </w:tabs>
              <w:ind w:left="360" w:firstLine="0"/>
              <w:jc w:val="both"/>
              <w:rPr>
                <w:rFonts w:ascii="Times New Roman" w:hAnsi="Times New Roman"/>
              </w:rPr>
            </w:pPr>
          </w:p>
        </w:tc>
      </w:tr>
    </w:tbl>
    <w:p w:rsidR="000018B6" w:rsidRDefault="000018B6" w:rsidP="00F36A64">
      <w:pPr>
        <w:jc w:val="right"/>
        <w:rPr>
          <w:rFonts w:ascii="Times New Roman" w:hAnsi="Times New Roman" w:cs="Times New Roman"/>
          <w:sz w:val="40"/>
          <w:szCs w:val="40"/>
        </w:rPr>
      </w:pPr>
    </w:p>
    <w:p w:rsidR="000018B6" w:rsidRDefault="000018B6" w:rsidP="00DA7D7C">
      <w:pPr>
        <w:rPr>
          <w:rFonts w:ascii="Times New Roman" w:hAnsi="Times New Roman" w:cs="Times New Roman"/>
        </w:rPr>
      </w:pPr>
      <w:r>
        <w:rPr>
          <w:rFonts w:ascii="Times New Roman" w:hAnsi="Times New Roman" w:cs="Times New Roman"/>
          <w:b/>
          <w:bCs/>
        </w:rPr>
        <w:t xml:space="preserve">Nota : </w:t>
      </w:r>
    </w:p>
    <w:p w:rsidR="000018B6" w:rsidRDefault="000018B6" w:rsidP="00DA7D7C">
      <w:pPr>
        <w:rPr>
          <w:rFonts w:ascii="Times New Roman" w:hAnsi="Times New Roman" w:cs="Times New Roman"/>
        </w:rPr>
      </w:pPr>
    </w:p>
    <w:p w:rsidR="000018B6" w:rsidRDefault="000018B6" w:rsidP="00DC550E">
      <w:pPr>
        <w:pStyle w:val="ListParagraph"/>
        <w:numPr>
          <w:ilvl w:val="0"/>
          <w:numId w:val="50"/>
        </w:numPr>
        <w:rPr>
          <w:rFonts w:ascii="Times New Roman" w:hAnsi="Times New Roman" w:cs="Times New Roman"/>
        </w:rPr>
      </w:pPr>
      <w:r>
        <w:rPr>
          <w:rFonts w:ascii="Times New Roman" w:hAnsi="Times New Roman" w:cs="Times New Roman"/>
        </w:rPr>
        <w:t>Les communications des bureaux de pays concernant l'</w:t>
      </w:r>
      <w:r w:rsidR="00A82093">
        <w:rPr>
          <w:rFonts w:ascii="Times New Roman" w:hAnsi="Times New Roman" w:cs="Times New Roman"/>
        </w:rPr>
        <w:t>IAS</w:t>
      </w:r>
      <w:r>
        <w:rPr>
          <w:rFonts w:ascii="Times New Roman" w:hAnsi="Times New Roman" w:cs="Times New Roman"/>
        </w:rPr>
        <w:t xml:space="preserve"> pour des services bancaires sont à adresser à</w:t>
      </w:r>
      <w:r w:rsidR="00ED5752">
        <w:rPr>
          <w:rFonts w:ascii="Times New Roman" w:hAnsi="Times New Roman" w:cs="Times New Roman"/>
        </w:rPr>
        <w:t xml:space="preserve"> </w:t>
      </w:r>
      <w:hyperlink r:id="rId8" w:history="1">
        <w:r>
          <w:rPr>
            <w:rStyle w:val="Hyperlink"/>
            <w:rFonts w:ascii="Times New Roman" w:hAnsi="Times New Roman" w:cs="Times New Roman"/>
          </w:rPr>
          <w:t>treasury.cash.management@undp.org</w:t>
        </w:r>
      </w:hyperlink>
      <w:r>
        <w:rPr>
          <w:rFonts w:ascii="Times New Roman" w:hAnsi="Times New Roman" w:cs="Times New Roman"/>
        </w:rPr>
        <w:t xml:space="preserve">.  </w:t>
      </w:r>
    </w:p>
    <w:p w:rsidR="000018B6" w:rsidRDefault="000018B6" w:rsidP="00DA7D7C">
      <w:pPr>
        <w:pStyle w:val="ListParagraph"/>
        <w:numPr>
          <w:ilvl w:val="0"/>
          <w:numId w:val="50"/>
        </w:numPr>
        <w:rPr>
          <w:rFonts w:ascii="Times New Roman" w:hAnsi="Times New Roman" w:cs="Times New Roman"/>
          <w:b/>
          <w:bCs/>
        </w:rPr>
      </w:pPr>
      <w:r>
        <w:rPr>
          <w:rFonts w:ascii="Times New Roman" w:hAnsi="Times New Roman" w:cs="Times New Roman"/>
        </w:rPr>
        <w:t>Citibank, Standard Chartered Bank, and Standard Bank ont signé la Convention type ; à leur sélection, le modèle sera remis au RR ou au chef de bureau ayant reçu la délégation d'autorité du Trésorier.</w:t>
      </w:r>
    </w:p>
    <w:p w:rsidR="000018B6" w:rsidRDefault="000018B6" w:rsidP="000E6B48">
      <w:pPr>
        <w:jc w:val="center"/>
        <w:rPr>
          <w:rFonts w:ascii="Times New Roman" w:hAnsi="Times New Roman" w:cs="Times New Roman"/>
          <w:b/>
          <w:bCs/>
        </w:rPr>
      </w:pPr>
    </w:p>
    <w:p w:rsidR="000018B6" w:rsidRDefault="000018B6" w:rsidP="00AB10A3">
      <w:pPr>
        <w:jc w:val="center"/>
        <w:rPr>
          <w:rFonts w:ascii="Times New Roman" w:hAnsi="Times New Roman" w:cs="Times New Roman"/>
          <w:b/>
          <w:bCs/>
        </w:rPr>
      </w:pPr>
      <w:r>
        <w:rPr>
          <w:rFonts w:ascii="Times New Roman" w:hAnsi="Times New Roman" w:cs="Times New Roman"/>
          <w:b/>
          <w:bCs/>
        </w:rPr>
        <w:br/>
      </w:r>
    </w:p>
    <w:p w:rsidR="000018B6" w:rsidRDefault="000018B6" w:rsidP="000E6B48">
      <w:pPr>
        <w:jc w:val="center"/>
        <w:rPr>
          <w:rFonts w:ascii="Times New Roman" w:hAnsi="Times New Roman" w:cs="Times New Roman"/>
          <w:b/>
          <w:bCs/>
        </w:rPr>
      </w:pPr>
      <w:r>
        <w:rPr>
          <w:rFonts w:ascii="Times New Roman" w:hAnsi="Times New Roman" w:cs="Times New Roman"/>
          <w:b/>
          <w:bCs/>
        </w:rPr>
        <w:br/>
      </w: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01A4" w:rsidRDefault="000001A4"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0E6B48">
      <w:pPr>
        <w:jc w:val="center"/>
        <w:rPr>
          <w:rFonts w:ascii="Times New Roman" w:hAnsi="Times New Roman" w:cs="Times New Roman"/>
          <w:b/>
          <w:bCs/>
        </w:rPr>
      </w:pPr>
    </w:p>
    <w:p w:rsidR="000018B6" w:rsidRDefault="000018B6" w:rsidP="00DA7D7C">
      <w:pPr>
        <w:rPr>
          <w:rFonts w:ascii="Times New Roman" w:hAnsi="Times New Roman" w:cs="Times New Roman"/>
          <w:b/>
          <w:bCs/>
        </w:rPr>
      </w:pPr>
    </w:p>
    <w:p w:rsidR="000001A4" w:rsidRDefault="000001A4" w:rsidP="000001A4">
      <w:pPr>
        <w:pStyle w:val="ListParagraph"/>
        <w:ind w:left="360"/>
        <w:rPr>
          <w:rFonts w:ascii="Times New Roman" w:hAnsi="Times New Roman" w:cs="Times New Roman"/>
          <w:b/>
          <w:bCs/>
        </w:rPr>
      </w:pPr>
    </w:p>
    <w:p w:rsidR="000001A4" w:rsidRDefault="000001A4" w:rsidP="000001A4">
      <w:pPr>
        <w:jc w:val="center"/>
        <w:rPr>
          <w:b/>
          <w:bCs/>
        </w:rPr>
      </w:pPr>
      <w:r>
        <w:rPr>
          <w:rFonts w:ascii="Times New Roman" w:hAnsi="Times New Roman" w:cs="Times New Roman"/>
          <w:b/>
          <w:bCs/>
        </w:rPr>
        <w:t>ANNEXE I</w:t>
      </w:r>
    </w:p>
    <w:p w:rsidR="000001A4" w:rsidRDefault="000001A4" w:rsidP="000001A4">
      <w:pPr>
        <w:pStyle w:val="Heading2"/>
        <w:rPr>
          <w:rFonts w:ascii="Times New Roman" w:hAnsi="Times New Roman"/>
        </w:rPr>
      </w:pPr>
      <w:r>
        <w:rPr>
          <w:rFonts w:ascii="Times New Roman" w:hAnsi="Times New Roman"/>
        </w:rPr>
        <w:lastRenderedPageBreak/>
        <w:t>Annonce de l'appel d'offres</w:t>
      </w:r>
    </w:p>
    <w:p w:rsidR="000001A4" w:rsidRDefault="000001A4" w:rsidP="000001A4">
      <w:pPr>
        <w:jc w:val="center"/>
        <w:rPr>
          <w:rFonts w:ascii="Times New Roman" w:hAnsi="Times New Roman" w:cs="Times New Roman"/>
        </w:rPr>
      </w:pPr>
      <w:r>
        <w:rPr>
          <w:rFonts w:ascii="Times New Roman" w:hAnsi="Times New Roman" w:cs="Times New Roman"/>
          <w:b/>
          <w:bCs/>
        </w:rPr>
        <w:t xml:space="preserve"> des Nations Unies pour la prestation de services bancaires</w:t>
      </w:r>
    </w:p>
    <w:p w:rsidR="000001A4" w:rsidRDefault="00543160" w:rsidP="000001A4">
      <w:pPr>
        <w:rPr>
          <w:rFonts w:ascii="Times New Roman" w:hAnsi="Times New Roman" w:cs="Times New Roman"/>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99060</wp:posOffset>
                </wp:positionV>
                <wp:extent cx="5181600" cy="7389495"/>
                <wp:effectExtent l="19050" t="13335" r="1905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389495"/>
                        </a:xfrm>
                        <a:prstGeom prst="rect">
                          <a:avLst/>
                        </a:prstGeom>
                        <a:solidFill>
                          <a:srgbClr val="FFFFFF"/>
                        </a:solidFill>
                        <a:ln w="25400">
                          <a:solidFill>
                            <a:srgbClr val="000000"/>
                          </a:solidFill>
                          <a:miter lim="800000"/>
                          <a:headEnd/>
                          <a:tailEnd/>
                        </a:ln>
                      </wps:spPr>
                      <wps:txbx>
                        <w:txbxContent>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18"/>
                              <w:gridCol w:w="2040"/>
                            </w:tblGrid>
                            <w:tr w:rsidR="000001A4">
                              <w:trPr>
                                <w:cantSplit/>
                                <w:trHeight w:val="1260"/>
                              </w:trPr>
                              <w:tc>
                                <w:tcPr>
                                  <w:tcW w:w="990" w:type="dxa"/>
                                  <w:tcBorders>
                                    <w:top w:val="nil"/>
                                    <w:left w:val="nil"/>
                                    <w:bottom w:val="nil"/>
                                    <w:right w:val="nil"/>
                                  </w:tcBorders>
                                </w:tcPr>
                                <w:p w:rsidR="000001A4" w:rsidRDefault="00543160">
                                  <w:pPr>
                                    <w:ind w:right="-60"/>
                                    <w:jc w:val="both"/>
                                    <w:rPr>
                                      <w:color w:val="FFFFFF"/>
                                      <w:sz w:val="18"/>
                                      <w:szCs w:val="18"/>
                                    </w:rPr>
                                  </w:pPr>
                                  <w:r>
                                    <w:rPr>
                                      <w:noProof/>
                                      <w:lang w:val="en-US"/>
                                    </w:rPr>
                                    <w:drawing>
                                      <wp:inline distT="0" distB="0" distL="0" distR="0">
                                        <wp:extent cx="495300" cy="1009650"/>
                                        <wp:effectExtent l="0" t="0" r="0" b="0"/>
                                        <wp:docPr id="1"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009650"/>
                                                </a:xfrm>
                                                <a:prstGeom prst="rect">
                                                  <a:avLst/>
                                                </a:prstGeom>
                                                <a:noFill/>
                                                <a:ln>
                                                  <a:noFill/>
                                                </a:ln>
                                              </pic:spPr>
                                            </pic:pic>
                                          </a:graphicData>
                                        </a:graphic>
                                      </wp:inline>
                                    </w:drawing>
                                  </w:r>
                                </w:p>
                              </w:tc>
                              <w:tc>
                                <w:tcPr>
                                  <w:tcW w:w="5118" w:type="dxa"/>
                                  <w:tcBorders>
                                    <w:top w:val="nil"/>
                                    <w:left w:val="nil"/>
                                    <w:bottom w:val="nil"/>
                                    <w:right w:val="nil"/>
                                  </w:tcBorders>
                                </w:tcPr>
                                <w:p w:rsidR="000001A4" w:rsidRPr="00D5132A" w:rsidRDefault="000001A4">
                                  <w:pPr>
                                    <w:pStyle w:val="Heading2"/>
                                    <w:rPr>
                                      <w:rFonts w:ascii="Myriad Pro" w:hAnsi="Myriad Pro" w:cs="Myriad Pro"/>
                                      <w:i w:val="0"/>
                                      <w:iCs w:val="0"/>
                                    </w:rPr>
                                  </w:pPr>
                                </w:p>
                                <w:p w:rsidR="000001A4" w:rsidRPr="00D5132A" w:rsidRDefault="00A82093">
                                  <w:pPr>
                                    <w:pStyle w:val="Heading2"/>
                                    <w:rPr>
                                      <w:rFonts w:ascii="Myriad Pro" w:hAnsi="Myriad Pro" w:cs="Myriad Pro"/>
                                      <w:i w:val="0"/>
                                      <w:iCs w:val="0"/>
                                    </w:rPr>
                                  </w:pPr>
                                  <w:r w:rsidRPr="00D5132A">
                                    <w:rPr>
                                      <w:rFonts w:ascii="Myriad Pro" w:hAnsi="Myriad Pro" w:cs="Myriad Pro"/>
                                      <w:i w:val="0"/>
                                      <w:iCs w:val="0"/>
                                    </w:rPr>
                                    <w:t>INVITATION</w:t>
                                  </w:r>
                                  <w:r w:rsidR="000001A4" w:rsidRPr="00D5132A">
                                    <w:rPr>
                                      <w:rFonts w:ascii="Myriad Pro" w:hAnsi="Myriad Pro" w:cs="Myriad Pro"/>
                                      <w:i w:val="0"/>
                                      <w:iCs w:val="0"/>
                                    </w:rPr>
                                    <w:t xml:space="preserve"> À SOUMISSIONNER </w:t>
                                  </w:r>
                                </w:p>
                                <w:p w:rsidR="000001A4" w:rsidRPr="00D5132A" w:rsidRDefault="000001A4">
                                  <w:pPr>
                                    <w:pStyle w:val="Heading2"/>
                                    <w:rPr>
                                      <w:rFonts w:ascii="Myriad Pro" w:hAnsi="Myriad Pro" w:cs="Myriad Pro"/>
                                      <w:i w:val="0"/>
                                      <w:iCs w:val="0"/>
                                    </w:rPr>
                                  </w:pPr>
                                  <w:r w:rsidRPr="00D5132A">
                                    <w:rPr>
                                      <w:rFonts w:ascii="Myriad Pro" w:hAnsi="Myriad Pro" w:cs="Myriad Pro"/>
                                      <w:i w:val="0"/>
                                      <w:iCs w:val="0"/>
                                    </w:rPr>
                                    <w:t>POUR LA PRESTATION DE</w:t>
                                  </w:r>
                                </w:p>
                                <w:p w:rsidR="000001A4" w:rsidRPr="00D5132A" w:rsidRDefault="000001A4" w:rsidP="00901B78">
                                  <w:pPr>
                                    <w:pStyle w:val="Heading2"/>
                                    <w:rPr>
                                      <w:rFonts w:ascii="Myriad Pro" w:hAnsi="Myriad Pro" w:cs="Myriad Pro"/>
                                      <w:i w:val="0"/>
                                      <w:iCs w:val="0"/>
                                    </w:rPr>
                                  </w:pPr>
                                  <w:r w:rsidRPr="00D5132A">
                                    <w:rPr>
                                      <w:rFonts w:ascii="Myriad Pro" w:hAnsi="Myriad Pro" w:cs="Myriad Pro"/>
                                      <w:i w:val="0"/>
                                      <w:iCs w:val="0"/>
                                    </w:rPr>
                                    <w:t xml:space="preserve">SERVICES BANCAIRES </w:t>
                                  </w:r>
                                </w:p>
                              </w:tc>
                              <w:tc>
                                <w:tcPr>
                                  <w:tcW w:w="2040" w:type="dxa"/>
                                  <w:tcBorders>
                                    <w:top w:val="nil"/>
                                    <w:left w:val="nil"/>
                                    <w:bottom w:val="nil"/>
                                    <w:right w:val="nil"/>
                                  </w:tcBorders>
                                </w:tcPr>
                                <w:p w:rsidR="000001A4" w:rsidRDefault="00543160">
                                  <w:pPr>
                                    <w:ind w:right="-60"/>
                                    <w:rPr>
                                      <w:b/>
                                      <w:bCs/>
                                      <w:color w:val="FFFFFF"/>
                                    </w:rPr>
                                  </w:pPr>
                                  <w:r>
                                    <w:rPr>
                                      <w:noProof/>
                                      <w:lang w:val="en-US"/>
                                    </w:rPr>
                                    <w:drawing>
                                      <wp:inline distT="0" distB="0" distL="0" distR="0">
                                        <wp:extent cx="1114425" cy="952500"/>
                                        <wp:effectExtent l="0" t="0" r="9525" b="0"/>
                                        <wp:docPr id="2"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c>
                            </w:tr>
                          </w:tbl>
                          <w:p w:rsidR="000001A4" w:rsidRDefault="000001A4" w:rsidP="000001A4">
                            <w:pPr>
                              <w:ind w:right="-215"/>
                              <w:jc w:val="both"/>
                              <w:rPr>
                                <w:sz w:val="2"/>
                                <w:szCs w:val="2"/>
                              </w:rPr>
                            </w:pPr>
                          </w:p>
                          <w:tbl>
                            <w:tblPr>
                              <w:tblW w:w="8148" w:type="dxa"/>
                              <w:tblLayout w:type="fixed"/>
                              <w:tblLook w:val="0000" w:firstRow="0" w:lastRow="0" w:firstColumn="0" w:lastColumn="0" w:noHBand="0" w:noVBand="0"/>
                            </w:tblPr>
                            <w:tblGrid>
                              <w:gridCol w:w="8148"/>
                            </w:tblGrid>
                            <w:tr w:rsidR="000001A4">
                              <w:trPr>
                                <w:trHeight w:val="10731"/>
                              </w:trPr>
                              <w:tc>
                                <w:tcPr>
                                  <w:tcW w:w="8148" w:type="dxa"/>
                                  <w:tcBorders>
                                    <w:top w:val="single" w:sz="12" w:space="0" w:color="auto"/>
                                  </w:tcBorders>
                                </w:tcPr>
                                <w:p w:rsidR="000001A4" w:rsidRDefault="000001A4" w:rsidP="00901B78">
                                  <w:pPr>
                                    <w:rPr>
                                      <w:sz w:val="8"/>
                                      <w:szCs w:val="8"/>
                                    </w:rPr>
                                  </w:pPr>
                                </w:p>
                                <w:p w:rsidR="000001A4" w:rsidRPr="00347E13" w:rsidRDefault="000001A4" w:rsidP="00901B78">
                                  <w:pPr>
                                    <w:rPr>
                                      <w:rFonts w:ascii="Times New Roman" w:hAnsi="Times New Roman" w:cs="Times New Roman"/>
                                      <w:sz w:val="22"/>
                                      <w:szCs w:val="22"/>
                                    </w:rPr>
                                  </w:pPr>
                                  <w:r w:rsidRPr="00347E13">
                                    <w:rPr>
                                      <w:rFonts w:ascii="Times New Roman" w:hAnsi="Times New Roman" w:cs="Times New Roman"/>
                                      <w:sz w:val="22"/>
                                      <w:szCs w:val="22"/>
                                    </w:rPr>
                                    <w:t xml:space="preserve">Les Nations Unies sollicitent des offres de services bancaires au profit des agences des Nations Unies en/au </w:t>
                                  </w:r>
                                  <w:r w:rsidRPr="00347E13">
                                    <w:rPr>
                                      <w:rFonts w:ascii="Times New Roman" w:hAnsi="Times New Roman" w:cs="Times New Roman"/>
                                      <w:i/>
                                      <w:iCs/>
                                      <w:color w:val="0000FF"/>
                                      <w:sz w:val="22"/>
                                      <w:szCs w:val="22"/>
                                    </w:rPr>
                                    <w:t>[Nota : Insérer le pays]</w:t>
                                  </w:r>
                                  <w:r w:rsidRPr="00347E13">
                                    <w:rPr>
                                      <w:rFonts w:ascii="Times New Roman" w:hAnsi="Times New Roman" w:cs="Times New Roman"/>
                                      <w:sz w:val="22"/>
                                      <w:szCs w:val="22"/>
                                    </w:rPr>
                                    <w:t>.</w:t>
                                  </w:r>
                                </w:p>
                                <w:p w:rsidR="000001A4" w:rsidRPr="00347E13" w:rsidRDefault="000001A4" w:rsidP="00901B78">
                                  <w:pPr>
                                    <w:ind w:left="360" w:hanging="360"/>
                                    <w:rPr>
                                      <w:rFonts w:ascii="Times New Roman" w:hAnsi="Times New Roman" w:cs="Times New Roman"/>
                                      <w:sz w:val="22"/>
                                      <w:szCs w:val="22"/>
                                    </w:rPr>
                                  </w:pP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banques admissibles peuvent recueillir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et les documents y afférents sur paiement de [</w:t>
                                  </w:r>
                                  <w:r w:rsidRPr="00347E13">
                                    <w:rPr>
                                      <w:rFonts w:ascii="Times New Roman" w:hAnsi="Times New Roman" w:cs="Times New Roman"/>
                                      <w:i/>
                                      <w:iCs/>
                                      <w:color w:val="0000FF"/>
                                      <w:sz w:val="22"/>
                                      <w:szCs w:val="22"/>
                                    </w:rPr>
                                    <w:t>Nota : insérer la monnaie nationale et un montant approprié]</w:t>
                                  </w:r>
                                  <w:r w:rsidR="00253EC7">
                                    <w:rPr>
                                      <w:rFonts w:ascii="Times New Roman" w:hAnsi="Times New Roman" w:cs="Times New Roman"/>
                                      <w:sz w:val="22"/>
                                      <w:szCs w:val="22"/>
                                    </w:rPr>
                                    <w:t xml:space="preserve"> </w:t>
                                  </w:r>
                                  <w:r w:rsidRPr="00347E13">
                                    <w:rPr>
                                      <w:rFonts w:ascii="Times New Roman" w:hAnsi="Times New Roman" w:cs="Times New Roman"/>
                                      <w:sz w:val="22"/>
                                      <w:szCs w:val="22"/>
                                    </w:rPr>
                                    <w:t>(</w:t>
                                  </w:r>
                                  <w:r w:rsidRPr="00347E13">
                                    <w:rPr>
                                      <w:rFonts w:ascii="Times New Roman" w:hAnsi="Times New Roman" w:cs="Times New Roman"/>
                                      <w:b/>
                                      <w:bCs/>
                                      <w:sz w:val="22"/>
                                      <w:szCs w:val="22"/>
                                    </w:rPr>
                                    <w:t>non-remboursable</w:t>
                                  </w:r>
                                  <w:r w:rsidRPr="00347E13">
                                    <w:rPr>
                                      <w:rFonts w:ascii="Times New Roman" w:hAnsi="Times New Roman" w:cs="Times New Roman"/>
                                      <w:sz w:val="22"/>
                                      <w:szCs w:val="22"/>
                                    </w:rPr>
                                    <w:t xml:space="preserve">) à </w:t>
                                  </w:r>
                                  <w:r w:rsidRPr="00347E13">
                                    <w:rPr>
                                      <w:rFonts w:ascii="Times New Roman" w:hAnsi="Times New Roman" w:cs="Times New Roman"/>
                                      <w:i/>
                                      <w:iCs/>
                                      <w:color w:val="0000FF"/>
                                      <w:sz w:val="22"/>
                                      <w:szCs w:val="22"/>
                                    </w:rPr>
                                    <w:t>[Nota: insérer le lieu/le nom du bureau/l'adresse ]</w:t>
                                  </w:r>
                                  <w:r w:rsidRPr="00347E13">
                                    <w:rPr>
                                      <w:rFonts w:ascii="Times New Roman" w:hAnsi="Times New Roman" w:cs="Times New Roman"/>
                                      <w:sz w:val="22"/>
                                      <w:szCs w:val="22"/>
                                    </w:rPr>
                                    <w:t xml:space="preserve"> du </w:t>
                                  </w:r>
                                  <w:r w:rsidRPr="00347E13">
                                    <w:rPr>
                                      <w:rFonts w:ascii="Times New Roman" w:hAnsi="Times New Roman" w:cs="Times New Roman"/>
                                      <w:i/>
                                      <w:iCs/>
                                      <w:color w:val="0000FF"/>
                                      <w:sz w:val="22"/>
                                      <w:szCs w:val="22"/>
                                    </w:rPr>
                                    <w:t xml:space="preserve">[Nota : insérer le jour/la date de départ] </w:t>
                                  </w:r>
                                  <w:r w:rsidRPr="00347E13">
                                    <w:rPr>
                                      <w:rFonts w:ascii="Times New Roman" w:hAnsi="Times New Roman" w:cs="Times New Roman"/>
                                      <w:b/>
                                      <w:bCs/>
                                      <w:sz w:val="22"/>
                                      <w:szCs w:val="22"/>
                                    </w:rPr>
                                    <w:t xml:space="preserve">à </w:t>
                                  </w:r>
                                  <w:r w:rsidRPr="00347E13">
                                    <w:rPr>
                                      <w:rFonts w:ascii="Times New Roman" w:hAnsi="Times New Roman" w:cs="Times New Roman"/>
                                      <w:i/>
                                      <w:iCs/>
                                      <w:color w:val="0000FF"/>
                                      <w:sz w:val="22"/>
                                      <w:szCs w:val="22"/>
                                    </w:rPr>
                                    <w:t>[Nota : insérer le jour/la date de clôture]</w:t>
                                  </w:r>
                                  <w:r w:rsidRPr="00347E13">
                                    <w:rPr>
                                      <w:rFonts w:ascii="Times New Roman" w:hAnsi="Times New Roman" w:cs="Times New Roman"/>
                                      <w:b/>
                                      <w:bCs/>
                                      <w:sz w:val="22"/>
                                      <w:szCs w:val="22"/>
                                    </w:rPr>
                                    <w:t xml:space="preserve"> (la date finale pour recueillir les </w:t>
                                  </w:r>
                                  <w:r w:rsidR="00A82093">
                                    <w:rPr>
                                      <w:rFonts w:ascii="Times New Roman" w:hAnsi="Times New Roman" w:cs="Times New Roman"/>
                                      <w:b/>
                                      <w:bCs/>
                                      <w:sz w:val="22"/>
                                      <w:szCs w:val="22"/>
                                    </w:rPr>
                                    <w:t>Invitation</w:t>
                                  </w:r>
                                  <w:r w:rsidRPr="00347E13">
                                    <w:rPr>
                                      <w:rFonts w:ascii="Times New Roman" w:hAnsi="Times New Roman" w:cs="Times New Roman"/>
                                      <w:b/>
                                      <w:bCs/>
                                      <w:sz w:val="22"/>
                                      <w:szCs w:val="22"/>
                                    </w:rPr>
                                    <w:t>s à soumissionner)</w:t>
                                  </w:r>
                                  <w:r w:rsidRPr="00347E13">
                                    <w:rPr>
                                      <w:rFonts w:ascii="Times New Roman" w:hAnsi="Times New Roman" w:cs="Times New Roman"/>
                                      <w:sz w:val="22"/>
                                      <w:szCs w:val="22"/>
                                    </w:rPr>
                                    <w:t xml:space="preserve"> aux jours ouvrables de 9h 30 à 17h 00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s'adresse </w:t>
                                  </w:r>
                                  <w:r w:rsidRPr="00347E13">
                                    <w:rPr>
                                      <w:rFonts w:ascii="Times New Roman" w:hAnsi="Times New Roman" w:cs="Times New Roman"/>
                                      <w:sz w:val="22"/>
                                      <w:szCs w:val="22"/>
                                      <w:u w:val="single"/>
                                    </w:rPr>
                                    <w:t>uniquement</w:t>
                                  </w:r>
                                  <w:r w:rsidRPr="00347E13">
                                    <w:rPr>
                                      <w:rFonts w:ascii="Times New Roman" w:hAnsi="Times New Roman" w:cs="Times New Roman"/>
                                      <w:sz w:val="22"/>
                                      <w:szCs w:val="22"/>
                                    </w:rPr>
                                    <w:t xml:space="preserve"> aux Banques qui adhèrent à SWIFT. Les banques candidates seront priées de fournir leur immatriculation SWIFT lorsqu'elles recueilleront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 xml:space="preserve">Une conférence de pré-soumission aura lieu le </w:t>
                                  </w:r>
                                  <w:r w:rsidRPr="00347E13">
                                    <w:rPr>
                                      <w:rFonts w:ascii="Times New Roman" w:hAnsi="Times New Roman" w:cs="Times New Roman"/>
                                      <w:i/>
                                      <w:iCs/>
                                      <w:color w:val="0000FF"/>
                                      <w:sz w:val="22"/>
                                      <w:szCs w:val="22"/>
                                    </w:rPr>
                                    <w:t xml:space="preserve">[Nota : insérer le jour/la </w:t>
                                  </w:r>
                                  <w:r w:rsidR="00253EC7" w:rsidRPr="00347E13">
                                    <w:rPr>
                                      <w:rFonts w:ascii="Times New Roman" w:hAnsi="Times New Roman" w:cs="Times New Roman"/>
                                      <w:i/>
                                      <w:iCs/>
                                      <w:color w:val="0000FF"/>
                                      <w:sz w:val="22"/>
                                      <w:szCs w:val="22"/>
                                    </w:rPr>
                                    <w:t>date]</w:t>
                                  </w:r>
                                  <w:r w:rsidRPr="00347E13">
                                    <w:rPr>
                                      <w:rFonts w:ascii="Times New Roman" w:hAnsi="Times New Roman" w:cs="Times New Roman"/>
                                      <w:i/>
                                      <w:iCs/>
                                      <w:color w:val="0000FF"/>
                                      <w:sz w:val="22"/>
                                      <w:szCs w:val="22"/>
                                    </w:rPr>
                                    <w:t xml:space="preserve"> </w:t>
                                  </w:r>
                                  <w:r w:rsidRPr="00347E13">
                                    <w:rPr>
                                      <w:rFonts w:ascii="Times New Roman" w:hAnsi="Times New Roman" w:cs="Times New Roman"/>
                                      <w:sz w:val="22"/>
                                      <w:szCs w:val="22"/>
                                    </w:rPr>
                                    <w:t xml:space="preserve">à </w:t>
                                  </w:r>
                                  <w:r w:rsidRPr="00347E13">
                                    <w:rPr>
                                      <w:rFonts w:ascii="Times New Roman" w:hAnsi="Times New Roman" w:cs="Times New Roman"/>
                                      <w:i/>
                                      <w:iCs/>
                                      <w:color w:val="0000FF"/>
                                      <w:sz w:val="22"/>
                                      <w:szCs w:val="22"/>
                                    </w:rPr>
                                    <w:t xml:space="preserve">[Nota : insérer l'heure] </w:t>
                                  </w:r>
                                  <w:r w:rsidRPr="00347E13">
                                    <w:rPr>
                                      <w:rFonts w:ascii="Times New Roman" w:hAnsi="Times New Roman" w:cs="Times New Roman"/>
                                      <w:sz w:val="22"/>
                                      <w:szCs w:val="22"/>
                                    </w:rPr>
                                    <w:t xml:space="preserve">heure </w:t>
                                  </w:r>
                                  <w:r w:rsidR="00253EC7" w:rsidRPr="00347E13">
                                    <w:rPr>
                                      <w:rFonts w:ascii="Times New Roman" w:hAnsi="Times New Roman" w:cs="Times New Roman"/>
                                      <w:sz w:val="22"/>
                                      <w:szCs w:val="22"/>
                                    </w:rPr>
                                    <w:t>à</w:t>
                                  </w:r>
                                  <w:r w:rsidR="00253EC7" w:rsidRPr="00347E13">
                                    <w:rPr>
                                      <w:rFonts w:ascii="Times New Roman" w:hAnsi="Times New Roman" w:cs="Times New Roman"/>
                                      <w:i/>
                                      <w:iCs/>
                                      <w:color w:val="0000FF"/>
                                      <w:sz w:val="22"/>
                                      <w:szCs w:val="22"/>
                                    </w:rPr>
                                    <w:t xml:space="preserve"> [</w:t>
                                  </w:r>
                                  <w:r w:rsidRPr="00347E13">
                                    <w:rPr>
                                      <w:rFonts w:ascii="Times New Roman" w:hAnsi="Times New Roman" w:cs="Times New Roman"/>
                                      <w:i/>
                                      <w:iCs/>
                                      <w:color w:val="0000FF"/>
                                      <w:sz w:val="22"/>
                                      <w:szCs w:val="22"/>
                                    </w:rPr>
                                    <w:t>Nota : insérer le lieu/le nom du bureau/l'adresse]</w:t>
                                  </w:r>
                                  <w:r w:rsidRPr="00347E13">
                                    <w:rPr>
                                      <w:rFonts w:ascii="Times New Roman" w:hAnsi="Times New Roman" w:cs="Times New Roman"/>
                                      <w:sz w:val="22"/>
                                      <w:szCs w:val="22"/>
                                    </w:rPr>
                                    <w:t>;</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offres conformes à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doivent être reçues au plus tard le </w:t>
                                  </w:r>
                                  <w:r w:rsidRPr="00347E13">
                                    <w:rPr>
                                      <w:rFonts w:ascii="Times New Roman" w:hAnsi="Times New Roman" w:cs="Times New Roman"/>
                                      <w:i/>
                                      <w:iCs/>
                                      <w:color w:val="0000FF"/>
                                      <w:sz w:val="22"/>
                                      <w:szCs w:val="22"/>
                                    </w:rPr>
                                    <w:t>[Nota : insérer l'heure]</w:t>
                                  </w:r>
                                  <w:r w:rsidRPr="00347E13">
                                    <w:rPr>
                                      <w:rFonts w:ascii="Times New Roman" w:hAnsi="Times New Roman" w:cs="Times New Roman"/>
                                      <w:sz w:val="22"/>
                                      <w:szCs w:val="22"/>
                                    </w:rPr>
                                    <w:t xml:space="preserve"> heures le </w:t>
                                  </w:r>
                                  <w:r w:rsidRPr="00347E13">
                                    <w:rPr>
                                      <w:rFonts w:ascii="Times New Roman" w:hAnsi="Times New Roman" w:cs="Times New Roman"/>
                                      <w:i/>
                                      <w:iCs/>
                                      <w:color w:val="0000FF"/>
                                      <w:sz w:val="22"/>
                                      <w:szCs w:val="22"/>
                                    </w:rPr>
                                    <w:t>[Nota : insérer le jour/la date]</w:t>
                                  </w:r>
                                  <w:r w:rsidRPr="00347E13">
                                    <w:rPr>
                                      <w:rFonts w:ascii="Times New Roman" w:hAnsi="Times New Roman" w:cs="Times New Roman"/>
                                      <w:sz w:val="22"/>
                                      <w:szCs w:val="22"/>
                                    </w:rPr>
                                    <w:t>;</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offres seront évaluées en accord avec des pratiques internationalement reconnues. En particulier, elles seront évaluées à la lumière de leur adéquation par rapport aux services bancaires requis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 PNUD se réserve le droit d'accepter ou de rejeter, en partie ou en totalité, tout ou partie des offres à tout moment, sans motiver sa décision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frais de la préparation des offres et de la négociation d'un contrat ne sont pas remboursables par le PNUD.</w:t>
                                  </w:r>
                                </w:p>
                                <w:p w:rsidR="000001A4" w:rsidRPr="00347E13" w:rsidRDefault="000001A4" w:rsidP="00901B78">
                                  <w:pPr>
                                    <w:rPr>
                                      <w:rFonts w:ascii="Times New Roman" w:hAnsi="Times New Roman" w:cs="Times New Roman"/>
                                      <w:sz w:val="22"/>
                                      <w:szCs w:val="22"/>
                                    </w:rPr>
                                  </w:pP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 xml:space="preserve">Les offres devront </w:t>
                                  </w:r>
                                  <w:r w:rsidRPr="00347E13">
                                    <w:rPr>
                                      <w:rFonts w:ascii="Times New Roman" w:hAnsi="Times New Roman" w:cs="Times New Roman"/>
                                      <w:b/>
                                      <w:bCs/>
                                      <w:sz w:val="22"/>
                                      <w:szCs w:val="22"/>
                                      <w:u w:val="single"/>
                                    </w:rPr>
                                    <w:t>obligatoirement</w:t>
                                  </w:r>
                                  <w:r w:rsidRPr="00347E13">
                                    <w:rPr>
                                      <w:rFonts w:ascii="Times New Roman" w:hAnsi="Times New Roman" w:cs="Times New Roman"/>
                                      <w:sz w:val="22"/>
                                      <w:szCs w:val="22"/>
                                    </w:rPr>
                                    <w:t xml:space="preserve"> être valides pendant une période de 120 jours à dater de l'échéance de soumission. Le PNUD veillera à sélectionner un établissement dans ce délai.</w:t>
                                  </w:r>
                                  <w:r w:rsidRPr="00347E13">
                                    <w:rPr>
                                      <w:rFonts w:ascii="Times New Roman" w:hAnsi="Times New Roman" w:cs="Times New Roman"/>
                                      <w:sz w:val="22"/>
                                      <w:szCs w:val="22"/>
                                    </w:rPr>
                                    <w:br/>
                                  </w:r>
                                </w:p>
                                <w:p w:rsidR="000001A4" w:rsidRPr="00347E13" w:rsidRDefault="000001A4" w:rsidP="00901B78">
                                  <w:pPr>
                                    <w:numPr>
                                      <w:ilvl w:val="0"/>
                                      <w:numId w:val="1"/>
                                    </w:numPr>
                                    <w:rPr>
                                      <w:sz w:val="22"/>
                                      <w:szCs w:val="22"/>
                                    </w:rPr>
                                  </w:pPr>
                                  <w:r w:rsidRPr="00347E13">
                                    <w:rPr>
                                      <w:rFonts w:ascii="Times New Roman" w:hAnsi="Times New Roman" w:cs="Times New Roman"/>
                                      <w:sz w:val="22"/>
                                      <w:szCs w:val="22"/>
                                    </w:rPr>
                                    <w:t>Le PNUD ne s'engage aucunement à sélectionner l'établissement qui proposera les tarifs les plus avantageux.</w:t>
                                  </w:r>
                                </w:p>
                                <w:p w:rsidR="000001A4" w:rsidRDefault="000001A4" w:rsidP="00901B78"/>
                                <w:p w:rsidR="000001A4" w:rsidRDefault="000001A4" w:rsidP="00901B78"/>
                              </w:tc>
                            </w:tr>
                            <w:tr w:rsidR="000001A4">
                              <w:trPr>
                                <w:trHeight w:val="6369"/>
                              </w:trPr>
                              <w:tc>
                                <w:tcPr>
                                  <w:tcW w:w="8148" w:type="dxa"/>
                                </w:tcPr>
                                <w:p w:rsidR="000001A4" w:rsidRPr="00D5132A" w:rsidRDefault="000001A4" w:rsidP="00152C71">
                                  <w:pPr>
                                    <w:pStyle w:val="Heading3"/>
                                    <w:jc w:val="left"/>
                                    <w:rPr>
                                      <w:rFonts w:ascii="Myriad Pro" w:hAnsi="Myriad Pro" w:cs="Myriad Pro"/>
                                      <w:color w:val="000000"/>
                                      <w:sz w:val="20"/>
                                      <w:szCs w:val="20"/>
                                    </w:rPr>
                                  </w:pPr>
                                </w:p>
                              </w:tc>
                            </w:tr>
                          </w:tbl>
                          <w:p w:rsidR="000001A4" w:rsidRDefault="000001A4" w:rsidP="000001A4">
                            <w:pPr>
                              <w:ind w:right="-215"/>
                              <w:jc w:val="both"/>
                              <w:rPr>
                                <w:sz w:val="18"/>
                                <w:szCs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pt;margin-top:7.8pt;width:408pt;height:5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" strokeweight="2pt">
                <v:textbox inset="1pt,1pt,1pt,1pt">
                  <w:txbxContent>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18"/>
                        <w:gridCol w:w="2040"/>
                      </w:tblGrid>
                      <w:tr w:rsidR="000001A4">
                        <w:trPr>
                          <w:cantSplit/>
                          <w:trHeight w:val="1260"/>
                        </w:trPr>
                        <w:tc>
                          <w:tcPr>
                            <w:tcW w:w="990" w:type="dxa"/>
                            <w:tcBorders>
                              <w:top w:val="nil"/>
                              <w:left w:val="nil"/>
                              <w:bottom w:val="nil"/>
                              <w:right w:val="nil"/>
                            </w:tcBorders>
                          </w:tcPr>
                          <w:p w:rsidR="000001A4" w:rsidRDefault="00543160">
                            <w:pPr>
                              <w:ind w:right="-60"/>
                              <w:jc w:val="both"/>
                              <w:rPr>
                                <w:color w:val="FFFFFF"/>
                                <w:sz w:val="18"/>
                                <w:szCs w:val="18"/>
                              </w:rPr>
                            </w:pPr>
                            <w:r>
                              <w:rPr>
                                <w:noProof/>
                                <w:lang w:val="en-US"/>
                              </w:rPr>
                              <w:drawing>
                                <wp:inline distT="0" distB="0" distL="0" distR="0">
                                  <wp:extent cx="495300" cy="1009650"/>
                                  <wp:effectExtent l="0" t="0" r="0" b="0"/>
                                  <wp:docPr id="1"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009650"/>
                                          </a:xfrm>
                                          <a:prstGeom prst="rect">
                                            <a:avLst/>
                                          </a:prstGeom>
                                          <a:noFill/>
                                          <a:ln>
                                            <a:noFill/>
                                          </a:ln>
                                        </pic:spPr>
                                      </pic:pic>
                                    </a:graphicData>
                                  </a:graphic>
                                </wp:inline>
                              </w:drawing>
                            </w:r>
                          </w:p>
                        </w:tc>
                        <w:tc>
                          <w:tcPr>
                            <w:tcW w:w="5118" w:type="dxa"/>
                            <w:tcBorders>
                              <w:top w:val="nil"/>
                              <w:left w:val="nil"/>
                              <w:bottom w:val="nil"/>
                              <w:right w:val="nil"/>
                            </w:tcBorders>
                          </w:tcPr>
                          <w:p w:rsidR="000001A4" w:rsidRPr="00D5132A" w:rsidRDefault="000001A4">
                            <w:pPr>
                              <w:pStyle w:val="Heading2"/>
                              <w:rPr>
                                <w:rFonts w:ascii="Myriad Pro" w:hAnsi="Myriad Pro" w:cs="Myriad Pro"/>
                                <w:i w:val="0"/>
                                <w:iCs w:val="0"/>
                              </w:rPr>
                            </w:pPr>
                          </w:p>
                          <w:p w:rsidR="000001A4" w:rsidRPr="00D5132A" w:rsidRDefault="00A82093">
                            <w:pPr>
                              <w:pStyle w:val="Heading2"/>
                              <w:rPr>
                                <w:rFonts w:ascii="Myriad Pro" w:hAnsi="Myriad Pro" w:cs="Myriad Pro"/>
                                <w:i w:val="0"/>
                                <w:iCs w:val="0"/>
                              </w:rPr>
                            </w:pPr>
                            <w:r w:rsidRPr="00D5132A">
                              <w:rPr>
                                <w:rFonts w:ascii="Myriad Pro" w:hAnsi="Myriad Pro" w:cs="Myriad Pro"/>
                                <w:i w:val="0"/>
                                <w:iCs w:val="0"/>
                              </w:rPr>
                              <w:t>INVITATION</w:t>
                            </w:r>
                            <w:r w:rsidR="000001A4" w:rsidRPr="00D5132A">
                              <w:rPr>
                                <w:rFonts w:ascii="Myriad Pro" w:hAnsi="Myriad Pro" w:cs="Myriad Pro"/>
                                <w:i w:val="0"/>
                                <w:iCs w:val="0"/>
                              </w:rPr>
                              <w:t xml:space="preserve"> À SOUMISSIONNER </w:t>
                            </w:r>
                          </w:p>
                          <w:p w:rsidR="000001A4" w:rsidRPr="00D5132A" w:rsidRDefault="000001A4">
                            <w:pPr>
                              <w:pStyle w:val="Heading2"/>
                              <w:rPr>
                                <w:rFonts w:ascii="Myriad Pro" w:hAnsi="Myriad Pro" w:cs="Myriad Pro"/>
                                <w:i w:val="0"/>
                                <w:iCs w:val="0"/>
                              </w:rPr>
                            </w:pPr>
                            <w:r w:rsidRPr="00D5132A">
                              <w:rPr>
                                <w:rFonts w:ascii="Myriad Pro" w:hAnsi="Myriad Pro" w:cs="Myriad Pro"/>
                                <w:i w:val="0"/>
                                <w:iCs w:val="0"/>
                              </w:rPr>
                              <w:t>POUR LA PRESTATION DE</w:t>
                            </w:r>
                          </w:p>
                          <w:p w:rsidR="000001A4" w:rsidRPr="00D5132A" w:rsidRDefault="000001A4" w:rsidP="00901B78">
                            <w:pPr>
                              <w:pStyle w:val="Heading2"/>
                              <w:rPr>
                                <w:rFonts w:ascii="Myriad Pro" w:hAnsi="Myriad Pro" w:cs="Myriad Pro"/>
                                <w:i w:val="0"/>
                                <w:iCs w:val="0"/>
                              </w:rPr>
                            </w:pPr>
                            <w:r w:rsidRPr="00D5132A">
                              <w:rPr>
                                <w:rFonts w:ascii="Myriad Pro" w:hAnsi="Myriad Pro" w:cs="Myriad Pro"/>
                                <w:i w:val="0"/>
                                <w:iCs w:val="0"/>
                              </w:rPr>
                              <w:t xml:space="preserve">SERVICES BANCAIRES </w:t>
                            </w:r>
                          </w:p>
                        </w:tc>
                        <w:tc>
                          <w:tcPr>
                            <w:tcW w:w="2040" w:type="dxa"/>
                            <w:tcBorders>
                              <w:top w:val="nil"/>
                              <w:left w:val="nil"/>
                              <w:bottom w:val="nil"/>
                              <w:right w:val="nil"/>
                            </w:tcBorders>
                          </w:tcPr>
                          <w:p w:rsidR="000001A4" w:rsidRDefault="00543160">
                            <w:pPr>
                              <w:ind w:right="-60"/>
                              <w:rPr>
                                <w:b/>
                                <w:bCs/>
                                <w:color w:val="FFFFFF"/>
                              </w:rPr>
                            </w:pPr>
                            <w:r>
                              <w:rPr>
                                <w:noProof/>
                                <w:lang w:val="en-US"/>
                              </w:rPr>
                              <w:drawing>
                                <wp:inline distT="0" distB="0" distL="0" distR="0">
                                  <wp:extent cx="1114425" cy="952500"/>
                                  <wp:effectExtent l="0" t="0" r="9525" b="0"/>
                                  <wp:docPr id="2"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c>
                      </w:tr>
                    </w:tbl>
                    <w:p w:rsidR="000001A4" w:rsidRDefault="000001A4" w:rsidP="000001A4">
                      <w:pPr>
                        <w:ind w:right="-215"/>
                        <w:jc w:val="both"/>
                        <w:rPr>
                          <w:sz w:val="2"/>
                          <w:szCs w:val="2"/>
                        </w:rPr>
                      </w:pPr>
                    </w:p>
                    <w:tbl>
                      <w:tblPr>
                        <w:tblW w:w="8148" w:type="dxa"/>
                        <w:tblLayout w:type="fixed"/>
                        <w:tblLook w:val="0000" w:firstRow="0" w:lastRow="0" w:firstColumn="0" w:lastColumn="0" w:noHBand="0" w:noVBand="0"/>
                      </w:tblPr>
                      <w:tblGrid>
                        <w:gridCol w:w="8148"/>
                      </w:tblGrid>
                      <w:tr w:rsidR="000001A4">
                        <w:trPr>
                          <w:trHeight w:val="10731"/>
                        </w:trPr>
                        <w:tc>
                          <w:tcPr>
                            <w:tcW w:w="8148" w:type="dxa"/>
                            <w:tcBorders>
                              <w:top w:val="single" w:sz="12" w:space="0" w:color="auto"/>
                            </w:tcBorders>
                          </w:tcPr>
                          <w:p w:rsidR="000001A4" w:rsidRDefault="000001A4" w:rsidP="00901B78">
                            <w:pPr>
                              <w:rPr>
                                <w:sz w:val="8"/>
                                <w:szCs w:val="8"/>
                              </w:rPr>
                            </w:pPr>
                          </w:p>
                          <w:p w:rsidR="000001A4" w:rsidRPr="00347E13" w:rsidRDefault="000001A4" w:rsidP="00901B78">
                            <w:pPr>
                              <w:rPr>
                                <w:rFonts w:ascii="Times New Roman" w:hAnsi="Times New Roman" w:cs="Times New Roman"/>
                                <w:sz w:val="22"/>
                                <w:szCs w:val="22"/>
                              </w:rPr>
                            </w:pPr>
                            <w:r w:rsidRPr="00347E13">
                              <w:rPr>
                                <w:rFonts w:ascii="Times New Roman" w:hAnsi="Times New Roman" w:cs="Times New Roman"/>
                                <w:sz w:val="22"/>
                                <w:szCs w:val="22"/>
                              </w:rPr>
                              <w:t xml:space="preserve">Les Nations Unies sollicitent des offres de services bancaires au profit des agences des Nations Unies en/au </w:t>
                            </w:r>
                            <w:r w:rsidRPr="00347E13">
                              <w:rPr>
                                <w:rFonts w:ascii="Times New Roman" w:hAnsi="Times New Roman" w:cs="Times New Roman"/>
                                <w:i/>
                                <w:iCs/>
                                <w:color w:val="0000FF"/>
                                <w:sz w:val="22"/>
                                <w:szCs w:val="22"/>
                              </w:rPr>
                              <w:t>[Nota : Insérer le pays]</w:t>
                            </w:r>
                            <w:r w:rsidRPr="00347E13">
                              <w:rPr>
                                <w:rFonts w:ascii="Times New Roman" w:hAnsi="Times New Roman" w:cs="Times New Roman"/>
                                <w:sz w:val="22"/>
                                <w:szCs w:val="22"/>
                              </w:rPr>
                              <w:t>.</w:t>
                            </w:r>
                          </w:p>
                          <w:p w:rsidR="000001A4" w:rsidRPr="00347E13" w:rsidRDefault="000001A4" w:rsidP="00901B78">
                            <w:pPr>
                              <w:ind w:left="360" w:hanging="360"/>
                              <w:rPr>
                                <w:rFonts w:ascii="Times New Roman" w:hAnsi="Times New Roman" w:cs="Times New Roman"/>
                                <w:sz w:val="22"/>
                                <w:szCs w:val="22"/>
                              </w:rPr>
                            </w:pP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banques admissibles peuvent recueillir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et les documents y afférents sur paiement de [</w:t>
                            </w:r>
                            <w:r w:rsidRPr="00347E13">
                              <w:rPr>
                                <w:rFonts w:ascii="Times New Roman" w:hAnsi="Times New Roman" w:cs="Times New Roman"/>
                                <w:i/>
                                <w:iCs/>
                                <w:color w:val="0000FF"/>
                                <w:sz w:val="22"/>
                                <w:szCs w:val="22"/>
                              </w:rPr>
                              <w:t>Nota : insérer la monnaie nationale et un montant approprié]</w:t>
                            </w:r>
                            <w:r w:rsidR="00253EC7">
                              <w:rPr>
                                <w:rFonts w:ascii="Times New Roman" w:hAnsi="Times New Roman" w:cs="Times New Roman"/>
                                <w:sz w:val="22"/>
                                <w:szCs w:val="22"/>
                              </w:rPr>
                              <w:t xml:space="preserve"> </w:t>
                            </w:r>
                            <w:r w:rsidRPr="00347E13">
                              <w:rPr>
                                <w:rFonts w:ascii="Times New Roman" w:hAnsi="Times New Roman" w:cs="Times New Roman"/>
                                <w:sz w:val="22"/>
                                <w:szCs w:val="22"/>
                              </w:rPr>
                              <w:t>(</w:t>
                            </w:r>
                            <w:r w:rsidRPr="00347E13">
                              <w:rPr>
                                <w:rFonts w:ascii="Times New Roman" w:hAnsi="Times New Roman" w:cs="Times New Roman"/>
                                <w:b/>
                                <w:bCs/>
                                <w:sz w:val="22"/>
                                <w:szCs w:val="22"/>
                              </w:rPr>
                              <w:t>non-remboursable</w:t>
                            </w:r>
                            <w:r w:rsidRPr="00347E13">
                              <w:rPr>
                                <w:rFonts w:ascii="Times New Roman" w:hAnsi="Times New Roman" w:cs="Times New Roman"/>
                                <w:sz w:val="22"/>
                                <w:szCs w:val="22"/>
                              </w:rPr>
                              <w:t xml:space="preserve">) à </w:t>
                            </w:r>
                            <w:r w:rsidRPr="00347E13">
                              <w:rPr>
                                <w:rFonts w:ascii="Times New Roman" w:hAnsi="Times New Roman" w:cs="Times New Roman"/>
                                <w:i/>
                                <w:iCs/>
                                <w:color w:val="0000FF"/>
                                <w:sz w:val="22"/>
                                <w:szCs w:val="22"/>
                              </w:rPr>
                              <w:t>[Nota: insérer le lieu/le nom du bureau/l'adresse ]</w:t>
                            </w:r>
                            <w:r w:rsidRPr="00347E13">
                              <w:rPr>
                                <w:rFonts w:ascii="Times New Roman" w:hAnsi="Times New Roman" w:cs="Times New Roman"/>
                                <w:sz w:val="22"/>
                                <w:szCs w:val="22"/>
                              </w:rPr>
                              <w:t xml:space="preserve"> du </w:t>
                            </w:r>
                            <w:r w:rsidRPr="00347E13">
                              <w:rPr>
                                <w:rFonts w:ascii="Times New Roman" w:hAnsi="Times New Roman" w:cs="Times New Roman"/>
                                <w:i/>
                                <w:iCs/>
                                <w:color w:val="0000FF"/>
                                <w:sz w:val="22"/>
                                <w:szCs w:val="22"/>
                              </w:rPr>
                              <w:t xml:space="preserve">[Nota : insérer le jour/la date de départ] </w:t>
                            </w:r>
                            <w:r w:rsidRPr="00347E13">
                              <w:rPr>
                                <w:rFonts w:ascii="Times New Roman" w:hAnsi="Times New Roman" w:cs="Times New Roman"/>
                                <w:b/>
                                <w:bCs/>
                                <w:sz w:val="22"/>
                                <w:szCs w:val="22"/>
                              </w:rPr>
                              <w:t xml:space="preserve">à </w:t>
                            </w:r>
                            <w:r w:rsidRPr="00347E13">
                              <w:rPr>
                                <w:rFonts w:ascii="Times New Roman" w:hAnsi="Times New Roman" w:cs="Times New Roman"/>
                                <w:i/>
                                <w:iCs/>
                                <w:color w:val="0000FF"/>
                                <w:sz w:val="22"/>
                                <w:szCs w:val="22"/>
                              </w:rPr>
                              <w:t>[Nota : insérer le jour/la date de clôture]</w:t>
                            </w:r>
                            <w:r w:rsidRPr="00347E13">
                              <w:rPr>
                                <w:rFonts w:ascii="Times New Roman" w:hAnsi="Times New Roman" w:cs="Times New Roman"/>
                                <w:b/>
                                <w:bCs/>
                                <w:sz w:val="22"/>
                                <w:szCs w:val="22"/>
                              </w:rPr>
                              <w:t xml:space="preserve"> (la date finale pour recueillir les </w:t>
                            </w:r>
                            <w:r w:rsidR="00A82093">
                              <w:rPr>
                                <w:rFonts w:ascii="Times New Roman" w:hAnsi="Times New Roman" w:cs="Times New Roman"/>
                                <w:b/>
                                <w:bCs/>
                                <w:sz w:val="22"/>
                                <w:szCs w:val="22"/>
                              </w:rPr>
                              <w:t>Invitation</w:t>
                            </w:r>
                            <w:r w:rsidRPr="00347E13">
                              <w:rPr>
                                <w:rFonts w:ascii="Times New Roman" w:hAnsi="Times New Roman" w:cs="Times New Roman"/>
                                <w:b/>
                                <w:bCs/>
                                <w:sz w:val="22"/>
                                <w:szCs w:val="22"/>
                              </w:rPr>
                              <w:t>s à soumissionner)</w:t>
                            </w:r>
                            <w:r w:rsidRPr="00347E13">
                              <w:rPr>
                                <w:rFonts w:ascii="Times New Roman" w:hAnsi="Times New Roman" w:cs="Times New Roman"/>
                                <w:sz w:val="22"/>
                                <w:szCs w:val="22"/>
                              </w:rPr>
                              <w:t xml:space="preserve"> aux jours ouvrables de 9h 30 à 17h 00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s'adresse </w:t>
                            </w:r>
                            <w:r w:rsidRPr="00347E13">
                              <w:rPr>
                                <w:rFonts w:ascii="Times New Roman" w:hAnsi="Times New Roman" w:cs="Times New Roman"/>
                                <w:sz w:val="22"/>
                                <w:szCs w:val="22"/>
                                <w:u w:val="single"/>
                              </w:rPr>
                              <w:t>uniquement</w:t>
                            </w:r>
                            <w:r w:rsidRPr="00347E13">
                              <w:rPr>
                                <w:rFonts w:ascii="Times New Roman" w:hAnsi="Times New Roman" w:cs="Times New Roman"/>
                                <w:sz w:val="22"/>
                                <w:szCs w:val="22"/>
                              </w:rPr>
                              <w:t xml:space="preserve"> aux Banques qui adhèrent à SWIFT. Les banques candidates seront priées de fournir leur immatriculation SWIFT lorsqu'elles recueilleront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 xml:space="preserve">Une conférence de pré-soumission aura lieu le </w:t>
                            </w:r>
                            <w:r w:rsidRPr="00347E13">
                              <w:rPr>
                                <w:rFonts w:ascii="Times New Roman" w:hAnsi="Times New Roman" w:cs="Times New Roman"/>
                                <w:i/>
                                <w:iCs/>
                                <w:color w:val="0000FF"/>
                                <w:sz w:val="22"/>
                                <w:szCs w:val="22"/>
                              </w:rPr>
                              <w:t xml:space="preserve">[Nota : insérer le jour/la </w:t>
                            </w:r>
                            <w:r w:rsidR="00253EC7" w:rsidRPr="00347E13">
                              <w:rPr>
                                <w:rFonts w:ascii="Times New Roman" w:hAnsi="Times New Roman" w:cs="Times New Roman"/>
                                <w:i/>
                                <w:iCs/>
                                <w:color w:val="0000FF"/>
                                <w:sz w:val="22"/>
                                <w:szCs w:val="22"/>
                              </w:rPr>
                              <w:t>date]</w:t>
                            </w:r>
                            <w:r w:rsidRPr="00347E13">
                              <w:rPr>
                                <w:rFonts w:ascii="Times New Roman" w:hAnsi="Times New Roman" w:cs="Times New Roman"/>
                                <w:i/>
                                <w:iCs/>
                                <w:color w:val="0000FF"/>
                                <w:sz w:val="22"/>
                                <w:szCs w:val="22"/>
                              </w:rPr>
                              <w:t xml:space="preserve"> </w:t>
                            </w:r>
                            <w:r w:rsidRPr="00347E13">
                              <w:rPr>
                                <w:rFonts w:ascii="Times New Roman" w:hAnsi="Times New Roman" w:cs="Times New Roman"/>
                                <w:sz w:val="22"/>
                                <w:szCs w:val="22"/>
                              </w:rPr>
                              <w:t xml:space="preserve">à </w:t>
                            </w:r>
                            <w:r w:rsidRPr="00347E13">
                              <w:rPr>
                                <w:rFonts w:ascii="Times New Roman" w:hAnsi="Times New Roman" w:cs="Times New Roman"/>
                                <w:i/>
                                <w:iCs/>
                                <w:color w:val="0000FF"/>
                                <w:sz w:val="22"/>
                                <w:szCs w:val="22"/>
                              </w:rPr>
                              <w:t xml:space="preserve">[Nota : insérer l'heure] </w:t>
                            </w:r>
                            <w:r w:rsidRPr="00347E13">
                              <w:rPr>
                                <w:rFonts w:ascii="Times New Roman" w:hAnsi="Times New Roman" w:cs="Times New Roman"/>
                                <w:sz w:val="22"/>
                                <w:szCs w:val="22"/>
                              </w:rPr>
                              <w:t xml:space="preserve">heure </w:t>
                            </w:r>
                            <w:r w:rsidR="00253EC7" w:rsidRPr="00347E13">
                              <w:rPr>
                                <w:rFonts w:ascii="Times New Roman" w:hAnsi="Times New Roman" w:cs="Times New Roman"/>
                                <w:sz w:val="22"/>
                                <w:szCs w:val="22"/>
                              </w:rPr>
                              <w:t>à</w:t>
                            </w:r>
                            <w:r w:rsidR="00253EC7" w:rsidRPr="00347E13">
                              <w:rPr>
                                <w:rFonts w:ascii="Times New Roman" w:hAnsi="Times New Roman" w:cs="Times New Roman"/>
                                <w:i/>
                                <w:iCs/>
                                <w:color w:val="0000FF"/>
                                <w:sz w:val="22"/>
                                <w:szCs w:val="22"/>
                              </w:rPr>
                              <w:t xml:space="preserve"> [</w:t>
                            </w:r>
                            <w:r w:rsidRPr="00347E13">
                              <w:rPr>
                                <w:rFonts w:ascii="Times New Roman" w:hAnsi="Times New Roman" w:cs="Times New Roman"/>
                                <w:i/>
                                <w:iCs/>
                                <w:color w:val="0000FF"/>
                                <w:sz w:val="22"/>
                                <w:szCs w:val="22"/>
                              </w:rPr>
                              <w:t>Nota : insérer le lieu/le nom du bureau/l'adresse]</w:t>
                            </w:r>
                            <w:r w:rsidRPr="00347E13">
                              <w:rPr>
                                <w:rFonts w:ascii="Times New Roman" w:hAnsi="Times New Roman" w:cs="Times New Roman"/>
                                <w:sz w:val="22"/>
                                <w:szCs w:val="22"/>
                              </w:rPr>
                              <w:t>;</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offres conformes à l'</w:t>
                            </w:r>
                            <w:r w:rsidR="00A82093">
                              <w:rPr>
                                <w:rFonts w:ascii="Times New Roman" w:hAnsi="Times New Roman" w:cs="Times New Roman"/>
                                <w:sz w:val="22"/>
                                <w:szCs w:val="22"/>
                              </w:rPr>
                              <w:t>Invitation</w:t>
                            </w:r>
                            <w:r w:rsidRPr="00347E13">
                              <w:rPr>
                                <w:rFonts w:ascii="Times New Roman" w:hAnsi="Times New Roman" w:cs="Times New Roman"/>
                                <w:sz w:val="22"/>
                                <w:szCs w:val="22"/>
                              </w:rPr>
                              <w:t xml:space="preserve"> à soumissionner doivent être reçues au plus tard le </w:t>
                            </w:r>
                            <w:r w:rsidRPr="00347E13">
                              <w:rPr>
                                <w:rFonts w:ascii="Times New Roman" w:hAnsi="Times New Roman" w:cs="Times New Roman"/>
                                <w:i/>
                                <w:iCs/>
                                <w:color w:val="0000FF"/>
                                <w:sz w:val="22"/>
                                <w:szCs w:val="22"/>
                              </w:rPr>
                              <w:t>[Nota : insérer l'heure]</w:t>
                            </w:r>
                            <w:r w:rsidRPr="00347E13">
                              <w:rPr>
                                <w:rFonts w:ascii="Times New Roman" w:hAnsi="Times New Roman" w:cs="Times New Roman"/>
                                <w:sz w:val="22"/>
                                <w:szCs w:val="22"/>
                              </w:rPr>
                              <w:t xml:space="preserve"> heures le </w:t>
                            </w:r>
                            <w:r w:rsidRPr="00347E13">
                              <w:rPr>
                                <w:rFonts w:ascii="Times New Roman" w:hAnsi="Times New Roman" w:cs="Times New Roman"/>
                                <w:i/>
                                <w:iCs/>
                                <w:color w:val="0000FF"/>
                                <w:sz w:val="22"/>
                                <w:szCs w:val="22"/>
                              </w:rPr>
                              <w:t>[Nota : insérer le jour/la date]</w:t>
                            </w:r>
                            <w:r w:rsidRPr="00347E13">
                              <w:rPr>
                                <w:rFonts w:ascii="Times New Roman" w:hAnsi="Times New Roman" w:cs="Times New Roman"/>
                                <w:sz w:val="22"/>
                                <w:szCs w:val="22"/>
                              </w:rPr>
                              <w:t>;</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offres seront évaluées en accord avec des pratiques internationalement reconnues. En particulier, elles seront évaluées à la lumière de leur adéquation par rapport aux services bancaires requis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 PNUD se réserve le droit d'accepter ou de rejeter, en partie ou en totalité, tout ou partie des offres à tout moment, sans motiver sa décision ;</w:t>
                            </w:r>
                            <w:r w:rsidRPr="00347E13">
                              <w:rPr>
                                <w:rFonts w:ascii="Times New Roman" w:hAnsi="Times New Roman" w:cs="Times New Roman"/>
                                <w:sz w:val="22"/>
                                <w:szCs w:val="22"/>
                              </w:rPr>
                              <w:br/>
                            </w: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Les frais de la préparation des offres et de la négociation d'un contrat ne sont pas remboursables par le PNUD.</w:t>
                            </w:r>
                          </w:p>
                          <w:p w:rsidR="000001A4" w:rsidRPr="00347E13" w:rsidRDefault="000001A4" w:rsidP="00901B78">
                            <w:pPr>
                              <w:rPr>
                                <w:rFonts w:ascii="Times New Roman" w:hAnsi="Times New Roman" w:cs="Times New Roman"/>
                                <w:sz w:val="22"/>
                                <w:szCs w:val="22"/>
                              </w:rPr>
                            </w:pPr>
                          </w:p>
                          <w:p w:rsidR="000001A4" w:rsidRPr="00347E13" w:rsidRDefault="000001A4" w:rsidP="00901B78">
                            <w:pPr>
                              <w:numPr>
                                <w:ilvl w:val="0"/>
                                <w:numId w:val="1"/>
                              </w:numPr>
                              <w:rPr>
                                <w:rFonts w:ascii="Times New Roman" w:hAnsi="Times New Roman" w:cs="Times New Roman"/>
                                <w:sz w:val="22"/>
                                <w:szCs w:val="22"/>
                              </w:rPr>
                            </w:pPr>
                            <w:r w:rsidRPr="00347E13">
                              <w:rPr>
                                <w:rFonts w:ascii="Times New Roman" w:hAnsi="Times New Roman" w:cs="Times New Roman"/>
                                <w:sz w:val="22"/>
                                <w:szCs w:val="22"/>
                              </w:rPr>
                              <w:t xml:space="preserve">Les offres devront </w:t>
                            </w:r>
                            <w:r w:rsidRPr="00347E13">
                              <w:rPr>
                                <w:rFonts w:ascii="Times New Roman" w:hAnsi="Times New Roman" w:cs="Times New Roman"/>
                                <w:b/>
                                <w:bCs/>
                                <w:sz w:val="22"/>
                                <w:szCs w:val="22"/>
                                <w:u w:val="single"/>
                              </w:rPr>
                              <w:t>obligatoirement</w:t>
                            </w:r>
                            <w:r w:rsidRPr="00347E13">
                              <w:rPr>
                                <w:rFonts w:ascii="Times New Roman" w:hAnsi="Times New Roman" w:cs="Times New Roman"/>
                                <w:sz w:val="22"/>
                                <w:szCs w:val="22"/>
                              </w:rPr>
                              <w:t xml:space="preserve"> être valides pendant une période de 120 jours à dater de l'échéance de soumission. Le PNUD veillera à sélectionner un établissement dans ce délai.</w:t>
                            </w:r>
                            <w:r w:rsidRPr="00347E13">
                              <w:rPr>
                                <w:rFonts w:ascii="Times New Roman" w:hAnsi="Times New Roman" w:cs="Times New Roman"/>
                                <w:sz w:val="22"/>
                                <w:szCs w:val="22"/>
                              </w:rPr>
                              <w:br/>
                            </w:r>
                          </w:p>
                          <w:p w:rsidR="000001A4" w:rsidRPr="00347E13" w:rsidRDefault="000001A4" w:rsidP="00901B78">
                            <w:pPr>
                              <w:numPr>
                                <w:ilvl w:val="0"/>
                                <w:numId w:val="1"/>
                              </w:numPr>
                              <w:rPr>
                                <w:sz w:val="22"/>
                                <w:szCs w:val="22"/>
                              </w:rPr>
                            </w:pPr>
                            <w:r w:rsidRPr="00347E13">
                              <w:rPr>
                                <w:rFonts w:ascii="Times New Roman" w:hAnsi="Times New Roman" w:cs="Times New Roman"/>
                                <w:sz w:val="22"/>
                                <w:szCs w:val="22"/>
                              </w:rPr>
                              <w:t>Le PNUD ne s'engage aucunement à sélectionner l'établissement qui proposera les tarifs les plus avantageux.</w:t>
                            </w:r>
                          </w:p>
                          <w:p w:rsidR="000001A4" w:rsidRDefault="000001A4" w:rsidP="00901B78"/>
                          <w:p w:rsidR="000001A4" w:rsidRDefault="000001A4" w:rsidP="00901B78"/>
                        </w:tc>
                      </w:tr>
                      <w:tr w:rsidR="000001A4">
                        <w:trPr>
                          <w:trHeight w:val="6369"/>
                        </w:trPr>
                        <w:tc>
                          <w:tcPr>
                            <w:tcW w:w="8148" w:type="dxa"/>
                          </w:tcPr>
                          <w:p w:rsidR="000001A4" w:rsidRPr="00D5132A" w:rsidRDefault="000001A4" w:rsidP="00152C71">
                            <w:pPr>
                              <w:pStyle w:val="Heading3"/>
                              <w:jc w:val="left"/>
                              <w:rPr>
                                <w:rFonts w:ascii="Myriad Pro" w:hAnsi="Myriad Pro" w:cs="Myriad Pro"/>
                                <w:color w:val="000000"/>
                                <w:sz w:val="20"/>
                                <w:szCs w:val="20"/>
                              </w:rPr>
                            </w:pPr>
                          </w:p>
                        </w:tc>
                      </w:tr>
                    </w:tbl>
                    <w:p w:rsidR="000001A4" w:rsidRDefault="000001A4" w:rsidP="000001A4">
                      <w:pPr>
                        <w:ind w:right="-215"/>
                        <w:jc w:val="both"/>
                        <w:rPr>
                          <w:sz w:val="18"/>
                          <w:szCs w:val="18"/>
                        </w:rPr>
                      </w:pPr>
                    </w:p>
                  </w:txbxContent>
                </v:textbox>
              </v:rect>
            </w:pict>
          </mc:Fallback>
        </mc:AlternateContent>
      </w:r>
    </w:p>
    <w:p w:rsidR="000018B6" w:rsidRDefault="000018B6" w:rsidP="000001A4">
      <w:pPr>
        <w:rPr>
          <w:rFonts w:ascii="Times New Roman" w:hAnsi="Times New Roman" w:cs="Times New Roman"/>
        </w:rPr>
      </w:pPr>
    </w:p>
    <w:sectPr w:rsidR="000018B6" w:rsidSect="00AC52FE">
      <w:headerReference w:type="default" r:id="rId11"/>
      <w:footerReference w:type="default" r:id="rId12"/>
      <w:pgSz w:w="12240" w:h="15840" w:code="1"/>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86" w:rsidRDefault="00D93886" w:rsidP="000E6B48">
      <w:r>
        <w:separator/>
      </w:r>
    </w:p>
  </w:endnote>
  <w:endnote w:type="continuationSeparator" w:id="0">
    <w:p w:rsidR="00D93886" w:rsidRDefault="00D93886" w:rsidP="000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31" w:rsidRDefault="00342231">
    <w:pPr>
      <w:pStyle w:val="Footer"/>
      <w:jc w:val="right"/>
    </w:pPr>
    <w:r>
      <w:fldChar w:fldCharType="begin"/>
    </w:r>
    <w:r>
      <w:instrText xml:space="preserve"> PAGE   \* MERGEFORMAT </w:instrText>
    </w:r>
    <w:r>
      <w:fldChar w:fldCharType="separate"/>
    </w:r>
    <w:r w:rsidR="00543160">
      <w:rPr>
        <w:noProof/>
      </w:rPr>
      <w:t>1</w:t>
    </w:r>
    <w:r>
      <w:fldChar w:fldCharType="end"/>
    </w:r>
  </w:p>
  <w:p w:rsidR="00342231" w:rsidRDefault="0034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86" w:rsidRDefault="00D93886" w:rsidP="000E6B48">
      <w:r>
        <w:separator/>
      </w:r>
    </w:p>
  </w:footnote>
  <w:footnote w:type="continuationSeparator" w:id="0">
    <w:p w:rsidR="00D93886" w:rsidRDefault="00D93886" w:rsidP="000E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31" w:rsidRDefault="00342231">
    <w:pPr>
      <w:pStyle w:val="Header"/>
      <w:jc w:val="right"/>
    </w:pPr>
  </w:p>
  <w:p w:rsidR="00342231" w:rsidRDefault="00342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51"/>
    <w:multiLevelType w:val="hybridMultilevel"/>
    <w:tmpl w:val="896ED658"/>
    <w:lvl w:ilvl="0" w:tplc="A9BE7CFC">
      <w:start w:val="1"/>
      <w:numFmt w:val="lowerLetter"/>
      <w:lvlText w:val="6.4.%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1">
    <w:nsid w:val="043D3B4B"/>
    <w:multiLevelType w:val="hybridMultilevel"/>
    <w:tmpl w:val="B77EDE50"/>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59E202E"/>
    <w:multiLevelType w:val="hybridMultilevel"/>
    <w:tmpl w:val="AE8A7E0E"/>
    <w:lvl w:ilvl="0" w:tplc="84F8B862">
      <w:start w:val="1"/>
      <w:numFmt w:val="lowerLetter"/>
      <w:lvlText w:val="6.8.%1."/>
      <w:lvlJc w:val="center"/>
      <w:pPr>
        <w:tabs>
          <w:tab w:val="num" w:pos="1800"/>
        </w:tabs>
        <w:ind w:left="1800" w:hanging="360"/>
      </w:pPr>
      <w:rPr>
        <w:rFonts w:hint="default"/>
        <w:b/>
        <w:bCs/>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
    <w:nsid w:val="09094C69"/>
    <w:multiLevelType w:val="hybridMultilevel"/>
    <w:tmpl w:val="3DCABDF0"/>
    <w:lvl w:ilvl="0" w:tplc="34B0A5E2">
      <w:start w:val="1"/>
      <w:numFmt w:val="lowerLetter"/>
      <w:lvlText w:val="6.14.%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4">
    <w:nsid w:val="0B100554"/>
    <w:multiLevelType w:val="hybridMultilevel"/>
    <w:tmpl w:val="52D8A73C"/>
    <w:lvl w:ilvl="0" w:tplc="04090001">
      <w:start w:val="1"/>
      <w:numFmt w:val="bullet"/>
      <w:lvlText w:val=""/>
      <w:lvlJc w:val="left"/>
      <w:pPr>
        <w:tabs>
          <w:tab w:val="num" w:pos="2160"/>
        </w:tabs>
        <w:ind w:left="216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D43421"/>
    <w:multiLevelType w:val="hybridMultilevel"/>
    <w:tmpl w:val="BA584C7A"/>
    <w:lvl w:ilvl="0" w:tplc="5C686F82">
      <w:start w:val="1"/>
      <w:numFmt w:val="decimal"/>
      <w:lvlText w:val="%1.0"/>
      <w:lvlJc w:val="right"/>
      <w:pPr>
        <w:ind w:left="360" w:hanging="360"/>
      </w:pPr>
      <w:rPr>
        <w:rFonts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282EA3"/>
    <w:multiLevelType w:val="hybridMultilevel"/>
    <w:tmpl w:val="DA822E62"/>
    <w:lvl w:ilvl="0" w:tplc="B4C8EBE4">
      <w:start w:val="1"/>
      <w:numFmt w:val="lowerLetter"/>
      <w:lvlText w:val="6.7.%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7">
    <w:nsid w:val="0FA30828"/>
    <w:multiLevelType w:val="hybridMultilevel"/>
    <w:tmpl w:val="64022832"/>
    <w:lvl w:ilvl="0" w:tplc="5164EDC8">
      <w:start w:val="1"/>
      <w:numFmt w:val="lowerLetter"/>
      <w:lvlText w:val="6.2.%1."/>
      <w:lvlJc w:val="center"/>
      <w:pPr>
        <w:tabs>
          <w:tab w:val="num" w:pos="936"/>
        </w:tabs>
        <w:ind w:left="936"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0CC0AFB"/>
    <w:multiLevelType w:val="hybridMultilevel"/>
    <w:tmpl w:val="CC928962"/>
    <w:lvl w:ilvl="0" w:tplc="02EEC2B8">
      <w:start w:val="1"/>
      <w:numFmt w:val="bullet"/>
      <w:lvlText w:val="-"/>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9">
    <w:nsid w:val="157552F6"/>
    <w:multiLevelType w:val="hybridMultilevel"/>
    <w:tmpl w:val="C78A73A0"/>
    <w:lvl w:ilvl="0" w:tplc="7F66E8F2">
      <w:start w:val="1"/>
      <w:numFmt w:val="decimal"/>
      <w:lvlText w:val="5.%1)"/>
      <w:lvlJc w:val="right"/>
      <w:pPr>
        <w:tabs>
          <w:tab w:val="num" w:pos="1296"/>
        </w:tabs>
        <w:ind w:left="129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DF469F"/>
    <w:multiLevelType w:val="hybridMultilevel"/>
    <w:tmpl w:val="14A085DA"/>
    <w:lvl w:ilvl="0" w:tplc="37308D0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1B9E278C"/>
    <w:multiLevelType w:val="hybridMultilevel"/>
    <w:tmpl w:val="2BC46090"/>
    <w:lvl w:ilvl="0" w:tplc="D174C626">
      <w:start w:val="1"/>
      <w:numFmt w:val="lowerLetter"/>
      <w:lvlText w:val="6.13.%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12">
    <w:nsid w:val="1BAC4533"/>
    <w:multiLevelType w:val="hybridMultilevel"/>
    <w:tmpl w:val="CF84952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3">
    <w:nsid w:val="1C5221F6"/>
    <w:multiLevelType w:val="hybridMultilevel"/>
    <w:tmpl w:val="2734596E"/>
    <w:lvl w:ilvl="0" w:tplc="61F6A09E">
      <w:start w:val="1"/>
      <w:numFmt w:val="decimal"/>
      <w:lvlText w:val="%1.0"/>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995C51"/>
    <w:multiLevelType w:val="hybridMultilevel"/>
    <w:tmpl w:val="CEF636E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24172C73"/>
    <w:multiLevelType w:val="multilevel"/>
    <w:tmpl w:val="EE420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5CD68EF"/>
    <w:multiLevelType w:val="hybridMultilevel"/>
    <w:tmpl w:val="BFD60174"/>
    <w:lvl w:ilvl="0" w:tplc="02EEC2B8">
      <w:start w:val="1"/>
      <w:numFmt w:val="bullet"/>
      <w:lvlText w:val="-"/>
      <w:lvlJc w:val="left"/>
      <w:pPr>
        <w:ind w:left="1656" w:hanging="360"/>
      </w:pPr>
      <w:rPr>
        <w:rFont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cs="Wingdings" w:hint="default"/>
      </w:rPr>
    </w:lvl>
    <w:lvl w:ilvl="3" w:tplc="04090001">
      <w:start w:val="1"/>
      <w:numFmt w:val="bullet"/>
      <w:lvlText w:val=""/>
      <w:lvlJc w:val="left"/>
      <w:pPr>
        <w:ind w:left="3816" w:hanging="360"/>
      </w:pPr>
      <w:rPr>
        <w:rFonts w:ascii="Symbol" w:hAnsi="Symbol" w:cs="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cs="Wingdings" w:hint="default"/>
      </w:rPr>
    </w:lvl>
    <w:lvl w:ilvl="6" w:tplc="04090001">
      <w:start w:val="1"/>
      <w:numFmt w:val="bullet"/>
      <w:lvlText w:val=""/>
      <w:lvlJc w:val="left"/>
      <w:pPr>
        <w:ind w:left="5976" w:hanging="360"/>
      </w:pPr>
      <w:rPr>
        <w:rFonts w:ascii="Symbol" w:hAnsi="Symbol" w:cs="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cs="Wingdings" w:hint="default"/>
      </w:rPr>
    </w:lvl>
  </w:abstractNum>
  <w:abstractNum w:abstractNumId="17">
    <w:nsid w:val="286C703E"/>
    <w:multiLevelType w:val="hybridMultilevel"/>
    <w:tmpl w:val="9B64E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9745EB"/>
    <w:multiLevelType w:val="hybridMultilevel"/>
    <w:tmpl w:val="8286F25A"/>
    <w:lvl w:ilvl="0" w:tplc="1C98351C">
      <w:start w:val="1"/>
      <w:numFmt w:val="lowerLetter"/>
      <w:lvlText w:val="6.6.%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19">
    <w:nsid w:val="30FC6898"/>
    <w:multiLevelType w:val="hybridMultilevel"/>
    <w:tmpl w:val="95288E60"/>
    <w:lvl w:ilvl="0" w:tplc="741A71B4">
      <w:start w:val="1"/>
      <w:numFmt w:val="lowerLetter"/>
      <w:lvlText w:val="6.3.%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20">
    <w:nsid w:val="365405CC"/>
    <w:multiLevelType w:val="hybridMultilevel"/>
    <w:tmpl w:val="08B0C830"/>
    <w:lvl w:ilvl="0" w:tplc="04090017">
      <w:start w:val="1"/>
      <w:numFmt w:val="lowerLetter"/>
      <w:lvlText w:val="%1)"/>
      <w:lvlJc w:val="left"/>
      <w:pPr>
        <w:tabs>
          <w:tab w:val="num" w:pos="2160"/>
        </w:tabs>
        <w:ind w:left="2160" w:hanging="360"/>
      </w:pPr>
      <w:rPr>
        <w:rFont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cs="Wingdings" w:hint="default"/>
      </w:rPr>
    </w:lvl>
    <w:lvl w:ilvl="3" w:tplc="04090001">
      <w:start w:val="1"/>
      <w:numFmt w:val="bullet"/>
      <w:lvlText w:val=""/>
      <w:lvlJc w:val="left"/>
      <w:pPr>
        <w:ind w:left="3744" w:hanging="360"/>
      </w:pPr>
      <w:rPr>
        <w:rFonts w:ascii="Symbol" w:hAnsi="Symbol" w:cs="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cs="Wingdings" w:hint="default"/>
      </w:rPr>
    </w:lvl>
    <w:lvl w:ilvl="6" w:tplc="04090001">
      <w:start w:val="1"/>
      <w:numFmt w:val="bullet"/>
      <w:lvlText w:val=""/>
      <w:lvlJc w:val="left"/>
      <w:pPr>
        <w:ind w:left="5904" w:hanging="360"/>
      </w:pPr>
      <w:rPr>
        <w:rFonts w:ascii="Symbol" w:hAnsi="Symbol" w:cs="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cs="Wingdings" w:hint="default"/>
      </w:rPr>
    </w:lvl>
  </w:abstractNum>
  <w:abstractNum w:abstractNumId="21">
    <w:nsid w:val="3A0C1B39"/>
    <w:multiLevelType w:val="hybridMultilevel"/>
    <w:tmpl w:val="5A027A54"/>
    <w:lvl w:ilvl="0" w:tplc="61E4E298">
      <w:start w:val="1"/>
      <w:numFmt w:val="lowerLetter"/>
      <w:lvlText w:val="6.5.%1."/>
      <w:lvlJc w:val="center"/>
      <w:pPr>
        <w:tabs>
          <w:tab w:val="num" w:pos="1800"/>
        </w:tabs>
        <w:ind w:left="180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CC21078"/>
    <w:multiLevelType w:val="hybridMultilevel"/>
    <w:tmpl w:val="29284F28"/>
    <w:lvl w:ilvl="0" w:tplc="1CB6C4FA">
      <w:start w:val="1"/>
      <w:numFmt w:val="decimal"/>
      <w:lvlText w:val="5.%1"/>
      <w:lvlJc w:val="center"/>
      <w:pPr>
        <w:tabs>
          <w:tab w:val="num" w:pos="1080"/>
        </w:tabs>
        <w:ind w:left="1080" w:hanging="360"/>
      </w:pPr>
      <w:rPr>
        <w:rFonts w:hint="default"/>
        <w:b/>
        <w:bCs/>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cs="Wingdings" w:hint="default"/>
      </w:rPr>
    </w:lvl>
    <w:lvl w:ilvl="3" w:tplc="04090001">
      <w:start w:val="1"/>
      <w:numFmt w:val="bullet"/>
      <w:lvlText w:val=""/>
      <w:lvlJc w:val="left"/>
      <w:pPr>
        <w:ind w:left="2664" w:hanging="360"/>
      </w:pPr>
      <w:rPr>
        <w:rFonts w:ascii="Symbol" w:hAnsi="Symbol" w:cs="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cs="Wingdings" w:hint="default"/>
      </w:rPr>
    </w:lvl>
    <w:lvl w:ilvl="6" w:tplc="04090001">
      <w:start w:val="1"/>
      <w:numFmt w:val="bullet"/>
      <w:lvlText w:val=""/>
      <w:lvlJc w:val="left"/>
      <w:pPr>
        <w:ind w:left="4824" w:hanging="360"/>
      </w:pPr>
      <w:rPr>
        <w:rFonts w:ascii="Symbol" w:hAnsi="Symbol" w:cs="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cs="Wingdings" w:hint="default"/>
      </w:rPr>
    </w:lvl>
  </w:abstractNum>
  <w:abstractNum w:abstractNumId="23">
    <w:nsid w:val="40525097"/>
    <w:multiLevelType w:val="hybridMultilevel"/>
    <w:tmpl w:val="0C1025F4"/>
    <w:lvl w:ilvl="0" w:tplc="04090001">
      <w:start w:val="1"/>
      <w:numFmt w:val="bullet"/>
      <w:lvlText w:val=""/>
      <w:lvlJc w:val="left"/>
      <w:pPr>
        <w:ind w:left="2160" w:hanging="360"/>
      </w:pPr>
      <w:rPr>
        <w:rFonts w:ascii="Symbol" w:hAnsi="Symbol" w:cs="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42C83C9C"/>
    <w:multiLevelType w:val="hybridMultilevel"/>
    <w:tmpl w:val="4C2CABB8"/>
    <w:lvl w:ilvl="0" w:tplc="56CAFF1C">
      <w:start w:val="1"/>
      <w:numFmt w:val="lowerLetter"/>
      <w:lvlText w:val="6.15.%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25">
    <w:nsid w:val="47AB26DA"/>
    <w:multiLevelType w:val="hybridMultilevel"/>
    <w:tmpl w:val="47CCB82A"/>
    <w:lvl w:ilvl="0" w:tplc="04090001">
      <w:start w:val="1"/>
      <w:numFmt w:val="bullet"/>
      <w:lvlText w:val=""/>
      <w:lvlJc w:val="left"/>
      <w:pPr>
        <w:ind w:left="2160" w:hanging="360"/>
      </w:pPr>
      <w:rPr>
        <w:rFonts w:ascii="Symbol" w:hAnsi="Symbol" w:cs="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500E69B9"/>
    <w:multiLevelType w:val="hybridMultilevel"/>
    <w:tmpl w:val="4852F234"/>
    <w:lvl w:ilvl="0" w:tplc="3F507030">
      <w:start w:val="1"/>
      <w:numFmt w:val="decimal"/>
      <w:lvlText w:val="6.%1"/>
      <w:lvlJc w:val="center"/>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6D749A3"/>
    <w:multiLevelType w:val="hybridMultilevel"/>
    <w:tmpl w:val="61961B7A"/>
    <w:lvl w:ilvl="0" w:tplc="02EEC2B8">
      <w:start w:val="1"/>
      <w:numFmt w:val="bullet"/>
      <w:lvlText w:val="-"/>
      <w:lvlJc w:val="left"/>
      <w:pPr>
        <w:tabs>
          <w:tab w:val="num" w:pos="1656"/>
        </w:tabs>
        <w:ind w:left="1656"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588B08A5"/>
    <w:multiLevelType w:val="hybridMultilevel"/>
    <w:tmpl w:val="712ACD0E"/>
    <w:lvl w:ilvl="0" w:tplc="2812A7C2">
      <w:start w:val="1"/>
      <w:numFmt w:val="lowerLetter"/>
      <w:lvlText w:val="6.12.%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29">
    <w:nsid w:val="5EE65713"/>
    <w:multiLevelType w:val="hybridMultilevel"/>
    <w:tmpl w:val="5A443E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504" w:hanging="360"/>
      </w:pPr>
      <w:rPr>
        <w:rFonts w:ascii="Courier New" w:hAnsi="Courier New" w:cs="Courier New" w:hint="default"/>
      </w:rPr>
    </w:lvl>
    <w:lvl w:ilvl="2" w:tplc="04090005">
      <w:start w:val="1"/>
      <w:numFmt w:val="bullet"/>
      <w:lvlText w:val=""/>
      <w:lvlJc w:val="left"/>
      <w:pPr>
        <w:ind w:left="1224" w:hanging="360"/>
      </w:pPr>
      <w:rPr>
        <w:rFonts w:ascii="Wingdings" w:hAnsi="Wingdings" w:cs="Wingdings" w:hint="default"/>
      </w:rPr>
    </w:lvl>
    <w:lvl w:ilvl="3" w:tplc="04090001">
      <w:start w:val="1"/>
      <w:numFmt w:val="bullet"/>
      <w:lvlText w:val=""/>
      <w:lvlJc w:val="left"/>
      <w:pPr>
        <w:ind w:left="1944" w:hanging="360"/>
      </w:pPr>
      <w:rPr>
        <w:rFonts w:ascii="Symbol" w:hAnsi="Symbol" w:cs="Symbol" w:hint="default"/>
      </w:rPr>
    </w:lvl>
    <w:lvl w:ilvl="4" w:tplc="04090003">
      <w:start w:val="1"/>
      <w:numFmt w:val="bullet"/>
      <w:lvlText w:val="o"/>
      <w:lvlJc w:val="left"/>
      <w:pPr>
        <w:ind w:left="2664" w:hanging="360"/>
      </w:pPr>
      <w:rPr>
        <w:rFonts w:ascii="Courier New" w:hAnsi="Courier New" w:cs="Courier New" w:hint="default"/>
      </w:rPr>
    </w:lvl>
    <w:lvl w:ilvl="5" w:tplc="04090005">
      <w:start w:val="1"/>
      <w:numFmt w:val="bullet"/>
      <w:lvlText w:val=""/>
      <w:lvlJc w:val="left"/>
      <w:pPr>
        <w:ind w:left="3384" w:hanging="360"/>
      </w:pPr>
      <w:rPr>
        <w:rFonts w:ascii="Wingdings" w:hAnsi="Wingdings" w:cs="Wingdings" w:hint="default"/>
      </w:rPr>
    </w:lvl>
    <w:lvl w:ilvl="6" w:tplc="04090001">
      <w:start w:val="1"/>
      <w:numFmt w:val="bullet"/>
      <w:lvlText w:val=""/>
      <w:lvlJc w:val="left"/>
      <w:pPr>
        <w:ind w:left="4104" w:hanging="360"/>
      </w:pPr>
      <w:rPr>
        <w:rFonts w:ascii="Symbol" w:hAnsi="Symbol" w:cs="Symbol" w:hint="default"/>
      </w:rPr>
    </w:lvl>
    <w:lvl w:ilvl="7" w:tplc="04090003">
      <w:start w:val="1"/>
      <w:numFmt w:val="bullet"/>
      <w:lvlText w:val="o"/>
      <w:lvlJc w:val="left"/>
      <w:pPr>
        <w:ind w:left="4824" w:hanging="360"/>
      </w:pPr>
      <w:rPr>
        <w:rFonts w:ascii="Courier New" w:hAnsi="Courier New" w:cs="Courier New" w:hint="default"/>
      </w:rPr>
    </w:lvl>
    <w:lvl w:ilvl="8" w:tplc="04090005">
      <w:start w:val="1"/>
      <w:numFmt w:val="bullet"/>
      <w:lvlText w:val=""/>
      <w:lvlJc w:val="left"/>
      <w:pPr>
        <w:ind w:left="5544" w:hanging="360"/>
      </w:pPr>
      <w:rPr>
        <w:rFonts w:ascii="Wingdings" w:hAnsi="Wingdings" w:cs="Wingdings" w:hint="default"/>
      </w:rPr>
    </w:lvl>
  </w:abstractNum>
  <w:abstractNum w:abstractNumId="30">
    <w:nsid w:val="6084791F"/>
    <w:multiLevelType w:val="hybridMultilevel"/>
    <w:tmpl w:val="F0047A48"/>
    <w:lvl w:ilvl="0" w:tplc="B6661F92">
      <w:start w:val="1"/>
      <w:numFmt w:val="lowerLetter"/>
      <w:lvlText w:val="6.10.%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66F063CA"/>
    <w:multiLevelType w:val="hybridMultilevel"/>
    <w:tmpl w:val="1D48AF00"/>
    <w:lvl w:ilvl="0" w:tplc="04090001">
      <w:start w:val="1"/>
      <w:numFmt w:val="bullet"/>
      <w:lvlText w:val=""/>
      <w:lvlJc w:val="left"/>
      <w:pPr>
        <w:ind w:left="2160" w:hanging="360"/>
      </w:pPr>
      <w:rPr>
        <w:rFonts w:ascii="Symbol" w:hAnsi="Symbol" w:cs="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7266BC7"/>
    <w:multiLevelType w:val="hybridMultilevel"/>
    <w:tmpl w:val="2C4E3C24"/>
    <w:lvl w:ilvl="0" w:tplc="944CBB46">
      <w:start w:val="1"/>
      <w:numFmt w:val="lowerLetter"/>
      <w:lvlText w:val="6.9.%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3">
    <w:nsid w:val="674E710F"/>
    <w:multiLevelType w:val="hybridMultilevel"/>
    <w:tmpl w:val="7360AE04"/>
    <w:lvl w:ilvl="0" w:tplc="AF7A4EBC">
      <w:start w:val="1"/>
      <w:numFmt w:val="lowerLetter"/>
      <w:lvlText w:val="6.8.%1."/>
      <w:lvlJc w:val="center"/>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DDB4924"/>
    <w:multiLevelType w:val="hybridMultilevel"/>
    <w:tmpl w:val="4544B38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5">
    <w:nsid w:val="6E404DED"/>
    <w:multiLevelType w:val="hybridMultilevel"/>
    <w:tmpl w:val="0D443E4E"/>
    <w:lvl w:ilvl="0" w:tplc="88967DC4">
      <w:start w:val="1"/>
      <w:numFmt w:val="lowerLetter"/>
      <w:lvlText w:val="6.1.%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6">
    <w:nsid w:val="6F1E29E4"/>
    <w:multiLevelType w:val="hybridMultilevel"/>
    <w:tmpl w:val="769CC5E6"/>
    <w:lvl w:ilvl="0" w:tplc="B290CC40">
      <w:start w:val="1"/>
      <w:numFmt w:val="lowerLetter"/>
      <w:lvlText w:val="6.11.%1."/>
      <w:lvlJc w:val="center"/>
      <w:pPr>
        <w:tabs>
          <w:tab w:val="num" w:pos="1800"/>
        </w:tabs>
        <w:ind w:left="1800" w:hanging="360"/>
      </w:pPr>
      <w:rPr>
        <w:rFonts w:hint="default"/>
        <w:b w:val="0"/>
        <w:bCs w:val="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7">
    <w:nsid w:val="726C570B"/>
    <w:multiLevelType w:val="hybridMultilevel"/>
    <w:tmpl w:val="1ADA6EE8"/>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nsid w:val="779C60D6"/>
    <w:multiLevelType w:val="hybridMultilevel"/>
    <w:tmpl w:val="8C24AD54"/>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9">
    <w:nsid w:val="7ADF2067"/>
    <w:multiLevelType w:val="hybridMultilevel"/>
    <w:tmpl w:val="ABF2F4F4"/>
    <w:lvl w:ilvl="0" w:tplc="02EEC2B8">
      <w:start w:val="1"/>
      <w:numFmt w:val="bullet"/>
      <w:lvlText w:val="-"/>
      <w:lvlJc w:val="left"/>
      <w:pPr>
        <w:ind w:left="1656" w:hanging="360"/>
      </w:pPr>
      <w:rPr>
        <w:rFont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cs="Wingdings" w:hint="default"/>
      </w:rPr>
    </w:lvl>
    <w:lvl w:ilvl="3" w:tplc="04090001">
      <w:start w:val="1"/>
      <w:numFmt w:val="bullet"/>
      <w:lvlText w:val=""/>
      <w:lvlJc w:val="left"/>
      <w:pPr>
        <w:ind w:left="3816" w:hanging="360"/>
      </w:pPr>
      <w:rPr>
        <w:rFonts w:ascii="Symbol" w:hAnsi="Symbol" w:cs="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cs="Wingdings" w:hint="default"/>
      </w:rPr>
    </w:lvl>
    <w:lvl w:ilvl="6" w:tplc="04090001">
      <w:start w:val="1"/>
      <w:numFmt w:val="bullet"/>
      <w:lvlText w:val=""/>
      <w:lvlJc w:val="left"/>
      <w:pPr>
        <w:ind w:left="5976" w:hanging="360"/>
      </w:pPr>
      <w:rPr>
        <w:rFonts w:ascii="Symbol" w:hAnsi="Symbol" w:cs="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cs="Wingdings" w:hint="default"/>
      </w:rPr>
    </w:lvl>
  </w:abstractNum>
  <w:abstractNum w:abstractNumId="40">
    <w:nsid w:val="7C80028B"/>
    <w:multiLevelType w:val="hybridMultilevel"/>
    <w:tmpl w:val="FD484096"/>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0"/>
  </w:num>
  <w:num w:numId="3">
    <w:abstractNumId w:val="7"/>
  </w:num>
  <w:num w:numId="4">
    <w:abstractNumId w:val="26"/>
  </w:num>
  <w:num w:numId="5">
    <w:abstractNumId w:val="16"/>
  </w:num>
  <w:num w:numId="6">
    <w:abstractNumId w:val="39"/>
  </w:num>
  <w:num w:numId="7">
    <w:abstractNumId w:val="8"/>
  </w:num>
  <w:num w:numId="8">
    <w:abstractNumId w:val="37"/>
  </w:num>
  <w:num w:numId="9">
    <w:abstractNumId w:val="1"/>
  </w:num>
  <w:num w:numId="10">
    <w:abstractNumId w:val="38"/>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35"/>
  </w:num>
  <w:num w:numId="25">
    <w:abstractNumId w:val="5"/>
  </w:num>
  <w:num w:numId="26">
    <w:abstractNumId w:val="13"/>
  </w:num>
  <w:num w:numId="27">
    <w:abstractNumId w:val="9"/>
  </w:num>
  <w:num w:numId="28">
    <w:abstractNumId w:val="22"/>
  </w:num>
  <w:num w:numId="29">
    <w:abstractNumId w:val="34"/>
  </w:num>
  <w:num w:numId="30">
    <w:abstractNumId w:val="12"/>
  </w:num>
  <w:num w:numId="31">
    <w:abstractNumId w:val="19"/>
  </w:num>
  <w:num w:numId="32">
    <w:abstractNumId w:val="0"/>
  </w:num>
  <w:num w:numId="33">
    <w:abstractNumId w:val="21"/>
  </w:num>
  <w:num w:numId="34">
    <w:abstractNumId w:val="4"/>
  </w:num>
  <w:num w:numId="35">
    <w:abstractNumId w:val="18"/>
  </w:num>
  <w:num w:numId="36">
    <w:abstractNumId w:val="6"/>
  </w:num>
  <w:num w:numId="37">
    <w:abstractNumId w:val="2"/>
  </w:num>
  <w:num w:numId="38">
    <w:abstractNumId w:val="32"/>
  </w:num>
  <w:num w:numId="39">
    <w:abstractNumId w:val="30"/>
  </w:num>
  <w:num w:numId="40">
    <w:abstractNumId w:val="36"/>
  </w:num>
  <w:num w:numId="41">
    <w:abstractNumId w:val="28"/>
  </w:num>
  <w:num w:numId="42">
    <w:abstractNumId w:val="23"/>
  </w:num>
  <w:num w:numId="43">
    <w:abstractNumId w:val="25"/>
  </w:num>
  <w:num w:numId="44">
    <w:abstractNumId w:val="11"/>
  </w:num>
  <w:num w:numId="45">
    <w:abstractNumId w:val="31"/>
  </w:num>
  <w:num w:numId="46">
    <w:abstractNumId w:val="3"/>
  </w:num>
  <w:num w:numId="47">
    <w:abstractNumId w:val="24"/>
  </w:num>
  <w:num w:numId="48">
    <w:abstractNumId w:val="29"/>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B9"/>
    <w:rsid w:val="000001A4"/>
    <w:rsid w:val="000018B6"/>
    <w:rsid w:val="00005344"/>
    <w:rsid w:val="00024B6C"/>
    <w:rsid w:val="00037697"/>
    <w:rsid w:val="00042C0E"/>
    <w:rsid w:val="0004563E"/>
    <w:rsid w:val="000677D0"/>
    <w:rsid w:val="00074655"/>
    <w:rsid w:val="00080AB6"/>
    <w:rsid w:val="000917B9"/>
    <w:rsid w:val="000B7CA7"/>
    <w:rsid w:val="000C14A1"/>
    <w:rsid w:val="000D0C40"/>
    <w:rsid w:val="000D3FF4"/>
    <w:rsid w:val="000E67E8"/>
    <w:rsid w:val="000E6B48"/>
    <w:rsid w:val="00137721"/>
    <w:rsid w:val="00152C71"/>
    <w:rsid w:val="00194FB8"/>
    <w:rsid w:val="001A028D"/>
    <w:rsid w:val="001B4FAF"/>
    <w:rsid w:val="001E2031"/>
    <w:rsid w:val="00201215"/>
    <w:rsid w:val="002216F6"/>
    <w:rsid w:val="00235A74"/>
    <w:rsid w:val="002364D5"/>
    <w:rsid w:val="002432A1"/>
    <w:rsid w:val="00244FD9"/>
    <w:rsid w:val="00251300"/>
    <w:rsid w:val="00253EC7"/>
    <w:rsid w:val="002748DA"/>
    <w:rsid w:val="0028457A"/>
    <w:rsid w:val="002A07EF"/>
    <w:rsid w:val="002A6622"/>
    <w:rsid w:val="002B1546"/>
    <w:rsid w:val="002C17CA"/>
    <w:rsid w:val="002D19D0"/>
    <w:rsid w:val="002D2143"/>
    <w:rsid w:val="002E175E"/>
    <w:rsid w:val="002E70EE"/>
    <w:rsid w:val="002F4249"/>
    <w:rsid w:val="002F6B1E"/>
    <w:rsid w:val="0031261E"/>
    <w:rsid w:val="003137E9"/>
    <w:rsid w:val="00325DFE"/>
    <w:rsid w:val="0033497B"/>
    <w:rsid w:val="00342231"/>
    <w:rsid w:val="003736F9"/>
    <w:rsid w:val="003755A0"/>
    <w:rsid w:val="00395AE8"/>
    <w:rsid w:val="003B61F1"/>
    <w:rsid w:val="003E13C2"/>
    <w:rsid w:val="00412091"/>
    <w:rsid w:val="00433949"/>
    <w:rsid w:val="00445F0B"/>
    <w:rsid w:val="00451C2C"/>
    <w:rsid w:val="00461FA0"/>
    <w:rsid w:val="00464A75"/>
    <w:rsid w:val="00472502"/>
    <w:rsid w:val="0047259D"/>
    <w:rsid w:val="004842E1"/>
    <w:rsid w:val="00494664"/>
    <w:rsid w:val="0049693A"/>
    <w:rsid w:val="004A2160"/>
    <w:rsid w:val="004B15FC"/>
    <w:rsid w:val="004B4CC6"/>
    <w:rsid w:val="004B6BAD"/>
    <w:rsid w:val="004C07C2"/>
    <w:rsid w:val="004C79B3"/>
    <w:rsid w:val="004D3230"/>
    <w:rsid w:val="004D3CF8"/>
    <w:rsid w:val="004E5A79"/>
    <w:rsid w:val="00504C96"/>
    <w:rsid w:val="0053685D"/>
    <w:rsid w:val="00543160"/>
    <w:rsid w:val="00565511"/>
    <w:rsid w:val="0056660B"/>
    <w:rsid w:val="005C2135"/>
    <w:rsid w:val="005C235D"/>
    <w:rsid w:val="005D2A24"/>
    <w:rsid w:val="005D5E3B"/>
    <w:rsid w:val="005E1BBE"/>
    <w:rsid w:val="00612653"/>
    <w:rsid w:val="00614457"/>
    <w:rsid w:val="00622F6F"/>
    <w:rsid w:val="00636E21"/>
    <w:rsid w:val="00642224"/>
    <w:rsid w:val="006448C8"/>
    <w:rsid w:val="0068110B"/>
    <w:rsid w:val="0068182C"/>
    <w:rsid w:val="006A7572"/>
    <w:rsid w:val="006C2A0A"/>
    <w:rsid w:val="006D3A18"/>
    <w:rsid w:val="006E03F6"/>
    <w:rsid w:val="006F5904"/>
    <w:rsid w:val="00704BAC"/>
    <w:rsid w:val="007166EF"/>
    <w:rsid w:val="00720963"/>
    <w:rsid w:val="00724E4A"/>
    <w:rsid w:val="00736252"/>
    <w:rsid w:val="0074156D"/>
    <w:rsid w:val="007630B6"/>
    <w:rsid w:val="00772887"/>
    <w:rsid w:val="007902A8"/>
    <w:rsid w:val="00791473"/>
    <w:rsid w:val="0079238A"/>
    <w:rsid w:val="007B0341"/>
    <w:rsid w:val="007B0D44"/>
    <w:rsid w:val="007B3DC2"/>
    <w:rsid w:val="007C16D5"/>
    <w:rsid w:val="007D4F13"/>
    <w:rsid w:val="00805BD2"/>
    <w:rsid w:val="00806B47"/>
    <w:rsid w:val="00820E6D"/>
    <w:rsid w:val="00823657"/>
    <w:rsid w:val="008468FF"/>
    <w:rsid w:val="00853C2A"/>
    <w:rsid w:val="00871CA8"/>
    <w:rsid w:val="00872594"/>
    <w:rsid w:val="00872ED2"/>
    <w:rsid w:val="008753C3"/>
    <w:rsid w:val="008826B0"/>
    <w:rsid w:val="008A1A4E"/>
    <w:rsid w:val="008A495B"/>
    <w:rsid w:val="008B117C"/>
    <w:rsid w:val="008B4CE1"/>
    <w:rsid w:val="008B6867"/>
    <w:rsid w:val="008E3E3D"/>
    <w:rsid w:val="008E50FD"/>
    <w:rsid w:val="00901B78"/>
    <w:rsid w:val="00904B11"/>
    <w:rsid w:val="00904CA0"/>
    <w:rsid w:val="0092064B"/>
    <w:rsid w:val="00920EFC"/>
    <w:rsid w:val="00945DAB"/>
    <w:rsid w:val="009720FE"/>
    <w:rsid w:val="0097464A"/>
    <w:rsid w:val="00976261"/>
    <w:rsid w:val="00991556"/>
    <w:rsid w:val="00991760"/>
    <w:rsid w:val="009A21C4"/>
    <w:rsid w:val="009A6DCA"/>
    <w:rsid w:val="009A7AC2"/>
    <w:rsid w:val="009B65AE"/>
    <w:rsid w:val="009C6E62"/>
    <w:rsid w:val="009D4FD4"/>
    <w:rsid w:val="009F17F2"/>
    <w:rsid w:val="00A076CD"/>
    <w:rsid w:val="00A14663"/>
    <w:rsid w:val="00A25790"/>
    <w:rsid w:val="00A25F11"/>
    <w:rsid w:val="00A31106"/>
    <w:rsid w:val="00A3453C"/>
    <w:rsid w:val="00A35005"/>
    <w:rsid w:val="00A35FC9"/>
    <w:rsid w:val="00A36D91"/>
    <w:rsid w:val="00A60F14"/>
    <w:rsid w:val="00A77DCA"/>
    <w:rsid w:val="00A82093"/>
    <w:rsid w:val="00AB10A3"/>
    <w:rsid w:val="00AC1AAF"/>
    <w:rsid w:val="00AC52FE"/>
    <w:rsid w:val="00AD1196"/>
    <w:rsid w:val="00AD313E"/>
    <w:rsid w:val="00B1117B"/>
    <w:rsid w:val="00B13924"/>
    <w:rsid w:val="00B321B2"/>
    <w:rsid w:val="00B373D7"/>
    <w:rsid w:val="00B401F0"/>
    <w:rsid w:val="00B55880"/>
    <w:rsid w:val="00B716FA"/>
    <w:rsid w:val="00B73E2C"/>
    <w:rsid w:val="00B927AC"/>
    <w:rsid w:val="00BA7C3D"/>
    <w:rsid w:val="00BB2C94"/>
    <w:rsid w:val="00BD23E1"/>
    <w:rsid w:val="00C1658A"/>
    <w:rsid w:val="00C17E3A"/>
    <w:rsid w:val="00C27B40"/>
    <w:rsid w:val="00C322B7"/>
    <w:rsid w:val="00C40F6E"/>
    <w:rsid w:val="00C444AB"/>
    <w:rsid w:val="00C74214"/>
    <w:rsid w:val="00C87E8C"/>
    <w:rsid w:val="00C93770"/>
    <w:rsid w:val="00D029C8"/>
    <w:rsid w:val="00D06343"/>
    <w:rsid w:val="00D0662C"/>
    <w:rsid w:val="00D06C65"/>
    <w:rsid w:val="00D23AE1"/>
    <w:rsid w:val="00D27449"/>
    <w:rsid w:val="00D5132A"/>
    <w:rsid w:val="00D75C85"/>
    <w:rsid w:val="00D81AEE"/>
    <w:rsid w:val="00D827FE"/>
    <w:rsid w:val="00D93886"/>
    <w:rsid w:val="00DA7D7C"/>
    <w:rsid w:val="00DB3CD1"/>
    <w:rsid w:val="00DB6A12"/>
    <w:rsid w:val="00DC19B0"/>
    <w:rsid w:val="00DC550E"/>
    <w:rsid w:val="00DD0247"/>
    <w:rsid w:val="00DD4B7B"/>
    <w:rsid w:val="00DE2434"/>
    <w:rsid w:val="00E14206"/>
    <w:rsid w:val="00E40D81"/>
    <w:rsid w:val="00E729FC"/>
    <w:rsid w:val="00E84B63"/>
    <w:rsid w:val="00E977BA"/>
    <w:rsid w:val="00EA5FEC"/>
    <w:rsid w:val="00EA6781"/>
    <w:rsid w:val="00ED1E5D"/>
    <w:rsid w:val="00ED5752"/>
    <w:rsid w:val="00EE18D0"/>
    <w:rsid w:val="00EF5985"/>
    <w:rsid w:val="00F32D06"/>
    <w:rsid w:val="00F36A64"/>
    <w:rsid w:val="00F370EC"/>
    <w:rsid w:val="00F40020"/>
    <w:rsid w:val="00F5037E"/>
    <w:rsid w:val="00F85755"/>
    <w:rsid w:val="00F92CAF"/>
    <w:rsid w:val="00F942EE"/>
    <w:rsid w:val="00F96879"/>
    <w:rsid w:val="00F97B35"/>
    <w:rsid w:val="00FA22A7"/>
    <w:rsid w:val="00FA6F07"/>
    <w:rsid w:val="00FC0979"/>
    <w:rsid w:val="00FC751D"/>
    <w:rsid w:val="00FD0BD7"/>
    <w:rsid w:val="00FD1D3E"/>
    <w:rsid w:val="00FD20B1"/>
    <w:rsid w:val="00FD65F7"/>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F14"/>
    <w:rPr>
      <w:rFonts w:ascii="Myriad Pro" w:hAnsi="Myriad Pro" w:cs="Myriad Pro"/>
      <w:sz w:val="24"/>
      <w:szCs w:val="24"/>
      <w:lang w:val="fr-FR"/>
    </w:rPr>
  </w:style>
  <w:style w:type="paragraph" w:styleId="Heading1">
    <w:name w:val="heading 1"/>
    <w:basedOn w:val="Normal"/>
    <w:next w:val="Normal"/>
    <w:link w:val="Heading1Char"/>
    <w:qFormat/>
    <w:rsid w:val="00A60F14"/>
    <w:pPr>
      <w:keepNext/>
      <w:jc w:val="center"/>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60F14"/>
    <w:pPr>
      <w:keepNext/>
      <w:jc w:val="center"/>
      <w:outlineLvl w:val="1"/>
    </w:pPr>
    <w:rPr>
      <w:rFonts w:ascii="Cambria" w:hAnsi="Cambria" w:cs="Times New Roman"/>
      <w:b/>
      <w:bCs/>
      <w:i/>
      <w:iCs/>
      <w:sz w:val="28"/>
      <w:szCs w:val="28"/>
    </w:rPr>
  </w:style>
  <w:style w:type="paragraph" w:styleId="Heading3">
    <w:name w:val="heading 3"/>
    <w:basedOn w:val="Normal"/>
    <w:next w:val="Normal"/>
    <w:link w:val="Heading3Char"/>
    <w:qFormat/>
    <w:rsid w:val="00A60F14"/>
    <w:pPr>
      <w:keepNext/>
      <w:ind w:right="-60"/>
      <w:jc w:val="center"/>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Cambria"/>
      <w:b/>
      <w:bCs/>
      <w:kern w:val="32"/>
      <w:sz w:val="32"/>
      <w:szCs w:val="32"/>
      <w:lang w:val="fr-FR" w:eastAsia="en-US"/>
    </w:rPr>
  </w:style>
  <w:style w:type="character" w:customStyle="1" w:styleId="Heading2Char">
    <w:name w:val="Heading 2 Char"/>
    <w:link w:val="Heading2"/>
    <w:locked/>
    <w:rPr>
      <w:rFonts w:ascii="Cambria" w:hAnsi="Cambria" w:cs="Cambria"/>
      <w:b/>
      <w:bCs/>
      <w:i/>
      <w:iCs/>
      <w:sz w:val="28"/>
      <w:szCs w:val="28"/>
      <w:lang w:val="fr-FR" w:eastAsia="en-US"/>
    </w:rPr>
  </w:style>
  <w:style w:type="character" w:customStyle="1" w:styleId="Heading3Char">
    <w:name w:val="Heading 3 Char"/>
    <w:link w:val="Heading3"/>
    <w:locked/>
    <w:rPr>
      <w:rFonts w:ascii="Cambria" w:hAnsi="Cambria" w:cs="Cambria"/>
      <w:b/>
      <w:bCs/>
      <w:sz w:val="26"/>
      <w:szCs w:val="26"/>
      <w:lang w:val="fr-FR" w:eastAsia="en-US"/>
    </w:rPr>
  </w:style>
  <w:style w:type="paragraph" w:styleId="BodyTextIndent">
    <w:name w:val="Body Text Indent"/>
    <w:basedOn w:val="Normal"/>
    <w:link w:val="BodyTextIndentChar"/>
    <w:rsid w:val="00A60F14"/>
    <w:pPr>
      <w:ind w:left="720" w:hanging="720"/>
      <w:jc w:val="both"/>
    </w:pPr>
    <w:rPr>
      <w:rFonts w:cs="Times New Roman"/>
    </w:rPr>
  </w:style>
  <w:style w:type="character" w:customStyle="1" w:styleId="BodyTextIndentChar">
    <w:name w:val="Body Text Indent Char"/>
    <w:link w:val="BodyTextIndent"/>
    <w:semiHidden/>
    <w:locked/>
    <w:rPr>
      <w:rFonts w:ascii="Myriad Pro" w:hAnsi="Myriad Pro" w:cs="Myriad Pro"/>
      <w:sz w:val="24"/>
      <w:szCs w:val="24"/>
      <w:lang w:val="fr-FR" w:eastAsia="en-US"/>
    </w:rPr>
  </w:style>
  <w:style w:type="paragraph" w:styleId="BodyText">
    <w:name w:val="Body Text"/>
    <w:basedOn w:val="Normal"/>
    <w:link w:val="BodyTextChar"/>
    <w:rsid w:val="00A60F14"/>
    <w:rPr>
      <w:rFonts w:cs="Times New Roman"/>
    </w:rPr>
  </w:style>
  <w:style w:type="character" w:customStyle="1" w:styleId="BodyTextChar">
    <w:name w:val="Body Text Char"/>
    <w:link w:val="BodyText"/>
    <w:semiHidden/>
    <w:locked/>
    <w:rPr>
      <w:rFonts w:ascii="Myriad Pro" w:hAnsi="Myriad Pro" w:cs="Myriad Pro"/>
      <w:sz w:val="24"/>
      <w:szCs w:val="24"/>
      <w:lang w:val="fr-FR" w:eastAsia="en-US"/>
    </w:rPr>
  </w:style>
  <w:style w:type="paragraph" w:styleId="BodyTextIndent2">
    <w:name w:val="Body Text Indent 2"/>
    <w:basedOn w:val="Normal"/>
    <w:link w:val="BodyTextIndent2Char"/>
    <w:rsid w:val="00A60F14"/>
    <w:pPr>
      <w:tabs>
        <w:tab w:val="left" w:pos="5040"/>
      </w:tabs>
      <w:ind w:left="990" w:hanging="414"/>
    </w:pPr>
    <w:rPr>
      <w:rFonts w:cs="Times New Roman"/>
    </w:rPr>
  </w:style>
  <w:style w:type="character" w:customStyle="1" w:styleId="BodyTextIndent2Char">
    <w:name w:val="Body Text Indent 2 Char"/>
    <w:link w:val="BodyTextIndent2"/>
    <w:semiHidden/>
    <w:locked/>
    <w:rPr>
      <w:rFonts w:ascii="Myriad Pro" w:hAnsi="Myriad Pro" w:cs="Myriad Pro"/>
      <w:sz w:val="24"/>
      <w:szCs w:val="24"/>
      <w:lang w:val="fr-FR" w:eastAsia="en-US"/>
    </w:rPr>
  </w:style>
  <w:style w:type="paragraph" w:styleId="BodyTextIndent3">
    <w:name w:val="Body Text Indent 3"/>
    <w:basedOn w:val="Normal"/>
    <w:link w:val="BodyTextIndent3Char"/>
    <w:rsid w:val="00A60F14"/>
    <w:pPr>
      <w:ind w:left="720" w:hanging="720"/>
    </w:pPr>
    <w:rPr>
      <w:rFonts w:cs="Times New Roman"/>
      <w:sz w:val="16"/>
      <w:szCs w:val="16"/>
    </w:rPr>
  </w:style>
  <w:style w:type="character" w:customStyle="1" w:styleId="BodyTextIndent3Char">
    <w:name w:val="Body Text Indent 3 Char"/>
    <w:link w:val="BodyTextIndent3"/>
    <w:semiHidden/>
    <w:locked/>
    <w:rPr>
      <w:rFonts w:ascii="Myriad Pro" w:hAnsi="Myriad Pro" w:cs="Myriad Pro"/>
      <w:sz w:val="16"/>
      <w:szCs w:val="16"/>
      <w:lang w:val="fr-FR" w:eastAsia="en-US"/>
    </w:rPr>
  </w:style>
  <w:style w:type="paragraph" w:styleId="BalloonText">
    <w:name w:val="Balloon Text"/>
    <w:basedOn w:val="Normal"/>
    <w:link w:val="BalloonTextChar"/>
    <w:semiHidden/>
    <w:rsid w:val="00137721"/>
    <w:rPr>
      <w:rFonts w:ascii="Times New Roman" w:hAnsi="Times New Roman" w:cs="Times New Roman"/>
      <w:sz w:val="2"/>
      <w:szCs w:val="2"/>
    </w:rPr>
  </w:style>
  <w:style w:type="character" w:customStyle="1" w:styleId="BalloonTextChar">
    <w:name w:val="Balloon Text Char"/>
    <w:link w:val="BalloonText"/>
    <w:semiHidden/>
    <w:locked/>
    <w:rPr>
      <w:sz w:val="2"/>
      <w:szCs w:val="2"/>
      <w:lang w:val="fr-FR" w:eastAsia="en-US"/>
    </w:rPr>
  </w:style>
  <w:style w:type="paragraph" w:styleId="NormalWeb">
    <w:name w:val="Normal (Web)"/>
    <w:basedOn w:val="Normal"/>
    <w:rsid w:val="0087259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rsid w:val="00B401F0"/>
    <w:pPr>
      <w:ind w:left="720"/>
    </w:pPr>
  </w:style>
  <w:style w:type="character" w:styleId="CommentReference">
    <w:name w:val="annotation reference"/>
    <w:semiHidden/>
    <w:rsid w:val="00461FA0"/>
    <w:rPr>
      <w:sz w:val="16"/>
      <w:szCs w:val="16"/>
    </w:rPr>
  </w:style>
  <w:style w:type="paragraph" w:styleId="CommentText">
    <w:name w:val="annotation text"/>
    <w:basedOn w:val="Normal"/>
    <w:link w:val="CommentTextChar"/>
    <w:semiHidden/>
    <w:rsid w:val="00461FA0"/>
    <w:rPr>
      <w:rFonts w:cs="Times New Roman"/>
      <w:sz w:val="20"/>
      <w:szCs w:val="20"/>
    </w:rPr>
  </w:style>
  <w:style w:type="character" w:customStyle="1" w:styleId="CommentTextChar">
    <w:name w:val="Comment Text Char"/>
    <w:link w:val="CommentText"/>
    <w:semiHidden/>
    <w:locked/>
    <w:rsid w:val="00461FA0"/>
    <w:rPr>
      <w:rFonts w:ascii="Myriad Pro" w:hAnsi="Myriad Pro" w:cs="Myriad Pro"/>
      <w:sz w:val="20"/>
      <w:szCs w:val="20"/>
      <w:lang w:val="fr-FR" w:eastAsia="en-US"/>
    </w:rPr>
  </w:style>
  <w:style w:type="paragraph" w:styleId="CommentSubject">
    <w:name w:val="annotation subject"/>
    <w:basedOn w:val="CommentText"/>
    <w:next w:val="CommentText"/>
    <w:link w:val="CommentSubjectChar"/>
    <w:semiHidden/>
    <w:rsid w:val="00461FA0"/>
    <w:rPr>
      <w:b/>
      <w:bCs/>
    </w:rPr>
  </w:style>
  <w:style w:type="character" w:customStyle="1" w:styleId="CommentSubjectChar">
    <w:name w:val="Comment Subject Char"/>
    <w:link w:val="CommentSubject"/>
    <w:semiHidden/>
    <w:locked/>
    <w:rsid w:val="00461FA0"/>
    <w:rPr>
      <w:rFonts w:ascii="Myriad Pro" w:hAnsi="Myriad Pro" w:cs="Myriad Pro"/>
      <w:b/>
      <w:bCs/>
      <w:sz w:val="20"/>
      <w:szCs w:val="20"/>
      <w:lang w:val="fr-FR" w:eastAsia="en-US"/>
    </w:rPr>
  </w:style>
  <w:style w:type="paragraph" w:styleId="Header">
    <w:name w:val="header"/>
    <w:basedOn w:val="Normal"/>
    <w:link w:val="HeaderChar"/>
    <w:rsid w:val="000E6B48"/>
    <w:pPr>
      <w:tabs>
        <w:tab w:val="center" w:pos="4680"/>
        <w:tab w:val="right" w:pos="9360"/>
      </w:tabs>
    </w:pPr>
    <w:rPr>
      <w:rFonts w:cs="Times New Roman"/>
    </w:rPr>
  </w:style>
  <w:style w:type="character" w:customStyle="1" w:styleId="HeaderChar">
    <w:name w:val="Header Char"/>
    <w:link w:val="Header"/>
    <w:locked/>
    <w:rsid w:val="000E6B48"/>
    <w:rPr>
      <w:rFonts w:ascii="Myriad Pro" w:hAnsi="Myriad Pro" w:cs="Myriad Pro"/>
      <w:sz w:val="24"/>
      <w:szCs w:val="24"/>
      <w:lang w:val="fr-FR" w:eastAsia="en-US"/>
    </w:rPr>
  </w:style>
  <w:style w:type="paragraph" w:styleId="Footer">
    <w:name w:val="footer"/>
    <w:basedOn w:val="Normal"/>
    <w:link w:val="FooterChar"/>
    <w:rsid w:val="000E6B48"/>
    <w:pPr>
      <w:tabs>
        <w:tab w:val="center" w:pos="4680"/>
        <w:tab w:val="right" w:pos="9360"/>
      </w:tabs>
    </w:pPr>
    <w:rPr>
      <w:rFonts w:cs="Times New Roman"/>
    </w:rPr>
  </w:style>
  <w:style w:type="character" w:customStyle="1" w:styleId="FooterChar">
    <w:name w:val="Footer Char"/>
    <w:link w:val="Footer"/>
    <w:locked/>
    <w:rsid w:val="000E6B48"/>
    <w:rPr>
      <w:rFonts w:ascii="Myriad Pro" w:hAnsi="Myriad Pro" w:cs="Myriad Pro"/>
      <w:sz w:val="24"/>
      <w:szCs w:val="24"/>
      <w:lang w:val="fr-FR" w:eastAsia="en-US"/>
    </w:rPr>
  </w:style>
  <w:style w:type="paragraph" w:styleId="NoSpacing">
    <w:name w:val="No Spacing"/>
    <w:link w:val="NoSpacingChar"/>
    <w:qFormat/>
    <w:rsid w:val="00E14206"/>
    <w:rPr>
      <w:rFonts w:ascii="Calibri" w:hAnsi="Calibri"/>
      <w:sz w:val="22"/>
      <w:szCs w:val="22"/>
    </w:rPr>
  </w:style>
  <w:style w:type="character" w:customStyle="1" w:styleId="NoSpacingChar">
    <w:name w:val="No Spacing Char"/>
    <w:link w:val="NoSpacing"/>
    <w:locked/>
    <w:rsid w:val="00E14206"/>
    <w:rPr>
      <w:rFonts w:ascii="Calibri" w:hAnsi="Calibri"/>
      <w:sz w:val="22"/>
      <w:szCs w:val="22"/>
      <w:lang w:val="en-US" w:eastAsia="en-US" w:bidi="ar-SA"/>
    </w:rPr>
  </w:style>
  <w:style w:type="paragraph" w:styleId="Revision">
    <w:name w:val="Revision"/>
    <w:hidden/>
    <w:semiHidden/>
    <w:rsid w:val="00F370EC"/>
    <w:rPr>
      <w:rFonts w:ascii="Myriad Pro" w:hAnsi="Myriad Pro" w:cs="Myriad Pro"/>
      <w:sz w:val="24"/>
      <w:szCs w:val="24"/>
      <w:lang w:val="fr-FR"/>
    </w:rPr>
  </w:style>
  <w:style w:type="table" w:styleId="TableGrid">
    <w:name w:val="Table Grid"/>
    <w:basedOn w:val="TableNormal"/>
    <w:rsid w:val="009D4FD4"/>
    <w:rPr>
      <w:rFonts w:ascii="Myriad Pro" w:hAnsi="Myriad Pro" w:cs="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5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F14"/>
    <w:rPr>
      <w:rFonts w:ascii="Myriad Pro" w:hAnsi="Myriad Pro" w:cs="Myriad Pro"/>
      <w:sz w:val="24"/>
      <w:szCs w:val="24"/>
      <w:lang w:val="fr-FR"/>
    </w:rPr>
  </w:style>
  <w:style w:type="paragraph" w:styleId="Heading1">
    <w:name w:val="heading 1"/>
    <w:basedOn w:val="Normal"/>
    <w:next w:val="Normal"/>
    <w:link w:val="Heading1Char"/>
    <w:qFormat/>
    <w:rsid w:val="00A60F14"/>
    <w:pPr>
      <w:keepNext/>
      <w:jc w:val="center"/>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60F14"/>
    <w:pPr>
      <w:keepNext/>
      <w:jc w:val="center"/>
      <w:outlineLvl w:val="1"/>
    </w:pPr>
    <w:rPr>
      <w:rFonts w:ascii="Cambria" w:hAnsi="Cambria" w:cs="Times New Roman"/>
      <w:b/>
      <w:bCs/>
      <w:i/>
      <w:iCs/>
      <w:sz w:val="28"/>
      <w:szCs w:val="28"/>
    </w:rPr>
  </w:style>
  <w:style w:type="paragraph" w:styleId="Heading3">
    <w:name w:val="heading 3"/>
    <w:basedOn w:val="Normal"/>
    <w:next w:val="Normal"/>
    <w:link w:val="Heading3Char"/>
    <w:qFormat/>
    <w:rsid w:val="00A60F14"/>
    <w:pPr>
      <w:keepNext/>
      <w:ind w:right="-60"/>
      <w:jc w:val="center"/>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Cambria"/>
      <w:b/>
      <w:bCs/>
      <w:kern w:val="32"/>
      <w:sz w:val="32"/>
      <w:szCs w:val="32"/>
      <w:lang w:val="fr-FR" w:eastAsia="en-US"/>
    </w:rPr>
  </w:style>
  <w:style w:type="character" w:customStyle="1" w:styleId="Heading2Char">
    <w:name w:val="Heading 2 Char"/>
    <w:link w:val="Heading2"/>
    <w:locked/>
    <w:rPr>
      <w:rFonts w:ascii="Cambria" w:hAnsi="Cambria" w:cs="Cambria"/>
      <w:b/>
      <w:bCs/>
      <w:i/>
      <w:iCs/>
      <w:sz w:val="28"/>
      <w:szCs w:val="28"/>
      <w:lang w:val="fr-FR" w:eastAsia="en-US"/>
    </w:rPr>
  </w:style>
  <w:style w:type="character" w:customStyle="1" w:styleId="Heading3Char">
    <w:name w:val="Heading 3 Char"/>
    <w:link w:val="Heading3"/>
    <w:locked/>
    <w:rPr>
      <w:rFonts w:ascii="Cambria" w:hAnsi="Cambria" w:cs="Cambria"/>
      <w:b/>
      <w:bCs/>
      <w:sz w:val="26"/>
      <w:szCs w:val="26"/>
      <w:lang w:val="fr-FR" w:eastAsia="en-US"/>
    </w:rPr>
  </w:style>
  <w:style w:type="paragraph" w:styleId="BodyTextIndent">
    <w:name w:val="Body Text Indent"/>
    <w:basedOn w:val="Normal"/>
    <w:link w:val="BodyTextIndentChar"/>
    <w:rsid w:val="00A60F14"/>
    <w:pPr>
      <w:ind w:left="720" w:hanging="720"/>
      <w:jc w:val="both"/>
    </w:pPr>
    <w:rPr>
      <w:rFonts w:cs="Times New Roman"/>
    </w:rPr>
  </w:style>
  <w:style w:type="character" w:customStyle="1" w:styleId="BodyTextIndentChar">
    <w:name w:val="Body Text Indent Char"/>
    <w:link w:val="BodyTextIndent"/>
    <w:semiHidden/>
    <w:locked/>
    <w:rPr>
      <w:rFonts w:ascii="Myriad Pro" w:hAnsi="Myriad Pro" w:cs="Myriad Pro"/>
      <w:sz w:val="24"/>
      <w:szCs w:val="24"/>
      <w:lang w:val="fr-FR" w:eastAsia="en-US"/>
    </w:rPr>
  </w:style>
  <w:style w:type="paragraph" w:styleId="BodyText">
    <w:name w:val="Body Text"/>
    <w:basedOn w:val="Normal"/>
    <w:link w:val="BodyTextChar"/>
    <w:rsid w:val="00A60F14"/>
    <w:rPr>
      <w:rFonts w:cs="Times New Roman"/>
    </w:rPr>
  </w:style>
  <w:style w:type="character" w:customStyle="1" w:styleId="BodyTextChar">
    <w:name w:val="Body Text Char"/>
    <w:link w:val="BodyText"/>
    <w:semiHidden/>
    <w:locked/>
    <w:rPr>
      <w:rFonts w:ascii="Myriad Pro" w:hAnsi="Myriad Pro" w:cs="Myriad Pro"/>
      <w:sz w:val="24"/>
      <w:szCs w:val="24"/>
      <w:lang w:val="fr-FR" w:eastAsia="en-US"/>
    </w:rPr>
  </w:style>
  <w:style w:type="paragraph" w:styleId="BodyTextIndent2">
    <w:name w:val="Body Text Indent 2"/>
    <w:basedOn w:val="Normal"/>
    <w:link w:val="BodyTextIndent2Char"/>
    <w:rsid w:val="00A60F14"/>
    <w:pPr>
      <w:tabs>
        <w:tab w:val="left" w:pos="5040"/>
      </w:tabs>
      <w:ind w:left="990" w:hanging="414"/>
    </w:pPr>
    <w:rPr>
      <w:rFonts w:cs="Times New Roman"/>
    </w:rPr>
  </w:style>
  <w:style w:type="character" w:customStyle="1" w:styleId="BodyTextIndent2Char">
    <w:name w:val="Body Text Indent 2 Char"/>
    <w:link w:val="BodyTextIndent2"/>
    <w:semiHidden/>
    <w:locked/>
    <w:rPr>
      <w:rFonts w:ascii="Myriad Pro" w:hAnsi="Myriad Pro" w:cs="Myriad Pro"/>
      <w:sz w:val="24"/>
      <w:szCs w:val="24"/>
      <w:lang w:val="fr-FR" w:eastAsia="en-US"/>
    </w:rPr>
  </w:style>
  <w:style w:type="paragraph" w:styleId="BodyTextIndent3">
    <w:name w:val="Body Text Indent 3"/>
    <w:basedOn w:val="Normal"/>
    <w:link w:val="BodyTextIndent3Char"/>
    <w:rsid w:val="00A60F14"/>
    <w:pPr>
      <w:ind w:left="720" w:hanging="720"/>
    </w:pPr>
    <w:rPr>
      <w:rFonts w:cs="Times New Roman"/>
      <w:sz w:val="16"/>
      <w:szCs w:val="16"/>
    </w:rPr>
  </w:style>
  <w:style w:type="character" w:customStyle="1" w:styleId="BodyTextIndent3Char">
    <w:name w:val="Body Text Indent 3 Char"/>
    <w:link w:val="BodyTextIndent3"/>
    <w:semiHidden/>
    <w:locked/>
    <w:rPr>
      <w:rFonts w:ascii="Myriad Pro" w:hAnsi="Myriad Pro" w:cs="Myriad Pro"/>
      <w:sz w:val="16"/>
      <w:szCs w:val="16"/>
      <w:lang w:val="fr-FR" w:eastAsia="en-US"/>
    </w:rPr>
  </w:style>
  <w:style w:type="paragraph" w:styleId="BalloonText">
    <w:name w:val="Balloon Text"/>
    <w:basedOn w:val="Normal"/>
    <w:link w:val="BalloonTextChar"/>
    <w:semiHidden/>
    <w:rsid w:val="00137721"/>
    <w:rPr>
      <w:rFonts w:ascii="Times New Roman" w:hAnsi="Times New Roman" w:cs="Times New Roman"/>
      <w:sz w:val="2"/>
      <w:szCs w:val="2"/>
    </w:rPr>
  </w:style>
  <w:style w:type="character" w:customStyle="1" w:styleId="BalloonTextChar">
    <w:name w:val="Balloon Text Char"/>
    <w:link w:val="BalloonText"/>
    <w:semiHidden/>
    <w:locked/>
    <w:rPr>
      <w:sz w:val="2"/>
      <w:szCs w:val="2"/>
      <w:lang w:val="fr-FR" w:eastAsia="en-US"/>
    </w:rPr>
  </w:style>
  <w:style w:type="paragraph" w:styleId="NormalWeb">
    <w:name w:val="Normal (Web)"/>
    <w:basedOn w:val="Normal"/>
    <w:rsid w:val="0087259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rsid w:val="00B401F0"/>
    <w:pPr>
      <w:ind w:left="720"/>
    </w:pPr>
  </w:style>
  <w:style w:type="character" w:styleId="CommentReference">
    <w:name w:val="annotation reference"/>
    <w:semiHidden/>
    <w:rsid w:val="00461FA0"/>
    <w:rPr>
      <w:sz w:val="16"/>
      <w:szCs w:val="16"/>
    </w:rPr>
  </w:style>
  <w:style w:type="paragraph" w:styleId="CommentText">
    <w:name w:val="annotation text"/>
    <w:basedOn w:val="Normal"/>
    <w:link w:val="CommentTextChar"/>
    <w:semiHidden/>
    <w:rsid w:val="00461FA0"/>
    <w:rPr>
      <w:rFonts w:cs="Times New Roman"/>
      <w:sz w:val="20"/>
      <w:szCs w:val="20"/>
    </w:rPr>
  </w:style>
  <w:style w:type="character" w:customStyle="1" w:styleId="CommentTextChar">
    <w:name w:val="Comment Text Char"/>
    <w:link w:val="CommentText"/>
    <w:semiHidden/>
    <w:locked/>
    <w:rsid w:val="00461FA0"/>
    <w:rPr>
      <w:rFonts w:ascii="Myriad Pro" w:hAnsi="Myriad Pro" w:cs="Myriad Pro"/>
      <w:sz w:val="20"/>
      <w:szCs w:val="20"/>
      <w:lang w:val="fr-FR" w:eastAsia="en-US"/>
    </w:rPr>
  </w:style>
  <w:style w:type="paragraph" w:styleId="CommentSubject">
    <w:name w:val="annotation subject"/>
    <w:basedOn w:val="CommentText"/>
    <w:next w:val="CommentText"/>
    <w:link w:val="CommentSubjectChar"/>
    <w:semiHidden/>
    <w:rsid w:val="00461FA0"/>
    <w:rPr>
      <w:b/>
      <w:bCs/>
    </w:rPr>
  </w:style>
  <w:style w:type="character" w:customStyle="1" w:styleId="CommentSubjectChar">
    <w:name w:val="Comment Subject Char"/>
    <w:link w:val="CommentSubject"/>
    <w:semiHidden/>
    <w:locked/>
    <w:rsid w:val="00461FA0"/>
    <w:rPr>
      <w:rFonts w:ascii="Myriad Pro" w:hAnsi="Myriad Pro" w:cs="Myriad Pro"/>
      <w:b/>
      <w:bCs/>
      <w:sz w:val="20"/>
      <w:szCs w:val="20"/>
      <w:lang w:val="fr-FR" w:eastAsia="en-US"/>
    </w:rPr>
  </w:style>
  <w:style w:type="paragraph" w:styleId="Header">
    <w:name w:val="header"/>
    <w:basedOn w:val="Normal"/>
    <w:link w:val="HeaderChar"/>
    <w:rsid w:val="000E6B48"/>
    <w:pPr>
      <w:tabs>
        <w:tab w:val="center" w:pos="4680"/>
        <w:tab w:val="right" w:pos="9360"/>
      </w:tabs>
    </w:pPr>
    <w:rPr>
      <w:rFonts w:cs="Times New Roman"/>
    </w:rPr>
  </w:style>
  <w:style w:type="character" w:customStyle="1" w:styleId="HeaderChar">
    <w:name w:val="Header Char"/>
    <w:link w:val="Header"/>
    <w:locked/>
    <w:rsid w:val="000E6B48"/>
    <w:rPr>
      <w:rFonts w:ascii="Myriad Pro" w:hAnsi="Myriad Pro" w:cs="Myriad Pro"/>
      <w:sz w:val="24"/>
      <w:szCs w:val="24"/>
      <w:lang w:val="fr-FR" w:eastAsia="en-US"/>
    </w:rPr>
  </w:style>
  <w:style w:type="paragraph" w:styleId="Footer">
    <w:name w:val="footer"/>
    <w:basedOn w:val="Normal"/>
    <w:link w:val="FooterChar"/>
    <w:rsid w:val="000E6B48"/>
    <w:pPr>
      <w:tabs>
        <w:tab w:val="center" w:pos="4680"/>
        <w:tab w:val="right" w:pos="9360"/>
      </w:tabs>
    </w:pPr>
    <w:rPr>
      <w:rFonts w:cs="Times New Roman"/>
    </w:rPr>
  </w:style>
  <w:style w:type="character" w:customStyle="1" w:styleId="FooterChar">
    <w:name w:val="Footer Char"/>
    <w:link w:val="Footer"/>
    <w:locked/>
    <w:rsid w:val="000E6B48"/>
    <w:rPr>
      <w:rFonts w:ascii="Myriad Pro" w:hAnsi="Myriad Pro" w:cs="Myriad Pro"/>
      <w:sz w:val="24"/>
      <w:szCs w:val="24"/>
      <w:lang w:val="fr-FR" w:eastAsia="en-US"/>
    </w:rPr>
  </w:style>
  <w:style w:type="paragraph" w:styleId="NoSpacing">
    <w:name w:val="No Spacing"/>
    <w:link w:val="NoSpacingChar"/>
    <w:qFormat/>
    <w:rsid w:val="00E14206"/>
    <w:rPr>
      <w:rFonts w:ascii="Calibri" w:hAnsi="Calibri"/>
      <w:sz w:val="22"/>
      <w:szCs w:val="22"/>
    </w:rPr>
  </w:style>
  <w:style w:type="character" w:customStyle="1" w:styleId="NoSpacingChar">
    <w:name w:val="No Spacing Char"/>
    <w:link w:val="NoSpacing"/>
    <w:locked/>
    <w:rsid w:val="00E14206"/>
    <w:rPr>
      <w:rFonts w:ascii="Calibri" w:hAnsi="Calibri"/>
      <w:sz w:val="22"/>
      <w:szCs w:val="22"/>
      <w:lang w:val="en-US" w:eastAsia="en-US" w:bidi="ar-SA"/>
    </w:rPr>
  </w:style>
  <w:style w:type="paragraph" w:styleId="Revision">
    <w:name w:val="Revision"/>
    <w:hidden/>
    <w:semiHidden/>
    <w:rsid w:val="00F370EC"/>
    <w:rPr>
      <w:rFonts w:ascii="Myriad Pro" w:hAnsi="Myriad Pro" w:cs="Myriad Pro"/>
      <w:sz w:val="24"/>
      <w:szCs w:val="24"/>
      <w:lang w:val="fr-FR"/>
    </w:rPr>
  </w:style>
  <w:style w:type="table" w:styleId="TableGrid">
    <w:name w:val="Table Grid"/>
    <w:basedOn w:val="TableNormal"/>
    <w:rsid w:val="009D4FD4"/>
    <w:rPr>
      <w:rFonts w:ascii="Myriad Pro" w:hAnsi="Myriad Pro" w:cs="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5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easury.cash.management@undp.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POPP-11-2362</_dlc_DocId>
    <_dlc_DocIdUrl xmlns="8264c5cc-ec60-4b56-8111-ce635d3d139a">
      <Url>https://popp.undp.org/_layouts/15/DocIdRedir.aspx?ID=POPP-11-2362</Url>
      <Description>POPP-11-2362</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Directives sur la préparation de l'invitation à soumissionner pour des services bancaires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3A79595-EAFF-4291-8EC6-AE657388CDA2}"/>
</file>

<file path=customXml/itemProps2.xml><?xml version="1.0" encoding="utf-8"?>
<ds:datastoreItem xmlns:ds="http://schemas.openxmlformats.org/officeDocument/2006/customXml" ds:itemID="{FBF8A4F3-556C-435B-B194-A838DDAB9EA2}"/>
</file>

<file path=customXml/itemProps3.xml><?xml version="1.0" encoding="utf-8"?>
<ds:datastoreItem xmlns:ds="http://schemas.openxmlformats.org/officeDocument/2006/customXml" ds:itemID="{692E46A7-8CC3-4549-8ABB-9CA364BFB65C}"/>
</file>

<file path=customXml/itemProps4.xml><?xml version="1.0" encoding="utf-8"?>
<ds:datastoreItem xmlns:ds="http://schemas.openxmlformats.org/officeDocument/2006/customXml" ds:itemID="{29B67CEA-D4EB-47AC-B0EE-8E184FD21D1F}"/>
</file>

<file path=customXml/itemProps5.xml><?xml version="1.0" encoding="utf-8"?>
<ds:datastoreItem xmlns:ds="http://schemas.openxmlformats.org/officeDocument/2006/customXml" ds:itemID="{8F1A6D44-57F6-463F-AE58-FFB167CC9381}"/>
</file>

<file path=customXml/itemProps6.xml><?xml version="1.0" encoding="utf-8"?>
<ds:datastoreItem xmlns:ds="http://schemas.openxmlformats.org/officeDocument/2006/customXml" ds:itemID="{0A0800DF-423D-4763-870D-2F5A3EAD36B4}"/>
</file>

<file path=docProps/app.xml><?xml version="1.0" encoding="utf-8"?>
<Properties xmlns="http://schemas.openxmlformats.org/officeDocument/2006/extended-properties" xmlns:vt="http://schemas.openxmlformats.org/officeDocument/2006/docPropsVTypes">
  <Template>Normal</Template>
  <TotalTime>1</TotalTime>
  <Pages>12</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GUIDELINES ON USE OF THE TEMPLATE RFP FOR BANKING SERVICES</vt:lpstr>
    </vt:vector>
  </TitlesOfParts>
  <Company>Microsoft</Company>
  <LinksUpToDate>false</LinksUpToDate>
  <CharactersWithSpaces>23269</CharactersWithSpaces>
  <SharedDoc>false</SharedDoc>
  <HLinks>
    <vt:vector size="6" baseType="variant">
      <vt:variant>
        <vt:i4>6553682</vt:i4>
      </vt:variant>
      <vt:variant>
        <vt:i4>0</vt:i4>
      </vt:variant>
      <vt:variant>
        <vt:i4>0</vt:i4>
      </vt:variant>
      <vt:variant>
        <vt:i4>5</vt:i4>
      </vt:variant>
      <vt:variant>
        <vt:lpwstr>mailto:treasury.cash.management@undp.org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USE OF THE TEMPLATE RFP FOR BANKING SERVICES</dc:title>
  <dc:creator>nick.brown</dc:creator>
  <cp:lastModifiedBy>user</cp:lastModifiedBy>
  <cp:revision>2</cp:revision>
  <cp:lastPrinted>2011-07-27T14:57:00Z</cp:lastPrinted>
  <dcterms:created xsi:type="dcterms:W3CDTF">2012-03-02T22:09:00Z</dcterms:created>
  <dcterms:modified xsi:type="dcterms:W3CDTF">2012-03-02T22:09:00Z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602986b0-43b3-4a10-8271-68b0949e5cc1</vt:lpwstr>
  </property>
  <property fmtid="{D5CDD505-2E9C-101B-9397-08002B2CF9AE}" pid="4" name="UNDPPOPPKeywords">
    <vt:lpwstr>864;#Procurement of banking services|f020c32d-283a-4328-af3a-8de184a1cb3e</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