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BED9" w14:textId="77777777" w:rsidR="00747C28" w:rsidRPr="000A02AA" w:rsidRDefault="00747C28" w:rsidP="00747C28">
      <w:pPr>
        <w:spacing w:after="0" w:line="240" w:lineRule="auto"/>
        <w:jc w:val="center"/>
        <w:rPr>
          <w:rFonts w:ascii="Calibri" w:eastAsia="Times New Roman" w:hAnsi="Calibri" w:cs="Calibri"/>
          <w:snapToGrid w:val="0"/>
          <w:kern w:val="0"/>
          <w:sz w:val="28"/>
          <w:lang w:val="es-ES" w:eastAsia="es-ES"/>
          <w14:ligatures w14:val="none"/>
        </w:rPr>
      </w:pPr>
      <w:r w:rsidRPr="000A02AA">
        <w:rPr>
          <w:rFonts w:ascii="Calibri" w:eastAsia="Times New Roman" w:hAnsi="Calibri" w:cs="Calibri"/>
          <w:b/>
          <w:snapToGrid w:val="0"/>
          <w:kern w:val="0"/>
          <w:sz w:val="28"/>
          <w:lang w:val="es-ES" w:eastAsia="es-ES"/>
          <w14:ligatures w14:val="none"/>
        </w:rPr>
        <w:t xml:space="preserve">LLAMADO A LICITACIÓN DE SERVICIOS BANCARIOS: </w:t>
      </w:r>
      <w:r w:rsidRPr="000A02AA">
        <w:rPr>
          <w:rFonts w:ascii="Calibri" w:eastAsia="Times New Roman" w:hAnsi="Calibri" w:cs="Calibri"/>
          <w:b/>
          <w:snapToGrid w:val="0"/>
          <w:kern w:val="0"/>
          <w:sz w:val="28"/>
          <w:lang w:val="es-ES" w:eastAsia="es-ES"/>
          <w14:ligatures w14:val="none"/>
        </w:rPr>
        <w:br/>
        <w:t>GUÍA PARA EL USUARIO</w:t>
      </w:r>
    </w:p>
    <w:p w14:paraId="54A444AD" w14:textId="77777777" w:rsidR="00747C28" w:rsidRPr="000A02AA" w:rsidRDefault="00747C28" w:rsidP="00747C28">
      <w:pPr>
        <w:spacing w:after="0" w:line="240" w:lineRule="auto"/>
        <w:jc w:val="center"/>
        <w:rPr>
          <w:rFonts w:ascii="Calibri" w:eastAsia="Times New Roman" w:hAnsi="Calibri" w:cs="Calibri"/>
          <w:snapToGrid w:val="0"/>
          <w:kern w:val="0"/>
          <w:sz w:val="28"/>
          <w:lang w:val="es-ES" w:eastAsia="es-ES"/>
          <w14:ligatures w14:val="none"/>
        </w:rPr>
      </w:pPr>
    </w:p>
    <w:p w14:paraId="3CEB8361" w14:textId="77777777" w:rsidR="00747C28" w:rsidRPr="000A02AA" w:rsidRDefault="00747C28" w:rsidP="00747C28">
      <w:pPr>
        <w:numPr>
          <w:ilvl w:val="0"/>
          <w:numId w:val="5"/>
        </w:numPr>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El propósito</w:t>
      </w:r>
      <w:r w:rsidRPr="000A02AA">
        <w:rPr>
          <w:rFonts w:ascii="Calibri" w:eastAsia="Times New Roman" w:hAnsi="Calibri" w:cs="Calibri"/>
          <w:snapToGrid w:val="0"/>
          <w:kern w:val="0"/>
          <w:lang w:val="es-ES" w:eastAsia="es-ES"/>
          <w14:ligatures w14:val="none"/>
        </w:rPr>
        <w:t xml:space="preserve"> de esta guía es orientar a las oficinas del PNUD en el proceso de Licitación de la prestación de servicios bancarios. En conformidad con las políticas y procedimientos de adquisiciones del PNUD, este debe ser un proceso competitivo de licitación. </w:t>
      </w:r>
      <w:r w:rsidRPr="000A02AA">
        <w:rPr>
          <w:rFonts w:ascii="Calibri" w:eastAsia="Times New Roman" w:hAnsi="Calibri" w:cs="Calibri"/>
          <w:noProof/>
          <w:snapToGrid w:val="0"/>
          <w:kern w:val="0"/>
          <w:lang w:val="es-ES" w:eastAsia="es-ES"/>
          <w14:ligatures w14:val="none"/>
        </w:rPr>
        <w:t>[</w:t>
      </w:r>
      <w:r w:rsidRPr="000A02AA">
        <w:rPr>
          <w:rFonts w:ascii="Calibri" w:eastAsia="Times New Roman" w:hAnsi="Calibri" w:cs="Calibri"/>
          <w:i/>
          <w:noProof/>
          <w:snapToGrid w:val="0"/>
          <w:color w:val="FF0000"/>
          <w:kern w:val="0"/>
          <w:lang w:val="es-ES" w:eastAsia="es-ES"/>
          <w14:ligatures w14:val="none"/>
        </w:rPr>
        <w:t>Más información en la sección “Principios de adquisiciones” de la Guía para el usuario”.</w:t>
      </w:r>
      <w:r w:rsidRPr="000A02AA">
        <w:rPr>
          <w:rFonts w:ascii="Calibri" w:eastAsia="Times New Roman" w:hAnsi="Calibri" w:cs="Calibri"/>
          <w:noProof/>
          <w:snapToGrid w:val="0"/>
          <w:kern w:val="0"/>
          <w:lang w:val="es-ES" w:eastAsia="es-ES"/>
          <w14:ligatures w14:val="none"/>
        </w:rPr>
        <w:t>]</w:t>
      </w:r>
      <w:r w:rsidRPr="000A02AA">
        <w:rPr>
          <w:rFonts w:ascii="Calibri" w:eastAsia="Times New Roman" w:hAnsi="Calibri" w:cs="Calibri"/>
          <w:snapToGrid w:val="0"/>
          <w:kern w:val="0"/>
          <w:lang w:val="es-ES" w:eastAsia="es-ES"/>
          <w14:ligatures w14:val="none"/>
        </w:rPr>
        <w:t xml:space="preserve"> </w:t>
      </w:r>
    </w:p>
    <w:p w14:paraId="321BF49C" w14:textId="77777777" w:rsidR="00747C28" w:rsidRPr="000A02AA" w:rsidRDefault="00747C28" w:rsidP="00747C28">
      <w:pPr>
        <w:spacing w:after="0" w:line="240" w:lineRule="auto"/>
        <w:jc w:val="both"/>
        <w:rPr>
          <w:rFonts w:ascii="Calibri" w:eastAsia="Times New Roman" w:hAnsi="Calibri" w:cs="Calibri"/>
          <w:snapToGrid w:val="0"/>
          <w:kern w:val="0"/>
          <w:lang w:val="es-ES" w:eastAsia="es-ES"/>
          <w14:ligatures w14:val="none"/>
        </w:rPr>
      </w:pPr>
    </w:p>
    <w:p w14:paraId="7583CC60" w14:textId="77777777" w:rsidR="00747C28" w:rsidRPr="000A02AA" w:rsidRDefault="00747C28" w:rsidP="00747C28">
      <w:pPr>
        <w:numPr>
          <w:ilvl w:val="0"/>
          <w:numId w:val="5"/>
        </w:numPr>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En virtud de la regla 125.01 del Reglamento y la Reglamentación Financiera del PNUD, el Administrador ha delegado en el Tesorero</w:t>
      </w:r>
      <w:r w:rsidRPr="000A02AA">
        <w:rPr>
          <w:rFonts w:ascii="Calibri" w:eastAsia="Times New Roman" w:hAnsi="Calibri" w:cs="Calibri"/>
          <w:b/>
          <w:snapToGrid w:val="0"/>
          <w:kern w:val="0"/>
          <w:lang w:val="es-ES" w:eastAsia="es-ES"/>
          <w14:ligatures w14:val="none"/>
        </w:rPr>
        <w:t xml:space="preserve"> la responsabilidad</w:t>
      </w:r>
      <w:r w:rsidRPr="000A02AA">
        <w:rPr>
          <w:rFonts w:ascii="Calibri" w:eastAsia="Times New Roman" w:hAnsi="Calibri" w:cs="Calibri"/>
          <w:snapToGrid w:val="0"/>
          <w:kern w:val="0"/>
          <w:lang w:val="es-ES" w:eastAsia="es-ES"/>
          <w14:ligatures w14:val="none"/>
        </w:rPr>
        <w:t xml:space="preserve"> de la adjudicación de un contrato de prestación de servicios bancarios a una entidad bancaria. En el marco de este proceso, solo el Tesorero puede aprobar la recomendación del Representante residente o del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Oficina. Esta aprobación se traduce en la elaboración de un contrato, denominado Contrato de servicios bancarios [</w:t>
      </w:r>
      <w:r w:rsidRPr="000A02AA">
        <w:rPr>
          <w:rFonts w:ascii="Calibri" w:eastAsia="Times New Roman" w:hAnsi="Calibri" w:cs="Calibri"/>
          <w:snapToGrid w:val="0"/>
          <w:color w:val="FF0000"/>
          <w:kern w:val="0"/>
          <w:lang w:val="es-ES" w:eastAsia="es-ES"/>
          <w14:ligatures w14:val="none"/>
        </w:rPr>
        <w:t>Contrato</w:t>
      </w:r>
      <w:r w:rsidRPr="000A02AA">
        <w:rPr>
          <w:rFonts w:ascii="Calibri" w:eastAsia="Times New Roman" w:hAnsi="Calibri" w:cs="Calibri"/>
          <w:snapToGrid w:val="0"/>
          <w:kern w:val="0"/>
          <w:lang w:val="es-ES" w:eastAsia="es-ES"/>
          <w14:ligatures w14:val="none"/>
        </w:rPr>
        <w:t xml:space="preserve">]. El Tesorero puede delegar la firma de este Contrato en el Representante residente o en el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Oficina.</w:t>
      </w:r>
    </w:p>
    <w:p w14:paraId="5C44788F" w14:textId="77777777" w:rsidR="00747C28" w:rsidRPr="000A02AA" w:rsidRDefault="00747C28" w:rsidP="00747C28">
      <w:pPr>
        <w:spacing w:after="0" w:line="240" w:lineRule="auto"/>
        <w:jc w:val="both"/>
        <w:rPr>
          <w:rFonts w:ascii="Calibri" w:eastAsia="Times New Roman" w:hAnsi="Calibri" w:cs="Calibri"/>
          <w:snapToGrid w:val="0"/>
          <w:kern w:val="0"/>
          <w:lang w:val="es-ES" w:eastAsia="es-ES"/>
          <w14:ligatures w14:val="none"/>
        </w:rPr>
      </w:pPr>
    </w:p>
    <w:p w14:paraId="49D1DF30" w14:textId="77777777" w:rsidR="00747C28" w:rsidRPr="000A02AA" w:rsidRDefault="00747C28" w:rsidP="00747C28">
      <w:pPr>
        <w:numPr>
          <w:ilvl w:val="0"/>
          <w:numId w:val="5"/>
        </w:numPr>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En este proceso de Licitación de servicios bancarios se ha de aplicar </w:t>
      </w:r>
      <w:r w:rsidRPr="000A02AA">
        <w:rPr>
          <w:rFonts w:ascii="Calibri" w:eastAsia="Times New Roman" w:hAnsi="Calibri" w:cs="Calibri"/>
          <w:b/>
          <w:snapToGrid w:val="0"/>
          <w:kern w:val="0"/>
          <w:lang w:val="es-ES" w:eastAsia="es-ES"/>
          <w14:ligatures w14:val="none"/>
        </w:rPr>
        <w:t>el principio de Una ONU</w:t>
      </w:r>
      <w:r w:rsidRPr="000A02AA">
        <w:rPr>
          <w:rFonts w:ascii="Calibri" w:eastAsia="Times New Roman" w:hAnsi="Calibri" w:cs="Calibri"/>
          <w:snapToGrid w:val="0"/>
          <w:kern w:val="0"/>
          <w:lang w:val="es-ES" w:eastAsia="es-ES"/>
          <w14:ligatures w14:val="none"/>
        </w:rPr>
        <w:t xml:space="preserve"> y, por ende, se deberá invitar a participar en este proceso a todos los organismos de la ONU que tengan proveedores de servicios bancarios en el país [</w:t>
      </w:r>
      <w:r w:rsidRPr="000A02AA">
        <w:rPr>
          <w:rFonts w:ascii="Calibri" w:eastAsia="Times New Roman" w:hAnsi="Calibri" w:cs="Calibri"/>
          <w:i/>
          <w:snapToGrid w:val="0"/>
          <w:color w:val="FF0000"/>
          <w:kern w:val="0"/>
          <w:lang w:val="es-ES" w:eastAsia="es-ES"/>
          <w14:ligatures w14:val="none"/>
        </w:rPr>
        <w:t>excepto los organismos Atlas que utilizan los servicios bancarios de las oficinas del PNUD en los países</w:t>
      </w:r>
      <w:r w:rsidRPr="000A02AA">
        <w:rPr>
          <w:rFonts w:ascii="Calibri" w:eastAsia="Times New Roman" w:hAnsi="Calibri" w:cs="Calibri"/>
          <w:snapToGrid w:val="0"/>
          <w:kern w:val="0"/>
          <w:lang w:val="es-ES" w:eastAsia="es-ES"/>
          <w14:ligatures w14:val="none"/>
        </w:rPr>
        <w:t xml:space="preserve">]. Sin embargo, la participación en la Licitación </w:t>
      </w:r>
      <w:r w:rsidRPr="000A02AA">
        <w:rPr>
          <w:rFonts w:ascii="Calibri" w:eastAsia="Times New Roman" w:hAnsi="Calibri" w:cs="Calibri"/>
          <w:b/>
          <w:snapToGrid w:val="0"/>
          <w:kern w:val="0"/>
          <w:lang w:val="es-ES" w:eastAsia="es-ES"/>
          <w14:ligatures w14:val="none"/>
        </w:rPr>
        <w:t>no es obligatoria</w:t>
      </w:r>
      <w:r w:rsidRPr="000A02AA">
        <w:rPr>
          <w:rFonts w:ascii="Calibri" w:eastAsia="Times New Roman" w:hAnsi="Calibri" w:cs="Calibri"/>
          <w:snapToGrid w:val="0"/>
          <w:kern w:val="0"/>
          <w:lang w:val="es-ES" w:eastAsia="es-ES"/>
          <w14:ligatures w14:val="none"/>
        </w:rPr>
        <w:t>.</w:t>
      </w:r>
    </w:p>
    <w:p w14:paraId="136C1B18"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w:t>
      </w:r>
    </w:p>
    <w:p w14:paraId="3558155A" w14:textId="77777777" w:rsidR="00747C28" w:rsidRPr="000A02AA" w:rsidRDefault="00747C28" w:rsidP="00747C28">
      <w:pPr>
        <w:numPr>
          <w:ilvl w:val="0"/>
          <w:numId w:val="5"/>
        </w:numPr>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Las oficinas del PNUD en el país y los organismos de la ONU que participen en el proceso de adquisición de servicios bancarios deberán compartir de manera equitativa </w:t>
      </w:r>
      <w:r w:rsidRPr="000A02AA">
        <w:rPr>
          <w:rFonts w:ascii="Calibri" w:eastAsia="Times New Roman" w:hAnsi="Calibri" w:cs="Calibri"/>
          <w:b/>
          <w:snapToGrid w:val="0"/>
          <w:kern w:val="0"/>
          <w:lang w:val="es-ES" w:eastAsia="es-ES"/>
          <w14:ligatures w14:val="none"/>
        </w:rPr>
        <w:t>los costos</w:t>
      </w:r>
      <w:r w:rsidRPr="000A02AA">
        <w:rPr>
          <w:rFonts w:ascii="Calibri" w:eastAsia="Times New Roman" w:hAnsi="Calibri" w:cs="Calibri"/>
          <w:snapToGrid w:val="0"/>
          <w:kern w:val="0"/>
          <w:lang w:val="es-ES" w:eastAsia="es-ES"/>
          <w14:ligatures w14:val="none"/>
        </w:rPr>
        <w:t xml:space="preserve"> incurridos en este, </w:t>
      </w:r>
      <w:proofErr w:type="gramStart"/>
      <w:r w:rsidRPr="000A02AA">
        <w:rPr>
          <w:rFonts w:ascii="Calibri" w:eastAsia="Times New Roman" w:hAnsi="Calibri" w:cs="Calibri"/>
          <w:snapToGrid w:val="0"/>
          <w:kern w:val="0"/>
          <w:lang w:val="es-ES" w:eastAsia="es-ES"/>
          <w14:ligatures w14:val="none"/>
        </w:rPr>
        <w:t>como</w:t>
      </w:r>
      <w:proofErr w:type="gramEnd"/>
      <w:r w:rsidRPr="000A02AA">
        <w:rPr>
          <w:rFonts w:ascii="Calibri" w:eastAsia="Times New Roman" w:hAnsi="Calibri" w:cs="Calibri"/>
          <w:snapToGrid w:val="0"/>
          <w:kern w:val="0"/>
          <w:lang w:val="es-ES" w:eastAsia="es-ES"/>
          <w14:ligatures w14:val="none"/>
        </w:rPr>
        <w:t xml:space="preserve"> por ejemplo, la impresión y difusión del documento de Llamado a licitación. Las oficinas del PNUD en el país deberán calcular estos costos con anticipación, informar a los organismos de la ONU que participan en el proceso y obtener, por escrito, su consentimiento para compartir los costos. La oficina del PNUD en el país será la responsable de la recuperación local de los costos incurridos en el proceso de llamado a licitación de servicios bancarios.</w:t>
      </w:r>
    </w:p>
    <w:p w14:paraId="0F37E8ED"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6EEF8DA8"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771A63C2" w14:textId="77777777" w:rsidR="00747C28" w:rsidRPr="000A02AA" w:rsidRDefault="00747C28" w:rsidP="00747C28">
      <w:pPr>
        <w:numPr>
          <w:ilvl w:val="0"/>
          <w:numId w:val="5"/>
        </w:numPr>
        <w:spacing w:after="0" w:line="240" w:lineRule="auto"/>
        <w:contextualSpacing/>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El llamado a licitación deberá contener los siguientes documentos:</w:t>
      </w:r>
      <w:r w:rsidRPr="000A02AA">
        <w:rPr>
          <w:rFonts w:ascii="Calibri" w:eastAsia="Times New Roman" w:hAnsi="Calibri" w:cs="Calibri"/>
          <w:snapToGrid w:val="0"/>
          <w:kern w:val="0"/>
          <w:lang w:val="es-ES" w:eastAsia="es-ES"/>
          <w14:ligatures w14:val="none"/>
        </w:rPr>
        <w:br/>
      </w:r>
    </w:p>
    <w:p w14:paraId="4A7201E3"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Carta de presentación</w:t>
      </w:r>
    </w:p>
    <w:p w14:paraId="12BF3769"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1: Carta de invitación</w:t>
      </w:r>
    </w:p>
    <w:p w14:paraId="4CBD77BB"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2: Instrucciones a los Licitantes</w:t>
      </w:r>
    </w:p>
    <w:p w14:paraId="1BA730CE"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2: Hoja de datos</w:t>
      </w:r>
    </w:p>
    <w:p w14:paraId="78080994"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3: Términos de referencia (TOR)</w:t>
      </w:r>
    </w:p>
    <w:p w14:paraId="67645C30"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4: Modelo de presentación de la oferta</w:t>
      </w:r>
    </w:p>
    <w:p w14:paraId="10318D29"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5: Modelo de oferta técnica</w:t>
      </w:r>
    </w:p>
    <w:p w14:paraId="58010AB3"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6: Modelo de oferta financiera</w:t>
      </w:r>
    </w:p>
    <w:p w14:paraId="3B0466B2" w14:textId="77777777" w:rsidR="00747C28" w:rsidRPr="000A02AA"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Sección 7: Modelo de servicios de banca personal</w:t>
      </w:r>
    </w:p>
    <w:p w14:paraId="0A944FA1" w14:textId="77777777" w:rsidR="005954BF" w:rsidRDefault="00747C28" w:rsidP="00747C28">
      <w:pPr>
        <w:numPr>
          <w:ilvl w:val="0"/>
          <w:numId w:val="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5954BF">
        <w:rPr>
          <w:rFonts w:ascii="Calibri" w:eastAsia="Times New Roman" w:hAnsi="Calibri" w:cs="Calibri"/>
          <w:snapToGrid w:val="0"/>
          <w:kern w:val="0"/>
          <w:lang w:val="es-ES" w:eastAsia="es-ES"/>
          <w14:ligatures w14:val="none"/>
        </w:rPr>
        <w:lastRenderedPageBreak/>
        <w:t>Sección 8: Contrato de servicios bancarios, inclusive términos y condiciones generales)</w:t>
      </w:r>
    </w:p>
    <w:p w14:paraId="0389E86A" w14:textId="76BF9473" w:rsidR="00747C28" w:rsidRPr="005954BF" w:rsidRDefault="00747C28" w:rsidP="005954BF">
      <w:pPr>
        <w:tabs>
          <w:tab w:val="left" w:pos="6480"/>
        </w:tabs>
        <w:spacing w:after="0" w:line="240" w:lineRule="auto"/>
        <w:ind w:left="1080"/>
        <w:jc w:val="both"/>
        <w:rPr>
          <w:rFonts w:ascii="Calibri" w:eastAsia="Times New Roman" w:hAnsi="Calibri" w:cs="Calibri"/>
          <w:snapToGrid w:val="0"/>
          <w:kern w:val="0"/>
          <w:lang w:val="es-ES" w:eastAsia="es-ES"/>
          <w14:ligatures w14:val="none"/>
        </w:rPr>
      </w:pPr>
    </w:p>
    <w:p w14:paraId="5CA5D66A" w14:textId="77777777" w:rsidR="00747C28" w:rsidRPr="000A02AA" w:rsidRDefault="00747C28" w:rsidP="00747C28">
      <w:pPr>
        <w:numPr>
          <w:ilvl w:val="0"/>
          <w:numId w:val="5"/>
        </w:numPr>
        <w:spacing w:after="0" w:line="240" w:lineRule="auto"/>
        <w:contextualSpacing/>
        <w:rPr>
          <w:rFonts w:ascii="Calibri" w:eastAsia="Times New Roman" w:hAnsi="Calibri" w:cs="Calibri"/>
          <w:snapToGrid w:val="0"/>
          <w:kern w:val="0"/>
          <w:lang w:val="es-ES" w:eastAsia="es-ES"/>
          <w14:ligatures w14:val="none"/>
        </w:rPr>
      </w:pPr>
      <w:proofErr w:type="gramStart"/>
      <w:r w:rsidRPr="000A02AA">
        <w:rPr>
          <w:rFonts w:ascii="Calibri" w:eastAsia="Times New Roman" w:hAnsi="Calibri" w:cs="Calibri"/>
          <w:b/>
          <w:snapToGrid w:val="0"/>
          <w:kern w:val="0"/>
          <w:lang w:val="es-ES" w:eastAsia="es-ES"/>
          <w14:ligatures w14:val="none"/>
        </w:rPr>
        <w:t>Pasos a seguir</w:t>
      </w:r>
      <w:proofErr w:type="gramEnd"/>
      <w:r w:rsidRPr="000A02AA">
        <w:rPr>
          <w:rFonts w:ascii="Calibri" w:eastAsia="Times New Roman" w:hAnsi="Calibri" w:cs="Calibri"/>
          <w:b/>
          <w:snapToGrid w:val="0"/>
          <w:kern w:val="0"/>
          <w:lang w:val="es-ES" w:eastAsia="es-ES"/>
          <w14:ligatures w14:val="none"/>
        </w:rPr>
        <w:t xml:space="preserve"> en el proceso de Licitación de servicios bancarios</w:t>
      </w:r>
      <w:r w:rsidRPr="000A02AA">
        <w:rPr>
          <w:rFonts w:ascii="Calibri" w:eastAsia="Times New Roman" w:hAnsi="Calibri" w:cs="Calibri"/>
          <w:snapToGrid w:val="0"/>
          <w:kern w:val="0"/>
          <w:sz w:val="28"/>
          <w:lang w:val="es-ES" w:eastAsia="es-ES"/>
          <w14:ligatures w14:val="none"/>
        </w:rPr>
        <w:br/>
      </w:r>
    </w:p>
    <w:tbl>
      <w:tblPr>
        <w:tblW w:w="10191" w:type="dxa"/>
        <w:tblInd w:w="-684" w:type="dxa"/>
        <w:tblLayout w:type="fixed"/>
        <w:tblLook w:val="0000" w:firstRow="0" w:lastRow="0" w:firstColumn="0" w:lastColumn="0" w:noHBand="0" w:noVBand="0"/>
      </w:tblPr>
      <w:tblGrid>
        <w:gridCol w:w="695"/>
        <w:gridCol w:w="9496"/>
      </w:tblGrid>
      <w:tr w:rsidR="00747C28" w:rsidRPr="00747C28" w14:paraId="70192F63" w14:textId="77777777" w:rsidTr="007C3679">
        <w:trPr>
          <w:trHeight w:val="162"/>
        </w:trPr>
        <w:tc>
          <w:tcPr>
            <w:tcW w:w="695" w:type="dxa"/>
          </w:tcPr>
          <w:p w14:paraId="611F8B47"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122F1CC8"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Preparar la documentación preliminar de la Licitación</w:t>
            </w:r>
          </w:p>
          <w:p w14:paraId="346FCD0B"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Carta de presentación [</w:t>
            </w:r>
            <w:r w:rsidRPr="000A02AA">
              <w:rPr>
                <w:rFonts w:ascii="Calibri" w:eastAsia="Times New Roman" w:hAnsi="Calibri" w:cs="Calibri"/>
                <w:i/>
                <w:snapToGrid w:val="0"/>
                <w:color w:val="FF0000"/>
                <w:kern w:val="0"/>
                <w:lang w:val="es-ES" w:eastAsia="es-ES"/>
                <w14:ligatures w14:val="none"/>
              </w:rPr>
              <w:t>introduzca la información que corresponda</w:t>
            </w:r>
            <w:r w:rsidRPr="000A02AA">
              <w:rPr>
                <w:rFonts w:ascii="Calibri" w:eastAsia="Times New Roman" w:hAnsi="Calibri" w:cs="Calibri"/>
                <w:snapToGrid w:val="0"/>
                <w:kern w:val="0"/>
                <w:lang w:val="es-ES" w:eastAsia="es-ES"/>
                <w14:ligatures w14:val="none"/>
              </w:rPr>
              <w:t>]</w:t>
            </w:r>
          </w:p>
          <w:p w14:paraId="4019F52A"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Carta de invitación [</w:t>
            </w:r>
            <w:r w:rsidRPr="000A02AA">
              <w:rPr>
                <w:rFonts w:ascii="Calibri" w:eastAsia="Times New Roman" w:hAnsi="Calibri" w:cs="Calibri"/>
                <w:i/>
                <w:snapToGrid w:val="0"/>
                <w:color w:val="FF0000"/>
                <w:kern w:val="0"/>
                <w:lang w:val="es-ES" w:eastAsia="es-ES"/>
                <w14:ligatures w14:val="none"/>
              </w:rPr>
              <w:t>introduzca la información que corresponda</w:t>
            </w:r>
            <w:r w:rsidRPr="000A02AA">
              <w:rPr>
                <w:rFonts w:ascii="Calibri" w:eastAsia="Times New Roman" w:hAnsi="Calibri" w:cs="Calibri"/>
                <w:snapToGrid w:val="0"/>
                <w:kern w:val="0"/>
                <w:lang w:val="es-ES" w:eastAsia="es-ES"/>
                <w14:ligatures w14:val="none"/>
              </w:rPr>
              <w:t>]</w:t>
            </w:r>
          </w:p>
          <w:p w14:paraId="3EDF21C0"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Instrucciones a los Licitantes [</w:t>
            </w:r>
            <w:r w:rsidRPr="000A02AA">
              <w:rPr>
                <w:rFonts w:ascii="Calibri" w:eastAsia="Times New Roman" w:hAnsi="Calibri" w:cs="Calibri"/>
                <w:i/>
                <w:snapToGrid w:val="0"/>
                <w:color w:val="FF0000"/>
                <w:kern w:val="0"/>
                <w:lang w:val="es-ES" w:eastAsia="es-ES"/>
                <w14:ligatures w14:val="none"/>
              </w:rPr>
              <w:t>no modifique este documento</w:t>
            </w:r>
            <w:r w:rsidRPr="000A02AA">
              <w:rPr>
                <w:rFonts w:ascii="Calibri" w:eastAsia="Times New Roman" w:hAnsi="Calibri" w:cs="Calibri"/>
                <w:snapToGrid w:val="0"/>
                <w:kern w:val="0"/>
                <w:lang w:val="es-ES" w:eastAsia="es-ES"/>
                <w14:ligatures w14:val="none"/>
              </w:rPr>
              <w:t>]</w:t>
            </w:r>
          </w:p>
          <w:p w14:paraId="111EA642"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Hoja de datos [</w:t>
            </w:r>
            <w:r w:rsidRPr="000A02AA">
              <w:rPr>
                <w:rFonts w:ascii="Calibri" w:eastAsia="Times New Roman" w:hAnsi="Calibri" w:cs="Calibri"/>
                <w:i/>
                <w:snapToGrid w:val="0"/>
                <w:color w:val="FF0000"/>
                <w:kern w:val="0"/>
                <w:lang w:val="es-ES" w:eastAsia="es-ES"/>
                <w14:ligatures w14:val="none"/>
              </w:rPr>
              <w:t>llene la hoja de datos según corresponda</w:t>
            </w:r>
            <w:r w:rsidRPr="000A02AA">
              <w:rPr>
                <w:rFonts w:ascii="Calibri" w:eastAsia="Times New Roman" w:hAnsi="Calibri" w:cs="Calibri"/>
                <w:snapToGrid w:val="0"/>
                <w:kern w:val="0"/>
                <w:lang w:val="es-ES" w:eastAsia="es-ES"/>
                <w14:ligatures w14:val="none"/>
              </w:rPr>
              <w:t>]</w:t>
            </w:r>
          </w:p>
          <w:p w14:paraId="5FDCEDD8"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Términos de referencia (TOR) [</w:t>
            </w:r>
            <w:r w:rsidRPr="000A02AA">
              <w:rPr>
                <w:rFonts w:ascii="Calibri" w:eastAsia="Times New Roman" w:hAnsi="Calibri" w:cs="Calibri"/>
                <w:i/>
                <w:snapToGrid w:val="0"/>
                <w:color w:val="FF0000"/>
                <w:kern w:val="0"/>
                <w:lang w:val="es-ES" w:eastAsia="es-ES"/>
                <w14:ligatures w14:val="none"/>
              </w:rPr>
              <w:t>introduzca la información que corresponda y llene el cuadro Atributos clave de los servicios bancarios</w:t>
            </w:r>
            <w:r w:rsidRPr="000A02AA">
              <w:rPr>
                <w:rFonts w:ascii="Calibri" w:eastAsia="Times New Roman" w:hAnsi="Calibri" w:cs="Calibri"/>
                <w:snapToGrid w:val="0"/>
                <w:kern w:val="0"/>
                <w:lang w:val="es-ES" w:eastAsia="es-ES"/>
                <w14:ligatures w14:val="none"/>
              </w:rPr>
              <w:t>]</w:t>
            </w:r>
          </w:p>
          <w:p w14:paraId="399D5654"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Modelo de presentación de ofertas [</w:t>
            </w:r>
            <w:r w:rsidRPr="000A02AA">
              <w:rPr>
                <w:rFonts w:ascii="Calibri" w:eastAsia="Times New Roman" w:hAnsi="Calibri" w:cs="Calibri"/>
                <w:i/>
                <w:snapToGrid w:val="0"/>
                <w:color w:val="FF0000"/>
                <w:kern w:val="0"/>
                <w:lang w:val="es-ES" w:eastAsia="es-ES"/>
                <w14:ligatures w14:val="none"/>
              </w:rPr>
              <w:t>introduzca la información que corresponda y firme al final de la última página</w:t>
            </w:r>
            <w:r w:rsidRPr="000A02AA">
              <w:rPr>
                <w:rFonts w:ascii="Calibri" w:eastAsia="Times New Roman" w:hAnsi="Calibri" w:cs="Calibri"/>
                <w:snapToGrid w:val="0"/>
                <w:kern w:val="0"/>
                <w:lang w:val="es-ES" w:eastAsia="es-ES"/>
                <w14:ligatures w14:val="none"/>
              </w:rPr>
              <w:t>]</w:t>
            </w:r>
          </w:p>
          <w:p w14:paraId="6405ACB4"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Modelo de oferta técnica [</w:t>
            </w:r>
            <w:r w:rsidRPr="000A02AA">
              <w:rPr>
                <w:rFonts w:ascii="Calibri" w:eastAsia="Times New Roman" w:hAnsi="Calibri" w:cs="Calibri"/>
                <w:i/>
                <w:snapToGrid w:val="0"/>
                <w:color w:val="FF0000"/>
                <w:kern w:val="0"/>
                <w:lang w:val="es-ES" w:eastAsia="es-ES"/>
                <w14:ligatures w14:val="none"/>
              </w:rPr>
              <w:t>la Categoría A no debe ser modificada</w:t>
            </w:r>
            <w:r w:rsidRPr="000A02AA">
              <w:rPr>
                <w:rFonts w:ascii="Calibri" w:eastAsia="Times New Roman" w:hAnsi="Calibri" w:cs="Calibri"/>
                <w:snapToGrid w:val="0"/>
                <w:kern w:val="0"/>
                <w:lang w:val="es-ES" w:eastAsia="es-ES"/>
                <w14:ligatures w14:val="none"/>
              </w:rPr>
              <w:t>.</w:t>
            </w:r>
            <w:r w:rsidRPr="000A02AA">
              <w:rPr>
                <w:rFonts w:ascii="Calibri" w:eastAsia="Times New Roman" w:hAnsi="Calibri" w:cs="Calibri"/>
                <w:i/>
                <w:snapToGrid w:val="0"/>
                <w:color w:val="FF0000"/>
                <w:kern w:val="0"/>
                <w:lang w:val="es-ES" w:eastAsia="es-ES"/>
                <w14:ligatures w14:val="none"/>
              </w:rPr>
              <w:t xml:space="preserve"> Si es necesario hacer cualquier otra modificación a este Modelo, asegúrese de que éstas se hagan en las categorías de servicios correspondientes (B, C, D, etc.). Esto facilitará la puntuación en el proceso de evaluación</w:t>
            </w:r>
            <w:r w:rsidRPr="000A02AA">
              <w:rPr>
                <w:rFonts w:ascii="Calibri" w:eastAsia="Times New Roman" w:hAnsi="Calibri" w:cs="Calibri"/>
                <w:snapToGrid w:val="0"/>
                <w:kern w:val="0"/>
                <w:lang w:val="es-ES" w:eastAsia="es-ES"/>
                <w14:ligatures w14:val="none"/>
              </w:rPr>
              <w:t>]</w:t>
            </w:r>
          </w:p>
          <w:p w14:paraId="48BF6D93"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Modelo de oferta financiera [</w:t>
            </w:r>
            <w:r w:rsidRPr="000A02AA">
              <w:rPr>
                <w:rFonts w:ascii="Calibri" w:eastAsia="Times New Roman" w:hAnsi="Calibri" w:cs="Calibri"/>
                <w:i/>
                <w:snapToGrid w:val="0"/>
                <w:color w:val="FF0000"/>
                <w:kern w:val="0"/>
                <w:lang w:val="es-ES" w:eastAsia="es-ES"/>
                <w14:ligatures w14:val="none"/>
              </w:rPr>
              <w:t>este Modelo podrá ser modificado según el tipo de servicios que requiera la oficina</w:t>
            </w:r>
            <w:r w:rsidRPr="000A02AA">
              <w:rPr>
                <w:rFonts w:ascii="Calibri" w:eastAsia="Times New Roman" w:hAnsi="Calibri" w:cs="Calibri"/>
                <w:snapToGrid w:val="0"/>
                <w:kern w:val="0"/>
                <w:lang w:val="es-ES" w:eastAsia="es-ES"/>
                <w14:ligatures w14:val="none"/>
              </w:rPr>
              <w:t>]</w:t>
            </w:r>
          </w:p>
          <w:p w14:paraId="72DB87BA"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Modelo de servicios de banca personal [</w:t>
            </w:r>
            <w:r w:rsidRPr="000A02AA">
              <w:rPr>
                <w:rFonts w:ascii="Calibri" w:eastAsia="Times New Roman" w:hAnsi="Calibri" w:cs="Calibri"/>
                <w:i/>
                <w:snapToGrid w:val="0"/>
                <w:color w:val="FF0000"/>
                <w:kern w:val="0"/>
                <w:lang w:val="es-ES" w:eastAsia="es-ES"/>
                <w14:ligatures w14:val="none"/>
              </w:rPr>
              <w:t>este Modelo podrá ser modificado según el tipo de servicios que requiera la oficina</w:t>
            </w:r>
            <w:r w:rsidRPr="000A02AA">
              <w:rPr>
                <w:rFonts w:ascii="Calibri" w:eastAsia="Times New Roman" w:hAnsi="Calibri" w:cs="Calibri"/>
                <w:snapToGrid w:val="0"/>
                <w:kern w:val="0"/>
                <w:lang w:val="es-ES" w:eastAsia="es-ES"/>
                <w14:ligatures w14:val="none"/>
              </w:rPr>
              <w:t>]</w:t>
            </w:r>
          </w:p>
          <w:p w14:paraId="6AF2D6EA"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Modelo de contrato [</w:t>
            </w:r>
            <w:r w:rsidRPr="000A02AA">
              <w:rPr>
                <w:rFonts w:ascii="Calibri" w:eastAsia="Times New Roman" w:hAnsi="Calibri" w:cs="Calibri"/>
                <w:i/>
                <w:snapToGrid w:val="0"/>
                <w:color w:val="FF0000"/>
                <w:kern w:val="0"/>
                <w:lang w:val="es-ES" w:eastAsia="es-ES"/>
                <w14:ligatures w14:val="none"/>
              </w:rPr>
              <w:t>animamos a todos los bancos a firmar el contrato estándar de servicios bancarios del PNUD</w:t>
            </w:r>
            <w:r w:rsidRPr="000A02AA">
              <w:rPr>
                <w:rFonts w:ascii="Calibri" w:eastAsia="Times New Roman" w:hAnsi="Calibri" w:cs="Calibri"/>
                <w:snapToGrid w:val="0"/>
                <w:kern w:val="0"/>
                <w:lang w:val="es-ES" w:eastAsia="es-ES"/>
                <w14:ligatures w14:val="none"/>
              </w:rPr>
              <w:t>]</w:t>
            </w:r>
          </w:p>
          <w:p w14:paraId="012BC207" w14:textId="77777777" w:rsidR="00747C28" w:rsidRPr="000A02AA" w:rsidRDefault="00747C28" w:rsidP="00747C28">
            <w:pPr>
              <w:numPr>
                <w:ilvl w:val="0"/>
                <w:numId w:val="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En la preparación de la documentación final de la Licitación se han de tener en cuenta los comentarios, requerimientos y sugerencias de todos los organismos de la ONU que participen en el proceso.</w:t>
            </w:r>
          </w:p>
          <w:p w14:paraId="06BF3321"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tc>
      </w:tr>
      <w:tr w:rsidR="00747C28" w:rsidRPr="00747C28" w14:paraId="27B22447" w14:textId="77777777" w:rsidTr="007C3679">
        <w:trPr>
          <w:trHeight w:val="162"/>
        </w:trPr>
        <w:tc>
          <w:tcPr>
            <w:tcW w:w="695" w:type="dxa"/>
          </w:tcPr>
          <w:p w14:paraId="113BC95D"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3DA8AF4E"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Nominación de los miembros del Panel de evaluación</w:t>
            </w:r>
          </w:p>
          <w:p w14:paraId="0B5A17DC"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1A520234" w14:textId="77777777" w:rsidR="00747C28" w:rsidRPr="000A02AA" w:rsidRDefault="00747C28" w:rsidP="00747C28">
            <w:pPr>
              <w:numPr>
                <w:ilvl w:val="0"/>
                <w:numId w:val="2"/>
              </w:numPr>
              <w:tabs>
                <w:tab w:val="left" w:pos="1789"/>
              </w:tabs>
              <w:spacing w:after="0" w:line="240" w:lineRule="auto"/>
              <w:ind w:left="1800"/>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miembros del PNUD serán:</w:t>
            </w:r>
          </w:p>
          <w:p w14:paraId="572B4FF8" w14:textId="77777777" w:rsidR="00747C28" w:rsidRPr="000A02AA" w:rsidRDefault="00747C28" w:rsidP="00747C28">
            <w:pPr>
              <w:numPr>
                <w:ilvl w:val="0"/>
                <w:numId w:val="7"/>
              </w:numPr>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Representante residente adjunto (Operaciones) o Gerente de operaciones;</w:t>
            </w:r>
          </w:p>
          <w:p w14:paraId="33A7B715" w14:textId="77777777" w:rsidR="00747C28" w:rsidRPr="000A02AA" w:rsidRDefault="00747C28" w:rsidP="00747C28">
            <w:pPr>
              <w:numPr>
                <w:ilvl w:val="0"/>
                <w:numId w:val="7"/>
              </w:numPr>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Jefe / </w:t>
            </w:r>
            <w:proofErr w:type="gramStart"/>
            <w:r w:rsidRPr="000A02AA">
              <w:rPr>
                <w:rFonts w:ascii="Calibri" w:eastAsia="Times New Roman" w:hAnsi="Calibri" w:cs="Calibri"/>
                <w:snapToGrid w:val="0"/>
                <w:kern w:val="0"/>
                <w:lang w:val="es-ES" w:eastAsia="es-ES"/>
                <w14:ligatures w14:val="none"/>
              </w:rPr>
              <w:t>Director</w:t>
            </w:r>
            <w:proofErr w:type="gramEnd"/>
            <w:r w:rsidRPr="000A02AA">
              <w:rPr>
                <w:rFonts w:ascii="Calibri" w:eastAsia="Times New Roman" w:hAnsi="Calibri" w:cs="Calibri"/>
                <w:snapToGrid w:val="0"/>
                <w:kern w:val="0"/>
                <w:lang w:val="es-ES" w:eastAsia="es-ES"/>
                <w14:ligatures w14:val="none"/>
              </w:rPr>
              <w:t xml:space="preserve"> del equipo, Oficina/sección de finanzas;</w:t>
            </w:r>
          </w:p>
          <w:p w14:paraId="4427803D" w14:textId="77777777" w:rsidR="00747C28" w:rsidRPr="000A02AA" w:rsidRDefault="00747C28" w:rsidP="00747C28">
            <w:pPr>
              <w:numPr>
                <w:ilvl w:val="0"/>
                <w:numId w:val="7"/>
              </w:numPr>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Oficial /Asociado de adquisiciones.</w:t>
            </w:r>
          </w:p>
          <w:p w14:paraId="3A6F754F" w14:textId="77777777" w:rsidR="00747C28" w:rsidRPr="000A02AA" w:rsidRDefault="00747C28" w:rsidP="00747C28">
            <w:pPr>
              <w:spacing w:after="0" w:line="240" w:lineRule="auto"/>
              <w:ind w:left="504"/>
              <w:rPr>
                <w:rFonts w:ascii="Calibri" w:eastAsia="Times New Roman" w:hAnsi="Calibri" w:cs="Calibri"/>
                <w:snapToGrid w:val="0"/>
                <w:kern w:val="0"/>
                <w:lang w:val="es-ES" w:eastAsia="es-ES"/>
                <w14:ligatures w14:val="none"/>
              </w:rPr>
            </w:pPr>
          </w:p>
          <w:p w14:paraId="60F426AC" w14:textId="77777777" w:rsidR="00747C28" w:rsidRPr="000A02AA" w:rsidRDefault="00747C28" w:rsidP="00747C28">
            <w:pPr>
              <w:numPr>
                <w:ilvl w:val="0"/>
                <w:numId w:val="2"/>
              </w:numPr>
              <w:tabs>
                <w:tab w:val="left" w:pos="1789"/>
              </w:tabs>
              <w:spacing w:after="0" w:line="240" w:lineRule="auto"/>
              <w:ind w:left="1800"/>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miembros de los organismos de la ONU que participan en el proceso serán nombrados por los directores de los respectivos organismos:</w:t>
            </w:r>
          </w:p>
          <w:p w14:paraId="117C7F8F" w14:textId="77777777" w:rsidR="00747C28" w:rsidRPr="000A02AA" w:rsidRDefault="00747C28" w:rsidP="00747C28">
            <w:pPr>
              <w:numPr>
                <w:ilvl w:val="0"/>
                <w:numId w:val="8"/>
              </w:numPr>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Máximo 3 miembros [</w:t>
            </w:r>
            <w:r w:rsidRPr="000A02AA">
              <w:rPr>
                <w:rFonts w:ascii="Calibri" w:eastAsia="Times New Roman" w:hAnsi="Calibri" w:cs="Calibri"/>
                <w:i/>
                <w:snapToGrid w:val="0"/>
                <w:color w:val="FF0000"/>
                <w:kern w:val="0"/>
                <w:lang w:val="es-ES" w:eastAsia="es-ES"/>
                <w14:ligatures w14:val="none"/>
              </w:rPr>
              <w:t>de todos los organismos de la ONU que participan en el proceso</w:t>
            </w:r>
            <w:r w:rsidRPr="000A02AA">
              <w:rPr>
                <w:rFonts w:ascii="Calibri" w:eastAsia="Times New Roman" w:hAnsi="Calibri" w:cs="Calibri"/>
                <w:snapToGrid w:val="0"/>
                <w:kern w:val="0"/>
                <w:lang w:val="es-ES" w:eastAsia="es-ES"/>
                <w14:ligatures w14:val="none"/>
              </w:rPr>
              <w:t>];</w:t>
            </w:r>
          </w:p>
          <w:p w14:paraId="70365A14" w14:textId="77777777" w:rsidR="00747C28" w:rsidRPr="000A02AA" w:rsidRDefault="00747C28" w:rsidP="00747C28">
            <w:pPr>
              <w:numPr>
                <w:ilvl w:val="0"/>
                <w:numId w:val="8"/>
              </w:numPr>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funcionarios nominados estarán en cargos debidamente calificados, como Gerente de operaciones u Oficiales de adquisiciones;</w:t>
            </w:r>
          </w:p>
          <w:p w14:paraId="702A95E4" w14:textId="77777777" w:rsidR="00747C28" w:rsidRPr="000A02AA" w:rsidRDefault="00747C28" w:rsidP="00747C28">
            <w:pPr>
              <w:numPr>
                <w:ilvl w:val="0"/>
                <w:numId w:val="8"/>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lastRenderedPageBreak/>
              <w:t>El Tesorero nombrará a su representante en la Unidad de gestión de efectivo de las oficinas en los países como coordinador para apoyar el proceso de licitación.</w:t>
            </w:r>
          </w:p>
          <w:p w14:paraId="2CC549EF" w14:textId="77777777" w:rsidR="00747C28" w:rsidRPr="000A02AA" w:rsidRDefault="00747C28" w:rsidP="00747C28">
            <w:pPr>
              <w:spacing w:after="0" w:line="240" w:lineRule="auto"/>
              <w:ind w:left="1296"/>
              <w:contextualSpacing/>
              <w:jc w:val="both"/>
              <w:rPr>
                <w:rFonts w:ascii="Calibri" w:eastAsia="Times New Roman" w:hAnsi="Calibri" w:cs="Calibri"/>
                <w:snapToGrid w:val="0"/>
                <w:kern w:val="0"/>
                <w:lang w:val="es-ES" w:eastAsia="es-ES"/>
                <w14:ligatures w14:val="none"/>
              </w:rPr>
            </w:pPr>
          </w:p>
        </w:tc>
      </w:tr>
      <w:tr w:rsidR="00747C28" w:rsidRPr="00747C28" w14:paraId="1FE207B0" w14:textId="77777777" w:rsidTr="007C3679">
        <w:trPr>
          <w:trHeight w:val="162"/>
        </w:trPr>
        <w:tc>
          <w:tcPr>
            <w:tcW w:w="695" w:type="dxa"/>
          </w:tcPr>
          <w:p w14:paraId="78267216"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75F39BF7"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Conseguir la revisión y autorización de Tesorería a los puntos 1 y 2, arriba</w:t>
            </w:r>
          </w:p>
          <w:p w14:paraId="1DB35B2D" w14:textId="77777777" w:rsidR="00747C28" w:rsidRPr="000A02AA" w:rsidRDefault="00747C28" w:rsidP="00747C28">
            <w:pPr>
              <w:numPr>
                <w:ilvl w:val="0"/>
                <w:numId w:val="9"/>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Tesorería revisará la documentación preliminar de la Licitación, los posibles bancos licitantes y los miembros nominados para integrar el Panel de evaluación.</w:t>
            </w:r>
          </w:p>
          <w:p w14:paraId="04BD9E59" w14:textId="77777777" w:rsidR="00747C28" w:rsidRPr="000A02AA" w:rsidRDefault="00747C28" w:rsidP="00747C28">
            <w:pPr>
              <w:numPr>
                <w:ilvl w:val="0"/>
                <w:numId w:val="9"/>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Tesorería podrá pedir la aclaración o modificación de los documentos preliminares de la Licitación, si procede.</w:t>
            </w:r>
          </w:p>
          <w:p w14:paraId="79707D5E" w14:textId="77777777" w:rsidR="00747C28" w:rsidRPr="000A02AA" w:rsidRDefault="00747C28" w:rsidP="00747C28">
            <w:pPr>
              <w:numPr>
                <w:ilvl w:val="0"/>
                <w:numId w:val="9"/>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Tesorería autorizará a la oficina del PNUD en el país a proceder con el siguiente paso.</w:t>
            </w:r>
          </w:p>
          <w:p w14:paraId="6B867276" w14:textId="77777777" w:rsidR="00747C28" w:rsidRPr="000A02AA" w:rsidRDefault="00747C28" w:rsidP="00747C28">
            <w:pPr>
              <w:spacing w:after="0" w:line="240" w:lineRule="auto"/>
              <w:ind w:left="720"/>
              <w:rPr>
                <w:rFonts w:ascii="Calibri" w:eastAsia="Times New Roman" w:hAnsi="Calibri" w:cs="Calibri"/>
                <w:snapToGrid w:val="0"/>
                <w:kern w:val="0"/>
                <w:lang w:val="es-ES" w:eastAsia="es-ES"/>
                <w14:ligatures w14:val="none"/>
              </w:rPr>
            </w:pPr>
          </w:p>
        </w:tc>
      </w:tr>
      <w:tr w:rsidR="00747C28" w:rsidRPr="00747C28" w14:paraId="6C6B940F" w14:textId="77777777" w:rsidTr="007C3679">
        <w:trPr>
          <w:trHeight w:val="162"/>
        </w:trPr>
        <w:tc>
          <w:tcPr>
            <w:tcW w:w="695" w:type="dxa"/>
          </w:tcPr>
          <w:p w14:paraId="3D4DB74A" w14:textId="77777777" w:rsidR="00747C28" w:rsidRPr="000A02AA" w:rsidRDefault="00747C28" w:rsidP="00747C28">
            <w:pPr>
              <w:spacing w:after="0" w:line="240" w:lineRule="auto"/>
              <w:ind w:left="720"/>
              <w:jc w:val="right"/>
              <w:rPr>
                <w:rFonts w:ascii="Calibri" w:eastAsia="Times New Roman" w:hAnsi="Calibri" w:cs="Calibri"/>
                <w:snapToGrid w:val="0"/>
                <w:kern w:val="0"/>
                <w:lang w:val="es-ES" w:eastAsia="es-ES"/>
                <w14:ligatures w14:val="none"/>
              </w:rPr>
            </w:pPr>
          </w:p>
        </w:tc>
        <w:tc>
          <w:tcPr>
            <w:tcW w:w="9496" w:type="dxa"/>
          </w:tcPr>
          <w:p w14:paraId="697D6F3E"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El anuncio de la Licitación deberá incluir la siguiente información:</w:t>
            </w:r>
          </w:p>
          <w:p w14:paraId="0C2183CE"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7CCA26FC" w14:textId="77777777" w:rsidR="00747C28" w:rsidRPr="000A02AA" w:rsidRDefault="00747C28" w:rsidP="00747C28">
            <w:pPr>
              <w:numPr>
                <w:ilvl w:val="0"/>
                <w:numId w:val="10"/>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Anuncio a los posibles bancos licitantes a los cuales el PNUD dirige la Licitación de servicios bancarios;</w:t>
            </w:r>
          </w:p>
          <w:p w14:paraId="724697BE" w14:textId="77777777" w:rsidR="00747C28" w:rsidRPr="000A02AA" w:rsidRDefault="00747C28" w:rsidP="00747C28">
            <w:pPr>
              <w:numPr>
                <w:ilvl w:val="0"/>
                <w:numId w:val="10"/>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oficina o lugar donde éstos pueden recoger la documentación de la Licitación;</w:t>
            </w:r>
          </w:p>
          <w:p w14:paraId="19383A27" w14:textId="77777777" w:rsidR="00747C28" w:rsidRPr="000A02AA" w:rsidRDefault="00747C28" w:rsidP="00747C28">
            <w:pPr>
              <w:numPr>
                <w:ilvl w:val="0"/>
                <w:numId w:val="10"/>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términos y condiciones que rigen la Licitación [</w:t>
            </w:r>
            <w:r w:rsidRPr="000A02AA">
              <w:rPr>
                <w:rFonts w:ascii="Calibri" w:eastAsia="Times New Roman" w:hAnsi="Calibri" w:cs="Calibri"/>
                <w:i/>
                <w:snapToGrid w:val="0"/>
                <w:color w:val="FF0000"/>
                <w:kern w:val="0"/>
                <w:lang w:val="es-ES" w:eastAsia="es-ES"/>
                <w14:ligatures w14:val="none"/>
              </w:rPr>
              <w:t>vea el Anexo 1</w:t>
            </w:r>
            <w:r w:rsidRPr="000A02AA">
              <w:rPr>
                <w:rFonts w:ascii="Calibri" w:eastAsia="Times New Roman" w:hAnsi="Calibri" w:cs="Calibri"/>
                <w:snapToGrid w:val="0"/>
                <w:kern w:val="0"/>
                <w:lang w:val="es-ES" w:eastAsia="es-ES"/>
                <w14:ligatures w14:val="none"/>
              </w:rPr>
              <w:t>]</w:t>
            </w:r>
            <w:r w:rsidRPr="000A02AA">
              <w:rPr>
                <w:rFonts w:ascii="Calibri" w:eastAsia="Times New Roman" w:hAnsi="Calibri" w:cs="Calibri"/>
                <w:snapToGrid w:val="0"/>
                <w:kern w:val="0"/>
                <w:lang w:val="es-ES" w:eastAsia="es-ES"/>
                <w14:ligatures w14:val="none"/>
              </w:rPr>
              <w:tab/>
            </w:r>
          </w:p>
          <w:p w14:paraId="1D1BB3D3" w14:textId="77777777" w:rsidR="00747C28" w:rsidRPr="000A02AA" w:rsidRDefault="00747C28" w:rsidP="00747C28">
            <w:pPr>
              <w:numPr>
                <w:ilvl w:val="0"/>
                <w:numId w:val="10"/>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El llamado a Licitación deberá aparecer publicado en un periódico durante dos días y en el sitio web del PNUD.</w:t>
            </w:r>
          </w:p>
          <w:p w14:paraId="4ACE6E55" w14:textId="77777777" w:rsidR="00747C28" w:rsidRPr="000A02AA" w:rsidRDefault="00747C28" w:rsidP="00747C28">
            <w:pPr>
              <w:tabs>
                <w:tab w:val="left" w:pos="6480"/>
              </w:tabs>
              <w:spacing w:after="0" w:line="240" w:lineRule="auto"/>
              <w:ind w:left="1656"/>
              <w:jc w:val="both"/>
              <w:rPr>
                <w:rFonts w:ascii="Calibri" w:eastAsia="Times New Roman" w:hAnsi="Calibri" w:cs="Calibri"/>
                <w:snapToGrid w:val="0"/>
                <w:kern w:val="0"/>
                <w:lang w:val="es-ES" w:eastAsia="es-ES"/>
                <w14:ligatures w14:val="none"/>
              </w:rPr>
            </w:pPr>
          </w:p>
        </w:tc>
      </w:tr>
      <w:tr w:rsidR="00747C28" w:rsidRPr="00747C28" w14:paraId="2430B7EA" w14:textId="77777777" w:rsidTr="007C3679">
        <w:trPr>
          <w:trHeight w:val="162"/>
        </w:trPr>
        <w:tc>
          <w:tcPr>
            <w:tcW w:w="695" w:type="dxa"/>
          </w:tcPr>
          <w:p w14:paraId="761BF3D7"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29666AA1"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Enviar la Licitación a los posibles bancos licitantes</w:t>
            </w:r>
          </w:p>
          <w:p w14:paraId="59156F24" w14:textId="77777777" w:rsidR="00747C28" w:rsidRPr="000A02AA" w:rsidRDefault="00747C28" w:rsidP="00747C28">
            <w:pPr>
              <w:spacing w:after="0" w:line="240" w:lineRule="auto"/>
              <w:ind w:left="576"/>
              <w:jc w:val="both"/>
              <w:rPr>
                <w:rFonts w:ascii="Calibri" w:eastAsia="Times New Roman" w:hAnsi="Calibri" w:cs="Calibri"/>
                <w:snapToGrid w:val="0"/>
                <w:kern w:val="0"/>
                <w:lang w:val="es-ES" w:eastAsia="es-ES"/>
                <w14:ligatures w14:val="none"/>
              </w:rPr>
            </w:pPr>
          </w:p>
          <w:p w14:paraId="26558AF3" w14:textId="77777777" w:rsidR="00747C28" w:rsidRPr="000A02AA" w:rsidRDefault="00747C28" w:rsidP="00747C28">
            <w:pPr>
              <w:numPr>
                <w:ilvl w:val="0"/>
                <w:numId w:val="1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La Licitación será distribuida solo entre los bancos que sean miembros de SWIFT [sigla en inglés de la </w:t>
            </w:r>
            <w:r w:rsidRPr="000A02AA">
              <w:rPr>
                <w:rFonts w:ascii="Calibri" w:eastAsia="Times New Roman" w:hAnsi="Calibri" w:cs="Calibri"/>
                <w:b/>
                <w:snapToGrid w:val="0"/>
                <w:kern w:val="0"/>
                <w:lang w:val="es-ES" w:eastAsia="es-ES"/>
                <w14:ligatures w14:val="none"/>
              </w:rPr>
              <w:t>Sociedad de Telecomunicaciones Financieras Interbancarias Mundiales]</w:t>
            </w:r>
            <w:r w:rsidRPr="000A02AA">
              <w:rPr>
                <w:rFonts w:ascii="Calibri" w:eastAsia="Times New Roman" w:hAnsi="Calibri" w:cs="Calibri"/>
                <w:snapToGrid w:val="0"/>
                <w:kern w:val="0"/>
                <w:lang w:val="es-ES" w:eastAsia="es-ES"/>
                <w14:ligatures w14:val="none"/>
              </w:rPr>
              <w:t>. Los bancos que participen en el proceso deberán indicar su código SWIFT a modo de prueba de su membresía en esta sociedad.</w:t>
            </w:r>
          </w:p>
          <w:p w14:paraId="3AC06212"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017F258F" w14:textId="77777777" w:rsidR="00747C28" w:rsidRPr="000A02AA" w:rsidRDefault="00747C28" w:rsidP="00747C28">
            <w:pPr>
              <w:numPr>
                <w:ilvl w:val="0"/>
                <w:numId w:val="1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oficina del PNUD en el país determinará el medio de distribución de la Licitación, ya sea por correo convencional, mensajería, o que los bancos interesados recojan la documentación pertinente en el lugar de distribución.</w:t>
            </w:r>
          </w:p>
          <w:p w14:paraId="05D08A56" w14:textId="77777777" w:rsidR="00747C28" w:rsidRPr="000A02AA" w:rsidRDefault="00747C28" w:rsidP="00747C28">
            <w:pPr>
              <w:tabs>
                <w:tab w:val="left" w:pos="6480"/>
              </w:tabs>
              <w:spacing w:after="0" w:line="240" w:lineRule="auto"/>
              <w:ind w:left="1296"/>
              <w:jc w:val="both"/>
              <w:rPr>
                <w:rFonts w:ascii="Calibri" w:eastAsia="Times New Roman" w:hAnsi="Calibri" w:cs="Calibri"/>
                <w:i/>
                <w:snapToGrid w:val="0"/>
                <w:color w:val="FF0000"/>
                <w:kern w:val="0"/>
                <w:lang w:val="es-ES" w:eastAsia="es-ES"/>
                <w14:ligatures w14:val="none"/>
              </w:rPr>
            </w:pPr>
          </w:p>
          <w:p w14:paraId="2C57BF3D" w14:textId="77777777" w:rsidR="00747C28" w:rsidRPr="000A02AA" w:rsidRDefault="00747C28" w:rsidP="00747C28">
            <w:pPr>
              <w:numPr>
                <w:ilvl w:val="0"/>
                <w:numId w:val="1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También podrá grabar la documentación completa de la Licitación en un CD-ROM (o en el número de discos que sea necesario). Esta medida debería reducir el costo de impresión de copias de la documentación. También permite que los posibles bancos licitantes entreguen la información que exigen la documentación y presenten las ofertas en formato electrónico, lo que facilita el trabajo del Panel de evaluación.</w:t>
            </w:r>
          </w:p>
          <w:p w14:paraId="3D505CC3"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4F0377F9" w14:textId="77777777" w:rsidR="00747C28" w:rsidRPr="000A02AA" w:rsidRDefault="00747C28" w:rsidP="00747C28">
            <w:pPr>
              <w:numPr>
                <w:ilvl w:val="0"/>
                <w:numId w:val="1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La oficina del PNUD en el país deberá verificar que los discos CD-ROM han sido grabados correctamente y que contienen todos los documentos de las bases de la licitación. </w:t>
            </w:r>
          </w:p>
          <w:p w14:paraId="531E666B" w14:textId="77777777" w:rsidR="00747C28" w:rsidRPr="000A02AA" w:rsidRDefault="00747C28" w:rsidP="00747C28">
            <w:pPr>
              <w:spacing w:after="0" w:line="240" w:lineRule="auto"/>
              <w:ind w:left="1341"/>
              <w:contextualSpacing/>
              <w:jc w:val="both"/>
              <w:rPr>
                <w:rFonts w:ascii="Calibri" w:eastAsia="Times New Roman" w:hAnsi="Calibri" w:cs="Calibri"/>
                <w:snapToGrid w:val="0"/>
                <w:kern w:val="0"/>
                <w:lang w:val="es-ES" w:eastAsia="es-ES"/>
                <w14:ligatures w14:val="none"/>
              </w:rPr>
            </w:pPr>
          </w:p>
          <w:p w14:paraId="504C0457" w14:textId="77777777" w:rsidR="00747C28" w:rsidRPr="000A02AA" w:rsidRDefault="00747C28" w:rsidP="00747C28">
            <w:pPr>
              <w:numPr>
                <w:ilvl w:val="0"/>
                <w:numId w:val="1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bancos interesados en participar deberán tener a su disposición todos los documentos de la Licitación. La Tesorería habrá de aprobar previamente el listado de bancos a los que se envíe la documentación.</w:t>
            </w:r>
          </w:p>
          <w:p w14:paraId="0F4F65E9"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s-ES" w:eastAsia="es-ES"/>
                <w14:ligatures w14:val="none"/>
              </w:rPr>
            </w:pPr>
          </w:p>
          <w:p w14:paraId="74054920" w14:textId="77777777" w:rsidR="00747C28" w:rsidRPr="000A02AA" w:rsidRDefault="00747C28" w:rsidP="00747C28">
            <w:pPr>
              <w:numPr>
                <w:ilvl w:val="0"/>
                <w:numId w:val="1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oficina del PNUD en el país deberá mantener un registro de la distribución de la documentación y de la recepción de esta que indique lo siguiente:</w:t>
            </w:r>
          </w:p>
          <w:p w14:paraId="09D33449" w14:textId="77777777" w:rsidR="00747C28" w:rsidRPr="000A02AA" w:rsidRDefault="00747C28" w:rsidP="00747C28">
            <w:pPr>
              <w:numPr>
                <w:ilvl w:val="0"/>
                <w:numId w:val="1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Nombre del banco;</w:t>
            </w:r>
          </w:p>
          <w:p w14:paraId="0689781D" w14:textId="77777777" w:rsidR="00747C28" w:rsidRPr="000A02AA" w:rsidRDefault="00747C28" w:rsidP="00747C28">
            <w:pPr>
              <w:numPr>
                <w:ilvl w:val="0"/>
                <w:numId w:val="12"/>
              </w:numPr>
              <w:spacing w:after="0" w:line="240" w:lineRule="auto"/>
              <w:contextualSpacing/>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s-ES" w:eastAsia="es-ES"/>
                <w14:ligatures w14:val="none"/>
              </w:rPr>
              <w:t>Dirección;</w:t>
            </w:r>
          </w:p>
          <w:p w14:paraId="62D1AEB9" w14:textId="77777777" w:rsidR="00747C28" w:rsidRPr="000A02AA" w:rsidRDefault="00747C28" w:rsidP="00747C28">
            <w:pPr>
              <w:numPr>
                <w:ilvl w:val="0"/>
                <w:numId w:val="1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Persona de contacto y su correo electrónico;</w:t>
            </w:r>
          </w:p>
          <w:p w14:paraId="2128E645" w14:textId="77777777" w:rsidR="00747C28" w:rsidRPr="000A02AA" w:rsidRDefault="00747C28" w:rsidP="00747C28">
            <w:pPr>
              <w:numPr>
                <w:ilvl w:val="0"/>
                <w:numId w:val="1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Fecha de entrega de la documentación de la Licitación;</w:t>
            </w:r>
          </w:p>
          <w:p w14:paraId="3916B098" w14:textId="77777777" w:rsidR="00747C28" w:rsidRPr="000A02AA" w:rsidRDefault="00747C28" w:rsidP="00747C28">
            <w:pPr>
              <w:numPr>
                <w:ilvl w:val="0"/>
                <w:numId w:val="1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La oficina de país deberá estampar la fecha y la hora    en </w:t>
            </w:r>
            <w:proofErr w:type="gramStart"/>
            <w:r w:rsidRPr="000A02AA">
              <w:rPr>
                <w:rFonts w:ascii="Calibri" w:eastAsia="Times New Roman" w:hAnsi="Calibri" w:cs="Calibri"/>
                <w:snapToGrid w:val="0"/>
                <w:kern w:val="0"/>
                <w:lang w:val="es-ES" w:eastAsia="es-ES"/>
                <w14:ligatures w14:val="none"/>
              </w:rPr>
              <w:t>los  sobres</w:t>
            </w:r>
            <w:proofErr w:type="gramEnd"/>
            <w:r w:rsidRPr="000A02AA">
              <w:rPr>
                <w:rFonts w:ascii="Calibri" w:eastAsia="Times New Roman" w:hAnsi="Calibri" w:cs="Calibri"/>
                <w:snapToGrid w:val="0"/>
                <w:kern w:val="0"/>
                <w:lang w:val="es-ES" w:eastAsia="es-ES"/>
                <w14:ligatures w14:val="none"/>
              </w:rPr>
              <w:t xml:space="preserve">   de las propuestas que se reciban </w:t>
            </w:r>
          </w:p>
          <w:p w14:paraId="368194A8"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tc>
      </w:tr>
      <w:tr w:rsidR="00747C28" w:rsidRPr="00747C28" w14:paraId="5337993E" w14:textId="77777777" w:rsidTr="007C3679">
        <w:trPr>
          <w:trHeight w:val="162"/>
        </w:trPr>
        <w:tc>
          <w:tcPr>
            <w:tcW w:w="695" w:type="dxa"/>
          </w:tcPr>
          <w:p w14:paraId="7C0C5F66"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01B4D2A1"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Realizar la conferencia previa a la Licitación con los posibles bancos licitantes</w:t>
            </w:r>
          </w:p>
          <w:p w14:paraId="110126A9" w14:textId="77777777" w:rsidR="00747C28" w:rsidRPr="000A02AA" w:rsidRDefault="00747C28" w:rsidP="00747C28">
            <w:pPr>
              <w:spacing w:after="0" w:line="240" w:lineRule="auto"/>
              <w:ind w:left="621"/>
              <w:jc w:val="both"/>
              <w:rPr>
                <w:rFonts w:ascii="Calibri" w:eastAsia="Times New Roman" w:hAnsi="Calibri" w:cs="Calibri"/>
                <w:snapToGrid w:val="0"/>
                <w:kern w:val="0"/>
                <w:lang w:val="es-ES" w:eastAsia="es-ES"/>
                <w14:ligatures w14:val="none"/>
              </w:rPr>
            </w:pPr>
          </w:p>
          <w:p w14:paraId="7434CF66" w14:textId="77777777" w:rsidR="00747C28" w:rsidRPr="000A02AA" w:rsidRDefault="00747C28" w:rsidP="00747C28">
            <w:pPr>
              <w:numPr>
                <w:ilvl w:val="0"/>
                <w:numId w:val="13"/>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Ver la Sección 2 de la Licitación, Instrucciones a los Licitantes, subsección F, número 28.</w:t>
            </w:r>
          </w:p>
          <w:p w14:paraId="29058121"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tc>
      </w:tr>
      <w:tr w:rsidR="00747C28" w:rsidRPr="00747C28" w14:paraId="51222340" w14:textId="77777777" w:rsidTr="007C3679">
        <w:trPr>
          <w:trHeight w:val="162"/>
        </w:trPr>
        <w:tc>
          <w:tcPr>
            <w:tcW w:w="695" w:type="dxa"/>
          </w:tcPr>
          <w:p w14:paraId="16FEB997"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45229612"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Apertura de las ofertas técnicas</w:t>
            </w:r>
          </w:p>
          <w:p w14:paraId="5AE3FD90"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77837306" w14:textId="77777777" w:rsidR="00747C28" w:rsidRPr="000A02AA" w:rsidRDefault="00747C28" w:rsidP="00747C28">
            <w:pPr>
              <w:numPr>
                <w:ilvl w:val="0"/>
                <w:numId w:val="1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oficina en el país deberá formar un comité integrado por un mínimo de tres funcionarios y (o) oficiales.</w:t>
            </w:r>
          </w:p>
          <w:p w14:paraId="08E094BC" w14:textId="77777777" w:rsidR="00747C28" w:rsidRPr="000A02AA" w:rsidRDefault="00747C28" w:rsidP="00747C28">
            <w:pPr>
              <w:numPr>
                <w:ilvl w:val="0"/>
                <w:numId w:val="1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miembros del comité deberán firmar la Declaración de imparcialidad.</w:t>
            </w:r>
          </w:p>
          <w:p w14:paraId="2AB6A4F9" w14:textId="77777777" w:rsidR="00747C28" w:rsidRPr="000A02AA" w:rsidRDefault="00747C28" w:rsidP="00747C28">
            <w:pPr>
              <w:numPr>
                <w:ilvl w:val="0"/>
                <w:numId w:val="1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Si la Oferta técnica está en formato físico, los miembros deberán escribir sus iniciales en todas las páginas de la oferta y contar el número total de páginas.</w:t>
            </w:r>
          </w:p>
          <w:p w14:paraId="3BE3B288" w14:textId="77777777" w:rsidR="00747C28" w:rsidRPr="000A02AA" w:rsidRDefault="00747C28" w:rsidP="00747C28">
            <w:pPr>
              <w:numPr>
                <w:ilvl w:val="0"/>
                <w:numId w:val="1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Estos detalles serán documentados en el Registro de la apertura de ofertas técnicas.</w:t>
            </w:r>
          </w:p>
          <w:p w14:paraId="2944EF96" w14:textId="77777777" w:rsidR="00747C28" w:rsidRPr="000A02AA" w:rsidRDefault="00747C28" w:rsidP="00747C28">
            <w:pPr>
              <w:numPr>
                <w:ilvl w:val="0"/>
                <w:numId w:val="1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miembros del comité firmarán el Registro de la apertura de ofertas técnicas después de haber abierto todas las Ofertas técnicas.</w:t>
            </w:r>
          </w:p>
          <w:p w14:paraId="54A821B6"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tc>
      </w:tr>
      <w:tr w:rsidR="00747C28" w:rsidRPr="00747C28" w14:paraId="17430320" w14:textId="77777777" w:rsidTr="007C3679">
        <w:trPr>
          <w:trHeight w:val="162"/>
        </w:trPr>
        <w:tc>
          <w:tcPr>
            <w:tcW w:w="695" w:type="dxa"/>
          </w:tcPr>
          <w:p w14:paraId="25AF29D0"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4BE3E90D"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Revisión y evaluación de las Ofertas técnicas</w:t>
            </w:r>
          </w:p>
          <w:p w14:paraId="0170856C"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54BB30B6"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Utilice la Herramienta de evaluación /Evaluación técnica [</w:t>
            </w:r>
            <w:r w:rsidRPr="000A02AA">
              <w:rPr>
                <w:rFonts w:ascii="Calibri" w:eastAsia="Times New Roman" w:hAnsi="Calibri" w:cs="Calibri"/>
                <w:i/>
                <w:snapToGrid w:val="0"/>
                <w:color w:val="FF0000"/>
                <w:kern w:val="0"/>
                <w:lang w:val="es-ES" w:eastAsia="es-ES"/>
                <w14:ligatures w14:val="none"/>
              </w:rPr>
              <w:t>Anexo 2</w:t>
            </w:r>
            <w:r w:rsidRPr="000A02AA">
              <w:rPr>
                <w:rFonts w:ascii="Calibri" w:eastAsia="Times New Roman" w:hAnsi="Calibri" w:cs="Calibri"/>
                <w:snapToGrid w:val="0"/>
                <w:kern w:val="0"/>
                <w:lang w:val="es-ES" w:eastAsia="es-ES"/>
                <w14:ligatures w14:val="none"/>
              </w:rPr>
              <w:t>].</w:t>
            </w:r>
          </w:p>
          <w:p w14:paraId="2C48A3F7" w14:textId="77777777" w:rsidR="00747C28" w:rsidRPr="000A02AA" w:rsidRDefault="00747C28" w:rsidP="00747C28">
            <w:pPr>
              <w:spacing w:after="120" w:line="240" w:lineRule="auto"/>
              <w:ind w:left="1800"/>
              <w:contextualSpacing/>
              <w:jc w:val="both"/>
              <w:rPr>
                <w:rFonts w:ascii="Calibri" w:eastAsia="Times New Roman" w:hAnsi="Calibri" w:cs="Calibri"/>
                <w:snapToGrid w:val="0"/>
                <w:kern w:val="0"/>
                <w:lang w:val="es-ES" w:eastAsia="es-ES"/>
                <w14:ligatures w14:val="none"/>
              </w:rPr>
            </w:pPr>
          </w:p>
          <w:p w14:paraId="79C7049B"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A1: Clasificación crediticia:</w:t>
            </w:r>
            <w:r w:rsidRPr="000A02AA">
              <w:rPr>
                <w:rFonts w:ascii="Calibri" w:eastAsia="Times New Roman" w:hAnsi="Calibri" w:cs="Calibri"/>
                <w:snapToGrid w:val="0"/>
                <w:kern w:val="0"/>
                <w:lang w:val="es-ES" w:eastAsia="es-ES"/>
                <w14:ligatures w14:val="none"/>
              </w:rPr>
              <w:t xml:space="preserve"> Evalúe el riesgo de crédito o la solvencia del Licitante. Típicamente, esta clasificación se expresa en letras, siendo la “AAA” la más alta y “D”, la más baja. Esta clasificación no se basa solamente en una fórmula matemática, sino más bien en la opinión y experiencia de las entidades de clasificación de riesgo crediticio tras la valoración de información cualitativa y cuantitativa, incluyendo información privada, de entidades financieras, como los bancos. La clasificación de riesgo crediticio es un indicador independiente de la solvencia y resistencia financiera de un banco, por lo que se le debe dar consideración especial a la hora de evaluarla. </w:t>
            </w:r>
            <w:r w:rsidRPr="000A02AA">
              <w:rPr>
                <w:rFonts w:ascii="Calibri" w:eastAsia="Times New Roman" w:hAnsi="Calibri" w:cs="Calibri"/>
                <w:snapToGrid w:val="0"/>
                <w:kern w:val="0"/>
                <w:lang w:val="es-ES" w:eastAsia="es-ES"/>
                <w14:ligatures w14:val="none"/>
              </w:rPr>
              <w:lastRenderedPageBreak/>
              <w:t>Si la entidad bancaria no ha sido clasificada por ninguna de las entidades de clasificación reconocidas internacionalmente, queda la opción de considerar la clasificación de la entidad nacional, o la posición del banco en la clasificación del banco central del país.</w:t>
            </w:r>
          </w:p>
          <w:p w14:paraId="6308B241" w14:textId="77777777" w:rsidR="00747C28" w:rsidRPr="000A02AA" w:rsidRDefault="00747C28" w:rsidP="00747C28">
            <w:pPr>
              <w:spacing w:after="120" w:line="240" w:lineRule="auto"/>
              <w:contextualSpacing/>
              <w:jc w:val="both"/>
              <w:rPr>
                <w:rFonts w:ascii="Calibri" w:eastAsia="Times New Roman" w:hAnsi="Calibri" w:cs="Calibri"/>
                <w:snapToGrid w:val="0"/>
                <w:kern w:val="0"/>
                <w:lang w:val="es-ES" w:eastAsia="es-ES"/>
                <w14:ligatures w14:val="none"/>
              </w:rPr>
            </w:pPr>
          </w:p>
          <w:p w14:paraId="5FAB62DE"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A2: Situación del balance y coeficientes financieros</w:t>
            </w:r>
            <w:r w:rsidRPr="000A02AA">
              <w:rPr>
                <w:rFonts w:ascii="Calibri" w:eastAsia="Times New Roman" w:hAnsi="Calibri" w:cs="Calibri"/>
                <w:snapToGrid w:val="0"/>
                <w:kern w:val="0"/>
                <w:lang w:val="es-ES" w:eastAsia="es-ES"/>
                <w14:ligatures w14:val="none"/>
              </w:rPr>
              <w:t>: Evalúe los resultados operacionales del banco, así como su patrimonio y solvencia, perfil de riesgo, crecimiento y potencial para generar utilidades. A excepción del indicador de Pasivos totales, mientras más alto sea el indicador de Activos totales, Ingresos netos, y mientras más altos sean los coeficientes de Liquidez, Capital básico sobre Pasivos, Capital básico sobre activos ponderados por riesgo, mejor es la resistencia financiera de la entidad bancaria. Al asignar una puntuación se deberá prestar atención a la tendencia de los tres años anteriores. También deberá estar alerta ante cualquier tendencia negativa en estos coeficientes y en las posiciones del balance financiero.</w:t>
            </w:r>
            <w:r w:rsidRPr="000A02AA">
              <w:rPr>
                <w:rFonts w:ascii="Calibri" w:eastAsia="Times New Roman" w:hAnsi="Calibri" w:cs="Calibri"/>
                <w:snapToGrid w:val="0"/>
                <w:kern w:val="0"/>
                <w:lang w:val="es-ES" w:eastAsia="es-ES"/>
                <w14:ligatures w14:val="none"/>
              </w:rPr>
              <w:tab/>
            </w:r>
          </w:p>
          <w:p w14:paraId="4CFCD722"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A3: Cobertura y presencia geográfica</w:t>
            </w:r>
            <w:r w:rsidRPr="000A02AA">
              <w:rPr>
                <w:rFonts w:ascii="Calibri" w:eastAsia="Times New Roman" w:hAnsi="Calibri" w:cs="Calibri"/>
                <w:snapToGrid w:val="0"/>
                <w:kern w:val="0"/>
                <w:lang w:val="es-ES" w:eastAsia="es-ES"/>
                <w14:ligatures w14:val="none"/>
              </w:rPr>
              <w:t>: Evalúe la cobertura geográfica del banco en áreas donde el PNUD y los organismos de la ONU que participan en el proceso tienen proyectos y actividades que necesitan de servicios bancarios.</w:t>
            </w:r>
          </w:p>
          <w:p w14:paraId="1AD61031"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B1: Cargos a los beneficiarios</w:t>
            </w:r>
            <w:r w:rsidRPr="000A02AA">
              <w:rPr>
                <w:rFonts w:ascii="Calibri" w:eastAsia="Times New Roman" w:hAnsi="Calibri" w:cs="Calibri"/>
                <w:snapToGrid w:val="0"/>
                <w:kern w:val="0"/>
                <w:lang w:val="es-ES" w:eastAsia="es-ES"/>
                <w14:ligatures w14:val="none"/>
              </w:rPr>
              <w:t>: Evalúe las prácticas de la entidad en materia del cobro de una cuota o tasa fija a cada uno de los abonos iniciados por el PNUD [</w:t>
            </w:r>
            <w:r w:rsidRPr="000A02AA">
              <w:rPr>
                <w:rFonts w:ascii="Calibri" w:eastAsia="Times New Roman" w:hAnsi="Calibri" w:cs="Calibri"/>
                <w:i/>
                <w:snapToGrid w:val="0"/>
                <w:color w:val="FF0000"/>
                <w:kern w:val="0"/>
                <w:lang w:val="es-ES" w:eastAsia="es-ES"/>
                <w14:ligatures w14:val="none"/>
              </w:rPr>
              <w:t>que reduce el monto del pago entregado al beneficiario</w:t>
            </w:r>
            <w:r w:rsidRPr="000A02AA">
              <w:rPr>
                <w:rFonts w:ascii="Calibri" w:eastAsia="Times New Roman" w:hAnsi="Calibri" w:cs="Calibri"/>
                <w:snapToGrid w:val="0"/>
                <w:kern w:val="0"/>
                <w:lang w:val="es-ES" w:eastAsia="es-ES"/>
                <w14:ligatures w14:val="none"/>
              </w:rPr>
              <w:t>] El PNUD espera que los beneficiarios de sus pagos reciban el monto completo de éstos. Los cobros por el servicio de pago deben ser explícitos y cobrados al PNUD conforme a un calendario de pagos, y no deberán ser deducidos de los pagos individuales.</w:t>
            </w:r>
          </w:p>
          <w:p w14:paraId="2137DD4D" w14:textId="77777777" w:rsidR="00747C28" w:rsidRPr="000A02AA" w:rsidRDefault="00747C28" w:rsidP="00747C28">
            <w:pPr>
              <w:numPr>
                <w:ilvl w:val="0"/>
                <w:numId w:val="26"/>
              </w:numPr>
              <w:spacing w:after="120" w:line="240" w:lineRule="auto"/>
              <w:contextualSpacing/>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B2: Tiempo de procesamiento / hora diaria de cierre</w:t>
            </w:r>
            <w:r w:rsidRPr="000A02AA">
              <w:rPr>
                <w:rFonts w:ascii="Calibri" w:eastAsia="Times New Roman" w:hAnsi="Calibri" w:cs="Calibri"/>
                <w:snapToGrid w:val="0"/>
                <w:kern w:val="0"/>
                <w:lang w:val="es-ES" w:eastAsia="es-ES"/>
                <w14:ligatures w14:val="none"/>
              </w:rPr>
              <w:t>:</w:t>
            </w:r>
            <w:r w:rsidRPr="000A02AA">
              <w:rPr>
                <w:rFonts w:ascii="Calibri" w:eastAsia="Times New Roman" w:hAnsi="Calibri" w:cs="Calibri"/>
                <w:b/>
                <w:snapToGrid w:val="0"/>
                <w:kern w:val="0"/>
                <w:lang w:val="es-ES" w:eastAsia="es-ES"/>
                <w14:ligatures w14:val="none"/>
              </w:rPr>
              <w:t xml:space="preserve"> </w:t>
            </w:r>
            <w:r w:rsidRPr="000A02AA">
              <w:rPr>
                <w:rFonts w:ascii="Calibri" w:eastAsia="Times New Roman" w:hAnsi="Calibri" w:cs="Calibri"/>
                <w:snapToGrid w:val="0"/>
                <w:kern w:val="0"/>
                <w:lang w:val="es-ES" w:eastAsia="es-ES"/>
                <w14:ligatures w14:val="none"/>
              </w:rPr>
              <w:t xml:space="preserve">Evalúe la capacidad de servicio y la flexibilidad del banco. Mientras más horas y flexibilidad en el servicio, mejor. </w:t>
            </w:r>
          </w:p>
          <w:p w14:paraId="7731A0F8"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B3: Disponibilidad de los fondos:</w:t>
            </w:r>
            <w:r w:rsidRPr="000A02AA">
              <w:rPr>
                <w:rFonts w:ascii="Calibri" w:eastAsia="Times New Roman" w:hAnsi="Calibri" w:cs="Calibri"/>
                <w:snapToGrid w:val="0"/>
                <w:kern w:val="0"/>
                <w:lang w:val="es-ES" w:eastAsia="es-ES"/>
                <w14:ligatures w14:val="none"/>
              </w:rPr>
              <w:t xml:space="preserve"> Evalúe la prontitud con la que los abonos estarán disponibles en las cuentas del PNUD, tanto en el caso de abonos como en el procesamiento de pagos. En el caso de abonos, se espera que éstos se abonen a la cuenta del PNUD en el momento de recibir los fondos. En el caso de pagos, se espera que el banco debite a la cuenta del PNUD en el momento de realizar el pago. </w:t>
            </w:r>
          </w:p>
          <w:p w14:paraId="45F94DAB"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B4: Proceso de pago a beneficiarios sin cuenta bancaria</w:t>
            </w:r>
            <w:r w:rsidRPr="000A02AA">
              <w:rPr>
                <w:rFonts w:ascii="Calibri" w:eastAsia="Times New Roman" w:hAnsi="Calibri" w:cs="Calibri"/>
                <w:snapToGrid w:val="0"/>
                <w:kern w:val="0"/>
                <w:lang w:val="es-ES" w:eastAsia="es-ES"/>
                <w14:ligatures w14:val="none"/>
              </w:rPr>
              <w:t>: Evalúe la capacidad del banco para ofrecer soluciones según cada caso particular. Esta capacidad puede ser pertinente para algunas oficinas que tienen sistemas bancarios más básicos en algunos países.</w:t>
            </w:r>
          </w:p>
          <w:p w14:paraId="08257177"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noProof/>
                <w:snapToGrid w:val="0"/>
                <w:kern w:val="0"/>
                <w:lang w:val="es-ES" w:eastAsia="es-ES"/>
                <w14:ligatures w14:val="none"/>
              </w:rPr>
              <w:t>B5-B6-B7-B8-B9:</w:t>
            </w:r>
            <w:r w:rsidRPr="000A02AA">
              <w:rPr>
                <w:rFonts w:ascii="Calibri" w:eastAsia="Times New Roman" w:hAnsi="Calibri" w:cs="Calibri"/>
                <w:snapToGrid w:val="0"/>
                <w:kern w:val="0"/>
                <w:lang w:val="es-ES" w:eastAsia="es-ES"/>
                <w14:ligatures w14:val="none"/>
              </w:rPr>
              <w:t xml:space="preserve"> </w:t>
            </w:r>
            <w:r w:rsidRPr="000A02AA">
              <w:rPr>
                <w:rFonts w:ascii="Calibri" w:eastAsia="Times New Roman" w:hAnsi="Calibri" w:cs="Calibri"/>
                <w:b/>
                <w:snapToGrid w:val="0"/>
                <w:kern w:val="0"/>
                <w:lang w:val="es-ES" w:eastAsia="es-ES"/>
                <w14:ligatures w14:val="none"/>
              </w:rPr>
              <w:t>Servicios en moneda extranjera:</w:t>
            </w:r>
            <w:r w:rsidRPr="000A02AA">
              <w:rPr>
                <w:rFonts w:ascii="Calibri" w:eastAsia="Times New Roman" w:hAnsi="Calibri" w:cs="Calibri"/>
                <w:snapToGrid w:val="0"/>
                <w:kern w:val="0"/>
                <w:lang w:val="es-ES" w:eastAsia="es-ES"/>
                <w14:ligatures w14:val="none"/>
              </w:rPr>
              <w:t xml:space="preserve"> Evalúe los servicios en moneda extranjera, incluyendo la disponibilidad de divisas, tipos de cambio competitivos y la liquidación oportuna de las transacciones, especialmente la prontitud con la que se abonan las divisas adquiridas en la cuenta del PNUD, y hora de cierre de los servicios en moneda extranjera.</w:t>
            </w:r>
          </w:p>
          <w:p w14:paraId="1F7E9BA1"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noProof/>
                <w:snapToGrid w:val="0"/>
                <w:kern w:val="0"/>
                <w:lang w:val="es-ES" w:eastAsia="es-ES"/>
                <w14:ligatures w14:val="none"/>
              </w:rPr>
              <w:lastRenderedPageBreak/>
              <w:t>C1-C2:</w:t>
            </w:r>
            <w:r w:rsidRPr="000A02AA">
              <w:rPr>
                <w:rFonts w:ascii="Calibri" w:eastAsia="Times New Roman" w:hAnsi="Calibri" w:cs="Calibri"/>
                <w:b/>
                <w:snapToGrid w:val="0"/>
                <w:kern w:val="0"/>
                <w:lang w:val="es-ES" w:eastAsia="es-ES"/>
                <w14:ligatures w14:val="none"/>
              </w:rPr>
              <w:t xml:space="preserve"> Banca electrónica e interfaz con el sistema de gestión empresarial (ERP):</w:t>
            </w:r>
            <w:r w:rsidRPr="000A02AA">
              <w:rPr>
                <w:rFonts w:ascii="Calibri" w:eastAsia="Times New Roman" w:hAnsi="Calibri" w:cs="Calibri"/>
                <w:snapToGrid w:val="0"/>
                <w:kern w:val="0"/>
                <w:lang w:val="es-ES" w:eastAsia="es-ES"/>
                <w14:ligatures w14:val="none"/>
              </w:rPr>
              <w:t xml:space="preserve"> Evalúe la capacidad de interfaz del sistema actual del banco, o los planes de este para ampliar dicha capacidad en el futuro, y cuándo; comprender los requerimientos de sistema (si corresponde) y los procedimientos operacionales del sistema de banca electrónica del banco.</w:t>
            </w:r>
          </w:p>
          <w:p w14:paraId="57252835"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C3: Seguridad y control de la banca electrónica y de la interfaz:</w:t>
            </w:r>
            <w:r w:rsidRPr="000A02AA">
              <w:rPr>
                <w:rFonts w:ascii="Calibri" w:eastAsia="Times New Roman" w:hAnsi="Calibri" w:cs="Calibri"/>
                <w:snapToGrid w:val="0"/>
                <w:kern w:val="0"/>
                <w:lang w:val="es-ES" w:eastAsia="es-ES"/>
                <w14:ligatures w14:val="none"/>
              </w:rPr>
              <w:t xml:space="preserve"> Evalúe el sistema de seguridad del banco y de las medidas de mitigación de riesgo en la banca electrónica y en la interfaz de sistema entre el banco y el PNUD.</w:t>
            </w:r>
          </w:p>
          <w:p w14:paraId="47846659"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C4: Presentación de informes:</w:t>
            </w:r>
            <w:r w:rsidRPr="000A02AA">
              <w:rPr>
                <w:rFonts w:ascii="Calibri" w:eastAsia="Times New Roman" w:hAnsi="Calibri" w:cs="Calibri"/>
                <w:snapToGrid w:val="0"/>
                <w:kern w:val="0"/>
                <w:lang w:val="es-ES" w:eastAsia="es-ES"/>
                <w14:ligatures w14:val="none"/>
              </w:rPr>
              <w:t xml:space="preserve"> Evalúe si el banco ofrece un informe diario de los movimientos y saldos de las cuentas, ya sea en el mismo día o en el día anterior u otras alternativas.</w:t>
            </w:r>
          </w:p>
          <w:p w14:paraId="3D575028"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 xml:space="preserve">D1: Atención al cliente: </w:t>
            </w:r>
            <w:r w:rsidRPr="000A02AA">
              <w:rPr>
                <w:rFonts w:ascii="Calibri" w:eastAsia="Times New Roman" w:hAnsi="Calibri" w:cs="Calibri"/>
                <w:snapToGrid w:val="0"/>
                <w:kern w:val="0"/>
                <w:lang w:val="es-ES" w:eastAsia="es-ES"/>
                <w14:ligatures w14:val="none"/>
              </w:rPr>
              <w:t>Evalúe el organigrama del banco, la cadena de mando, desde el gerente de sucursal, el agente de cuentas del PNUD y el contacto permanente de atención al cliente, así como el tiempo de respuesta y la solución efectiva de problemas.</w:t>
            </w:r>
          </w:p>
          <w:p w14:paraId="59AAD09E"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E1: Gestión de riesgos:</w:t>
            </w:r>
            <w:r w:rsidRPr="000A02AA">
              <w:rPr>
                <w:rFonts w:ascii="Calibri" w:eastAsia="Times New Roman" w:hAnsi="Calibri" w:cs="Calibri"/>
                <w:snapToGrid w:val="0"/>
                <w:kern w:val="0"/>
                <w:lang w:val="es-ES" w:eastAsia="es-ES"/>
                <w14:ligatures w14:val="none"/>
              </w:rPr>
              <w:t xml:space="preserve"> Evalúe las prácticas de gestión de riesgos del banco y su plan de continuidad empresarial, los cuales podrían tener un gran impacto en el apoyo que este preste el PNUD y sus clientes en zonas difíciles o en época de crisis.</w:t>
            </w:r>
          </w:p>
          <w:p w14:paraId="09121F2F" w14:textId="77777777" w:rsidR="00747C28" w:rsidRPr="000A02AA" w:rsidRDefault="00747C28" w:rsidP="00747C28">
            <w:pPr>
              <w:numPr>
                <w:ilvl w:val="0"/>
                <w:numId w:val="26"/>
              </w:numPr>
              <w:spacing w:after="12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F: Otros servicios:</w:t>
            </w:r>
            <w:r w:rsidRPr="000A02AA">
              <w:rPr>
                <w:rFonts w:ascii="Calibri" w:eastAsia="Times New Roman" w:hAnsi="Calibri" w:cs="Calibri"/>
                <w:snapToGrid w:val="0"/>
                <w:kern w:val="0"/>
                <w:lang w:val="es-ES" w:eastAsia="es-ES"/>
                <w14:ligatures w14:val="none"/>
              </w:rPr>
              <w:t xml:space="preserve"> La oficina del PNUD en el país podrá definir aquí servicios que no están en las categorías anteriores. Si esta sección se incluye en la Licitación, la oficina en el país deberá acordar con Tesorería los requerimientos de servicios y los puntos de evaluación. </w:t>
            </w:r>
            <w:r w:rsidRPr="000A02AA">
              <w:rPr>
                <w:rFonts w:ascii="Calibri" w:eastAsia="Times New Roman" w:hAnsi="Calibri" w:cs="Calibri"/>
                <w:snapToGrid w:val="0"/>
                <w:kern w:val="0"/>
                <w:lang w:val="es-ES" w:eastAsia="es-ES"/>
                <w14:ligatures w14:val="none"/>
              </w:rPr>
              <w:tab/>
            </w:r>
            <w:r w:rsidRPr="000A02AA">
              <w:rPr>
                <w:rFonts w:ascii="Calibri" w:eastAsia="Times New Roman" w:hAnsi="Calibri" w:cs="Calibri"/>
                <w:snapToGrid w:val="0"/>
                <w:kern w:val="0"/>
                <w:lang w:val="es-ES" w:eastAsia="es-ES"/>
                <w14:ligatures w14:val="none"/>
              </w:rPr>
              <w:br/>
            </w:r>
          </w:p>
        </w:tc>
      </w:tr>
      <w:tr w:rsidR="00747C28" w:rsidRPr="00747C28" w14:paraId="5B4DFA22" w14:textId="77777777" w:rsidTr="007C3679">
        <w:trPr>
          <w:trHeight w:val="162"/>
        </w:trPr>
        <w:tc>
          <w:tcPr>
            <w:tcW w:w="695" w:type="dxa"/>
          </w:tcPr>
          <w:p w14:paraId="00DBAD2F"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068F8D4A"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Apertura de las ofertas financieras</w:t>
            </w:r>
          </w:p>
          <w:p w14:paraId="4C2BFF9D"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4EFA040E" w14:textId="77777777" w:rsidR="00747C28" w:rsidRPr="000A02AA" w:rsidRDefault="00747C28" w:rsidP="00747C28">
            <w:pPr>
              <w:numPr>
                <w:ilvl w:val="0"/>
                <w:numId w:val="1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El panel de miembros será llamado a abrir las ofertas financieras después de que el panel de evaluación haya terminado de evaluar las ofertas técnicas.</w:t>
            </w:r>
          </w:p>
          <w:p w14:paraId="687A7BC1"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3DEA7FD1" w14:textId="77777777" w:rsidR="00747C28" w:rsidRPr="000A02AA" w:rsidRDefault="00747C28" w:rsidP="00747C28">
            <w:pPr>
              <w:numPr>
                <w:ilvl w:val="0"/>
                <w:numId w:val="1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Se habrá de seguir los mismos pasos establecidos el punto </w:t>
            </w:r>
            <w:r w:rsidRPr="000A02AA">
              <w:rPr>
                <w:rFonts w:ascii="Calibri" w:eastAsia="Times New Roman" w:hAnsi="Calibri" w:cs="Calibri"/>
                <w:b/>
                <w:snapToGrid w:val="0"/>
                <w:kern w:val="0"/>
                <w:lang w:val="es-ES" w:eastAsia="es-ES"/>
                <w14:ligatures w14:val="none"/>
              </w:rPr>
              <w:t>6.7</w:t>
            </w:r>
            <w:r w:rsidRPr="000A02AA">
              <w:rPr>
                <w:rFonts w:ascii="Calibri" w:eastAsia="Times New Roman" w:hAnsi="Calibri" w:cs="Calibri"/>
                <w:snapToGrid w:val="0"/>
                <w:kern w:val="0"/>
                <w:lang w:val="es-ES" w:eastAsia="es-ES"/>
                <w14:ligatures w14:val="none"/>
              </w:rPr>
              <w:t>.</w:t>
            </w:r>
          </w:p>
          <w:p w14:paraId="6836538F" w14:textId="77777777" w:rsidR="00747C28" w:rsidRPr="000A02AA" w:rsidRDefault="00747C28" w:rsidP="00747C28">
            <w:pPr>
              <w:spacing w:after="0" w:line="240" w:lineRule="auto"/>
              <w:ind w:left="1296"/>
              <w:jc w:val="both"/>
              <w:rPr>
                <w:rFonts w:ascii="Calibri" w:eastAsia="Times New Roman" w:hAnsi="Calibri" w:cs="Calibri"/>
                <w:snapToGrid w:val="0"/>
                <w:kern w:val="0"/>
                <w:lang w:val="es-ES" w:eastAsia="es-ES"/>
                <w14:ligatures w14:val="none"/>
              </w:rPr>
            </w:pPr>
          </w:p>
          <w:p w14:paraId="07307E9A"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Evaluación de las ofertas financieras y resumen de resultados</w:t>
            </w:r>
          </w:p>
          <w:p w14:paraId="6A7591C4"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3B65F268" w14:textId="77777777" w:rsidR="00747C28" w:rsidRPr="000A02AA" w:rsidRDefault="00747C28" w:rsidP="00747C28">
            <w:pPr>
              <w:numPr>
                <w:ilvl w:val="0"/>
                <w:numId w:val="1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Utilice la Herramienta de evaluación / Evaluación financiera [</w:t>
            </w:r>
            <w:r w:rsidRPr="000A02AA">
              <w:rPr>
                <w:rFonts w:ascii="Calibri" w:eastAsia="Times New Roman" w:hAnsi="Calibri" w:cs="Calibri"/>
                <w:i/>
                <w:snapToGrid w:val="0"/>
                <w:color w:val="FF0000"/>
                <w:kern w:val="0"/>
                <w:lang w:val="es-ES" w:eastAsia="es-ES"/>
                <w14:ligatures w14:val="none"/>
              </w:rPr>
              <w:t>Anexo 2</w:t>
            </w:r>
            <w:r w:rsidRPr="000A02AA">
              <w:rPr>
                <w:rFonts w:ascii="Calibri" w:eastAsia="Times New Roman" w:hAnsi="Calibri" w:cs="Calibri"/>
                <w:snapToGrid w:val="0"/>
                <w:kern w:val="0"/>
                <w:lang w:val="es-ES" w:eastAsia="es-ES"/>
                <w14:ligatures w14:val="none"/>
              </w:rPr>
              <w:t>].</w:t>
            </w:r>
          </w:p>
          <w:p w14:paraId="51115054"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20438A79" w14:textId="77777777" w:rsidR="00747C28" w:rsidRPr="000A02AA" w:rsidRDefault="00747C28" w:rsidP="00747C28">
            <w:pPr>
              <w:numPr>
                <w:ilvl w:val="0"/>
                <w:numId w:val="1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Sección A: Oferta de los Licitantes</w:t>
            </w:r>
            <w:r w:rsidRPr="000A02AA">
              <w:rPr>
                <w:rFonts w:ascii="Calibri" w:eastAsia="Times New Roman" w:hAnsi="Calibri" w:cs="Calibri"/>
                <w:snapToGrid w:val="0"/>
                <w:kern w:val="0"/>
                <w:lang w:val="es-ES" w:eastAsia="es-ES"/>
                <w14:ligatures w14:val="none"/>
              </w:rPr>
              <w:t>: Introduzca el precio indicado en la oferta financiera de los bancos Licitantes. Si el precio del servicio viene indicado en costo unitario, multiplíquelo por el volumen mensual estimado para cada servicio.</w:t>
            </w:r>
          </w:p>
          <w:p w14:paraId="5A240345"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329E5A90" w14:textId="77777777" w:rsidR="00747C28" w:rsidRPr="000A02AA" w:rsidRDefault="00747C28" w:rsidP="00747C28">
            <w:pPr>
              <w:numPr>
                <w:ilvl w:val="0"/>
                <w:numId w:val="1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Sección B: Evaluación de las ofertas individuales</w:t>
            </w:r>
            <w:r w:rsidRPr="000A02AA">
              <w:rPr>
                <w:rFonts w:ascii="Calibri" w:eastAsia="Times New Roman" w:hAnsi="Calibri" w:cs="Calibri"/>
                <w:snapToGrid w:val="0"/>
                <w:kern w:val="0"/>
                <w:lang w:val="es-ES" w:eastAsia="es-ES"/>
                <w14:ligatures w14:val="none"/>
              </w:rPr>
              <w:t>: Siga los pasos que se indican en el cuadro para ingresar los datos pertinentes. El cuadro calculará automáticamente el puntaje de la oferta financiera de cada Licitante (</w:t>
            </w:r>
            <w:r w:rsidRPr="000A02AA">
              <w:rPr>
                <w:rFonts w:ascii="Calibri" w:eastAsia="Times New Roman" w:hAnsi="Calibri" w:cs="Calibri"/>
                <w:i/>
                <w:snapToGrid w:val="0"/>
                <w:color w:val="FF0000"/>
                <w:kern w:val="0"/>
                <w:lang w:val="es-ES" w:eastAsia="es-ES"/>
                <w14:ligatures w14:val="none"/>
              </w:rPr>
              <w:t>repita los mismos pasos para cada uno de los Licitantes</w:t>
            </w:r>
            <w:r w:rsidRPr="000A02AA">
              <w:rPr>
                <w:rFonts w:ascii="Calibri" w:eastAsia="Times New Roman" w:hAnsi="Calibri" w:cs="Calibri"/>
                <w:snapToGrid w:val="0"/>
                <w:kern w:val="0"/>
                <w:lang w:val="es-ES" w:eastAsia="es-ES"/>
                <w14:ligatures w14:val="none"/>
              </w:rPr>
              <w:t xml:space="preserve">). La puntuación de la oferta </w:t>
            </w:r>
            <w:r w:rsidRPr="000A02AA">
              <w:rPr>
                <w:rFonts w:ascii="Calibri" w:eastAsia="Times New Roman" w:hAnsi="Calibri" w:cs="Calibri"/>
                <w:snapToGrid w:val="0"/>
                <w:kern w:val="0"/>
                <w:lang w:val="es-ES" w:eastAsia="es-ES"/>
                <w14:ligatures w14:val="none"/>
              </w:rPr>
              <w:lastRenderedPageBreak/>
              <w:t xml:space="preserve">financiera tiene dos componentes: el componente del precio ofrecido (95%) y el tipo de interés de la cuenta corriente (5%). La fórmula está protegida.  En los países donde no se permite que una cuenta corriente devengue intereses, ingrese 0 (cero) en los campos correspondientes. El cuadro asignará automáticamente un puntaje de 5 a cada uno de los Licitantes, por lo que el impacto en la puntuación final de la oferta financiera estará controlado en todas. </w:t>
            </w:r>
          </w:p>
          <w:p w14:paraId="000520C1"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5FC648CE" w14:textId="77777777" w:rsidR="00747C28" w:rsidRPr="000A02AA" w:rsidRDefault="00747C28" w:rsidP="00747C28">
            <w:pPr>
              <w:numPr>
                <w:ilvl w:val="0"/>
                <w:numId w:val="1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b/>
                <w:noProof/>
                <w:snapToGrid w:val="0"/>
                <w:kern w:val="0"/>
                <w:lang w:val="es-ES" w:eastAsia="es-ES"/>
                <w14:ligatures w14:val="none"/>
              </w:rPr>
              <w:t>Sección C:</w:t>
            </w:r>
            <w:r w:rsidRPr="000A02AA">
              <w:rPr>
                <w:rFonts w:ascii="Calibri" w:eastAsia="Times New Roman" w:hAnsi="Calibri" w:cs="Calibri"/>
                <w:b/>
                <w:snapToGrid w:val="0"/>
                <w:kern w:val="0"/>
                <w:lang w:val="es-ES" w:eastAsia="es-ES"/>
                <w14:ligatures w14:val="none"/>
              </w:rPr>
              <w:t xml:space="preserve"> Ingresar los resultados que cada Licitante obtuvo en la Sección B</w:t>
            </w:r>
            <w:r w:rsidRPr="000A02AA">
              <w:rPr>
                <w:rFonts w:ascii="Calibri" w:eastAsia="Times New Roman" w:hAnsi="Calibri" w:cs="Calibri"/>
                <w:snapToGrid w:val="0"/>
                <w:kern w:val="0"/>
                <w:lang w:val="es-ES" w:eastAsia="es-ES"/>
                <w14:ligatures w14:val="none"/>
              </w:rPr>
              <w:t xml:space="preserve">. </w:t>
            </w:r>
          </w:p>
          <w:p w14:paraId="54E3E59F"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45ECE3D8" w14:textId="77777777" w:rsidR="00747C28" w:rsidRPr="000A02AA" w:rsidRDefault="00747C28" w:rsidP="00747C28">
            <w:pPr>
              <w:numPr>
                <w:ilvl w:val="0"/>
                <w:numId w:val="16"/>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Utilice la Herramienta de evaluación / Resumen de resultados: Introduzca la puntuación final que cada banco Licitante obtuvo en la oferta técnica y financiera. El puntaje final será calculado automáticamente.</w:t>
            </w:r>
          </w:p>
          <w:p w14:paraId="2BEDC291"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tc>
      </w:tr>
      <w:tr w:rsidR="00747C28" w:rsidRPr="00747C28" w14:paraId="31B63EE3" w14:textId="77777777" w:rsidTr="007C3679">
        <w:trPr>
          <w:trHeight w:val="162"/>
        </w:trPr>
        <w:tc>
          <w:tcPr>
            <w:tcW w:w="695" w:type="dxa"/>
          </w:tcPr>
          <w:p w14:paraId="5981D2CD"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6480E441" w14:textId="77777777" w:rsidR="00747C28" w:rsidRPr="000A02AA" w:rsidRDefault="00747C28" w:rsidP="00747C28">
            <w:pPr>
              <w:numPr>
                <w:ilvl w:val="0"/>
                <w:numId w:val="3"/>
              </w:numPr>
              <w:spacing w:after="0" w:line="240" w:lineRule="auto"/>
              <w:contextualSpacing/>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u w:val="single"/>
                <w:lang w:val="es-ES" w:eastAsia="es-ES"/>
                <w14:ligatures w14:val="none"/>
              </w:rPr>
              <w:t>Apertura y evaluación de las Ofertas de servicios de banca personal [</w:t>
            </w:r>
            <w:r w:rsidRPr="000A02AA">
              <w:rPr>
                <w:rFonts w:ascii="Calibri" w:eastAsia="Times New Roman" w:hAnsi="Calibri" w:cs="Calibri"/>
                <w:b/>
                <w:snapToGrid w:val="0"/>
                <w:color w:val="FF0000"/>
                <w:kern w:val="0"/>
                <w:u w:val="single"/>
                <w:lang w:val="es-ES" w:eastAsia="es-ES"/>
                <w14:ligatures w14:val="none"/>
              </w:rPr>
              <w:t>Nota:</w:t>
            </w:r>
            <w:r w:rsidRPr="000A02AA">
              <w:rPr>
                <w:rFonts w:ascii="Calibri" w:eastAsia="Times New Roman" w:hAnsi="Calibri" w:cs="Calibri"/>
                <w:b/>
                <w:i/>
                <w:snapToGrid w:val="0"/>
                <w:color w:val="FF0000"/>
                <w:kern w:val="0"/>
                <w:u w:val="single"/>
                <w:lang w:val="es-ES" w:eastAsia="es-ES"/>
                <w14:ligatures w14:val="none"/>
              </w:rPr>
              <w:t xml:space="preserve"> solo en caso de empate después de la evaluación de las ofertas financieras</w:t>
            </w:r>
            <w:r w:rsidRPr="000A02AA">
              <w:rPr>
                <w:rFonts w:ascii="Calibri" w:eastAsia="Times New Roman" w:hAnsi="Calibri" w:cs="Calibri"/>
                <w:b/>
                <w:i/>
                <w:snapToGrid w:val="0"/>
                <w:kern w:val="0"/>
                <w:u w:val="single"/>
                <w:lang w:val="es-ES" w:eastAsia="es-ES"/>
                <w14:ligatures w14:val="none"/>
              </w:rPr>
              <w:t>]</w:t>
            </w:r>
          </w:p>
          <w:p w14:paraId="3FC16D07"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7A807018" w14:textId="77777777" w:rsidR="00747C28" w:rsidRPr="000A02AA" w:rsidRDefault="00747C28" w:rsidP="00747C28">
            <w:pPr>
              <w:numPr>
                <w:ilvl w:val="0"/>
                <w:numId w:val="17"/>
              </w:numPr>
              <w:tabs>
                <w:tab w:val="left" w:pos="6480"/>
              </w:tabs>
              <w:spacing w:after="24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Cabe destacar que el PNUD está solicitando servicios bancarios que se ajusten a sus operaciones institucionales, y </w:t>
            </w:r>
            <w:r w:rsidRPr="000A02AA">
              <w:rPr>
                <w:rFonts w:ascii="Calibri" w:eastAsia="Times New Roman" w:hAnsi="Calibri" w:cs="Calibri"/>
                <w:b/>
                <w:snapToGrid w:val="0"/>
                <w:kern w:val="0"/>
                <w:lang w:val="es-ES" w:eastAsia="es-ES"/>
                <w14:ligatures w14:val="none"/>
              </w:rPr>
              <w:t>no</w:t>
            </w:r>
            <w:r w:rsidRPr="000A02AA">
              <w:rPr>
                <w:rFonts w:ascii="Calibri" w:eastAsia="Times New Roman" w:hAnsi="Calibri" w:cs="Calibri"/>
                <w:snapToGrid w:val="0"/>
                <w:kern w:val="0"/>
                <w:lang w:val="es-ES" w:eastAsia="es-ES"/>
                <w14:ligatures w14:val="none"/>
              </w:rPr>
              <w:t xml:space="preserve"> servicios bancarios que se ajusten a las necesidades individuales del personal.</w:t>
            </w:r>
          </w:p>
          <w:p w14:paraId="23B75D71" w14:textId="77777777" w:rsidR="005954BF" w:rsidRDefault="00747C28" w:rsidP="005954BF">
            <w:pPr>
              <w:numPr>
                <w:ilvl w:val="0"/>
                <w:numId w:val="17"/>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Sin embargo, la institución está </w:t>
            </w:r>
            <w:proofErr w:type="spellStart"/>
            <w:r w:rsidRPr="000A02AA">
              <w:rPr>
                <w:rFonts w:ascii="Calibri" w:eastAsia="Times New Roman" w:hAnsi="Calibri" w:cs="Calibri"/>
                <w:snapToGrid w:val="0"/>
                <w:kern w:val="0"/>
                <w:lang w:val="es-ES" w:eastAsia="es-ES"/>
                <w14:ligatures w14:val="none"/>
              </w:rPr>
              <w:t>conciente</w:t>
            </w:r>
            <w:proofErr w:type="spellEnd"/>
            <w:r w:rsidRPr="000A02AA">
              <w:rPr>
                <w:rFonts w:ascii="Calibri" w:eastAsia="Times New Roman" w:hAnsi="Calibri" w:cs="Calibri"/>
                <w:snapToGrid w:val="0"/>
                <w:kern w:val="0"/>
                <w:lang w:val="es-ES" w:eastAsia="es-ES"/>
                <w14:ligatures w14:val="none"/>
              </w:rPr>
              <w:t xml:space="preserve"> de que, al firmar un contrato con un banco, este se beneficiará no solo de atender al PNUD y a otros organismos de la ONU, sino también del gran número de cuentas bancarias que abrirán sus empleados y de los consiguientes movimientos que éstas pueden generar. Por esta razón, el llamado a licitación incluye instrucciones para que los posibles bancos Licitantes presenten por separado una Oferta de servicios de banca personal. Esta Oferta ha de ser presentada conforme a la Sección 7 de la Licitación de servicios bancarios.</w:t>
            </w:r>
          </w:p>
          <w:p w14:paraId="2C593EA8" w14:textId="4C886B87" w:rsidR="00747C28" w:rsidRPr="005954BF" w:rsidRDefault="00747C28" w:rsidP="005954BF">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76C58945" w14:textId="77777777" w:rsidR="00747C28" w:rsidRPr="000A02AA" w:rsidRDefault="00747C28" w:rsidP="00747C28">
            <w:pPr>
              <w:numPr>
                <w:ilvl w:val="0"/>
                <w:numId w:val="17"/>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La Oferta de servicios de banca personal no se abrirá ni examinará sino hasta después de que hayan concluido las evaluaciones de las ofertas técnicas y financieras. Solo en el caso de que después de dichas evaluaciones hubiera un empate entre dos o más ofertas, entonces se citará al comité </w:t>
            </w:r>
            <w:r w:rsidRPr="000A02AA">
              <w:rPr>
                <w:rFonts w:ascii="Calibri" w:eastAsia="Times New Roman" w:hAnsi="Calibri" w:cs="Calibri"/>
                <w:i/>
                <w:snapToGrid w:val="0"/>
                <w:kern w:val="0"/>
                <w:lang w:val="es-ES" w:eastAsia="es-ES"/>
                <w14:ligatures w14:val="none"/>
              </w:rPr>
              <w:t>ad-hoc</w:t>
            </w:r>
            <w:r w:rsidRPr="000A02AA">
              <w:rPr>
                <w:rFonts w:ascii="Calibri" w:eastAsia="Times New Roman" w:hAnsi="Calibri" w:cs="Calibri"/>
                <w:snapToGrid w:val="0"/>
                <w:kern w:val="0"/>
                <w:lang w:val="es-ES" w:eastAsia="es-ES"/>
                <w14:ligatures w14:val="none"/>
              </w:rPr>
              <w:t xml:space="preserve"> para que proceda a la apertura de las Ofertas de servicios de banca personal presentadas únicamente por los bancos empatados.  </w:t>
            </w:r>
          </w:p>
          <w:p w14:paraId="13301EE5" w14:textId="77777777" w:rsidR="00747C28" w:rsidRPr="000A02AA" w:rsidRDefault="00747C28" w:rsidP="00747C28">
            <w:pPr>
              <w:spacing w:after="0" w:line="240" w:lineRule="auto"/>
              <w:ind w:left="720"/>
              <w:contextualSpacing/>
              <w:jc w:val="both"/>
              <w:rPr>
                <w:rFonts w:ascii="Calibri" w:eastAsia="Times New Roman" w:hAnsi="Calibri" w:cs="Calibri"/>
                <w:snapToGrid w:val="0"/>
                <w:kern w:val="0"/>
                <w:lang w:val="es-ES" w:eastAsia="es-ES"/>
                <w14:ligatures w14:val="none"/>
              </w:rPr>
            </w:pPr>
          </w:p>
          <w:p w14:paraId="381DF05D" w14:textId="77777777" w:rsidR="00747C28" w:rsidRPr="000A02AA" w:rsidRDefault="00747C28" w:rsidP="00747C28">
            <w:pPr>
              <w:numPr>
                <w:ilvl w:val="0"/>
                <w:numId w:val="17"/>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El Panel de evaluación revisará y comparará las Ofertas de servicios de banca personal presentadas por los bancos que están en empate, fijándose en los productos, costos y servicios de atención al cliente. El Panel de evaluación seleccionará como ganador de la licitación al banco que dé prueba de su capacidad para presentar los mejores servicios de banca personal.</w:t>
            </w:r>
          </w:p>
          <w:p w14:paraId="6F9AE9F6"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s-ES" w:eastAsia="es-ES"/>
                <w14:ligatures w14:val="none"/>
              </w:rPr>
            </w:pPr>
          </w:p>
          <w:p w14:paraId="250E7BD4" w14:textId="77777777" w:rsidR="00747C28" w:rsidRPr="000A02AA" w:rsidRDefault="00747C28" w:rsidP="00747C28">
            <w:pPr>
              <w:numPr>
                <w:ilvl w:val="0"/>
                <w:numId w:val="17"/>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lastRenderedPageBreak/>
              <w:t xml:space="preserve">Si en los pasos de la Sección 8 y 10 hubiera un banco claramente ganador, se citará al comité </w:t>
            </w:r>
            <w:r w:rsidRPr="000A02AA">
              <w:rPr>
                <w:rFonts w:ascii="Calibri" w:eastAsia="Times New Roman" w:hAnsi="Calibri" w:cs="Calibri"/>
                <w:i/>
                <w:snapToGrid w:val="0"/>
                <w:kern w:val="0"/>
                <w:lang w:val="es-ES" w:eastAsia="es-ES"/>
                <w14:ligatures w14:val="none"/>
              </w:rPr>
              <w:t>ad-hoc</w:t>
            </w:r>
            <w:r w:rsidRPr="000A02AA">
              <w:rPr>
                <w:rFonts w:ascii="Calibri" w:eastAsia="Times New Roman" w:hAnsi="Calibri" w:cs="Calibri"/>
                <w:snapToGrid w:val="0"/>
                <w:kern w:val="0"/>
                <w:lang w:val="es-ES" w:eastAsia="es-ES"/>
                <w14:ligatures w14:val="none"/>
              </w:rPr>
              <w:t xml:space="preserve"> para que proceda a abrir la Oferta de servicios de banca personal de ese banco únicamente. Las Ofertas de servicios de banca personal del resto de los bancos licitantes no se abrirán.</w:t>
            </w:r>
          </w:p>
          <w:p w14:paraId="37B1386D"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s-ES" w:eastAsia="es-ES"/>
                <w14:ligatures w14:val="none"/>
              </w:rPr>
            </w:pPr>
          </w:p>
          <w:p w14:paraId="24CE8138" w14:textId="77777777" w:rsidR="00747C28" w:rsidRPr="000A02AA" w:rsidRDefault="00747C28" w:rsidP="00747C28">
            <w:pPr>
              <w:numPr>
                <w:ilvl w:val="0"/>
                <w:numId w:val="17"/>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servicios de banca personal ofrecidos al personal de la ONU se incluirán en un ANEXO en el Contrato final.</w:t>
            </w:r>
          </w:p>
          <w:p w14:paraId="21401018"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tc>
      </w:tr>
      <w:tr w:rsidR="00747C28" w:rsidRPr="00747C28" w14:paraId="5C1AC4E9" w14:textId="77777777" w:rsidTr="007C3679">
        <w:trPr>
          <w:trHeight w:val="162"/>
        </w:trPr>
        <w:tc>
          <w:tcPr>
            <w:tcW w:w="695" w:type="dxa"/>
          </w:tcPr>
          <w:p w14:paraId="37975FF5"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45491D82"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Finalización de las recomendaciones del Panel de evaluación</w:t>
            </w:r>
          </w:p>
          <w:p w14:paraId="20FDE676" w14:textId="77777777" w:rsidR="00747C28" w:rsidRPr="000A02AA" w:rsidRDefault="00747C28" w:rsidP="00747C28">
            <w:pPr>
              <w:spacing w:after="0" w:line="240" w:lineRule="auto"/>
              <w:rPr>
                <w:rFonts w:ascii="Calibri" w:eastAsia="Times New Roman" w:hAnsi="Calibri" w:cs="Calibri"/>
                <w:snapToGrid w:val="0"/>
                <w:kern w:val="0"/>
                <w:lang w:val="es-ES" w:eastAsia="es-ES"/>
                <w14:ligatures w14:val="none"/>
              </w:rPr>
            </w:pPr>
          </w:p>
          <w:p w14:paraId="477EF55D" w14:textId="77777777" w:rsidR="00747C28" w:rsidRPr="000A02AA" w:rsidRDefault="00747C28" w:rsidP="00747C28">
            <w:pPr>
              <w:numPr>
                <w:ilvl w:val="0"/>
                <w:numId w:val="18"/>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El Panel de evaluación deberá elaborar y firmar el Informe de evaluación que resume las evaluaciones cualitativas y cuantitativas de todas las ofertas y presenta los fundamentos en los que se basa la recomendación final. Se habrá de adjuntar, además, toda la documentación, incluyendo:</w:t>
            </w:r>
          </w:p>
          <w:p w14:paraId="6C97C8F9"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1605F0A5" w14:textId="77777777" w:rsidR="00747C28" w:rsidRPr="000A02AA" w:rsidRDefault="00747C28" w:rsidP="00747C28">
            <w:pPr>
              <w:numPr>
                <w:ilvl w:val="0"/>
                <w:numId w:val="19"/>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Los cuadros de puntuación de las ofertas técnicas y financieras;</w:t>
            </w:r>
          </w:p>
          <w:p w14:paraId="7CEDAAE7" w14:textId="77777777" w:rsidR="00747C28" w:rsidRPr="000A02AA" w:rsidRDefault="00747C28" w:rsidP="00747C28">
            <w:pPr>
              <w:numPr>
                <w:ilvl w:val="0"/>
                <w:numId w:val="19"/>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Registro de distribución de la Licitación y registro de recepción de Ofertas;</w:t>
            </w:r>
          </w:p>
          <w:p w14:paraId="44C24C44" w14:textId="77777777" w:rsidR="00747C28" w:rsidRPr="000A02AA" w:rsidRDefault="00747C28" w:rsidP="00747C28">
            <w:pPr>
              <w:numPr>
                <w:ilvl w:val="0"/>
                <w:numId w:val="19"/>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Registro de la apertura de las Ofertas;</w:t>
            </w:r>
          </w:p>
          <w:p w14:paraId="6CF4995A" w14:textId="77777777" w:rsidR="00747C28" w:rsidRPr="000A02AA" w:rsidRDefault="00747C28" w:rsidP="00747C28">
            <w:pPr>
              <w:numPr>
                <w:ilvl w:val="0"/>
                <w:numId w:val="19"/>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Formularios de Declaración de imparcialidad.</w:t>
            </w:r>
          </w:p>
          <w:p w14:paraId="7EAC0AED" w14:textId="77777777" w:rsidR="00747C28" w:rsidRPr="000A02AA" w:rsidRDefault="00747C28" w:rsidP="00747C28">
            <w:pPr>
              <w:spacing w:after="0" w:line="240" w:lineRule="auto"/>
              <w:ind w:left="1980"/>
              <w:jc w:val="both"/>
              <w:rPr>
                <w:rFonts w:ascii="Calibri" w:eastAsia="Times New Roman" w:hAnsi="Calibri" w:cs="Calibri"/>
                <w:snapToGrid w:val="0"/>
                <w:kern w:val="0"/>
                <w:lang w:val="es-ES" w:eastAsia="es-ES"/>
                <w14:ligatures w14:val="none"/>
              </w:rPr>
            </w:pPr>
          </w:p>
          <w:p w14:paraId="292C2268" w14:textId="77777777" w:rsidR="00747C28" w:rsidRPr="000A02AA" w:rsidRDefault="00747C28" w:rsidP="00747C28">
            <w:pPr>
              <w:numPr>
                <w:ilvl w:val="0"/>
                <w:numId w:val="18"/>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El CAP de la oficina en el país examinará el Informe de evaluación y la documentación para velar por el cumplimiento de los procedimientos y directrices de adquisiciones que rigen la Licitación, y comprobar que el banco seleccionado es el que ofrece la mejor relación entre calidad y costo.</w:t>
            </w:r>
          </w:p>
          <w:p w14:paraId="1D30B072"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6FEDD5E2" w14:textId="77777777" w:rsidR="00747C28" w:rsidRPr="000A02AA" w:rsidRDefault="00747C28" w:rsidP="00747C28">
            <w:pPr>
              <w:numPr>
                <w:ilvl w:val="0"/>
                <w:numId w:val="18"/>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El CAP respalda la recomendación del Panel de evaluación y remite las actas del CAP y toda la documentación pertinente al Representante residente o al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la oficina.</w:t>
            </w:r>
          </w:p>
          <w:p w14:paraId="12334274"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53891FA6" w14:textId="77777777" w:rsidR="00747C28" w:rsidRPr="000A02AA" w:rsidRDefault="00747C28" w:rsidP="00747C28">
            <w:pPr>
              <w:numPr>
                <w:ilvl w:val="0"/>
                <w:numId w:val="18"/>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El Representante residente o el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la oficina del PNUD en el país emite su aprobación final y envía los documentos al Tesorero. La documentación ha de incluir:</w:t>
            </w:r>
          </w:p>
          <w:p w14:paraId="4E901665"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08B7FA89" w14:textId="77777777" w:rsidR="00747C28" w:rsidRPr="000A02AA" w:rsidRDefault="00747C28" w:rsidP="00747C28">
            <w:pPr>
              <w:numPr>
                <w:ilvl w:val="0"/>
                <w:numId w:val="20"/>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Todas las Ofertas remitidas por los bancos;</w:t>
            </w:r>
          </w:p>
          <w:p w14:paraId="15130515" w14:textId="77777777" w:rsidR="00747C28" w:rsidRPr="000A02AA" w:rsidRDefault="00747C28" w:rsidP="00747C28">
            <w:pPr>
              <w:numPr>
                <w:ilvl w:val="0"/>
                <w:numId w:val="20"/>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Informe de evaluación firmado, incluyendo la documentación de respaldo;</w:t>
            </w:r>
          </w:p>
          <w:p w14:paraId="15B6A9A8" w14:textId="77777777" w:rsidR="00747C28" w:rsidRPr="000A02AA" w:rsidRDefault="00747C28" w:rsidP="00747C28">
            <w:pPr>
              <w:numPr>
                <w:ilvl w:val="0"/>
                <w:numId w:val="20"/>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Actas del CAP;</w:t>
            </w:r>
          </w:p>
          <w:p w14:paraId="1B976042" w14:textId="77777777" w:rsidR="00747C28" w:rsidRPr="000A02AA" w:rsidRDefault="00747C28" w:rsidP="00747C28">
            <w:pPr>
              <w:numPr>
                <w:ilvl w:val="0"/>
                <w:numId w:val="20"/>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Aprobación del Representante residente o del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la oficina.</w:t>
            </w:r>
          </w:p>
          <w:p w14:paraId="19548FBB" w14:textId="77777777" w:rsidR="00747C28" w:rsidRPr="000A02AA" w:rsidRDefault="00747C28" w:rsidP="00747C28">
            <w:pPr>
              <w:spacing w:after="0" w:line="240" w:lineRule="auto"/>
              <w:ind w:left="975"/>
              <w:contextualSpacing/>
              <w:rPr>
                <w:rFonts w:ascii="Calibri" w:eastAsia="Times New Roman" w:hAnsi="Calibri" w:cs="Calibri"/>
                <w:snapToGrid w:val="0"/>
                <w:kern w:val="0"/>
                <w:lang w:val="es-ES" w:eastAsia="es-ES"/>
                <w14:ligatures w14:val="none"/>
              </w:rPr>
            </w:pPr>
          </w:p>
        </w:tc>
      </w:tr>
      <w:tr w:rsidR="00747C28" w:rsidRPr="00747C28" w14:paraId="4C91A102" w14:textId="77777777" w:rsidTr="007C3679">
        <w:trPr>
          <w:trHeight w:val="162"/>
        </w:trPr>
        <w:tc>
          <w:tcPr>
            <w:tcW w:w="695" w:type="dxa"/>
          </w:tcPr>
          <w:p w14:paraId="0A00FF88"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6357B28F"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n-GB" w:eastAsia="es-ES"/>
                <w14:ligatures w14:val="none"/>
              </w:rPr>
            </w:pPr>
            <w:proofErr w:type="spellStart"/>
            <w:r w:rsidRPr="000A02AA">
              <w:rPr>
                <w:rFonts w:ascii="Calibri" w:eastAsia="Times New Roman" w:hAnsi="Calibri" w:cs="Calibri"/>
                <w:b/>
                <w:snapToGrid w:val="0"/>
                <w:kern w:val="0"/>
                <w:u w:val="single"/>
                <w:lang w:val="en-GB" w:eastAsia="es-ES"/>
                <w14:ligatures w14:val="none"/>
              </w:rPr>
              <w:t>Decisión</w:t>
            </w:r>
            <w:proofErr w:type="spellEnd"/>
            <w:r w:rsidRPr="000A02AA">
              <w:rPr>
                <w:rFonts w:ascii="Calibri" w:eastAsia="Times New Roman" w:hAnsi="Calibri" w:cs="Calibri"/>
                <w:b/>
                <w:snapToGrid w:val="0"/>
                <w:kern w:val="0"/>
                <w:u w:val="single"/>
                <w:lang w:val="en-GB" w:eastAsia="es-ES"/>
                <w14:ligatures w14:val="none"/>
              </w:rPr>
              <w:t xml:space="preserve"> del Tesorero</w:t>
            </w:r>
          </w:p>
          <w:p w14:paraId="366A13F5"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n-GB" w:eastAsia="es-ES"/>
                <w14:ligatures w14:val="none"/>
              </w:rPr>
            </w:pPr>
          </w:p>
          <w:p w14:paraId="1E8C6916" w14:textId="77777777" w:rsidR="00747C28" w:rsidRPr="000A02AA" w:rsidRDefault="00747C28" w:rsidP="00747C28">
            <w:pPr>
              <w:numPr>
                <w:ilvl w:val="0"/>
                <w:numId w:val="21"/>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El Tesorero aprueba la recomendación basada en una revisión del Informe de evaluación, las actas del CAP y la aprobación del Representante residente. El </w:t>
            </w:r>
            <w:r w:rsidRPr="000A02AA">
              <w:rPr>
                <w:rFonts w:ascii="Calibri" w:eastAsia="Times New Roman" w:hAnsi="Calibri" w:cs="Calibri"/>
                <w:snapToGrid w:val="0"/>
                <w:kern w:val="0"/>
                <w:lang w:val="es-ES" w:eastAsia="es-ES"/>
                <w14:ligatures w14:val="none"/>
              </w:rPr>
              <w:lastRenderedPageBreak/>
              <w:t>incumplimiento de los procedimientos y directrices o la entrega de antecedentes incompletos podría retrasar la decisión de aprobación o resultar en el rechazo de la recomendación.</w:t>
            </w:r>
          </w:p>
          <w:p w14:paraId="0BA8249F" w14:textId="77777777" w:rsidR="00747C28" w:rsidRPr="000A02AA" w:rsidRDefault="00747C28" w:rsidP="00747C28">
            <w:pPr>
              <w:tabs>
                <w:tab w:val="left" w:pos="6480"/>
              </w:tabs>
              <w:spacing w:after="0" w:line="240" w:lineRule="auto"/>
              <w:ind w:left="990" w:hanging="414"/>
              <w:jc w:val="both"/>
              <w:rPr>
                <w:rFonts w:ascii="Calibri" w:eastAsia="Times New Roman" w:hAnsi="Calibri" w:cs="Calibri"/>
                <w:snapToGrid w:val="0"/>
                <w:kern w:val="0"/>
                <w:lang w:val="es-ES" w:eastAsia="es-ES"/>
                <w14:ligatures w14:val="none"/>
              </w:rPr>
            </w:pPr>
          </w:p>
        </w:tc>
      </w:tr>
      <w:tr w:rsidR="00747C28" w:rsidRPr="00747C28" w14:paraId="682AB4B2" w14:textId="77777777" w:rsidTr="007C3679">
        <w:trPr>
          <w:trHeight w:val="162"/>
        </w:trPr>
        <w:tc>
          <w:tcPr>
            <w:tcW w:w="695" w:type="dxa"/>
          </w:tcPr>
          <w:p w14:paraId="09DA9AE1"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2274525A"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Finalizar el borrador del contrato y firma del contrato</w:t>
            </w:r>
          </w:p>
          <w:p w14:paraId="63880B67" w14:textId="77777777" w:rsidR="00747C28" w:rsidRPr="000A02AA" w:rsidRDefault="00747C28" w:rsidP="00747C28">
            <w:pPr>
              <w:spacing w:after="0" w:line="240" w:lineRule="auto"/>
              <w:ind w:left="252"/>
              <w:rPr>
                <w:rFonts w:ascii="Calibri" w:eastAsia="Times New Roman" w:hAnsi="Calibri" w:cs="Calibri"/>
                <w:snapToGrid w:val="0"/>
                <w:kern w:val="0"/>
                <w:lang w:val="es-ES" w:eastAsia="es-ES"/>
                <w14:ligatures w14:val="none"/>
              </w:rPr>
            </w:pPr>
          </w:p>
          <w:p w14:paraId="752A5DE9" w14:textId="77777777" w:rsidR="00747C28" w:rsidRPr="000A02AA" w:rsidRDefault="00747C28" w:rsidP="00747C28">
            <w:pPr>
              <w:numPr>
                <w:ilvl w:val="0"/>
                <w:numId w:val="23"/>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El Tesorero firma la Delegación de autoridad al Representante residente o el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Oficina para que este firme el Contrato.</w:t>
            </w:r>
          </w:p>
          <w:p w14:paraId="75619845"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s-ES" w:eastAsia="es-ES"/>
                <w14:ligatures w14:val="none"/>
              </w:rPr>
            </w:pPr>
          </w:p>
          <w:p w14:paraId="3C1B8D2C" w14:textId="77777777" w:rsidR="00747C28" w:rsidRPr="000A02AA" w:rsidRDefault="00747C28" w:rsidP="00747C28">
            <w:pPr>
              <w:numPr>
                <w:ilvl w:val="0"/>
                <w:numId w:val="23"/>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Toda modificación o enmienda al Contrato deberá contar con la autorización del LSO antes de que el Tesorero emita la aprobación final.</w:t>
            </w:r>
          </w:p>
          <w:p w14:paraId="08039F70" w14:textId="77777777" w:rsidR="00747C28" w:rsidRPr="000A02AA"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0E0845FC" w14:textId="77777777" w:rsidR="00747C28" w:rsidRPr="000A02AA" w:rsidRDefault="00747C28" w:rsidP="00747C28">
            <w:pPr>
              <w:numPr>
                <w:ilvl w:val="0"/>
                <w:numId w:val="23"/>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La duración del Contrato es de cinco años con la opción de renovación por otros cinco años, a discreción del PNUD. La renovación queda sujeta a la revisión anual satisfactoria de los servicios bancarios (vea Tarjeta de puntuación de servicios bancarios, que será publicado en el POPP, Gestión de relaciones con bancos).</w:t>
            </w:r>
          </w:p>
          <w:p w14:paraId="6E719429"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s-ES" w:eastAsia="es-ES"/>
                <w14:ligatures w14:val="none"/>
              </w:rPr>
            </w:pPr>
          </w:p>
          <w:p w14:paraId="164DCAE7" w14:textId="77777777" w:rsidR="00747C28" w:rsidRPr="000A02AA" w:rsidRDefault="00747C28" w:rsidP="00747C28">
            <w:pPr>
              <w:numPr>
                <w:ilvl w:val="0"/>
                <w:numId w:val="23"/>
              </w:numPr>
              <w:tabs>
                <w:tab w:val="left" w:pos="6480"/>
              </w:tabs>
              <w:spacing w:after="0" w:line="240" w:lineRule="auto"/>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n-GB" w:eastAsia="es-ES"/>
                <w14:ligatures w14:val="none"/>
              </w:rPr>
              <w:t xml:space="preserve">El </w:t>
            </w:r>
            <w:proofErr w:type="spellStart"/>
            <w:r w:rsidRPr="000A02AA">
              <w:rPr>
                <w:rFonts w:ascii="Calibri" w:eastAsia="Times New Roman" w:hAnsi="Calibri" w:cs="Calibri"/>
                <w:snapToGrid w:val="0"/>
                <w:kern w:val="0"/>
                <w:lang w:val="en-GB" w:eastAsia="es-ES"/>
                <w14:ligatures w14:val="none"/>
              </w:rPr>
              <w:t>Contrato</w:t>
            </w:r>
            <w:proofErr w:type="spellEnd"/>
            <w:r w:rsidRPr="000A02AA">
              <w:rPr>
                <w:rFonts w:ascii="Calibri" w:eastAsia="Times New Roman" w:hAnsi="Calibri" w:cs="Calibri"/>
                <w:snapToGrid w:val="0"/>
                <w:kern w:val="0"/>
                <w:lang w:val="en-GB" w:eastAsia="es-ES"/>
                <w14:ligatures w14:val="none"/>
              </w:rPr>
              <w:t xml:space="preserve"> final </w:t>
            </w:r>
            <w:proofErr w:type="spellStart"/>
            <w:r w:rsidRPr="000A02AA">
              <w:rPr>
                <w:rFonts w:ascii="Calibri" w:eastAsia="Times New Roman" w:hAnsi="Calibri" w:cs="Calibri"/>
                <w:snapToGrid w:val="0"/>
                <w:kern w:val="0"/>
                <w:lang w:val="en-GB" w:eastAsia="es-ES"/>
                <w14:ligatures w14:val="none"/>
              </w:rPr>
              <w:t>incluirá</w:t>
            </w:r>
            <w:proofErr w:type="spellEnd"/>
            <w:r w:rsidRPr="000A02AA">
              <w:rPr>
                <w:rFonts w:ascii="Calibri" w:eastAsia="Times New Roman" w:hAnsi="Calibri" w:cs="Calibri"/>
                <w:snapToGrid w:val="0"/>
                <w:kern w:val="0"/>
                <w:lang w:val="en-GB" w:eastAsia="es-ES"/>
                <w14:ligatures w14:val="none"/>
              </w:rPr>
              <w:t xml:space="preserve">: </w:t>
            </w:r>
          </w:p>
          <w:p w14:paraId="416DC9DF" w14:textId="77777777" w:rsidR="00747C28" w:rsidRPr="000A02AA" w:rsidRDefault="00747C28" w:rsidP="00747C28">
            <w:pPr>
              <w:numPr>
                <w:ilvl w:val="0"/>
                <w:numId w:val="2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Persona de contacto para las relaciones con el banco y Contacto permanente de servicios;</w:t>
            </w:r>
          </w:p>
          <w:p w14:paraId="2BE65491" w14:textId="77777777" w:rsidR="00747C28" w:rsidRPr="000A02AA" w:rsidRDefault="00747C28" w:rsidP="00747C28">
            <w:pPr>
              <w:numPr>
                <w:ilvl w:val="0"/>
                <w:numId w:val="22"/>
              </w:numPr>
              <w:spacing w:after="0" w:line="240" w:lineRule="auto"/>
              <w:contextualSpacing/>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s-ES" w:eastAsia="es-ES"/>
                <w14:ligatures w14:val="none"/>
              </w:rPr>
              <w:t>Apéndice de Servicios estándar;</w:t>
            </w:r>
          </w:p>
          <w:p w14:paraId="3E470F60" w14:textId="77777777" w:rsidR="00747C28" w:rsidRPr="000A02AA" w:rsidRDefault="00747C28" w:rsidP="00747C28">
            <w:pPr>
              <w:numPr>
                <w:ilvl w:val="0"/>
                <w:numId w:val="2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Apéndice de Disponibilidad de los fondos;</w:t>
            </w:r>
          </w:p>
          <w:p w14:paraId="4725A167" w14:textId="77777777" w:rsidR="00747C28" w:rsidRPr="000A02AA" w:rsidRDefault="00747C28" w:rsidP="00747C28">
            <w:pPr>
              <w:numPr>
                <w:ilvl w:val="0"/>
                <w:numId w:val="22"/>
              </w:numPr>
              <w:spacing w:after="0" w:line="240" w:lineRule="auto"/>
              <w:contextualSpacing/>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s-ES" w:eastAsia="es-ES"/>
                <w14:ligatures w14:val="none"/>
              </w:rPr>
              <w:t>Apéndice de cargos bancarios;</w:t>
            </w:r>
          </w:p>
          <w:p w14:paraId="09ADC9DB" w14:textId="77777777" w:rsidR="00747C28" w:rsidRPr="000A02AA" w:rsidRDefault="00747C28" w:rsidP="00747C28">
            <w:pPr>
              <w:numPr>
                <w:ilvl w:val="0"/>
                <w:numId w:val="22"/>
              </w:numPr>
              <w:spacing w:after="0" w:line="240" w:lineRule="auto"/>
              <w:contextualSpacing/>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ANEXO: Servicios de banca personal.</w:t>
            </w:r>
          </w:p>
          <w:p w14:paraId="6B259D70" w14:textId="77777777" w:rsidR="00747C28" w:rsidRPr="000A02AA" w:rsidRDefault="00747C28" w:rsidP="00747C28">
            <w:pPr>
              <w:spacing w:after="0" w:line="240" w:lineRule="auto"/>
              <w:ind w:left="720"/>
              <w:contextualSpacing/>
              <w:jc w:val="both"/>
              <w:rPr>
                <w:rFonts w:ascii="Calibri" w:eastAsia="Times New Roman" w:hAnsi="Calibri" w:cs="Calibri"/>
                <w:snapToGrid w:val="0"/>
                <w:kern w:val="0"/>
                <w:lang w:val="es-ES" w:eastAsia="es-ES"/>
                <w14:ligatures w14:val="none"/>
              </w:rPr>
            </w:pPr>
          </w:p>
          <w:p w14:paraId="1D15CB73" w14:textId="77777777" w:rsidR="00747C28" w:rsidRPr="000A02AA" w:rsidRDefault="00747C28" w:rsidP="00747C28">
            <w:pPr>
              <w:numPr>
                <w:ilvl w:val="0"/>
                <w:numId w:val="23"/>
              </w:numPr>
              <w:tabs>
                <w:tab w:val="left" w:pos="6480"/>
              </w:tabs>
              <w:spacing w:after="0" w:line="240" w:lineRule="auto"/>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Se deberá enviar al Tesorero, para su archivo, la copia de la delegación de autoridad aceptada por el Representante residente o el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oficina y la copa del Contrato [</w:t>
            </w:r>
            <w:r w:rsidRPr="000A02AA">
              <w:rPr>
                <w:rFonts w:ascii="Calibri" w:eastAsia="Times New Roman" w:hAnsi="Calibri" w:cs="Calibri"/>
                <w:i/>
                <w:snapToGrid w:val="0"/>
                <w:color w:val="FF0000"/>
                <w:kern w:val="0"/>
                <w:lang w:val="es-ES" w:eastAsia="es-ES"/>
                <w14:ligatures w14:val="none"/>
              </w:rPr>
              <w:t>firmada tanto por el PNUD como por el banco seleccionado</w:t>
            </w:r>
            <w:r w:rsidRPr="000A02AA">
              <w:rPr>
                <w:rFonts w:ascii="Calibri" w:eastAsia="Times New Roman" w:hAnsi="Calibri" w:cs="Calibri"/>
                <w:snapToGrid w:val="0"/>
                <w:kern w:val="0"/>
                <w:lang w:val="es-ES" w:eastAsia="es-ES"/>
                <w14:ligatures w14:val="none"/>
              </w:rPr>
              <w:t xml:space="preserve">].   </w:t>
            </w:r>
            <w:r w:rsidRPr="000A02AA">
              <w:rPr>
                <w:rFonts w:ascii="Calibri" w:eastAsia="Times New Roman" w:hAnsi="Calibri" w:cs="Calibri"/>
                <w:snapToGrid w:val="0"/>
                <w:kern w:val="0"/>
                <w:lang w:val="es-ES" w:eastAsia="es-ES"/>
                <w14:ligatures w14:val="none"/>
              </w:rPr>
              <w:br/>
            </w:r>
          </w:p>
        </w:tc>
      </w:tr>
      <w:tr w:rsidR="00747C28" w:rsidRPr="00747C28" w14:paraId="1A61A7D1" w14:textId="77777777" w:rsidTr="007C3679">
        <w:trPr>
          <w:trHeight w:val="162"/>
        </w:trPr>
        <w:tc>
          <w:tcPr>
            <w:tcW w:w="695" w:type="dxa"/>
          </w:tcPr>
          <w:p w14:paraId="4962FA2A" w14:textId="77777777" w:rsidR="00747C28" w:rsidRPr="000A02AA" w:rsidRDefault="00747C28" w:rsidP="00747C28">
            <w:pPr>
              <w:spacing w:after="0" w:line="240" w:lineRule="auto"/>
              <w:jc w:val="right"/>
              <w:rPr>
                <w:rFonts w:ascii="Calibri" w:eastAsia="Times New Roman" w:hAnsi="Calibri" w:cs="Calibri"/>
                <w:snapToGrid w:val="0"/>
                <w:kern w:val="0"/>
                <w:lang w:val="es-ES" w:eastAsia="es-ES"/>
                <w14:ligatures w14:val="none"/>
              </w:rPr>
            </w:pPr>
          </w:p>
        </w:tc>
        <w:tc>
          <w:tcPr>
            <w:tcW w:w="9496" w:type="dxa"/>
          </w:tcPr>
          <w:p w14:paraId="7523ED81" w14:textId="77777777" w:rsidR="00747C28" w:rsidRPr="000A02AA" w:rsidRDefault="00747C28" w:rsidP="00747C28">
            <w:pPr>
              <w:numPr>
                <w:ilvl w:val="0"/>
                <w:numId w:val="3"/>
              </w:numPr>
              <w:spacing w:after="0" w:line="240" w:lineRule="auto"/>
              <w:contextualSpacing/>
              <w:rPr>
                <w:rFonts w:ascii="Calibri" w:eastAsia="Times New Roman" w:hAnsi="Calibri" w:cs="Calibri"/>
                <w:b/>
                <w:snapToGrid w:val="0"/>
                <w:kern w:val="0"/>
                <w:u w:val="single"/>
                <w:lang w:val="es-ES" w:eastAsia="es-ES"/>
                <w14:ligatures w14:val="none"/>
              </w:rPr>
            </w:pPr>
            <w:r w:rsidRPr="000A02AA">
              <w:rPr>
                <w:rFonts w:ascii="Calibri" w:eastAsia="Times New Roman" w:hAnsi="Calibri" w:cs="Calibri"/>
                <w:b/>
                <w:snapToGrid w:val="0"/>
                <w:kern w:val="0"/>
                <w:u w:val="single"/>
                <w:lang w:val="es-ES" w:eastAsia="es-ES"/>
                <w14:ligatures w14:val="none"/>
              </w:rPr>
              <w:t>Entrada en vigor del Contrato</w:t>
            </w:r>
          </w:p>
          <w:p w14:paraId="7E5B5C4E" w14:textId="77777777" w:rsidR="00747C28" w:rsidRPr="000A02AA" w:rsidRDefault="00747C28" w:rsidP="00747C28">
            <w:pPr>
              <w:spacing w:after="0" w:line="240" w:lineRule="auto"/>
              <w:ind w:left="252"/>
              <w:rPr>
                <w:rFonts w:ascii="Calibri" w:eastAsia="Times New Roman" w:hAnsi="Calibri" w:cs="Calibri"/>
                <w:snapToGrid w:val="0"/>
                <w:kern w:val="0"/>
                <w:lang w:val="es-ES" w:eastAsia="es-ES"/>
                <w14:ligatures w14:val="none"/>
              </w:rPr>
            </w:pPr>
          </w:p>
          <w:p w14:paraId="11F112A7" w14:textId="77777777" w:rsidR="00747C28" w:rsidRPr="000A02AA" w:rsidRDefault="00747C28" w:rsidP="00747C28">
            <w:pPr>
              <w:numPr>
                <w:ilvl w:val="0"/>
                <w:numId w:val="2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Si el banco seleccionado es el que presta los servicios bancarios actualmente, aún es necesario firmar el Contrato para proceder a su entrada en vigor.</w:t>
            </w:r>
          </w:p>
          <w:p w14:paraId="68653CF3" w14:textId="77777777" w:rsidR="00747C28" w:rsidRPr="000A02AA" w:rsidRDefault="00747C28" w:rsidP="00747C28">
            <w:pPr>
              <w:tabs>
                <w:tab w:val="left" w:pos="6480"/>
              </w:tabs>
              <w:spacing w:after="0" w:line="240" w:lineRule="auto"/>
              <w:ind w:left="1296"/>
              <w:jc w:val="both"/>
              <w:rPr>
                <w:rFonts w:ascii="Calibri" w:eastAsia="Times New Roman" w:hAnsi="Calibri" w:cs="Calibri"/>
                <w:snapToGrid w:val="0"/>
                <w:kern w:val="0"/>
                <w:lang w:val="es-ES" w:eastAsia="es-ES"/>
                <w14:ligatures w14:val="none"/>
              </w:rPr>
            </w:pPr>
          </w:p>
          <w:p w14:paraId="0EE01D88" w14:textId="77777777" w:rsidR="00747C28" w:rsidRPr="000A02AA" w:rsidRDefault="00747C28" w:rsidP="00747C28">
            <w:pPr>
              <w:numPr>
                <w:ilvl w:val="0"/>
                <w:numId w:val="24"/>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Si el banco seleccionado es un nuevo proveedor, Tesorería y la oficina del PNUD en el país prepararán la entrada en vigor del contrato de la siguiente manera:</w:t>
            </w:r>
          </w:p>
          <w:p w14:paraId="46D9A96C" w14:textId="77777777" w:rsidR="00747C28" w:rsidRDefault="00747C28" w:rsidP="00747C28">
            <w:pPr>
              <w:spacing w:after="0" w:line="240" w:lineRule="auto"/>
              <w:ind w:left="720"/>
              <w:contextualSpacing/>
              <w:rPr>
                <w:rFonts w:ascii="Calibri" w:eastAsia="Times New Roman" w:hAnsi="Calibri" w:cs="Calibri"/>
                <w:snapToGrid w:val="0"/>
                <w:kern w:val="0"/>
                <w:lang w:val="es-ES" w:eastAsia="es-ES"/>
                <w14:ligatures w14:val="none"/>
              </w:rPr>
            </w:pPr>
          </w:p>
          <w:p w14:paraId="33332C37" w14:textId="77777777" w:rsidR="005954BF" w:rsidRDefault="005954BF" w:rsidP="00747C28">
            <w:pPr>
              <w:spacing w:after="0" w:line="240" w:lineRule="auto"/>
              <w:ind w:left="720"/>
              <w:contextualSpacing/>
              <w:rPr>
                <w:rFonts w:ascii="Calibri" w:eastAsia="Times New Roman" w:hAnsi="Calibri" w:cs="Calibri"/>
                <w:snapToGrid w:val="0"/>
                <w:kern w:val="0"/>
                <w:lang w:val="es-ES" w:eastAsia="es-ES"/>
                <w14:ligatures w14:val="none"/>
              </w:rPr>
            </w:pPr>
          </w:p>
          <w:p w14:paraId="5E629991" w14:textId="77777777" w:rsidR="005954BF" w:rsidRDefault="005954BF" w:rsidP="00747C28">
            <w:pPr>
              <w:spacing w:after="0" w:line="240" w:lineRule="auto"/>
              <w:ind w:left="720"/>
              <w:contextualSpacing/>
              <w:rPr>
                <w:rFonts w:ascii="Calibri" w:eastAsia="Times New Roman" w:hAnsi="Calibri" w:cs="Calibri"/>
                <w:snapToGrid w:val="0"/>
                <w:kern w:val="0"/>
                <w:lang w:val="es-ES" w:eastAsia="es-ES"/>
                <w14:ligatures w14:val="none"/>
              </w:rPr>
            </w:pPr>
          </w:p>
          <w:p w14:paraId="2A294F09" w14:textId="77777777" w:rsidR="005954BF" w:rsidRPr="000A02AA" w:rsidRDefault="005954BF" w:rsidP="005954BF">
            <w:pPr>
              <w:spacing w:after="0" w:line="240" w:lineRule="auto"/>
              <w:contextualSpacing/>
              <w:rPr>
                <w:rFonts w:ascii="Calibri" w:eastAsia="Times New Roman" w:hAnsi="Calibri" w:cs="Calibri"/>
                <w:snapToGrid w:val="0"/>
                <w:kern w:val="0"/>
                <w:lang w:val="es-ES" w:eastAsia="es-ES"/>
                <w14:ligatures w14:val="none"/>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3"/>
              <w:gridCol w:w="3722"/>
            </w:tblGrid>
            <w:tr w:rsidR="00747C28" w:rsidRPr="00747C28" w14:paraId="70F4203D" w14:textId="77777777" w:rsidTr="005954BF">
              <w:tc>
                <w:tcPr>
                  <w:tcW w:w="5403" w:type="dxa"/>
                  <w:tcBorders>
                    <w:top w:val="single" w:sz="4" w:space="0" w:color="auto"/>
                    <w:left w:val="single" w:sz="4" w:space="0" w:color="auto"/>
                    <w:bottom w:val="single" w:sz="4" w:space="0" w:color="auto"/>
                    <w:right w:val="single" w:sz="4" w:space="0" w:color="auto"/>
                  </w:tcBorders>
                </w:tcPr>
                <w:p w14:paraId="274564DC"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b/>
                      <w:snapToGrid w:val="0"/>
                      <w:kern w:val="0"/>
                      <w:lang w:val="es-ES" w:eastAsia="es-ES"/>
                      <w14:ligatures w14:val="none"/>
                    </w:rPr>
                    <w:lastRenderedPageBreak/>
                    <w:t>Pasos</w:t>
                  </w:r>
                </w:p>
              </w:tc>
              <w:tc>
                <w:tcPr>
                  <w:tcW w:w="3722" w:type="dxa"/>
                  <w:tcBorders>
                    <w:top w:val="single" w:sz="4" w:space="0" w:color="auto"/>
                    <w:left w:val="single" w:sz="4" w:space="0" w:color="auto"/>
                    <w:bottom w:val="single" w:sz="4" w:space="0" w:color="auto"/>
                    <w:right w:val="single" w:sz="4" w:space="0" w:color="auto"/>
                  </w:tcBorders>
                </w:tcPr>
                <w:p w14:paraId="2C3B107C"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b/>
                      <w:snapToGrid w:val="0"/>
                      <w:kern w:val="0"/>
                      <w:lang w:val="es-ES" w:eastAsia="es-ES"/>
                      <w14:ligatures w14:val="none"/>
                    </w:rPr>
                    <w:t>Parte responsable</w:t>
                  </w:r>
                </w:p>
              </w:tc>
            </w:tr>
            <w:tr w:rsidR="00747C28" w:rsidRPr="00747C28" w14:paraId="10438AFA" w14:textId="77777777" w:rsidTr="005954BF">
              <w:tc>
                <w:tcPr>
                  <w:tcW w:w="5403" w:type="dxa"/>
                  <w:tcBorders>
                    <w:top w:val="single" w:sz="4" w:space="0" w:color="auto"/>
                    <w:left w:val="single" w:sz="4" w:space="0" w:color="auto"/>
                    <w:bottom w:val="single" w:sz="4" w:space="0" w:color="auto"/>
                    <w:right w:val="single" w:sz="4" w:space="0" w:color="auto"/>
                  </w:tcBorders>
                </w:tcPr>
                <w:p w14:paraId="6085B108"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Preparar la carta para la apertura de las cuentas bancarias</w:t>
                  </w:r>
                </w:p>
              </w:tc>
              <w:tc>
                <w:tcPr>
                  <w:tcW w:w="3722" w:type="dxa"/>
                  <w:tcBorders>
                    <w:top w:val="single" w:sz="4" w:space="0" w:color="auto"/>
                    <w:left w:val="single" w:sz="4" w:space="0" w:color="auto"/>
                    <w:bottom w:val="single" w:sz="4" w:space="0" w:color="auto"/>
                    <w:right w:val="single" w:sz="4" w:space="0" w:color="auto"/>
                  </w:tcBorders>
                </w:tcPr>
                <w:p w14:paraId="03E556E7"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s-ES" w:eastAsia="es-ES"/>
                      <w14:ligatures w14:val="none"/>
                    </w:rPr>
                    <w:t>Tesorero</w:t>
                  </w:r>
                </w:p>
              </w:tc>
            </w:tr>
            <w:tr w:rsidR="00747C28" w:rsidRPr="00747C28" w14:paraId="192E749D" w14:textId="77777777" w:rsidTr="005954BF">
              <w:tc>
                <w:tcPr>
                  <w:tcW w:w="5403" w:type="dxa"/>
                  <w:tcBorders>
                    <w:top w:val="single" w:sz="4" w:space="0" w:color="auto"/>
                    <w:left w:val="single" w:sz="4" w:space="0" w:color="auto"/>
                    <w:bottom w:val="single" w:sz="4" w:space="0" w:color="auto"/>
                    <w:right w:val="single" w:sz="4" w:space="0" w:color="auto"/>
                  </w:tcBorders>
                </w:tcPr>
                <w:p w14:paraId="0A374EFF"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Crear las cuentas bancarias en Atlas y en el Sistema de administración bancaria</w:t>
                  </w:r>
                </w:p>
              </w:tc>
              <w:tc>
                <w:tcPr>
                  <w:tcW w:w="3722" w:type="dxa"/>
                  <w:tcBorders>
                    <w:top w:val="single" w:sz="4" w:space="0" w:color="auto"/>
                    <w:left w:val="single" w:sz="4" w:space="0" w:color="auto"/>
                    <w:bottom w:val="single" w:sz="4" w:space="0" w:color="auto"/>
                    <w:right w:val="single" w:sz="4" w:space="0" w:color="auto"/>
                  </w:tcBorders>
                </w:tcPr>
                <w:p w14:paraId="06DE4CA1"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s-ES" w:eastAsia="es-ES"/>
                      <w14:ligatures w14:val="none"/>
                    </w:rPr>
                    <w:t>Asistente de Tesorería</w:t>
                  </w:r>
                </w:p>
              </w:tc>
            </w:tr>
            <w:tr w:rsidR="00747C28" w:rsidRPr="00747C28" w14:paraId="449ECFFF" w14:textId="77777777" w:rsidTr="005954BF">
              <w:tc>
                <w:tcPr>
                  <w:tcW w:w="5403" w:type="dxa"/>
                  <w:tcBorders>
                    <w:top w:val="single" w:sz="4" w:space="0" w:color="auto"/>
                    <w:left w:val="single" w:sz="4" w:space="0" w:color="auto"/>
                    <w:bottom w:val="single" w:sz="4" w:space="0" w:color="auto"/>
                    <w:right w:val="single" w:sz="4" w:space="0" w:color="auto"/>
                  </w:tcBorders>
                </w:tcPr>
                <w:p w14:paraId="263C6063"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Notificación del código SWIFT, si corresponde</w:t>
                  </w:r>
                </w:p>
              </w:tc>
              <w:tc>
                <w:tcPr>
                  <w:tcW w:w="3722" w:type="dxa"/>
                  <w:tcBorders>
                    <w:top w:val="single" w:sz="4" w:space="0" w:color="auto"/>
                    <w:left w:val="single" w:sz="4" w:space="0" w:color="auto"/>
                    <w:bottom w:val="single" w:sz="4" w:space="0" w:color="auto"/>
                    <w:right w:val="single" w:sz="4" w:space="0" w:color="auto"/>
                  </w:tcBorders>
                </w:tcPr>
                <w:p w14:paraId="754A7607"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OIST y el banco seleccionado</w:t>
                  </w:r>
                </w:p>
              </w:tc>
            </w:tr>
            <w:tr w:rsidR="00747C28" w:rsidRPr="00747C28" w14:paraId="453A9AB5" w14:textId="77777777" w:rsidTr="005954BF">
              <w:tc>
                <w:tcPr>
                  <w:tcW w:w="5403" w:type="dxa"/>
                  <w:tcBorders>
                    <w:top w:val="single" w:sz="4" w:space="0" w:color="auto"/>
                    <w:left w:val="single" w:sz="4" w:space="0" w:color="auto"/>
                    <w:bottom w:val="single" w:sz="4" w:space="0" w:color="auto"/>
                    <w:right w:val="single" w:sz="4" w:space="0" w:color="auto"/>
                  </w:tcBorders>
                </w:tcPr>
                <w:p w14:paraId="1B9E4161"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Ingresar instrucciones de liquidación, incluyendo AP, AR, BT y Deal, según corresponda</w:t>
                  </w:r>
                </w:p>
                <w:p w14:paraId="213EF49E"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Asegurarse de que la nómina esté asociada a la nueva cuenta bancaria y desvinculada de la antigua cuenta bancaria</w:t>
                  </w:r>
                </w:p>
              </w:tc>
              <w:tc>
                <w:tcPr>
                  <w:tcW w:w="3722" w:type="dxa"/>
                  <w:tcBorders>
                    <w:top w:val="single" w:sz="4" w:space="0" w:color="auto"/>
                    <w:left w:val="single" w:sz="4" w:space="0" w:color="auto"/>
                    <w:bottom w:val="single" w:sz="4" w:space="0" w:color="auto"/>
                    <w:right w:val="single" w:sz="4" w:space="0" w:color="auto"/>
                  </w:tcBorders>
                </w:tcPr>
                <w:p w14:paraId="073B04BA"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p>
                <w:p w14:paraId="7E31174D"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Especialista de sistemas de Tesorería</w:t>
                  </w:r>
                </w:p>
                <w:p w14:paraId="3C57ECF8"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p>
                <w:p w14:paraId="142AB3A6"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Nómina global</w:t>
                  </w:r>
                </w:p>
              </w:tc>
            </w:tr>
            <w:tr w:rsidR="00747C28" w:rsidRPr="00747C28" w14:paraId="68CA314D" w14:textId="77777777" w:rsidTr="005954BF">
              <w:tc>
                <w:tcPr>
                  <w:tcW w:w="5403" w:type="dxa"/>
                  <w:tcBorders>
                    <w:top w:val="single" w:sz="4" w:space="0" w:color="auto"/>
                    <w:left w:val="single" w:sz="4" w:space="0" w:color="auto"/>
                    <w:bottom w:val="single" w:sz="4" w:space="0" w:color="auto"/>
                    <w:right w:val="single" w:sz="4" w:space="0" w:color="auto"/>
                  </w:tcBorders>
                </w:tcPr>
                <w:p w14:paraId="744DDC74"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Interfaz entre el sistema bancario de Atlas, si corresponde</w:t>
                  </w:r>
                </w:p>
              </w:tc>
              <w:tc>
                <w:tcPr>
                  <w:tcW w:w="3722" w:type="dxa"/>
                  <w:tcBorders>
                    <w:top w:val="single" w:sz="4" w:space="0" w:color="auto"/>
                    <w:left w:val="single" w:sz="4" w:space="0" w:color="auto"/>
                    <w:bottom w:val="single" w:sz="4" w:space="0" w:color="auto"/>
                    <w:right w:val="single" w:sz="4" w:space="0" w:color="auto"/>
                  </w:tcBorders>
                </w:tcPr>
                <w:p w14:paraId="6A0F5203"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OIST, Unidades de finanzas e informática de la oficina en el país y el banco seleccionado</w:t>
                  </w:r>
                </w:p>
              </w:tc>
            </w:tr>
            <w:tr w:rsidR="00747C28" w:rsidRPr="00747C28" w14:paraId="5B21E59F" w14:textId="77777777" w:rsidTr="005954BF">
              <w:tc>
                <w:tcPr>
                  <w:tcW w:w="5403" w:type="dxa"/>
                  <w:tcBorders>
                    <w:top w:val="single" w:sz="4" w:space="0" w:color="auto"/>
                    <w:left w:val="single" w:sz="4" w:space="0" w:color="auto"/>
                    <w:bottom w:val="single" w:sz="4" w:space="0" w:color="auto"/>
                    <w:right w:val="single" w:sz="4" w:space="0" w:color="auto"/>
                  </w:tcBorders>
                </w:tcPr>
                <w:p w14:paraId="2FD24C9D"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Hacer la prueba de transacción EFT</w:t>
                  </w:r>
                </w:p>
              </w:tc>
              <w:tc>
                <w:tcPr>
                  <w:tcW w:w="3722" w:type="dxa"/>
                  <w:tcBorders>
                    <w:top w:val="single" w:sz="4" w:space="0" w:color="auto"/>
                    <w:left w:val="single" w:sz="4" w:space="0" w:color="auto"/>
                    <w:bottom w:val="single" w:sz="4" w:space="0" w:color="auto"/>
                    <w:right w:val="single" w:sz="4" w:space="0" w:color="auto"/>
                  </w:tcBorders>
                </w:tcPr>
                <w:p w14:paraId="31D1DD41"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OIST, Unidades de finanzas e informática de la oficina en el país y el banco seleccionado</w:t>
                  </w:r>
                </w:p>
              </w:tc>
            </w:tr>
            <w:tr w:rsidR="00747C28" w:rsidRPr="00747C28" w14:paraId="685EDBDB" w14:textId="77777777" w:rsidTr="005954BF">
              <w:tc>
                <w:tcPr>
                  <w:tcW w:w="5403" w:type="dxa"/>
                  <w:tcBorders>
                    <w:top w:val="single" w:sz="4" w:space="0" w:color="auto"/>
                    <w:left w:val="single" w:sz="4" w:space="0" w:color="auto"/>
                    <w:bottom w:val="single" w:sz="4" w:space="0" w:color="auto"/>
                    <w:right w:val="single" w:sz="4" w:space="0" w:color="auto"/>
                  </w:tcBorders>
                </w:tcPr>
                <w:p w14:paraId="3E72EAE4"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Acordar la fecha en que se comenzarán a usar las nuevas cuentas bancarias y se cerrarán las cuentas antiguas</w:t>
                  </w:r>
                </w:p>
              </w:tc>
              <w:tc>
                <w:tcPr>
                  <w:tcW w:w="3722" w:type="dxa"/>
                  <w:tcBorders>
                    <w:top w:val="single" w:sz="4" w:space="0" w:color="auto"/>
                    <w:left w:val="single" w:sz="4" w:space="0" w:color="auto"/>
                    <w:bottom w:val="single" w:sz="4" w:space="0" w:color="auto"/>
                    <w:right w:val="single" w:sz="4" w:space="0" w:color="auto"/>
                  </w:tcBorders>
                </w:tcPr>
                <w:p w14:paraId="59A9F668"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Sede central, Gestión de efectivo de la oficina en el país y Unidad de finanzas de la oficina en el país</w:t>
                  </w:r>
                </w:p>
              </w:tc>
            </w:tr>
            <w:tr w:rsidR="00747C28" w:rsidRPr="00747C28" w14:paraId="515BFE3B" w14:textId="77777777" w:rsidTr="005954BF">
              <w:tc>
                <w:tcPr>
                  <w:tcW w:w="5403" w:type="dxa"/>
                  <w:tcBorders>
                    <w:top w:val="single" w:sz="4" w:space="0" w:color="auto"/>
                    <w:left w:val="single" w:sz="4" w:space="0" w:color="auto"/>
                    <w:bottom w:val="single" w:sz="4" w:space="0" w:color="auto"/>
                    <w:right w:val="single" w:sz="4" w:space="0" w:color="auto"/>
                  </w:tcBorders>
                </w:tcPr>
                <w:p w14:paraId="1A2545DD"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n-GB" w:eastAsia="es-ES"/>
                      <w14:ligatures w14:val="none"/>
                    </w:rPr>
                  </w:pPr>
                  <w:r w:rsidRPr="000A02AA">
                    <w:rPr>
                      <w:rFonts w:ascii="Calibri" w:eastAsia="Times New Roman" w:hAnsi="Calibri" w:cs="Calibri"/>
                      <w:snapToGrid w:val="0"/>
                      <w:kern w:val="0"/>
                      <w:lang w:val="es-ES" w:eastAsia="es-ES"/>
                      <w14:ligatures w14:val="none"/>
                    </w:rPr>
                    <w:t>Conciliar las cuentas antiguas</w:t>
                  </w:r>
                </w:p>
              </w:tc>
              <w:tc>
                <w:tcPr>
                  <w:tcW w:w="3722" w:type="dxa"/>
                  <w:tcBorders>
                    <w:top w:val="single" w:sz="4" w:space="0" w:color="auto"/>
                    <w:left w:val="single" w:sz="4" w:space="0" w:color="auto"/>
                    <w:bottom w:val="single" w:sz="4" w:space="0" w:color="auto"/>
                    <w:right w:val="single" w:sz="4" w:space="0" w:color="auto"/>
                  </w:tcBorders>
                </w:tcPr>
                <w:p w14:paraId="22F5F8F1"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Unidad de finanzas de la oficina en el país</w:t>
                  </w:r>
                </w:p>
              </w:tc>
            </w:tr>
            <w:tr w:rsidR="00747C28" w:rsidRPr="00747C28" w14:paraId="274D73EA" w14:textId="77777777" w:rsidTr="005954BF">
              <w:tc>
                <w:tcPr>
                  <w:tcW w:w="5403" w:type="dxa"/>
                  <w:tcBorders>
                    <w:top w:val="single" w:sz="4" w:space="0" w:color="auto"/>
                    <w:left w:val="single" w:sz="4" w:space="0" w:color="auto"/>
                    <w:bottom w:val="single" w:sz="4" w:space="0" w:color="auto"/>
                    <w:right w:val="single" w:sz="4" w:space="0" w:color="auto"/>
                  </w:tcBorders>
                </w:tcPr>
                <w:p w14:paraId="5134FE9D"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Redactar la carta de cierre de las cuentas antiguas 90 días después de la fecha efectiva de comienzo de uso de las nuevas cuentas bancarias</w:t>
                  </w:r>
                </w:p>
              </w:tc>
              <w:tc>
                <w:tcPr>
                  <w:tcW w:w="3722" w:type="dxa"/>
                  <w:tcBorders>
                    <w:top w:val="single" w:sz="4" w:space="0" w:color="auto"/>
                    <w:left w:val="single" w:sz="4" w:space="0" w:color="auto"/>
                    <w:bottom w:val="single" w:sz="4" w:space="0" w:color="auto"/>
                    <w:right w:val="single" w:sz="4" w:space="0" w:color="auto"/>
                  </w:tcBorders>
                </w:tcPr>
                <w:p w14:paraId="7918BD6D"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p>
                <w:p w14:paraId="4527EA1F"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Sede central, Gestión de efectivo de la oficina en el país, Unidad de finanzas de la oficina en el país y Asistente de Tesorería </w:t>
                  </w:r>
                </w:p>
              </w:tc>
            </w:tr>
            <w:tr w:rsidR="00747C28" w:rsidRPr="00747C28" w14:paraId="773819FA" w14:textId="77777777" w:rsidTr="005954BF">
              <w:tc>
                <w:tcPr>
                  <w:tcW w:w="5403" w:type="dxa"/>
                  <w:tcBorders>
                    <w:top w:val="single" w:sz="4" w:space="0" w:color="auto"/>
                    <w:left w:val="single" w:sz="4" w:space="0" w:color="auto"/>
                    <w:bottom w:val="single" w:sz="4" w:space="0" w:color="auto"/>
                    <w:right w:val="single" w:sz="4" w:space="0" w:color="auto"/>
                  </w:tcBorders>
                </w:tcPr>
                <w:p w14:paraId="6164AAE0" w14:textId="77777777" w:rsidR="00747C28" w:rsidRPr="000A02AA" w:rsidRDefault="00747C28" w:rsidP="00747C28">
                  <w:pPr>
                    <w:numPr>
                      <w:ilvl w:val="0"/>
                      <w:numId w:val="25"/>
                    </w:num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Cambiar a inactivo el estado en Atlas de las cuentas bancarias cerradas </w:t>
                  </w:r>
                </w:p>
              </w:tc>
              <w:tc>
                <w:tcPr>
                  <w:tcW w:w="3722" w:type="dxa"/>
                  <w:tcBorders>
                    <w:top w:val="single" w:sz="4" w:space="0" w:color="auto"/>
                    <w:left w:val="single" w:sz="4" w:space="0" w:color="auto"/>
                    <w:bottom w:val="single" w:sz="4" w:space="0" w:color="auto"/>
                    <w:right w:val="single" w:sz="4" w:space="0" w:color="auto"/>
                  </w:tcBorders>
                </w:tcPr>
                <w:p w14:paraId="6DFC4F87"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p>
                <w:p w14:paraId="0383ED6D" w14:textId="77777777" w:rsidR="00747C28" w:rsidRPr="000A02AA" w:rsidRDefault="00747C28" w:rsidP="00747C28">
                  <w:pPr>
                    <w:tabs>
                      <w:tab w:val="left" w:pos="6480"/>
                    </w:tabs>
                    <w:spacing w:after="0" w:line="240" w:lineRule="auto"/>
                    <w:jc w:val="both"/>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Especialista de sistemas de Tesorería</w:t>
                  </w:r>
                </w:p>
              </w:tc>
            </w:tr>
          </w:tbl>
          <w:p w14:paraId="3E49928B" w14:textId="77777777" w:rsidR="00747C28" w:rsidRPr="000A02AA" w:rsidRDefault="00747C28" w:rsidP="00747C28">
            <w:pPr>
              <w:tabs>
                <w:tab w:val="left" w:pos="6480"/>
              </w:tabs>
              <w:spacing w:after="0" w:line="240" w:lineRule="auto"/>
              <w:ind w:left="1800"/>
              <w:jc w:val="both"/>
              <w:rPr>
                <w:rFonts w:ascii="Calibri" w:eastAsia="Times New Roman" w:hAnsi="Calibri" w:cs="Calibri"/>
                <w:snapToGrid w:val="0"/>
                <w:kern w:val="0"/>
                <w:lang w:val="es-ES" w:eastAsia="es-ES"/>
                <w14:ligatures w14:val="none"/>
              </w:rPr>
            </w:pPr>
          </w:p>
          <w:p w14:paraId="2787A8C0" w14:textId="77777777" w:rsidR="00747C28" w:rsidRPr="000A02AA" w:rsidRDefault="00747C28" w:rsidP="00747C28">
            <w:pPr>
              <w:tabs>
                <w:tab w:val="left" w:pos="6480"/>
              </w:tabs>
              <w:spacing w:after="0" w:line="240" w:lineRule="auto"/>
              <w:ind w:left="360"/>
              <w:jc w:val="both"/>
              <w:rPr>
                <w:rFonts w:ascii="Calibri" w:eastAsia="Times New Roman" w:hAnsi="Calibri" w:cs="Calibri"/>
                <w:snapToGrid w:val="0"/>
                <w:kern w:val="0"/>
                <w:lang w:val="es-ES" w:eastAsia="es-ES"/>
                <w14:ligatures w14:val="none"/>
              </w:rPr>
            </w:pPr>
          </w:p>
        </w:tc>
      </w:tr>
    </w:tbl>
    <w:p w14:paraId="6CB7DB1A" w14:textId="77777777" w:rsidR="00747C28" w:rsidRPr="000A02AA" w:rsidRDefault="00747C28" w:rsidP="00747C28">
      <w:pPr>
        <w:spacing w:after="0" w:line="240" w:lineRule="auto"/>
        <w:rPr>
          <w:rFonts w:ascii="Calibri" w:eastAsia="Times New Roman" w:hAnsi="Calibri" w:cs="Calibri"/>
          <w:snapToGrid w:val="0"/>
          <w:kern w:val="0"/>
          <w:lang w:val="en-GB" w:eastAsia="es-ES"/>
          <w14:ligatures w14:val="none"/>
        </w:rPr>
      </w:pPr>
      <w:r w:rsidRPr="000A02AA">
        <w:rPr>
          <w:rFonts w:ascii="Calibri" w:eastAsia="Times New Roman" w:hAnsi="Calibri" w:cs="Calibri"/>
          <w:b/>
          <w:snapToGrid w:val="0"/>
          <w:kern w:val="0"/>
          <w:lang w:val="es-ES" w:eastAsia="es-ES"/>
          <w14:ligatures w14:val="none"/>
        </w:rPr>
        <w:t>Nota:</w:t>
      </w:r>
      <w:r w:rsidRPr="000A02AA">
        <w:rPr>
          <w:rFonts w:ascii="Calibri" w:eastAsia="Times New Roman" w:hAnsi="Calibri" w:cs="Calibri"/>
          <w:b/>
          <w:snapToGrid w:val="0"/>
          <w:kern w:val="0"/>
          <w:lang w:val="en-GB" w:eastAsia="es-ES"/>
          <w14:ligatures w14:val="none"/>
        </w:rPr>
        <w:t xml:space="preserve"> </w:t>
      </w:r>
    </w:p>
    <w:p w14:paraId="645D6A28" w14:textId="77777777" w:rsidR="00747C28" w:rsidRPr="000A02AA" w:rsidRDefault="00747C28" w:rsidP="00747C28">
      <w:pPr>
        <w:spacing w:after="0" w:line="240" w:lineRule="auto"/>
        <w:rPr>
          <w:rFonts w:ascii="Calibri" w:eastAsia="Times New Roman" w:hAnsi="Calibri" w:cs="Calibri"/>
          <w:b/>
          <w:snapToGrid w:val="0"/>
          <w:kern w:val="0"/>
          <w:lang w:val="en-GB" w:eastAsia="es-ES"/>
          <w14:ligatures w14:val="none"/>
        </w:rPr>
      </w:pPr>
    </w:p>
    <w:p w14:paraId="6EBE6828" w14:textId="77777777" w:rsidR="00747C28" w:rsidRPr="000A02AA" w:rsidRDefault="00747C28" w:rsidP="00747C28">
      <w:pPr>
        <w:numPr>
          <w:ilvl w:val="0"/>
          <w:numId w:val="27"/>
        </w:numPr>
        <w:spacing w:after="0" w:line="240" w:lineRule="auto"/>
        <w:contextualSpacing/>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Todas las comunicaciones desde las oficinas del PNUD en los países relativas a la Licitación de servicios bancarios han de enviarse a: </w:t>
      </w:r>
      <w:hyperlink r:id="rId7" w:history="1">
        <w:r w:rsidRPr="000A02AA">
          <w:rPr>
            <w:rFonts w:ascii="Calibri" w:eastAsia="Times New Roman" w:hAnsi="Calibri" w:cs="Calibri"/>
            <w:b/>
            <w:snapToGrid w:val="0"/>
            <w:color w:val="0000FF"/>
            <w:kern w:val="0"/>
            <w:u w:val="single"/>
            <w:lang w:val="es-ES" w:eastAsia="es-ES"/>
            <w14:ligatures w14:val="none"/>
          </w:rPr>
          <w:t>treasury.cash.management@undp.org</w:t>
        </w:r>
      </w:hyperlink>
      <w:r w:rsidRPr="000A02AA">
        <w:rPr>
          <w:rFonts w:ascii="Calibri" w:eastAsia="Times New Roman" w:hAnsi="Calibri" w:cs="Calibri"/>
          <w:snapToGrid w:val="0"/>
          <w:kern w:val="0"/>
          <w:lang w:val="es-ES" w:eastAsia="es-ES"/>
          <w14:ligatures w14:val="none"/>
        </w:rPr>
        <w:t xml:space="preserve"> </w:t>
      </w:r>
      <w:r w:rsidRPr="000A02AA">
        <w:rPr>
          <w:rFonts w:ascii="Calibri" w:eastAsia="Times New Roman" w:hAnsi="Calibri" w:cs="Calibri"/>
          <w:b/>
          <w:snapToGrid w:val="0"/>
          <w:kern w:val="0"/>
          <w:lang w:val="es-ES" w:eastAsia="es-ES"/>
          <w14:ligatures w14:val="none"/>
        </w:rPr>
        <w:t xml:space="preserve">  </w:t>
      </w:r>
    </w:p>
    <w:p w14:paraId="19AEA864" w14:textId="77777777" w:rsidR="00747C28" w:rsidRPr="000A02AA" w:rsidRDefault="00747C28" w:rsidP="00747C28">
      <w:pPr>
        <w:numPr>
          <w:ilvl w:val="0"/>
          <w:numId w:val="27"/>
        </w:numPr>
        <w:spacing w:after="0" w:line="240" w:lineRule="auto"/>
        <w:contextualSpacing/>
        <w:rPr>
          <w:rFonts w:ascii="Calibri" w:eastAsia="Times New Roman" w:hAnsi="Calibri" w:cs="Calibri"/>
          <w:snapToGrid w:val="0"/>
          <w:kern w:val="0"/>
          <w:lang w:val="es-ES" w:eastAsia="es-ES"/>
          <w14:ligatures w14:val="none"/>
        </w:rPr>
      </w:pPr>
      <w:r w:rsidRPr="000A02AA">
        <w:rPr>
          <w:rFonts w:ascii="Calibri" w:eastAsia="Times New Roman" w:hAnsi="Calibri" w:cs="Calibri"/>
          <w:snapToGrid w:val="0"/>
          <w:kern w:val="0"/>
          <w:lang w:val="es-ES" w:eastAsia="es-ES"/>
          <w14:ligatures w14:val="none"/>
        </w:rPr>
        <w:t xml:space="preserve">Citibank, Standard </w:t>
      </w:r>
      <w:proofErr w:type="spellStart"/>
      <w:r w:rsidRPr="000A02AA">
        <w:rPr>
          <w:rFonts w:ascii="Calibri" w:eastAsia="Times New Roman" w:hAnsi="Calibri" w:cs="Calibri"/>
          <w:snapToGrid w:val="0"/>
          <w:kern w:val="0"/>
          <w:lang w:val="es-ES" w:eastAsia="es-ES"/>
          <w14:ligatures w14:val="none"/>
        </w:rPr>
        <w:t>Chartered</w:t>
      </w:r>
      <w:proofErr w:type="spellEnd"/>
      <w:r w:rsidRPr="000A02AA">
        <w:rPr>
          <w:rFonts w:ascii="Calibri" w:eastAsia="Times New Roman" w:hAnsi="Calibri" w:cs="Calibri"/>
          <w:snapToGrid w:val="0"/>
          <w:kern w:val="0"/>
          <w:lang w:val="es-ES" w:eastAsia="es-ES"/>
          <w14:ligatures w14:val="none"/>
        </w:rPr>
        <w:t xml:space="preserve"> Bank y Standard Bank han firmado el Contrato estándar. Si fueren seleccionados, se enviará la delegación de autoridad del Tesorero al Representante residente o </w:t>
      </w:r>
      <w:proofErr w:type="gramStart"/>
      <w:r w:rsidRPr="000A02AA">
        <w:rPr>
          <w:rFonts w:ascii="Calibri" w:eastAsia="Times New Roman" w:hAnsi="Calibri" w:cs="Calibri"/>
          <w:snapToGrid w:val="0"/>
          <w:kern w:val="0"/>
          <w:lang w:val="es-ES" w:eastAsia="es-ES"/>
          <w14:ligatures w14:val="none"/>
        </w:rPr>
        <w:t>Jefe</w:t>
      </w:r>
      <w:proofErr w:type="gramEnd"/>
      <w:r w:rsidRPr="000A02AA">
        <w:rPr>
          <w:rFonts w:ascii="Calibri" w:eastAsia="Times New Roman" w:hAnsi="Calibri" w:cs="Calibri"/>
          <w:snapToGrid w:val="0"/>
          <w:kern w:val="0"/>
          <w:lang w:val="es-ES" w:eastAsia="es-ES"/>
          <w14:ligatures w14:val="none"/>
        </w:rPr>
        <w:t xml:space="preserve"> de la oficina.</w:t>
      </w:r>
      <w:r w:rsidRPr="000A02AA">
        <w:rPr>
          <w:rFonts w:ascii="Calibri" w:eastAsia="Times New Roman" w:hAnsi="Calibri" w:cs="Calibri"/>
          <w:b/>
          <w:snapToGrid w:val="0"/>
          <w:kern w:val="0"/>
          <w:lang w:val="es-ES" w:eastAsia="es-ES"/>
          <w14:ligatures w14:val="none"/>
        </w:rPr>
        <w:t xml:space="preserve">  </w:t>
      </w:r>
    </w:p>
    <w:p w14:paraId="5C7EC07E" w14:textId="77777777" w:rsidR="00747C28" w:rsidRPr="000A02AA" w:rsidRDefault="00747C28" w:rsidP="00747C28">
      <w:pPr>
        <w:spacing w:after="0" w:line="240" w:lineRule="auto"/>
        <w:jc w:val="center"/>
        <w:rPr>
          <w:rFonts w:ascii="Calibri" w:eastAsia="Times New Roman" w:hAnsi="Calibri" w:cs="Calibri"/>
          <w:b/>
          <w:snapToGrid w:val="0"/>
          <w:kern w:val="0"/>
          <w:lang w:val="es-ES" w:eastAsia="es-ES"/>
          <w14:ligatures w14:val="none"/>
        </w:rPr>
      </w:pPr>
    </w:p>
    <w:p w14:paraId="3CAC6CEA" w14:textId="77777777" w:rsidR="00747C28" w:rsidRDefault="00747C28" w:rsidP="00747C28">
      <w:pPr>
        <w:spacing w:after="0" w:line="240" w:lineRule="auto"/>
        <w:jc w:val="center"/>
        <w:rPr>
          <w:rFonts w:ascii="Calibri" w:eastAsia="Times New Roman" w:hAnsi="Calibri" w:cs="Calibri"/>
          <w:b/>
          <w:snapToGrid w:val="0"/>
          <w:kern w:val="0"/>
          <w:lang w:val="es-ES" w:eastAsia="es-ES"/>
          <w14:ligatures w14:val="none"/>
        </w:rPr>
      </w:pPr>
    </w:p>
    <w:p w14:paraId="1C354861" w14:textId="77777777" w:rsidR="005954BF" w:rsidRPr="000A02AA" w:rsidRDefault="005954BF" w:rsidP="00747C28">
      <w:pPr>
        <w:spacing w:after="0" w:line="240" w:lineRule="auto"/>
        <w:jc w:val="center"/>
        <w:rPr>
          <w:rFonts w:ascii="Calibri" w:eastAsia="Times New Roman" w:hAnsi="Calibri" w:cs="Calibri"/>
          <w:b/>
          <w:snapToGrid w:val="0"/>
          <w:kern w:val="0"/>
          <w:lang w:val="es-ES" w:eastAsia="es-ES"/>
          <w14:ligatures w14:val="none"/>
        </w:rPr>
      </w:pPr>
    </w:p>
    <w:p w14:paraId="1826CA45" w14:textId="77777777" w:rsidR="00747C28" w:rsidRPr="000A02AA" w:rsidRDefault="00747C28" w:rsidP="000A02AA">
      <w:pPr>
        <w:spacing w:after="0" w:line="240" w:lineRule="auto"/>
        <w:jc w:val="center"/>
        <w:rPr>
          <w:rFonts w:ascii="Calibri" w:eastAsia="Times New Roman" w:hAnsi="Calibri" w:cs="Calibri"/>
          <w:b/>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lastRenderedPageBreak/>
        <w:t>ANEXO I:</w:t>
      </w:r>
    </w:p>
    <w:p w14:paraId="232A7A2E" w14:textId="77777777" w:rsidR="00747C28" w:rsidRPr="000A02AA" w:rsidRDefault="00747C28" w:rsidP="00747C28">
      <w:pPr>
        <w:keepNext/>
        <w:spacing w:after="0" w:line="240" w:lineRule="auto"/>
        <w:jc w:val="center"/>
        <w:outlineLvl w:val="1"/>
        <w:rPr>
          <w:rFonts w:ascii="Calibri" w:eastAsia="Times New Roman" w:hAnsi="Calibri" w:cs="Calibri"/>
          <w:b/>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Anuncio publicitario</w:t>
      </w:r>
    </w:p>
    <w:p w14:paraId="2F9E0AA2" w14:textId="010C5703" w:rsidR="00747C28" w:rsidRPr="000A02AA" w:rsidRDefault="00747C28" w:rsidP="00747C28">
      <w:pPr>
        <w:spacing w:after="0" w:line="240" w:lineRule="auto"/>
        <w:jc w:val="center"/>
        <w:rPr>
          <w:rFonts w:ascii="Calibri" w:eastAsia="Times New Roman" w:hAnsi="Calibri" w:cs="Calibri"/>
          <w:snapToGrid w:val="0"/>
          <w:kern w:val="0"/>
          <w:lang w:val="es-ES" w:eastAsia="es-ES"/>
          <w14:ligatures w14:val="none"/>
        </w:rPr>
      </w:pPr>
      <w:r w:rsidRPr="000A02AA">
        <w:rPr>
          <w:rFonts w:ascii="Calibri" w:eastAsia="Times New Roman" w:hAnsi="Calibri" w:cs="Calibri"/>
          <w:b/>
          <w:snapToGrid w:val="0"/>
          <w:kern w:val="0"/>
          <w:lang w:val="es-ES" w:eastAsia="es-ES"/>
          <w14:ligatures w14:val="none"/>
        </w:rPr>
        <w:t>Anuncio del llamado de la ONU a la presentación de Ofertas de servicios bancarios</w:t>
      </w:r>
    </w:p>
    <w:p w14:paraId="4C18F920" w14:textId="5172BE0B" w:rsidR="00DA504D" w:rsidRPr="000A02AA" w:rsidRDefault="005954BF">
      <w:pPr>
        <w:rPr>
          <w:rFonts w:ascii="Calibri" w:hAnsi="Calibri" w:cs="Calibri"/>
        </w:rPr>
      </w:pPr>
      <w:r w:rsidRPr="000A02AA">
        <w:rPr>
          <w:rFonts w:ascii="Calibri" w:eastAsia="Times New Roman" w:hAnsi="Calibri" w:cs="Calibri"/>
          <w:noProof/>
          <w:kern w:val="0"/>
          <w14:ligatures w14:val="none"/>
        </w:rPr>
        <mc:AlternateContent>
          <mc:Choice Requires="wps">
            <w:drawing>
              <wp:anchor distT="0" distB="0" distL="114300" distR="114300" simplePos="0" relativeHeight="251659264" behindDoc="0" locked="0" layoutInCell="1" allowOverlap="1" wp14:anchorId="5D0AAD1C" wp14:editId="4E1BDC48">
                <wp:simplePos x="0" y="0"/>
                <wp:positionH relativeFrom="column">
                  <wp:posOffset>762000</wp:posOffset>
                </wp:positionH>
                <wp:positionV relativeFrom="paragraph">
                  <wp:posOffset>318135</wp:posOffset>
                </wp:positionV>
                <wp:extent cx="5053330" cy="7863840"/>
                <wp:effectExtent l="0" t="0" r="13970" b="228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330" cy="7863840"/>
                        </a:xfrm>
                        <a:prstGeom prst="rect">
                          <a:avLst/>
                        </a:prstGeom>
                        <a:solidFill>
                          <a:srgbClr val="FFFFFF"/>
                        </a:solidFill>
                        <a:ln w="25400">
                          <a:solidFill>
                            <a:srgbClr val="000000"/>
                          </a:solidFill>
                          <a:miter lim="800000"/>
                          <a:headEnd/>
                          <a:tailEnd/>
                        </a:ln>
                      </wps:spPr>
                      <wps:txbx>
                        <w:txbxContent>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320"/>
                              <w:gridCol w:w="1980"/>
                            </w:tblGrid>
                            <w:tr w:rsidR="00747C28" w14:paraId="63C30B5A" w14:textId="77777777">
                              <w:trPr>
                                <w:cantSplit/>
                                <w:trHeight w:val="1260"/>
                              </w:trPr>
                              <w:tc>
                                <w:tcPr>
                                  <w:tcW w:w="990" w:type="dxa"/>
                                  <w:tcBorders>
                                    <w:top w:val="nil"/>
                                    <w:left w:val="nil"/>
                                    <w:bottom w:val="nil"/>
                                    <w:right w:val="nil"/>
                                  </w:tcBorders>
                                </w:tcPr>
                                <w:p w14:paraId="56FA1F0C" w14:textId="77777777" w:rsidR="00747C28" w:rsidRDefault="00747C28">
                                  <w:pPr>
                                    <w:ind w:right="-60"/>
                                    <w:jc w:val="both"/>
                                    <w:rPr>
                                      <w:color w:val="FFFFFF"/>
                                      <w:sz w:val="18"/>
                                    </w:rPr>
                                  </w:pPr>
                                  <w:r>
                                    <w:rPr>
                                      <w:noProof/>
                                    </w:rPr>
                                    <w:drawing>
                                      <wp:inline distT="0" distB="0" distL="0" distR="0" wp14:anchorId="6D570A07" wp14:editId="3F28A215">
                                        <wp:extent cx="490220" cy="1002030"/>
                                        <wp:effectExtent l="0" t="0" r="5080" b="7620"/>
                                        <wp:docPr id="860939997" name="Picture 860939997" descr="undplogo_bl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_blk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1002030"/>
                                                </a:xfrm>
                                                <a:prstGeom prst="rect">
                                                  <a:avLst/>
                                                </a:prstGeom>
                                                <a:noFill/>
                                                <a:ln>
                                                  <a:noFill/>
                                                </a:ln>
                                              </pic:spPr>
                                            </pic:pic>
                                          </a:graphicData>
                                        </a:graphic>
                                      </wp:inline>
                                    </w:drawing>
                                  </w:r>
                                </w:p>
                              </w:tc>
                              <w:tc>
                                <w:tcPr>
                                  <w:tcW w:w="4320" w:type="dxa"/>
                                  <w:tcBorders>
                                    <w:top w:val="nil"/>
                                    <w:left w:val="nil"/>
                                    <w:bottom w:val="nil"/>
                                    <w:right w:val="nil"/>
                                  </w:tcBorders>
                                </w:tcPr>
                                <w:p w14:paraId="5485EF91" w14:textId="77777777" w:rsidR="00747C28" w:rsidRDefault="00747C28">
                                  <w:pPr>
                                    <w:ind w:right="-60"/>
                                    <w:jc w:val="center"/>
                                    <w:rPr>
                                      <w:b/>
                                      <w:sz w:val="36"/>
                                    </w:rPr>
                                  </w:pPr>
                                </w:p>
                                <w:p w14:paraId="31447035" w14:textId="77777777" w:rsidR="00747C28" w:rsidRDefault="00747C28">
                                  <w:pPr>
                                    <w:pStyle w:val="Heading2"/>
                                    <w:rPr>
                                      <w:bCs/>
                                      <w:sz w:val="28"/>
                                      <w:lang w:val="es-ES"/>
                                    </w:rPr>
                                  </w:pPr>
                                  <w:r>
                                    <w:rPr>
                                      <w:sz w:val="28"/>
                                      <w:lang w:val="es-ES"/>
                                    </w:rPr>
                                    <w:t xml:space="preserve">LLAMADO A </w:t>
                                  </w:r>
                                </w:p>
                                <w:p w14:paraId="299175A0" w14:textId="77777777" w:rsidR="00747C28" w:rsidRDefault="00747C28">
                                  <w:pPr>
                                    <w:pStyle w:val="Heading2"/>
                                    <w:rPr>
                                      <w:bCs/>
                                      <w:sz w:val="28"/>
                                      <w:lang w:val="es-ES"/>
                                    </w:rPr>
                                  </w:pPr>
                                  <w:r>
                                    <w:rPr>
                                      <w:sz w:val="28"/>
                                      <w:lang w:val="es-ES"/>
                                    </w:rPr>
                                    <w:t>LICITACIÓN DE</w:t>
                                  </w:r>
                                </w:p>
                                <w:p w14:paraId="4C5A42D5" w14:textId="77777777" w:rsidR="00747C28" w:rsidRDefault="00747C28">
                                  <w:pPr>
                                    <w:pStyle w:val="Heading2"/>
                                    <w:rPr>
                                      <w:bCs/>
                                      <w:lang w:val="es-ES"/>
                                    </w:rPr>
                                  </w:pPr>
                                  <w:r>
                                    <w:rPr>
                                      <w:lang w:val="es-ES"/>
                                    </w:rPr>
                                    <w:t>SERVICIOS BANCARIOS</w:t>
                                  </w:r>
                                </w:p>
                                <w:p w14:paraId="3DC2B8B3" w14:textId="77777777" w:rsidR="00747C28" w:rsidRDefault="00747C28">
                                  <w:pPr>
                                    <w:rPr>
                                      <w:b/>
                                      <w:sz w:val="36"/>
                                      <w:u w:val="single"/>
                                      <w:lang w:val="es-ES"/>
                                    </w:rPr>
                                  </w:pPr>
                                </w:p>
                              </w:tc>
                              <w:tc>
                                <w:tcPr>
                                  <w:tcW w:w="1980" w:type="dxa"/>
                                  <w:tcBorders>
                                    <w:top w:val="nil"/>
                                    <w:left w:val="nil"/>
                                    <w:bottom w:val="nil"/>
                                    <w:right w:val="nil"/>
                                  </w:tcBorders>
                                </w:tcPr>
                                <w:p w14:paraId="72348444" w14:textId="77777777" w:rsidR="00747C28" w:rsidRDefault="00747C28">
                                  <w:pPr>
                                    <w:ind w:right="-60"/>
                                    <w:rPr>
                                      <w:b/>
                                      <w:color w:val="FFFFFF"/>
                                    </w:rPr>
                                  </w:pPr>
                                  <w:r>
                                    <w:rPr>
                                      <w:noProof/>
                                    </w:rPr>
                                    <w:drawing>
                                      <wp:inline distT="0" distB="0" distL="0" distR="0" wp14:anchorId="14DEDD11" wp14:editId="44D39C0F">
                                        <wp:extent cx="1111885" cy="951230"/>
                                        <wp:effectExtent l="0" t="0" r="0" b="1270"/>
                                        <wp:docPr id="17397851" name="Picture 17397851" descr="U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1885" cy="951230"/>
                                                </a:xfrm>
                                                <a:prstGeom prst="rect">
                                                  <a:avLst/>
                                                </a:prstGeom>
                                                <a:noFill/>
                                                <a:ln>
                                                  <a:noFill/>
                                                </a:ln>
                                              </pic:spPr>
                                            </pic:pic>
                                          </a:graphicData>
                                        </a:graphic>
                                      </wp:inline>
                                    </w:drawing>
                                  </w:r>
                                </w:p>
                              </w:tc>
                            </w:tr>
                          </w:tbl>
                          <w:p w14:paraId="4C977634" w14:textId="77777777" w:rsidR="00747C28" w:rsidRDefault="00747C28" w:rsidP="00747C28">
                            <w:pPr>
                              <w:ind w:right="-215"/>
                              <w:jc w:val="both"/>
                              <w:rPr>
                                <w:sz w:val="2"/>
                              </w:rPr>
                            </w:pPr>
                          </w:p>
                          <w:tbl>
                            <w:tblPr>
                              <w:tblW w:w="7097" w:type="dxa"/>
                              <w:tblInd w:w="108" w:type="dxa"/>
                              <w:tblLayout w:type="fixed"/>
                              <w:tblLook w:val="0000" w:firstRow="0" w:lastRow="0" w:firstColumn="0" w:lastColumn="0" w:noHBand="0" w:noVBand="0"/>
                            </w:tblPr>
                            <w:tblGrid>
                              <w:gridCol w:w="7097"/>
                            </w:tblGrid>
                            <w:tr w:rsidR="00747C28" w:rsidRPr="0079532C" w14:paraId="5920F6E3" w14:textId="77777777" w:rsidTr="0079532C">
                              <w:trPr>
                                <w:trHeight w:val="8386"/>
                              </w:trPr>
                              <w:tc>
                                <w:tcPr>
                                  <w:tcW w:w="7097" w:type="dxa"/>
                                  <w:tcBorders>
                                    <w:top w:val="single" w:sz="12" w:space="0" w:color="auto"/>
                                  </w:tcBorders>
                                </w:tcPr>
                                <w:p w14:paraId="699E820E" w14:textId="77777777" w:rsidR="00747C28" w:rsidRDefault="00747C28" w:rsidP="0079532C">
                                  <w:pPr>
                                    <w:rPr>
                                      <w:rFonts w:ascii="Times New Roman" w:hAnsi="Times New Roman"/>
                                      <w:lang w:val="es-ES"/>
                                    </w:rPr>
                                  </w:pPr>
                                  <w:r>
                                    <w:rPr>
                                      <w:rFonts w:ascii="Times New Roman" w:hAnsi="Times New Roman"/>
                                      <w:sz w:val="22"/>
                                      <w:lang w:val="es-ES"/>
                                    </w:rPr>
                                    <w:t>Naciones Unidas convoca a una licitación de servicios bancarios en beneficio de las Organizaciones de las Naciones Unidas [</w:t>
                                  </w:r>
                                  <w:r>
                                    <w:rPr>
                                      <w:rFonts w:ascii="Times New Roman" w:hAnsi="Times New Roman"/>
                                      <w:i/>
                                      <w:color w:val="0000FF"/>
                                      <w:sz w:val="22"/>
                                      <w:lang w:val="es-ES"/>
                                    </w:rPr>
                                    <w:t>Nota: Introduzca el país</w:t>
                                  </w:r>
                                  <w:r>
                                    <w:rPr>
                                      <w:rFonts w:ascii="Times New Roman" w:hAnsi="Times New Roman"/>
                                      <w:sz w:val="22"/>
                                      <w:lang w:val="es-ES"/>
                                    </w:rPr>
                                    <w:t>]</w:t>
                                  </w:r>
                                </w:p>
                                <w:p w14:paraId="00F032C6" w14:textId="77777777" w:rsidR="00747C28" w:rsidRDefault="00747C28" w:rsidP="0079532C">
                                  <w:pPr>
                                    <w:ind w:left="360" w:hanging="360"/>
                                    <w:rPr>
                                      <w:rFonts w:ascii="Times New Roman" w:hAnsi="Times New Roman"/>
                                      <w:lang w:val="es-ES"/>
                                    </w:rPr>
                                  </w:pPr>
                                </w:p>
                                <w:p w14:paraId="19D887AF" w14:textId="77777777" w:rsidR="00747C28" w:rsidRDefault="00747C28" w:rsidP="00747C28">
                                  <w:pPr>
                                    <w:numPr>
                                      <w:ilvl w:val="0"/>
                                      <w:numId w:val="1"/>
                                    </w:numPr>
                                    <w:spacing w:after="0" w:line="240" w:lineRule="auto"/>
                                    <w:rPr>
                                      <w:rFonts w:ascii="Times New Roman" w:hAnsi="Times New Roman"/>
                                      <w:lang w:val="es-ES"/>
                                    </w:rPr>
                                  </w:pPr>
                                  <w:r>
                                    <w:rPr>
                                      <w:rFonts w:ascii="Times New Roman" w:hAnsi="Times New Roman"/>
                                      <w:sz w:val="22"/>
                                      <w:lang w:val="es-ES"/>
                                    </w:rPr>
                                    <w:t>Los bancos interesados en participar podrán recoger la documentación de la Licitación y los documentos relacionados, previo pago de [</w:t>
                                  </w:r>
                                  <w:r>
                                    <w:rPr>
                                      <w:rFonts w:ascii="Times New Roman" w:hAnsi="Times New Roman"/>
                                      <w:i/>
                                      <w:color w:val="0000FF"/>
                                      <w:sz w:val="22"/>
                                      <w:lang w:val="es-ES"/>
                                    </w:rPr>
                                    <w:t>Nota: Introduzca el monto correspondiente en moneda nacional</w:t>
                                  </w:r>
                                  <w:r>
                                    <w:rPr>
                                      <w:rFonts w:ascii="Times New Roman" w:hAnsi="Times New Roman"/>
                                      <w:sz w:val="22"/>
                                      <w:lang w:val="es-ES"/>
                                    </w:rPr>
                                    <w:t>] (</w:t>
                                  </w:r>
                                  <w:r>
                                    <w:rPr>
                                      <w:rFonts w:ascii="Times New Roman" w:hAnsi="Times New Roman"/>
                                      <w:b/>
                                      <w:sz w:val="22"/>
                                      <w:lang w:val="es-ES"/>
                                    </w:rPr>
                                    <w:t>no-reembolsable</w:t>
                                  </w:r>
                                  <w:r>
                                    <w:rPr>
                                      <w:rFonts w:ascii="Times New Roman" w:hAnsi="Times New Roman"/>
                                      <w:sz w:val="22"/>
                                      <w:lang w:val="es-ES"/>
                                    </w:rPr>
                                    <w:t>) en [</w:t>
                                  </w:r>
                                  <w:r w:rsidRPr="0079532C">
                                    <w:rPr>
                                      <w:rFonts w:ascii="Times New Roman" w:hAnsi="Times New Roman"/>
                                      <w:i/>
                                      <w:color w:val="0000FF"/>
                                      <w:sz w:val="22"/>
                                      <w:lang w:val="es-ES"/>
                                    </w:rPr>
                                    <w:t>Nota:</w:t>
                                  </w:r>
                                  <w:r>
                                    <w:rPr>
                                      <w:rFonts w:ascii="Times New Roman" w:hAnsi="Times New Roman"/>
                                      <w:i/>
                                      <w:color w:val="0000FF"/>
                                      <w:sz w:val="22"/>
                                      <w:lang w:val="es-ES"/>
                                    </w:rPr>
                                    <w:t xml:space="preserve"> Introduzca la ubicación, nombre de oficina y dirección</w:t>
                                  </w:r>
                                  <w:r>
                                    <w:rPr>
                                      <w:rFonts w:ascii="Times New Roman" w:hAnsi="Times New Roman"/>
                                      <w:sz w:val="22"/>
                                      <w:lang w:val="es-ES"/>
                                    </w:rPr>
                                    <w:t>] desde [</w:t>
                                  </w:r>
                                  <w:r>
                                    <w:rPr>
                                      <w:rFonts w:ascii="Times New Roman" w:hAnsi="Times New Roman"/>
                                      <w:i/>
                                      <w:color w:val="0000FF"/>
                                      <w:sz w:val="22"/>
                                      <w:lang w:val="es-ES"/>
                                    </w:rPr>
                                    <w:t>Nota:</w:t>
                                  </w:r>
                                  <w:r>
                                    <w:rPr>
                                      <w:rFonts w:ascii="Times New Roman" w:hAnsi="Times New Roman"/>
                                      <w:b/>
                                      <w:i/>
                                      <w:color w:val="0000FF"/>
                                      <w:sz w:val="22"/>
                                      <w:lang w:val="es-ES"/>
                                    </w:rPr>
                                    <w:t xml:space="preserve"> Introduzca el día de inicio/fecha</w:t>
                                  </w:r>
                                  <w:r>
                                    <w:rPr>
                                      <w:rFonts w:ascii="Times New Roman" w:hAnsi="Times New Roman"/>
                                      <w:b/>
                                      <w:sz w:val="22"/>
                                      <w:lang w:val="es-ES"/>
                                    </w:rPr>
                                    <w:t>] hasta [</w:t>
                                  </w:r>
                                  <w:r>
                                    <w:rPr>
                                      <w:rFonts w:ascii="Times New Roman" w:hAnsi="Times New Roman"/>
                                      <w:b/>
                                      <w:i/>
                                      <w:color w:val="0000FF"/>
                                      <w:sz w:val="22"/>
                                      <w:lang w:val="es-ES"/>
                                    </w:rPr>
                                    <w:t xml:space="preserve">Nota: </w:t>
                                  </w:r>
                                  <w:r w:rsidRPr="0079532C">
                                    <w:rPr>
                                      <w:rFonts w:ascii="Times New Roman" w:hAnsi="Times New Roman"/>
                                      <w:color w:val="0000FF"/>
                                      <w:sz w:val="22"/>
                                      <w:lang w:val="es-ES"/>
                                    </w:rPr>
                                    <w:t>Introduzca la fecha de cierre</w:t>
                                  </w:r>
                                  <w:r>
                                    <w:rPr>
                                      <w:rFonts w:ascii="Times New Roman" w:hAnsi="Times New Roman"/>
                                      <w:sz w:val="22"/>
                                      <w:lang w:val="es-ES"/>
                                    </w:rPr>
                                    <w:t>] (fecha en que termina la recogida de la documentación), de lunes a viernes entre las 09:30 y las 17:00 horas.</w:t>
                                  </w:r>
                                </w:p>
                                <w:p w14:paraId="22DA0F6E"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Pr>
                                      <w:rFonts w:ascii="Times New Roman" w:hAnsi="Times New Roman"/>
                                      <w:sz w:val="22"/>
                                      <w:lang w:val="es-ES"/>
                                    </w:rPr>
                                    <w:t xml:space="preserve">Esta Licitación está abierta solo para los Bancos que sean miembros </w:t>
                                  </w:r>
                                  <w:r w:rsidRPr="0079532C">
                                    <w:rPr>
                                      <w:rFonts w:ascii="Times New Roman" w:hAnsi="Times New Roman"/>
                                      <w:sz w:val="22"/>
                                      <w:szCs w:val="22"/>
                                      <w:lang w:val="es-ES"/>
                                    </w:rPr>
                                    <w:t>registrados de SWIFT. Los posibles bancos licitantes deberán indicar su número SWIFT al momento de recoger la documentación de la Licitación;</w:t>
                                  </w:r>
                                </w:p>
                                <w:p w14:paraId="228EBF8C"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Se realizará una Reunión informativa el [Nota: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el día / fecha</w:t>
                                  </w:r>
                                  <w:r w:rsidRPr="0079532C">
                                    <w:rPr>
                                      <w:rFonts w:ascii="Times New Roman" w:hAnsi="Times New Roman"/>
                                      <w:sz w:val="22"/>
                                      <w:szCs w:val="22"/>
                                      <w:lang w:val="es-ES"/>
                                    </w:rPr>
                                    <w:t>] a las [</w:t>
                                  </w:r>
                                  <w:r w:rsidRPr="0079532C">
                                    <w:rPr>
                                      <w:rFonts w:ascii="Times New Roman" w:hAnsi="Times New Roman"/>
                                      <w:i/>
                                      <w:color w:val="0000FF"/>
                                      <w:sz w:val="22"/>
                                      <w:szCs w:val="22"/>
                                      <w:lang w:val="es-ES"/>
                                    </w:rPr>
                                    <w:t>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la hora</w:t>
                                  </w:r>
                                  <w:r w:rsidRPr="0079532C">
                                    <w:rPr>
                                      <w:rFonts w:ascii="Times New Roman" w:hAnsi="Times New Roman"/>
                                      <w:sz w:val="22"/>
                                      <w:szCs w:val="22"/>
                                      <w:lang w:val="es-ES"/>
                                    </w:rPr>
                                    <w:t xml:space="preserve">] </w:t>
                                  </w:r>
                                  <w:proofErr w:type="spellStart"/>
                                  <w:r w:rsidRPr="0079532C">
                                    <w:rPr>
                                      <w:rFonts w:ascii="Times New Roman" w:hAnsi="Times New Roman"/>
                                      <w:sz w:val="22"/>
                                      <w:szCs w:val="22"/>
                                      <w:lang w:val="es-ES"/>
                                    </w:rPr>
                                    <w:t>hrs</w:t>
                                  </w:r>
                                  <w:proofErr w:type="spellEnd"/>
                                  <w:r w:rsidRPr="0079532C">
                                    <w:rPr>
                                      <w:rFonts w:ascii="Times New Roman" w:hAnsi="Times New Roman"/>
                                      <w:sz w:val="22"/>
                                      <w:szCs w:val="22"/>
                                      <w:lang w:val="es-ES"/>
                                    </w:rPr>
                                    <w:t>. en [</w:t>
                                  </w:r>
                                  <w:r w:rsidRPr="0079532C">
                                    <w:rPr>
                                      <w:rFonts w:ascii="Times New Roman" w:hAnsi="Times New Roman"/>
                                      <w:i/>
                                      <w:color w:val="0000FF"/>
                                      <w:sz w:val="22"/>
                                      <w:szCs w:val="22"/>
                                      <w:lang w:val="es-ES"/>
                                    </w:rPr>
                                    <w:t>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la ubicación, nombre de oficina y dirección</w:t>
                                  </w:r>
                                  <w:r w:rsidRPr="0079532C">
                                    <w:rPr>
                                      <w:rFonts w:ascii="Times New Roman" w:hAnsi="Times New Roman"/>
                                      <w:sz w:val="22"/>
                                      <w:szCs w:val="22"/>
                                      <w:lang w:val="es-ES"/>
                                    </w:rPr>
                                    <w:t>].</w:t>
                                  </w:r>
                                </w:p>
                                <w:p w14:paraId="5957321D"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Pr>
                                      <w:rFonts w:ascii="Times New Roman" w:hAnsi="Times New Roman"/>
                                      <w:sz w:val="22"/>
                                      <w:szCs w:val="22"/>
                                      <w:lang w:val="es-ES"/>
                                    </w:rPr>
                                    <w:t xml:space="preserve">Las </w:t>
                                  </w:r>
                                  <w:r w:rsidRPr="0079532C">
                                    <w:rPr>
                                      <w:rFonts w:ascii="Times New Roman" w:hAnsi="Times New Roman"/>
                                      <w:sz w:val="22"/>
                                      <w:szCs w:val="22"/>
                                      <w:lang w:val="es-ES"/>
                                    </w:rPr>
                                    <w:t xml:space="preserve">Ofertas que cumplan las condiciones de la Licitación </w:t>
                                  </w:r>
                                  <w:r>
                                    <w:rPr>
                                      <w:rFonts w:ascii="Times New Roman" w:hAnsi="Times New Roman"/>
                                      <w:sz w:val="22"/>
                                      <w:szCs w:val="22"/>
                                      <w:lang w:val="es-ES"/>
                                    </w:rPr>
                                    <w:t xml:space="preserve">se recibirán </w:t>
                                  </w:r>
                                  <w:r w:rsidRPr="0079532C">
                                    <w:rPr>
                                      <w:rFonts w:ascii="Times New Roman" w:hAnsi="Times New Roman"/>
                                      <w:sz w:val="22"/>
                                      <w:szCs w:val="22"/>
                                      <w:lang w:val="es-ES"/>
                                    </w:rPr>
                                    <w:t>hasta las [Nota: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la hora</w:t>
                                  </w:r>
                                  <w:r w:rsidRPr="0079532C">
                                    <w:rPr>
                                      <w:rFonts w:ascii="Times New Roman" w:hAnsi="Times New Roman"/>
                                      <w:sz w:val="22"/>
                                      <w:szCs w:val="22"/>
                                      <w:lang w:val="es-ES"/>
                                    </w:rPr>
                                    <w:t xml:space="preserve">] </w:t>
                                  </w:r>
                                  <w:proofErr w:type="spellStart"/>
                                  <w:r w:rsidRPr="0079532C">
                                    <w:rPr>
                                      <w:rFonts w:ascii="Times New Roman" w:hAnsi="Times New Roman"/>
                                      <w:sz w:val="22"/>
                                      <w:szCs w:val="22"/>
                                      <w:lang w:val="es-ES"/>
                                    </w:rPr>
                                    <w:t>hrs</w:t>
                                  </w:r>
                                  <w:proofErr w:type="spellEnd"/>
                                  <w:r w:rsidRPr="0079532C">
                                    <w:rPr>
                                      <w:rFonts w:ascii="Times New Roman" w:hAnsi="Times New Roman"/>
                                      <w:sz w:val="22"/>
                                      <w:szCs w:val="22"/>
                                      <w:lang w:val="es-ES"/>
                                    </w:rPr>
                                    <w:t>. del [</w:t>
                                  </w:r>
                                  <w:r w:rsidRPr="0079532C">
                                    <w:rPr>
                                      <w:rFonts w:ascii="Times New Roman" w:hAnsi="Times New Roman"/>
                                      <w:i/>
                                      <w:color w:val="0000FF"/>
                                      <w:sz w:val="22"/>
                                      <w:szCs w:val="22"/>
                                      <w:lang w:val="es-ES"/>
                                    </w:rPr>
                                    <w:t>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el día / fecha</w:t>
                                  </w:r>
                                  <w:r w:rsidRPr="0079532C">
                                    <w:rPr>
                                      <w:rFonts w:ascii="Times New Roman" w:hAnsi="Times New Roman"/>
                                      <w:sz w:val="22"/>
                                      <w:szCs w:val="22"/>
                                      <w:lang w:val="es-ES"/>
                                    </w:rPr>
                                    <w:t>].</w:t>
                                  </w:r>
                                </w:p>
                                <w:p w14:paraId="012A7957"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Se evaluará a las Ofertas en conformidad con las prácticas reconocidas internacionalmente. Se pondrá especial atención en la capacidad de entregar los servicios bancarios que se requieren;</w:t>
                                  </w:r>
                                </w:p>
                                <w:p w14:paraId="557D9E86"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El PNUD se reserva el derecho de aceptar o rechazar, en parte o en su totalidad, alguna o todas las Ofertas en cualquier momento y sin tener que dar ninguna explicación al respecto.</w:t>
                                  </w:r>
                                </w:p>
                                <w:p w14:paraId="4F37630E"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 xml:space="preserve">Los costos de </w:t>
                                  </w:r>
                                  <w:r>
                                    <w:rPr>
                                      <w:rFonts w:ascii="Times New Roman" w:hAnsi="Times New Roman"/>
                                      <w:sz w:val="22"/>
                                      <w:szCs w:val="22"/>
                                      <w:lang w:val="es-ES"/>
                                    </w:rPr>
                                    <w:t xml:space="preserve">elaboración </w:t>
                                  </w:r>
                                  <w:r w:rsidRPr="0079532C">
                                    <w:rPr>
                                      <w:rFonts w:ascii="Times New Roman" w:hAnsi="Times New Roman"/>
                                      <w:sz w:val="22"/>
                                      <w:szCs w:val="22"/>
                                      <w:lang w:val="es-ES"/>
                                    </w:rPr>
                                    <w:t>de las Ofertas y de la negociación del contrato no serán reembolsados por el PNUD;</w:t>
                                  </w:r>
                                </w:p>
                                <w:p w14:paraId="1ADFF65E"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Las Ofertas serán válidas por 120 días a partir del plazo de entrega. El PNUD hará todo el esfuerzo posible por seleccionar un banco dentro de este período;</w:t>
                                  </w:r>
                                </w:p>
                                <w:p w14:paraId="1CFB254E" w14:textId="77777777" w:rsidR="00747C28" w:rsidRPr="0079532C" w:rsidRDefault="00747C28" w:rsidP="00747C28">
                                  <w:pPr>
                                    <w:numPr>
                                      <w:ilvl w:val="0"/>
                                      <w:numId w:val="1"/>
                                    </w:numPr>
                                    <w:spacing w:after="0" w:line="240" w:lineRule="auto"/>
                                    <w:rPr>
                                      <w:sz w:val="22"/>
                                      <w:szCs w:val="22"/>
                                      <w:lang w:val="es-ES"/>
                                    </w:rPr>
                                  </w:pPr>
                                  <w:r w:rsidRPr="0079532C">
                                    <w:rPr>
                                      <w:rFonts w:ascii="Times New Roman" w:hAnsi="Times New Roman"/>
                                      <w:sz w:val="22"/>
                                      <w:szCs w:val="22"/>
                                      <w:lang w:val="es-ES"/>
                                    </w:rPr>
                                    <w:t>El PNUD no se compromete de ninguna manera a seleccionar a la empresa que ofrezca el precio más bajo.</w:t>
                                  </w:r>
                                </w:p>
                                <w:p w14:paraId="69D2DACE" w14:textId="77777777" w:rsidR="00747C28" w:rsidRPr="0079532C" w:rsidRDefault="00747C28" w:rsidP="0079532C">
                                  <w:pPr>
                                    <w:rPr>
                                      <w:lang w:val="es-ES"/>
                                    </w:rPr>
                                  </w:pPr>
                                </w:p>
                              </w:tc>
                            </w:tr>
                          </w:tbl>
                          <w:p w14:paraId="60AC4B70" w14:textId="77777777" w:rsidR="00747C28" w:rsidRPr="0079532C" w:rsidRDefault="00747C28" w:rsidP="00747C28">
                            <w:pPr>
                              <w:ind w:right="-215"/>
                              <w:jc w:val="both"/>
                              <w:rPr>
                                <w:sz w:val="18"/>
                                <w:lang w:val="es-ES"/>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AD1C" id="Rectangle 2" o:spid="_x0000_s1026" style="position:absolute;margin-left:60pt;margin-top:25.05pt;width:397.9pt;height:6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" strokeweight="2pt">
                <v:textbox inset="1pt,1pt,1pt,1pt">
                  <w:txbxContent>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320"/>
                        <w:gridCol w:w="1980"/>
                      </w:tblGrid>
                      <w:tr w:rsidR="00747C28" w14:paraId="63C30B5A" w14:textId="77777777">
                        <w:trPr>
                          <w:cantSplit/>
                          <w:trHeight w:val="1260"/>
                        </w:trPr>
                        <w:tc>
                          <w:tcPr>
                            <w:tcW w:w="990" w:type="dxa"/>
                            <w:tcBorders>
                              <w:top w:val="nil"/>
                              <w:left w:val="nil"/>
                              <w:bottom w:val="nil"/>
                              <w:right w:val="nil"/>
                            </w:tcBorders>
                          </w:tcPr>
                          <w:p w14:paraId="56FA1F0C" w14:textId="77777777" w:rsidR="00747C28" w:rsidRDefault="00747C28">
                            <w:pPr>
                              <w:ind w:right="-60"/>
                              <w:jc w:val="both"/>
                              <w:rPr>
                                <w:color w:val="FFFFFF"/>
                                <w:sz w:val="18"/>
                              </w:rPr>
                            </w:pPr>
                            <w:r>
                              <w:rPr>
                                <w:noProof/>
                              </w:rPr>
                              <w:drawing>
                                <wp:inline distT="0" distB="0" distL="0" distR="0" wp14:anchorId="6D570A07" wp14:editId="3F28A215">
                                  <wp:extent cx="490220" cy="1002030"/>
                                  <wp:effectExtent l="0" t="0" r="5080" b="7620"/>
                                  <wp:docPr id="860939997" name="Picture 860939997" descr="undplogo_bl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_blk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1002030"/>
                                          </a:xfrm>
                                          <a:prstGeom prst="rect">
                                            <a:avLst/>
                                          </a:prstGeom>
                                          <a:noFill/>
                                          <a:ln>
                                            <a:noFill/>
                                          </a:ln>
                                        </pic:spPr>
                                      </pic:pic>
                                    </a:graphicData>
                                  </a:graphic>
                                </wp:inline>
                              </w:drawing>
                            </w:r>
                          </w:p>
                        </w:tc>
                        <w:tc>
                          <w:tcPr>
                            <w:tcW w:w="4320" w:type="dxa"/>
                            <w:tcBorders>
                              <w:top w:val="nil"/>
                              <w:left w:val="nil"/>
                              <w:bottom w:val="nil"/>
                              <w:right w:val="nil"/>
                            </w:tcBorders>
                          </w:tcPr>
                          <w:p w14:paraId="5485EF91" w14:textId="77777777" w:rsidR="00747C28" w:rsidRDefault="00747C28">
                            <w:pPr>
                              <w:ind w:right="-60"/>
                              <w:jc w:val="center"/>
                              <w:rPr>
                                <w:b/>
                                <w:sz w:val="36"/>
                              </w:rPr>
                            </w:pPr>
                          </w:p>
                          <w:p w14:paraId="31447035" w14:textId="77777777" w:rsidR="00747C28" w:rsidRDefault="00747C28">
                            <w:pPr>
                              <w:pStyle w:val="Heading2"/>
                              <w:rPr>
                                <w:bCs/>
                                <w:sz w:val="28"/>
                                <w:lang w:val="es-ES"/>
                              </w:rPr>
                            </w:pPr>
                            <w:r>
                              <w:rPr>
                                <w:sz w:val="28"/>
                                <w:lang w:val="es-ES"/>
                              </w:rPr>
                              <w:t xml:space="preserve">LLAMADO A </w:t>
                            </w:r>
                          </w:p>
                          <w:p w14:paraId="299175A0" w14:textId="77777777" w:rsidR="00747C28" w:rsidRDefault="00747C28">
                            <w:pPr>
                              <w:pStyle w:val="Heading2"/>
                              <w:rPr>
                                <w:bCs/>
                                <w:sz w:val="28"/>
                                <w:lang w:val="es-ES"/>
                              </w:rPr>
                            </w:pPr>
                            <w:r>
                              <w:rPr>
                                <w:sz w:val="28"/>
                                <w:lang w:val="es-ES"/>
                              </w:rPr>
                              <w:t>LICITACIÓN DE</w:t>
                            </w:r>
                          </w:p>
                          <w:p w14:paraId="4C5A42D5" w14:textId="77777777" w:rsidR="00747C28" w:rsidRDefault="00747C28">
                            <w:pPr>
                              <w:pStyle w:val="Heading2"/>
                              <w:rPr>
                                <w:bCs/>
                                <w:lang w:val="es-ES"/>
                              </w:rPr>
                            </w:pPr>
                            <w:r>
                              <w:rPr>
                                <w:lang w:val="es-ES"/>
                              </w:rPr>
                              <w:t>SERVICIOS BANCARIOS</w:t>
                            </w:r>
                          </w:p>
                          <w:p w14:paraId="3DC2B8B3" w14:textId="77777777" w:rsidR="00747C28" w:rsidRDefault="00747C28">
                            <w:pPr>
                              <w:rPr>
                                <w:b/>
                                <w:sz w:val="36"/>
                                <w:u w:val="single"/>
                                <w:lang w:val="es-ES"/>
                              </w:rPr>
                            </w:pPr>
                          </w:p>
                        </w:tc>
                        <w:tc>
                          <w:tcPr>
                            <w:tcW w:w="1980" w:type="dxa"/>
                            <w:tcBorders>
                              <w:top w:val="nil"/>
                              <w:left w:val="nil"/>
                              <w:bottom w:val="nil"/>
                              <w:right w:val="nil"/>
                            </w:tcBorders>
                          </w:tcPr>
                          <w:p w14:paraId="72348444" w14:textId="77777777" w:rsidR="00747C28" w:rsidRDefault="00747C28">
                            <w:pPr>
                              <w:ind w:right="-60"/>
                              <w:rPr>
                                <w:b/>
                                <w:color w:val="FFFFFF"/>
                              </w:rPr>
                            </w:pPr>
                            <w:r>
                              <w:rPr>
                                <w:noProof/>
                              </w:rPr>
                              <w:drawing>
                                <wp:inline distT="0" distB="0" distL="0" distR="0" wp14:anchorId="14DEDD11" wp14:editId="44D39C0F">
                                  <wp:extent cx="1111885" cy="951230"/>
                                  <wp:effectExtent l="0" t="0" r="0" b="1270"/>
                                  <wp:docPr id="17397851" name="Picture 17397851" descr="U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1885" cy="951230"/>
                                          </a:xfrm>
                                          <a:prstGeom prst="rect">
                                            <a:avLst/>
                                          </a:prstGeom>
                                          <a:noFill/>
                                          <a:ln>
                                            <a:noFill/>
                                          </a:ln>
                                        </pic:spPr>
                                      </pic:pic>
                                    </a:graphicData>
                                  </a:graphic>
                                </wp:inline>
                              </w:drawing>
                            </w:r>
                          </w:p>
                        </w:tc>
                      </w:tr>
                    </w:tbl>
                    <w:p w14:paraId="4C977634" w14:textId="77777777" w:rsidR="00747C28" w:rsidRDefault="00747C28" w:rsidP="00747C28">
                      <w:pPr>
                        <w:ind w:right="-215"/>
                        <w:jc w:val="both"/>
                        <w:rPr>
                          <w:sz w:val="2"/>
                        </w:rPr>
                      </w:pPr>
                    </w:p>
                    <w:tbl>
                      <w:tblPr>
                        <w:tblW w:w="7097" w:type="dxa"/>
                        <w:tblInd w:w="108" w:type="dxa"/>
                        <w:tblLayout w:type="fixed"/>
                        <w:tblLook w:val="0000" w:firstRow="0" w:lastRow="0" w:firstColumn="0" w:lastColumn="0" w:noHBand="0" w:noVBand="0"/>
                      </w:tblPr>
                      <w:tblGrid>
                        <w:gridCol w:w="7097"/>
                      </w:tblGrid>
                      <w:tr w:rsidR="00747C28" w:rsidRPr="0079532C" w14:paraId="5920F6E3" w14:textId="77777777" w:rsidTr="0079532C">
                        <w:trPr>
                          <w:trHeight w:val="8386"/>
                        </w:trPr>
                        <w:tc>
                          <w:tcPr>
                            <w:tcW w:w="7097" w:type="dxa"/>
                            <w:tcBorders>
                              <w:top w:val="single" w:sz="12" w:space="0" w:color="auto"/>
                            </w:tcBorders>
                          </w:tcPr>
                          <w:p w14:paraId="699E820E" w14:textId="77777777" w:rsidR="00747C28" w:rsidRDefault="00747C28" w:rsidP="0079532C">
                            <w:pPr>
                              <w:rPr>
                                <w:rFonts w:ascii="Times New Roman" w:hAnsi="Times New Roman"/>
                                <w:lang w:val="es-ES"/>
                              </w:rPr>
                            </w:pPr>
                            <w:r>
                              <w:rPr>
                                <w:rFonts w:ascii="Times New Roman" w:hAnsi="Times New Roman"/>
                                <w:sz w:val="22"/>
                                <w:lang w:val="es-ES"/>
                              </w:rPr>
                              <w:t>Naciones Unidas convoca a una licitación de servicios bancarios en beneficio de las Organizaciones de las Naciones Unidas [</w:t>
                            </w:r>
                            <w:r>
                              <w:rPr>
                                <w:rFonts w:ascii="Times New Roman" w:hAnsi="Times New Roman"/>
                                <w:i/>
                                <w:color w:val="0000FF"/>
                                <w:sz w:val="22"/>
                                <w:lang w:val="es-ES"/>
                              </w:rPr>
                              <w:t>Nota: Introduzca el país</w:t>
                            </w:r>
                            <w:r>
                              <w:rPr>
                                <w:rFonts w:ascii="Times New Roman" w:hAnsi="Times New Roman"/>
                                <w:sz w:val="22"/>
                                <w:lang w:val="es-ES"/>
                              </w:rPr>
                              <w:t>]</w:t>
                            </w:r>
                          </w:p>
                          <w:p w14:paraId="00F032C6" w14:textId="77777777" w:rsidR="00747C28" w:rsidRDefault="00747C28" w:rsidP="0079532C">
                            <w:pPr>
                              <w:ind w:left="360" w:hanging="360"/>
                              <w:rPr>
                                <w:rFonts w:ascii="Times New Roman" w:hAnsi="Times New Roman"/>
                                <w:lang w:val="es-ES"/>
                              </w:rPr>
                            </w:pPr>
                          </w:p>
                          <w:p w14:paraId="19D887AF" w14:textId="77777777" w:rsidR="00747C28" w:rsidRDefault="00747C28" w:rsidP="00747C28">
                            <w:pPr>
                              <w:numPr>
                                <w:ilvl w:val="0"/>
                                <w:numId w:val="1"/>
                              </w:numPr>
                              <w:spacing w:after="0" w:line="240" w:lineRule="auto"/>
                              <w:rPr>
                                <w:rFonts w:ascii="Times New Roman" w:hAnsi="Times New Roman"/>
                                <w:lang w:val="es-ES"/>
                              </w:rPr>
                            </w:pPr>
                            <w:r>
                              <w:rPr>
                                <w:rFonts w:ascii="Times New Roman" w:hAnsi="Times New Roman"/>
                                <w:sz w:val="22"/>
                                <w:lang w:val="es-ES"/>
                              </w:rPr>
                              <w:t>Los bancos interesados en participar podrán recoger la documentación de la Licitación y los documentos relacionados, previo pago de [</w:t>
                            </w:r>
                            <w:r>
                              <w:rPr>
                                <w:rFonts w:ascii="Times New Roman" w:hAnsi="Times New Roman"/>
                                <w:i/>
                                <w:color w:val="0000FF"/>
                                <w:sz w:val="22"/>
                                <w:lang w:val="es-ES"/>
                              </w:rPr>
                              <w:t>Nota: Introduzca el monto correspondiente en moneda nacional</w:t>
                            </w:r>
                            <w:r>
                              <w:rPr>
                                <w:rFonts w:ascii="Times New Roman" w:hAnsi="Times New Roman"/>
                                <w:sz w:val="22"/>
                                <w:lang w:val="es-ES"/>
                              </w:rPr>
                              <w:t>] (</w:t>
                            </w:r>
                            <w:r>
                              <w:rPr>
                                <w:rFonts w:ascii="Times New Roman" w:hAnsi="Times New Roman"/>
                                <w:b/>
                                <w:sz w:val="22"/>
                                <w:lang w:val="es-ES"/>
                              </w:rPr>
                              <w:t>no-reembolsable</w:t>
                            </w:r>
                            <w:r>
                              <w:rPr>
                                <w:rFonts w:ascii="Times New Roman" w:hAnsi="Times New Roman"/>
                                <w:sz w:val="22"/>
                                <w:lang w:val="es-ES"/>
                              </w:rPr>
                              <w:t>) en [</w:t>
                            </w:r>
                            <w:r w:rsidRPr="0079532C">
                              <w:rPr>
                                <w:rFonts w:ascii="Times New Roman" w:hAnsi="Times New Roman"/>
                                <w:i/>
                                <w:color w:val="0000FF"/>
                                <w:sz w:val="22"/>
                                <w:lang w:val="es-ES"/>
                              </w:rPr>
                              <w:t>Nota:</w:t>
                            </w:r>
                            <w:r>
                              <w:rPr>
                                <w:rFonts w:ascii="Times New Roman" w:hAnsi="Times New Roman"/>
                                <w:i/>
                                <w:color w:val="0000FF"/>
                                <w:sz w:val="22"/>
                                <w:lang w:val="es-ES"/>
                              </w:rPr>
                              <w:t xml:space="preserve"> Introduzca la ubicación, nombre de oficina y dirección</w:t>
                            </w:r>
                            <w:r>
                              <w:rPr>
                                <w:rFonts w:ascii="Times New Roman" w:hAnsi="Times New Roman"/>
                                <w:sz w:val="22"/>
                                <w:lang w:val="es-ES"/>
                              </w:rPr>
                              <w:t>] desde [</w:t>
                            </w:r>
                            <w:r>
                              <w:rPr>
                                <w:rFonts w:ascii="Times New Roman" w:hAnsi="Times New Roman"/>
                                <w:i/>
                                <w:color w:val="0000FF"/>
                                <w:sz w:val="22"/>
                                <w:lang w:val="es-ES"/>
                              </w:rPr>
                              <w:t>Nota:</w:t>
                            </w:r>
                            <w:r>
                              <w:rPr>
                                <w:rFonts w:ascii="Times New Roman" w:hAnsi="Times New Roman"/>
                                <w:b/>
                                <w:i/>
                                <w:color w:val="0000FF"/>
                                <w:sz w:val="22"/>
                                <w:lang w:val="es-ES"/>
                              </w:rPr>
                              <w:t xml:space="preserve"> Introduzca el día de inicio/fecha</w:t>
                            </w:r>
                            <w:r>
                              <w:rPr>
                                <w:rFonts w:ascii="Times New Roman" w:hAnsi="Times New Roman"/>
                                <w:b/>
                                <w:sz w:val="22"/>
                                <w:lang w:val="es-ES"/>
                              </w:rPr>
                              <w:t>] hasta [</w:t>
                            </w:r>
                            <w:r>
                              <w:rPr>
                                <w:rFonts w:ascii="Times New Roman" w:hAnsi="Times New Roman"/>
                                <w:b/>
                                <w:i/>
                                <w:color w:val="0000FF"/>
                                <w:sz w:val="22"/>
                                <w:lang w:val="es-ES"/>
                              </w:rPr>
                              <w:t xml:space="preserve">Nota: </w:t>
                            </w:r>
                            <w:r w:rsidRPr="0079532C">
                              <w:rPr>
                                <w:rFonts w:ascii="Times New Roman" w:hAnsi="Times New Roman"/>
                                <w:color w:val="0000FF"/>
                                <w:sz w:val="22"/>
                                <w:lang w:val="es-ES"/>
                              </w:rPr>
                              <w:t>Introduzca la fecha de cierre</w:t>
                            </w:r>
                            <w:r>
                              <w:rPr>
                                <w:rFonts w:ascii="Times New Roman" w:hAnsi="Times New Roman"/>
                                <w:sz w:val="22"/>
                                <w:lang w:val="es-ES"/>
                              </w:rPr>
                              <w:t>] (fecha en que termina la recogida de la documentación), de lunes a viernes entre las 09:30 y las 17:00 horas.</w:t>
                            </w:r>
                          </w:p>
                          <w:p w14:paraId="22DA0F6E"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Pr>
                                <w:rFonts w:ascii="Times New Roman" w:hAnsi="Times New Roman"/>
                                <w:sz w:val="22"/>
                                <w:lang w:val="es-ES"/>
                              </w:rPr>
                              <w:t xml:space="preserve">Esta Licitación está abierta solo para los Bancos que sean miembros </w:t>
                            </w:r>
                            <w:r w:rsidRPr="0079532C">
                              <w:rPr>
                                <w:rFonts w:ascii="Times New Roman" w:hAnsi="Times New Roman"/>
                                <w:sz w:val="22"/>
                                <w:szCs w:val="22"/>
                                <w:lang w:val="es-ES"/>
                              </w:rPr>
                              <w:t>registrados de SWIFT. Los posibles bancos licitantes deberán indicar su número SWIFT al momento de recoger la documentación de la Licitación;</w:t>
                            </w:r>
                          </w:p>
                          <w:p w14:paraId="228EBF8C"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Se realizará una Reunión informativa el [Nota: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el día / fecha</w:t>
                            </w:r>
                            <w:r w:rsidRPr="0079532C">
                              <w:rPr>
                                <w:rFonts w:ascii="Times New Roman" w:hAnsi="Times New Roman"/>
                                <w:sz w:val="22"/>
                                <w:szCs w:val="22"/>
                                <w:lang w:val="es-ES"/>
                              </w:rPr>
                              <w:t>] a las [</w:t>
                            </w:r>
                            <w:r w:rsidRPr="0079532C">
                              <w:rPr>
                                <w:rFonts w:ascii="Times New Roman" w:hAnsi="Times New Roman"/>
                                <w:i/>
                                <w:color w:val="0000FF"/>
                                <w:sz w:val="22"/>
                                <w:szCs w:val="22"/>
                                <w:lang w:val="es-ES"/>
                              </w:rPr>
                              <w:t>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la hora</w:t>
                            </w:r>
                            <w:r w:rsidRPr="0079532C">
                              <w:rPr>
                                <w:rFonts w:ascii="Times New Roman" w:hAnsi="Times New Roman"/>
                                <w:sz w:val="22"/>
                                <w:szCs w:val="22"/>
                                <w:lang w:val="es-ES"/>
                              </w:rPr>
                              <w:t xml:space="preserve">] </w:t>
                            </w:r>
                            <w:proofErr w:type="spellStart"/>
                            <w:r w:rsidRPr="0079532C">
                              <w:rPr>
                                <w:rFonts w:ascii="Times New Roman" w:hAnsi="Times New Roman"/>
                                <w:sz w:val="22"/>
                                <w:szCs w:val="22"/>
                                <w:lang w:val="es-ES"/>
                              </w:rPr>
                              <w:t>hrs</w:t>
                            </w:r>
                            <w:proofErr w:type="spellEnd"/>
                            <w:r w:rsidRPr="0079532C">
                              <w:rPr>
                                <w:rFonts w:ascii="Times New Roman" w:hAnsi="Times New Roman"/>
                                <w:sz w:val="22"/>
                                <w:szCs w:val="22"/>
                                <w:lang w:val="es-ES"/>
                              </w:rPr>
                              <w:t>. en [</w:t>
                            </w:r>
                            <w:r w:rsidRPr="0079532C">
                              <w:rPr>
                                <w:rFonts w:ascii="Times New Roman" w:hAnsi="Times New Roman"/>
                                <w:i/>
                                <w:color w:val="0000FF"/>
                                <w:sz w:val="22"/>
                                <w:szCs w:val="22"/>
                                <w:lang w:val="es-ES"/>
                              </w:rPr>
                              <w:t>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la ubicación, nombre de oficina y dirección</w:t>
                            </w:r>
                            <w:r w:rsidRPr="0079532C">
                              <w:rPr>
                                <w:rFonts w:ascii="Times New Roman" w:hAnsi="Times New Roman"/>
                                <w:sz w:val="22"/>
                                <w:szCs w:val="22"/>
                                <w:lang w:val="es-ES"/>
                              </w:rPr>
                              <w:t>].</w:t>
                            </w:r>
                          </w:p>
                          <w:p w14:paraId="5957321D"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Pr>
                                <w:rFonts w:ascii="Times New Roman" w:hAnsi="Times New Roman"/>
                                <w:sz w:val="22"/>
                                <w:szCs w:val="22"/>
                                <w:lang w:val="es-ES"/>
                              </w:rPr>
                              <w:t xml:space="preserve">Las </w:t>
                            </w:r>
                            <w:r w:rsidRPr="0079532C">
                              <w:rPr>
                                <w:rFonts w:ascii="Times New Roman" w:hAnsi="Times New Roman"/>
                                <w:sz w:val="22"/>
                                <w:szCs w:val="22"/>
                                <w:lang w:val="es-ES"/>
                              </w:rPr>
                              <w:t xml:space="preserve">Ofertas que cumplan las condiciones de la Licitación </w:t>
                            </w:r>
                            <w:r>
                              <w:rPr>
                                <w:rFonts w:ascii="Times New Roman" w:hAnsi="Times New Roman"/>
                                <w:sz w:val="22"/>
                                <w:szCs w:val="22"/>
                                <w:lang w:val="es-ES"/>
                              </w:rPr>
                              <w:t xml:space="preserve">se recibirán </w:t>
                            </w:r>
                            <w:r w:rsidRPr="0079532C">
                              <w:rPr>
                                <w:rFonts w:ascii="Times New Roman" w:hAnsi="Times New Roman"/>
                                <w:sz w:val="22"/>
                                <w:szCs w:val="22"/>
                                <w:lang w:val="es-ES"/>
                              </w:rPr>
                              <w:t>hasta las [Nota: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la hora</w:t>
                            </w:r>
                            <w:r w:rsidRPr="0079532C">
                              <w:rPr>
                                <w:rFonts w:ascii="Times New Roman" w:hAnsi="Times New Roman"/>
                                <w:sz w:val="22"/>
                                <w:szCs w:val="22"/>
                                <w:lang w:val="es-ES"/>
                              </w:rPr>
                              <w:t xml:space="preserve">] </w:t>
                            </w:r>
                            <w:proofErr w:type="spellStart"/>
                            <w:r w:rsidRPr="0079532C">
                              <w:rPr>
                                <w:rFonts w:ascii="Times New Roman" w:hAnsi="Times New Roman"/>
                                <w:sz w:val="22"/>
                                <w:szCs w:val="22"/>
                                <w:lang w:val="es-ES"/>
                              </w:rPr>
                              <w:t>hrs</w:t>
                            </w:r>
                            <w:proofErr w:type="spellEnd"/>
                            <w:r w:rsidRPr="0079532C">
                              <w:rPr>
                                <w:rFonts w:ascii="Times New Roman" w:hAnsi="Times New Roman"/>
                                <w:sz w:val="22"/>
                                <w:szCs w:val="22"/>
                                <w:lang w:val="es-ES"/>
                              </w:rPr>
                              <w:t>. del [</w:t>
                            </w:r>
                            <w:r w:rsidRPr="0079532C">
                              <w:rPr>
                                <w:rFonts w:ascii="Times New Roman" w:hAnsi="Times New Roman"/>
                                <w:i/>
                                <w:color w:val="0000FF"/>
                                <w:sz w:val="22"/>
                                <w:szCs w:val="22"/>
                                <w:lang w:val="es-ES"/>
                              </w:rPr>
                              <w:t>Nota:</w:t>
                            </w:r>
                            <w:r w:rsidRPr="0079532C">
                              <w:rPr>
                                <w:rFonts w:ascii="Times New Roman" w:hAnsi="Times New Roman"/>
                                <w:b/>
                                <w:i/>
                                <w:color w:val="0000FF"/>
                                <w:sz w:val="22"/>
                                <w:szCs w:val="22"/>
                                <w:lang w:val="es-ES"/>
                              </w:rPr>
                              <w:t xml:space="preserve"> </w:t>
                            </w:r>
                            <w:r w:rsidRPr="0079532C">
                              <w:rPr>
                                <w:rFonts w:ascii="Times New Roman" w:hAnsi="Times New Roman"/>
                                <w:i/>
                                <w:color w:val="0000FF"/>
                                <w:sz w:val="22"/>
                                <w:szCs w:val="22"/>
                                <w:lang w:val="es-ES"/>
                              </w:rPr>
                              <w:t>Introduzca el día / fecha</w:t>
                            </w:r>
                            <w:r w:rsidRPr="0079532C">
                              <w:rPr>
                                <w:rFonts w:ascii="Times New Roman" w:hAnsi="Times New Roman"/>
                                <w:sz w:val="22"/>
                                <w:szCs w:val="22"/>
                                <w:lang w:val="es-ES"/>
                              </w:rPr>
                              <w:t>].</w:t>
                            </w:r>
                          </w:p>
                          <w:p w14:paraId="012A7957"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Se evaluará a las Ofertas en conformidad con las prácticas reconocidas internacionalmente. Se pondrá especial atención en la capacidad de entregar los servicios bancarios que se requieren;</w:t>
                            </w:r>
                          </w:p>
                          <w:p w14:paraId="557D9E86"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El PNUD se reserva el derecho de aceptar o rechazar, en parte o en su totalidad, alguna o todas las Ofertas en cualquier momento y sin tener que dar ninguna explicación al respecto.</w:t>
                            </w:r>
                          </w:p>
                          <w:p w14:paraId="4F37630E"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 xml:space="preserve">Los costos de </w:t>
                            </w:r>
                            <w:r>
                              <w:rPr>
                                <w:rFonts w:ascii="Times New Roman" w:hAnsi="Times New Roman"/>
                                <w:sz w:val="22"/>
                                <w:szCs w:val="22"/>
                                <w:lang w:val="es-ES"/>
                              </w:rPr>
                              <w:t xml:space="preserve">elaboración </w:t>
                            </w:r>
                            <w:r w:rsidRPr="0079532C">
                              <w:rPr>
                                <w:rFonts w:ascii="Times New Roman" w:hAnsi="Times New Roman"/>
                                <w:sz w:val="22"/>
                                <w:szCs w:val="22"/>
                                <w:lang w:val="es-ES"/>
                              </w:rPr>
                              <w:t>de las Ofertas y de la negociación del contrato no serán reembolsados por el PNUD;</w:t>
                            </w:r>
                          </w:p>
                          <w:p w14:paraId="1ADFF65E" w14:textId="77777777" w:rsidR="00747C28" w:rsidRPr="0079532C" w:rsidRDefault="00747C28" w:rsidP="00747C28">
                            <w:pPr>
                              <w:numPr>
                                <w:ilvl w:val="0"/>
                                <w:numId w:val="1"/>
                              </w:numPr>
                              <w:spacing w:after="0" w:line="240" w:lineRule="auto"/>
                              <w:rPr>
                                <w:rFonts w:ascii="Times New Roman" w:hAnsi="Times New Roman"/>
                                <w:sz w:val="22"/>
                                <w:szCs w:val="22"/>
                                <w:lang w:val="es-ES"/>
                              </w:rPr>
                            </w:pPr>
                            <w:r w:rsidRPr="0079532C">
                              <w:rPr>
                                <w:rFonts w:ascii="Times New Roman" w:hAnsi="Times New Roman"/>
                                <w:sz w:val="22"/>
                                <w:szCs w:val="22"/>
                                <w:lang w:val="es-ES"/>
                              </w:rPr>
                              <w:t>Las Ofertas serán válidas por 120 días a partir del plazo de entrega. El PNUD hará todo el esfuerzo posible por seleccionar un banco dentro de este período;</w:t>
                            </w:r>
                          </w:p>
                          <w:p w14:paraId="1CFB254E" w14:textId="77777777" w:rsidR="00747C28" w:rsidRPr="0079532C" w:rsidRDefault="00747C28" w:rsidP="00747C28">
                            <w:pPr>
                              <w:numPr>
                                <w:ilvl w:val="0"/>
                                <w:numId w:val="1"/>
                              </w:numPr>
                              <w:spacing w:after="0" w:line="240" w:lineRule="auto"/>
                              <w:rPr>
                                <w:sz w:val="22"/>
                                <w:szCs w:val="22"/>
                                <w:lang w:val="es-ES"/>
                              </w:rPr>
                            </w:pPr>
                            <w:r w:rsidRPr="0079532C">
                              <w:rPr>
                                <w:rFonts w:ascii="Times New Roman" w:hAnsi="Times New Roman"/>
                                <w:sz w:val="22"/>
                                <w:szCs w:val="22"/>
                                <w:lang w:val="es-ES"/>
                              </w:rPr>
                              <w:t>El PNUD no se compromete de ninguna manera a seleccionar a la empresa que ofrezca el precio más bajo.</w:t>
                            </w:r>
                          </w:p>
                          <w:p w14:paraId="69D2DACE" w14:textId="77777777" w:rsidR="00747C28" w:rsidRPr="0079532C" w:rsidRDefault="00747C28" w:rsidP="0079532C">
                            <w:pPr>
                              <w:rPr>
                                <w:lang w:val="es-ES"/>
                              </w:rPr>
                            </w:pPr>
                          </w:p>
                        </w:tc>
                      </w:tr>
                    </w:tbl>
                    <w:p w14:paraId="60AC4B70" w14:textId="77777777" w:rsidR="00747C28" w:rsidRPr="0079532C" w:rsidRDefault="00747C28" w:rsidP="00747C28">
                      <w:pPr>
                        <w:ind w:right="-215"/>
                        <w:jc w:val="both"/>
                        <w:rPr>
                          <w:sz w:val="18"/>
                          <w:lang w:val="es-ES"/>
                        </w:rPr>
                      </w:pPr>
                    </w:p>
                  </w:txbxContent>
                </v:textbox>
              </v:rect>
            </w:pict>
          </mc:Fallback>
        </mc:AlternateContent>
      </w:r>
    </w:p>
    <w:sectPr w:rsidR="00DA504D" w:rsidRPr="000A02AA" w:rsidSect="00747C28">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9DBA" w14:textId="77777777" w:rsidR="0038461F" w:rsidRDefault="0038461F" w:rsidP="00747C28">
      <w:pPr>
        <w:spacing w:after="0" w:line="240" w:lineRule="auto"/>
      </w:pPr>
      <w:r>
        <w:separator/>
      </w:r>
    </w:p>
  </w:endnote>
  <w:endnote w:type="continuationSeparator" w:id="0">
    <w:p w14:paraId="7A23B6E3" w14:textId="77777777" w:rsidR="0038461F" w:rsidRDefault="0038461F" w:rsidP="0074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3393" w14:textId="77777777" w:rsidR="00747C28" w:rsidRPr="000A02AA" w:rsidRDefault="00747C28">
    <w:pPr>
      <w:pStyle w:val="Footer"/>
      <w:jc w:val="right"/>
      <w:rPr>
        <w:rFonts w:ascii="Calibri" w:hAnsi="Calibri" w:cs="Calibri"/>
        <w:sz w:val="22"/>
        <w:szCs w:val="22"/>
      </w:rPr>
    </w:pPr>
    <w:r w:rsidRPr="000A02AA">
      <w:rPr>
        <w:rFonts w:ascii="Calibri" w:hAnsi="Calibri" w:cs="Calibri"/>
        <w:sz w:val="22"/>
        <w:szCs w:val="22"/>
      </w:rPr>
      <w:fldChar w:fldCharType="begin"/>
    </w:r>
    <w:r w:rsidRPr="000A02AA">
      <w:rPr>
        <w:rFonts w:ascii="Calibri" w:hAnsi="Calibri" w:cs="Calibri"/>
        <w:sz w:val="22"/>
        <w:szCs w:val="22"/>
      </w:rPr>
      <w:instrText xml:space="preserve"> PAGE   \* MERGEFORMAT </w:instrText>
    </w:r>
    <w:r w:rsidRPr="000A02AA">
      <w:rPr>
        <w:rFonts w:ascii="Calibri" w:hAnsi="Calibri" w:cs="Calibri"/>
        <w:sz w:val="22"/>
        <w:szCs w:val="22"/>
      </w:rPr>
      <w:fldChar w:fldCharType="separate"/>
    </w:r>
    <w:r w:rsidRPr="000A02AA">
      <w:rPr>
        <w:rFonts w:ascii="Calibri" w:hAnsi="Calibri" w:cs="Calibri"/>
        <w:noProof/>
        <w:sz w:val="22"/>
        <w:szCs w:val="22"/>
      </w:rPr>
      <w:t>1</w:t>
    </w:r>
    <w:r w:rsidRPr="000A02AA">
      <w:rPr>
        <w:rFonts w:ascii="Calibri" w:hAnsi="Calibri" w:cs="Calibri"/>
        <w:sz w:val="22"/>
        <w:szCs w:val="22"/>
      </w:rPr>
      <w:fldChar w:fldCharType="end"/>
    </w:r>
  </w:p>
  <w:p w14:paraId="2C3F6924" w14:textId="77777777" w:rsidR="00747C28" w:rsidRDefault="00747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EAE74" w14:textId="77777777" w:rsidR="0038461F" w:rsidRDefault="0038461F" w:rsidP="00747C28">
      <w:pPr>
        <w:spacing w:after="0" w:line="240" w:lineRule="auto"/>
      </w:pPr>
      <w:r>
        <w:separator/>
      </w:r>
    </w:p>
  </w:footnote>
  <w:footnote w:type="continuationSeparator" w:id="0">
    <w:p w14:paraId="22327183" w14:textId="77777777" w:rsidR="0038461F" w:rsidRDefault="0038461F" w:rsidP="00747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F655" w14:textId="77777777" w:rsidR="00747C28" w:rsidRDefault="00747C28">
    <w:pPr>
      <w:pStyle w:val="Header"/>
      <w:jc w:val="right"/>
    </w:pPr>
  </w:p>
  <w:p w14:paraId="1D8616BD" w14:textId="77777777" w:rsidR="00747C28" w:rsidRDefault="00747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51"/>
    <w:multiLevelType w:val="hybridMultilevel"/>
    <w:tmpl w:val="896ED658"/>
    <w:lvl w:ilvl="0" w:tplc="A9BE7CFC">
      <w:start w:val="1"/>
      <w:numFmt w:val="lowerLetter"/>
      <w:lvlText w:val="6.4.%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15:restartNumberingAfterBreak="0">
    <w:nsid w:val="09094C69"/>
    <w:multiLevelType w:val="hybridMultilevel"/>
    <w:tmpl w:val="FD962DD8"/>
    <w:lvl w:ilvl="0" w:tplc="0706B4FC">
      <w:start w:val="1"/>
      <w:numFmt w:val="lowerLetter"/>
      <w:lvlText w:val="6.14.%1."/>
      <w:lvlJc w:val="center"/>
      <w:pPr>
        <w:tabs>
          <w:tab w:val="num" w:pos="1800"/>
        </w:tabs>
        <w:ind w:left="1800" w:hanging="360"/>
      </w:pPr>
      <w:rPr>
        <w:rFonts w:ascii="Times New Roman" w:hAnsi="Times New Roman"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 w15:restartNumberingAfterBreak="0">
    <w:nsid w:val="0B100554"/>
    <w:multiLevelType w:val="hybridMultilevel"/>
    <w:tmpl w:val="52D8A73C"/>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DD43421"/>
    <w:multiLevelType w:val="hybridMultilevel"/>
    <w:tmpl w:val="BA584C7A"/>
    <w:lvl w:ilvl="0" w:tplc="5C686F82">
      <w:start w:val="1"/>
      <w:numFmt w:val="decimal"/>
      <w:lvlText w:val="%1.0"/>
      <w:lvlJc w:val="right"/>
      <w:pPr>
        <w:ind w:left="360" w:hanging="360"/>
      </w:pPr>
      <w:rPr>
        <w:rFonts w:cs="Times New Roman" w:hint="default"/>
        <w:b/>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F282EA3"/>
    <w:multiLevelType w:val="hybridMultilevel"/>
    <w:tmpl w:val="DA822E62"/>
    <w:lvl w:ilvl="0" w:tplc="B4C8EBE4">
      <w:start w:val="1"/>
      <w:numFmt w:val="lowerLetter"/>
      <w:lvlText w:val="6.7.%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 w15:restartNumberingAfterBreak="0">
    <w:nsid w:val="0FA30828"/>
    <w:multiLevelType w:val="hybridMultilevel"/>
    <w:tmpl w:val="64022832"/>
    <w:lvl w:ilvl="0" w:tplc="5164EDC8">
      <w:start w:val="1"/>
      <w:numFmt w:val="lowerLetter"/>
      <w:lvlText w:val="6.2.%1."/>
      <w:lvlJc w:val="center"/>
      <w:pPr>
        <w:tabs>
          <w:tab w:val="num" w:pos="1296"/>
        </w:tabs>
        <w:ind w:left="1296" w:hanging="360"/>
      </w:pPr>
      <w:rPr>
        <w:rFonts w:cs="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E278C"/>
    <w:multiLevelType w:val="hybridMultilevel"/>
    <w:tmpl w:val="2BC46090"/>
    <w:lvl w:ilvl="0" w:tplc="D174C626">
      <w:start w:val="1"/>
      <w:numFmt w:val="lowerLetter"/>
      <w:lvlText w:val="6.13.%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1BAC4533"/>
    <w:multiLevelType w:val="hybridMultilevel"/>
    <w:tmpl w:val="CF849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3995C51"/>
    <w:multiLevelType w:val="hybridMultilevel"/>
    <w:tmpl w:val="CEF636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6C703E"/>
    <w:multiLevelType w:val="hybridMultilevel"/>
    <w:tmpl w:val="9B64EF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99745EB"/>
    <w:multiLevelType w:val="hybridMultilevel"/>
    <w:tmpl w:val="8286F25A"/>
    <w:lvl w:ilvl="0" w:tplc="1C98351C">
      <w:start w:val="1"/>
      <w:numFmt w:val="lowerLetter"/>
      <w:lvlText w:val="6.6.%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15:restartNumberingAfterBreak="0">
    <w:nsid w:val="30FC6898"/>
    <w:multiLevelType w:val="hybridMultilevel"/>
    <w:tmpl w:val="95288E60"/>
    <w:lvl w:ilvl="0" w:tplc="741A71B4">
      <w:start w:val="1"/>
      <w:numFmt w:val="lowerLetter"/>
      <w:lvlText w:val="6.3.%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3A0C1B39"/>
    <w:multiLevelType w:val="hybridMultilevel"/>
    <w:tmpl w:val="5A027A54"/>
    <w:lvl w:ilvl="0" w:tplc="61E4E298">
      <w:start w:val="1"/>
      <w:numFmt w:val="lowerLetter"/>
      <w:lvlText w:val="6.5.%1."/>
      <w:lvlJc w:val="center"/>
      <w:pPr>
        <w:tabs>
          <w:tab w:val="num" w:pos="1800"/>
        </w:tabs>
        <w:ind w:left="180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CC21078"/>
    <w:multiLevelType w:val="hybridMultilevel"/>
    <w:tmpl w:val="29284F28"/>
    <w:lvl w:ilvl="0" w:tplc="1CB6C4FA">
      <w:start w:val="1"/>
      <w:numFmt w:val="decimal"/>
      <w:lvlText w:val="5.%1"/>
      <w:lvlJc w:val="center"/>
      <w:pPr>
        <w:tabs>
          <w:tab w:val="num" w:pos="1080"/>
        </w:tabs>
        <w:ind w:left="1080" w:hanging="360"/>
      </w:pPr>
      <w:rPr>
        <w:rFonts w:cs="Times New Roman" w:hint="default"/>
        <w:b/>
      </w:rPr>
    </w:lvl>
    <w:lvl w:ilvl="1" w:tplc="04090003" w:tentative="1">
      <w:start w:val="1"/>
      <w:numFmt w:val="bullet"/>
      <w:lvlText w:val="o"/>
      <w:lvlJc w:val="left"/>
      <w:pPr>
        <w:ind w:left="1224" w:hanging="360"/>
      </w:pPr>
      <w:rPr>
        <w:rFonts w:ascii="Courier New" w:hAnsi="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4" w15:restartNumberingAfterBreak="0">
    <w:nsid w:val="40525097"/>
    <w:multiLevelType w:val="hybridMultilevel"/>
    <w:tmpl w:val="0C1025F4"/>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15:restartNumberingAfterBreak="0">
    <w:nsid w:val="42C83C9C"/>
    <w:multiLevelType w:val="hybridMultilevel"/>
    <w:tmpl w:val="4C2CABB8"/>
    <w:lvl w:ilvl="0" w:tplc="56CAFF1C">
      <w:start w:val="1"/>
      <w:numFmt w:val="lowerLetter"/>
      <w:lvlText w:val="6.15.%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15:restartNumberingAfterBreak="0">
    <w:nsid w:val="47AB26DA"/>
    <w:multiLevelType w:val="hybridMultilevel"/>
    <w:tmpl w:val="47CCB82A"/>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7" w15:restartNumberingAfterBreak="0">
    <w:nsid w:val="500E69B9"/>
    <w:multiLevelType w:val="hybridMultilevel"/>
    <w:tmpl w:val="4852F234"/>
    <w:lvl w:ilvl="0" w:tplc="3F507030">
      <w:start w:val="1"/>
      <w:numFmt w:val="decimal"/>
      <w:lvlText w:val="6.%1"/>
      <w:lvlJc w:val="center"/>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588B08A5"/>
    <w:multiLevelType w:val="hybridMultilevel"/>
    <w:tmpl w:val="712ACD0E"/>
    <w:lvl w:ilvl="0" w:tplc="2812A7C2">
      <w:start w:val="1"/>
      <w:numFmt w:val="lowerLetter"/>
      <w:lvlText w:val="6.12.%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5EE65713"/>
    <w:multiLevelType w:val="hybridMultilevel"/>
    <w:tmpl w:val="889C62A8"/>
    <w:lvl w:ilvl="0" w:tplc="50E007B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504" w:hanging="360"/>
      </w:pPr>
      <w:rPr>
        <w:rFonts w:ascii="Courier New" w:hAnsi="Courier New" w:hint="default"/>
      </w:rPr>
    </w:lvl>
    <w:lvl w:ilvl="2" w:tplc="04090005" w:tentative="1">
      <w:start w:val="1"/>
      <w:numFmt w:val="bullet"/>
      <w:lvlText w:val=""/>
      <w:lvlJc w:val="left"/>
      <w:pPr>
        <w:ind w:left="1224" w:hanging="360"/>
      </w:pPr>
      <w:rPr>
        <w:rFonts w:ascii="Wingdings" w:hAnsi="Wingdings" w:hint="default"/>
      </w:rPr>
    </w:lvl>
    <w:lvl w:ilvl="3" w:tplc="04090001" w:tentative="1">
      <w:start w:val="1"/>
      <w:numFmt w:val="bullet"/>
      <w:lvlText w:val=""/>
      <w:lvlJc w:val="left"/>
      <w:pPr>
        <w:ind w:left="1944" w:hanging="360"/>
      </w:pPr>
      <w:rPr>
        <w:rFonts w:ascii="Symbol" w:hAnsi="Symbol" w:hint="default"/>
      </w:rPr>
    </w:lvl>
    <w:lvl w:ilvl="4" w:tplc="04090003" w:tentative="1">
      <w:start w:val="1"/>
      <w:numFmt w:val="bullet"/>
      <w:lvlText w:val="o"/>
      <w:lvlJc w:val="left"/>
      <w:pPr>
        <w:ind w:left="2664" w:hanging="360"/>
      </w:pPr>
      <w:rPr>
        <w:rFonts w:ascii="Courier New" w:hAnsi="Courier New" w:hint="default"/>
      </w:rPr>
    </w:lvl>
    <w:lvl w:ilvl="5" w:tplc="04090005" w:tentative="1">
      <w:start w:val="1"/>
      <w:numFmt w:val="bullet"/>
      <w:lvlText w:val=""/>
      <w:lvlJc w:val="left"/>
      <w:pPr>
        <w:ind w:left="3384" w:hanging="360"/>
      </w:pPr>
      <w:rPr>
        <w:rFonts w:ascii="Wingdings" w:hAnsi="Wingdings" w:hint="default"/>
      </w:rPr>
    </w:lvl>
    <w:lvl w:ilvl="6" w:tplc="04090001" w:tentative="1">
      <w:start w:val="1"/>
      <w:numFmt w:val="bullet"/>
      <w:lvlText w:val=""/>
      <w:lvlJc w:val="left"/>
      <w:pPr>
        <w:ind w:left="4104" w:hanging="360"/>
      </w:pPr>
      <w:rPr>
        <w:rFonts w:ascii="Symbol" w:hAnsi="Symbol" w:hint="default"/>
      </w:rPr>
    </w:lvl>
    <w:lvl w:ilvl="7" w:tplc="04090003" w:tentative="1">
      <w:start w:val="1"/>
      <w:numFmt w:val="bullet"/>
      <w:lvlText w:val="o"/>
      <w:lvlJc w:val="left"/>
      <w:pPr>
        <w:ind w:left="4824" w:hanging="360"/>
      </w:pPr>
      <w:rPr>
        <w:rFonts w:ascii="Courier New" w:hAnsi="Courier New" w:hint="default"/>
      </w:rPr>
    </w:lvl>
    <w:lvl w:ilvl="8" w:tplc="04090005" w:tentative="1">
      <w:start w:val="1"/>
      <w:numFmt w:val="bullet"/>
      <w:lvlText w:val=""/>
      <w:lvlJc w:val="left"/>
      <w:pPr>
        <w:ind w:left="5544" w:hanging="360"/>
      </w:pPr>
      <w:rPr>
        <w:rFonts w:ascii="Wingdings" w:hAnsi="Wingdings" w:hint="default"/>
      </w:rPr>
    </w:lvl>
  </w:abstractNum>
  <w:abstractNum w:abstractNumId="20" w15:restartNumberingAfterBreak="0">
    <w:nsid w:val="6084791F"/>
    <w:multiLevelType w:val="hybridMultilevel"/>
    <w:tmpl w:val="F0047A48"/>
    <w:lvl w:ilvl="0" w:tplc="B6661F92">
      <w:start w:val="1"/>
      <w:numFmt w:val="lowerLetter"/>
      <w:lvlText w:val="6.10.%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15:restartNumberingAfterBreak="0">
    <w:nsid w:val="66F063CA"/>
    <w:multiLevelType w:val="hybridMultilevel"/>
    <w:tmpl w:val="1D48AF0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2" w15:restartNumberingAfterBreak="0">
    <w:nsid w:val="67266BC7"/>
    <w:multiLevelType w:val="hybridMultilevel"/>
    <w:tmpl w:val="2C4E3C24"/>
    <w:lvl w:ilvl="0" w:tplc="944CBB46">
      <w:start w:val="1"/>
      <w:numFmt w:val="lowerLetter"/>
      <w:lvlText w:val="6.9.%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15:restartNumberingAfterBreak="0">
    <w:nsid w:val="674E710F"/>
    <w:multiLevelType w:val="hybridMultilevel"/>
    <w:tmpl w:val="29D2BB86"/>
    <w:lvl w:ilvl="0" w:tplc="7ED2CA72">
      <w:start w:val="1"/>
      <w:numFmt w:val="lowerLetter"/>
      <w:lvlText w:val="6.8.%1."/>
      <w:lvlJc w:val="center"/>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4" w15:restartNumberingAfterBreak="0">
    <w:nsid w:val="6DDB4924"/>
    <w:multiLevelType w:val="hybridMultilevel"/>
    <w:tmpl w:val="4544B3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E404DED"/>
    <w:multiLevelType w:val="hybridMultilevel"/>
    <w:tmpl w:val="0D443E4E"/>
    <w:lvl w:ilvl="0" w:tplc="88967DC4">
      <w:start w:val="1"/>
      <w:numFmt w:val="lowerLetter"/>
      <w:lvlText w:val="6.1.%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15:restartNumberingAfterBreak="0">
    <w:nsid w:val="6F1E29E4"/>
    <w:multiLevelType w:val="hybridMultilevel"/>
    <w:tmpl w:val="769CC5E6"/>
    <w:lvl w:ilvl="0" w:tplc="B290CC40">
      <w:start w:val="1"/>
      <w:numFmt w:val="lowerLetter"/>
      <w:lvlText w:val="6.11.%1."/>
      <w:lvlJc w:val="center"/>
      <w:pPr>
        <w:tabs>
          <w:tab w:val="num" w:pos="1800"/>
        </w:tabs>
        <w:ind w:left="1800" w:hanging="360"/>
      </w:pPr>
      <w:rPr>
        <w:rFonts w:cs="Times New Roman" w:hint="default"/>
        <w:b w:val="0"/>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num w:numId="1" w16cid:durableId="127672984">
    <w:abstractNumId w:val="8"/>
  </w:num>
  <w:num w:numId="2" w16cid:durableId="387725603">
    <w:abstractNumId w:val="5"/>
  </w:num>
  <w:num w:numId="3" w16cid:durableId="1425691422">
    <w:abstractNumId w:val="17"/>
  </w:num>
  <w:num w:numId="4" w16cid:durableId="450127267">
    <w:abstractNumId w:val="25"/>
  </w:num>
  <w:num w:numId="5" w16cid:durableId="351883884">
    <w:abstractNumId w:val="3"/>
  </w:num>
  <w:num w:numId="6" w16cid:durableId="1872179721">
    <w:abstractNumId w:val="13"/>
  </w:num>
  <w:num w:numId="7" w16cid:durableId="2037924117">
    <w:abstractNumId w:val="24"/>
  </w:num>
  <w:num w:numId="8" w16cid:durableId="416053432">
    <w:abstractNumId w:val="7"/>
  </w:num>
  <w:num w:numId="9" w16cid:durableId="1763798596">
    <w:abstractNumId w:val="11"/>
  </w:num>
  <w:num w:numId="10" w16cid:durableId="1374191087">
    <w:abstractNumId w:val="0"/>
  </w:num>
  <w:num w:numId="11" w16cid:durableId="771703339">
    <w:abstractNumId w:val="12"/>
  </w:num>
  <w:num w:numId="12" w16cid:durableId="1064061971">
    <w:abstractNumId w:val="2"/>
  </w:num>
  <w:num w:numId="13" w16cid:durableId="940647657">
    <w:abstractNumId w:val="10"/>
  </w:num>
  <w:num w:numId="14" w16cid:durableId="474180571">
    <w:abstractNumId w:val="4"/>
  </w:num>
  <w:num w:numId="15" w16cid:durableId="273364271">
    <w:abstractNumId w:val="22"/>
  </w:num>
  <w:num w:numId="16" w16cid:durableId="1359550743">
    <w:abstractNumId w:val="20"/>
  </w:num>
  <w:num w:numId="17" w16cid:durableId="1270433084">
    <w:abstractNumId w:val="26"/>
  </w:num>
  <w:num w:numId="18" w16cid:durableId="805121243">
    <w:abstractNumId w:val="18"/>
  </w:num>
  <w:num w:numId="19" w16cid:durableId="1902060860">
    <w:abstractNumId w:val="14"/>
  </w:num>
  <w:num w:numId="20" w16cid:durableId="1576863562">
    <w:abstractNumId w:val="16"/>
  </w:num>
  <w:num w:numId="21" w16cid:durableId="1662466739">
    <w:abstractNumId w:val="6"/>
  </w:num>
  <w:num w:numId="22" w16cid:durableId="595015543">
    <w:abstractNumId w:val="21"/>
  </w:num>
  <w:num w:numId="23" w16cid:durableId="1229457532">
    <w:abstractNumId w:val="1"/>
  </w:num>
  <w:num w:numId="24" w16cid:durableId="1526867213">
    <w:abstractNumId w:val="15"/>
  </w:num>
  <w:num w:numId="25" w16cid:durableId="1415316596">
    <w:abstractNumId w:val="19"/>
  </w:num>
  <w:num w:numId="26" w16cid:durableId="489947146">
    <w:abstractNumId w:val="23"/>
  </w:num>
  <w:num w:numId="27" w16cid:durableId="1134761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28"/>
    <w:rsid w:val="000A02AA"/>
    <w:rsid w:val="0038461F"/>
    <w:rsid w:val="003E5377"/>
    <w:rsid w:val="005954BF"/>
    <w:rsid w:val="00624F20"/>
    <w:rsid w:val="00747C28"/>
    <w:rsid w:val="007C51F1"/>
    <w:rsid w:val="00A47BE6"/>
    <w:rsid w:val="00A67A0E"/>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2133E"/>
  <w15:chartTrackingRefBased/>
  <w15:docId w15:val="{738D16C6-F0A6-4E0A-A4F3-505C6B88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C28"/>
    <w:rPr>
      <w:rFonts w:eastAsiaTheme="majorEastAsia" w:cstheme="majorBidi"/>
      <w:color w:val="272727" w:themeColor="text1" w:themeTint="D8"/>
    </w:rPr>
  </w:style>
  <w:style w:type="paragraph" w:styleId="Title">
    <w:name w:val="Title"/>
    <w:basedOn w:val="Normal"/>
    <w:next w:val="Normal"/>
    <w:link w:val="TitleChar"/>
    <w:uiPriority w:val="10"/>
    <w:qFormat/>
    <w:rsid w:val="00747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C28"/>
    <w:pPr>
      <w:spacing w:before="160"/>
      <w:jc w:val="center"/>
    </w:pPr>
    <w:rPr>
      <w:i/>
      <w:iCs/>
      <w:color w:val="404040" w:themeColor="text1" w:themeTint="BF"/>
    </w:rPr>
  </w:style>
  <w:style w:type="character" w:customStyle="1" w:styleId="QuoteChar">
    <w:name w:val="Quote Char"/>
    <w:basedOn w:val="DefaultParagraphFont"/>
    <w:link w:val="Quote"/>
    <w:uiPriority w:val="29"/>
    <w:rsid w:val="00747C28"/>
    <w:rPr>
      <w:i/>
      <w:iCs/>
      <w:color w:val="404040" w:themeColor="text1" w:themeTint="BF"/>
    </w:rPr>
  </w:style>
  <w:style w:type="paragraph" w:styleId="ListParagraph">
    <w:name w:val="List Paragraph"/>
    <w:basedOn w:val="Normal"/>
    <w:uiPriority w:val="34"/>
    <w:qFormat/>
    <w:rsid w:val="00747C28"/>
    <w:pPr>
      <w:ind w:left="720"/>
      <w:contextualSpacing/>
    </w:pPr>
  </w:style>
  <w:style w:type="character" w:styleId="IntenseEmphasis">
    <w:name w:val="Intense Emphasis"/>
    <w:basedOn w:val="DefaultParagraphFont"/>
    <w:uiPriority w:val="21"/>
    <w:qFormat/>
    <w:rsid w:val="00747C28"/>
    <w:rPr>
      <w:i/>
      <w:iCs/>
      <w:color w:val="0F4761" w:themeColor="accent1" w:themeShade="BF"/>
    </w:rPr>
  </w:style>
  <w:style w:type="paragraph" w:styleId="IntenseQuote">
    <w:name w:val="Intense Quote"/>
    <w:basedOn w:val="Normal"/>
    <w:next w:val="Normal"/>
    <w:link w:val="IntenseQuoteChar"/>
    <w:uiPriority w:val="30"/>
    <w:qFormat/>
    <w:rsid w:val="00747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C28"/>
    <w:rPr>
      <w:i/>
      <w:iCs/>
      <w:color w:val="0F4761" w:themeColor="accent1" w:themeShade="BF"/>
    </w:rPr>
  </w:style>
  <w:style w:type="character" w:styleId="IntenseReference">
    <w:name w:val="Intense Reference"/>
    <w:basedOn w:val="DefaultParagraphFont"/>
    <w:uiPriority w:val="32"/>
    <w:qFormat/>
    <w:rsid w:val="00747C28"/>
    <w:rPr>
      <w:b/>
      <w:bCs/>
      <w:smallCaps/>
      <w:color w:val="0F4761" w:themeColor="accent1" w:themeShade="BF"/>
      <w:spacing w:val="5"/>
    </w:rPr>
  </w:style>
  <w:style w:type="paragraph" w:styleId="Header">
    <w:name w:val="header"/>
    <w:basedOn w:val="Normal"/>
    <w:link w:val="HeaderChar"/>
    <w:rsid w:val="00747C28"/>
    <w:pPr>
      <w:tabs>
        <w:tab w:val="center" w:pos="4680"/>
        <w:tab w:val="right" w:pos="9360"/>
      </w:tabs>
      <w:spacing w:after="0" w:line="240" w:lineRule="auto"/>
    </w:pPr>
    <w:rPr>
      <w:rFonts w:ascii="Myriad Pro" w:eastAsia="Times New Roman" w:hAnsi="Myriad Pro" w:cs="Times New Roman"/>
      <w:snapToGrid w:val="0"/>
      <w:kern w:val="0"/>
      <w:lang w:val="en-GB" w:eastAsia="es-ES"/>
      <w14:ligatures w14:val="none"/>
    </w:rPr>
  </w:style>
  <w:style w:type="character" w:customStyle="1" w:styleId="HeaderChar">
    <w:name w:val="Header Char"/>
    <w:basedOn w:val="DefaultParagraphFont"/>
    <w:link w:val="Header"/>
    <w:rsid w:val="00747C28"/>
    <w:rPr>
      <w:rFonts w:ascii="Myriad Pro" w:eastAsia="Times New Roman" w:hAnsi="Myriad Pro" w:cs="Times New Roman"/>
      <w:snapToGrid w:val="0"/>
      <w:kern w:val="0"/>
      <w:lang w:val="en-GB" w:eastAsia="es-ES"/>
      <w14:ligatures w14:val="none"/>
    </w:rPr>
  </w:style>
  <w:style w:type="paragraph" w:styleId="Footer">
    <w:name w:val="footer"/>
    <w:basedOn w:val="Normal"/>
    <w:link w:val="FooterChar"/>
    <w:rsid w:val="00747C28"/>
    <w:pPr>
      <w:tabs>
        <w:tab w:val="center" w:pos="4680"/>
        <w:tab w:val="right" w:pos="9360"/>
      </w:tabs>
      <w:spacing w:after="0" w:line="240" w:lineRule="auto"/>
    </w:pPr>
    <w:rPr>
      <w:rFonts w:ascii="Myriad Pro" w:eastAsia="Times New Roman" w:hAnsi="Myriad Pro" w:cs="Times New Roman"/>
      <w:snapToGrid w:val="0"/>
      <w:kern w:val="0"/>
      <w:lang w:val="en-GB" w:eastAsia="es-ES"/>
      <w14:ligatures w14:val="none"/>
    </w:rPr>
  </w:style>
  <w:style w:type="character" w:customStyle="1" w:styleId="FooterChar">
    <w:name w:val="Footer Char"/>
    <w:basedOn w:val="DefaultParagraphFont"/>
    <w:link w:val="Footer"/>
    <w:rsid w:val="00747C28"/>
    <w:rPr>
      <w:rFonts w:ascii="Myriad Pro" w:eastAsia="Times New Roman" w:hAnsi="Myriad Pro" w:cs="Times New Roman"/>
      <w:snapToGrid w:val="0"/>
      <w:kern w:val="0"/>
      <w:lang w:val="en-GB" w:eastAsia="es-ES"/>
      <w14:ligatures w14:val="none"/>
    </w:rPr>
  </w:style>
  <w:style w:type="paragraph" w:styleId="Revision">
    <w:name w:val="Revision"/>
    <w:hidden/>
    <w:uiPriority w:val="99"/>
    <w:semiHidden/>
    <w:rsid w:val="00747C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easury.cash.management@und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3368</Words>
  <Characters>19201</Characters>
  <Application>Microsoft Office Word</Application>
  <DocSecurity>0</DocSecurity>
  <Lines>160</Lines>
  <Paragraphs>45</Paragraphs>
  <ScaleCrop>false</ScaleCrop>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2026-05-22T07:35:00Z</dcterms:created>
  <dcterms:modified xsi:type="dcterms:W3CDTF">2026-06-05T15:25:00Z</dcterms:modified>
</cp:coreProperties>
</file>