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3ACF" w14:textId="36363C73" w:rsidR="00AA660F" w:rsidRDefault="00AA660F" w:rsidP="05FD380F">
      <w:pPr>
        <w:rPr>
          <w:sz w:val="40"/>
          <w:szCs w:val="40"/>
        </w:rPr>
      </w:pPr>
    </w:p>
    <w:p w14:paraId="4F465774" w14:textId="4743177E" w:rsidR="660E15BE" w:rsidRDefault="660E15BE" w:rsidP="660E15BE">
      <w:pPr>
        <w:rPr>
          <w:sz w:val="40"/>
          <w:szCs w:val="40"/>
        </w:rPr>
      </w:pPr>
    </w:p>
    <w:p w14:paraId="2528D9C8" w14:textId="77777777" w:rsidR="00A66E0C" w:rsidRDefault="00A66E0C" w:rsidP="00A66E0C">
      <w:pPr>
        <w:rPr>
          <w:rFonts w:ascii="Times New Roman" w:hAnsi="Times New Roman" w:cs="Times New Roman"/>
          <w:sz w:val="36"/>
          <w:szCs w:val="36"/>
        </w:rPr>
      </w:pPr>
    </w:p>
    <w:p w14:paraId="4A83F61F" w14:textId="523E4EF0" w:rsidR="00A66E0C" w:rsidRPr="00756410" w:rsidRDefault="00A66E0C" w:rsidP="363CA695">
      <w:pPr>
        <w:rPr>
          <w:sz w:val="36"/>
          <w:szCs w:val="36"/>
          <w:lang w:val="es-419"/>
        </w:rPr>
      </w:pPr>
      <w:r w:rsidRPr="00756410">
        <w:rPr>
          <w:sz w:val="36"/>
          <w:szCs w:val="36"/>
          <w:lang w:val="es-419"/>
        </w:rPr>
        <w:t>Programa de las Naciones Unidas para el Desarrollo</w:t>
      </w:r>
    </w:p>
    <w:p w14:paraId="4385F0CF" w14:textId="77777777" w:rsidR="00A66E0C" w:rsidRPr="00756410" w:rsidRDefault="00A66E0C" w:rsidP="00A66E0C">
      <w:pPr>
        <w:rPr>
          <w:rFonts w:cstheme="minorHAnsi"/>
          <w:lang w:val="es-419"/>
        </w:rPr>
      </w:pPr>
    </w:p>
    <w:p w14:paraId="0473FE1C" w14:textId="77777777" w:rsidR="00A66E0C" w:rsidRPr="00756410" w:rsidRDefault="00A66E0C" w:rsidP="00A66E0C">
      <w:pPr>
        <w:rPr>
          <w:rFonts w:cstheme="minorHAnsi"/>
          <w:lang w:val="es-419"/>
        </w:rPr>
      </w:pPr>
    </w:p>
    <w:p w14:paraId="70E82188" w14:textId="77777777" w:rsidR="00A66E0C" w:rsidRPr="00756410" w:rsidRDefault="00A66E0C" w:rsidP="00A66E0C">
      <w:pPr>
        <w:rPr>
          <w:rFonts w:cstheme="minorHAnsi"/>
          <w:lang w:val="es-419"/>
        </w:rPr>
      </w:pPr>
    </w:p>
    <w:p w14:paraId="145B4270" w14:textId="77777777" w:rsidR="00A66E0C" w:rsidRPr="00756410" w:rsidRDefault="00A66E0C" w:rsidP="00A66E0C">
      <w:pPr>
        <w:rPr>
          <w:rFonts w:cstheme="minorHAnsi"/>
          <w:lang w:val="es-419"/>
        </w:rPr>
      </w:pPr>
    </w:p>
    <w:p w14:paraId="0C10890C" w14:textId="77777777" w:rsidR="00A66E0C" w:rsidRPr="00756410" w:rsidRDefault="00A66E0C" w:rsidP="00A66E0C">
      <w:pPr>
        <w:rPr>
          <w:rFonts w:cstheme="minorHAnsi"/>
          <w:lang w:val="es-419"/>
        </w:rPr>
      </w:pPr>
    </w:p>
    <w:p w14:paraId="71665A56" w14:textId="77777777" w:rsidR="00A66E0C" w:rsidRPr="00756410" w:rsidRDefault="00A66E0C" w:rsidP="00A66E0C">
      <w:pPr>
        <w:rPr>
          <w:rFonts w:cstheme="minorHAnsi"/>
          <w:lang w:val="es-419"/>
        </w:rPr>
      </w:pPr>
    </w:p>
    <w:p w14:paraId="7EA4924B" w14:textId="3A460143" w:rsidR="00A66E0C" w:rsidRPr="00756410" w:rsidRDefault="2D45E3D8" w:rsidP="00A66E0C">
      <w:pPr>
        <w:rPr>
          <w:sz w:val="40"/>
          <w:szCs w:val="40"/>
          <w:lang w:val="es-419"/>
        </w:rPr>
      </w:pPr>
      <w:r w:rsidRPr="00756410">
        <w:rPr>
          <w:sz w:val="40"/>
          <w:szCs w:val="40"/>
          <w:lang w:val="es-419"/>
        </w:rPr>
        <w:t xml:space="preserve">Guía </w:t>
      </w:r>
      <w:r w:rsidR="423EAC77" w:rsidRPr="1C19464E">
        <w:rPr>
          <w:sz w:val="40"/>
          <w:szCs w:val="40"/>
          <w:lang w:val="es-419"/>
        </w:rPr>
        <w:t xml:space="preserve">Operativa </w:t>
      </w:r>
      <w:r w:rsidRPr="00756410">
        <w:rPr>
          <w:sz w:val="40"/>
          <w:szCs w:val="40"/>
          <w:lang w:val="es-419"/>
        </w:rPr>
        <w:t>del Marco de Control Interno del PNUD</w:t>
      </w:r>
    </w:p>
    <w:p w14:paraId="0A8D4D99" w14:textId="77777777" w:rsidR="00A66E0C" w:rsidRPr="00756410" w:rsidRDefault="00A66E0C" w:rsidP="00A66E0C">
      <w:pPr>
        <w:rPr>
          <w:rFonts w:cstheme="minorHAnsi"/>
          <w:sz w:val="40"/>
          <w:szCs w:val="40"/>
          <w:lang w:val="es-419"/>
        </w:rPr>
      </w:pPr>
    </w:p>
    <w:p w14:paraId="69E68DEB" w14:textId="77777777" w:rsidR="00A66E0C" w:rsidRPr="00756410" w:rsidRDefault="00A66E0C" w:rsidP="00A66E0C">
      <w:pPr>
        <w:rPr>
          <w:rFonts w:cstheme="minorHAnsi"/>
          <w:sz w:val="40"/>
          <w:szCs w:val="40"/>
          <w:lang w:val="es-419"/>
        </w:rPr>
      </w:pPr>
    </w:p>
    <w:p w14:paraId="4CDF5812" w14:textId="2AAB2C47" w:rsidR="00A66E0C" w:rsidRPr="00756410" w:rsidRDefault="088892B4" w:rsidP="660E15BE">
      <w:pPr>
        <w:spacing w:after="0"/>
        <w:rPr>
          <w:sz w:val="24"/>
          <w:szCs w:val="24"/>
          <w:lang w:val="es-419"/>
        </w:rPr>
      </w:pPr>
      <w:r w:rsidRPr="1C19464E">
        <w:rPr>
          <w:sz w:val="24"/>
          <w:szCs w:val="24"/>
          <w:lang w:val="es-419"/>
        </w:rPr>
        <w:t xml:space="preserve">Buro </w:t>
      </w:r>
      <w:r w:rsidR="2D45E3D8" w:rsidRPr="00756410">
        <w:rPr>
          <w:sz w:val="24"/>
          <w:szCs w:val="24"/>
          <w:lang w:val="es-419"/>
        </w:rPr>
        <w:t>de Servicios de Gestión</w:t>
      </w:r>
    </w:p>
    <w:p w14:paraId="587786C2" w14:textId="7EA1B868" w:rsidR="660E15BE" w:rsidRPr="00756410" w:rsidRDefault="660E15BE" w:rsidP="660E15BE">
      <w:pPr>
        <w:spacing w:after="0"/>
        <w:rPr>
          <w:sz w:val="24"/>
          <w:szCs w:val="24"/>
          <w:lang w:val="es-419"/>
        </w:rPr>
      </w:pPr>
    </w:p>
    <w:p w14:paraId="093F1E56" w14:textId="007AE498" w:rsidR="00A66E0C" w:rsidRPr="00756410" w:rsidRDefault="00A66E0C" w:rsidP="00A66E0C">
      <w:pPr>
        <w:rPr>
          <w:sz w:val="24"/>
          <w:szCs w:val="24"/>
          <w:lang w:val="es-419"/>
        </w:rPr>
      </w:pPr>
      <w:r w:rsidRPr="00756410">
        <w:rPr>
          <w:sz w:val="24"/>
          <w:szCs w:val="24"/>
          <w:lang w:val="es-419"/>
        </w:rPr>
        <w:t>Oficina de Gestión de Recursos Financieros</w:t>
      </w:r>
    </w:p>
    <w:p w14:paraId="7ED0E07A" w14:textId="77777777" w:rsidR="00A66E0C" w:rsidRPr="00756410" w:rsidRDefault="00A66E0C" w:rsidP="00A66E0C">
      <w:pPr>
        <w:rPr>
          <w:lang w:val="es-419"/>
        </w:rPr>
      </w:pPr>
    </w:p>
    <w:p w14:paraId="7FA54469" w14:textId="77777777" w:rsidR="00A66E0C" w:rsidRPr="00756410" w:rsidRDefault="00A66E0C" w:rsidP="00A66E0C">
      <w:pPr>
        <w:rPr>
          <w:lang w:val="es-419"/>
        </w:rPr>
      </w:pPr>
    </w:p>
    <w:p w14:paraId="2D245DA4" w14:textId="77777777" w:rsidR="00A66E0C" w:rsidRPr="00756410" w:rsidRDefault="00A66E0C" w:rsidP="00A66E0C">
      <w:pPr>
        <w:rPr>
          <w:lang w:val="es-419"/>
        </w:rPr>
      </w:pPr>
    </w:p>
    <w:p w14:paraId="2EC6E156" w14:textId="77777777" w:rsidR="00A66E0C" w:rsidRPr="00756410" w:rsidRDefault="00A66E0C" w:rsidP="00A66E0C">
      <w:pPr>
        <w:rPr>
          <w:lang w:val="es-419"/>
        </w:rPr>
      </w:pPr>
    </w:p>
    <w:p w14:paraId="335C420F" w14:textId="77777777" w:rsidR="00A66E0C" w:rsidRPr="00756410" w:rsidRDefault="00A66E0C" w:rsidP="00A66E0C">
      <w:pPr>
        <w:rPr>
          <w:lang w:val="es-419"/>
        </w:rPr>
      </w:pPr>
    </w:p>
    <w:p w14:paraId="2F42935D" w14:textId="77777777" w:rsidR="00A66E0C" w:rsidRPr="00756410" w:rsidRDefault="00A66E0C" w:rsidP="00A66E0C">
      <w:pPr>
        <w:rPr>
          <w:lang w:val="es-419"/>
        </w:rPr>
      </w:pPr>
    </w:p>
    <w:p w14:paraId="35261EDA" w14:textId="2F474022" w:rsidR="660E15BE" w:rsidRPr="00756410" w:rsidRDefault="660E15BE">
      <w:pPr>
        <w:rPr>
          <w:lang w:val="es-419"/>
        </w:rPr>
        <w:sectPr w:rsidR="660E15BE" w:rsidRPr="00756410" w:rsidSect="00A66E0C">
          <w:headerReference w:type="default" r:id="rId11"/>
          <w:footerReference w:type="default" r:id="rId12"/>
          <w:pgSz w:w="12240" w:h="15840"/>
          <w:pgMar w:top="660" w:right="700" w:bottom="1600" w:left="760" w:header="182" w:footer="1403" w:gutter="0"/>
          <w:pgNumType w:start="1"/>
          <w:cols w:space="720"/>
        </w:sectPr>
      </w:pPr>
    </w:p>
    <w:sdt>
      <w:sdtPr>
        <w:rPr>
          <w:rFonts w:asciiTheme="minorHAnsi" w:eastAsiaTheme="minorEastAsia" w:hAnsiTheme="minorHAnsi" w:cstheme="minorBidi"/>
          <w:color w:val="auto"/>
          <w:kern w:val="2"/>
          <w:sz w:val="21"/>
          <w:szCs w:val="21"/>
          <w14:ligatures w14:val="standardContextual"/>
        </w:rPr>
        <w:id w:val="-1620060366"/>
        <w:docPartObj>
          <w:docPartGallery w:val="Table of Contents"/>
          <w:docPartUnique/>
        </w:docPartObj>
      </w:sdtPr>
      <w:sdtEndPr>
        <w:rPr>
          <w:b/>
          <w:bCs/>
          <w:noProof/>
          <w:sz w:val="8"/>
          <w:szCs w:val="8"/>
        </w:rPr>
      </w:sdtEndPr>
      <w:sdtContent>
        <w:p w14:paraId="2D3AC2BF" w14:textId="34C6F52B" w:rsidR="00B56C73" w:rsidRPr="006112C3" w:rsidRDefault="00B56C73" w:rsidP="0077377D">
          <w:pPr>
            <w:pStyle w:val="TOCHeading"/>
            <w:spacing w:before="0"/>
            <w:rPr>
              <w:sz w:val="21"/>
              <w:szCs w:val="21"/>
            </w:rPr>
          </w:pPr>
          <w:r w:rsidRPr="006112C3">
            <w:rPr>
              <w:sz w:val="21"/>
              <w:szCs w:val="21"/>
            </w:rPr>
            <w:t>Tabla de contenidos</w:t>
          </w:r>
        </w:p>
        <w:p w14:paraId="0DEB667B" w14:textId="7ED76707" w:rsidR="002B019C" w:rsidRDefault="00B56C73" w:rsidP="002B019C">
          <w:pPr>
            <w:pStyle w:val="TOC1"/>
            <w:rPr>
              <w:rFonts w:eastAsiaTheme="minorEastAsia"/>
              <w:noProof/>
              <w:sz w:val="24"/>
              <w:szCs w:val="24"/>
            </w:rPr>
          </w:pPr>
          <w:r w:rsidRPr="006112C3">
            <w:rPr>
              <w:sz w:val="21"/>
              <w:szCs w:val="21"/>
            </w:rPr>
            <w:fldChar w:fldCharType="begin"/>
          </w:r>
          <w:r w:rsidRPr="006112C3">
            <w:rPr>
              <w:sz w:val="21"/>
              <w:szCs w:val="21"/>
            </w:rPr>
            <w:instrText xml:space="preserve"> TOC \o "1-3" \h \z \u </w:instrText>
          </w:r>
          <w:r w:rsidRPr="006112C3">
            <w:rPr>
              <w:sz w:val="21"/>
              <w:szCs w:val="21"/>
            </w:rPr>
            <w:fldChar w:fldCharType="separate"/>
          </w:r>
          <w:hyperlink w:anchor="_Toc210052732" w:history="1">
            <w:r w:rsidR="002B019C" w:rsidRPr="007F40EB">
              <w:rPr>
                <w:rStyle w:val="Hyperlink"/>
                <w:noProof/>
              </w:rPr>
              <w:t>1</w:t>
            </w:r>
            <w:r w:rsidR="002B019C">
              <w:rPr>
                <w:rFonts w:eastAsiaTheme="minorEastAsia"/>
                <w:noProof/>
                <w:sz w:val="24"/>
                <w:szCs w:val="24"/>
              </w:rPr>
              <w:tab/>
            </w:r>
            <w:r w:rsidR="002B019C" w:rsidRPr="007F40EB">
              <w:rPr>
                <w:rStyle w:val="Hyperlink"/>
                <w:noProof/>
              </w:rPr>
              <w:t>Introducción</w:t>
            </w:r>
            <w:r w:rsidR="002B019C">
              <w:rPr>
                <w:noProof/>
                <w:webHidden/>
              </w:rPr>
              <w:tab/>
            </w:r>
            <w:r w:rsidR="002B019C">
              <w:rPr>
                <w:noProof/>
                <w:webHidden/>
              </w:rPr>
              <w:fldChar w:fldCharType="begin"/>
            </w:r>
            <w:r w:rsidR="002B019C">
              <w:rPr>
                <w:noProof/>
                <w:webHidden/>
              </w:rPr>
              <w:instrText xml:space="preserve"> PAGEREF _Toc210052732 \h </w:instrText>
            </w:r>
            <w:r w:rsidR="002B019C">
              <w:rPr>
                <w:noProof/>
                <w:webHidden/>
              </w:rPr>
            </w:r>
            <w:r w:rsidR="002B019C">
              <w:rPr>
                <w:noProof/>
                <w:webHidden/>
              </w:rPr>
              <w:fldChar w:fldCharType="separate"/>
            </w:r>
            <w:r w:rsidR="000B6A13">
              <w:rPr>
                <w:noProof/>
                <w:webHidden/>
              </w:rPr>
              <w:t>4</w:t>
            </w:r>
            <w:r w:rsidR="002B019C">
              <w:rPr>
                <w:noProof/>
                <w:webHidden/>
              </w:rPr>
              <w:fldChar w:fldCharType="end"/>
            </w:r>
          </w:hyperlink>
        </w:p>
        <w:p w14:paraId="1AC7266C" w14:textId="51FC8BE4" w:rsidR="002B019C" w:rsidRDefault="002B019C">
          <w:pPr>
            <w:pStyle w:val="TOC2"/>
            <w:tabs>
              <w:tab w:val="left" w:pos="960"/>
              <w:tab w:val="right" w:leader="dot" w:pos="9926"/>
            </w:tabs>
            <w:rPr>
              <w:rFonts w:eastAsiaTheme="minorEastAsia"/>
              <w:noProof/>
              <w:sz w:val="24"/>
              <w:szCs w:val="24"/>
            </w:rPr>
          </w:pPr>
          <w:hyperlink w:anchor="_Toc210052733" w:history="1">
            <w:r w:rsidRPr="007F40EB">
              <w:rPr>
                <w:rStyle w:val="Hyperlink"/>
                <w:noProof/>
              </w:rPr>
              <w:t>1.1</w:t>
            </w:r>
            <w:r>
              <w:rPr>
                <w:rFonts w:eastAsiaTheme="minorEastAsia"/>
                <w:noProof/>
                <w:sz w:val="24"/>
                <w:szCs w:val="24"/>
              </w:rPr>
              <w:tab/>
            </w:r>
            <w:r w:rsidRPr="007F40EB">
              <w:rPr>
                <w:rStyle w:val="Hyperlink"/>
                <w:noProof/>
              </w:rPr>
              <w:t>¿Qué es el control interno y por qué es importante?</w:t>
            </w:r>
            <w:r>
              <w:rPr>
                <w:noProof/>
                <w:webHidden/>
              </w:rPr>
              <w:tab/>
            </w:r>
            <w:r>
              <w:rPr>
                <w:noProof/>
                <w:webHidden/>
              </w:rPr>
              <w:fldChar w:fldCharType="begin"/>
            </w:r>
            <w:r>
              <w:rPr>
                <w:noProof/>
                <w:webHidden/>
              </w:rPr>
              <w:instrText xml:space="preserve"> PAGEREF _Toc210052733 \h </w:instrText>
            </w:r>
            <w:r>
              <w:rPr>
                <w:noProof/>
                <w:webHidden/>
              </w:rPr>
            </w:r>
            <w:r>
              <w:rPr>
                <w:noProof/>
                <w:webHidden/>
              </w:rPr>
              <w:fldChar w:fldCharType="separate"/>
            </w:r>
            <w:r w:rsidR="000B6A13">
              <w:rPr>
                <w:noProof/>
                <w:webHidden/>
              </w:rPr>
              <w:t>4</w:t>
            </w:r>
            <w:r>
              <w:rPr>
                <w:noProof/>
                <w:webHidden/>
              </w:rPr>
              <w:fldChar w:fldCharType="end"/>
            </w:r>
          </w:hyperlink>
        </w:p>
        <w:p w14:paraId="6519B760" w14:textId="3D56BB0C" w:rsidR="002B019C" w:rsidRDefault="002B019C">
          <w:pPr>
            <w:pStyle w:val="TOC2"/>
            <w:tabs>
              <w:tab w:val="left" w:pos="960"/>
              <w:tab w:val="right" w:leader="dot" w:pos="9926"/>
            </w:tabs>
            <w:rPr>
              <w:rFonts w:eastAsiaTheme="minorEastAsia"/>
              <w:noProof/>
              <w:sz w:val="24"/>
              <w:szCs w:val="24"/>
            </w:rPr>
          </w:pPr>
          <w:hyperlink w:anchor="_Toc210052734" w:history="1">
            <w:r w:rsidRPr="007F40EB">
              <w:rPr>
                <w:rStyle w:val="Hyperlink"/>
                <w:noProof/>
              </w:rPr>
              <w:t>1.2</w:t>
            </w:r>
            <w:r>
              <w:rPr>
                <w:rFonts w:eastAsiaTheme="minorEastAsia"/>
                <w:noProof/>
                <w:sz w:val="24"/>
                <w:szCs w:val="24"/>
              </w:rPr>
              <w:tab/>
            </w:r>
            <w:r w:rsidRPr="007F40EB">
              <w:rPr>
                <w:rStyle w:val="Hyperlink"/>
                <w:noProof/>
              </w:rPr>
              <w:t>¿Cómo aplica el PNUD el control interno?</w:t>
            </w:r>
            <w:r>
              <w:rPr>
                <w:noProof/>
                <w:webHidden/>
              </w:rPr>
              <w:tab/>
            </w:r>
            <w:r>
              <w:rPr>
                <w:noProof/>
                <w:webHidden/>
              </w:rPr>
              <w:fldChar w:fldCharType="begin"/>
            </w:r>
            <w:r>
              <w:rPr>
                <w:noProof/>
                <w:webHidden/>
              </w:rPr>
              <w:instrText xml:space="preserve"> PAGEREF _Toc210052734 \h </w:instrText>
            </w:r>
            <w:r>
              <w:rPr>
                <w:noProof/>
                <w:webHidden/>
              </w:rPr>
            </w:r>
            <w:r>
              <w:rPr>
                <w:noProof/>
                <w:webHidden/>
              </w:rPr>
              <w:fldChar w:fldCharType="separate"/>
            </w:r>
            <w:r w:rsidR="000B6A13">
              <w:rPr>
                <w:noProof/>
                <w:webHidden/>
              </w:rPr>
              <w:t>4</w:t>
            </w:r>
            <w:r>
              <w:rPr>
                <w:noProof/>
                <w:webHidden/>
              </w:rPr>
              <w:fldChar w:fldCharType="end"/>
            </w:r>
          </w:hyperlink>
        </w:p>
        <w:p w14:paraId="269CDC48" w14:textId="2E7D58CC" w:rsidR="002B019C" w:rsidRDefault="002B019C">
          <w:pPr>
            <w:pStyle w:val="TOC2"/>
            <w:tabs>
              <w:tab w:val="left" w:pos="960"/>
              <w:tab w:val="right" w:leader="dot" w:pos="9926"/>
            </w:tabs>
            <w:rPr>
              <w:rFonts w:eastAsiaTheme="minorEastAsia"/>
              <w:noProof/>
              <w:sz w:val="24"/>
              <w:szCs w:val="24"/>
            </w:rPr>
          </w:pPr>
          <w:hyperlink w:anchor="_Toc210052735" w:history="1">
            <w:r w:rsidRPr="007F40EB">
              <w:rPr>
                <w:rStyle w:val="Hyperlink"/>
                <w:noProof/>
              </w:rPr>
              <w:t>1.3</w:t>
            </w:r>
            <w:r>
              <w:rPr>
                <w:rFonts w:eastAsiaTheme="minorEastAsia"/>
                <w:noProof/>
                <w:sz w:val="24"/>
                <w:szCs w:val="24"/>
              </w:rPr>
              <w:tab/>
            </w:r>
            <w:r w:rsidRPr="007F40EB">
              <w:rPr>
                <w:rStyle w:val="Hyperlink"/>
                <w:noProof/>
              </w:rPr>
              <w:t>¿Quién implementa el control interno dentro del PNUD?</w:t>
            </w:r>
            <w:r>
              <w:rPr>
                <w:noProof/>
                <w:webHidden/>
              </w:rPr>
              <w:tab/>
            </w:r>
            <w:r>
              <w:rPr>
                <w:noProof/>
                <w:webHidden/>
              </w:rPr>
              <w:fldChar w:fldCharType="begin"/>
            </w:r>
            <w:r>
              <w:rPr>
                <w:noProof/>
                <w:webHidden/>
              </w:rPr>
              <w:instrText xml:space="preserve"> PAGEREF _Toc210052735 \h </w:instrText>
            </w:r>
            <w:r>
              <w:rPr>
                <w:noProof/>
                <w:webHidden/>
              </w:rPr>
            </w:r>
            <w:r>
              <w:rPr>
                <w:noProof/>
                <w:webHidden/>
              </w:rPr>
              <w:fldChar w:fldCharType="separate"/>
            </w:r>
            <w:r w:rsidR="000B6A13">
              <w:rPr>
                <w:noProof/>
                <w:webHidden/>
              </w:rPr>
              <w:t>5</w:t>
            </w:r>
            <w:r>
              <w:rPr>
                <w:noProof/>
                <w:webHidden/>
              </w:rPr>
              <w:fldChar w:fldCharType="end"/>
            </w:r>
          </w:hyperlink>
        </w:p>
        <w:p w14:paraId="6ABB7A0A" w14:textId="4DEF2C8B" w:rsidR="002B019C" w:rsidRDefault="002B019C">
          <w:pPr>
            <w:pStyle w:val="TOC2"/>
            <w:tabs>
              <w:tab w:val="left" w:pos="960"/>
              <w:tab w:val="right" w:leader="dot" w:pos="9926"/>
            </w:tabs>
            <w:rPr>
              <w:rFonts w:eastAsiaTheme="minorEastAsia"/>
              <w:noProof/>
              <w:sz w:val="24"/>
              <w:szCs w:val="24"/>
            </w:rPr>
          </w:pPr>
          <w:hyperlink w:anchor="_Toc210052736" w:history="1">
            <w:r w:rsidRPr="007F40EB">
              <w:rPr>
                <w:rStyle w:val="Hyperlink"/>
                <w:noProof/>
              </w:rPr>
              <w:t>1.4</w:t>
            </w:r>
            <w:r>
              <w:rPr>
                <w:rFonts w:eastAsiaTheme="minorEastAsia"/>
                <w:noProof/>
                <w:sz w:val="24"/>
                <w:szCs w:val="24"/>
              </w:rPr>
              <w:tab/>
            </w:r>
            <w:r w:rsidRPr="007F40EB">
              <w:rPr>
                <w:rStyle w:val="Hyperlink"/>
                <w:noProof/>
              </w:rPr>
              <w:t>¿Qué son los controles y por qué tenerlos?</w:t>
            </w:r>
            <w:r>
              <w:rPr>
                <w:noProof/>
                <w:webHidden/>
              </w:rPr>
              <w:tab/>
            </w:r>
            <w:r>
              <w:rPr>
                <w:noProof/>
                <w:webHidden/>
              </w:rPr>
              <w:fldChar w:fldCharType="begin"/>
            </w:r>
            <w:r>
              <w:rPr>
                <w:noProof/>
                <w:webHidden/>
              </w:rPr>
              <w:instrText xml:space="preserve"> PAGEREF _Toc210052736 \h </w:instrText>
            </w:r>
            <w:r>
              <w:rPr>
                <w:noProof/>
                <w:webHidden/>
              </w:rPr>
            </w:r>
            <w:r>
              <w:rPr>
                <w:noProof/>
                <w:webHidden/>
              </w:rPr>
              <w:fldChar w:fldCharType="separate"/>
            </w:r>
            <w:r w:rsidR="000B6A13">
              <w:rPr>
                <w:noProof/>
                <w:webHidden/>
              </w:rPr>
              <w:t>5</w:t>
            </w:r>
            <w:r>
              <w:rPr>
                <w:noProof/>
                <w:webHidden/>
              </w:rPr>
              <w:fldChar w:fldCharType="end"/>
            </w:r>
          </w:hyperlink>
        </w:p>
        <w:p w14:paraId="3545C134" w14:textId="7540D9C9" w:rsidR="002B019C" w:rsidRDefault="002B019C">
          <w:pPr>
            <w:pStyle w:val="TOC2"/>
            <w:tabs>
              <w:tab w:val="left" w:pos="960"/>
              <w:tab w:val="right" w:leader="dot" w:pos="9926"/>
            </w:tabs>
            <w:rPr>
              <w:rFonts w:eastAsiaTheme="minorEastAsia"/>
              <w:noProof/>
              <w:sz w:val="24"/>
              <w:szCs w:val="24"/>
            </w:rPr>
          </w:pPr>
          <w:hyperlink w:anchor="_Toc210052737" w:history="1">
            <w:r w:rsidRPr="007F40EB">
              <w:rPr>
                <w:rStyle w:val="Hyperlink"/>
                <w:noProof/>
              </w:rPr>
              <w:t>1.5</w:t>
            </w:r>
            <w:r>
              <w:rPr>
                <w:rFonts w:eastAsiaTheme="minorEastAsia"/>
                <w:noProof/>
                <w:sz w:val="24"/>
                <w:szCs w:val="24"/>
              </w:rPr>
              <w:tab/>
            </w:r>
            <w:r w:rsidRPr="007F40EB">
              <w:rPr>
                <w:rStyle w:val="Hyperlink"/>
                <w:noProof/>
              </w:rPr>
              <w:t>¿Cuáles son las limitaciones del control interno?</w:t>
            </w:r>
            <w:r>
              <w:rPr>
                <w:noProof/>
                <w:webHidden/>
              </w:rPr>
              <w:tab/>
            </w:r>
            <w:r>
              <w:rPr>
                <w:noProof/>
                <w:webHidden/>
              </w:rPr>
              <w:fldChar w:fldCharType="begin"/>
            </w:r>
            <w:r>
              <w:rPr>
                <w:noProof/>
                <w:webHidden/>
              </w:rPr>
              <w:instrText xml:space="preserve"> PAGEREF _Toc210052737 \h </w:instrText>
            </w:r>
            <w:r>
              <w:rPr>
                <w:noProof/>
                <w:webHidden/>
              </w:rPr>
            </w:r>
            <w:r>
              <w:rPr>
                <w:noProof/>
                <w:webHidden/>
              </w:rPr>
              <w:fldChar w:fldCharType="separate"/>
            </w:r>
            <w:r w:rsidR="000B6A13">
              <w:rPr>
                <w:noProof/>
                <w:webHidden/>
              </w:rPr>
              <w:t>6</w:t>
            </w:r>
            <w:r>
              <w:rPr>
                <w:noProof/>
                <w:webHidden/>
              </w:rPr>
              <w:fldChar w:fldCharType="end"/>
            </w:r>
          </w:hyperlink>
        </w:p>
        <w:p w14:paraId="5011AD20" w14:textId="3932CA04" w:rsidR="002B019C" w:rsidRDefault="002B019C">
          <w:pPr>
            <w:pStyle w:val="TOC2"/>
            <w:tabs>
              <w:tab w:val="left" w:pos="960"/>
              <w:tab w:val="right" w:leader="dot" w:pos="9926"/>
            </w:tabs>
            <w:rPr>
              <w:rFonts w:eastAsiaTheme="minorEastAsia"/>
              <w:noProof/>
              <w:sz w:val="24"/>
              <w:szCs w:val="24"/>
            </w:rPr>
          </w:pPr>
          <w:hyperlink w:anchor="_Toc210052738" w:history="1">
            <w:r w:rsidRPr="007F40EB">
              <w:rPr>
                <w:rStyle w:val="Hyperlink"/>
                <w:noProof/>
              </w:rPr>
              <w:t>1.6</w:t>
            </w:r>
            <w:r>
              <w:rPr>
                <w:rFonts w:eastAsiaTheme="minorEastAsia"/>
                <w:noProof/>
                <w:sz w:val="24"/>
                <w:szCs w:val="24"/>
              </w:rPr>
              <w:tab/>
            </w:r>
            <w:r w:rsidRPr="007F40EB">
              <w:rPr>
                <w:rStyle w:val="Hyperlink"/>
                <w:noProof/>
              </w:rPr>
              <w:t>¿Cuál es el propósito de esta Guía?</w:t>
            </w:r>
            <w:r>
              <w:rPr>
                <w:noProof/>
                <w:webHidden/>
              </w:rPr>
              <w:tab/>
            </w:r>
            <w:r>
              <w:rPr>
                <w:noProof/>
                <w:webHidden/>
              </w:rPr>
              <w:fldChar w:fldCharType="begin"/>
            </w:r>
            <w:r>
              <w:rPr>
                <w:noProof/>
                <w:webHidden/>
              </w:rPr>
              <w:instrText xml:space="preserve"> PAGEREF _Toc210052738 \h </w:instrText>
            </w:r>
            <w:r>
              <w:rPr>
                <w:noProof/>
                <w:webHidden/>
              </w:rPr>
            </w:r>
            <w:r>
              <w:rPr>
                <w:noProof/>
                <w:webHidden/>
              </w:rPr>
              <w:fldChar w:fldCharType="separate"/>
            </w:r>
            <w:r w:rsidR="000B6A13">
              <w:rPr>
                <w:noProof/>
                <w:webHidden/>
              </w:rPr>
              <w:t>6</w:t>
            </w:r>
            <w:r>
              <w:rPr>
                <w:noProof/>
                <w:webHidden/>
              </w:rPr>
              <w:fldChar w:fldCharType="end"/>
            </w:r>
          </w:hyperlink>
        </w:p>
        <w:p w14:paraId="512B782B" w14:textId="71C0C3C6" w:rsidR="002B019C" w:rsidRDefault="002B019C">
          <w:pPr>
            <w:pStyle w:val="TOC2"/>
            <w:tabs>
              <w:tab w:val="left" w:pos="960"/>
              <w:tab w:val="right" w:leader="dot" w:pos="9926"/>
            </w:tabs>
            <w:rPr>
              <w:rFonts w:eastAsiaTheme="minorEastAsia"/>
              <w:noProof/>
              <w:sz w:val="24"/>
              <w:szCs w:val="24"/>
            </w:rPr>
          </w:pPr>
          <w:hyperlink w:anchor="_Toc210052739" w:history="1">
            <w:r w:rsidRPr="007F40EB">
              <w:rPr>
                <w:rStyle w:val="Hyperlink"/>
                <w:noProof/>
              </w:rPr>
              <w:t>1.7</w:t>
            </w:r>
            <w:r>
              <w:rPr>
                <w:rFonts w:eastAsiaTheme="minorEastAsia"/>
                <w:noProof/>
                <w:sz w:val="24"/>
                <w:szCs w:val="24"/>
              </w:rPr>
              <w:tab/>
            </w:r>
            <w:r w:rsidRPr="007F40EB">
              <w:rPr>
                <w:rStyle w:val="Hyperlink"/>
                <w:noProof/>
              </w:rPr>
              <w:t>¿Cómo debe aplicar esta Guía en su oficina/unidad?</w:t>
            </w:r>
            <w:r>
              <w:rPr>
                <w:noProof/>
                <w:webHidden/>
              </w:rPr>
              <w:tab/>
            </w:r>
            <w:r>
              <w:rPr>
                <w:noProof/>
                <w:webHidden/>
              </w:rPr>
              <w:fldChar w:fldCharType="begin"/>
            </w:r>
            <w:r>
              <w:rPr>
                <w:noProof/>
                <w:webHidden/>
              </w:rPr>
              <w:instrText xml:space="preserve"> PAGEREF _Toc210052739 \h </w:instrText>
            </w:r>
            <w:r>
              <w:rPr>
                <w:noProof/>
                <w:webHidden/>
              </w:rPr>
            </w:r>
            <w:r>
              <w:rPr>
                <w:noProof/>
                <w:webHidden/>
              </w:rPr>
              <w:fldChar w:fldCharType="separate"/>
            </w:r>
            <w:r w:rsidR="000B6A13">
              <w:rPr>
                <w:noProof/>
                <w:webHidden/>
              </w:rPr>
              <w:t>7</w:t>
            </w:r>
            <w:r>
              <w:rPr>
                <w:noProof/>
                <w:webHidden/>
              </w:rPr>
              <w:fldChar w:fldCharType="end"/>
            </w:r>
          </w:hyperlink>
        </w:p>
        <w:p w14:paraId="0BADF7C5" w14:textId="4E7BB359" w:rsidR="002B019C" w:rsidRDefault="002B019C" w:rsidP="002B019C">
          <w:pPr>
            <w:pStyle w:val="TOC1"/>
            <w:rPr>
              <w:rFonts w:eastAsiaTheme="minorEastAsia"/>
              <w:noProof/>
              <w:sz w:val="24"/>
              <w:szCs w:val="24"/>
            </w:rPr>
          </w:pPr>
          <w:hyperlink w:anchor="_Toc210052740" w:history="1">
            <w:r w:rsidRPr="007F40EB">
              <w:rPr>
                <w:rStyle w:val="Hyperlink"/>
                <w:noProof/>
              </w:rPr>
              <w:t>2</w:t>
            </w:r>
            <w:r>
              <w:rPr>
                <w:rFonts w:eastAsiaTheme="minorEastAsia"/>
                <w:noProof/>
                <w:sz w:val="24"/>
                <w:szCs w:val="24"/>
              </w:rPr>
              <w:tab/>
            </w:r>
            <w:r w:rsidRPr="007F40EB">
              <w:rPr>
                <w:rStyle w:val="Hyperlink"/>
                <w:noProof/>
              </w:rPr>
              <w:t>Controles mínimos que deben implementarse en todas las oficinas/unidades</w:t>
            </w:r>
            <w:r>
              <w:rPr>
                <w:noProof/>
                <w:webHidden/>
              </w:rPr>
              <w:tab/>
            </w:r>
            <w:r>
              <w:rPr>
                <w:noProof/>
                <w:webHidden/>
              </w:rPr>
              <w:fldChar w:fldCharType="begin"/>
            </w:r>
            <w:r>
              <w:rPr>
                <w:noProof/>
                <w:webHidden/>
              </w:rPr>
              <w:instrText xml:space="preserve"> PAGEREF _Toc210052740 \h </w:instrText>
            </w:r>
            <w:r>
              <w:rPr>
                <w:noProof/>
                <w:webHidden/>
              </w:rPr>
            </w:r>
            <w:r>
              <w:rPr>
                <w:noProof/>
                <w:webHidden/>
              </w:rPr>
              <w:fldChar w:fldCharType="separate"/>
            </w:r>
            <w:r w:rsidR="000B6A13">
              <w:rPr>
                <w:noProof/>
                <w:webHidden/>
              </w:rPr>
              <w:t>7</w:t>
            </w:r>
            <w:r>
              <w:rPr>
                <w:noProof/>
                <w:webHidden/>
              </w:rPr>
              <w:fldChar w:fldCharType="end"/>
            </w:r>
          </w:hyperlink>
        </w:p>
        <w:p w14:paraId="2C06F47E" w14:textId="410185E9" w:rsidR="002B019C" w:rsidRDefault="002B019C">
          <w:pPr>
            <w:pStyle w:val="TOC2"/>
            <w:tabs>
              <w:tab w:val="left" w:pos="960"/>
              <w:tab w:val="right" w:leader="dot" w:pos="9926"/>
            </w:tabs>
            <w:rPr>
              <w:rFonts w:eastAsiaTheme="minorEastAsia"/>
              <w:noProof/>
              <w:sz w:val="24"/>
              <w:szCs w:val="24"/>
            </w:rPr>
          </w:pPr>
          <w:hyperlink w:anchor="_Toc210052741" w:history="1">
            <w:r w:rsidRPr="007F40EB">
              <w:rPr>
                <w:rStyle w:val="Hyperlink"/>
                <w:noProof/>
              </w:rPr>
              <w:t>2.1</w:t>
            </w:r>
            <w:r>
              <w:rPr>
                <w:rFonts w:eastAsiaTheme="minorEastAsia"/>
                <w:noProof/>
                <w:sz w:val="24"/>
                <w:szCs w:val="24"/>
              </w:rPr>
              <w:tab/>
            </w:r>
            <w:r w:rsidRPr="007F40EB">
              <w:rPr>
                <w:rStyle w:val="Hyperlink"/>
                <w:noProof/>
              </w:rPr>
              <w:t>Segregación de funciones</w:t>
            </w:r>
            <w:r>
              <w:rPr>
                <w:noProof/>
                <w:webHidden/>
              </w:rPr>
              <w:tab/>
            </w:r>
            <w:r>
              <w:rPr>
                <w:noProof/>
                <w:webHidden/>
              </w:rPr>
              <w:fldChar w:fldCharType="begin"/>
            </w:r>
            <w:r>
              <w:rPr>
                <w:noProof/>
                <w:webHidden/>
              </w:rPr>
              <w:instrText xml:space="preserve"> PAGEREF _Toc210052741 \h </w:instrText>
            </w:r>
            <w:r>
              <w:rPr>
                <w:noProof/>
                <w:webHidden/>
              </w:rPr>
            </w:r>
            <w:r>
              <w:rPr>
                <w:noProof/>
                <w:webHidden/>
              </w:rPr>
              <w:fldChar w:fldCharType="separate"/>
            </w:r>
            <w:r w:rsidR="000B6A13">
              <w:rPr>
                <w:noProof/>
                <w:webHidden/>
              </w:rPr>
              <w:t>8</w:t>
            </w:r>
            <w:r>
              <w:rPr>
                <w:noProof/>
                <w:webHidden/>
              </w:rPr>
              <w:fldChar w:fldCharType="end"/>
            </w:r>
          </w:hyperlink>
        </w:p>
        <w:p w14:paraId="21DE5AE5" w14:textId="276F754B" w:rsidR="002B019C" w:rsidRDefault="002B019C">
          <w:pPr>
            <w:pStyle w:val="TOC2"/>
            <w:tabs>
              <w:tab w:val="left" w:pos="960"/>
              <w:tab w:val="right" w:leader="dot" w:pos="9926"/>
            </w:tabs>
            <w:rPr>
              <w:rFonts w:eastAsiaTheme="minorEastAsia"/>
              <w:noProof/>
              <w:sz w:val="24"/>
              <w:szCs w:val="24"/>
            </w:rPr>
          </w:pPr>
          <w:hyperlink w:anchor="_Toc210052742" w:history="1">
            <w:r w:rsidRPr="007F40EB">
              <w:rPr>
                <w:rStyle w:val="Hyperlink"/>
                <w:noProof/>
              </w:rPr>
              <w:t>2.2</w:t>
            </w:r>
            <w:r>
              <w:rPr>
                <w:rFonts w:eastAsiaTheme="minorEastAsia"/>
                <w:noProof/>
                <w:sz w:val="24"/>
                <w:szCs w:val="24"/>
              </w:rPr>
              <w:tab/>
            </w:r>
            <w:r w:rsidRPr="007F40EB">
              <w:rPr>
                <w:rStyle w:val="Hyperlink"/>
                <w:noProof/>
              </w:rPr>
              <w:t>Identificación y gestión de conflictos de intereses</w:t>
            </w:r>
            <w:r>
              <w:rPr>
                <w:noProof/>
                <w:webHidden/>
              </w:rPr>
              <w:tab/>
            </w:r>
            <w:r>
              <w:rPr>
                <w:noProof/>
                <w:webHidden/>
              </w:rPr>
              <w:fldChar w:fldCharType="begin"/>
            </w:r>
            <w:r>
              <w:rPr>
                <w:noProof/>
                <w:webHidden/>
              </w:rPr>
              <w:instrText xml:space="preserve"> PAGEREF _Toc210052742 \h </w:instrText>
            </w:r>
            <w:r>
              <w:rPr>
                <w:noProof/>
                <w:webHidden/>
              </w:rPr>
            </w:r>
            <w:r>
              <w:rPr>
                <w:noProof/>
                <w:webHidden/>
              </w:rPr>
              <w:fldChar w:fldCharType="separate"/>
            </w:r>
            <w:r w:rsidR="000B6A13">
              <w:rPr>
                <w:noProof/>
                <w:webHidden/>
              </w:rPr>
              <w:t>11</w:t>
            </w:r>
            <w:r>
              <w:rPr>
                <w:noProof/>
                <w:webHidden/>
              </w:rPr>
              <w:fldChar w:fldCharType="end"/>
            </w:r>
          </w:hyperlink>
        </w:p>
        <w:p w14:paraId="6A51C3DA" w14:textId="6097346F" w:rsidR="002B019C" w:rsidRDefault="002B019C">
          <w:pPr>
            <w:pStyle w:val="TOC2"/>
            <w:tabs>
              <w:tab w:val="left" w:pos="960"/>
              <w:tab w:val="right" w:leader="dot" w:pos="9926"/>
            </w:tabs>
            <w:rPr>
              <w:rFonts w:eastAsiaTheme="minorEastAsia"/>
              <w:noProof/>
              <w:sz w:val="24"/>
              <w:szCs w:val="24"/>
            </w:rPr>
          </w:pPr>
          <w:hyperlink w:anchor="_Toc210052743" w:history="1">
            <w:r w:rsidRPr="007F40EB">
              <w:rPr>
                <w:rStyle w:val="Hyperlink"/>
                <w:noProof/>
              </w:rPr>
              <w:t>2.3</w:t>
            </w:r>
            <w:r>
              <w:rPr>
                <w:rFonts w:eastAsiaTheme="minorEastAsia"/>
                <w:noProof/>
                <w:sz w:val="24"/>
                <w:szCs w:val="24"/>
              </w:rPr>
              <w:tab/>
            </w:r>
            <w:r w:rsidRPr="007F40EB">
              <w:rPr>
                <w:rStyle w:val="Hyperlink"/>
                <w:noProof/>
              </w:rPr>
              <w:t>Roles que debe desempeñar el personal</w:t>
            </w:r>
            <w:r>
              <w:rPr>
                <w:noProof/>
                <w:webHidden/>
              </w:rPr>
              <w:tab/>
            </w:r>
            <w:r>
              <w:rPr>
                <w:noProof/>
                <w:webHidden/>
              </w:rPr>
              <w:fldChar w:fldCharType="begin"/>
            </w:r>
            <w:r>
              <w:rPr>
                <w:noProof/>
                <w:webHidden/>
              </w:rPr>
              <w:instrText xml:space="preserve"> PAGEREF _Toc210052743 \h </w:instrText>
            </w:r>
            <w:r>
              <w:rPr>
                <w:noProof/>
                <w:webHidden/>
              </w:rPr>
            </w:r>
            <w:r>
              <w:rPr>
                <w:noProof/>
                <w:webHidden/>
              </w:rPr>
              <w:fldChar w:fldCharType="separate"/>
            </w:r>
            <w:r w:rsidR="000B6A13">
              <w:rPr>
                <w:noProof/>
                <w:webHidden/>
              </w:rPr>
              <w:t>12</w:t>
            </w:r>
            <w:r>
              <w:rPr>
                <w:noProof/>
                <w:webHidden/>
              </w:rPr>
              <w:fldChar w:fldCharType="end"/>
            </w:r>
          </w:hyperlink>
        </w:p>
        <w:p w14:paraId="5DD37908" w14:textId="1A164730" w:rsidR="002B019C" w:rsidRDefault="002B019C">
          <w:pPr>
            <w:pStyle w:val="TOC2"/>
            <w:tabs>
              <w:tab w:val="left" w:pos="960"/>
              <w:tab w:val="right" w:leader="dot" w:pos="9926"/>
            </w:tabs>
            <w:rPr>
              <w:rFonts w:eastAsiaTheme="minorEastAsia"/>
              <w:noProof/>
              <w:sz w:val="24"/>
              <w:szCs w:val="24"/>
            </w:rPr>
          </w:pPr>
          <w:hyperlink w:anchor="_Toc210052744" w:history="1">
            <w:r w:rsidRPr="007F40EB">
              <w:rPr>
                <w:rStyle w:val="Hyperlink"/>
                <w:noProof/>
              </w:rPr>
              <w:t>2.4</w:t>
            </w:r>
            <w:r>
              <w:rPr>
                <w:rFonts w:eastAsiaTheme="minorEastAsia"/>
                <w:noProof/>
                <w:sz w:val="24"/>
                <w:szCs w:val="24"/>
              </w:rPr>
              <w:tab/>
            </w:r>
            <w:r w:rsidRPr="007F40EB">
              <w:rPr>
                <w:rStyle w:val="Hyperlink"/>
                <w:noProof/>
              </w:rPr>
              <w:t>Acciones o excepciones que deben ser aprobadas o autorizadas por el propietario de una autoridad</w:t>
            </w:r>
            <w:r>
              <w:rPr>
                <w:noProof/>
                <w:webHidden/>
              </w:rPr>
              <w:tab/>
            </w:r>
            <w:r>
              <w:rPr>
                <w:noProof/>
                <w:webHidden/>
              </w:rPr>
              <w:fldChar w:fldCharType="begin"/>
            </w:r>
            <w:r>
              <w:rPr>
                <w:noProof/>
                <w:webHidden/>
              </w:rPr>
              <w:instrText xml:space="preserve"> PAGEREF _Toc210052744 \h </w:instrText>
            </w:r>
            <w:r>
              <w:rPr>
                <w:noProof/>
                <w:webHidden/>
              </w:rPr>
            </w:r>
            <w:r>
              <w:rPr>
                <w:noProof/>
                <w:webHidden/>
              </w:rPr>
              <w:fldChar w:fldCharType="separate"/>
            </w:r>
            <w:r w:rsidR="000B6A13">
              <w:rPr>
                <w:noProof/>
                <w:webHidden/>
              </w:rPr>
              <w:t>14</w:t>
            </w:r>
            <w:r>
              <w:rPr>
                <w:noProof/>
                <w:webHidden/>
              </w:rPr>
              <w:fldChar w:fldCharType="end"/>
            </w:r>
          </w:hyperlink>
        </w:p>
        <w:p w14:paraId="14D704E5" w14:textId="16B930B4" w:rsidR="002B019C" w:rsidRDefault="002B019C">
          <w:pPr>
            <w:pStyle w:val="TOC2"/>
            <w:tabs>
              <w:tab w:val="left" w:pos="960"/>
              <w:tab w:val="right" w:leader="dot" w:pos="9926"/>
            </w:tabs>
            <w:rPr>
              <w:rFonts w:eastAsiaTheme="minorEastAsia"/>
              <w:noProof/>
              <w:sz w:val="24"/>
              <w:szCs w:val="24"/>
            </w:rPr>
          </w:pPr>
          <w:hyperlink w:anchor="_Toc210052745" w:history="1">
            <w:r w:rsidRPr="007F40EB">
              <w:rPr>
                <w:rStyle w:val="Hyperlink"/>
                <w:noProof/>
              </w:rPr>
              <w:t>2.5</w:t>
            </w:r>
            <w:r>
              <w:rPr>
                <w:rFonts w:eastAsiaTheme="minorEastAsia"/>
                <w:noProof/>
                <w:sz w:val="24"/>
                <w:szCs w:val="24"/>
              </w:rPr>
              <w:tab/>
            </w:r>
            <w:r w:rsidRPr="007F40EB">
              <w:rPr>
                <w:rStyle w:val="Hyperlink"/>
                <w:noProof/>
              </w:rPr>
              <w:t>Documentación del ICF local de la oficina/unidad</w:t>
            </w:r>
            <w:r>
              <w:rPr>
                <w:noProof/>
                <w:webHidden/>
              </w:rPr>
              <w:tab/>
            </w:r>
            <w:r>
              <w:rPr>
                <w:noProof/>
                <w:webHidden/>
              </w:rPr>
              <w:fldChar w:fldCharType="begin"/>
            </w:r>
            <w:r>
              <w:rPr>
                <w:noProof/>
                <w:webHidden/>
              </w:rPr>
              <w:instrText xml:space="preserve"> PAGEREF _Toc210052745 \h </w:instrText>
            </w:r>
            <w:r>
              <w:rPr>
                <w:noProof/>
                <w:webHidden/>
              </w:rPr>
            </w:r>
            <w:r>
              <w:rPr>
                <w:noProof/>
                <w:webHidden/>
              </w:rPr>
              <w:fldChar w:fldCharType="separate"/>
            </w:r>
            <w:r w:rsidR="000B6A13">
              <w:rPr>
                <w:noProof/>
                <w:webHidden/>
              </w:rPr>
              <w:t>14</w:t>
            </w:r>
            <w:r>
              <w:rPr>
                <w:noProof/>
                <w:webHidden/>
              </w:rPr>
              <w:fldChar w:fldCharType="end"/>
            </w:r>
          </w:hyperlink>
        </w:p>
        <w:p w14:paraId="17E388A1" w14:textId="704B254C" w:rsidR="002B019C" w:rsidRDefault="002B019C">
          <w:pPr>
            <w:pStyle w:val="TOC2"/>
            <w:tabs>
              <w:tab w:val="left" w:pos="960"/>
              <w:tab w:val="right" w:leader="dot" w:pos="9926"/>
            </w:tabs>
            <w:rPr>
              <w:rFonts w:eastAsiaTheme="minorEastAsia"/>
              <w:noProof/>
              <w:sz w:val="24"/>
              <w:szCs w:val="24"/>
            </w:rPr>
          </w:pPr>
          <w:hyperlink w:anchor="_Toc210052746" w:history="1">
            <w:r w:rsidRPr="007F40EB">
              <w:rPr>
                <w:rStyle w:val="Hyperlink"/>
                <w:noProof/>
              </w:rPr>
              <w:t>2.6</w:t>
            </w:r>
            <w:r>
              <w:rPr>
                <w:rFonts w:eastAsiaTheme="minorEastAsia"/>
                <w:noProof/>
                <w:sz w:val="24"/>
                <w:szCs w:val="24"/>
              </w:rPr>
              <w:tab/>
            </w:r>
            <w:r w:rsidRPr="007F40EB">
              <w:rPr>
                <w:rStyle w:val="Hyperlink"/>
                <w:noProof/>
              </w:rPr>
              <w:t>Seguimiento e informes sobre la gestión de riesgos</w:t>
            </w:r>
            <w:r>
              <w:rPr>
                <w:noProof/>
                <w:webHidden/>
              </w:rPr>
              <w:tab/>
            </w:r>
            <w:r>
              <w:rPr>
                <w:noProof/>
                <w:webHidden/>
              </w:rPr>
              <w:fldChar w:fldCharType="begin"/>
            </w:r>
            <w:r>
              <w:rPr>
                <w:noProof/>
                <w:webHidden/>
              </w:rPr>
              <w:instrText xml:space="preserve"> PAGEREF _Toc210052746 \h </w:instrText>
            </w:r>
            <w:r>
              <w:rPr>
                <w:noProof/>
                <w:webHidden/>
              </w:rPr>
            </w:r>
            <w:r>
              <w:rPr>
                <w:noProof/>
                <w:webHidden/>
              </w:rPr>
              <w:fldChar w:fldCharType="separate"/>
            </w:r>
            <w:r w:rsidR="000B6A13">
              <w:rPr>
                <w:noProof/>
                <w:webHidden/>
              </w:rPr>
              <w:t>15</w:t>
            </w:r>
            <w:r>
              <w:rPr>
                <w:noProof/>
                <w:webHidden/>
              </w:rPr>
              <w:fldChar w:fldCharType="end"/>
            </w:r>
          </w:hyperlink>
        </w:p>
        <w:p w14:paraId="0EFD4E40" w14:textId="494543D2" w:rsidR="002B019C" w:rsidRDefault="002B019C">
          <w:pPr>
            <w:pStyle w:val="TOC2"/>
            <w:tabs>
              <w:tab w:val="left" w:pos="960"/>
              <w:tab w:val="right" w:leader="dot" w:pos="9926"/>
            </w:tabs>
            <w:rPr>
              <w:rFonts w:eastAsiaTheme="minorEastAsia"/>
              <w:noProof/>
              <w:sz w:val="24"/>
              <w:szCs w:val="24"/>
            </w:rPr>
          </w:pPr>
          <w:hyperlink w:anchor="_Toc210052747" w:history="1">
            <w:r w:rsidRPr="007F40EB">
              <w:rPr>
                <w:rStyle w:val="Hyperlink"/>
                <w:noProof/>
              </w:rPr>
              <w:t>2.7</w:t>
            </w:r>
            <w:r>
              <w:rPr>
                <w:rFonts w:eastAsiaTheme="minorEastAsia"/>
                <w:noProof/>
                <w:sz w:val="24"/>
                <w:szCs w:val="24"/>
              </w:rPr>
              <w:tab/>
            </w:r>
            <w:r w:rsidRPr="007F40EB">
              <w:rPr>
                <w:rStyle w:val="Hyperlink"/>
                <w:noProof/>
              </w:rPr>
              <w:t>Mitigación de los riesgos asociados con el lavado de dinero y el financiamiento del terrorismo</w:t>
            </w:r>
            <w:r>
              <w:rPr>
                <w:noProof/>
                <w:webHidden/>
              </w:rPr>
              <w:tab/>
            </w:r>
            <w:r>
              <w:rPr>
                <w:noProof/>
                <w:webHidden/>
              </w:rPr>
              <w:fldChar w:fldCharType="begin"/>
            </w:r>
            <w:r>
              <w:rPr>
                <w:noProof/>
                <w:webHidden/>
              </w:rPr>
              <w:instrText xml:space="preserve"> PAGEREF _Toc210052747 \h </w:instrText>
            </w:r>
            <w:r>
              <w:rPr>
                <w:noProof/>
                <w:webHidden/>
              </w:rPr>
            </w:r>
            <w:r>
              <w:rPr>
                <w:noProof/>
                <w:webHidden/>
              </w:rPr>
              <w:fldChar w:fldCharType="separate"/>
            </w:r>
            <w:r w:rsidR="000B6A13">
              <w:rPr>
                <w:noProof/>
                <w:webHidden/>
              </w:rPr>
              <w:t>15</w:t>
            </w:r>
            <w:r>
              <w:rPr>
                <w:noProof/>
                <w:webHidden/>
              </w:rPr>
              <w:fldChar w:fldCharType="end"/>
            </w:r>
          </w:hyperlink>
        </w:p>
        <w:p w14:paraId="26AFA4D9" w14:textId="1D5C31C8" w:rsidR="002B019C" w:rsidRDefault="002B019C">
          <w:pPr>
            <w:pStyle w:val="TOC2"/>
            <w:tabs>
              <w:tab w:val="left" w:pos="960"/>
              <w:tab w:val="right" w:leader="dot" w:pos="9926"/>
            </w:tabs>
            <w:rPr>
              <w:rFonts w:eastAsiaTheme="minorEastAsia"/>
              <w:noProof/>
              <w:sz w:val="24"/>
              <w:szCs w:val="24"/>
            </w:rPr>
          </w:pPr>
          <w:hyperlink w:anchor="_Toc210052748" w:history="1">
            <w:r w:rsidRPr="007F40EB">
              <w:rPr>
                <w:rStyle w:val="Hyperlink"/>
                <w:noProof/>
              </w:rPr>
              <w:t>2.8</w:t>
            </w:r>
            <w:r>
              <w:rPr>
                <w:rFonts w:eastAsiaTheme="minorEastAsia"/>
                <w:noProof/>
                <w:sz w:val="24"/>
                <w:szCs w:val="24"/>
              </w:rPr>
              <w:tab/>
            </w:r>
            <w:r w:rsidRPr="007F40EB">
              <w:rPr>
                <w:rStyle w:val="Hyperlink"/>
                <w:noProof/>
              </w:rPr>
              <w:t>Denuncia de fraude</w:t>
            </w:r>
            <w:r>
              <w:rPr>
                <w:noProof/>
                <w:webHidden/>
              </w:rPr>
              <w:tab/>
            </w:r>
            <w:r>
              <w:rPr>
                <w:noProof/>
                <w:webHidden/>
              </w:rPr>
              <w:fldChar w:fldCharType="begin"/>
            </w:r>
            <w:r>
              <w:rPr>
                <w:noProof/>
                <w:webHidden/>
              </w:rPr>
              <w:instrText xml:space="preserve"> PAGEREF _Toc210052748 \h </w:instrText>
            </w:r>
            <w:r>
              <w:rPr>
                <w:noProof/>
                <w:webHidden/>
              </w:rPr>
            </w:r>
            <w:r>
              <w:rPr>
                <w:noProof/>
                <w:webHidden/>
              </w:rPr>
              <w:fldChar w:fldCharType="separate"/>
            </w:r>
            <w:r w:rsidR="000B6A13">
              <w:rPr>
                <w:noProof/>
                <w:webHidden/>
              </w:rPr>
              <w:t>16</w:t>
            </w:r>
            <w:r>
              <w:rPr>
                <w:noProof/>
                <w:webHidden/>
              </w:rPr>
              <w:fldChar w:fldCharType="end"/>
            </w:r>
          </w:hyperlink>
        </w:p>
        <w:p w14:paraId="3B53EA21" w14:textId="362AD6B9" w:rsidR="002B019C" w:rsidRDefault="002B019C">
          <w:pPr>
            <w:pStyle w:val="TOC2"/>
            <w:tabs>
              <w:tab w:val="left" w:pos="960"/>
              <w:tab w:val="right" w:leader="dot" w:pos="9926"/>
            </w:tabs>
            <w:rPr>
              <w:rFonts w:eastAsiaTheme="minorEastAsia"/>
              <w:noProof/>
              <w:sz w:val="24"/>
              <w:szCs w:val="24"/>
            </w:rPr>
          </w:pPr>
          <w:hyperlink w:anchor="_Toc210052749" w:history="1">
            <w:r w:rsidRPr="007F40EB">
              <w:rPr>
                <w:rStyle w:val="Hyperlink"/>
                <w:noProof/>
              </w:rPr>
              <w:t>2.9</w:t>
            </w:r>
            <w:r>
              <w:rPr>
                <w:rFonts w:eastAsiaTheme="minorEastAsia"/>
                <w:noProof/>
                <w:sz w:val="24"/>
                <w:szCs w:val="24"/>
              </w:rPr>
              <w:tab/>
            </w:r>
            <w:r w:rsidRPr="007F40EB">
              <w:rPr>
                <w:rStyle w:val="Hyperlink"/>
                <w:noProof/>
              </w:rPr>
              <w:t>Responsabilidad personal</w:t>
            </w:r>
            <w:r>
              <w:rPr>
                <w:noProof/>
                <w:webHidden/>
              </w:rPr>
              <w:tab/>
            </w:r>
            <w:r>
              <w:rPr>
                <w:noProof/>
                <w:webHidden/>
              </w:rPr>
              <w:fldChar w:fldCharType="begin"/>
            </w:r>
            <w:r>
              <w:rPr>
                <w:noProof/>
                <w:webHidden/>
              </w:rPr>
              <w:instrText xml:space="preserve"> PAGEREF _Toc210052749 \h </w:instrText>
            </w:r>
            <w:r>
              <w:rPr>
                <w:noProof/>
                <w:webHidden/>
              </w:rPr>
            </w:r>
            <w:r>
              <w:rPr>
                <w:noProof/>
                <w:webHidden/>
              </w:rPr>
              <w:fldChar w:fldCharType="separate"/>
            </w:r>
            <w:r w:rsidR="000B6A13">
              <w:rPr>
                <w:noProof/>
                <w:webHidden/>
              </w:rPr>
              <w:t>16</w:t>
            </w:r>
            <w:r>
              <w:rPr>
                <w:noProof/>
                <w:webHidden/>
              </w:rPr>
              <w:fldChar w:fldCharType="end"/>
            </w:r>
          </w:hyperlink>
        </w:p>
        <w:p w14:paraId="1D49D0E7" w14:textId="6C8D077C" w:rsidR="002B019C" w:rsidRDefault="002B019C">
          <w:pPr>
            <w:pStyle w:val="TOC2"/>
            <w:tabs>
              <w:tab w:val="left" w:pos="960"/>
              <w:tab w:val="right" w:leader="dot" w:pos="9926"/>
            </w:tabs>
            <w:rPr>
              <w:rFonts w:eastAsiaTheme="minorEastAsia"/>
              <w:noProof/>
              <w:sz w:val="24"/>
              <w:szCs w:val="24"/>
            </w:rPr>
          </w:pPr>
          <w:hyperlink w:anchor="_Toc210052750" w:history="1">
            <w:r w:rsidRPr="007F40EB">
              <w:rPr>
                <w:rStyle w:val="Hyperlink"/>
                <w:noProof/>
              </w:rPr>
              <w:t>2.10</w:t>
            </w:r>
            <w:r>
              <w:rPr>
                <w:rFonts w:eastAsiaTheme="minorEastAsia"/>
                <w:noProof/>
                <w:sz w:val="24"/>
                <w:szCs w:val="24"/>
              </w:rPr>
              <w:tab/>
            </w:r>
            <w:r w:rsidRPr="007F40EB">
              <w:rPr>
                <w:rStyle w:val="Hyperlink"/>
                <w:noProof/>
              </w:rPr>
              <w:t>Gestión y retención de documentación</w:t>
            </w:r>
            <w:r>
              <w:rPr>
                <w:noProof/>
                <w:webHidden/>
              </w:rPr>
              <w:tab/>
            </w:r>
            <w:r>
              <w:rPr>
                <w:noProof/>
                <w:webHidden/>
              </w:rPr>
              <w:fldChar w:fldCharType="begin"/>
            </w:r>
            <w:r>
              <w:rPr>
                <w:noProof/>
                <w:webHidden/>
              </w:rPr>
              <w:instrText xml:space="preserve"> PAGEREF _Toc210052750 \h </w:instrText>
            </w:r>
            <w:r>
              <w:rPr>
                <w:noProof/>
                <w:webHidden/>
              </w:rPr>
            </w:r>
            <w:r>
              <w:rPr>
                <w:noProof/>
                <w:webHidden/>
              </w:rPr>
              <w:fldChar w:fldCharType="separate"/>
            </w:r>
            <w:r w:rsidR="000B6A13">
              <w:rPr>
                <w:noProof/>
                <w:webHidden/>
              </w:rPr>
              <w:t>17</w:t>
            </w:r>
            <w:r>
              <w:rPr>
                <w:noProof/>
                <w:webHidden/>
              </w:rPr>
              <w:fldChar w:fldCharType="end"/>
            </w:r>
          </w:hyperlink>
        </w:p>
        <w:p w14:paraId="33DFEA63" w14:textId="5D0DCBA7" w:rsidR="002B019C" w:rsidRDefault="002B019C" w:rsidP="002B019C">
          <w:pPr>
            <w:pStyle w:val="TOC1"/>
            <w:rPr>
              <w:rFonts w:eastAsiaTheme="minorEastAsia"/>
              <w:noProof/>
              <w:sz w:val="24"/>
              <w:szCs w:val="24"/>
            </w:rPr>
          </w:pPr>
          <w:hyperlink w:anchor="_Toc210052751" w:history="1">
            <w:r w:rsidRPr="007F40EB">
              <w:rPr>
                <w:rStyle w:val="Hyperlink"/>
                <w:noProof/>
              </w:rPr>
              <w:t>3</w:t>
            </w:r>
            <w:r>
              <w:rPr>
                <w:rFonts w:eastAsiaTheme="minorEastAsia"/>
                <w:noProof/>
                <w:sz w:val="24"/>
                <w:szCs w:val="24"/>
              </w:rPr>
              <w:tab/>
            </w:r>
            <w:r w:rsidRPr="007F40EB">
              <w:rPr>
                <w:rStyle w:val="Hyperlink"/>
                <w:noProof/>
              </w:rPr>
              <w:t>Implementación del ICF en el PNUD</w:t>
            </w:r>
            <w:r>
              <w:rPr>
                <w:noProof/>
                <w:webHidden/>
              </w:rPr>
              <w:tab/>
            </w:r>
            <w:r>
              <w:rPr>
                <w:noProof/>
                <w:webHidden/>
              </w:rPr>
              <w:fldChar w:fldCharType="begin"/>
            </w:r>
            <w:r>
              <w:rPr>
                <w:noProof/>
                <w:webHidden/>
              </w:rPr>
              <w:instrText xml:space="preserve"> PAGEREF _Toc210052751 \h </w:instrText>
            </w:r>
            <w:r>
              <w:rPr>
                <w:noProof/>
                <w:webHidden/>
              </w:rPr>
            </w:r>
            <w:r>
              <w:rPr>
                <w:noProof/>
                <w:webHidden/>
              </w:rPr>
              <w:fldChar w:fldCharType="separate"/>
            </w:r>
            <w:r w:rsidR="000B6A13">
              <w:rPr>
                <w:noProof/>
                <w:webHidden/>
              </w:rPr>
              <w:t>17</w:t>
            </w:r>
            <w:r>
              <w:rPr>
                <w:noProof/>
                <w:webHidden/>
              </w:rPr>
              <w:fldChar w:fldCharType="end"/>
            </w:r>
          </w:hyperlink>
        </w:p>
        <w:p w14:paraId="302FA1D8" w14:textId="431D7CA4" w:rsidR="002B019C" w:rsidRDefault="002B019C">
          <w:pPr>
            <w:pStyle w:val="TOC2"/>
            <w:tabs>
              <w:tab w:val="left" w:pos="960"/>
              <w:tab w:val="right" w:leader="dot" w:pos="9926"/>
            </w:tabs>
            <w:rPr>
              <w:rFonts w:eastAsiaTheme="minorEastAsia"/>
              <w:noProof/>
              <w:sz w:val="24"/>
              <w:szCs w:val="24"/>
            </w:rPr>
          </w:pPr>
          <w:hyperlink w:anchor="_Toc210052752" w:history="1">
            <w:r w:rsidRPr="007F40EB">
              <w:rPr>
                <w:rStyle w:val="Hyperlink"/>
                <w:noProof/>
              </w:rPr>
              <w:t>3.1</w:t>
            </w:r>
            <w:r>
              <w:rPr>
                <w:rFonts w:eastAsiaTheme="minorEastAsia"/>
                <w:noProof/>
                <w:sz w:val="24"/>
                <w:szCs w:val="24"/>
              </w:rPr>
              <w:tab/>
            </w:r>
            <w:r w:rsidRPr="007F40EB">
              <w:rPr>
                <w:rStyle w:val="Hyperlink"/>
                <w:noProof/>
              </w:rPr>
              <w:t>¿Cómo ha simplificado y fortalecido Quantum la implementación del ICF del PNUD?</w:t>
            </w:r>
            <w:r>
              <w:rPr>
                <w:noProof/>
                <w:webHidden/>
              </w:rPr>
              <w:tab/>
            </w:r>
            <w:r>
              <w:rPr>
                <w:noProof/>
                <w:webHidden/>
              </w:rPr>
              <w:fldChar w:fldCharType="begin"/>
            </w:r>
            <w:r>
              <w:rPr>
                <w:noProof/>
                <w:webHidden/>
              </w:rPr>
              <w:instrText xml:space="preserve"> PAGEREF _Toc210052752 \h </w:instrText>
            </w:r>
            <w:r>
              <w:rPr>
                <w:noProof/>
                <w:webHidden/>
              </w:rPr>
            </w:r>
            <w:r>
              <w:rPr>
                <w:noProof/>
                <w:webHidden/>
              </w:rPr>
              <w:fldChar w:fldCharType="separate"/>
            </w:r>
            <w:r w:rsidR="000B6A13">
              <w:rPr>
                <w:noProof/>
                <w:webHidden/>
              </w:rPr>
              <w:t>17</w:t>
            </w:r>
            <w:r>
              <w:rPr>
                <w:noProof/>
                <w:webHidden/>
              </w:rPr>
              <w:fldChar w:fldCharType="end"/>
            </w:r>
          </w:hyperlink>
        </w:p>
        <w:p w14:paraId="2E60B90E" w14:textId="136E93F3" w:rsidR="002B019C" w:rsidRDefault="002B019C">
          <w:pPr>
            <w:pStyle w:val="TOC2"/>
            <w:tabs>
              <w:tab w:val="left" w:pos="960"/>
              <w:tab w:val="right" w:leader="dot" w:pos="9926"/>
            </w:tabs>
            <w:rPr>
              <w:rFonts w:eastAsiaTheme="minorEastAsia"/>
              <w:noProof/>
              <w:sz w:val="24"/>
              <w:szCs w:val="24"/>
            </w:rPr>
          </w:pPr>
          <w:hyperlink w:anchor="_Toc210052753" w:history="1">
            <w:r w:rsidRPr="007F40EB">
              <w:rPr>
                <w:rStyle w:val="Hyperlink"/>
                <w:noProof/>
              </w:rPr>
              <w:t>3.2</w:t>
            </w:r>
            <w:r>
              <w:rPr>
                <w:rFonts w:eastAsiaTheme="minorEastAsia"/>
                <w:noProof/>
                <w:sz w:val="24"/>
                <w:szCs w:val="24"/>
              </w:rPr>
              <w:tab/>
            </w:r>
            <w:r w:rsidRPr="007F40EB">
              <w:rPr>
                <w:rStyle w:val="Hyperlink"/>
                <w:noProof/>
              </w:rPr>
              <w:t>¿Qué controles aún requieren monitoreo por parte de todas las oficinas/unidades? (dentro y fuera de la plataforma ERP)</w:t>
            </w:r>
            <w:r>
              <w:rPr>
                <w:noProof/>
                <w:webHidden/>
              </w:rPr>
              <w:tab/>
            </w:r>
            <w:r>
              <w:rPr>
                <w:noProof/>
                <w:webHidden/>
              </w:rPr>
              <w:fldChar w:fldCharType="begin"/>
            </w:r>
            <w:r>
              <w:rPr>
                <w:noProof/>
                <w:webHidden/>
              </w:rPr>
              <w:instrText xml:space="preserve"> PAGEREF _Toc210052753 \h </w:instrText>
            </w:r>
            <w:r>
              <w:rPr>
                <w:noProof/>
                <w:webHidden/>
              </w:rPr>
            </w:r>
            <w:r>
              <w:rPr>
                <w:noProof/>
                <w:webHidden/>
              </w:rPr>
              <w:fldChar w:fldCharType="separate"/>
            </w:r>
            <w:r w:rsidR="000B6A13">
              <w:rPr>
                <w:noProof/>
                <w:webHidden/>
              </w:rPr>
              <w:t>18</w:t>
            </w:r>
            <w:r>
              <w:rPr>
                <w:noProof/>
                <w:webHidden/>
              </w:rPr>
              <w:fldChar w:fldCharType="end"/>
            </w:r>
          </w:hyperlink>
        </w:p>
        <w:p w14:paraId="4FA822E7" w14:textId="36001DD3" w:rsidR="002B019C" w:rsidRDefault="002B019C">
          <w:pPr>
            <w:pStyle w:val="TOC2"/>
            <w:tabs>
              <w:tab w:val="left" w:pos="960"/>
              <w:tab w:val="right" w:leader="dot" w:pos="9926"/>
            </w:tabs>
            <w:rPr>
              <w:rFonts w:eastAsiaTheme="minorEastAsia"/>
              <w:noProof/>
              <w:sz w:val="24"/>
              <w:szCs w:val="24"/>
            </w:rPr>
          </w:pPr>
          <w:hyperlink w:anchor="_Toc210052754" w:history="1">
            <w:r w:rsidRPr="007F40EB">
              <w:rPr>
                <w:rStyle w:val="Hyperlink"/>
                <w:noProof/>
              </w:rPr>
              <w:t>3.3</w:t>
            </w:r>
            <w:r>
              <w:rPr>
                <w:rFonts w:eastAsiaTheme="minorEastAsia"/>
                <w:noProof/>
                <w:sz w:val="24"/>
                <w:szCs w:val="24"/>
              </w:rPr>
              <w:tab/>
            </w:r>
            <w:r w:rsidRPr="007F40EB">
              <w:rPr>
                <w:rStyle w:val="Hyperlink"/>
                <w:noProof/>
              </w:rPr>
              <w:t>Descripción general de las funciones de IDAM y el ICF</w:t>
            </w:r>
            <w:r>
              <w:rPr>
                <w:noProof/>
                <w:webHidden/>
              </w:rPr>
              <w:tab/>
            </w:r>
            <w:r>
              <w:rPr>
                <w:noProof/>
                <w:webHidden/>
              </w:rPr>
              <w:fldChar w:fldCharType="begin"/>
            </w:r>
            <w:r>
              <w:rPr>
                <w:noProof/>
                <w:webHidden/>
              </w:rPr>
              <w:instrText xml:space="preserve"> PAGEREF _Toc210052754 \h </w:instrText>
            </w:r>
            <w:r>
              <w:rPr>
                <w:noProof/>
                <w:webHidden/>
              </w:rPr>
            </w:r>
            <w:r>
              <w:rPr>
                <w:noProof/>
                <w:webHidden/>
              </w:rPr>
              <w:fldChar w:fldCharType="separate"/>
            </w:r>
            <w:r w:rsidR="000B6A13">
              <w:rPr>
                <w:noProof/>
                <w:webHidden/>
              </w:rPr>
              <w:t>18</w:t>
            </w:r>
            <w:r>
              <w:rPr>
                <w:noProof/>
                <w:webHidden/>
              </w:rPr>
              <w:fldChar w:fldCharType="end"/>
            </w:r>
          </w:hyperlink>
        </w:p>
        <w:p w14:paraId="004FE970" w14:textId="54CB183D" w:rsidR="002B019C" w:rsidRDefault="002B019C" w:rsidP="002B019C">
          <w:pPr>
            <w:pStyle w:val="TOC1"/>
            <w:rPr>
              <w:rFonts w:eastAsiaTheme="minorEastAsia"/>
              <w:noProof/>
              <w:sz w:val="24"/>
              <w:szCs w:val="24"/>
            </w:rPr>
          </w:pPr>
          <w:hyperlink w:anchor="_Toc210052755" w:history="1">
            <w:r w:rsidRPr="007F40EB">
              <w:rPr>
                <w:rStyle w:val="Hyperlink"/>
                <w:noProof/>
              </w:rPr>
              <w:t>4</w:t>
            </w:r>
            <w:r>
              <w:rPr>
                <w:rFonts w:eastAsiaTheme="minorEastAsia"/>
                <w:noProof/>
                <w:sz w:val="24"/>
                <w:szCs w:val="24"/>
              </w:rPr>
              <w:tab/>
            </w:r>
            <w:r w:rsidRPr="007F40EB">
              <w:rPr>
                <w:rStyle w:val="Hyperlink"/>
                <w:noProof/>
              </w:rPr>
              <w:t>Gestión de programas y proyectos</w:t>
            </w:r>
            <w:r>
              <w:rPr>
                <w:noProof/>
                <w:webHidden/>
              </w:rPr>
              <w:tab/>
            </w:r>
            <w:r>
              <w:rPr>
                <w:noProof/>
                <w:webHidden/>
              </w:rPr>
              <w:fldChar w:fldCharType="begin"/>
            </w:r>
            <w:r>
              <w:rPr>
                <w:noProof/>
                <w:webHidden/>
              </w:rPr>
              <w:instrText xml:space="preserve"> PAGEREF _Toc210052755 \h </w:instrText>
            </w:r>
            <w:r>
              <w:rPr>
                <w:noProof/>
                <w:webHidden/>
              </w:rPr>
            </w:r>
            <w:r>
              <w:rPr>
                <w:noProof/>
                <w:webHidden/>
              </w:rPr>
              <w:fldChar w:fldCharType="separate"/>
            </w:r>
            <w:r w:rsidR="000B6A13">
              <w:rPr>
                <w:noProof/>
                <w:webHidden/>
              </w:rPr>
              <w:t>22</w:t>
            </w:r>
            <w:r>
              <w:rPr>
                <w:noProof/>
                <w:webHidden/>
              </w:rPr>
              <w:fldChar w:fldCharType="end"/>
            </w:r>
          </w:hyperlink>
        </w:p>
        <w:p w14:paraId="14BB2849" w14:textId="30033E52" w:rsidR="002B019C" w:rsidRDefault="002B019C">
          <w:pPr>
            <w:pStyle w:val="TOC2"/>
            <w:tabs>
              <w:tab w:val="left" w:pos="960"/>
              <w:tab w:val="right" w:leader="dot" w:pos="9926"/>
            </w:tabs>
            <w:rPr>
              <w:rFonts w:eastAsiaTheme="minorEastAsia"/>
              <w:noProof/>
              <w:sz w:val="24"/>
              <w:szCs w:val="24"/>
            </w:rPr>
          </w:pPr>
          <w:hyperlink w:anchor="_Toc210052756" w:history="1">
            <w:r w:rsidRPr="007F40EB">
              <w:rPr>
                <w:rStyle w:val="Hyperlink"/>
                <w:noProof/>
              </w:rPr>
              <w:t>4.1</w:t>
            </w:r>
            <w:r>
              <w:rPr>
                <w:rFonts w:eastAsiaTheme="minorEastAsia"/>
                <w:noProof/>
                <w:sz w:val="24"/>
                <w:szCs w:val="24"/>
              </w:rPr>
              <w:tab/>
            </w:r>
            <w:r w:rsidRPr="007F40EB">
              <w:rPr>
                <w:rStyle w:val="Hyperlink"/>
                <w:noProof/>
              </w:rPr>
              <w:t>Gerente de proyecto</w:t>
            </w:r>
            <w:r>
              <w:rPr>
                <w:noProof/>
                <w:webHidden/>
              </w:rPr>
              <w:tab/>
            </w:r>
            <w:r>
              <w:rPr>
                <w:noProof/>
                <w:webHidden/>
              </w:rPr>
              <w:fldChar w:fldCharType="begin"/>
            </w:r>
            <w:r>
              <w:rPr>
                <w:noProof/>
                <w:webHidden/>
              </w:rPr>
              <w:instrText xml:space="preserve"> PAGEREF _Toc210052756 \h </w:instrText>
            </w:r>
            <w:r>
              <w:rPr>
                <w:noProof/>
                <w:webHidden/>
              </w:rPr>
            </w:r>
            <w:r>
              <w:rPr>
                <w:noProof/>
                <w:webHidden/>
              </w:rPr>
              <w:fldChar w:fldCharType="separate"/>
            </w:r>
            <w:r w:rsidR="000B6A13">
              <w:rPr>
                <w:noProof/>
                <w:webHidden/>
              </w:rPr>
              <w:t>22</w:t>
            </w:r>
            <w:r>
              <w:rPr>
                <w:noProof/>
                <w:webHidden/>
              </w:rPr>
              <w:fldChar w:fldCharType="end"/>
            </w:r>
          </w:hyperlink>
        </w:p>
        <w:p w14:paraId="6B052DA5" w14:textId="2005BB6A" w:rsidR="002B019C" w:rsidRDefault="002B019C">
          <w:pPr>
            <w:pStyle w:val="TOC2"/>
            <w:tabs>
              <w:tab w:val="left" w:pos="960"/>
              <w:tab w:val="right" w:leader="dot" w:pos="9926"/>
            </w:tabs>
            <w:rPr>
              <w:rFonts w:eastAsiaTheme="minorEastAsia"/>
              <w:noProof/>
              <w:sz w:val="24"/>
              <w:szCs w:val="24"/>
            </w:rPr>
          </w:pPr>
          <w:hyperlink w:anchor="_Toc210052757" w:history="1">
            <w:r w:rsidRPr="007F40EB">
              <w:rPr>
                <w:rStyle w:val="Hyperlink"/>
                <w:noProof/>
              </w:rPr>
              <w:t>4.2</w:t>
            </w:r>
            <w:r>
              <w:rPr>
                <w:rFonts w:eastAsiaTheme="minorEastAsia"/>
                <w:noProof/>
                <w:sz w:val="24"/>
                <w:szCs w:val="24"/>
              </w:rPr>
              <w:tab/>
            </w:r>
            <w:r w:rsidRPr="007F40EB">
              <w:rPr>
                <w:rStyle w:val="Hyperlink"/>
                <w:noProof/>
              </w:rPr>
              <w:t>Oficial de programas</w:t>
            </w:r>
            <w:r>
              <w:rPr>
                <w:noProof/>
                <w:webHidden/>
              </w:rPr>
              <w:tab/>
            </w:r>
            <w:r>
              <w:rPr>
                <w:noProof/>
                <w:webHidden/>
              </w:rPr>
              <w:fldChar w:fldCharType="begin"/>
            </w:r>
            <w:r>
              <w:rPr>
                <w:noProof/>
                <w:webHidden/>
              </w:rPr>
              <w:instrText xml:space="preserve"> PAGEREF _Toc210052757 \h </w:instrText>
            </w:r>
            <w:r>
              <w:rPr>
                <w:noProof/>
                <w:webHidden/>
              </w:rPr>
            </w:r>
            <w:r>
              <w:rPr>
                <w:noProof/>
                <w:webHidden/>
              </w:rPr>
              <w:fldChar w:fldCharType="separate"/>
            </w:r>
            <w:r w:rsidR="000B6A13">
              <w:rPr>
                <w:noProof/>
                <w:webHidden/>
              </w:rPr>
              <w:t>26</w:t>
            </w:r>
            <w:r>
              <w:rPr>
                <w:noProof/>
                <w:webHidden/>
              </w:rPr>
              <w:fldChar w:fldCharType="end"/>
            </w:r>
          </w:hyperlink>
        </w:p>
        <w:p w14:paraId="40B4F2D5" w14:textId="3B7FB7D7" w:rsidR="002B019C" w:rsidRDefault="002B019C">
          <w:pPr>
            <w:pStyle w:val="TOC2"/>
            <w:tabs>
              <w:tab w:val="left" w:pos="960"/>
              <w:tab w:val="right" w:leader="dot" w:pos="9926"/>
            </w:tabs>
            <w:rPr>
              <w:rFonts w:eastAsiaTheme="minorEastAsia"/>
              <w:noProof/>
              <w:sz w:val="24"/>
              <w:szCs w:val="24"/>
            </w:rPr>
          </w:pPr>
          <w:hyperlink w:anchor="_Toc210052758" w:history="1">
            <w:r w:rsidRPr="007F40EB">
              <w:rPr>
                <w:rStyle w:val="Hyperlink"/>
                <w:noProof/>
              </w:rPr>
              <w:t>4.3</w:t>
            </w:r>
            <w:r>
              <w:rPr>
                <w:rFonts w:eastAsiaTheme="minorEastAsia"/>
                <w:noProof/>
                <w:sz w:val="24"/>
                <w:szCs w:val="24"/>
              </w:rPr>
              <w:tab/>
            </w:r>
            <w:r w:rsidRPr="007F40EB">
              <w:rPr>
                <w:rStyle w:val="Hyperlink"/>
                <w:noProof/>
              </w:rPr>
              <w:t>Administrador de fondos fiduciarios</w:t>
            </w:r>
            <w:r>
              <w:rPr>
                <w:noProof/>
                <w:webHidden/>
              </w:rPr>
              <w:tab/>
            </w:r>
            <w:r>
              <w:rPr>
                <w:noProof/>
                <w:webHidden/>
              </w:rPr>
              <w:fldChar w:fldCharType="begin"/>
            </w:r>
            <w:r>
              <w:rPr>
                <w:noProof/>
                <w:webHidden/>
              </w:rPr>
              <w:instrText xml:space="preserve"> PAGEREF _Toc210052758 \h </w:instrText>
            </w:r>
            <w:r>
              <w:rPr>
                <w:noProof/>
                <w:webHidden/>
              </w:rPr>
            </w:r>
            <w:r>
              <w:rPr>
                <w:noProof/>
                <w:webHidden/>
              </w:rPr>
              <w:fldChar w:fldCharType="separate"/>
            </w:r>
            <w:r w:rsidR="000B6A13">
              <w:rPr>
                <w:noProof/>
                <w:webHidden/>
              </w:rPr>
              <w:t>27</w:t>
            </w:r>
            <w:r>
              <w:rPr>
                <w:noProof/>
                <w:webHidden/>
              </w:rPr>
              <w:fldChar w:fldCharType="end"/>
            </w:r>
          </w:hyperlink>
        </w:p>
        <w:p w14:paraId="78D4A3FA" w14:textId="14481C8D" w:rsidR="002B019C" w:rsidRDefault="002B019C">
          <w:pPr>
            <w:pStyle w:val="TOC2"/>
            <w:tabs>
              <w:tab w:val="left" w:pos="960"/>
              <w:tab w:val="right" w:leader="dot" w:pos="9926"/>
            </w:tabs>
            <w:rPr>
              <w:rFonts w:eastAsiaTheme="minorEastAsia"/>
              <w:noProof/>
              <w:sz w:val="24"/>
              <w:szCs w:val="24"/>
            </w:rPr>
          </w:pPr>
          <w:hyperlink w:anchor="_Toc210052759" w:history="1">
            <w:r w:rsidRPr="007F40EB">
              <w:rPr>
                <w:rStyle w:val="Hyperlink"/>
                <w:noProof/>
              </w:rPr>
              <w:t>4.4</w:t>
            </w:r>
            <w:r>
              <w:rPr>
                <w:rFonts w:eastAsiaTheme="minorEastAsia"/>
                <w:noProof/>
                <w:sz w:val="24"/>
                <w:szCs w:val="24"/>
              </w:rPr>
              <w:tab/>
            </w:r>
            <w:r w:rsidRPr="007F40EB">
              <w:rPr>
                <w:rStyle w:val="Hyperlink"/>
                <w:noProof/>
              </w:rPr>
              <w:t>Representante Residente Adjunto – Programas (o equivalente en la Sede)</w:t>
            </w:r>
            <w:r>
              <w:rPr>
                <w:noProof/>
                <w:webHidden/>
              </w:rPr>
              <w:tab/>
            </w:r>
            <w:r>
              <w:rPr>
                <w:noProof/>
                <w:webHidden/>
              </w:rPr>
              <w:fldChar w:fldCharType="begin"/>
            </w:r>
            <w:r>
              <w:rPr>
                <w:noProof/>
                <w:webHidden/>
              </w:rPr>
              <w:instrText xml:space="preserve"> PAGEREF _Toc210052759 \h </w:instrText>
            </w:r>
            <w:r>
              <w:rPr>
                <w:noProof/>
                <w:webHidden/>
              </w:rPr>
            </w:r>
            <w:r>
              <w:rPr>
                <w:noProof/>
                <w:webHidden/>
              </w:rPr>
              <w:fldChar w:fldCharType="separate"/>
            </w:r>
            <w:r w:rsidR="000B6A13">
              <w:rPr>
                <w:noProof/>
                <w:webHidden/>
              </w:rPr>
              <w:t>29</w:t>
            </w:r>
            <w:r>
              <w:rPr>
                <w:noProof/>
                <w:webHidden/>
              </w:rPr>
              <w:fldChar w:fldCharType="end"/>
            </w:r>
          </w:hyperlink>
        </w:p>
        <w:p w14:paraId="10A39C6B" w14:textId="79CC751A" w:rsidR="002B019C" w:rsidRDefault="002B019C" w:rsidP="002B019C">
          <w:pPr>
            <w:pStyle w:val="TOC1"/>
            <w:rPr>
              <w:rFonts w:eastAsiaTheme="minorEastAsia"/>
              <w:noProof/>
              <w:sz w:val="24"/>
              <w:szCs w:val="24"/>
            </w:rPr>
          </w:pPr>
          <w:hyperlink w:anchor="_Toc210052760" w:history="1">
            <w:r w:rsidRPr="007F40EB">
              <w:rPr>
                <w:rStyle w:val="Hyperlink"/>
                <w:noProof/>
              </w:rPr>
              <w:t>5</w:t>
            </w:r>
            <w:r>
              <w:rPr>
                <w:rFonts w:eastAsiaTheme="minorEastAsia"/>
                <w:noProof/>
                <w:sz w:val="24"/>
                <w:szCs w:val="24"/>
              </w:rPr>
              <w:tab/>
            </w:r>
            <w:r w:rsidRPr="007F40EB">
              <w:rPr>
                <w:rStyle w:val="Hyperlink"/>
                <w:noProof/>
              </w:rPr>
              <w:t>Adquirir y pagar</w:t>
            </w:r>
            <w:r>
              <w:rPr>
                <w:noProof/>
                <w:webHidden/>
              </w:rPr>
              <w:tab/>
            </w:r>
            <w:r>
              <w:rPr>
                <w:noProof/>
                <w:webHidden/>
              </w:rPr>
              <w:fldChar w:fldCharType="begin"/>
            </w:r>
            <w:r>
              <w:rPr>
                <w:noProof/>
                <w:webHidden/>
              </w:rPr>
              <w:instrText xml:space="preserve"> PAGEREF _Toc210052760 \h </w:instrText>
            </w:r>
            <w:r>
              <w:rPr>
                <w:noProof/>
                <w:webHidden/>
              </w:rPr>
            </w:r>
            <w:r>
              <w:rPr>
                <w:noProof/>
                <w:webHidden/>
              </w:rPr>
              <w:fldChar w:fldCharType="separate"/>
            </w:r>
            <w:r w:rsidR="000B6A13">
              <w:rPr>
                <w:noProof/>
                <w:webHidden/>
              </w:rPr>
              <w:t>29</w:t>
            </w:r>
            <w:r>
              <w:rPr>
                <w:noProof/>
                <w:webHidden/>
              </w:rPr>
              <w:fldChar w:fldCharType="end"/>
            </w:r>
          </w:hyperlink>
        </w:p>
        <w:p w14:paraId="6FB46C3E" w14:textId="3129DB9A" w:rsidR="002B019C" w:rsidRDefault="002B019C">
          <w:pPr>
            <w:pStyle w:val="TOC2"/>
            <w:tabs>
              <w:tab w:val="left" w:pos="960"/>
              <w:tab w:val="right" w:leader="dot" w:pos="9926"/>
            </w:tabs>
            <w:rPr>
              <w:rFonts w:eastAsiaTheme="minorEastAsia"/>
              <w:noProof/>
              <w:sz w:val="24"/>
              <w:szCs w:val="24"/>
            </w:rPr>
          </w:pPr>
          <w:hyperlink w:anchor="_Toc210052761" w:history="1">
            <w:r w:rsidRPr="007F40EB">
              <w:rPr>
                <w:rStyle w:val="Hyperlink"/>
                <w:noProof/>
              </w:rPr>
              <w:t>5.1</w:t>
            </w:r>
            <w:r>
              <w:rPr>
                <w:rFonts w:eastAsiaTheme="minorEastAsia"/>
                <w:noProof/>
                <w:sz w:val="24"/>
                <w:szCs w:val="24"/>
              </w:rPr>
              <w:tab/>
            </w:r>
            <w:r w:rsidRPr="007F40EB">
              <w:rPr>
                <w:rStyle w:val="Hyperlink"/>
                <w:noProof/>
              </w:rPr>
              <w:t>Comprador de adquisiciones</w:t>
            </w:r>
            <w:r>
              <w:rPr>
                <w:noProof/>
                <w:webHidden/>
              </w:rPr>
              <w:tab/>
            </w:r>
            <w:r>
              <w:rPr>
                <w:noProof/>
                <w:webHidden/>
              </w:rPr>
              <w:fldChar w:fldCharType="begin"/>
            </w:r>
            <w:r>
              <w:rPr>
                <w:noProof/>
                <w:webHidden/>
              </w:rPr>
              <w:instrText xml:space="preserve"> PAGEREF _Toc210052761 \h </w:instrText>
            </w:r>
            <w:r>
              <w:rPr>
                <w:noProof/>
                <w:webHidden/>
              </w:rPr>
            </w:r>
            <w:r>
              <w:rPr>
                <w:noProof/>
                <w:webHidden/>
              </w:rPr>
              <w:fldChar w:fldCharType="separate"/>
            </w:r>
            <w:r w:rsidR="000B6A13">
              <w:rPr>
                <w:noProof/>
                <w:webHidden/>
              </w:rPr>
              <w:t>30</w:t>
            </w:r>
            <w:r>
              <w:rPr>
                <w:noProof/>
                <w:webHidden/>
              </w:rPr>
              <w:fldChar w:fldCharType="end"/>
            </w:r>
          </w:hyperlink>
        </w:p>
        <w:p w14:paraId="77A96947" w14:textId="000BC956" w:rsidR="002B019C" w:rsidRDefault="002B019C">
          <w:pPr>
            <w:pStyle w:val="TOC2"/>
            <w:tabs>
              <w:tab w:val="left" w:pos="960"/>
              <w:tab w:val="right" w:leader="dot" w:pos="9926"/>
            </w:tabs>
            <w:rPr>
              <w:rFonts w:eastAsiaTheme="minorEastAsia"/>
              <w:noProof/>
              <w:sz w:val="24"/>
              <w:szCs w:val="24"/>
            </w:rPr>
          </w:pPr>
          <w:hyperlink w:anchor="_Toc210052762" w:history="1">
            <w:r w:rsidRPr="007F40EB">
              <w:rPr>
                <w:rStyle w:val="Hyperlink"/>
                <w:noProof/>
              </w:rPr>
              <w:t>5.2</w:t>
            </w:r>
            <w:r>
              <w:rPr>
                <w:rFonts w:eastAsiaTheme="minorEastAsia"/>
                <w:noProof/>
                <w:sz w:val="24"/>
                <w:szCs w:val="24"/>
              </w:rPr>
              <w:tab/>
            </w:r>
            <w:r w:rsidRPr="007F40EB">
              <w:rPr>
                <w:rStyle w:val="Hyperlink"/>
                <w:noProof/>
              </w:rPr>
              <w:t>Mantenimiento de proveedores (aprobador de nivel 1)</w:t>
            </w:r>
            <w:r>
              <w:rPr>
                <w:noProof/>
                <w:webHidden/>
              </w:rPr>
              <w:tab/>
            </w:r>
            <w:r>
              <w:rPr>
                <w:noProof/>
                <w:webHidden/>
              </w:rPr>
              <w:fldChar w:fldCharType="begin"/>
            </w:r>
            <w:r>
              <w:rPr>
                <w:noProof/>
                <w:webHidden/>
              </w:rPr>
              <w:instrText xml:space="preserve"> PAGEREF _Toc210052762 \h </w:instrText>
            </w:r>
            <w:r>
              <w:rPr>
                <w:noProof/>
                <w:webHidden/>
              </w:rPr>
            </w:r>
            <w:r>
              <w:rPr>
                <w:noProof/>
                <w:webHidden/>
              </w:rPr>
              <w:fldChar w:fldCharType="separate"/>
            </w:r>
            <w:r w:rsidR="000B6A13">
              <w:rPr>
                <w:noProof/>
                <w:webHidden/>
              </w:rPr>
              <w:t>31</w:t>
            </w:r>
            <w:r>
              <w:rPr>
                <w:noProof/>
                <w:webHidden/>
              </w:rPr>
              <w:fldChar w:fldCharType="end"/>
            </w:r>
          </w:hyperlink>
        </w:p>
        <w:p w14:paraId="3938B238" w14:textId="7A56BC6C" w:rsidR="002B019C" w:rsidRDefault="002B019C">
          <w:pPr>
            <w:pStyle w:val="TOC2"/>
            <w:tabs>
              <w:tab w:val="left" w:pos="960"/>
              <w:tab w:val="right" w:leader="dot" w:pos="9926"/>
            </w:tabs>
            <w:rPr>
              <w:rFonts w:eastAsiaTheme="minorEastAsia"/>
              <w:noProof/>
              <w:sz w:val="24"/>
              <w:szCs w:val="24"/>
            </w:rPr>
          </w:pPr>
          <w:hyperlink w:anchor="_Toc210052763" w:history="1">
            <w:r w:rsidRPr="007F40EB">
              <w:rPr>
                <w:rStyle w:val="Hyperlink"/>
                <w:noProof/>
              </w:rPr>
              <w:t>5.3</w:t>
            </w:r>
            <w:r>
              <w:rPr>
                <w:rFonts w:eastAsiaTheme="minorEastAsia"/>
                <w:noProof/>
                <w:sz w:val="24"/>
                <w:szCs w:val="24"/>
              </w:rPr>
              <w:tab/>
            </w:r>
            <w:r w:rsidRPr="007F40EB">
              <w:rPr>
                <w:rStyle w:val="Hyperlink"/>
                <w:noProof/>
              </w:rPr>
              <w:t>Aprobador de proveedores (aprobador de nivel 2)</w:t>
            </w:r>
            <w:r>
              <w:rPr>
                <w:noProof/>
                <w:webHidden/>
              </w:rPr>
              <w:tab/>
            </w:r>
            <w:r>
              <w:rPr>
                <w:noProof/>
                <w:webHidden/>
              </w:rPr>
              <w:fldChar w:fldCharType="begin"/>
            </w:r>
            <w:r>
              <w:rPr>
                <w:noProof/>
                <w:webHidden/>
              </w:rPr>
              <w:instrText xml:space="preserve"> PAGEREF _Toc210052763 \h </w:instrText>
            </w:r>
            <w:r>
              <w:rPr>
                <w:noProof/>
                <w:webHidden/>
              </w:rPr>
            </w:r>
            <w:r>
              <w:rPr>
                <w:noProof/>
                <w:webHidden/>
              </w:rPr>
              <w:fldChar w:fldCharType="separate"/>
            </w:r>
            <w:r w:rsidR="000B6A13">
              <w:rPr>
                <w:noProof/>
                <w:webHidden/>
              </w:rPr>
              <w:t>31</w:t>
            </w:r>
            <w:r>
              <w:rPr>
                <w:noProof/>
                <w:webHidden/>
              </w:rPr>
              <w:fldChar w:fldCharType="end"/>
            </w:r>
          </w:hyperlink>
        </w:p>
        <w:p w14:paraId="4F19D7B3" w14:textId="422491F8" w:rsidR="002B019C" w:rsidRDefault="002B019C">
          <w:pPr>
            <w:pStyle w:val="TOC2"/>
            <w:tabs>
              <w:tab w:val="left" w:pos="960"/>
              <w:tab w:val="right" w:leader="dot" w:pos="9926"/>
            </w:tabs>
            <w:rPr>
              <w:rFonts w:eastAsiaTheme="minorEastAsia"/>
              <w:noProof/>
              <w:sz w:val="24"/>
              <w:szCs w:val="24"/>
            </w:rPr>
          </w:pPr>
          <w:hyperlink w:anchor="_Toc210052764" w:history="1">
            <w:r w:rsidRPr="007F40EB">
              <w:rPr>
                <w:rStyle w:val="Hyperlink"/>
                <w:noProof/>
              </w:rPr>
              <w:t>5.4</w:t>
            </w:r>
            <w:r>
              <w:rPr>
                <w:rFonts w:eastAsiaTheme="minorEastAsia"/>
                <w:noProof/>
                <w:sz w:val="24"/>
                <w:szCs w:val="24"/>
              </w:rPr>
              <w:tab/>
            </w:r>
            <w:r w:rsidRPr="007F40EB">
              <w:rPr>
                <w:rStyle w:val="Hyperlink"/>
                <w:noProof/>
              </w:rPr>
              <w:t>Gerente de aprobación (segunda autoridad, oficial verificador)</w:t>
            </w:r>
            <w:r>
              <w:rPr>
                <w:noProof/>
                <w:webHidden/>
              </w:rPr>
              <w:tab/>
            </w:r>
            <w:r>
              <w:rPr>
                <w:noProof/>
                <w:webHidden/>
              </w:rPr>
              <w:fldChar w:fldCharType="begin"/>
            </w:r>
            <w:r>
              <w:rPr>
                <w:noProof/>
                <w:webHidden/>
              </w:rPr>
              <w:instrText xml:space="preserve"> PAGEREF _Toc210052764 \h </w:instrText>
            </w:r>
            <w:r>
              <w:rPr>
                <w:noProof/>
                <w:webHidden/>
              </w:rPr>
            </w:r>
            <w:r>
              <w:rPr>
                <w:noProof/>
                <w:webHidden/>
              </w:rPr>
              <w:fldChar w:fldCharType="separate"/>
            </w:r>
            <w:r w:rsidR="000B6A13">
              <w:rPr>
                <w:noProof/>
                <w:webHidden/>
              </w:rPr>
              <w:t>32</w:t>
            </w:r>
            <w:r>
              <w:rPr>
                <w:noProof/>
                <w:webHidden/>
              </w:rPr>
              <w:fldChar w:fldCharType="end"/>
            </w:r>
          </w:hyperlink>
        </w:p>
        <w:p w14:paraId="2D74C133" w14:textId="3E956032" w:rsidR="002B019C" w:rsidRDefault="002B019C">
          <w:pPr>
            <w:pStyle w:val="TOC2"/>
            <w:tabs>
              <w:tab w:val="left" w:pos="960"/>
              <w:tab w:val="right" w:leader="dot" w:pos="9926"/>
            </w:tabs>
            <w:rPr>
              <w:rFonts w:eastAsiaTheme="minorEastAsia"/>
              <w:noProof/>
              <w:sz w:val="24"/>
              <w:szCs w:val="24"/>
            </w:rPr>
          </w:pPr>
          <w:hyperlink w:anchor="_Toc210052765" w:history="1">
            <w:r w:rsidRPr="007F40EB">
              <w:rPr>
                <w:rStyle w:val="Hyperlink"/>
                <w:noProof/>
              </w:rPr>
              <w:t>5.5</w:t>
            </w:r>
            <w:r>
              <w:rPr>
                <w:rFonts w:eastAsiaTheme="minorEastAsia"/>
                <w:noProof/>
                <w:sz w:val="24"/>
                <w:szCs w:val="24"/>
              </w:rPr>
              <w:tab/>
            </w:r>
            <w:r w:rsidRPr="007F40EB">
              <w:rPr>
                <w:rStyle w:val="Hyperlink"/>
                <w:noProof/>
              </w:rPr>
              <w:t>Oficial de Desembolso (tercera autoridad)</w:t>
            </w:r>
            <w:r>
              <w:rPr>
                <w:noProof/>
                <w:webHidden/>
              </w:rPr>
              <w:tab/>
            </w:r>
            <w:r>
              <w:rPr>
                <w:noProof/>
                <w:webHidden/>
              </w:rPr>
              <w:fldChar w:fldCharType="begin"/>
            </w:r>
            <w:r>
              <w:rPr>
                <w:noProof/>
                <w:webHidden/>
              </w:rPr>
              <w:instrText xml:space="preserve"> PAGEREF _Toc210052765 \h </w:instrText>
            </w:r>
            <w:r>
              <w:rPr>
                <w:noProof/>
                <w:webHidden/>
              </w:rPr>
            </w:r>
            <w:r>
              <w:rPr>
                <w:noProof/>
                <w:webHidden/>
              </w:rPr>
              <w:fldChar w:fldCharType="separate"/>
            </w:r>
            <w:r w:rsidR="000B6A13">
              <w:rPr>
                <w:noProof/>
                <w:webHidden/>
              </w:rPr>
              <w:t>36</w:t>
            </w:r>
            <w:r>
              <w:rPr>
                <w:noProof/>
                <w:webHidden/>
              </w:rPr>
              <w:fldChar w:fldCharType="end"/>
            </w:r>
          </w:hyperlink>
        </w:p>
        <w:p w14:paraId="73248CD4" w14:textId="3EEAC758" w:rsidR="002B019C" w:rsidRDefault="002B019C">
          <w:pPr>
            <w:pStyle w:val="TOC2"/>
            <w:tabs>
              <w:tab w:val="left" w:pos="960"/>
              <w:tab w:val="right" w:leader="dot" w:pos="9926"/>
            </w:tabs>
            <w:rPr>
              <w:rFonts w:eastAsiaTheme="minorEastAsia"/>
              <w:noProof/>
              <w:sz w:val="24"/>
              <w:szCs w:val="24"/>
            </w:rPr>
          </w:pPr>
          <w:hyperlink w:anchor="_Toc210052766" w:history="1">
            <w:r w:rsidRPr="007F40EB">
              <w:rPr>
                <w:rStyle w:val="Hyperlink"/>
                <w:noProof/>
              </w:rPr>
              <w:t>5.6</w:t>
            </w:r>
            <w:r>
              <w:rPr>
                <w:rFonts w:eastAsiaTheme="minorEastAsia"/>
                <w:noProof/>
                <w:sz w:val="24"/>
                <w:szCs w:val="24"/>
              </w:rPr>
              <w:tab/>
            </w:r>
            <w:r w:rsidRPr="007F40EB">
              <w:rPr>
                <w:rStyle w:val="Hyperlink"/>
                <w:noProof/>
              </w:rPr>
              <w:t>Gestión de cuentas bancarias y firmantes de cuentas bancarias</w:t>
            </w:r>
            <w:r>
              <w:rPr>
                <w:noProof/>
                <w:webHidden/>
              </w:rPr>
              <w:tab/>
            </w:r>
            <w:r>
              <w:rPr>
                <w:noProof/>
                <w:webHidden/>
              </w:rPr>
              <w:fldChar w:fldCharType="begin"/>
            </w:r>
            <w:r>
              <w:rPr>
                <w:noProof/>
                <w:webHidden/>
              </w:rPr>
              <w:instrText xml:space="preserve"> PAGEREF _Toc210052766 \h </w:instrText>
            </w:r>
            <w:r>
              <w:rPr>
                <w:noProof/>
                <w:webHidden/>
              </w:rPr>
            </w:r>
            <w:r>
              <w:rPr>
                <w:noProof/>
                <w:webHidden/>
              </w:rPr>
              <w:fldChar w:fldCharType="separate"/>
            </w:r>
            <w:r w:rsidR="000B6A13">
              <w:rPr>
                <w:noProof/>
                <w:webHidden/>
              </w:rPr>
              <w:t>37</w:t>
            </w:r>
            <w:r>
              <w:rPr>
                <w:noProof/>
                <w:webHidden/>
              </w:rPr>
              <w:fldChar w:fldCharType="end"/>
            </w:r>
          </w:hyperlink>
        </w:p>
        <w:p w14:paraId="5C3B8FE8" w14:textId="6EB17733" w:rsidR="002B019C" w:rsidRDefault="002B019C" w:rsidP="002B019C">
          <w:pPr>
            <w:pStyle w:val="TOC1"/>
            <w:rPr>
              <w:rFonts w:eastAsiaTheme="minorEastAsia"/>
              <w:noProof/>
              <w:sz w:val="24"/>
              <w:szCs w:val="24"/>
            </w:rPr>
          </w:pPr>
          <w:hyperlink w:anchor="_Toc210052767" w:history="1">
            <w:r w:rsidRPr="007F40EB">
              <w:rPr>
                <w:rStyle w:val="Hyperlink"/>
                <w:noProof/>
              </w:rPr>
              <w:t>6</w:t>
            </w:r>
            <w:r>
              <w:rPr>
                <w:rFonts w:eastAsiaTheme="minorEastAsia"/>
                <w:noProof/>
                <w:sz w:val="24"/>
                <w:szCs w:val="24"/>
              </w:rPr>
              <w:tab/>
            </w:r>
            <w:r w:rsidRPr="007F40EB">
              <w:rPr>
                <w:rStyle w:val="Hyperlink"/>
                <w:noProof/>
              </w:rPr>
              <w:t>Viajar</w:t>
            </w:r>
            <w:r>
              <w:rPr>
                <w:noProof/>
                <w:webHidden/>
              </w:rPr>
              <w:tab/>
            </w:r>
            <w:r>
              <w:rPr>
                <w:noProof/>
                <w:webHidden/>
              </w:rPr>
              <w:fldChar w:fldCharType="begin"/>
            </w:r>
            <w:r>
              <w:rPr>
                <w:noProof/>
                <w:webHidden/>
              </w:rPr>
              <w:instrText xml:space="preserve"> PAGEREF _Toc210052767 \h </w:instrText>
            </w:r>
            <w:r>
              <w:rPr>
                <w:noProof/>
                <w:webHidden/>
              </w:rPr>
            </w:r>
            <w:r>
              <w:rPr>
                <w:noProof/>
                <w:webHidden/>
              </w:rPr>
              <w:fldChar w:fldCharType="separate"/>
            </w:r>
            <w:r w:rsidR="000B6A13">
              <w:rPr>
                <w:noProof/>
                <w:webHidden/>
              </w:rPr>
              <w:t>38</w:t>
            </w:r>
            <w:r>
              <w:rPr>
                <w:noProof/>
                <w:webHidden/>
              </w:rPr>
              <w:fldChar w:fldCharType="end"/>
            </w:r>
          </w:hyperlink>
        </w:p>
        <w:p w14:paraId="740CB0E3" w14:textId="2B393E19" w:rsidR="002B019C" w:rsidRDefault="002B019C" w:rsidP="002B019C">
          <w:pPr>
            <w:pStyle w:val="TOC1"/>
            <w:rPr>
              <w:rFonts w:eastAsiaTheme="minorEastAsia"/>
              <w:noProof/>
              <w:sz w:val="24"/>
              <w:szCs w:val="24"/>
            </w:rPr>
          </w:pPr>
          <w:hyperlink w:anchor="_Toc210052768" w:history="1">
            <w:r w:rsidRPr="007F40EB">
              <w:rPr>
                <w:rStyle w:val="Hyperlink"/>
                <w:noProof/>
              </w:rPr>
              <w:t>7</w:t>
            </w:r>
            <w:r>
              <w:rPr>
                <w:rFonts w:eastAsiaTheme="minorEastAsia"/>
                <w:noProof/>
                <w:sz w:val="24"/>
                <w:szCs w:val="24"/>
              </w:rPr>
              <w:tab/>
            </w:r>
            <w:r w:rsidRPr="007F40EB">
              <w:rPr>
                <w:rStyle w:val="Hyperlink"/>
                <w:noProof/>
              </w:rPr>
              <w:t>Funciones de control interno de gestión de activos e inventario</w:t>
            </w:r>
            <w:r>
              <w:rPr>
                <w:noProof/>
                <w:webHidden/>
              </w:rPr>
              <w:tab/>
            </w:r>
            <w:r>
              <w:rPr>
                <w:noProof/>
                <w:webHidden/>
              </w:rPr>
              <w:fldChar w:fldCharType="begin"/>
            </w:r>
            <w:r>
              <w:rPr>
                <w:noProof/>
                <w:webHidden/>
              </w:rPr>
              <w:instrText xml:space="preserve"> PAGEREF _Toc210052768 \h </w:instrText>
            </w:r>
            <w:r>
              <w:rPr>
                <w:noProof/>
                <w:webHidden/>
              </w:rPr>
            </w:r>
            <w:r>
              <w:rPr>
                <w:noProof/>
                <w:webHidden/>
              </w:rPr>
              <w:fldChar w:fldCharType="separate"/>
            </w:r>
            <w:r w:rsidR="000B6A13">
              <w:rPr>
                <w:noProof/>
                <w:webHidden/>
              </w:rPr>
              <w:t>41</w:t>
            </w:r>
            <w:r>
              <w:rPr>
                <w:noProof/>
                <w:webHidden/>
              </w:rPr>
              <w:fldChar w:fldCharType="end"/>
            </w:r>
          </w:hyperlink>
        </w:p>
        <w:p w14:paraId="25EAED1A" w14:textId="409F9AA2" w:rsidR="002B019C" w:rsidRDefault="002B019C">
          <w:pPr>
            <w:pStyle w:val="TOC2"/>
            <w:tabs>
              <w:tab w:val="left" w:pos="960"/>
              <w:tab w:val="right" w:leader="dot" w:pos="9926"/>
            </w:tabs>
            <w:rPr>
              <w:rFonts w:eastAsiaTheme="minorEastAsia"/>
              <w:noProof/>
              <w:sz w:val="24"/>
              <w:szCs w:val="24"/>
            </w:rPr>
          </w:pPr>
          <w:hyperlink w:anchor="_Toc210052769" w:history="1">
            <w:r w:rsidRPr="007F40EB">
              <w:rPr>
                <w:rStyle w:val="Hyperlink"/>
                <w:noProof/>
              </w:rPr>
              <w:t>7.1</w:t>
            </w:r>
            <w:r>
              <w:rPr>
                <w:rFonts w:eastAsiaTheme="minorEastAsia"/>
                <w:noProof/>
                <w:sz w:val="24"/>
                <w:szCs w:val="24"/>
              </w:rPr>
              <w:tab/>
            </w:r>
            <w:r w:rsidRPr="007F40EB">
              <w:rPr>
                <w:rStyle w:val="Hyperlink"/>
                <w:noProof/>
              </w:rPr>
              <w:t>Gestor de activos</w:t>
            </w:r>
            <w:r>
              <w:rPr>
                <w:noProof/>
                <w:webHidden/>
              </w:rPr>
              <w:tab/>
            </w:r>
            <w:r>
              <w:rPr>
                <w:noProof/>
                <w:webHidden/>
              </w:rPr>
              <w:fldChar w:fldCharType="begin"/>
            </w:r>
            <w:r>
              <w:rPr>
                <w:noProof/>
                <w:webHidden/>
              </w:rPr>
              <w:instrText xml:space="preserve"> PAGEREF _Toc210052769 \h </w:instrText>
            </w:r>
            <w:r>
              <w:rPr>
                <w:noProof/>
                <w:webHidden/>
              </w:rPr>
            </w:r>
            <w:r>
              <w:rPr>
                <w:noProof/>
                <w:webHidden/>
              </w:rPr>
              <w:fldChar w:fldCharType="separate"/>
            </w:r>
            <w:r w:rsidR="000B6A13">
              <w:rPr>
                <w:noProof/>
                <w:webHidden/>
              </w:rPr>
              <w:t>41</w:t>
            </w:r>
            <w:r>
              <w:rPr>
                <w:noProof/>
                <w:webHidden/>
              </w:rPr>
              <w:fldChar w:fldCharType="end"/>
            </w:r>
          </w:hyperlink>
        </w:p>
        <w:p w14:paraId="4096C301" w14:textId="1C79AD4D" w:rsidR="002B019C" w:rsidRDefault="002B019C">
          <w:pPr>
            <w:pStyle w:val="TOC2"/>
            <w:tabs>
              <w:tab w:val="left" w:pos="960"/>
              <w:tab w:val="right" w:leader="dot" w:pos="9926"/>
            </w:tabs>
            <w:rPr>
              <w:rFonts w:eastAsiaTheme="minorEastAsia"/>
              <w:noProof/>
              <w:sz w:val="24"/>
              <w:szCs w:val="24"/>
            </w:rPr>
          </w:pPr>
          <w:hyperlink w:anchor="_Toc210052770" w:history="1">
            <w:r w:rsidRPr="007F40EB">
              <w:rPr>
                <w:rStyle w:val="Hyperlink"/>
                <w:noProof/>
              </w:rPr>
              <w:t>7.2</w:t>
            </w:r>
            <w:r>
              <w:rPr>
                <w:rFonts w:eastAsiaTheme="minorEastAsia"/>
                <w:noProof/>
                <w:sz w:val="24"/>
                <w:szCs w:val="24"/>
              </w:rPr>
              <w:tab/>
            </w:r>
            <w:r w:rsidRPr="007F40EB">
              <w:rPr>
                <w:rStyle w:val="Hyperlink"/>
                <w:noProof/>
              </w:rPr>
              <w:t>Punto focal de activos</w:t>
            </w:r>
            <w:r>
              <w:rPr>
                <w:noProof/>
                <w:webHidden/>
              </w:rPr>
              <w:tab/>
            </w:r>
            <w:r>
              <w:rPr>
                <w:noProof/>
                <w:webHidden/>
              </w:rPr>
              <w:fldChar w:fldCharType="begin"/>
            </w:r>
            <w:r>
              <w:rPr>
                <w:noProof/>
                <w:webHidden/>
              </w:rPr>
              <w:instrText xml:space="preserve"> PAGEREF _Toc210052770 \h </w:instrText>
            </w:r>
            <w:r>
              <w:rPr>
                <w:noProof/>
                <w:webHidden/>
              </w:rPr>
            </w:r>
            <w:r>
              <w:rPr>
                <w:noProof/>
                <w:webHidden/>
              </w:rPr>
              <w:fldChar w:fldCharType="separate"/>
            </w:r>
            <w:r w:rsidR="000B6A13">
              <w:rPr>
                <w:noProof/>
                <w:webHidden/>
              </w:rPr>
              <w:t>42</w:t>
            </w:r>
            <w:r>
              <w:rPr>
                <w:noProof/>
                <w:webHidden/>
              </w:rPr>
              <w:fldChar w:fldCharType="end"/>
            </w:r>
          </w:hyperlink>
        </w:p>
        <w:p w14:paraId="72C3DEEB" w14:textId="312FCAAF" w:rsidR="002B019C" w:rsidRDefault="002B019C">
          <w:pPr>
            <w:pStyle w:val="TOC2"/>
            <w:tabs>
              <w:tab w:val="left" w:pos="960"/>
              <w:tab w:val="right" w:leader="dot" w:pos="9926"/>
            </w:tabs>
            <w:rPr>
              <w:rFonts w:eastAsiaTheme="minorEastAsia"/>
              <w:noProof/>
              <w:sz w:val="24"/>
              <w:szCs w:val="24"/>
            </w:rPr>
          </w:pPr>
          <w:hyperlink w:anchor="_Toc210052771" w:history="1">
            <w:r w:rsidRPr="007F40EB">
              <w:rPr>
                <w:rStyle w:val="Hyperlink"/>
                <w:noProof/>
              </w:rPr>
              <w:t>7.3</w:t>
            </w:r>
            <w:r>
              <w:rPr>
                <w:rFonts w:eastAsiaTheme="minorEastAsia"/>
                <w:noProof/>
                <w:sz w:val="24"/>
                <w:szCs w:val="24"/>
              </w:rPr>
              <w:tab/>
            </w:r>
            <w:r w:rsidRPr="007F40EB">
              <w:rPr>
                <w:rStyle w:val="Hyperlink"/>
                <w:noProof/>
              </w:rPr>
              <w:t>Coordinador de Verificación Física de Activos Fijos</w:t>
            </w:r>
            <w:r>
              <w:rPr>
                <w:noProof/>
                <w:webHidden/>
              </w:rPr>
              <w:tab/>
            </w:r>
            <w:r>
              <w:rPr>
                <w:noProof/>
                <w:webHidden/>
              </w:rPr>
              <w:fldChar w:fldCharType="begin"/>
            </w:r>
            <w:r>
              <w:rPr>
                <w:noProof/>
                <w:webHidden/>
              </w:rPr>
              <w:instrText xml:space="preserve"> PAGEREF _Toc210052771 \h </w:instrText>
            </w:r>
            <w:r>
              <w:rPr>
                <w:noProof/>
                <w:webHidden/>
              </w:rPr>
            </w:r>
            <w:r>
              <w:rPr>
                <w:noProof/>
                <w:webHidden/>
              </w:rPr>
              <w:fldChar w:fldCharType="separate"/>
            </w:r>
            <w:r w:rsidR="000B6A13">
              <w:rPr>
                <w:noProof/>
                <w:webHidden/>
              </w:rPr>
              <w:t>42</w:t>
            </w:r>
            <w:r>
              <w:rPr>
                <w:noProof/>
                <w:webHidden/>
              </w:rPr>
              <w:fldChar w:fldCharType="end"/>
            </w:r>
          </w:hyperlink>
        </w:p>
        <w:p w14:paraId="5F4BCA3E" w14:textId="6560D50C" w:rsidR="002B019C" w:rsidRDefault="002B019C">
          <w:pPr>
            <w:pStyle w:val="TOC2"/>
            <w:tabs>
              <w:tab w:val="left" w:pos="960"/>
              <w:tab w:val="right" w:leader="dot" w:pos="9926"/>
            </w:tabs>
            <w:rPr>
              <w:rFonts w:eastAsiaTheme="minorEastAsia"/>
              <w:noProof/>
              <w:sz w:val="24"/>
              <w:szCs w:val="24"/>
            </w:rPr>
          </w:pPr>
          <w:hyperlink w:anchor="_Toc210052772" w:history="1">
            <w:r w:rsidRPr="007F40EB">
              <w:rPr>
                <w:rStyle w:val="Hyperlink"/>
                <w:noProof/>
              </w:rPr>
              <w:t>7.4</w:t>
            </w:r>
            <w:r>
              <w:rPr>
                <w:rFonts w:eastAsiaTheme="minorEastAsia"/>
                <w:noProof/>
                <w:sz w:val="24"/>
                <w:szCs w:val="24"/>
              </w:rPr>
              <w:tab/>
            </w:r>
            <w:r w:rsidRPr="007F40EB">
              <w:rPr>
                <w:rStyle w:val="Hyperlink"/>
                <w:noProof/>
              </w:rPr>
              <w:t>Gerente de inventario</w:t>
            </w:r>
            <w:r>
              <w:rPr>
                <w:noProof/>
                <w:webHidden/>
              </w:rPr>
              <w:tab/>
            </w:r>
            <w:r>
              <w:rPr>
                <w:noProof/>
                <w:webHidden/>
              </w:rPr>
              <w:fldChar w:fldCharType="begin"/>
            </w:r>
            <w:r>
              <w:rPr>
                <w:noProof/>
                <w:webHidden/>
              </w:rPr>
              <w:instrText xml:space="preserve"> PAGEREF _Toc210052772 \h </w:instrText>
            </w:r>
            <w:r>
              <w:rPr>
                <w:noProof/>
                <w:webHidden/>
              </w:rPr>
            </w:r>
            <w:r>
              <w:rPr>
                <w:noProof/>
                <w:webHidden/>
              </w:rPr>
              <w:fldChar w:fldCharType="separate"/>
            </w:r>
            <w:r w:rsidR="000B6A13">
              <w:rPr>
                <w:noProof/>
                <w:webHidden/>
              </w:rPr>
              <w:t>42</w:t>
            </w:r>
            <w:r>
              <w:rPr>
                <w:noProof/>
                <w:webHidden/>
              </w:rPr>
              <w:fldChar w:fldCharType="end"/>
            </w:r>
          </w:hyperlink>
        </w:p>
        <w:p w14:paraId="799A8383" w14:textId="75231DB7" w:rsidR="002B019C" w:rsidRDefault="002B019C">
          <w:pPr>
            <w:pStyle w:val="TOC2"/>
            <w:tabs>
              <w:tab w:val="left" w:pos="960"/>
              <w:tab w:val="right" w:leader="dot" w:pos="9926"/>
            </w:tabs>
            <w:rPr>
              <w:rFonts w:eastAsiaTheme="minorEastAsia"/>
              <w:noProof/>
              <w:sz w:val="24"/>
              <w:szCs w:val="24"/>
            </w:rPr>
          </w:pPr>
          <w:hyperlink w:anchor="_Toc210052773" w:history="1">
            <w:r w:rsidRPr="007F40EB">
              <w:rPr>
                <w:rStyle w:val="Hyperlink"/>
                <w:noProof/>
              </w:rPr>
              <w:t>7.5</w:t>
            </w:r>
            <w:r>
              <w:rPr>
                <w:rFonts w:eastAsiaTheme="minorEastAsia"/>
                <w:noProof/>
                <w:sz w:val="24"/>
                <w:szCs w:val="24"/>
              </w:rPr>
              <w:tab/>
            </w:r>
            <w:r w:rsidRPr="007F40EB">
              <w:rPr>
                <w:rStyle w:val="Hyperlink"/>
                <w:noProof/>
              </w:rPr>
              <w:t>Punto focal de inventario</w:t>
            </w:r>
            <w:r>
              <w:rPr>
                <w:noProof/>
                <w:webHidden/>
              </w:rPr>
              <w:tab/>
            </w:r>
            <w:r>
              <w:rPr>
                <w:noProof/>
                <w:webHidden/>
              </w:rPr>
              <w:fldChar w:fldCharType="begin"/>
            </w:r>
            <w:r>
              <w:rPr>
                <w:noProof/>
                <w:webHidden/>
              </w:rPr>
              <w:instrText xml:space="preserve"> PAGEREF _Toc210052773 \h </w:instrText>
            </w:r>
            <w:r>
              <w:rPr>
                <w:noProof/>
                <w:webHidden/>
              </w:rPr>
            </w:r>
            <w:r>
              <w:rPr>
                <w:noProof/>
                <w:webHidden/>
              </w:rPr>
              <w:fldChar w:fldCharType="separate"/>
            </w:r>
            <w:r w:rsidR="000B6A13">
              <w:rPr>
                <w:noProof/>
                <w:webHidden/>
              </w:rPr>
              <w:t>43</w:t>
            </w:r>
            <w:r>
              <w:rPr>
                <w:noProof/>
                <w:webHidden/>
              </w:rPr>
              <w:fldChar w:fldCharType="end"/>
            </w:r>
          </w:hyperlink>
        </w:p>
        <w:p w14:paraId="37B4345F" w14:textId="6C54E92C" w:rsidR="002B019C" w:rsidRDefault="002B019C">
          <w:pPr>
            <w:pStyle w:val="TOC2"/>
            <w:tabs>
              <w:tab w:val="left" w:pos="960"/>
              <w:tab w:val="right" w:leader="dot" w:pos="9926"/>
            </w:tabs>
            <w:rPr>
              <w:rFonts w:eastAsiaTheme="minorEastAsia"/>
              <w:noProof/>
              <w:sz w:val="24"/>
              <w:szCs w:val="24"/>
            </w:rPr>
          </w:pPr>
          <w:hyperlink w:anchor="_Toc210052774" w:history="1">
            <w:r w:rsidRPr="007F40EB">
              <w:rPr>
                <w:rStyle w:val="Hyperlink"/>
                <w:noProof/>
              </w:rPr>
              <w:t>7.6</w:t>
            </w:r>
            <w:r>
              <w:rPr>
                <w:rFonts w:eastAsiaTheme="minorEastAsia"/>
                <w:noProof/>
                <w:sz w:val="24"/>
                <w:szCs w:val="24"/>
              </w:rPr>
              <w:tab/>
            </w:r>
            <w:r w:rsidRPr="007F40EB">
              <w:rPr>
                <w:rStyle w:val="Hyperlink"/>
                <w:noProof/>
              </w:rPr>
              <w:t>Coordinador de conteo físico de inventario</w:t>
            </w:r>
            <w:r>
              <w:rPr>
                <w:noProof/>
                <w:webHidden/>
              </w:rPr>
              <w:tab/>
            </w:r>
            <w:r>
              <w:rPr>
                <w:noProof/>
                <w:webHidden/>
              </w:rPr>
              <w:fldChar w:fldCharType="begin"/>
            </w:r>
            <w:r>
              <w:rPr>
                <w:noProof/>
                <w:webHidden/>
              </w:rPr>
              <w:instrText xml:space="preserve"> PAGEREF _Toc210052774 \h </w:instrText>
            </w:r>
            <w:r>
              <w:rPr>
                <w:noProof/>
                <w:webHidden/>
              </w:rPr>
            </w:r>
            <w:r>
              <w:rPr>
                <w:noProof/>
                <w:webHidden/>
              </w:rPr>
              <w:fldChar w:fldCharType="separate"/>
            </w:r>
            <w:r w:rsidR="000B6A13">
              <w:rPr>
                <w:noProof/>
                <w:webHidden/>
              </w:rPr>
              <w:t>43</w:t>
            </w:r>
            <w:r>
              <w:rPr>
                <w:noProof/>
                <w:webHidden/>
              </w:rPr>
              <w:fldChar w:fldCharType="end"/>
            </w:r>
          </w:hyperlink>
        </w:p>
        <w:p w14:paraId="1749FD0D" w14:textId="5E237131" w:rsidR="002B019C" w:rsidRDefault="002B019C" w:rsidP="002B019C">
          <w:pPr>
            <w:pStyle w:val="TOC1"/>
            <w:rPr>
              <w:rFonts w:eastAsiaTheme="minorEastAsia"/>
              <w:noProof/>
              <w:sz w:val="24"/>
              <w:szCs w:val="24"/>
            </w:rPr>
          </w:pPr>
          <w:hyperlink w:anchor="_Toc210052775" w:history="1">
            <w:r w:rsidRPr="007F40EB">
              <w:rPr>
                <w:rStyle w:val="Hyperlink"/>
                <w:noProof/>
              </w:rPr>
              <w:t>8</w:t>
            </w:r>
            <w:r>
              <w:rPr>
                <w:rFonts w:eastAsiaTheme="minorEastAsia"/>
                <w:noProof/>
                <w:sz w:val="24"/>
                <w:szCs w:val="24"/>
              </w:rPr>
              <w:tab/>
            </w:r>
            <w:r w:rsidRPr="007F40EB">
              <w:rPr>
                <w:rStyle w:val="Hyperlink"/>
                <w:noProof/>
              </w:rPr>
              <w:t>Recursos humanos</w:t>
            </w:r>
            <w:r>
              <w:rPr>
                <w:noProof/>
                <w:webHidden/>
              </w:rPr>
              <w:tab/>
            </w:r>
            <w:r>
              <w:rPr>
                <w:noProof/>
                <w:webHidden/>
              </w:rPr>
              <w:fldChar w:fldCharType="begin"/>
            </w:r>
            <w:r>
              <w:rPr>
                <w:noProof/>
                <w:webHidden/>
              </w:rPr>
              <w:instrText xml:space="preserve"> PAGEREF _Toc210052775 \h </w:instrText>
            </w:r>
            <w:r>
              <w:rPr>
                <w:noProof/>
                <w:webHidden/>
              </w:rPr>
            </w:r>
            <w:r>
              <w:rPr>
                <w:noProof/>
                <w:webHidden/>
              </w:rPr>
              <w:fldChar w:fldCharType="separate"/>
            </w:r>
            <w:r w:rsidR="000B6A13">
              <w:rPr>
                <w:noProof/>
                <w:webHidden/>
              </w:rPr>
              <w:t>44</w:t>
            </w:r>
            <w:r>
              <w:rPr>
                <w:noProof/>
                <w:webHidden/>
              </w:rPr>
              <w:fldChar w:fldCharType="end"/>
            </w:r>
          </w:hyperlink>
        </w:p>
        <w:p w14:paraId="0C7D9BB7" w14:textId="41CF60F8" w:rsidR="002B019C" w:rsidRDefault="002B019C">
          <w:pPr>
            <w:pStyle w:val="TOC2"/>
            <w:tabs>
              <w:tab w:val="left" w:pos="960"/>
              <w:tab w:val="right" w:leader="dot" w:pos="9926"/>
            </w:tabs>
            <w:rPr>
              <w:rFonts w:eastAsiaTheme="minorEastAsia"/>
              <w:noProof/>
              <w:sz w:val="24"/>
              <w:szCs w:val="24"/>
            </w:rPr>
          </w:pPr>
          <w:hyperlink w:anchor="_Toc210052776" w:history="1">
            <w:r w:rsidRPr="007F40EB">
              <w:rPr>
                <w:rStyle w:val="Hyperlink"/>
                <w:noProof/>
              </w:rPr>
              <w:t>8.1</w:t>
            </w:r>
            <w:r>
              <w:rPr>
                <w:rFonts w:eastAsiaTheme="minorEastAsia"/>
                <w:noProof/>
                <w:sz w:val="24"/>
                <w:szCs w:val="24"/>
              </w:rPr>
              <w:tab/>
            </w:r>
            <w:r w:rsidRPr="007F40EB">
              <w:rPr>
                <w:rStyle w:val="Hyperlink"/>
                <w:noProof/>
              </w:rPr>
              <w:t>Punto focal de RRHH</w:t>
            </w:r>
            <w:r>
              <w:rPr>
                <w:noProof/>
                <w:webHidden/>
              </w:rPr>
              <w:tab/>
            </w:r>
            <w:r>
              <w:rPr>
                <w:noProof/>
                <w:webHidden/>
              </w:rPr>
              <w:fldChar w:fldCharType="begin"/>
            </w:r>
            <w:r>
              <w:rPr>
                <w:noProof/>
                <w:webHidden/>
              </w:rPr>
              <w:instrText xml:space="preserve"> PAGEREF _Toc210052776 \h </w:instrText>
            </w:r>
            <w:r>
              <w:rPr>
                <w:noProof/>
                <w:webHidden/>
              </w:rPr>
            </w:r>
            <w:r>
              <w:rPr>
                <w:noProof/>
                <w:webHidden/>
              </w:rPr>
              <w:fldChar w:fldCharType="separate"/>
            </w:r>
            <w:r w:rsidR="000B6A13">
              <w:rPr>
                <w:noProof/>
                <w:webHidden/>
              </w:rPr>
              <w:t>44</w:t>
            </w:r>
            <w:r>
              <w:rPr>
                <w:noProof/>
                <w:webHidden/>
              </w:rPr>
              <w:fldChar w:fldCharType="end"/>
            </w:r>
          </w:hyperlink>
        </w:p>
        <w:p w14:paraId="49CB739A" w14:textId="6038743E" w:rsidR="002B019C" w:rsidRDefault="002B019C">
          <w:pPr>
            <w:pStyle w:val="TOC2"/>
            <w:tabs>
              <w:tab w:val="left" w:pos="960"/>
              <w:tab w:val="right" w:leader="dot" w:pos="9926"/>
            </w:tabs>
            <w:rPr>
              <w:rFonts w:eastAsiaTheme="minorEastAsia"/>
              <w:noProof/>
              <w:sz w:val="24"/>
              <w:szCs w:val="24"/>
            </w:rPr>
          </w:pPr>
          <w:hyperlink w:anchor="_Toc210052777" w:history="1">
            <w:r w:rsidRPr="007F40EB">
              <w:rPr>
                <w:rStyle w:val="Hyperlink"/>
                <w:noProof/>
              </w:rPr>
              <w:t>8.2</w:t>
            </w:r>
            <w:r>
              <w:rPr>
                <w:rFonts w:eastAsiaTheme="minorEastAsia"/>
                <w:noProof/>
                <w:sz w:val="24"/>
                <w:szCs w:val="24"/>
              </w:rPr>
              <w:tab/>
            </w:r>
            <w:r w:rsidRPr="007F40EB">
              <w:rPr>
                <w:rStyle w:val="Hyperlink"/>
                <w:noProof/>
              </w:rPr>
              <w:t>Administrador de RRHH (primera autoridad, oficial de compromiso)</w:t>
            </w:r>
            <w:r>
              <w:rPr>
                <w:noProof/>
                <w:webHidden/>
              </w:rPr>
              <w:tab/>
            </w:r>
            <w:r>
              <w:rPr>
                <w:noProof/>
                <w:webHidden/>
              </w:rPr>
              <w:fldChar w:fldCharType="begin"/>
            </w:r>
            <w:r>
              <w:rPr>
                <w:noProof/>
                <w:webHidden/>
              </w:rPr>
              <w:instrText xml:space="preserve"> PAGEREF _Toc210052777 \h </w:instrText>
            </w:r>
            <w:r>
              <w:rPr>
                <w:noProof/>
                <w:webHidden/>
              </w:rPr>
            </w:r>
            <w:r>
              <w:rPr>
                <w:noProof/>
                <w:webHidden/>
              </w:rPr>
              <w:fldChar w:fldCharType="separate"/>
            </w:r>
            <w:r w:rsidR="000B6A13">
              <w:rPr>
                <w:noProof/>
                <w:webHidden/>
              </w:rPr>
              <w:t>45</w:t>
            </w:r>
            <w:r>
              <w:rPr>
                <w:noProof/>
                <w:webHidden/>
              </w:rPr>
              <w:fldChar w:fldCharType="end"/>
            </w:r>
          </w:hyperlink>
        </w:p>
        <w:p w14:paraId="1D1EB6A9" w14:textId="431D9BD5" w:rsidR="002B019C" w:rsidRDefault="002B019C">
          <w:pPr>
            <w:pStyle w:val="TOC2"/>
            <w:tabs>
              <w:tab w:val="left" w:pos="960"/>
              <w:tab w:val="right" w:leader="dot" w:pos="9926"/>
            </w:tabs>
            <w:rPr>
              <w:rFonts w:eastAsiaTheme="minorEastAsia"/>
              <w:noProof/>
              <w:sz w:val="24"/>
              <w:szCs w:val="24"/>
            </w:rPr>
          </w:pPr>
          <w:hyperlink w:anchor="_Toc210052778" w:history="1">
            <w:r w:rsidRPr="007F40EB">
              <w:rPr>
                <w:rStyle w:val="Hyperlink"/>
                <w:noProof/>
              </w:rPr>
              <w:t>8.3</w:t>
            </w:r>
            <w:r>
              <w:rPr>
                <w:rFonts w:eastAsiaTheme="minorEastAsia"/>
                <w:noProof/>
                <w:sz w:val="24"/>
                <w:szCs w:val="24"/>
              </w:rPr>
              <w:tab/>
            </w:r>
            <w:r w:rsidRPr="007F40EB">
              <w:rPr>
                <w:rStyle w:val="Hyperlink"/>
                <w:noProof/>
              </w:rPr>
              <w:t>Administrador de nómina global (segunda autoridad, oficial verificador)</w:t>
            </w:r>
            <w:r>
              <w:rPr>
                <w:noProof/>
                <w:webHidden/>
              </w:rPr>
              <w:tab/>
            </w:r>
            <w:r>
              <w:rPr>
                <w:noProof/>
                <w:webHidden/>
              </w:rPr>
              <w:fldChar w:fldCharType="begin"/>
            </w:r>
            <w:r>
              <w:rPr>
                <w:noProof/>
                <w:webHidden/>
              </w:rPr>
              <w:instrText xml:space="preserve"> PAGEREF _Toc210052778 \h </w:instrText>
            </w:r>
            <w:r>
              <w:rPr>
                <w:noProof/>
                <w:webHidden/>
              </w:rPr>
            </w:r>
            <w:r>
              <w:rPr>
                <w:noProof/>
                <w:webHidden/>
              </w:rPr>
              <w:fldChar w:fldCharType="separate"/>
            </w:r>
            <w:r w:rsidR="000B6A13">
              <w:rPr>
                <w:noProof/>
                <w:webHidden/>
              </w:rPr>
              <w:t>46</w:t>
            </w:r>
            <w:r>
              <w:rPr>
                <w:noProof/>
                <w:webHidden/>
              </w:rPr>
              <w:fldChar w:fldCharType="end"/>
            </w:r>
          </w:hyperlink>
        </w:p>
        <w:p w14:paraId="3E523175" w14:textId="49696C03" w:rsidR="002B019C" w:rsidRDefault="002B019C">
          <w:pPr>
            <w:pStyle w:val="TOC2"/>
            <w:tabs>
              <w:tab w:val="left" w:pos="960"/>
              <w:tab w:val="right" w:leader="dot" w:pos="9926"/>
            </w:tabs>
            <w:rPr>
              <w:rFonts w:eastAsiaTheme="minorEastAsia"/>
              <w:noProof/>
              <w:sz w:val="24"/>
              <w:szCs w:val="24"/>
            </w:rPr>
          </w:pPr>
          <w:hyperlink w:anchor="_Toc210052779" w:history="1">
            <w:r w:rsidRPr="007F40EB">
              <w:rPr>
                <w:rStyle w:val="Hyperlink"/>
                <w:noProof/>
              </w:rPr>
              <w:t>8.4</w:t>
            </w:r>
            <w:r>
              <w:rPr>
                <w:rFonts w:eastAsiaTheme="minorEastAsia"/>
                <w:noProof/>
                <w:sz w:val="24"/>
                <w:szCs w:val="24"/>
              </w:rPr>
              <w:tab/>
            </w:r>
            <w:r w:rsidRPr="007F40EB">
              <w:rPr>
                <w:rStyle w:val="Hyperlink"/>
                <w:noProof/>
              </w:rPr>
              <w:t>Oficial de Desembolso – Nómina (tercera autoridad, oficial de desembolso)</w:t>
            </w:r>
            <w:r>
              <w:rPr>
                <w:noProof/>
                <w:webHidden/>
              </w:rPr>
              <w:tab/>
            </w:r>
            <w:r>
              <w:rPr>
                <w:noProof/>
                <w:webHidden/>
              </w:rPr>
              <w:fldChar w:fldCharType="begin"/>
            </w:r>
            <w:r>
              <w:rPr>
                <w:noProof/>
                <w:webHidden/>
              </w:rPr>
              <w:instrText xml:space="preserve"> PAGEREF _Toc210052779 \h </w:instrText>
            </w:r>
            <w:r>
              <w:rPr>
                <w:noProof/>
                <w:webHidden/>
              </w:rPr>
            </w:r>
            <w:r>
              <w:rPr>
                <w:noProof/>
                <w:webHidden/>
              </w:rPr>
              <w:fldChar w:fldCharType="separate"/>
            </w:r>
            <w:r w:rsidR="000B6A13">
              <w:rPr>
                <w:noProof/>
                <w:webHidden/>
              </w:rPr>
              <w:t>47</w:t>
            </w:r>
            <w:r>
              <w:rPr>
                <w:noProof/>
                <w:webHidden/>
              </w:rPr>
              <w:fldChar w:fldCharType="end"/>
            </w:r>
          </w:hyperlink>
        </w:p>
        <w:p w14:paraId="72403AF4" w14:textId="24A037EC" w:rsidR="002B019C" w:rsidRDefault="002B019C">
          <w:pPr>
            <w:pStyle w:val="TOC2"/>
            <w:tabs>
              <w:tab w:val="left" w:pos="960"/>
              <w:tab w:val="right" w:leader="dot" w:pos="9926"/>
            </w:tabs>
            <w:rPr>
              <w:rFonts w:eastAsiaTheme="minorEastAsia"/>
              <w:noProof/>
              <w:sz w:val="24"/>
              <w:szCs w:val="24"/>
            </w:rPr>
          </w:pPr>
          <w:hyperlink w:anchor="_Toc210052780" w:history="1">
            <w:r w:rsidRPr="007F40EB">
              <w:rPr>
                <w:rStyle w:val="Hyperlink"/>
                <w:noProof/>
              </w:rPr>
              <w:t>8.5</w:t>
            </w:r>
            <w:r>
              <w:rPr>
                <w:rFonts w:eastAsiaTheme="minorEastAsia"/>
                <w:noProof/>
                <w:sz w:val="24"/>
                <w:szCs w:val="24"/>
              </w:rPr>
              <w:tab/>
            </w:r>
            <w:r w:rsidRPr="007F40EB">
              <w:rPr>
                <w:rStyle w:val="Hyperlink"/>
                <w:noProof/>
              </w:rPr>
              <w:t>Administración de puestos (varios roles)</w:t>
            </w:r>
            <w:r>
              <w:rPr>
                <w:noProof/>
                <w:webHidden/>
              </w:rPr>
              <w:tab/>
            </w:r>
            <w:r>
              <w:rPr>
                <w:noProof/>
                <w:webHidden/>
              </w:rPr>
              <w:fldChar w:fldCharType="begin"/>
            </w:r>
            <w:r>
              <w:rPr>
                <w:noProof/>
                <w:webHidden/>
              </w:rPr>
              <w:instrText xml:space="preserve"> PAGEREF _Toc210052780 \h </w:instrText>
            </w:r>
            <w:r>
              <w:rPr>
                <w:noProof/>
                <w:webHidden/>
              </w:rPr>
            </w:r>
            <w:r>
              <w:rPr>
                <w:noProof/>
                <w:webHidden/>
              </w:rPr>
              <w:fldChar w:fldCharType="separate"/>
            </w:r>
            <w:r w:rsidR="000B6A13">
              <w:rPr>
                <w:noProof/>
                <w:webHidden/>
              </w:rPr>
              <w:t>48</w:t>
            </w:r>
            <w:r>
              <w:rPr>
                <w:noProof/>
                <w:webHidden/>
              </w:rPr>
              <w:fldChar w:fldCharType="end"/>
            </w:r>
          </w:hyperlink>
        </w:p>
        <w:p w14:paraId="2522A099" w14:textId="5CB35873" w:rsidR="002B019C" w:rsidRDefault="002B019C" w:rsidP="002B019C">
          <w:pPr>
            <w:pStyle w:val="TOC1"/>
            <w:rPr>
              <w:rFonts w:eastAsiaTheme="minorEastAsia"/>
              <w:noProof/>
              <w:sz w:val="24"/>
              <w:szCs w:val="24"/>
            </w:rPr>
          </w:pPr>
          <w:hyperlink w:anchor="_Toc210052781" w:history="1">
            <w:r w:rsidRPr="007F40EB">
              <w:rPr>
                <w:rStyle w:val="Hyperlink"/>
                <w:noProof/>
              </w:rPr>
              <w:t>9</w:t>
            </w:r>
            <w:r>
              <w:rPr>
                <w:rFonts w:eastAsiaTheme="minorEastAsia"/>
                <w:noProof/>
                <w:sz w:val="24"/>
                <w:szCs w:val="24"/>
              </w:rPr>
              <w:tab/>
            </w:r>
            <w:r w:rsidRPr="007F40EB">
              <w:rPr>
                <w:rStyle w:val="Hyperlink"/>
                <w:noProof/>
              </w:rPr>
              <w:t>Gestión financiera general</w:t>
            </w:r>
            <w:r>
              <w:rPr>
                <w:noProof/>
                <w:webHidden/>
              </w:rPr>
              <w:tab/>
            </w:r>
            <w:r>
              <w:rPr>
                <w:noProof/>
                <w:webHidden/>
              </w:rPr>
              <w:fldChar w:fldCharType="begin"/>
            </w:r>
            <w:r>
              <w:rPr>
                <w:noProof/>
                <w:webHidden/>
              </w:rPr>
              <w:instrText xml:space="preserve"> PAGEREF _Toc210052781 \h </w:instrText>
            </w:r>
            <w:r>
              <w:rPr>
                <w:noProof/>
                <w:webHidden/>
              </w:rPr>
            </w:r>
            <w:r>
              <w:rPr>
                <w:noProof/>
                <w:webHidden/>
              </w:rPr>
              <w:fldChar w:fldCharType="separate"/>
            </w:r>
            <w:r w:rsidR="000B6A13">
              <w:rPr>
                <w:noProof/>
                <w:webHidden/>
              </w:rPr>
              <w:t>50</w:t>
            </w:r>
            <w:r>
              <w:rPr>
                <w:noProof/>
                <w:webHidden/>
              </w:rPr>
              <w:fldChar w:fldCharType="end"/>
            </w:r>
          </w:hyperlink>
        </w:p>
        <w:p w14:paraId="3C77CE19" w14:textId="364C2AEA" w:rsidR="002B019C" w:rsidRDefault="002B019C">
          <w:pPr>
            <w:pStyle w:val="TOC2"/>
            <w:tabs>
              <w:tab w:val="left" w:pos="960"/>
              <w:tab w:val="right" w:leader="dot" w:pos="9926"/>
            </w:tabs>
            <w:rPr>
              <w:rFonts w:eastAsiaTheme="minorEastAsia"/>
              <w:noProof/>
              <w:sz w:val="24"/>
              <w:szCs w:val="24"/>
            </w:rPr>
          </w:pPr>
          <w:hyperlink w:anchor="_Toc210052782" w:history="1">
            <w:r w:rsidRPr="007F40EB">
              <w:rPr>
                <w:rStyle w:val="Hyperlink"/>
                <w:noProof/>
              </w:rPr>
              <w:t>9.1</w:t>
            </w:r>
            <w:r>
              <w:rPr>
                <w:rFonts w:eastAsiaTheme="minorEastAsia"/>
                <w:noProof/>
                <w:sz w:val="24"/>
                <w:szCs w:val="24"/>
              </w:rPr>
              <w:tab/>
            </w:r>
            <w:r w:rsidRPr="007F40EB">
              <w:rPr>
                <w:rStyle w:val="Hyperlink"/>
                <w:noProof/>
              </w:rPr>
              <w:t>Operaciones de RRD (o equivalente en la sede)</w:t>
            </w:r>
            <w:r>
              <w:rPr>
                <w:noProof/>
                <w:webHidden/>
              </w:rPr>
              <w:tab/>
            </w:r>
            <w:r>
              <w:rPr>
                <w:noProof/>
                <w:webHidden/>
              </w:rPr>
              <w:fldChar w:fldCharType="begin"/>
            </w:r>
            <w:r>
              <w:rPr>
                <w:noProof/>
                <w:webHidden/>
              </w:rPr>
              <w:instrText xml:space="preserve"> PAGEREF _Toc210052782 \h </w:instrText>
            </w:r>
            <w:r>
              <w:rPr>
                <w:noProof/>
                <w:webHidden/>
              </w:rPr>
            </w:r>
            <w:r>
              <w:rPr>
                <w:noProof/>
                <w:webHidden/>
              </w:rPr>
              <w:fldChar w:fldCharType="separate"/>
            </w:r>
            <w:r w:rsidR="000B6A13">
              <w:rPr>
                <w:noProof/>
                <w:webHidden/>
              </w:rPr>
              <w:t>50</w:t>
            </w:r>
            <w:r>
              <w:rPr>
                <w:noProof/>
                <w:webHidden/>
              </w:rPr>
              <w:fldChar w:fldCharType="end"/>
            </w:r>
          </w:hyperlink>
        </w:p>
        <w:p w14:paraId="5B2A579E" w14:textId="77D5A7D6" w:rsidR="002B019C" w:rsidRDefault="002B019C">
          <w:pPr>
            <w:pStyle w:val="TOC2"/>
            <w:tabs>
              <w:tab w:val="left" w:pos="960"/>
              <w:tab w:val="right" w:leader="dot" w:pos="9926"/>
            </w:tabs>
            <w:rPr>
              <w:rFonts w:eastAsiaTheme="minorEastAsia"/>
              <w:noProof/>
              <w:sz w:val="24"/>
              <w:szCs w:val="24"/>
            </w:rPr>
          </w:pPr>
          <w:hyperlink w:anchor="_Toc210052783" w:history="1">
            <w:r w:rsidRPr="007F40EB">
              <w:rPr>
                <w:rStyle w:val="Hyperlink"/>
                <w:noProof/>
              </w:rPr>
              <w:t>9.2</w:t>
            </w:r>
            <w:r>
              <w:rPr>
                <w:rFonts w:eastAsiaTheme="minorEastAsia"/>
                <w:noProof/>
                <w:sz w:val="24"/>
                <w:szCs w:val="24"/>
              </w:rPr>
              <w:tab/>
            </w:r>
            <w:r w:rsidRPr="007F40EB">
              <w:rPr>
                <w:rStyle w:val="Hyperlink"/>
                <w:noProof/>
              </w:rPr>
              <w:t>Gerente de Operaciones</w:t>
            </w:r>
            <w:r>
              <w:rPr>
                <w:noProof/>
                <w:webHidden/>
              </w:rPr>
              <w:tab/>
            </w:r>
            <w:r>
              <w:rPr>
                <w:noProof/>
                <w:webHidden/>
              </w:rPr>
              <w:fldChar w:fldCharType="begin"/>
            </w:r>
            <w:r>
              <w:rPr>
                <w:noProof/>
                <w:webHidden/>
              </w:rPr>
              <w:instrText xml:space="preserve"> PAGEREF _Toc210052783 \h </w:instrText>
            </w:r>
            <w:r>
              <w:rPr>
                <w:noProof/>
                <w:webHidden/>
              </w:rPr>
            </w:r>
            <w:r>
              <w:rPr>
                <w:noProof/>
                <w:webHidden/>
              </w:rPr>
              <w:fldChar w:fldCharType="separate"/>
            </w:r>
            <w:r w:rsidR="000B6A13">
              <w:rPr>
                <w:noProof/>
                <w:webHidden/>
              </w:rPr>
              <w:t>51</w:t>
            </w:r>
            <w:r>
              <w:rPr>
                <w:noProof/>
                <w:webHidden/>
              </w:rPr>
              <w:fldChar w:fldCharType="end"/>
            </w:r>
          </w:hyperlink>
        </w:p>
        <w:p w14:paraId="02702DA1" w14:textId="4B7111AD" w:rsidR="002B019C" w:rsidRDefault="002B019C">
          <w:pPr>
            <w:pStyle w:val="TOC2"/>
            <w:tabs>
              <w:tab w:val="left" w:pos="960"/>
              <w:tab w:val="right" w:leader="dot" w:pos="9926"/>
            </w:tabs>
            <w:rPr>
              <w:rFonts w:eastAsiaTheme="minorEastAsia"/>
              <w:noProof/>
              <w:sz w:val="24"/>
              <w:szCs w:val="24"/>
            </w:rPr>
          </w:pPr>
          <w:hyperlink w:anchor="_Toc210052784" w:history="1">
            <w:r w:rsidRPr="007F40EB">
              <w:rPr>
                <w:rStyle w:val="Hyperlink"/>
                <w:noProof/>
              </w:rPr>
              <w:t>9.3</w:t>
            </w:r>
            <w:r>
              <w:rPr>
                <w:rFonts w:eastAsiaTheme="minorEastAsia"/>
                <w:noProof/>
                <w:sz w:val="24"/>
                <w:szCs w:val="24"/>
              </w:rPr>
              <w:tab/>
            </w:r>
            <w:r w:rsidRPr="007F40EB">
              <w:rPr>
                <w:rStyle w:val="Hyperlink"/>
                <w:noProof/>
              </w:rPr>
              <w:t>Personal de Finanzas</w:t>
            </w:r>
            <w:r>
              <w:rPr>
                <w:noProof/>
                <w:webHidden/>
              </w:rPr>
              <w:tab/>
            </w:r>
            <w:r>
              <w:rPr>
                <w:noProof/>
                <w:webHidden/>
              </w:rPr>
              <w:fldChar w:fldCharType="begin"/>
            </w:r>
            <w:r>
              <w:rPr>
                <w:noProof/>
                <w:webHidden/>
              </w:rPr>
              <w:instrText xml:space="preserve"> PAGEREF _Toc210052784 \h </w:instrText>
            </w:r>
            <w:r>
              <w:rPr>
                <w:noProof/>
                <w:webHidden/>
              </w:rPr>
            </w:r>
            <w:r>
              <w:rPr>
                <w:noProof/>
                <w:webHidden/>
              </w:rPr>
              <w:fldChar w:fldCharType="separate"/>
            </w:r>
            <w:r w:rsidR="000B6A13">
              <w:rPr>
                <w:noProof/>
                <w:webHidden/>
              </w:rPr>
              <w:t>52</w:t>
            </w:r>
            <w:r>
              <w:rPr>
                <w:noProof/>
                <w:webHidden/>
              </w:rPr>
              <w:fldChar w:fldCharType="end"/>
            </w:r>
          </w:hyperlink>
        </w:p>
        <w:p w14:paraId="24933C2D" w14:textId="3A962C2D" w:rsidR="002B019C" w:rsidRDefault="002B019C">
          <w:pPr>
            <w:pStyle w:val="TOC2"/>
            <w:tabs>
              <w:tab w:val="left" w:pos="960"/>
              <w:tab w:val="right" w:leader="dot" w:pos="9926"/>
            </w:tabs>
            <w:rPr>
              <w:rFonts w:eastAsiaTheme="minorEastAsia"/>
              <w:noProof/>
              <w:sz w:val="24"/>
              <w:szCs w:val="24"/>
            </w:rPr>
          </w:pPr>
          <w:hyperlink w:anchor="_Toc210052785" w:history="1">
            <w:r w:rsidRPr="007F40EB">
              <w:rPr>
                <w:rStyle w:val="Hyperlink"/>
                <w:noProof/>
              </w:rPr>
              <w:t>9.4</w:t>
            </w:r>
            <w:r>
              <w:rPr>
                <w:rFonts w:eastAsiaTheme="minorEastAsia"/>
                <w:noProof/>
                <w:sz w:val="24"/>
                <w:szCs w:val="24"/>
              </w:rPr>
              <w:tab/>
            </w:r>
            <w:r w:rsidRPr="007F40EB">
              <w:rPr>
                <w:rStyle w:val="Hyperlink"/>
                <w:noProof/>
              </w:rPr>
              <w:t>Equipo financiero de BMS/GSSC</w:t>
            </w:r>
            <w:r>
              <w:rPr>
                <w:noProof/>
                <w:webHidden/>
              </w:rPr>
              <w:tab/>
            </w:r>
            <w:r>
              <w:rPr>
                <w:noProof/>
                <w:webHidden/>
              </w:rPr>
              <w:fldChar w:fldCharType="begin"/>
            </w:r>
            <w:r>
              <w:rPr>
                <w:noProof/>
                <w:webHidden/>
              </w:rPr>
              <w:instrText xml:space="preserve"> PAGEREF _Toc210052785 \h </w:instrText>
            </w:r>
            <w:r>
              <w:rPr>
                <w:noProof/>
                <w:webHidden/>
              </w:rPr>
            </w:r>
            <w:r>
              <w:rPr>
                <w:noProof/>
                <w:webHidden/>
              </w:rPr>
              <w:fldChar w:fldCharType="separate"/>
            </w:r>
            <w:r w:rsidR="000B6A13">
              <w:rPr>
                <w:noProof/>
                <w:webHidden/>
              </w:rPr>
              <w:t>57</w:t>
            </w:r>
            <w:r>
              <w:rPr>
                <w:noProof/>
                <w:webHidden/>
              </w:rPr>
              <w:fldChar w:fldCharType="end"/>
            </w:r>
          </w:hyperlink>
        </w:p>
        <w:p w14:paraId="3F785727" w14:textId="5DA8ACAF" w:rsidR="002B019C" w:rsidRDefault="002B019C" w:rsidP="0037159E">
          <w:pPr>
            <w:pStyle w:val="TOC1"/>
            <w:spacing w:after="240"/>
            <w:rPr>
              <w:rFonts w:eastAsiaTheme="minorEastAsia"/>
              <w:noProof/>
              <w:sz w:val="24"/>
              <w:szCs w:val="24"/>
            </w:rPr>
          </w:pPr>
          <w:hyperlink w:anchor="_Toc210052786" w:history="1">
            <w:r w:rsidRPr="007F40EB">
              <w:rPr>
                <w:rStyle w:val="Hyperlink"/>
                <w:noProof/>
              </w:rPr>
              <w:t>10</w:t>
            </w:r>
            <w:r>
              <w:rPr>
                <w:rFonts w:eastAsiaTheme="minorEastAsia"/>
                <w:noProof/>
                <w:sz w:val="24"/>
                <w:szCs w:val="24"/>
              </w:rPr>
              <w:tab/>
            </w:r>
            <w:r w:rsidRPr="007F40EB">
              <w:rPr>
                <w:rStyle w:val="Hyperlink"/>
                <w:noProof/>
              </w:rPr>
              <w:t>Jefe de Oficina/Unidad</w:t>
            </w:r>
            <w:r>
              <w:rPr>
                <w:noProof/>
                <w:webHidden/>
              </w:rPr>
              <w:tab/>
            </w:r>
            <w:r>
              <w:rPr>
                <w:noProof/>
                <w:webHidden/>
              </w:rPr>
              <w:fldChar w:fldCharType="begin"/>
            </w:r>
            <w:r>
              <w:rPr>
                <w:noProof/>
                <w:webHidden/>
              </w:rPr>
              <w:instrText xml:space="preserve"> PAGEREF _Toc210052786 \h </w:instrText>
            </w:r>
            <w:r>
              <w:rPr>
                <w:noProof/>
                <w:webHidden/>
              </w:rPr>
            </w:r>
            <w:r>
              <w:rPr>
                <w:noProof/>
                <w:webHidden/>
              </w:rPr>
              <w:fldChar w:fldCharType="separate"/>
            </w:r>
            <w:r w:rsidR="000B6A13">
              <w:rPr>
                <w:noProof/>
                <w:webHidden/>
              </w:rPr>
              <w:t>58</w:t>
            </w:r>
            <w:r>
              <w:rPr>
                <w:noProof/>
                <w:webHidden/>
              </w:rPr>
              <w:fldChar w:fldCharType="end"/>
            </w:r>
          </w:hyperlink>
        </w:p>
        <w:p w14:paraId="06B4449E" w14:textId="2DEA4FCE" w:rsidR="002B019C" w:rsidRDefault="002B019C" w:rsidP="0037159E">
          <w:pPr>
            <w:pStyle w:val="TOC1"/>
            <w:spacing w:after="240"/>
            <w:rPr>
              <w:rFonts w:eastAsiaTheme="minorEastAsia"/>
              <w:noProof/>
              <w:sz w:val="24"/>
              <w:szCs w:val="24"/>
            </w:rPr>
          </w:pPr>
          <w:hyperlink w:anchor="_Toc210052787" w:history="1">
            <w:r w:rsidRPr="007F40EB">
              <w:rPr>
                <w:rStyle w:val="Hyperlink"/>
                <w:noProof/>
              </w:rPr>
              <w:t>11</w:t>
            </w:r>
            <w:r>
              <w:rPr>
                <w:rFonts w:eastAsiaTheme="minorEastAsia"/>
                <w:noProof/>
                <w:sz w:val="24"/>
                <w:szCs w:val="24"/>
              </w:rPr>
              <w:tab/>
            </w:r>
            <w:r w:rsidRPr="007F40EB">
              <w:rPr>
                <w:rStyle w:val="Hyperlink"/>
                <w:noProof/>
              </w:rPr>
              <w:t>Otras funciones de control interno</w:t>
            </w:r>
            <w:r>
              <w:rPr>
                <w:noProof/>
                <w:webHidden/>
              </w:rPr>
              <w:tab/>
            </w:r>
            <w:r>
              <w:rPr>
                <w:noProof/>
                <w:webHidden/>
              </w:rPr>
              <w:fldChar w:fldCharType="begin"/>
            </w:r>
            <w:r>
              <w:rPr>
                <w:noProof/>
                <w:webHidden/>
              </w:rPr>
              <w:instrText xml:space="preserve"> PAGEREF _Toc210052787 \h </w:instrText>
            </w:r>
            <w:r>
              <w:rPr>
                <w:noProof/>
                <w:webHidden/>
              </w:rPr>
            </w:r>
            <w:r>
              <w:rPr>
                <w:noProof/>
                <w:webHidden/>
              </w:rPr>
              <w:fldChar w:fldCharType="separate"/>
            </w:r>
            <w:r w:rsidR="000B6A13">
              <w:rPr>
                <w:noProof/>
                <w:webHidden/>
              </w:rPr>
              <w:t>63</w:t>
            </w:r>
            <w:r>
              <w:rPr>
                <w:noProof/>
                <w:webHidden/>
              </w:rPr>
              <w:fldChar w:fldCharType="end"/>
            </w:r>
          </w:hyperlink>
        </w:p>
        <w:p w14:paraId="4CB925E2" w14:textId="6D280568" w:rsidR="002B019C" w:rsidRPr="0037159E" w:rsidRDefault="002B019C" w:rsidP="0037159E">
          <w:pPr>
            <w:pStyle w:val="TOC2"/>
            <w:tabs>
              <w:tab w:val="left" w:pos="960"/>
              <w:tab w:val="right" w:leader="dot" w:pos="9926"/>
            </w:tabs>
            <w:rPr>
              <w:rStyle w:val="Hyperlink"/>
              <w:noProof/>
            </w:rPr>
          </w:pPr>
          <w:hyperlink w:anchor="_Toc210052788" w:history="1">
            <w:r w:rsidRPr="007F40EB">
              <w:rPr>
                <w:rStyle w:val="Hyperlink"/>
                <w:noProof/>
              </w:rPr>
              <w:t>11.1</w:t>
            </w:r>
            <w:r w:rsidRPr="0037159E">
              <w:rPr>
                <w:rStyle w:val="Hyperlink"/>
                <w:noProof/>
              </w:rPr>
              <w:tab/>
            </w:r>
            <w:r w:rsidRPr="007F40EB">
              <w:rPr>
                <w:rStyle w:val="Hyperlink"/>
                <w:noProof/>
              </w:rPr>
              <w:t>Funcionarios designados para presentar solicitudes de servicio a BMS/GSSC</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_Toc210052788 \h </w:instrText>
            </w:r>
            <w:r w:rsidRPr="0037159E">
              <w:rPr>
                <w:rStyle w:val="Hyperlink"/>
                <w:noProof/>
                <w:webHidden/>
              </w:rPr>
            </w:r>
            <w:r w:rsidRPr="0037159E">
              <w:rPr>
                <w:rStyle w:val="Hyperlink"/>
                <w:noProof/>
                <w:webHidden/>
              </w:rPr>
              <w:fldChar w:fldCharType="separate"/>
            </w:r>
            <w:r w:rsidR="000B6A13">
              <w:rPr>
                <w:rStyle w:val="Hyperlink"/>
                <w:noProof/>
                <w:webHidden/>
              </w:rPr>
              <w:t>63</w:t>
            </w:r>
            <w:r w:rsidRPr="0037159E">
              <w:rPr>
                <w:rStyle w:val="Hyperlink"/>
                <w:noProof/>
                <w:webHidden/>
              </w:rPr>
              <w:fldChar w:fldCharType="end"/>
            </w:r>
          </w:hyperlink>
        </w:p>
        <w:p w14:paraId="75EF29B0" w14:textId="7633DC6C" w:rsidR="002B019C" w:rsidRDefault="002B019C" w:rsidP="0037159E">
          <w:pPr>
            <w:pStyle w:val="TOC2"/>
            <w:tabs>
              <w:tab w:val="left" w:pos="960"/>
              <w:tab w:val="right" w:leader="dot" w:pos="9926"/>
            </w:tabs>
            <w:rPr>
              <w:rFonts w:eastAsiaTheme="minorEastAsia"/>
              <w:noProof/>
              <w:sz w:val="24"/>
              <w:szCs w:val="24"/>
            </w:rPr>
          </w:pPr>
          <w:hyperlink w:anchor="_Toc210052789" w:history="1">
            <w:r w:rsidRPr="007F40EB">
              <w:rPr>
                <w:rStyle w:val="Hyperlink"/>
                <w:noProof/>
              </w:rPr>
              <w:t>11.2</w:t>
            </w:r>
            <w:r w:rsidRPr="0037159E">
              <w:rPr>
                <w:rStyle w:val="Hyperlink"/>
                <w:noProof/>
              </w:rPr>
              <w:tab/>
            </w:r>
            <w:r w:rsidRPr="007F40EB">
              <w:rPr>
                <w:rStyle w:val="Hyperlink"/>
                <w:noProof/>
              </w:rPr>
              <w:t>Puntos focales de IDAM y aprobadores de solicitudes de IDAM</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_Toc210052789 \h </w:instrText>
            </w:r>
            <w:r w:rsidRPr="0037159E">
              <w:rPr>
                <w:rStyle w:val="Hyperlink"/>
                <w:noProof/>
                <w:webHidden/>
              </w:rPr>
            </w:r>
            <w:r w:rsidRPr="0037159E">
              <w:rPr>
                <w:rStyle w:val="Hyperlink"/>
                <w:noProof/>
                <w:webHidden/>
              </w:rPr>
              <w:fldChar w:fldCharType="separate"/>
            </w:r>
            <w:r w:rsidR="000B6A13">
              <w:rPr>
                <w:rStyle w:val="Hyperlink"/>
                <w:noProof/>
                <w:webHidden/>
              </w:rPr>
              <w:t>64</w:t>
            </w:r>
            <w:r w:rsidRPr="0037159E">
              <w:rPr>
                <w:rStyle w:val="Hyperlink"/>
                <w:noProof/>
                <w:webHidden/>
              </w:rPr>
              <w:fldChar w:fldCharType="end"/>
            </w:r>
          </w:hyperlink>
        </w:p>
        <w:p w14:paraId="731F35ED" w14:textId="5C574D9E" w:rsidR="002B019C" w:rsidRDefault="002B019C" w:rsidP="0037159E">
          <w:pPr>
            <w:pStyle w:val="TOC1"/>
            <w:spacing w:after="240"/>
            <w:rPr>
              <w:rFonts w:eastAsiaTheme="minorEastAsia"/>
              <w:noProof/>
              <w:sz w:val="24"/>
              <w:szCs w:val="24"/>
            </w:rPr>
          </w:pPr>
          <w:hyperlink w:anchor="_Toc210052790" w:history="1">
            <w:r w:rsidRPr="007F40EB">
              <w:rPr>
                <w:rStyle w:val="Hyperlink"/>
                <w:noProof/>
              </w:rPr>
              <w:t>12</w:t>
            </w:r>
            <w:r>
              <w:rPr>
                <w:rFonts w:eastAsiaTheme="minorEastAsia"/>
                <w:noProof/>
                <w:sz w:val="24"/>
                <w:szCs w:val="24"/>
              </w:rPr>
              <w:tab/>
            </w:r>
            <w:r w:rsidRPr="007F40EB">
              <w:rPr>
                <w:rStyle w:val="Hyperlink"/>
                <w:noProof/>
              </w:rPr>
              <w:t>Transacciones realizadas a petición de las oficinas/dependencias del PNUD o de los organismos de las Naciones Unidas</w:t>
            </w:r>
            <w:r>
              <w:rPr>
                <w:noProof/>
                <w:webHidden/>
              </w:rPr>
              <w:tab/>
            </w:r>
            <w:r>
              <w:rPr>
                <w:noProof/>
                <w:webHidden/>
              </w:rPr>
              <w:fldChar w:fldCharType="begin"/>
            </w:r>
            <w:r>
              <w:rPr>
                <w:noProof/>
                <w:webHidden/>
              </w:rPr>
              <w:instrText xml:space="preserve"> PAGEREF _Toc210052790 \h </w:instrText>
            </w:r>
            <w:r>
              <w:rPr>
                <w:noProof/>
                <w:webHidden/>
              </w:rPr>
            </w:r>
            <w:r>
              <w:rPr>
                <w:noProof/>
                <w:webHidden/>
              </w:rPr>
              <w:fldChar w:fldCharType="separate"/>
            </w:r>
            <w:r w:rsidR="000B6A13">
              <w:rPr>
                <w:noProof/>
                <w:webHidden/>
              </w:rPr>
              <w:t>64</w:t>
            </w:r>
            <w:r>
              <w:rPr>
                <w:noProof/>
                <w:webHidden/>
              </w:rPr>
              <w:fldChar w:fldCharType="end"/>
            </w:r>
          </w:hyperlink>
        </w:p>
        <w:p w14:paraId="0F64C202" w14:textId="5B3C13D5" w:rsidR="002B019C" w:rsidRDefault="002B019C" w:rsidP="0037159E">
          <w:pPr>
            <w:pStyle w:val="TOC1"/>
            <w:spacing w:after="240"/>
            <w:rPr>
              <w:rFonts w:eastAsiaTheme="minorEastAsia"/>
              <w:noProof/>
              <w:sz w:val="24"/>
              <w:szCs w:val="24"/>
            </w:rPr>
          </w:pPr>
          <w:hyperlink w:anchor="_Toc210052791" w:history="1">
            <w:r w:rsidRPr="007F40EB">
              <w:rPr>
                <w:rStyle w:val="Hyperlink"/>
                <w:noProof/>
              </w:rPr>
              <w:t>13</w:t>
            </w:r>
            <w:r>
              <w:rPr>
                <w:rFonts w:eastAsiaTheme="minorEastAsia"/>
                <w:noProof/>
                <w:sz w:val="24"/>
                <w:szCs w:val="24"/>
              </w:rPr>
              <w:tab/>
            </w:r>
            <w:r w:rsidRPr="007F40EB">
              <w:rPr>
                <w:rStyle w:val="Hyperlink"/>
                <w:noProof/>
              </w:rPr>
              <w:t>Modalidades de transferencia de efectivo para socios</w:t>
            </w:r>
            <w:r>
              <w:rPr>
                <w:noProof/>
                <w:webHidden/>
              </w:rPr>
              <w:tab/>
            </w:r>
            <w:r>
              <w:rPr>
                <w:noProof/>
                <w:webHidden/>
              </w:rPr>
              <w:fldChar w:fldCharType="begin"/>
            </w:r>
            <w:r>
              <w:rPr>
                <w:noProof/>
                <w:webHidden/>
              </w:rPr>
              <w:instrText xml:space="preserve"> PAGEREF _Toc210052791 \h </w:instrText>
            </w:r>
            <w:r>
              <w:rPr>
                <w:noProof/>
                <w:webHidden/>
              </w:rPr>
            </w:r>
            <w:r>
              <w:rPr>
                <w:noProof/>
                <w:webHidden/>
              </w:rPr>
              <w:fldChar w:fldCharType="separate"/>
            </w:r>
            <w:r w:rsidR="000B6A13">
              <w:rPr>
                <w:noProof/>
                <w:webHidden/>
              </w:rPr>
              <w:t>66</w:t>
            </w:r>
            <w:r>
              <w:rPr>
                <w:noProof/>
                <w:webHidden/>
              </w:rPr>
              <w:fldChar w:fldCharType="end"/>
            </w:r>
          </w:hyperlink>
        </w:p>
        <w:p w14:paraId="27737269" w14:textId="443F3B92" w:rsidR="002B019C" w:rsidRDefault="002B019C" w:rsidP="0037159E">
          <w:pPr>
            <w:pStyle w:val="TOC1"/>
            <w:spacing w:after="240"/>
            <w:rPr>
              <w:rFonts w:eastAsiaTheme="minorEastAsia"/>
              <w:noProof/>
              <w:sz w:val="24"/>
              <w:szCs w:val="24"/>
            </w:rPr>
          </w:pPr>
          <w:hyperlink w:anchor="_Toc210052792" w:history="1">
            <w:r w:rsidRPr="007F40EB">
              <w:rPr>
                <w:rStyle w:val="Hyperlink"/>
                <w:noProof/>
              </w:rPr>
              <w:t>14</w:t>
            </w:r>
            <w:r>
              <w:rPr>
                <w:rFonts w:eastAsiaTheme="minorEastAsia"/>
                <w:noProof/>
                <w:sz w:val="24"/>
                <w:szCs w:val="24"/>
              </w:rPr>
              <w:tab/>
            </w:r>
            <w:r w:rsidRPr="007F40EB">
              <w:rPr>
                <w:rStyle w:val="Hyperlink"/>
                <w:noProof/>
              </w:rPr>
              <w:t>Servicios de transacción realizados para socios</w:t>
            </w:r>
            <w:r>
              <w:rPr>
                <w:noProof/>
                <w:webHidden/>
              </w:rPr>
              <w:tab/>
            </w:r>
            <w:r>
              <w:rPr>
                <w:noProof/>
                <w:webHidden/>
              </w:rPr>
              <w:fldChar w:fldCharType="begin"/>
            </w:r>
            <w:r>
              <w:rPr>
                <w:noProof/>
                <w:webHidden/>
              </w:rPr>
              <w:instrText xml:space="preserve"> PAGEREF _Toc210052792 \h </w:instrText>
            </w:r>
            <w:r>
              <w:rPr>
                <w:noProof/>
                <w:webHidden/>
              </w:rPr>
            </w:r>
            <w:r>
              <w:rPr>
                <w:noProof/>
                <w:webHidden/>
              </w:rPr>
              <w:fldChar w:fldCharType="separate"/>
            </w:r>
            <w:r w:rsidR="000B6A13">
              <w:rPr>
                <w:noProof/>
                <w:webHidden/>
              </w:rPr>
              <w:t>67</w:t>
            </w:r>
            <w:r>
              <w:rPr>
                <w:noProof/>
                <w:webHidden/>
              </w:rPr>
              <w:fldChar w:fldCharType="end"/>
            </w:r>
          </w:hyperlink>
        </w:p>
        <w:p w14:paraId="12F8FC04" w14:textId="13D0C4C7" w:rsidR="002B019C" w:rsidRDefault="002B019C" w:rsidP="0037159E">
          <w:pPr>
            <w:pStyle w:val="TOC1"/>
            <w:spacing w:after="240"/>
            <w:rPr>
              <w:rFonts w:eastAsiaTheme="minorEastAsia"/>
              <w:noProof/>
              <w:sz w:val="24"/>
              <w:szCs w:val="24"/>
            </w:rPr>
          </w:pPr>
          <w:hyperlink w:anchor="_Toc210052793" w:history="1">
            <w:r w:rsidRPr="007F40EB">
              <w:rPr>
                <w:rStyle w:val="Hyperlink"/>
                <w:noProof/>
              </w:rPr>
              <w:t>15</w:t>
            </w:r>
            <w:r>
              <w:rPr>
                <w:rFonts w:eastAsiaTheme="minorEastAsia"/>
                <w:noProof/>
                <w:sz w:val="24"/>
                <w:szCs w:val="24"/>
              </w:rPr>
              <w:tab/>
            </w:r>
            <w:r w:rsidRPr="007F40EB">
              <w:rPr>
                <w:rStyle w:val="Hyperlink"/>
                <w:noProof/>
              </w:rPr>
              <w:t>Facilidad de acceso externo</w:t>
            </w:r>
            <w:r>
              <w:rPr>
                <w:noProof/>
                <w:webHidden/>
              </w:rPr>
              <w:tab/>
            </w:r>
            <w:r>
              <w:rPr>
                <w:noProof/>
                <w:webHidden/>
              </w:rPr>
              <w:fldChar w:fldCharType="begin"/>
            </w:r>
            <w:r>
              <w:rPr>
                <w:noProof/>
                <w:webHidden/>
              </w:rPr>
              <w:instrText xml:space="preserve"> PAGEREF _Toc210052793 \h </w:instrText>
            </w:r>
            <w:r>
              <w:rPr>
                <w:noProof/>
                <w:webHidden/>
              </w:rPr>
            </w:r>
            <w:r>
              <w:rPr>
                <w:noProof/>
                <w:webHidden/>
              </w:rPr>
              <w:fldChar w:fldCharType="separate"/>
            </w:r>
            <w:r w:rsidR="000B6A13">
              <w:rPr>
                <w:noProof/>
                <w:webHidden/>
              </w:rPr>
              <w:t>68</w:t>
            </w:r>
            <w:r>
              <w:rPr>
                <w:noProof/>
                <w:webHidden/>
              </w:rPr>
              <w:fldChar w:fldCharType="end"/>
            </w:r>
          </w:hyperlink>
        </w:p>
        <w:p w14:paraId="74E8DF12" w14:textId="37D2104C" w:rsidR="002B019C" w:rsidRDefault="002B019C" w:rsidP="0037159E">
          <w:pPr>
            <w:pStyle w:val="TOC1"/>
            <w:spacing w:after="240"/>
            <w:rPr>
              <w:rFonts w:eastAsiaTheme="minorEastAsia"/>
              <w:noProof/>
              <w:sz w:val="24"/>
              <w:szCs w:val="24"/>
            </w:rPr>
          </w:pPr>
          <w:hyperlink w:anchor="_Toc210052794" w:history="1">
            <w:r w:rsidRPr="007F40EB">
              <w:rPr>
                <w:rStyle w:val="Hyperlink"/>
                <w:noProof/>
              </w:rPr>
              <w:t>16</w:t>
            </w:r>
            <w:r>
              <w:rPr>
                <w:rFonts w:eastAsiaTheme="minorEastAsia"/>
                <w:noProof/>
                <w:sz w:val="24"/>
                <w:szCs w:val="24"/>
              </w:rPr>
              <w:tab/>
            </w:r>
            <w:r w:rsidRPr="007F40EB">
              <w:rPr>
                <w:rStyle w:val="Hyperlink"/>
                <w:noProof/>
              </w:rPr>
              <w:t>Informes de gestión</w:t>
            </w:r>
            <w:r>
              <w:rPr>
                <w:noProof/>
                <w:webHidden/>
              </w:rPr>
              <w:tab/>
            </w:r>
            <w:r>
              <w:rPr>
                <w:noProof/>
                <w:webHidden/>
              </w:rPr>
              <w:fldChar w:fldCharType="begin"/>
            </w:r>
            <w:r>
              <w:rPr>
                <w:noProof/>
                <w:webHidden/>
              </w:rPr>
              <w:instrText xml:space="preserve"> PAGEREF _Toc210052794 \h </w:instrText>
            </w:r>
            <w:r>
              <w:rPr>
                <w:noProof/>
                <w:webHidden/>
              </w:rPr>
            </w:r>
            <w:r>
              <w:rPr>
                <w:noProof/>
                <w:webHidden/>
              </w:rPr>
              <w:fldChar w:fldCharType="separate"/>
            </w:r>
            <w:r w:rsidR="000B6A13">
              <w:rPr>
                <w:noProof/>
                <w:webHidden/>
              </w:rPr>
              <w:t>69</w:t>
            </w:r>
            <w:r>
              <w:rPr>
                <w:noProof/>
                <w:webHidden/>
              </w:rPr>
              <w:fldChar w:fldCharType="end"/>
            </w:r>
          </w:hyperlink>
        </w:p>
        <w:p w14:paraId="24C2A988" w14:textId="06E230C0" w:rsidR="002B019C" w:rsidRPr="0037159E" w:rsidRDefault="002B019C" w:rsidP="002B019C">
          <w:pPr>
            <w:pStyle w:val="TOC1"/>
            <w:rPr>
              <w:rFonts w:eastAsiaTheme="minorEastAsia"/>
              <w:noProof/>
              <w:sz w:val="21"/>
              <w:szCs w:val="21"/>
            </w:rPr>
          </w:pPr>
          <w:hyperlink w:anchor="_Toc210052795" w:history="1">
            <w:r w:rsidRPr="0037159E">
              <w:rPr>
                <w:rStyle w:val="Hyperlink"/>
                <w:noProof/>
                <w:sz w:val="21"/>
                <w:szCs w:val="21"/>
              </w:rPr>
              <w:t>Anexo 1: Visión general de los informes de seguimiento de la CIF</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_Toc210052795 \h </w:instrText>
            </w:r>
            <w:r w:rsidRPr="0037159E">
              <w:rPr>
                <w:noProof/>
                <w:webHidden/>
                <w:sz w:val="21"/>
                <w:szCs w:val="21"/>
              </w:rPr>
            </w:r>
            <w:r w:rsidRPr="0037159E">
              <w:rPr>
                <w:noProof/>
                <w:webHidden/>
                <w:sz w:val="21"/>
                <w:szCs w:val="21"/>
              </w:rPr>
              <w:fldChar w:fldCharType="separate"/>
            </w:r>
            <w:r w:rsidR="000B6A13">
              <w:rPr>
                <w:noProof/>
                <w:webHidden/>
                <w:sz w:val="21"/>
                <w:szCs w:val="21"/>
              </w:rPr>
              <w:t>70</w:t>
            </w:r>
            <w:r w:rsidRPr="0037159E">
              <w:rPr>
                <w:noProof/>
                <w:webHidden/>
                <w:sz w:val="21"/>
                <w:szCs w:val="21"/>
              </w:rPr>
              <w:fldChar w:fldCharType="end"/>
            </w:r>
          </w:hyperlink>
        </w:p>
        <w:p w14:paraId="5AEE80C6" w14:textId="25532439" w:rsidR="002B019C" w:rsidRPr="0037159E" w:rsidRDefault="002B019C" w:rsidP="002B019C">
          <w:pPr>
            <w:pStyle w:val="TOC1"/>
            <w:rPr>
              <w:rFonts w:eastAsiaTheme="minorEastAsia"/>
              <w:noProof/>
              <w:sz w:val="21"/>
              <w:szCs w:val="21"/>
            </w:rPr>
          </w:pPr>
          <w:hyperlink w:anchor="_Toc210052796" w:history="1">
            <w:r w:rsidRPr="0037159E">
              <w:rPr>
                <w:rStyle w:val="Hyperlink"/>
                <w:noProof/>
                <w:sz w:val="21"/>
                <w:szCs w:val="21"/>
              </w:rPr>
              <w:t>Anexo 2: Descripción general de los perfiles comerciales de IDAM HR y su propósito</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_Toc210052796 \h </w:instrText>
            </w:r>
            <w:r w:rsidRPr="0037159E">
              <w:rPr>
                <w:noProof/>
                <w:webHidden/>
                <w:sz w:val="21"/>
                <w:szCs w:val="21"/>
              </w:rPr>
            </w:r>
            <w:r w:rsidRPr="0037159E">
              <w:rPr>
                <w:noProof/>
                <w:webHidden/>
                <w:sz w:val="21"/>
                <w:szCs w:val="21"/>
              </w:rPr>
              <w:fldChar w:fldCharType="separate"/>
            </w:r>
            <w:r w:rsidR="000B6A13">
              <w:rPr>
                <w:noProof/>
                <w:webHidden/>
                <w:sz w:val="21"/>
                <w:szCs w:val="21"/>
              </w:rPr>
              <w:t>71</w:t>
            </w:r>
            <w:r w:rsidRPr="0037159E">
              <w:rPr>
                <w:noProof/>
                <w:webHidden/>
                <w:sz w:val="21"/>
                <w:szCs w:val="21"/>
              </w:rPr>
              <w:fldChar w:fldCharType="end"/>
            </w:r>
          </w:hyperlink>
        </w:p>
        <w:p w14:paraId="0ACF18E1" w14:textId="662C49E4" w:rsidR="002B019C" w:rsidRPr="0037159E" w:rsidRDefault="002B019C" w:rsidP="002B019C">
          <w:pPr>
            <w:pStyle w:val="TOC1"/>
            <w:rPr>
              <w:rFonts w:eastAsiaTheme="minorEastAsia"/>
              <w:noProof/>
              <w:sz w:val="21"/>
              <w:szCs w:val="21"/>
            </w:rPr>
          </w:pPr>
          <w:hyperlink w:anchor="_Toc210052797" w:history="1">
            <w:r w:rsidRPr="0037159E">
              <w:rPr>
                <w:rStyle w:val="Hyperlink"/>
                <w:noProof/>
                <w:sz w:val="21"/>
                <w:szCs w:val="21"/>
              </w:rPr>
              <w:t>Anexo 3: Descripción general de los perfiles comerciales financieros y las funciones complementarias y las capacidades cuánticas</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_Toc210052797 \h </w:instrText>
            </w:r>
            <w:r w:rsidRPr="0037159E">
              <w:rPr>
                <w:noProof/>
                <w:webHidden/>
                <w:sz w:val="21"/>
                <w:szCs w:val="21"/>
              </w:rPr>
            </w:r>
            <w:r w:rsidRPr="0037159E">
              <w:rPr>
                <w:noProof/>
                <w:webHidden/>
                <w:sz w:val="21"/>
                <w:szCs w:val="21"/>
              </w:rPr>
              <w:fldChar w:fldCharType="separate"/>
            </w:r>
            <w:r w:rsidR="000B6A13">
              <w:rPr>
                <w:noProof/>
                <w:webHidden/>
                <w:sz w:val="21"/>
                <w:szCs w:val="21"/>
              </w:rPr>
              <w:t>75</w:t>
            </w:r>
            <w:r w:rsidRPr="0037159E">
              <w:rPr>
                <w:noProof/>
                <w:webHidden/>
                <w:sz w:val="21"/>
                <w:szCs w:val="21"/>
              </w:rPr>
              <w:fldChar w:fldCharType="end"/>
            </w:r>
          </w:hyperlink>
        </w:p>
        <w:p w14:paraId="45FA2743" w14:textId="01A0213D" w:rsidR="002B019C" w:rsidRPr="0037159E" w:rsidRDefault="002B019C" w:rsidP="002B019C">
          <w:pPr>
            <w:pStyle w:val="TOC1"/>
            <w:rPr>
              <w:rFonts w:eastAsiaTheme="minorEastAsia"/>
              <w:noProof/>
              <w:sz w:val="21"/>
              <w:szCs w:val="21"/>
            </w:rPr>
          </w:pPr>
          <w:hyperlink w:anchor="_Toc210052798" w:history="1">
            <w:r w:rsidRPr="0037159E">
              <w:rPr>
                <w:rStyle w:val="Hyperlink"/>
                <w:noProof/>
                <w:sz w:val="21"/>
                <w:szCs w:val="21"/>
              </w:rPr>
              <w:t>Anexo 4: Visión general de las funciones de control interno por área funcional</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_Toc210052798 \h </w:instrText>
            </w:r>
            <w:r w:rsidRPr="0037159E">
              <w:rPr>
                <w:noProof/>
                <w:webHidden/>
                <w:sz w:val="21"/>
                <w:szCs w:val="21"/>
              </w:rPr>
            </w:r>
            <w:r w:rsidRPr="0037159E">
              <w:rPr>
                <w:noProof/>
                <w:webHidden/>
                <w:sz w:val="21"/>
                <w:szCs w:val="21"/>
              </w:rPr>
              <w:fldChar w:fldCharType="separate"/>
            </w:r>
            <w:r w:rsidR="000B6A13">
              <w:rPr>
                <w:noProof/>
                <w:webHidden/>
                <w:sz w:val="21"/>
                <w:szCs w:val="21"/>
              </w:rPr>
              <w:t>76</w:t>
            </w:r>
            <w:r w:rsidRPr="0037159E">
              <w:rPr>
                <w:noProof/>
                <w:webHidden/>
                <w:sz w:val="21"/>
                <w:szCs w:val="21"/>
              </w:rPr>
              <w:fldChar w:fldCharType="end"/>
            </w:r>
          </w:hyperlink>
        </w:p>
        <w:p w14:paraId="28C0FFAC" w14:textId="22F6260F" w:rsidR="002B019C" w:rsidRPr="0037159E" w:rsidRDefault="002B019C" w:rsidP="002B019C">
          <w:pPr>
            <w:pStyle w:val="TOC1"/>
            <w:rPr>
              <w:rFonts w:eastAsiaTheme="minorEastAsia"/>
              <w:noProof/>
              <w:sz w:val="21"/>
              <w:szCs w:val="21"/>
            </w:rPr>
          </w:pPr>
          <w:hyperlink w:anchor="_Toc210052799" w:history="1">
            <w:r w:rsidRPr="0037159E">
              <w:rPr>
                <w:rStyle w:val="Hyperlink"/>
                <w:noProof/>
                <w:sz w:val="21"/>
                <w:szCs w:val="21"/>
              </w:rPr>
              <w:t>Anexo 5: Descripción general del proceso: Adquisición y pago</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_Toc210052799 \h </w:instrText>
            </w:r>
            <w:r w:rsidRPr="0037159E">
              <w:rPr>
                <w:noProof/>
                <w:webHidden/>
                <w:sz w:val="21"/>
                <w:szCs w:val="21"/>
              </w:rPr>
            </w:r>
            <w:r w:rsidRPr="0037159E">
              <w:rPr>
                <w:noProof/>
                <w:webHidden/>
                <w:sz w:val="21"/>
                <w:szCs w:val="21"/>
              </w:rPr>
              <w:fldChar w:fldCharType="separate"/>
            </w:r>
            <w:r w:rsidR="000B6A13">
              <w:rPr>
                <w:noProof/>
                <w:webHidden/>
                <w:sz w:val="21"/>
                <w:szCs w:val="21"/>
              </w:rPr>
              <w:t>79</w:t>
            </w:r>
            <w:r w:rsidRPr="0037159E">
              <w:rPr>
                <w:noProof/>
                <w:webHidden/>
                <w:sz w:val="21"/>
                <w:szCs w:val="21"/>
              </w:rPr>
              <w:fldChar w:fldCharType="end"/>
            </w:r>
          </w:hyperlink>
        </w:p>
        <w:p w14:paraId="0F1D2428" w14:textId="389877AD" w:rsidR="002B019C" w:rsidRPr="0037159E" w:rsidRDefault="002B019C" w:rsidP="002B019C">
          <w:pPr>
            <w:pStyle w:val="TOC1"/>
            <w:rPr>
              <w:rFonts w:eastAsiaTheme="minorEastAsia"/>
              <w:noProof/>
              <w:sz w:val="21"/>
              <w:szCs w:val="21"/>
            </w:rPr>
          </w:pPr>
          <w:hyperlink w:anchor="_Toc210052800" w:history="1">
            <w:r w:rsidRPr="0037159E">
              <w:rPr>
                <w:rStyle w:val="Hyperlink"/>
                <w:noProof/>
                <w:sz w:val="21"/>
                <w:szCs w:val="21"/>
              </w:rPr>
              <w:t>Anexo 6: Visión general de la segregación de funciones y otros controles y cómo se aplican</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_Toc210052800 \h </w:instrText>
            </w:r>
            <w:r w:rsidRPr="0037159E">
              <w:rPr>
                <w:noProof/>
                <w:webHidden/>
                <w:sz w:val="21"/>
                <w:szCs w:val="21"/>
              </w:rPr>
            </w:r>
            <w:r w:rsidRPr="0037159E">
              <w:rPr>
                <w:noProof/>
                <w:webHidden/>
                <w:sz w:val="21"/>
                <w:szCs w:val="21"/>
              </w:rPr>
              <w:fldChar w:fldCharType="separate"/>
            </w:r>
            <w:r w:rsidR="000B6A13">
              <w:rPr>
                <w:noProof/>
                <w:webHidden/>
                <w:sz w:val="21"/>
                <w:szCs w:val="21"/>
              </w:rPr>
              <w:t>83</w:t>
            </w:r>
            <w:r w:rsidRPr="0037159E">
              <w:rPr>
                <w:noProof/>
                <w:webHidden/>
                <w:sz w:val="21"/>
                <w:szCs w:val="21"/>
              </w:rPr>
              <w:fldChar w:fldCharType="end"/>
            </w:r>
          </w:hyperlink>
        </w:p>
        <w:p w14:paraId="6C00CE9F" w14:textId="19D333DC" w:rsidR="002B019C" w:rsidRPr="0037159E" w:rsidRDefault="002B019C" w:rsidP="002B019C">
          <w:pPr>
            <w:pStyle w:val="TOC1"/>
            <w:rPr>
              <w:rFonts w:eastAsiaTheme="minorEastAsia"/>
              <w:noProof/>
              <w:sz w:val="21"/>
              <w:szCs w:val="21"/>
            </w:rPr>
          </w:pPr>
          <w:hyperlink w:anchor="_Toc210052801" w:history="1">
            <w:r w:rsidRPr="0037159E">
              <w:rPr>
                <w:rStyle w:val="Hyperlink"/>
                <w:noProof/>
                <w:sz w:val="21"/>
                <w:szCs w:val="21"/>
              </w:rPr>
              <w:t>Anexo 7: Visión general de dónde se realizan las acciones clave</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_Toc210052801 \h </w:instrText>
            </w:r>
            <w:r w:rsidRPr="0037159E">
              <w:rPr>
                <w:noProof/>
                <w:webHidden/>
                <w:sz w:val="21"/>
                <w:szCs w:val="21"/>
              </w:rPr>
            </w:r>
            <w:r w:rsidRPr="0037159E">
              <w:rPr>
                <w:noProof/>
                <w:webHidden/>
                <w:sz w:val="21"/>
                <w:szCs w:val="21"/>
              </w:rPr>
              <w:fldChar w:fldCharType="separate"/>
            </w:r>
            <w:r w:rsidR="000B6A13">
              <w:rPr>
                <w:noProof/>
                <w:webHidden/>
                <w:sz w:val="21"/>
                <w:szCs w:val="21"/>
              </w:rPr>
              <w:t>86</w:t>
            </w:r>
            <w:r w:rsidRPr="0037159E">
              <w:rPr>
                <w:noProof/>
                <w:webHidden/>
                <w:sz w:val="21"/>
                <w:szCs w:val="21"/>
              </w:rPr>
              <w:fldChar w:fldCharType="end"/>
            </w:r>
          </w:hyperlink>
        </w:p>
        <w:p w14:paraId="76039D86" w14:textId="02047F1A" w:rsidR="002B019C" w:rsidRPr="0037159E" w:rsidRDefault="002B019C" w:rsidP="002B019C">
          <w:pPr>
            <w:pStyle w:val="TOC1"/>
            <w:rPr>
              <w:rFonts w:eastAsiaTheme="minorEastAsia"/>
              <w:noProof/>
              <w:sz w:val="21"/>
              <w:szCs w:val="21"/>
            </w:rPr>
          </w:pPr>
          <w:hyperlink w:anchor="_Toc210052802" w:history="1">
            <w:r w:rsidRPr="0037159E">
              <w:rPr>
                <w:rStyle w:val="Hyperlink"/>
                <w:noProof/>
                <w:sz w:val="21"/>
                <w:szCs w:val="21"/>
              </w:rPr>
              <w:t>Anexo 8: Glosario</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_Toc210052802 \h </w:instrText>
            </w:r>
            <w:r w:rsidRPr="0037159E">
              <w:rPr>
                <w:noProof/>
                <w:webHidden/>
                <w:sz w:val="21"/>
                <w:szCs w:val="21"/>
              </w:rPr>
            </w:r>
            <w:r w:rsidRPr="0037159E">
              <w:rPr>
                <w:noProof/>
                <w:webHidden/>
                <w:sz w:val="21"/>
                <w:szCs w:val="21"/>
              </w:rPr>
              <w:fldChar w:fldCharType="separate"/>
            </w:r>
            <w:r w:rsidR="000B6A13">
              <w:rPr>
                <w:noProof/>
                <w:webHidden/>
                <w:sz w:val="21"/>
                <w:szCs w:val="21"/>
              </w:rPr>
              <w:t>91</w:t>
            </w:r>
            <w:r w:rsidRPr="0037159E">
              <w:rPr>
                <w:noProof/>
                <w:webHidden/>
                <w:sz w:val="21"/>
                <w:szCs w:val="21"/>
              </w:rPr>
              <w:fldChar w:fldCharType="end"/>
            </w:r>
          </w:hyperlink>
        </w:p>
        <w:p w14:paraId="424DD52E" w14:textId="2C49FEC0" w:rsidR="00B56C73" w:rsidRPr="0077377D" w:rsidRDefault="00B56C73" w:rsidP="0077377D">
          <w:pPr>
            <w:rPr>
              <w:sz w:val="8"/>
              <w:szCs w:val="8"/>
            </w:rPr>
          </w:pPr>
          <w:r w:rsidRPr="006112C3">
            <w:rPr>
              <w:b/>
              <w:bCs/>
              <w:noProof/>
              <w:sz w:val="21"/>
              <w:szCs w:val="21"/>
            </w:rPr>
            <w:fldChar w:fldCharType="end"/>
          </w:r>
        </w:p>
      </w:sdtContent>
    </w:sdt>
    <w:p w14:paraId="6B46F6BA" w14:textId="38FE0B51" w:rsidR="00075D80" w:rsidRDefault="00075D80">
      <w:pPr>
        <w:pStyle w:val="Heading1"/>
        <w:numPr>
          <w:ilvl w:val="0"/>
          <w:numId w:val="93"/>
        </w:numPr>
        <w:spacing w:after="240"/>
      </w:pPr>
      <w:bookmarkStart w:id="0" w:name="_Toc210052732"/>
      <w:r>
        <w:t>Introducción</w:t>
      </w:r>
      <w:bookmarkEnd w:id="0"/>
    </w:p>
    <w:p w14:paraId="59B4D041" w14:textId="056847B1" w:rsidR="00075D80" w:rsidRPr="00756410" w:rsidRDefault="00075D80">
      <w:pPr>
        <w:pStyle w:val="Heading2"/>
        <w:numPr>
          <w:ilvl w:val="1"/>
          <w:numId w:val="6"/>
        </w:numPr>
        <w:spacing w:after="240"/>
        <w:rPr>
          <w:lang w:val="es-419"/>
        </w:rPr>
      </w:pPr>
      <w:bookmarkStart w:id="1" w:name="_Toc210052733"/>
      <w:r w:rsidRPr="00756410">
        <w:rPr>
          <w:lang w:val="es-419"/>
        </w:rPr>
        <w:t>¿Qué es el control interno y por qué es importante?</w:t>
      </w:r>
      <w:bookmarkEnd w:id="1"/>
    </w:p>
    <w:p w14:paraId="7C8BAA90" w14:textId="64B5325A" w:rsidR="004E76F2" w:rsidRPr="00756410" w:rsidRDefault="00AC0004" w:rsidP="363CA695">
      <w:pPr>
        <w:spacing w:line="240" w:lineRule="auto"/>
        <w:rPr>
          <w:lang w:val="es-419"/>
        </w:rPr>
      </w:pPr>
      <w:r w:rsidRPr="00756410">
        <w:rPr>
          <w:lang w:val="es-419"/>
        </w:rPr>
        <w:t xml:space="preserve">Los controles internos son un componente fundamental de una buena gestión institucional y ayudan al PNUD a </w:t>
      </w:r>
      <w:r w:rsidRPr="00756410">
        <w:rPr>
          <w:b/>
          <w:lang w:val="es-419"/>
        </w:rPr>
        <w:t>alcanzar sus objetivos estratégicos de manera eficaz, eficiente, transparente y responsable</w:t>
      </w:r>
      <w:r w:rsidRPr="00756410">
        <w:rPr>
          <w:lang w:val="es-419"/>
        </w:rPr>
        <w:t xml:space="preserve">. Un marco sólido de control interno es también un requisito previo para asegurar que el PNUD mantenga su reputación de integridad en la ejecución de sus programas. </w:t>
      </w:r>
    </w:p>
    <w:p w14:paraId="2906F503" w14:textId="318E761F" w:rsidR="008A4D46" w:rsidRPr="00756410" w:rsidRDefault="00DC25E6" w:rsidP="00AD810D">
      <w:pPr>
        <w:spacing w:line="240" w:lineRule="auto"/>
        <w:rPr>
          <w:lang w:val="es-419"/>
        </w:rPr>
      </w:pPr>
      <w:r w:rsidRPr="115948A8">
        <w:rPr>
          <w:lang w:val="es-ES"/>
        </w:rPr>
        <w:t xml:space="preserve">El PNUD define el control interno como un proceso, efectuado por el órgano rector, la administración u otro personal, </w:t>
      </w:r>
      <w:r w:rsidRPr="115948A8">
        <w:rPr>
          <w:b/>
          <w:lang w:val="es-ES"/>
        </w:rPr>
        <w:t xml:space="preserve">diseñado para proporcionar garantías razonables sobre el logro de objetivos </w:t>
      </w:r>
      <w:r w:rsidRPr="115948A8">
        <w:rPr>
          <w:lang w:val="es-ES"/>
        </w:rPr>
        <w:t>en las categorías de: (i) eficacia y eficiencia de las operaciones; ii) fiabilidad de la información financiera; y (iii) el cumplimiento de las leyes y regulaciones aplicables</w:t>
      </w:r>
      <w:r w:rsidR="00264794" w:rsidRPr="115948A8">
        <w:rPr>
          <w:rStyle w:val="FootnoteReference"/>
          <w:lang w:val="es-ES"/>
        </w:rPr>
        <w:footnoteReference w:id="2"/>
      </w:r>
      <w:r w:rsidRPr="115948A8">
        <w:rPr>
          <w:lang w:val="es-ES"/>
        </w:rPr>
        <w:t xml:space="preserve">. </w:t>
      </w:r>
      <w:r w:rsidR="4C0AED78" w:rsidRPr="115948A8">
        <w:rPr>
          <w:lang w:val="es-ES"/>
        </w:rPr>
        <w:t xml:space="preserve">Dentro del contexto del Marco de </w:t>
      </w:r>
      <w:r w:rsidR="00270BBE" w:rsidRPr="115948A8">
        <w:rPr>
          <w:lang w:val="es-ES"/>
        </w:rPr>
        <w:t>Rendición</w:t>
      </w:r>
      <w:r w:rsidR="4C0AED78" w:rsidRPr="115948A8">
        <w:rPr>
          <w:lang w:val="es-ES"/>
        </w:rPr>
        <w:t xml:space="preserve"> de Cuentas del PNUD, </w:t>
      </w:r>
      <w:hyperlink r:id="rId13" w:history="1">
        <w:r w:rsidR="001802C2">
          <w:rPr>
            <w:rStyle w:val="Hyperlink"/>
            <w:lang w:val="es-ES"/>
          </w:rPr>
          <w:t>l</w:t>
        </w:r>
        <w:r w:rsidRPr="115948A8">
          <w:rPr>
            <w:rStyle w:val="Hyperlink"/>
            <w:lang w:val="es-ES"/>
          </w:rPr>
          <w:t>a política del Marco de Control Interno (</w:t>
        </w:r>
        <w:r w:rsidR="00150D3E">
          <w:rPr>
            <w:rStyle w:val="Hyperlink"/>
            <w:lang w:val="es-ES"/>
          </w:rPr>
          <w:t>MCI</w:t>
        </w:r>
        <w:r w:rsidR="00F0641C">
          <w:rPr>
            <w:rStyle w:val="Hyperlink"/>
            <w:lang w:val="es-ES"/>
          </w:rPr>
          <w:t xml:space="preserve"> o </w:t>
        </w:r>
        <w:r w:rsidRPr="115948A8">
          <w:rPr>
            <w:rStyle w:val="Hyperlink"/>
            <w:lang w:val="es-ES"/>
          </w:rPr>
          <w:t>ICF</w:t>
        </w:r>
        <w:r w:rsidR="001644EB">
          <w:rPr>
            <w:rStyle w:val="Hyperlink"/>
            <w:lang w:val="es-ES"/>
          </w:rPr>
          <w:t xml:space="preserve"> por sus siglas en inglés</w:t>
        </w:r>
        <w:r w:rsidRPr="115948A8">
          <w:rPr>
            <w:rStyle w:val="Hyperlink"/>
            <w:lang w:val="es-ES"/>
          </w:rPr>
          <w:t>) del PNUD</w:t>
        </w:r>
      </w:hyperlink>
      <w:r w:rsidR="00264794" w:rsidRPr="115948A8">
        <w:rPr>
          <w:lang w:val="es-ES"/>
        </w:rPr>
        <w:t xml:space="preserve"> articula los componentes clave del marco de control interno del PNUD, que se basa</w:t>
      </w:r>
      <w:r w:rsidR="78EAF782" w:rsidRPr="115948A8">
        <w:rPr>
          <w:lang w:val="es-ES"/>
        </w:rPr>
        <w:t>n</w:t>
      </w:r>
      <w:r w:rsidR="00264794" w:rsidRPr="115948A8">
        <w:rPr>
          <w:lang w:val="es-ES"/>
        </w:rPr>
        <w:t xml:space="preserve"> en </w:t>
      </w:r>
      <w:r w:rsidR="3CE5EEE0" w:rsidRPr="115948A8">
        <w:rPr>
          <w:lang w:val="es-ES"/>
        </w:rPr>
        <w:t xml:space="preserve">los </w:t>
      </w:r>
      <w:r w:rsidR="00264794" w:rsidRPr="115948A8">
        <w:rPr>
          <w:lang w:val="es-ES"/>
        </w:rPr>
        <w:t xml:space="preserve">marcos de control </w:t>
      </w:r>
      <w:r w:rsidR="7C783B3B" w:rsidRPr="115948A8">
        <w:rPr>
          <w:lang w:val="es-ES"/>
        </w:rPr>
        <w:t xml:space="preserve">de los </w:t>
      </w:r>
      <w:r w:rsidR="00264794" w:rsidRPr="115948A8">
        <w:rPr>
          <w:lang w:val="es-ES"/>
        </w:rPr>
        <w:t xml:space="preserve">líderes </w:t>
      </w:r>
      <w:r w:rsidR="6DF68696" w:rsidRPr="115948A8">
        <w:rPr>
          <w:lang w:val="es-ES"/>
        </w:rPr>
        <w:t>de</w:t>
      </w:r>
      <w:r w:rsidR="00264794" w:rsidRPr="115948A8">
        <w:rPr>
          <w:lang w:val="es-ES"/>
        </w:rPr>
        <w:t xml:space="preserve"> la industria</w:t>
      </w:r>
      <w:r w:rsidR="00A75947" w:rsidRPr="363CA695">
        <w:t>￼</w:t>
      </w:r>
      <w:r w:rsidR="00A75947" w:rsidRPr="363CA695">
        <w:rPr>
          <w:rStyle w:val="FootnoteReference"/>
        </w:rPr>
        <w:footnoteReference w:id="3"/>
      </w:r>
      <w:r w:rsidR="008A4D46" w:rsidRPr="115948A8">
        <w:rPr>
          <w:lang w:val="es-ES"/>
        </w:rPr>
        <w:t>que hacemos") y el Modelo de Tres Líneas ("quién lo hace")).</w:t>
      </w:r>
    </w:p>
    <w:p w14:paraId="3886A41D" w14:textId="1F365B54" w:rsidR="001438BC" w:rsidRPr="00756410" w:rsidRDefault="001438BC">
      <w:pPr>
        <w:pStyle w:val="Heading2"/>
        <w:numPr>
          <w:ilvl w:val="1"/>
          <w:numId w:val="6"/>
        </w:numPr>
        <w:spacing w:after="240"/>
        <w:rPr>
          <w:lang w:val="es-419"/>
        </w:rPr>
      </w:pPr>
      <w:bookmarkStart w:id="2" w:name="_Toc210052734"/>
      <w:r w:rsidRPr="00756410">
        <w:rPr>
          <w:lang w:val="es-419"/>
        </w:rPr>
        <w:t>¿Cómo aplica el PNUD el control interno?</w:t>
      </w:r>
      <w:bookmarkEnd w:id="2"/>
    </w:p>
    <w:p w14:paraId="4ED8254D" w14:textId="1CF35714" w:rsidR="008A4D46" w:rsidRPr="00756410" w:rsidRDefault="008A4D46" w:rsidP="00817B66">
      <w:pPr>
        <w:spacing w:line="240" w:lineRule="auto"/>
        <w:rPr>
          <w:lang w:val="es-419"/>
        </w:rPr>
      </w:pPr>
      <w:r w:rsidRPr="00756410">
        <w:rPr>
          <w:lang w:val="es-419"/>
        </w:rPr>
        <w:t xml:space="preserve">, </w:t>
      </w:r>
      <w:r w:rsidR="00A40D2D" w:rsidRPr="00756410">
        <w:rPr>
          <w:lang w:val="es-419"/>
        </w:rPr>
        <w:t>E</w:t>
      </w:r>
      <w:r w:rsidRPr="00756410">
        <w:rPr>
          <w:lang w:val="es-419"/>
        </w:rPr>
        <w:t xml:space="preserve">l PNUD trabaja en tres </w:t>
      </w:r>
      <w:r w:rsidRPr="00756410">
        <w:rPr>
          <w:b/>
          <w:lang w:val="es-419"/>
        </w:rPr>
        <w:t>pilares fundamentales</w:t>
      </w:r>
      <w:r w:rsidR="00A40D2D" w:rsidRPr="00756410">
        <w:rPr>
          <w:b/>
          <w:lang w:val="es-419"/>
        </w:rPr>
        <w:t xml:space="preserve"> </w:t>
      </w:r>
      <w:r w:rsidR="00A40D2D" w:rsidRPr="00756410">
        <w:rPr>
          <w:b/>
          <w:u w:val="single"/>
          <w:lang w:val="es-419"/>
        </w:rPr>
        <w:t xml:space="preserve">para llevar a cabo </w:t>
      </w:r>
      <w:r w:rsidR="0065085C" w:rsidRPr="00756410">
        <w:rPr>
          <w:b/>
          <w:u w:val="single"/>
          <w:lang w:val="es-419"/>
        </w:rPr>
        <w:t xml:space="preserve">los </w:t>
      </w:r>
      <w:r w:rsidR="00A40D2D" w:rsidRPr="00756410">
        <w:rPr>
          <w:b/>
          <w:u w:val="single"/>
          <w:lang w:val="es-419"/>
        </w:rPr>
        <w:t>controles internos</w:t>
      </w:r>
      <w:r w:rsidRPr="00756410">
        <w:rPr>
          <w:lang w:val="es-419"/>
        </w:rPr>
        <w:t>:</w:t>
      </w:r>
    </w:p>
    <w:p w14:paraId="3B93676E" w14:textId="0AB997E3" w:rsidR="008A4D46" w:rsidRPr="00756410" w:rsidRDefault="008A4D46">
      <w:pPr>
        <w:pStyle w:val="ListParagraph"/>
        <w:widowControl w:val="0"/>
        <w:numPr>
          <w:ilvl w:val="0"/>
          <w:numId w:val="1"/>
        </w:numPr>
        <w:tabs>
          <w:tab w:val="left" w:pos="540"/>
          <w:tab w:val="left" w:pos="541"/>
        </w:tabs>
        <w:autoSpaceDE w:val="0"/>
        <w:autoSpaceDN w:val="0"/>
        <w:spacing w:before="89" w:line="240" w:lineRule="auto"/>
        <w:ind w:right="36"/>
        <w:rPr>
          <w:rFonts w:ascii="Wingdings" w:hAnsi="Wingdings"/>
          <w:lang w:val="es-419"/>
        </w:rPr>
      </w:pPr>
      <w:r w:rsidRPr="00756410">
        <w:rPr>
          <w:b/>
          <w:lang w:val="es-419"/>
        </w:rPr>
        <w:t>Personas</w:t>
      </w:r>
      <w:r w:rsidRPr="00756410">
        <w:rPr>
          <w:lang w:val="es-419"/>
        </w:rPr>
        <w:t xml:space="preserve">: con objetivos, autoridades, </w:t>
      </w:r>
      <w:r w:rsidR="0068548A" w:rsidRPr="00756410">
        <w:rPr>
          <w:lang w:val="es-419"/>
        </w:rPr>
        <w:t>rendición de cuentas</w:t>
      </w:r>
      <w:r w:rsidRPr="00756410">
        <w:rPr>
          <w:lang w:val="es-419"/>
        </w:rPr>
        <w:t xml:space="preserve">, </w:t>
      </w:r>
      <w:r w:rsidR="009B0BA9">
        <w:rPr>
          <w:lang w:val="es-419"/>
        </w:rPr>
        <w:t>funciones</w:t>
      </w:r>
      <w:r w:rsidR="009B0BA9" w:rsidRPr="00756410">
        <w:rPr>
          <w:lang w:val="es-419"/>
        </w:rPr>
        <w:t xml:space="preserve"> </w:t>
      </w:r>
      <w:r w:rsidRPr="00756410">
        <w:rPr>
          <w:lang w:val="es-419"/>
        </w:rPr>
        <w:t>y responsabilidades</w:t>
      </w:r>
      <w:r w:rsidR="009B0BA9">
        <w:rPr>
          <w:lang w:val="es-419"/>
        </w:rPr>
        <w:t xml:space="preserve"> establecidos claramente</w:t>
      </w:r>
      <w:r w:rsidRPr="00756410">
        <w:rPr>
          <w:lang w:val="es-419"/>
        </w:rPr>
        <w:t xml:space="preserve">; </w:t>
      </w:r>
      <w:r w:rsidR="00BD3C1C">
        <w:rPr>
          <w:lang w:val="es-419"/>
        </w:rPr>
        <w:t>que actúen</w:t>
      </w:r>
      <w:r w:rsidR="00BD3C1C" w:rsidRPr="00756410">
        <w:rPr>
          <w:lang w:val="es-419"/>
        </w:rPr>
        <w:t xml:space="preserve"> </w:t>
      </w:r>
      <w:r w:rsidRPr="00756410">
        <w:rPr>
          <w:lang w:val="es-419"/>
        </w:rPr>
        <w:t xml:space="preserve">con </w:t>
      </w:r>
      <w:r w:rsidR="00BD3C1C">
        <w:rPr>
          <w:lang w:val="es-419"/>
        </w:rPr>
        <w:t xml:space="preserve">el más alto grado </w:t>
      </w:r>
      <w:r w:rsidRPr="00756410">
        <w:rPr>
          <w:lang w:val="es-419"/>
        </w:rPr>
        <w:t xml:space="preserve">de eficiencia, competencia e integridad; </w:t>
      </w:r>
      <w:r w:rsidR="00882EB7">
        <w:rPr>
          <w:lang w:val="es-419"/>
        </w:rPr>
        <w:t>que reciban</w:t>
      </w:r>
      <w:r w:rsidR="00882EB7" w:rsidRPr="00756410">
        <w:rPr>
          <w:lang w:val="es-419"/>
        </w:rPr>
        <w:t xml:space="preserve"> </w:t>
      </w:r>
      <w:r w:rsidRPr="00756410">
        <w:rPr>
          <w:lang w:val="es-419"/>
        </w:rPr>
        <w:t xml:space="preserve">capacitación </w:t>
      </w:r>
      <w:r w:rsidR="004A219C" w:rsidRPr="00756410">
        <w:rPr>
          <w:lang w:val="es-419"/>
        </w:rPr>
        <w:t>regul</w:t>
      </w:r>
      <w:r w:rsidR="004A219C">
        <w:rPr>
          <w:lang w:val="es-419"/>
        </w:rPr>
        <w:t>ar</w:t>
      </w:r>
      <w:r w:rsidRPr="00756410">
        <w:rPr>
          <w:lang w:val="es-419"/>
        </w:rPr>
        <w:t xml:space="preserve"> y retroalimentación </w:t>
      </w:r>
      <w:r w:rsidR="000C0216">
        <w:rPr>
          <w:lang w:val="es-419"/>
        </w:rPr>
        <w:t>sobre su</w:t>
      </w:r>
      <w:r w:rsidR="000C0216" w:rsidRPr="00756410">
        <w:rPr>
          <w:lang w:val="es-419"/>
        </w:rPr>
        <w:t xml:space="preserve"> </w:t>
      </w:r>
      <w:r w:rsidRPr="00756410">
        <w:rPr>
          <w:lang w:val="es-419"/>
        </w:rPr>
        <w:t xml:space="preserve">desempeño; </w:t>
      </w:r>
      <w:r w:rsidR="000C0216">
        <w:rPr>
          <w:lang w:val="es-419"/>
        </w:rPr>
        <w:t>que tengan</w:t>
      </w:r>
      <w:r w:rsidR="000C0216" w:rsidRPr="00756410">
        <w:rPr>
          <w:lang w:val="es-419"/>
        </w:rPr>
        <w:t xml:space="preserve"> </w:t>
      </w:r>
      <w:r w:rsidRPr="00756410">
        <w:rPr>
          <w:lang w:val="es-419"/>
        </w:rPr>
        <w:t xml:space="preserve">acceso a canales de comunicación abiertos para informar </w:t>
      </w:r>
      <w:r w:rsidR="00557584">
        <w:rPr>
          <w:lang w:val="es-419"/>
        </w:rPr>
        <w:t xml:space="preserve">sobre </w:t>
      </w:r>
      <w:r w:rsidRPr="00756410">
        <w:rPr>
          <w:lang w:val="es-419"/>
        </w:rPr>
        <w:t xml:space="preserve">asuntos </w:t>
      </w:r>
      <w:r w:rsidR="00557584">
        <w:rPr>
          <w:lang w:val="es-419"/>
        </w:rPr>
        <w:t>relacionados con  el</w:t>
      </w:r>
      <w:r w:rsidRPr="00756410">
        <w:rPr>
          <w:lang w:val="es-419"/>
        </w:rPr>
        <w:t xml:space="preserve"> control interno.</w:t>
      </w:r>
    </w:p>
    <w:p w14:paraId="4218AB91" w14:textId="058D8BF8" w:rsidR="008A4D46" w:rsidRPr="00756410" w:rsidRDefault="008A4D46">
      <w:pPr>
        <w:pStyle w:val="ListParagraph"/>
        <w:widowControl w:val="0"/>
        <w:numPr>
          <w:ilvl w:val="0"/>
          <w:numId w:val="1"/>
        </w:numPr>
        <w:tabs>
          <w:tab w:val="left" w:pos="540"/>
          <w:tab w:val="left" w:pos="541"/>
        </w:tabs>
        <w:autoSpaceDE w:val="0"/>
        <w:autoSpaceDN w:val="0"/>
        <w:spacing w:line="240" w:lineRule="auto"/>
        <w:ind w:right="36"/>
        <w:rPr>
          <w:rFonts w:ascii="Wingdings" w:hAnsi="Wingdings"/>
          <w:lang w:val="es-419"/>
        </w:rPr>
      </w:pPr>
      <w:r w:rsidRPr="00756410">
        <w:rPr>
          <w:b/>
          <w:lang w:val="es-419"/>
        </w:rPr>
        <w:t>Procesos</w:t>
      </w:r>
      <w:r w:rsidRPr="00756410">
        <w:rPr>
          <w:lang w:val="es-419"/>
        </w:rPr>
        <w:t xml:space="preserve">: a) </w:t>
      </w:r>
      <w:r w:rsidR="00557584">
        <w:rPr>
          <w:lang w:val="es-419"/>
        </w:rPr>
        <w:t xml:space="preserve">definidos </w:t>
      </w:r>
      <w:r w:rsidRPr="00756410">
        <w:rPr>
          <w:lang w:val="es-419"/>
        </w:rPr>
        <w:t xml:space="preserve">claramente; (b) </w:t>
      </w:r>
      <w:r w:rsidR="004B61F8">
        <w:rPr>
          <w:lang w:val="es-419"/>
        </w:rPr>
        <w:t xml:space="preserve">que </w:t>
      </w:r>
      <w:r w:rsidR="00C51DCD" w:rsidRPr="00C51DCD">
        <w:rPr>
          <w:lang w:val="es-419"/>
        </w:rPr>
        <w:t>mitig</w:t>
      </w:r>
      <w:r w:rsidR="00C51DCD">
        <w:rPr>
          <w:lang w:val="es-419"/>
        </w:rPr>
        <w:t>u</w:t>
      </w:r>
      <w:r w:rsidR="00C51DCD" w:rsidRPr="00C51DCD">
        <w:rPr>
          <w:lang w:val="es-419"/>
        </w:rPr>
        <w:t>en</w:t>
      </w:r>
      <w:r w:rsidRPr="00756410">
        <w:rPr>
          <w:lang w:val="es-419"/>
        </w:rPr>
        <w:t xml:space="preserve"> el riesgo mediante el despliegue selectivo de controles preventivos, de detección y correctivos; c) </w:t>
      </w:r>
      <w:r w:rsidR="00920ED7">
        <w:rPr>
          <w:lang w:val="es-419"/>
        </w:rPr>
        <w:t xml:space="preserve">sometidos a un seguimiento </w:t>
      </w:r>
      <w:r w:rsidR="004B3145">
        <w:rPr>
          <w:lang w:val="es-419"/>
        </w:rPr>
        <w:t>rutinario</w:t>
      </w:r>
      <w:r w:rsidRPr="00756410">
        <w:rPr>
          <w:lang w:val="es-419"/>
        </w:rPr>
        <w:t xml:space="preserve"> para </w:t>
      </w:r>
      <w:r w:rsidR="004B3145">
        <w:rPr>
          <w:lang w:val="es-419"/>
        </w:rPr>
        <w:t xml:space="preserve">comprobar la </w:t>
      </w:r>
      <w:r w:rsidRPr="00756410">
        <w:rPr>
          <w:lang w:val="es-419"/>
        </w:rPr>
        <w:t xml:space="preserve"> eficiencia y eficacia (incluida la </w:t>
      </w:r>
      <w:r w:rsidR="008C03A4">
        <w:rPr>
          <w:lang w:val="es-419"/>
        </w:rPr>
        <w:t xml:space="preserve"> relativa a los costos</w:t>
      </w:r>
      <w:r w:rsidRPr="00756410">
        <w:rPr>
          <w:lang w:val="es-419"/>
        </w:rPr>
        <w:t xml:space="preserve">); y (d) </w:t>
      </w:r>
      <w:r w:rsidR="008C03A4">
        <w:rPr>
          <w:lang w:val="es-419"/>
        </w:rPr>
        <w:t>que</w:t>
      </w:r>
      <w:r w:rsidR="008C03A4" w:rsidRPr="00756410">
        <w:rPr>
          <w:lang w:val="es-419"/>
        </w:rPr>
        <w:t xml:space="preserve"> mejor</w:t>
      </w:r>
      <w:r w:rsidR="008C03A4">
        <w:rPr>
          <w:lang w:val="es-419"/>
        </w:rPr>
        <w:t>e</w:t>
      </w:r>
      <w:r w:rsidR="008C03A4" w:rsidRPr="00756410">
        <w:rPr>
          <w:lang w:val="es-419"/>
        </w:rPr>
        <w:t xml:space="preserve">n </w:t>
      </w:r>
      <w:r w:rsidRPr="00756410">
        <w:rPr>
          <w:lang w:val="es-419"/>
        </w:rPr>
        <w:t xml:space="preserve">continuamente a </w:t>
      </w:r>
      <w:r w:rsidR="008C03A4">
        <w:rPr>
          <w:lang w:val="es-419"/>
        </w:rPr>
        <w:t xml:space="preserve">partir </w:t>
      </w:r>
      <w:r w:rsidRPr="00756410">
        <w:rPr>
          <w:lang w:val="es-419"/>
        </w:rPr>
        <w:t xml:space="preserve">de la experiencia </w:t>
      </w:r>
      <w:r w:rsidR="008C03A4">
        <w:rPr>
          <w:lang w:val="es-419"/>
        </w:rPr>
        <w:t xml:space="preserve">adquirida </w:t>
      </w:r>
      <w:r w:rsidR="009900D0">
        <w:rPr>
          <w:lang w:val="es-419"/>
        </w:rPr>
        <w:t>en la</w:t>
      </w:r>
      <w:r w:rsidR="00FC2D0B">
        <w:rPr>
          <w:lang w:val="es-419"/>
        </w:rPr>
        <w:t xml:space="preserve"> ejecución </w:t>
      </w:r>
      <w:r w:rsidRPr="00756410">
        <w:rPr>
          <w:lang w:val="es-419"/>
        </w:rPr>
        <w:t xml:space="preserve"> y los hallazgos de</w:t>
      </w:r>
      <w:r w:rsidR="00FC2D0B">
        <w:rPr>
          <w:lang w:val="es-419"/>
        </w:rPr>
        <w:t xml:space="preserve"> </w:t>
      </w:r>
      <w:r w:rsidR="00CF1306">
        <w:rPr>
          <w:lang w:val="es-419"/>
        </w:rPr>
        <w:t>los procesos de</w:t>
      </w:r>
      <w:r w:rsidRPr="00756410">
        <w:rPr>
          <w:lang w:val="es-419"/>
        </w:rPr>
        <w:t xml:space="preserve"> auditoría y evaluación. </w:t>
      </w:r>
    </w:p>
    <w:p w14:paraId="477ABA09" w14:textId="12159C7F" w:rsidR="008A4D46" w:rsidRPr="00756410" w:rsidRDefault="008A4D46" w:rsidP="068E6479">
      <w:pPr>
        <w:pStyle w:val="ListParagraph"/>
        <w:widowControl w:val="0"/>
        <w:numPr>
          <w:ilvl w:val="0"/>
          <w:numId w:val="1"/>
        </w:numPr>
        <w:tabs>
          <w:tab w:val="left" w:pos="540"/>
          <w:tab w:val="left" w:pos="541"/>
        </w:tabs>
        <w:autoSpaceDE w:val="0"/>
        <w:autoSpaceDN w:val="0"/>
        <w:spacing w:line="240" w:lineRule="auto"/>
        <w:ind w:right="36"/>
        <w:rPr>
          <w:rFonts w:ascii="Wingdings" w:hAnsi="Wingdings"/>
          <w:lang w:val="es-419"/>
        </w:rPr>
      </w:pPr>
      <w:r w:rsidRPr="00756410">
        <w:rPr>
          <w:b/>
          <w:lang w:val="es-419"/>
        </w:rPr>
        <w:t xml:space="preserve">Tecnología: </w:t>
      </w:r>
      <w:r w:rsidRPr="00756410">
        <w:rPr>
          <w:lang w:val="es-419"/>
        </w:rPr>
        <w:t xml:space="preserve">a) </w:t>
      </w:r>
      <w:r w:rsidR="00CF1306">
        <w:rPr>
          <w:lang w:val="es-419"/>
        </w:rPr>
        <w:t xml:space="preserve">como </w:t>
      </w:r>
      <w:r w:rsidRPr="00756410">
        <w:rPr>
          <w:lang w:val="es-419"/>
        </w:rPr>
        <w:t>apoy</w:t>
      </w:r>
      <w:r w:rsidR="00CF1306">
        <w:rPr>
          <w:lang w:val="es-419"/>
        </w:rPr>
        <w:t>o</w:t>
      </w:r>
      <w:r w:rsidRPr="00756410">
        <w:rPr>
          <w:lang w:val="es-419"/>
        </w:rPr>
        <w:t xml:space="preserve"> </w:t>
      </w:r>
      <w:r w:rsidR="00CF1306">
        <w:rPr>
          <w:lang w:val="es-419"/>
        </w:rPr>
        <w:t xml:space="preserve">a </w:t>
      </w:r>
      <w:r w:rsidRPr="00756410">
        <w:rPr>
          <w:lang w:val="es-419"/>
        </w:rPr>
        <w:t xml:space="preserve">la </w:t>
      </w:r>
      <w:r w:rsidR="00CF1306">
        <w:rPr>
          <w:lang w:val="es-419"/>
        </w:rPr>
        <w:t>ejecu</w:t>
      </w:r>
      <w:r w:rsidR="0071160C" w:rsidRPr="00756410">
        <w:rPr>
          <w:lang w:val="es-419"/>
        </w:rPr>
        <w:t>ci</w:t>
      </w:r>
      <w:r w:rsidR="001A63A4">
        <w:rPr>
          <w:lang w:val="es-419"/>
        </w:rPr>
        <w:t>ó</w:t>
      </w:r>
      <w:r w:rsidR="0071160C" w:rsidRPr="00756410">
        <w:rPr>
          <w:lang w:val="es-419"/>
        </w:rPr>
        <w:t xml:space="preserve">n </w:t>
      </w:r>
      <w:r w:rsidRPr="00756410">
        <w:rPr>
          <w:lang w:val="es-419"/>
        </w:rPr>
        <w:t xml:space="preserve">eficiente y eficaz de políticas y procedimientos; b) </w:t>
      </w:r>
      <w:r w:rsidR="00167218">
        <w:rPr>
          <w:lang w:val="es-419"/>
        </w:rPr>
        <w:t xml:space="preserve">para la </w:t>
      </w:r>
      <w:r w:rsidRPr="00756410">
        <w:rPr>
          <w:lang w:val="es-419"/>
        </w:rPr>
        <w:t>mitiga</w:t>
      </w:r>
      <w:r w:rsidR="00167218">
        <w:rPr>
          <w:lang w:val="es-419"/>
        </w:rPr>
        <w:t>ción</w:t>
      </w:r>
      <w:r w:rsidRPr="00756410">
        <w:rPr>
          <w:lang w:val="es-419"/>
        </w:rPr>
        <w:t xml:space="preserve"> </w:t>
      </w:r>
      <w:r w:rsidR="00C5608D">
        <w:rPr>
          <w:lang w:val="es-419"/>
        </w:rPr>
        <w:t>d</w:t>
      </w:r>
      <w:r w:rsidRPr="00756410">
        <w:rPr>
          <w:lang w:val="es-419"/>
        </w:rPr>
        <w:t xml:space="preserve">el riesgo mediante </w:t>
      </w:r>
      <w:r w:rsidR="006913F1">
        <w:rPr>
          <w:lang w:val="es-419"/>
        </w:rPr>
        <w:t xml:space="preserve">la </w:t>
      </w:r>
      <w:r w:rsidR="00D60D4C">
        <w:rPr>
          <w:lang w:val="es-419"/>
        </w:rPr>
        <w:t xml:space="preserve">definición </w:t>
      </w:r>
      <w:r w:rsidR="009307BD">
        <w:rPr>
          <w:lang w:val="es-419"/>
        </w:rPr>
        <w:t>y</w:t>
      </w:r>
      <w:r w:rsidR="00D60D4C">
        <w:rPr>
          <w:lang w:val="es-419"/>
        </w:rPr>
        <w:t xml:space="preserve"> </w:t>
      </w:r>
      <w:r w:rsidR="006913F1">
        <w:rPr>
          <w:lang w:val="es-419"/>
        </w:rPr>
        <w:t xml:space="preserve">segregación de </w:t>
      </w:r>
      <w:r w:rsidR="00C5608D">
        <w:rPr>
          <w:lang w:val="es-419"/>
        </w:rPr>
        <w:t xml:space="preserve">funciones </w:t>
      </w:r>
      <w:r w:rsidR="00F609F3">
        <w:rPr>
          <w:lang w:val="es-419"/>
        </w:rPr>
        <w:t>y responsabilidades</w:t>
      </w:r>
      <w:r w:rsidRPr="00756410">
        <w:rPr>
          <w:lang w:val="es-419"/>
        </w:rPr>
        <w:t xml:space="preserve">; c) </w:t>
      </w:r>
      <w:r w:rsidR="00E93AA0">
        <w:rPr>
          <w:lang w:val="es-419"/>
        </w:rPr>
        <w:t xml:space="preserve">que </w:t>
      </w:r>
      <w:r w:rsidRPr="00756410">
        <w:rPr>
          <w:lang w:val="es-419"/>
        </w:rPr>
        <w:t>est</w:t>
      </w:r>
      <w:r w:rsidR="00DA1C90">
        <w:rPr>
          <w:lang w:val="es-419"/>
        </w:rPr>
        <w:t>a</w:t>
      </w:r>
      <w:r w:rsidRPr="00756410">
        <w:rPr>
          <w:lang w:val="es-419"/>
        </w:rPr>
        <w:t xml:space="preserve"> </w:t>
      </w:r>
      <w:r w:rsidR="00E93AA0">
        <w:rPr>
          <w:lang w:val="es-419"/>
        </w:rPr>
        <w:t xml:space="preserve">bajo protección </w:t>
      </w:r>
      <w:r w:rsidRPr="00756410">
        <w:rPr>
          <w:lang w:val="es-419"/>
        </w:rPr>
        <w:t xml:space="preserve"> se utilice </w:t>
      </w:r>
      <w:r w:rsidR="00CE62D9">
        <w:rPr>
          <w:lang w:val="es-419"/>
        </w:rPr>
        <w:t>apropiadamente</w:t>
      </w:r>
      <w:r w:rsidRPr="00756410">
        <w:rPr>
          <w:lang w:val="es-419"/>
        </w:rPr>
        <w:t xml:space="preserve">; y d) </w:t>
      </w:r>
      <w:r w:rsidR="00CE62D9">
        <w:rPr>
          <w:lang w:val="es-419"/>
        </w:rPr>
        <w:t xml:space="preserve">como </w:t>
      </w:r>
      <w:r w:rsidRPr="00756410">
        <w:rPr>
          <w:lang w:val="es-419"/>
        </w:rPr>
        <w:t>apoy</w:t>
      </w:r>
      <w:r w:rsidR="00CE62D9">
        <w:rPr>
          <w:lang w:val="es-419"/>
        </w:rPr>
        <w:t>o</w:t>
      </w:r>
      <w:r w:rsidRPr="00756410">
        <w:rPr>
          <w:lang w:val="es-419"/>
        </w:rPr>
        <w:t xml:space="preserve"> </w:t>
      </w:r>
      <w:r w:rsidR="00B71743">
        <w:rPr>
          <w:lang w:val="es-419"/>
        </w:rPr>
        <w:t>a</w:t>
      </w:r>
      <w:r w:rsidR="008B529A">
        <w:rPr>
          <w:lang w:val="es-419"/>
        </w:rPr>
        <w:t xml:space="preserve">l seguimiento </w:t>
      </w:r>
      <w:r w:rsidRPr="00756410">
        <w:rPr>
          <w:lang w:val="es-419"/>
        </w:rPr>
        <w:t xml:space="preserve"> de la eficacia del control interno (</w:t>
      </w:r>
      <w:r w:rsidR="00FB48BC">
        <w:rPr>
          <w:lang w:val="es-419"/>
        </w:rPr>
        <w:t>incluida la relación costo-efectividad</w:t>
      </w:r>
      <w:r w:rsidRPr="00756410">
        <w:rPr>
          <w:lang w:val="es-419"/>
        </w:rPr>
        <w:t>).</w:t>
      </w:r>
    </w:p>
    <w:p w14:paraId="1A16F0CF" w14:textId="0987C52A" w:rsidR="001438BC" w:rsidRPr="00756410" w:rsidRDefault="00AA2092">
      <w:pPr>
        <w:pStyle w:val="Heading2"/>
        <w:numPr>
          <w:ilvl w:val="1"/>
          <w:numId w:val="6"/>
        </w:numPr>
        <w:spacing w:after="240"/>
        <w:rPr>
          <w:lang w:val="es-419"/>
        </w:rPr>
      </w:pPr>
      <w:bookmarkStart w:id="3" w:name="_Toc210052735"/>
      <w:r w:rsidRPr="00756410">
        <w:rPr>
          <w:lang w:val="es-419"/>
        </w:rPr>
        <w:lastRenderedPageBreak/>
        <w:t>¿Quién implementa el control interno dentro del PNUD?</w:t>
      </w:r>
      <w:bookmarkEnd w:id="3"/>
    </w:p>
    <w:p w14:paraId="37325B91" w14:textId="647FBAF6" w:rsidR="001438BC" w:rsidRPr="00756410" w:rsidRDefault="001438BC" w:rsidP="00817B66">
      <w:pPr>
        <w:spacing w:line="240" w:lineRule="auto"/>
        <w:rPr>
          <w:lang w:val="es-419"/>
        </w:rPr>
      </w:pPr>
      <w:r w:rsidRPr="00756410">
        <w:rPr>
          <w:b/>
          <w:u w:val="single"/>
          <w:lang w:val="es-419"/>
        </w:rPr>
        <w:t xml:space="preserve">Todos. </w:t>
      </w:r>
      <w:r w:rsidR="00CE4B5D" w:rsidRPr="00756410">
        <w:rPr>
          <w:lang w:val="es-419"/>
        </w:rPr>
        <w:t xml:space="preserve">La aplicación de controles internos en nuestra labor diaria es una responsabilidad fundamental de todo el personal del PNUD, </w:t>
      </w:r>
      <w:r w:rsidR="00A35813" w:rsidRPr="00756410">
        <w:rPr>
          <w:lang w:val="es-419"/>
        </w:rPr>
        <w:t>incluyendo</w:t>
      </w:r>
      <w:r w:rsidR="00CE4B5D" w:rsidRPr="00756410">
        <w:rPr>
          <w:lang w:val="es-419"/>
        </w:rPr>
        <w:t xml:space="preserve">: </w:t>
      </w:r>
    </w:p>
    <w:p w14:paraId="154BEE59" w14:textId="3B7301FF" w:rsidR="00CE4B5D" w:rsidRPr="00756410" w:rsidRDefault="00CE4B5D">
      <w:pPr>
        <w:pStyle w:val="ListParagraph"/>
        <w:numPr>
          <w:ilvl w:val="0"/>
          <w:numId w:val="2"/>
        </w:numPr>
        <w:spacing w:line="240" w:lineRule="auto"/>
        <w:rPr>
          <w:lang w:val="es-419"/>
        </w:rPr>
      </w:pPr>
      <w:r w:rsidRPr="00756410">
        <w:rPr>
          <w:b/>
          <w:lang w:val="es-419"/>
        </w:rPr>
        <w:t>Aquellos que tienen responsabilidades de</w:t>
      </w:r>
      <w:r w:rsidR="00897111" w:rsidRPr="00756410">
        <w:rPr>
          <w:b/>
          <w:lang w:val="es-419"/>
        </w:rPr>
        <w:t xml:space="preserve"> "primera línea" en la </w:t>
      </w:r>
      <w:r w:rsidRPr="00756410">
        <w:rPr>
          <w:b/>
          <w:lang w:val="es-419"/>
        </w:rPr>
        <w:t>implementación de programas y operaciones.</w:t>
      </w:r>
      <w:r w:rsidRPr="00756410">
        <w:rPr>
          <w:lang w:val="es-419"/>
        </w:rPr>
        <w:t xml:space="preserve"> En el PNUD, esto incluye al personal de las oficinas </w:t>
      </w:r>
      <w:r w:rsidR="00FD72F6" w:rsidRPr="00756410">
        <w:rPr>
          <w:lang w:val="es-419"/>
        </w:rPr>
        <w:t>de país</w:t>
      </w:r>
      <w:r w:rsidRPr="00756410">
        <w:rPr>
          <w:lang w:val="es-419"/>
        </w:rPr>
        <w:t>,</w:t>
      </w:r>
      <w:r w:rsidR="004E7234" w:rsidRPr="00756410">
        <w:rPr>
          <w:lang w:val="es-419"/>
        </w:rPr>
        <w:t xml:space="preserve"> oficinas</w:t>
      </w:r>
      <w:r w:rsidRPr="00756410">
        <w:rPr>
          <w:lang w:val="es-419"/>
        </w:rPr>
        <w:t xml:space="preserve"> </w:t>
      </w:r>
      <w:r w:rsidR="00281640" w:rsidRPr="00756410">
        <w:rPr>
          <w:lang w:val="es-419"/>
        </w:rPr>
        <w:t xml:space="preserve">o centros </w:t>
      </w:r>
      <w:r w:rsidRPr="00756410">
        <w:rPr>
          <w:lang w:val="es-419"/>
        </w:rPr>
        <w:t xml:space="preserve">regionales y </w:t>
      </w:r>
      <w:r w:rsidR="004E7234" w:rsidRPr="00756410">
        <w:rPr>
          <w:lang w:val="es-419"/>
        </w:rPr>
        <w:t xml:space="preserve">oficina o dependencia </w:t>
      </w:r>
      <w:r w:rsidRPr="00756410">
        <w:rPr>
          <w:lang w:val="es-419"/>
        </w:rPr>
        <w:t xml:space="preserve">de la sede y del centro de servicios </w:t>
      </w:r>
      <w:r w:rsidRPr="008C4953">
        <w:rPr>
          <w:lang w:val="es-419"/>
        </w:rPr>
        <w:t>compartidos</w:t>
      </w:r>
      <w:r w:rsidR="00397461">
        <w:rPr>
          <w:lang w:val="es-419"/>
        </w:rPr>
        <w:t xml:space="preserve"> (GSSC, por sus siglas en ingl</w:t>
      </w:r>
      <w:r w:rsidR="00FF0660">
        <w:rPr>
          <w:lang w:val="es-419"/>
        </w:rPr>
        <w:t>e</w:t>
      </w:r>
      <w:r w:rsidR="00397461">
        <w:rPr>
          <w:lang w:val="es-419"/>
        </w:rPr>
        <w:t>s)</w:t>
      </w:r>
      <w:r w:rsidRPr="00756410">
        <w:rPr>
          <w:lang w:val="es-419"/>
        </w:rPr>
        <w:t xml:space="preserve">, que se encargan de aplicar las políticas y procedimientos existentes en su trabajo diario para garantizar que se cumplan los objetivos y se administren eficazmente los recursos confiados al PNUD. </w:t>
      </w:r>
    </w:p>
    <w:p w14:paraId="4593C515" w14:textId="77777777" w:rsidR="006A0F08" w:rsidRPr="00756410" w:rsidRDefault="006A0F08" w:rsidP="00817B66">
      <w:pPr>
        <w:pStyle w:val="ListParagraph"/>
        <w:spacing w:line="240" w:lineRule="auto"/>
        <w:rPr>
          <w:lang w:val="es-419"/>
        </w:rPr>
      </w:pPr>
    </w:p>
    <w:p w14:paraId="7AAAFF78" w14:textId="29E19F80" w:rsidR="001438BC" w:rsidRPr="00756410" w:rsidRDefault="00CE4B5D">
      <w:pPr>
        <w:pStyle w:val="ListParagraph"/>
        <w:numPr>
          <w:ilvl w:val="0"/>
          <w:numId w:val="2"/>
        </w:numPr>
        <w:spacing w:line="240" w:lineRule="auto"/>
        <w:rPr>
          <w:lang w:val="es-419"/>
        </w:rPr>
      </w:pPr>
      <w:r w:rsidRPr="00756410">
        <w:rPr>
          <w:b/>
          <w:lang w:val="es-419"/>
        </w:rPr>
        <w:t xml:space="preserve">Aquellos que tienen responsabilidades </w:t>
      </w:r>
      <w:r w:rsidR="00301E14" w:rsidRPr="00756410">
        <w:rPr>
          <w:b/>
          <w:lang w:val="es-419"/>
        </w:rPr>
        <w:t xml:space="preserve">de 'segunda </w:t>
      </w:r>
      <w:r w:rsidR="00F26189" w:rsidRPr="00F26189">
        <w:rPr>
          <w:b/>
          <w:lang w:val="es-419"/>
        </w:rPr>
        <w:t>línea’ en</w:t>
      </w:r>
      <w:r w:rsidR="00301E14" w:rsidRPr="00756410">
        <w:rPr>
          <w:b/>
          <w:lang w:val="es-419"/>
        </w:rPr>
        <w:t xml:space="preserve"> </w:t>
      </w:r>
      <w:r w:rsidR="00BA3F76" w:rsidRPr="00756410">
        <w:rPr>
          <w:b/>
          <w:lang w:val="es-419"/>
        </w:rPr>
        <w:t xml:space="preserve">actividades de </w:t>
      </w:r>
      <w:r w:rsidRPr="00756410">
        <w:rPr>
          <w:b/>
          <w:lang w:val="es-419"/>
        </w:rPr>
        <w:t>monitoreo y supervisión.</w:t>
      </w:r>
      <w:r w:rsidR="001438BC" w:rsidRPr="00756410">
        <w:rPr>
          <w:lang w:val="es-419"/>
        </w:rPr>
        <w:t xml:space="preserve"> En el PNUD, esto incluye a los directores de las oficinas regionales y </w:t>
      </w:r>
      <w:r w:rsidR="0012085A" w:rsidRPr="00756410">
        <w:rPr>
          <w:lang w:val="es-419"/>
        </w:rPr>
        <w:t xml:space="preserve">los directores </w:t>
      </w:r>
      <w:r w:rsidR="001438BC" w:rsidRPr="00756410">
        <w:rPr>
          <w:lang w:val="es-419"/>
        </w:rPr>
        <w:t xml:space="preserve">de la sede y a los directores ejecutivos de los programas afiliados en su capacidad de supervisión; </w:t>
      </w:r>
      <w:r w:rsidR="00677A8F" w:rsidRPr="00756410">
        <w:rPr>
          <w:lang w:val="es-419"/>
        </w:rPr>
        <w:t xml:space="preserve">la </w:t>
      </w:r>
      <w:r w:rsidR="005B6133" w:rsidRPr="00756410">
        <w:rPr>
          <w:lang w:val="es-419"/>
        </w:rPr>
        <w:t xml:space="preserve">unidad de </w:t>
      </w:r>
      <w:r w:rsidR="001438BC" w:rsidRPr="00756410">
        <w:rPr>
          <w:lang w:val="es-419"/>
        </w:rPr>
        <w:t xml:space="preserve">BMS en su función de supervisión del cumplimiento y coordinación de auditorías; el </w:t>
      </w:r>
      <w:r w:rsidR="00D803A8">
        <w:rPr>
          <w:lang w:val="es-419"/>
        </w:rPr>
        <w:t xml:space="preserve">jefe de adquisiciones del PNUD </w:t>
      </w:r>
      <w:r w:rsidR="00376AF6">
        <w:rPr>
          <w:lang w:val="es-419"/>
        </w:rPr>
        <w:t>(</w:t>
      </w:r>
      <w:r w:rsidR="001438BC" w:rsidRPr="00756410">
        <w:rPr>
          <w:lang w:val="es-419"/>
        </w:rPr>
        <w:t>CPO</w:t>
      </w:r>
      <w:r w:rsidR="0040656D">
        <w:rPr>
          <w:lang w:val="es-419"/>
        </w:rPr>
        <w:t>, por sus siglas en ingles</w:t>
      </w:r>
      <w:r w:rsidR="00376AF6">
        <w:rPr>
          <w:lang w:val="es-419"/>
        </w:rPr>
        <w:t>)</w:t>
      </w:r>
      <w:r w:rsidR="001438BC" w:rsidRPr="00756410">
        <w:rPr>
          <w:lang w:val="es-419"/>
        </w:rPr>
        <w:t xml:space="preserve">, el </w:t>
      </w:r>
      <w:r w:rsidR="0040656D">
        <w:rPr>
          <w:lang w:val="es-419"/>
        </w:rPr>
        <w:t xml:space="preserve">Contralor </w:t>
      </w:r>
      <w:r w:rsidR="00376AF6">
        <w:rPr>
          <w:lang w:val="es-419"/>
        </w:rPr>
        <w:t>(</w:t>
      </w:r>
      <w:r w:rsidR="001438BC" w:rsidRPr="00756410">
        <w:rPr>
          <w:lang w:val="es-419"/>
        </w:rPr>
        <w:t>CFO</w:t>
      </w:r>
      <w:r w:rsidR="00314402">
        <w:rPr>
          <w:lang w:val="es-419"/>
        </w:rPr>
        <w:t>, por sus siglas en ingles</w:t>
      </w:r>
      <w:r w:rsidR="00376AF6">
        <w:rPr>
          <w:lang w:val="es-419"/>
        </w:rPr>
        <w:t>)</w:t>
      </w:r>
      <w:r w:rsidR="001438BC" w:rsidRPr="00756410">
        <w:rPr>
          <w:lang w:val="es-419"/>
        </w:rPr>
        <w:t xml:space="preserve"> y el Tesorero como propietarios de la autoridad funcional bajo los RR</w:t>
      </w:r>
      <w:r w:rsidR="008D757D">
        <w:rPr>
          <w:lang w:val="es-419"/>
        </w:rPr>
        <w:t>F</w:t>
      </w:r>
      <w:r w:rsidR="001438BC" w:rsidRPr="00756410">
        <w:rPr>
          <w:lang w:val="es-419"/>
        </w:rPr>
        <w:t xml:space="preserve"> del PNUD, y la oficina de Ética.</w:t>
      </w:r>
    </w:p>
    <w:p w14:paraId="3D5760DB" w14:textId="1BE6F88A" w:rsidR="007239E5" w:rsidRPr="00756410" w:rsidRDefault="00FA7859" w:rsidP="00AD810D">
      <w:pPr>
        <w:spacing w:line="240" w:lineRule="auto"/>
        <w:rPr>
          <w:lang w:val="es-419"/>
        </w:rPr>
      </w:pPr>
      <w:r w:rsidRPr="00756410">
        <w:rPr>
          <w:lang w:val="es-419"/>
        </w:rPr>
        <w:t xml:space="preserve">Consulte </w:t>
      </w:r>
      <w:hyperlink r:id="rId14">
        <w:r w:rsidRPr="008C4953">
          <w:rPr>
            <w:rStyle w:val="Hyperlink"/>
            <w:lang w:val="es-419"/>
          </w:rPr>
          <w:t>la Política del Marco de Control Interno (ICF) del PNUD</w:t>
        </w:r>
      </w:hyperlink>
      <w:r w:rsidRPr="00756410">
        <w:rPr>
          <w:lang w:val="es-419"/>
        </w:rPr>
        <w:t xml:space="preserve"> para obtener una descripción más completa de quién hace qué en el marco de control interno del PNUD.  </w:t>
      </w:r>
    </w:p>
    <w:p w14:paraId="400929C5" w14:textId="568AC453" w:rsidR="00CE4B5D" w:rsidRPr="00756410" w:rsidRDefault="00CE4B5D">
      <w:pPr>
        <w:pStyle w:val="Heading2"/>
        <w:numPr>
          <w:ilvl w:val="1"/>
          <w:numId w:val="6"/>
        </w:numPr>
        <w:spacing w:after="240"/>
        <w:rPr>
          <w:lang w:val="es-419"/>
        </w:rPr>
      </w:pPr>
      <w:bookmarkStart w:id="4" w:name="_Toc210052736"/>
      <w:r w:rsidRPr="00756410">
        <w:rPr>
          <w:lang w:val="es-419"/>
        </w:rPr>
        <w:t>¿Qué son los controles y por qué tenerlos?</w:t>
      </w:r>
      <w:bookmarkEnd w:id="4"/>
    </w:p>
    <w:p w14:paraId="06EC189A" w14:textId="70CACC66" w:rsidR="001438BC" w:rsidRPr="00756410" w:rsidRDefault="00B80B31" w:rsidP="363CA695">
      <w:pPr>
        <w:spacing w:line="240" w:lineRule="auto"/>
        <w:rPr>
          <w:lang w:val="es-419"/>
        </w:rPr>
      </w:pPr>
      <w:r w:rsidRPr="00756410">
        <w:rPr>
          <w:lang w:val="es-419"/>
        </w:rPr>
        <w:t xml:space="preserve">Los controles realizados por todas las oficinas y dependencias del PNUD proporcionan a la </w:t>
      </w:r>
      <w:r w:rsidR="00E906DB">
        <w:rPr>
          <w:lang w:val="es-419"/>
        </w:rPr>
        <w:t xml:space="preserve">gerencia </w:t>
      </w:r>
      <w:r w:rsidR="003B2F6E">
        <w:rPr>
          <w:lang w:val="es-419"/>
        </w:rPr>
        <w:t>las</w:t>
      </w:r>
      <w:r w:rsidR="00E906DB" w:rsidRPr="00756410">
        <w:rPr>
          <w:lang w:val="es-419"/>
        </w:rPr>
        <w:t xml:space="preserve"> </w:t>
      </w:r>
      <w:r w:rsidRPr="00756410">
        <w:rPr>
          <w:lang w:val="es-419"/>
        </w:rPr>
        <w:t>garantías razonables de que la información financiera es oportuna y exacta, de que las transacciones están autorizadas, son válidas y completas, y de que los activos están debidamente protegidos y contabilizados, y de que el PNUD cumple con su marco normativo (por ejemplo, informes financieros, decisiones de la Junta Ejecutiva, acuerdos jurídicos, etc.). Estos controles pueden ser automatizados (es decir, dentro de la plataforma ERP</w:t>
      </w:r>
      <w:r w:rsidR="00A33005" w:rsidRPr="00F84992">
        <w:rPr>
          <w:rStyle w:val="FootnoteReference"/>
        </w:rPr>
        <w:footnoteReference w:id="4"/>
      </w:r>
      <w:r w:rsidR="00595255" w:rsidRPr="00756410">
        <w:rPr>
          <w:lang w:val="es-419"/>
        </w:rPr>
        <w:t xml:space="preserve">) o manuales (fuera de la plataforma ERP). El PNUD </w:t>
      </w:r>
      <w:r w:rsidR="00D07368" w:rsidRPr="00756410">
        <w:rPr>
          <w:lang w:val="es-419"/>
        </w:rPr>
        <w:t xml:space="preserve">emplea </w:t>
      </w:r>
      <w:r w:rsidR="00595255" w:rsidRPr="00756410">
        <w:rPr>
          <w:lang w:val="es-419"/>
        </w:rPr>
        <w:t xml:space="preserve">las siguientes categorías de control: </w:t>
      </w:r>
    </w:p>
    <w:p w14:paraId="00901243" w14:textId="2F1067CE" w:rsidR="00595255" w:rsidRPr="00756410" w:rsidRDefault="00595255">
      <w:pPr>
        <w:pStyle w:val="ListParagraph"/>
        <w:numPr>
          <w:ilvl w:val="0"/>
          <w:numId w:val="3"/>
        </w:numPr>
        <w:spacing w:line="240" w:lineRule="auto"/>
        <w:rPr>
          <w:lang w:val="es-419"/>
        </w:rPr>
      </w:pPr>
      <w:r w:rsidRPr="00756410">
        <w:rPr>
          <w:b/>
          <w:lang w:val="es-419"/>
        </w:rPr>
        <w:t>Preventivo:</w:t>
      </w:r>
      <w:r w:rsidRPr="00756410">
        <w:rPr>
          <w:lang w:val="es-419"/>
        </w:rPr>
        <w:t xml:space="preserve"> Controles que intentan disuadir o evitar que ocurra un error o irregularidad. Los ejemplos incluyen: políticas y procedimientos de POPP; segregación de funciones; aprobación previa de acciones o transacciones; controles sobre el acceso (por ejemplo, aprobación previa de </w:t>
      </w:r>
      <w:r w:rsidR="0087387A" w:rsidRPr="00756410">
        <w:rPr>
          <w:lang w:val="es-419"/>
        </w:rPr>
        <w:t xml:space="preserve">perfiles de </w:t>
      </w:r>
      <w:r w:rsidRPr="00756410">
        <w:rPr>
          <w:lang w:val="es-419"/>
        </w:rPr>
        <w:t xml:space="preserve">acceso, contraseñas, controles de cambio </w:t>
      </w:r>
      <w:r w:rsidR="008F713B" w:rsidRPr="00756410">
        <w:rPr>
          <w:lang w:val="es-419"/>
        </w:rPr>
        <w:t xml:space="preserve">en los </w:t>
      </w:r>
      <w:r w:rsidRPr="00756410">
        <w:rPr>
          <w:lang w:val="es-419"/>
        </w:rPr>
        <w:t>datos maestros, archivos de pago cifrados); seguridad física sobre efectivo/activos/inventarios; Capacitación y evaluación del desempeño del personal.</w:t>
      </w:r>
    </w:p>
    <w:p w14:paraId="62090327" w14:textId="77777777" w:rsidR="00595255" w:rsidRPr="00756410" w:rsidRDefault="00595255" w:rsidP="00817B66">
      <w:pPr>
        <w:pStyle w:val="ListParagraph"/>
        <w:spacing w:line="240" w:lineRule="auto"/>
        <w:ind w:left="360"/>
        <w:rPr>
          <w:lang w:val="es-419"/>
        </w:rPr>
      </w:pPr>
    </w:p>
    <w:p w14:paraId="696805C3" w14:textId="32F7E572" w:rsidR="00595255" w:rsidRPr="00756410" w:rsidRDefault="006A564D">
      <w:pPr>
        <w:pStyle w:val="ListParagraph"/>
        <w:numPr>
          <w:ilvl w:val="0"/>
          <w:numId w:val="4"/>
        </w:numPr>
        <w:spacing w:line="240" w:lineRule="auto"/>
        <w:rPr>
          <w:lang w:val="es-419"/>
        </w:rPr>
      </w:pPr>
      <w:r>
        <w:rPr>
          <w:b/>
          <w:lang w:val="es-419"/>
        </w:rPr>
        <w:t>De detección</w:t>
      </w:r>
      <w:r w:rsidR="00595255" w:rsidRPr="00756410">
        <w:rPr>
          <w:b/>
          <w:lang w:val="es-419"/>
        </w:rPr>
        <w:t>:</w:t>
      </w:r>
      <w:r w:rsidR="00595255" w:rsidRPr="00756410">
        <w:rPr>
          <w:lang w:val="es-419"/>
        </w:rPr>
        <w:t xml:space="preserve"> Controles que confirman que los controles preventivos están funcionando según lo previsto; y que detectan errores o irregularidades después de que hayan ocurrido, pero antes de que se conviertan en un problema </w:t>
      </w:r>
      <w:r w:rsidR="009C013E">
        <w:rPr>
          <w:lang w:val="es-419"/>
        </w:rPr>
        <w:t>grave</w:t>
      </w:r>
      <w:r w:rsidR="00595255" w:rsidRPr="00756410">
        <w:rPr>
          <w:lang w:val="es-419"/>
        </w:rPr>
        <w:t xml:space="preserve">. Los ejemplos incluyen: Conciliaciones de cuentas; informes de excepción; reglas de validación de transacciones; verificaciones físicas de efectivo/activos/inventarios; exámenes del desempeño de las oficinas (por ejemplo, del presupuesto </w:t>
      </w:r>
      <w:r w:rsidR="004F371D">
        <w:rPr>
          <w:lang w:val="es-419"/>
        </w:rPr>
        <w:t>comparado con costos reales</w:t>
      </w:r>
      <w:r w:rsidR="00595255" w:rsidRPr="00756410">
        <w:rPr>
          <w:lang w:val="es-419"/>
        </w:rPr>
        <w:t xml:space="preserve">); y </w:t>
      </w:r>
      <w:r w:rsidR="00A06D0F">
        <w:rPr>
          <w:lang w:val="es-419"/>
        </w:rPr>
        <w:t xml:space="preserve">registros </w:t>
      </w:r>
      <w:r w:rsidR="00595255" w:rsidRPr="00756410">
        <w:rPr>
          <w:lang w:val="es-419"/>
        </w:rPr>
        <w:t xml:space="preserve">de auditoría que identifican quién ejecutó cada paso </w:t>
      </w:r>
      <w:r w:rsidR="00A63758">
        <w:rPr>
          <w:lang w:val="es-419"/>
        </w:rPr>
        <w:t>en</w:t>
      </w:r>
      <w:r w:rsidR="00A63758" w:rsidRPr="00756410">
        <w:rPr>
          <w:lang w:val="es-419"/>
        </w:rPr>
        <w:t xml:space="preserve"> </w:t>
      </w:r>
      <w:r w:rsidR="00595255" w:rsidRPr="00756410">
        <w:rPr>
          <w:lang w:val="es-419"/>
        </w:rPr>
        <w:t>un proceso.</w:t>
      </w:r>
    </w:p>
    <w:p w14:paraId="56D477E7" w14:textId="77777777" w:rsidR="00595255" w:rsidRPr="00756410" w:rsidRDefault="00595255" w:rsidP="00817B66">
      <w:pPr>
        <w:pStyle w:val="ListParagraph"/>
        <w:spacing w:line="240" w:lineRule="auto"/>
        <w:ind w:left="360"/>
        <w:rPr>
          <w:lang w:val="es-419"/>
        </w:rPr>
      </w:pPr>
    </w:p>
    <w:p w14:paraId="7FD56040" w14:textId="30D7FBDC" w:rsidR="003B498D" w:rsidRPr="00756410" w:rsidRDefault="00595255">
      <w:pPr>
        <w:pStyle w:val="ListParagraph"/>
        <w:numPr>
          <w:ilvl w:val="0"/>
          <w:numId w:val="5"/>
        </w:numPr>
        <w:spacing w:line="240" w:lineRule="auto"/>
        <w:rPr>
          <w:lang w:val="es-419"/>
        </w:rPr>
      </w:pPr>
      <w:r w:rsidRPr="00756410">
        <w:rPr>
          <w:b/>
          <w:lang w:val="es-419"/>
        </w:rPr>
        <w:t>Correctivo:</w:t>
      </w:r>
      <w:r w:rsidRPr="00756410">
        <w:rPr>
          <w:lang w:val="es-419"/>
        </w:rPr>
        <w:t xml:space="preserve"> Controles implementados cuando </w:t>
      </w:r>
      <w:r w:rsidR="00211E4E" w:rsidRPr="00756410">
        <w:rPr>
          <w:lang w:val="es-419"/>
        </w:rPr>
        <w:t xml:space="preserve">ya </w:t>
      </w:r>
      <w:r w:rsidRPr="00756410">
        <w:rPr>
          <w:lang w:val="es-419"/>
        </w:rPr>
        <w:t xml:space="preserve">se han detectado errores o irregularidades. Si se trata de errores involuntarios, </w:t>
      </w:r>
      <w:r w:rsidR="007211A8" w:rsidRPr="00756410">
        <w:rPr>
          <w:lang w:val="es-419"/>
        </w:rPr>
        <w:t xml:space="preserve">se aplican </w:t>
      </w:r>
      <w:r w:rsidRPr="00756410">
        <w:rPr>
          <w:lang w:val="es-419"/>
        </w:rPr>
        <w:t xml:space="preserve"> controles correctivos </w:t>
      </w:r>
      <w:r w:rsidR="007211A8" w:rsidRPr="00756410">
        <w:rPr>
          <w:lang w:val="es-419"/>
        </w:rPr>
        <w:t xml:space="preserve">que </w:t>
      </w:r>
      <w:r w:rsidRPr="00756410">
        <w:rPr>
          <w:lang w:val="es-419"/>
        </w:rPr>
        <w:t xml:space="preserve">pueden incluir capacitación y </w:t>
      </w:r>
      <w:r w:rsidR="00211E4E" w:rsidRPr="00756410">
        <w:rPr>
          <w:lang w:val="es-419"/>
        </w:rPr>
        <w:t xml:space="preserve">fortalecimiento </w:t>
      </w:r>
      <w:r w:rsidRPr="00756410">
        <w:rPr>
          <w:lang w:val="es-419"/>
        </w:rPr>
        <w:t>de capacidades;</w:t>
      </w:r>
      <w:r w:rsidR="00211E4E" w:rsidRPr="00756410">
        <w:rPr>
          <w:lang w:val="es-419"/>
        </w:rPr>
        <w:t xml:space="preserve"> y</w:t>
      </w:r>
      <w:r w:rsidRPr="00756410">
        <w:rPr>
          <w:lang w:val="es-419"/>
        </w:rPr>
        <w:t xml:space="preserve"> si se trata de irregularidades</w:t>
      </w:r>
      <w:r w:rsidR="00211E4E" w:rsidRPr="00756410">
        <w:rPr>
          <w:lang w:val="es-419"/>
        </w:rPr>
        <w:t xml:space="preserve"> o </w:t>
      </w:r>
      <w:r w:rsidR="00576DD4" w:rsidRPr="00576DD4">
        <w:rPr>
          <w:lang w:val="es-419"/>
        </w:rPr>
        <w:t>fraudes intencionados</w:t>
      </w:r>
      <w:r w:rsidR="007211A8" w:rsidRPr="00756410">
        <w:rPr>
          <w:lang w:val="es-419"/>
        </w:rPr>
        <w:t xml:space="preserve"> se pueden </w:t>
      </w:r>
      <w:r w:rsidR="00576DD4" w:rsidRPr="00576DD4">
        <w:rPr>
          <w:lang w:val="es-419"/>
        </w:rPr>
        <w:t>aplicar medidas</w:t>
      </w:r>
      <w:r w:rsidRPr="00756410">
        <w:rPr>
          <w:lang w:val="es-419"/>
        </w:rPr>
        <w:t xml:space="preserve"> </w:t>
      </w:r>
      <w:r w:rsidRPr="00756410">
        <w:rPr>
          <w:lang w:val="es-419"/>
        </w:rPr>
        <w:lastRenderedPageBreak/>
        <w:t xml:space="preserve">disciplinarias; y si </w:t>
      </w:r>
      <w:r w:rsidR="003E668A" w:rsidRPr="00756410">
        <w:rPr>
          <w:lang w:val="es-419"/>
        </w:rPr>
        <w:t xml:space="preserve">hay una brecha en </w:t>
      </w:r>
      <w:r w:rsidRPr="00756410">
        <w:rPr>
          <w:lang w:val="es-419"/>
        </w:rPr>
        <w:t xml:space="preserve">la política, el procedimiento o el sistema: </w:t>
      </w:r>
      <w:r w:rsidR="003E668A" w:rsidRPr="00756410">
        <w:rPr>
          <w:lang w:val="es-419"/>
        </w:rPr>
        <w:t xml:space="preserve">se procede a </w:t>
      </w:r>
      <w:r w:rsidRPr="00756410">
        <w:rPr>
          <w:lang w:val="es-419"/>
        </w:rPr>
        <w:t>actualizar/revisar la política, el procedimiento o el sistema.</w:t>
      </w:r>
    </w:p>
    <w:p w14:paraId="56261B1A" w14:textId="72DD74CD" w:rsidR="00075D80" w:rsidRPr="00756410" w:rsidRDefault="00D60D52">
      <w:pPr>
        <w:pStyle w:val="Heading2"/>
        <w:numPr>
          <w:ilvl w:val="1"/>
          <w:numId w:val="6"/>
        </w:numPr>
        <w:spacing w:after="240"/>
        <w:rPr>
          <w:lang w:val="es-419"/>
        </w:rPr>
      </w:pPr>
      <w:bookmarkStart w:id="5" w:name="_Toc210052737"/>
      <w:r w:rsidRPr="00756410">
        <w:rPr>
          <w:lang w:val="es-419"/>
        </w:rPr>
        <w:t>¿Cuáles son las limitaciones del control interno?</w:t>
      </w:r>
      <w:bookmarkEnd w:id="5"/>
    </w:p>
    <w:p w14:paraId="69010576" w14:textId="59E2D02B" w:rsidR="003B498D" w:rsidRPr="00756410" w:rsidRDefault="003B498D" w:rsidP="363CA695">
      <w:pPr>
        <w:spacing w:line="240" w:lineRule="auto"/>
        <w:rPr>
          <w:lang w:val="es-419"/>
        </w:rPr>
      </w:pPr>
      <w:r w:rsidRPr="00756410">
        <w:rPr>
          <w:lang w:val="es-419"/>
        </w:rPr>
        <w:t xml:space="preserve">Los sistemas de control interno no pueden proporcionar garantías absolutas de que el PNUD alcanzará todos sus objetivos. Por lo tanto, el objetivo del </w:t>
      </w:r>
      <w:r w:rsidR="006F721C" w:rsidRPr="00756410">
        <w:rPr>
          <w:b/>
          <w:lang w:val="es-419"/>
        </w:rPr>
        <w:t xml:space="preserve">control interno es lograr garantías razonables </w:t>
      </w:r>
      <w:r w:rsidR="00B2720D" w:rsidRPr="00756410">
        <w:rPr>
          <w:b/>
          <w:lang w:val="es-419"/>
        </w:rPr>
        <w:t xml:space="preserve">de </w:t>
      </w:r>
      <w:r w:rsidR="00B2720D" w:rsidRPr="00756410">
        <w:rPr>
          <w:lang w:val="es-419"/>
        </w:rPr>
        <w:t>que</w:t>
      </w:r>
      <w:r w:rsidR="006F721C" w:rsidRPr="00756410">
        <w:rPr>
          <w:lang w:val="es-419"/>
        </w:rPr>
        <w:t xml:space="preserve"> el PNUD alcanzará sus objetivos de manera eficiente. La eficacia de un sistema de control interno puede verse socavada por: i) un error humano: una persona involucrada en un sistema de control podría simplemente cometer un error debido al volumen de la carga de trabajo o a la comprensión técnica (por ejemplo, asignar a la persona equivocada </w:t>
      </w:r>
      <w:r w:rsidR="00B2720D" w:rsidRPr="00756410">
        <w:rPr>
          <w:lang w:val="es-419"/>
        </w:rPr>
        <w:t xml:space="preserve">a </w:t>
      </w:r>
      <w:r w:rsidR="00576DD4" w:rsidRPr="00576DD4">
        <w:rPr>
          <w:lang w:val="es-419"/>
        </w:rPr>
        <w:t>una tarea</w:t>
      </w:r>
      <w:r w:rsidR="006F721C" w:rsidRPr="00756410">
        <w:rPr>
          <w:lang w:val="es-419"/>
        </w:rPr>
        <w:t>); (ii) anulación de controles clave por parte de la gerencia (por ejemplo, autorizar excepciones); o (iii) colusión entre dos o más miembros del personal para eludir los controles.</w:t>
      </w:r>
    </w:p>
    <w:p w14:paraId="25F38876" w14:textId="0D306A62" w:rsidR="00075D80" w:rsidRPr="008B529A" w:rsidRDefault="004252D3" w:rsidP="363CA695">
      <w:pPr>
        <w:spacing w:line="240" w:lineRule="auto"/>
      </w:pPr>
      <w:r w:rsidRPr="00756410">
        <w:rPr>
          <w:b/>
          <w:lang w:val="es-419"/>
        </w:rPr>
        <w:t xml:space="preserve">¡El tono que establezcas para tu equipo sobre la importancia del control interno es </w:t>
      </w:r>
      <w:r w:rsidR="005E7A55" w:rsidRPr="00756410">
        <w:rPr>
          <w:b/>
          <w:lang w:val="es-419"/>
        </w:rPr>
        <w:t>fundamental</w:t>
      </w:r>
      <w:r w:rsidRPr="00756410">
        <w:rPr>
          <w:b/>
          <w:lang w:val="es-419"/>
        </w:rPr>
        <w:t xml:space="preserve">! </w:t>
      </w:r>
      <w:r w:rsidR="00A33186" w:rsidRPr="00756410">
        <w:rPr>
          <w:lang w:val="es-419"/>
        </w:rPr>
        <w:t xml:space="preserve">Un sistema </w:t>
      </w:r>
      <w:r w:rsidR="005E7A55" w:rsidRPr="00756410">
        <w:rPr>
          <w:lang w:val="es-419"/>
        </w:rPr>
        <w:t xml:space="preserve">sólido </w:t>
      </w:r>
      <w:r w:rsidR="00A33186" w:rsidRPr="00756410">
        <w:rPr>
          <w:lang w:val="es-419"/>
        </w:rPr>
        <w:t xml:space="preserve">de control interno depende del tono en la </w:t>
      </w:r>
      <w:r w:rsidR="00EA7F16" w:rsidRPr="00756410">
        <w:rPr>
          <w:lang w:val="es-419"/>
        </w:rPr>
        <w:t>alta dirección</w:t>
      </w:r>
      <w:r w:rsidR="00A33186" w:rsidRPr="00756410">
        <w:rPr>
          <w:lang w:val="es-419"/>
        </w:rPr>
        <w:t xml:space="preserve">. Como gerente, </w:t>
      </w:r>
      <w:r w:rsidR="00FA6500" w:rsidRPr="00756410">
        <w:rPr>
          <w:lang w:val="es-419"/>
        </w:rPr>
        <w:t xml:space="preserve">será </w:t>
      </w:r>
      <w:r w:rsidR="00A33186" w:rsidRPr="00756410">
        <w:rPr>
          <w:lang w:val="es-419"/>
        </w:rPr>
        <w:t xml:space="preserve">el tono </w:t>
      </w:r>
      <w:r w:rsidR="00FA6500" w:rsidRPr="00756410">
        <w:rPr>
          <w:lang w:val="es-419"/>
        </w:rPr>
        <w:t>personal</w:t>
      </w:r>
      <w:r w:rsidR="00A33186" w:rsidRPr="00756410">
        <w:rPr>
          <w:lang w:val="es-419"/>
        </w:rPr>
        <w:t xml:space="preserve"> lo que determin</w:t>
      </w:r>
      <w:r w:rsidR="00FA6500" w:rsidRPr="00756410">
        <w:rPr>
          <w:lang w:val="es-419"/>
        </w:rPr>
        <w:t>e</w:t>
      </w:r>
      <w:r w:rsidR="00A33186" w:rsidRPr="00756410">
        <w:rPr>
          <w:lang w:val="es-419"/>
        </w:rPr>
        <w:t xml:space="preserve"> qué tan bien su </w:t>
      </w:r>
      <w:r w:rsidR="00B03078" w:rsidRPr="00756410">
        <w:rPr>
          <w:lang w:val="es-419"/>
        </w:rPr>
        <w:t xml:space="preserve">equipo </w:t>
      </w:r>
      <w:r w:rsidR="00A33186" w:rsidRPr="00756410">
        <w:rPr>
          <w:lang w:val="es-419"/>
        </w:rPr>
        <w:t xml:space="preserve">implementará los controles internos. Si no </w:t>
      </w:r>
      <w:r w:rsidR="00B03078" w:rsidRPr="00756410">
        <w:rPr>
          <w:lang w:val="es-419"/>
        </w:rPr>
        <w:t>valoras el control interno</w:t>
      </w:r>
      <w:r w:rsidR="00A33186" w:rsidRPr="00756410">
        <w:rPr>
          <w:lang w:val="es-419"/>
        </w:rPr>
        <w:t>, tampoco lo hará tu equipo. Algunas buenas prácticas incluyen</w:t>
      </w:r>
      <w:r w:rsidR="00552B1B" w:rsidRPr="00756410">
        <w:rPr>
          <w:lang w:val="es-419"/>
        </w:rPr>
        <w:t xml:space="preserve"> lo siguiente</w:t>
      </w:r>
      <w:r w:rsidR="00A33186" w:rsidRPr="00756410">
        <w:rPr>
          <w:lang w:val="es-419"/>
        </w:rPr>
        <w:t>:</w:t>
      </w:r>
    </w:p>
    <w:tbl>
      <w:tblPr>
        <w:tblStyle w:val="TableGrid"/>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43" w:type="dxa"/>
        </w:tblCellMar>
        <w:tblLook w:val="04A0" w:firstRow="1" w:lastRow="0" w:firstColumn="1" w:lastColumn="0" w:noHBand="0" w:noVBand="1"/>
      </w:tblPr>
      <w:tblGrid>
        <w:gridCol w:w="9926"/>
      </w:tblGrid>
      <w:tr w:rsidR="00EB7C93" w:rsidRPr="00773863" w14:paraId="6BA933F0" w14:textId="77777777" w:rsidTr="00EF4E3E">
        <w:trPr>
          <w:trHeight w:val="20"/>
          <w:tblHeader/>
        </w:trPr>
        <w:tc>
          <w:tcPr>
            <w:tcW w:w="9926" w:type="dxa"/>
            <w:shd w:val="clear" w:color="auto" w:fill="002060"/>
          </w:tcPr>
          <w:p w14:paraId="16DB0706" w14:textId="23F4D790" w:rsidR="001E4F6B" w:rsidRPr="00756410" w:rsidRDefault="001E4F6B" w:rsidP="00383DCC">
            <w:pPr>
              <w:rPr>
                <w:b/>
                <w:sz w:val="20"/>
                <w:szCs w:val="20"/>
                <w:lang w:val="es-419"/>
              </w:rPr>
            </w:pPr>
            <w:r w:rsidRPr="00756410">
              <w:rPr>
                <w:b/>
                <w:bCs/>
                <w:sz w:val="20"/>
                <w:szCs w:val="20"/>
                <w:lang w:val="es-419"/>
              </w:rPr>
              <w:t>Los 10 mejores consejos para gerentes</w:t>
            </w:r>
          </w:p>
        </w:tc>
      </w:tr>
      <w:tr w:rsidR="003D3A34" w:rsidRPr="00773863" w14:paraId="5F9C7C0C" w14:textId="77777777" w:rsidTr="00EF4E3E">
        <w:trPr>
          <w:trHeight w:val="20"/>
        </w:trPr>
        <w:tc>
          <w:tcPr>
            <w:tcW w:w="9926" w:type="dxa"/>
          </w:tcPr>
          <w:p w14:paraId="76A629BF" w14:textId="14BD94D5" w:rsidR="001E4F6B" w:rsidRPr="00756410" w:rsidRDefault="001E4F6B">
            <w:pPr>
              <w:pStyle w:val="ListParagraph"/>
              <w:numPr>
                <w:ilvl w:val="0"/>
                <w:numId w:val="110"/>
              </w:numPr>
              <w:rPr>
                <w:sz w:val="20"/>
                <w:szCs w:val="20"/>
                <w:lang w:val="es-419"/>
              </w:rPr>
            </w:pPr>
            <w:r w:rsidRPr="00756410">
              <w:rPr>
                <w:sz w:val="20"/>
                <w:szCs w:val="20"/>
                <w:lang w:val="es-419"/>
              </w:rPr>
              <w:t xml:space="preserve">Valore su firma: inculcará una sensación clara de que el proceso de control es más importante que solo la firma. </w:t>
            </w:r>
          </w:p>
        </w:tc>
      </w:tr>
      <w:tr w:rsidR="00BD3938" w:rsidRPr="00773863" w14:paraId="43792EEB" w14:textId="77777777" w:rsidTr="00EF4E3E">
        <w:trPr>
          <w:trHeight w:val="20"/>
        </w:trPr>
        <w:tc>
          <w:tcPr>
            <w:tcW w:w="9926" w:type="dxa"/>
          </w:tcPr>
          <w:p w14:paraId="7BF36511" w14:textId="39A99676" w:rsidR="001E4F6B" w:rsidRPr="00756410" w:rsidRDefault="001E4F6B">
            <w:pPr>
              <w:pStyle w:val="ListParagraph"/>
              <w:numPr>
                <w:ilvl w:val="0"/>
                <w:numId w:val="110"/>
              </w:numPr>
              <w:rPr>
                <w:sz w:val="20"/>
                <w:szCs w:val="20"/>
                <w:lang w:val="es-419"/>
              </w:rPr>
            </w:pPr>
            <w:r w:rsidRPr="00756410">
              <w:rPr>
                <w:sz w:val="20"/>
                <w:szCs w:val="20"/>
                <w:lang w:val="es-419"/>
              </w:rPr>
              <w:t xml:space="preserve">Comprenda su propio estilo de gestión y cómo afecta a quienes trabajan para usted. </w:t>
            </w:r>
          </w:p>
        </w:tc>
      </w:tr>
      <w:tr w:rsidR="00BD3938" w:rsidRPr="00773863" w14:paraId="62769324" w14:textId="77777777" w:rsidTr="00EF4E3E">
        <w:trPr>
          <w:trHeight w:val="20"/>
        </w:trPr>
        <w:tc>
          <w:tcPr>
            <w:tcW w:w="9926" w:type="dxa"/>
          </w:tcPr>
          <w:p w14:paraId="5FA545E0" w14:textId="6953C01E" w:rsidR="001E4F6B" w:rsidRPr="00756410" w:rsidRDefault="001E4F6B">
            <w:pPr>
              <w:pStyle w:val="ListParagraph"/>
              <w:numPr>
                <w:ilvl w:val="0"/>
                <w:numId w:val="110"/>
              </w:numPr>
              <w:rPr>
                <w:sz w:val="20"/>
                <w:szCs w:val="20"/>
                <w:lang w:val="es-419"/>
              </w:rPr>
            </w:pPr>
            <w:r w:rsidRPr="00756410">
              <w:rPr>
                <w:sz w:val="20"/>
                <w:szCs w:val="20"/>
                <w:lang w:val="es-419"/>
              </w:rPr>
              <w:t xml:space="preserve">Construya un plan de </w:t>
            </w:r>
            <w:r w:rsidR="00E30A0E">
              <w:rPr>
                <w:sz w:val="20"/>
                <w:szCs w:val="20"/>
                <w:lang w:val="es-419"/>
              </w:rPr>
              <w:t>desempe</w:t>
            </w:r>
            <w:r w:rsidR="00F2317E">
              <w:rPr>
                <w:sz w:val="20"/>
                <w:szCs w:val="20"/>
                <w:lang w:val="es-419"/>
              </w:rPr>
              <w:t xml:space="preserve">ño </w:t>
            </w:r>
            <w:r w:rsidRPr="00756410">
              <w:rPr>
                <w:sz w:val="20"/>
                <w:szCs w:val="20"/>
                <w:lang w:val="es-419"/>
              </w:rPr>
              <w:t xml:space="preserve">sólido para su oficina, </w:t>
            </w:r>
            <w:r w:rsidR="00F2317E">
              <w:rPr>
                <w:sz w:val="20"/>
                <w:szCs w:val="20"/>
                <w:lang w:val="es-419"/>
              </w:rPr>
              <w:t>el</w:t>
            </w:r>
            <w:r w:rsidR="00F2317E" w:rsidRPr="00756410">
              <w:rPr>
                <w:sz w:val="20"/>
                <w:szCs w:val="20"/>
                <w:lang w:val="es-419"/>
              </w:rPr>
              <w:t xml:space="preserve"> </w:t>
            </w:r>
            <w:r w:rsidRPr="00756410">
              <w:rPr>
                <w:sz w:val="20"/>
                <w:szCs w:val="20"/>
                <w:lang w:val="es-419"/>
              </w:rPr>
              <w:t>primer paso</w:t>
            </w:r>
            <w:r w:rsidR="00045C5D">
              <w:rPr>
                <w:sz w:val="20"/>
                <w:szCs w:val="20"/>
                <w:lang w:val="es-419"/>
              </w:rPr>
              <w:t xml:space="preserve"> es</w:t>
            </w:r>
            <w:r w:rsidRPr="00756410">
              <w:rPr>
                <w:sz w:val="20"/>
                <w:szCs w:val="20"/>
                <w:lang w:val="es-419"/>
              </w:rPr>
              <w:t xml:space="preserve"> esencial </w:t>
            </w:r>
            <w:r w:rsidR="00045C5D">
              <w:rPr>
                <w:sz w:val="20"/>
                <w:szCs w:val="20"/>
                <w:lang w:val="es-419"/>
              </w:rPr>
              <w:t xml:space="preserve">e incluye </w:t>
            </w:r>
            <w:r w:rsidRPr="00756410">
              <w:rPr>
                <w:sz w:val="20"/>
                <w:szCs w:val="20"/>
                <w:lang w:val="es-419"/>
              </w:rPr>
              <w:t xml:space="preserve"> el desarrollo de objetivos y actividades relacionadas. </w:t>
            </w:r>
          </w:p>
        </w:tc>
      </w:tr>
      <w:tr w:rsidR="00BD3938" w:rsidRPr="00773863" w14:paraId="3F26BEA0" w14:textId="77777777" w:rsidTr="00EF4E3E">
        <w:trPr>
          <w:trHeight w:val="20"/>
        </w:trPr>
        <w:tc>
          <w:tcPr>
            <w:tcW w:w="9926" w:type="dxa"/>
          </w:tcPr>
          <w:p w14:paraId="553A7852" w14:textId="49FF64C0" w:rsidR="001E4F6B" w:rsidRPr="00756410" w:rsidRDefault="001E4F6B">
            <w:pPr>
              <w:pStyle w:val="ListParagraph"/>
              <w:numPr>
                <w:ilvl w:val="0"/>
                <w:numId w:val="110"/>
              </w:numPr>
              <w:rPr>
                <w:sz w:val="20"/>
                <w:szCs w:val="20"/>
                <w:lang w:val="es-419"/>
              </w:rPr>
            </w:pPr>
            <w:r w:rsidRPr="00756410">
              <w:rPr>
                <w:sz w:val="20"/>
                <w:szCs w:val="20"/>
                <w:lang w:val="es-419"/>
              </w:rPr>
              <w:t xml:space="preserve">Nunca establezca un objetivo sin asignar la responsabilidad y la fecha límite para lograrlo. </w:t>
            </w:r>
          </w:p>
        </w:tc>
      </w:tr>
      <w:tr w:rsidR="003818A8" w:rsidRPr="00773863" w14:paraId="60E346E9" w14:textId="77777777" w:rsidTr="00EF4E3E">
        <w:trPr>
          <w:trHeight w:val="20"/>
        </w:trPr>
        <w:tc>
          <w:tcPr>
            <w:tcW w:w="9926" w:type="dxa"/>
          </w:tcPr>
          <w:p w14:paraId="4C6BDBFD" w14:textId="4EF8CEF0" w:rsidR="001E4F6B" w:rsidRPr="00756410" w:rsidRDefault="001E4F6B">
            <w:pPr>
              <w:pStyle w:val="ListParagraph"/>
              <w:numPr>
                <w:ilvl w:val="0"/>
                <w:numId w:val="110"/>
              </w:numPr>
              <w:rPr>
                <w:sz w:val="20"/>
                <w:szCs w:val="20"/>
                <w:lang w:val="es-419"/>
              </w:rPr>
            </w:pPr>
            <w:r w:rsidRPr="00756410">
              <w:rPr>
                <w:sz w:val="20"/>
                <w:szCs w:val="20"/>
                <w:lang w:val="es-419"/>
              </w:rPr>
              <w:t xml:space="preserve">Tenga cuidado al subdelegar </w:t>
            </w:r>
            <w:r w:rsidR="00410DD7">
              <w:rPr>
                <w:sz w:val="20"/>
                <w:szCs w:val="20"/>
                <w:lang w:val="es-419"/>
              </w:rPr>
              <w:t>responsabilidad</w:t>
            </w:r>
            <w:r w:rsidR="008A733F">
              <w:rPr>
                <w:sz w:val="20"/>
                <w:szCs w:val="20"/>
                <w:lang w:val="es-419"/>
              </w:rPr>
              <w:t>e</w:t>
            </w:r>
            <w:r w:rsidR="00410DD7">
              <w:rPr>
                <w:sz w:val="20"/>
                <w:szCs w:val="20"/>
                <w:lang w:val="es-419"/>
              </w:rPr>
              <w:t>s que han sido formalmente delegadas</w:t>
            </w:r>
            <w:r w:rsidR="008A733F">
              <w:rPr>
                <w:sz w:val="20"/>
                <w:szCs w:val="20"/>
                <w:lang w:val="es-419"/>
              </w:rPr>
              <w:t xml:space="preserve"> a su persona</w:t>
            </w:r>
            <w:r w:rsidRPr="00756410">
              <w:rPr>
                <w:sz w:val="20"/>
                <w:szCs w:val="20"/>
                <w:lang w:val="es-419"/>
              </w:rPr>
              <w:t xml:space="preserve">. Es posible que no tenga el poder de subdelegar ciertas </w:t>
            </w:r>
            <w:r w:rsidR="00503C70">
              <w:rPr>
                <w:sz w:val="20"/>
                <w:szCs w:val="20"/>
                <w:lang w:val="es-419"/>
              </w:rPr>
              <w:t>responsabilidades</w:t>
            </w:r>
            <w:r w:rsidRPr="00756410">
              <w:rPr>
                <w:sz w:val="20"/>
                <w:szCs w:val="20"/>
                <w:lang w:val="es-419"/>
              </w:rPr>
              <w:t xml:space="preserve">. </w:t>
            </w:r>
          </w:p>
        </w:tc>
      </w:tr>
      <w:tr w:rsidR="003818A8" w:rsidRPr="00773863" w14:paraId="2A32EAE7" w14:textId="77777777" w:rsidTr="00EF4E3E">
        <w:trPr>
          <w:trHeight w:val="20"/>
        </w:trPr>
        <w:tc>
          <w:tcPr>
            <w:tcW w:w="9926" w:type="dxa"/>
          </w:tcPr>
          <w:p w14:paraId="0A2435DC" w14:textId="05694C09" w:rsidR="001E4F6B" w:rsidRPr="00756410" w:rsidRDefault="001E4F6B">
            <w:pPr>
              <w:pStyle w:val="ListParagraph"/>
              <w:numPr>
                <w:ilvl w:val="0"/>
                <w:numId w:val="110"/>
              </w:numPr>
              <w:rPr>
                <w:sz w:val="20"/>
                <w:szCs w:val="20"/>
                <w:lang w:val="es-419"/>
              </w:rPr>
            </w:pPr>
            <w:r w:rsidRPr="00756410">
              <w:rPr>
                <w:sz w:val="20"/>
                <w:szCs w:val="20"/>
                <w:lang w:val="es-419"/>
              </w:rPr>
              <w:t xml:space="preserve">Recuerde que la calidad del control interno está </w:t>
            </w:r>
            <w:r w:rsidR="005F3625">
              <w:rPr>
                <w:sz w:val="20"/>
                <w:szCs w:val="20"/>
                <w:lang w:val="es-419"/>
              </w:rPr>
              <w:t>profundamente</w:t>
            </w:r>
            <w:r w:rsidR="005F3625" w:rsidRPr="00756410">
              <w:rPr>
                <w:sz w:val="20"/>
                <w:szCs w:val="20"/>
                <w:lang w:val="es-419"/>
              </w:rPr>
              <w:t xml:space="preserve"> </w:t>
            </w:r>
            <w:r w:rsidRPr="00756410">
              <w:rPr>
                <w:sz w:val="20"/>
                <w:szCs w:val="20"/>
                <w:lang w:val="es-419"/>
              </w:rPr>
              <w:t xml:space="preserve">influenciada por la forma en que </w:t>
            </w:r>
            <w:r w:rsidR="009E48C7" w:rsidRPr="00943896">
              <w:rPr>
                <w:sz w:val="20"/>
                <w:szCs w:val="20"/>
                <w:lang w:val="es-419"/>
              </w:rPr>
              <w:t>las personas</w:t>
            </w:r>
            <w:r w:rsidR="009E48C7" w:rsidRPr="009E48C7">
              <w:rPr>
                <w:sz w:val="20"/>
                <w:szCs w:val="20"/>
                <w:lang w:val="es-419"/>
              </w:rPr>
              <w:t xml:space="preserve"> </w:t>
            </w:r>
            <w:r w:rsidRPr="00756410">
              <w:rPr>
                <w:sz w:val="20"/>
                <w:szCs w:val="20"/>
                <w:lang w:val="es-419"/>
              </w:rPr>
              <w:t>se organizan y administran</w:t>
            </w:r>
            <w:r w:rsidR="009E48C7">
              <w:rPr>
                <w:sz w:val="20"/>
                <w:szCs w:val="20"/>
                <w:lang w:val="es-419"/>
              </w:rPr>
              <w:t>. E</w:t>
            </w:r>
            <w:r w:rsidRPr="00756410">
              <w:rPr>
                <w:sz w:val="20"/>
                <w:szCs w:val="20"/>
                <w:lang w:val="es-419"/>
              </w:rPr>
              <w:t xml:space="preserve">sto incluye: la </w:t>
            </w:r>
            <w:r w:rsidR="009E48C7">
              <w:rPr>
                <w:sz w:val="20"/>
                <w:szCs w:val="20"/>
                <w:lang w:val="es-419"/>
              </w:rPr>
              <w:t>manera</w:t>
            </w:r>
            <w:r w:rsidR="009E48C7" w:rsidRPr="00756410">
              <w:rPr>
                <w:sz w:val="20"/>
                <w:szCs w:val="20"/>
                <w:lang w:val="es-419"/>
              </w:rPr>
              <w:t xml:space="preserve"> </w:t>
            </w:r>
            <w:r w:rsidRPr="00756410">
              <w:rPr>
                <w:sz w:val="20"/>
                <w:szCs w:val="20"/>
                <w:lang w:val="es-419"/>
              </w:rPr>
              <w:t xml:space="preserve">en que se definen y delegan los objetivos y las tareas; la forma en que se supervisan y controlan las actividades de control; y el refuerzo positivo </w:t>
            </w:r>
            <w:r w:rsidR="00FF0B9C">
              <w:rPr>
                <w:sz w:val="20"/>
                <w:szCs w:val="20"/>
                <w:lang w:val="es-419"/>
              </w:rPr>
              <w:t>que se brinda</w:t>
            </w:r>
            <w:r w:rsidR="00FF0B9C" w:rsidRPr="00756410">
              <w:rPr>
                <w:sz w:val="20"/>
                <w:szCs w:val="20"/>
                <w:lang w:val="es-419"/>
              </w:rPr>
              <w:t xml:space="preserve"> </w:t>
            </w:r>
            <w:r w:rsidRPr="00756410">
              <w:rPr>
                <w:sz w:val="20"/>
                <w:szCs w:val="20"/>
                <w:lang w:val="es-419"/>
              </w:rPr>
              <w:t xml:space="preserve">al personal para implementar controles de manera </w:t>
            </w:r>
            <w:r w:rsidR="00FF0B9C">
              <w:rPr>
                <w:sz w:val="20"/>
                <w:szCs w:val="20"/>
                <w:lang w:val="es-419"/>
              </w:rPr>
              <w:t>eficaz</w:t>
            </w:r>
            <w:r w:rsidRPr="00756410">
              <w:rPr>
                <w:sz w:val="20"/>
                <w:szCs w:val="20"/>
                <w:lang w:val="es-419"/>
              </w:rPr>
              <w:t xml:space="preserve">. </w:t>
            </w:r>
          </w:p>
        </w:tc>
      </w:tr>
      <w:tr w:rsidR="003818A8" w:rsidRPr="00773863" w14:paraId="50F13125" w14:textId="77777777" w:rsidTr="00EF4E3E">
        <w:trPr>
          <w:trHeight w:val="20"/>
        </w:trPr>
        <w:tc>
          <w:tcPr>
            <w:tcW w:w="9926" w:type="dxa"/>
          </w:tcPr>
          <w:p w14:paraId="7E6A594F" w14:textId="36C49BC1" w:rsidR="001E4F6B" w:rsidRPr="00756410" w:rsidRDefault="001E4F6B">
            <w:pPr>
              <w:pStyle w:val="ListParagraph"/>
              <w:numPr>
                <w:ilvl w:val="0"/>
                <w:numId w:val="110"/>
              </w:numPr>
              <w:rPr>
                <w:sz w:val="20"/>
                <w:szCs w:val="20"/>
                <w:lang w:val="es-419"/>
              </w:rPr>
            </w:pPr>
            <w:r w:rsidRPr="00756410">
              <w:rPr>
                <w:sz w:val="20"/>
                <w:szCs w:val="20"/>
                <w:lang w:val="es-419"/>
              </w:rPr>
              <w:t xml:space="preserve">Concéntrese en controles de nivel superior siempre que sea posible. </w:t>
            </w:r>
            <w:r w:rsidR="008A38BD">
              <w:rPr>
                <w:sz w:val="20"/>
                <w:szCs w:val="20"/>
                <w:lang w:val="es-419"/>
              </w:rPr>
              <w:t xml:space="preserve">Como gerente, serán </w:t>
            </w:r>
            <w:r w:rsidR="004659C7">
              <w:rPr>
                <w:sz w:val="20"/>
                <w:szCs w:val="20"/>
                <w:lang w:val="es-419"/>
              </w:rPr>
              <w:t>más</w:t>
            </w:r>
            <w:r w:rsidR="008A38BD">
              <w:rPr>
                <w:sz w:val="20"/>
                <w:szCs w:val="20"/>
                <w:lang w:val="es-419"/>
              </w:rPr>
              <w:t xml:space="preserve"> útiles l</w:t>
            </w:r>
            <w:r w:rsidRPr="00756410">
              <w:rPr>
                <w:sz w:val="20"/>
                <w:szCs w:val="20"/>
                <w:lang w:val="es-419"/>
              </w:rPr>
              <w:t>os controles que operan en una serie de transacciones</w:t>
            </w:r>
          </w:p>
        </w:tc>
      </w:tr>
      <w:tr w:rsidR="003818A8" w:rsidRPr="00773863" w14:paraId="5C366476" w14:textId="77777777" w:rsidTr="00EF4E3E">
        <w:trPr>
          <w:trHeight w:val="20"/>
        </w:trPr>
        <w:tc>
          <w:tcPr>
            <w:tcW w:w="9926" w:type="dxa"/>
          </w:tcPr>
          <w:p w14:paraId="4FF7459C" w14:textId="7682DC2A" w:rsidR="001E4F6B" w:rsidRPr="00756410" w:rsidRDefault="001E4F6B">
            <w:pPr>
              <w:pStyle w:val="ListParagraph"/>
              <w:numPr>
                <w:ilvl w:val="0"/>
                <w:numId w:val="110"/>
              </w:numPr>
              <w:rPr>
                <w:sz w:val="20"/>
                <w:szCs w:val="20"/>
                <w:lang w:val="es-ES"/>
              </w:rPr>
            </w:pPr>
            <w:r w:rsidRPr="00756410">
              <w:rPr>
                <w:sz w:val="20"/>
                <w:szCs w:val="20"/>
                <w:lang w:val="es-419"/>
              </w:rPr>
              <w:t xml:space="preserve">Mantener el equilibrio adecuado entre supervisión y microgestión. Piense en cómo se puede delegar el objetivo </w:t>
            </w:r>
            <w:r w:rsidR="003A64BC">
              <w:rPr>
                <w:sz w:val="20"/>
                <w:szCs w:val="20"/>
                <w:lang w:val="es-419"/>
              </w:rPr>
              <w:t>o</w:t>
            </w:r>
            <w:r w:rsidRPr="00756410">
              <w:rPr>
                <w:sz w:val="20"/>
                <w:szCs w:val="20"/>
                <w:lang w:val="es-419"/>
              </w:rPr>
              <w:t xml:space="preserve"> tarea y establezca reglas claras sobre lo que debe </w:t>
            </w:r>
            <w:r w:rsidR="003A64BC">
              <w:rPr>
                <w:sz w:val="20"/>
                <w:szCs w:val="20"/>
                <w:lang w:val="es-419"/>
              </w:rPr>
              <w:t xml:space="preserve">reportarse </w:t>
            </w:r>
            <w:r w:rsidR="005F7FA9">
              <w:rPr>
                <w:sz w:val="20"/>
                <w:szCs w:val="20"/>
                <w:lang w:val="es-419"/>
              </w:rPr>
              <w:t>a los niveles superiores</w:t>
            </w:r>
            <w:r w:rsidRPr="00756410">
              <w:rPr>
                <w:sz w:val="20"/>
                <w:szCs w:val="20"/>
                <w:lang w:val="es-419"/>
              </w:rPr>
              <w:t>.</w:t>
            </w:r>
          </w:p>
        </w:tc>
      </w:tr>
      <w:tr w:rsidR="003818A8" w:rsidRPr="00773863" w14:paraId="298A4B52" w14:textId="77777777" w:rsidTr="00EF4E3E">
        <w:trPr>
          <w:trHeight w:val="20"/>
        </w:trPr>
        <w:tc>
          <w:tcPr>
            <w:tcW w:w="9926" w:type="dxa"/>
          </w:tcPr>
          <w:p w14:paraId="2DB8E733" w14:textId="15453CEF" w:rsidR="001E4F6B" w:rsidRPr="00756410" w:rsidRDefault="001E4F6B">
            <w:pPr>
              <w:pStyle w:val="ListParagraph"/>
              <w:numPr>
                <w:ilvl w:val="0"/>
                <w:numId w:val="110"/>
              </w:numPr>
              <w:rPr>
                <w:sz w:val="20"/>
                <w:szCs w:val="20"/>
                <w:lang w:val="es-ES"/>
              </w:rPr>
            </w:pPr>
            <w:r w:rsidRPr="00756410">
              <w:rPr>
                <w:sz w:val="20"/>
                <w:szCs w:val="20"/>
                <w:lang w:val="es-419"/>
              </w:rPr>
              <w:t>Recuerde que el objetivo del control interno es proporcionar una garantía razonable de que los sistemas funcionan tan bien como se espera</w:t>
            </w:r>
            <w:r w:rsidR="00640E96">
              <w:rPr>
                <w:sz w:val="20"/>
                <w:szCs w:val="20"/>
                <w:lang w:val="es-419"/>
              </w:rPr>
              <w:t>ba</w:t>
            </w:r>
            <w:r w:rsidRPr="00756410">
              <w:rPr>
                <w:sz w:val="20"/>
                <w:szCs w:val="20"/>
                <w:lang w:val="es-419"/>
              </w:rPr>
              <w:t>. Cuando los controles fallan, a menudo la respuesta es mejorar</w:t>
            </w:r>
            <w:r w:rsidR="00380E06">
              <w:rPr>
                <w:sz w:val="20"/>
                <w:szCs w:val="20"/>
                <w:lang w:val="es-419"/>
              </w:rPr>
              <w:t xml:space="preserve"> </w:t>
            </w:r>
            <w:r w:rsidR="00DE0668">
              <w:rPr>
                <w:sz w:val="20"/>
                <w:szCs w:val="20"/>
                <w:lang w:val="es-419"/>
              </w:rPr>
              <w:t>su funcionamiento</w:t>
            </w:r>
            <w:r w:rsidRPr="00756410">
              <w:rPr>
                <w:sz w:val="20"/>
                <w:szCs w:val="20"/>
                <w:lang w:val="es-419"/>
              </w:rPr>
              <w:t>, no agregar más capas de control.</w:t>
            </w:r>
          </w:p>
        </w:tc>
      </w:tr>
      <w:tr w:rsidR="003818A8" w:rsidRPr="00773863" w14:paraId="5A21CF85" w14:textId="77777777" w:rsidTr="00EF4E3E">
        <w:trPr>
          <w:trHeight w:val="20"/>
        </w:trPr>
        <w:tc>
          <w:tcPr>
            <w:tcW w:w="9926" w:type="dxa"/>
          </w:tcPr>
          <w:p w14:paraId="397860AE" w14:textId="1C3F521A" w:rsidR="001E4F6B" w:rsidRPr="00756410" w:rsidRDefault="001E4F6B">
            <w:pPr>
              <w:pStyle w:val="ListParagraph"/>
              <w:numPr>
                <w:ilvl w:val="0"/>
                <w:numId w:val="110"/>
              </w:numPr>
              <w:rPr>
                <w:sz w:val="20"/>
                <w:szCs w:val="20"/>
                <w:lang w:val="es-419"/>
              </w:rPr>
            </w:pPr>
            <w:r w:rsidRPr="00756410">
              <w:rPr>
                <w:sz w:val="20"/>
                <w:szCs w:val="20"/>
                <w:lang w:val="es-419"/>
              </w:rPr>
              <w:t xml:space="preserve">Sigue las reglas. Los procesos y sistemas del PNUD han sido diseñados para incluir controles internos </w:t>
            </w:r>
            <w:r w:rsidR="00654F25">
              <w:rPr>
                <w:sz w:val="20"/>
                <w:szCs w:val="20"/>
                <w:lang w:val="es-419"/>
              </w:rPr>
              <w:t>sólidos</w:t>
            </w:r>
            <w:r w:rsidRPr="00756410">
              <w:rPr>
                <w:sz w:val="20"/>
                <w:szCs w:val="20"/>
                <w:lang w:val="es-419"/>
              </w:rPr>
              <w:t>.</w:t>
            </w:r>
          </w:p>
        </w:tc>
      </w:tr>
    </w:tbl>
    <w:p w14:paraId="19A38B2D" w14:textId="77777777" w:rsidR="001E4F6B" w:rsidRPr="00756410" w:rsidRDefault="001E4F6B" w:rsidP="00817B66">
      <w:pPr>
        <w:spacing w:line="240" w:lineRule="auto"/>
        <w:rPr>
          <w:lang w:val="es-419"/>
        </w:rPr>
      </w:pPr>
    </w:p>
    <w:p w14:paraId="076D0239" w14:textId="681BD75F" w:rsidR="00075D80" w:rsidRPr="00756410" w:rsidRDefault="00075D80">
      <w:pPr>
        <w:pStyle w:val="Heading2"/>
        <w:numPr>
          <w:ilvl w:val="1"/>
          <w:numId w:val="6"/>
        </w:numPr>
        <w:spacing w:after="240"/>
        <w:rPr>
          <w:lang w:val="es-ES"/>
        </w:rPr>
      </w:pPr>
      <w:bookmarkStart w:id="6" w:name="_Toc210052738"/>
      <w:r w:rsidRPr="00756410">
        <w:rPr>
          <w:lang w:val="es-419"/>
        </w:rPr>
        <w:t>¿Cuál es el propósito de esta Guía?</w:t>
      </w:r>
      <w:bookmarkEnd w:id="6"/>
    </w:p>
    <w:p w14:paraId="4BD2636E" w14:textId="682B3F4C" w:rsidR="004C25C2" w:rsidRPr="00756410" w:rsidRDefault="00AC0004" w:rsidP="00817B66">
      <w:pPr>
        <w:spacing w:line="240" w:lineRule="auto"/>
        <w:rPr>
          <w:lang w:val="es-ES"/>
        </w:rPr>
      </w:pPr>
      <w:r w:rsidRPr="00756410">
        <w:rPr>
          <w:lang w:val="es-ES"/>
        </w:rPr>
        <w:t xml:space="preserve">Esta Guía </w:t>
      </w:r>
      <w:r w:rsidR="006E200E">
        <w:rPr>
          <w:lang w:val="es-ES"/>
        </w:rPr>
        <w:t>Operativa</w:t>
      </w:r>
      <w:r w:rsidR="006E200E" w:rsidRPr="00756410">
        <w:rPr>
          <w:lang w:val="es-ES"/>
        </w:rPr>
        <w:t xml:space="preserve"> </w:t>
      </w:r>
      <w:r w:rsidRPr="00756410">
        <w:rPr>
          <w:lang w:val="es-ES"/>
        </w:rPr>
        <w:t xml:space="preserve">del Marco de Control Interno del PNUD ("la Guía") sirve como documento complementario a la Política del Marco de Control Interno. Dada la complejidad de las actividades del PNUD y la consiguiente amplitud y profundidad del contenido </w:t>
      </w:r>
      <w:r w:rsidR="00F070EC" w:rsidRPr="00756410">
        <w:rPr>
          <w:lang w:val="es-ES"/>
        </w:rPr>
        <w:t>del POPP</w:t>
      </w:r>
      <w:r w:rsidRPr="00756410">
        <w:rPr>
          <w:lang w:val="es-ES"/>
        </w:rPr>
        <w:t xml:space="preserve">, el propósito de esta Guía es reunir los requisitos clave de control interno incluidos en todo el </w:t>
      </w:r>
      <w:r w:rsidR="00183D44" w:rsidRPr="00756410">
        <w:rPr>
          <w:lang w:val="es-ES"/>
        </w:rPr>
        <w:t xml:space="preserve">POPP </w:t>
      </w:r>
      <w:r w:rsidRPr="00756410">
        <w:rPr>
          <w:lang w:val="es-ES"/>
        </w:rPr>
        <w:t xml:space="preserve">para ayudar a las oficinas y dependencias del PNUD a aplicar controles internos eficaces. Específicamente, la Guía: (i) </w:t>
      </w:r>
      <w:r w:rsidR="00235E52" w:rsidRPr="00756410">
        <w:rPr>
          <w:lang w:val="es-ES"/>
        </w:rPr>
        <w:t>define los</w:t>
      </w:r>
      <w:r w:rsidRPr="00756410">
        <w:rPr>
          <w:lang w:val="es-ES"/>
        </w:rPr>
        <w:t xml:space="preserve"> roles clave de</w:t>
      </w:r>
      <w:r w:rsidR="00235E52" w:rsidRPr="00756410">
        <w:rPr>
          <w:lang w:val="es-ES"/>
        </w:rPr>
        <w:t>l</w:t>
      </w:r>
      <w:r w:rsidRPr="00756410">
        <w:rPr>
          <w:lang w:val="es-ES"/>
        </w:rPr>
        <w:t xml:space="preserve"> control interno </w:t>
      </w:r>
      <w:r w:rsidR="00584E6B" w:rsidRPr="00756410">
        <w:rPr>
          <w:lang w:val="es-ES"/>
        </w:rPr>
        <w:t xml:space="preserve">en </w:t>
      </w:r>
      <w:r w:rsidR="00235E52" w:rsidRPr="00756410">
        <w:rPr>
          <w:lang w:val="es-ES"/>
        </w:rPr>
        <w:t>las actividades cotidianas</w:t>
      </w:r>
      <w:r w:rsidR="00CE6E7C" w:rsidRPr="00756410">
        <w:rPr>
          <w:lang w:val="es-ES"/>
        </w:rPr>
        <w:t xml:space="preserve"> así como sus respectivas atribuciones,</w:t>
      </w:r>
      <w:r w:rsidR="004F5E4F" w:rsidRPr="00756410">
        <w:rPr>
          <w:lang w:val="es-ES"/>
        </w:rPr>
        <w:t xml:space="preserve"> </w:t>
      </w:r>
      <w:r w:rsidRPr="00756410">
        <w:rPr>
          <w:lang w:val="es-ES"/>
        </w:rPr>
        <w:t xml:space="preserve">y </w:t>
      </w:r>
      <w:r w:rsidR="00D24D88" w:rsidRPr="00756410">
        <w:rPr>
          <w:lang w:val="es-ES"/>
        </w:rPr>
        <w:t xml:space="preserve"> rendición de cuentas y </w:t>
      </w:r>
      <w:r w:rsidRPr="00756410">
        <w:rPr>
          <w:lang w:val="es-ES"/>
        </w:rPr>
        <w:t>responsabilidades; ii) describe</w:t>
      </w:r>
      <w:r w:rsidR="00380E06">
        <w:rPr>
          <w:lang w:val="es-ES"/>
        </w:rPr>
        <w:t xml:space="preserve"> </w:t>
      </w:r>
      <w:r w:rsidRPr="00756410">
        <w:rPr>
          <w:lang w:val="es-ES"/>
        </w:rPr>
        <w:t>algunos puntos clave de control de</w:t>
      </w:r>
      <w:r w:rsidR="00F4288B" w:rsidRPr="00756410">
        <w:rPr>
          <w:lang w:val="es-ES"/>
        </w:rPr>
        <w:t xml:space="preserve"> </w:t>
      </w:r>
      <w:r w:rsidRPr="00756410">
        <w:rPr>
          <w:lang w:val="es-ES"/>
        </w:rPr>
        <w:t>l</w:t>
      </w:r>
      <w:r w:rsidR="00F4288B" w:rsidRPr="00756410">
        <w:rPr>
          <w:lang w:val="es-ES"/>
        </w:rPr>
        <w:t>os</w:t>
      </w:r>
      <w:r w:rsidRPr="00756410">
        <w:rPr>
          <w:lang w:val="es-ES"/>
        </w:rPr>
        <w:t xml:space="preserve"> proceso</w:t>
      </w:r>
      <w:r w:rsidR="00F21E7B" w:rsidRPr="00756410">
        <w:rPr>
          <w:lang w:val="es-ES"/>
        </w:rPr>
        <w:t>s</w:t>
      </w:r>
      <w:r w:rsidR="00F4288B" w:rsidRPr="00756410">
        <w:rPr>
          <w:lang w:val="es-ES"/>
        </w:rPr>
        <w:t xml:space="preserve"> </w:t>
      </w:r>
      <w:r w:rsidR="00F21E7B" w:rsidRPr="00756410">
        <w:rPr>
          <w:lang w:val="es-ES"/>
        </w:rPr>
        <w:t>a nivel</w:t>
      </w:r>
      <w:r w:rsidR="00F4288B" w:rsidRPr="00756410">
        <w:rPr>
          <w:lang w:val="es-ES"/>
        </w:rPr>
        <w:t xml:space="preserve"> general</w:t>
      </w:r>
      <w:r w:rsidRPr="00756410">
        <w:rPr>
          <w:lang w:val="es-ES"/>
        </w:rPr>
        <w:t xml:space="preserve">; y (iii) identifica los roles tecnológicos </w:t>
      </w:r>
      <w:r w:rsidRPr="00756410">
        <w:rPr>
          <w:lang w:val="es-ES"/>
        </w:rPr>
        <w:lastRenderedPageBreak/>
        <w:t>de apoyo (</w:t>
      </w:r>
      <w:r w:rsidR="006A1D32" w:rsidRPr="00756410">
        <w:rPr>
          <w:lang w:val="es-ES"/>
        </w:rPr>
        <w:t>por ejemplo</w:t>
      </w:r>
      <w:r w:rsidRPr="00756410">
        <w:rPr>
          <w:lang w:val="es-ES"/>
        </w:rPr>
        <w:t xml:space="preserve">, ERP), los derechos y las herramientas disponibles para </w:t>
      </w:r>
      <w:r w:rsidR="00281F06" w:rsidRPr="00756410">
        <w:rPr>
          <w:lang w:val="es-ES"/>
        </w:rPr>
        <w:t>influir en</w:t>
      </w:r>
      <w:r w:rsidRPr="00756410">
        <w:rPr>
          <w:lang w:val="es-ES"/>
        </w:rPr>
        <w:t xml:space="preserve"> la implementación del control interno</w:t>
      </w:r>
      <w:r w:rsidR="00281F06" w:rsidRPr="00756410">
        <w:rPr>
          <w:lang w:val="es-ES"/>
        </w:rPr>
        <w:t xml:space="preserve"> y monitorearlo</w:t>
      </w:r>
      <w:r w:rsidRPr="00756410">
        <w:rPr>
          <w:lang w:val="es-ES"/>
        </w:rPr>
        <w:t>.</w:t>
      </w:r>
    </w:p>
    <w:p w14:paraId="0B0A3770" w14:textId="66090983" w:rsidR="008021E5" w:rsidRPr="00756410" w:rsidRDefault="008021E5" w:rsidP="00817B66">
      <w:pPr>
        <w:spacing w:line="240" w:lineRule="auto"/>
        <w:rPr>
          <w:lang w:val="es-419"/>
        </w:rPr>
      </w:pPr>
      <w:r w:rsidRPr="00756410">
        <w:rPr>
          <w:lang w:val="es-419"/>
        </w:rPr>
        <w:t xml:space="preserve">Esta Guía debería ayudar a los Jefes de Oficinas/Unidades en su capacidad de gestión y a </w:t>
      </w:r>
      <w:r w:rsidR="00E05719">
        <w:rPr>
          <w:lang w:val="es-419"/>
        </w:rPr>
        <w:t>los bureau</w:t>
      </w:r>
      <w:r w:rsidRPr="00756410">
        <w:rPr>
          <w:lang w:val="es-419"/>
        </w:rPr>
        <w:t xml:space="preserve"> en su capacidad de supervisión o monitoreo (según corresponda) a comprender y aplicar más eficazmente los requisitos de control interno, y a diseñar sus propios procedimientos de control interno y enfoques de supervisión que consideren </w:t>
      </w:r>
      <w:r w:rsidR="00A86CEF">
        <w:rPr>
          <w:lang w:val="es-419"/>
        </w:rPr>
        <w:t xml:space="preserve">de acuerdo con las </w:t>
      </w:r>
      <w:r w:rsidRPr="00756410">
        <w:rPr>
          <w:lang w:val="es-419"/>
        </w:rPr>
        <w:t xml:space="preserve">circunstancias específicas, las características de sus operaciones en el país, región y/o oficina/unidad </w:t>
      </w:r>
      <w:r w:rsidR="00890849" w:rsidRPr="003965AD">
        <w:rPr>
          <w:lang w:val="es-419"/>
        </w:rPr>
        <w:t xml:space="preserve">fuera </w:t>
      </w:r>
      <w:r w:rsidR="001A4B5E" w:rsidRPr="00756410">
        <w:rPr>
          <w:lang w:val="es-419"/>
        </w:rPr>
        <w:t>de la sede fuera de Nueva York</w:t>
      </w:r>
      <w:r w:rsidR="001A4B5E" w:rsidRPr="003965AD" w:rsidDel="00BD5ADE">
        <w:rPr>
          <w:lang w:val="es-419"/>
        </w:rPr>
        <w:t xml:space="preserve"> </w:t>
      </w:r>
      <w:r w:rsidR="003965AD" w:rsidRPr="003965AD">
        <w:rPr>
          <w:lang w:val="es-419"/>
        </w:rPr>
        <w:t>(“</w:t>
      </w:r>
      <w:r w:rsidR="003965AD" w:rsidRPr="00756410">
        <w:rPr>
          <w:i/>
          <w:iCs/>
          <w:lang w:val="es-419"/>
        </w:rPr>
        <w:t>outposted</w:t>
      </w:r>
      <w:r w:rsidR="003965AD" w:rsidRPr="003965AD">
        <w:rPr>
          <w:lang w:val="es-419"/>
        </w:rPr>
        <w:t>”)</w:t>
      </w:r>
      <w:r w:rsidRPr="00756410">
        <w:rPr>
          <w:lang w:val="es-419"/>
        </w:rPr>
        <w:t xml:space="preserve">.  y los riesgos de control interno a los que se enfrenta. </w:t>
      </w:r>
    </w:p>
    <w:p w14:paraId="45B05101" w14:textId="268DB291" w:rsidR="00075D80" w:rsidRPr="00756410" w:rsidRDefault="00075D80">
      <w:pPr>
        <w:pStyle w:val="Heading2"/>
        <w:numPr>
          <w:ilvl w:val="1"/>
          <w:numId w:val="6"/>
        </w:numPr>
        <w:spacing w:after="240"/>
        <w:rPr>
          <w:lang w:val="es-ES"/>
        </w:rPr>
      </w:pPr>
      <w:bookmarkStart w:id="7" w:name="_Toc210052739"/>
      <w:r w:rsidRPr="00756410">
        <w:rPr>
          <w:lang w:val="es-419"/>
        </w:rPr>
        <w:t>¿Cómo debe aplicar esta Guía en su oficina/unidad?</w:t>
      </w:r>
      <w:bookmarkEnd w:id="7"/>
    </w:p>
    <w:p w14:paraId="6A1E403B" w14:textId="46625FD8" w:rsidR="008021E5" w:rsidRPr="00756410" w:rsidRDefault="0055153F" w:rsidP="00817B66">
      <w:pPr>
        <w:spacing w:line="240" w:lineRule="auto"/>
        <w:rPr>
          <w:lang w:val="es-419"/>
        </w:rPr>
      </w:pPr>
      <w:r w:rsidRPr="00756410">
        <w:rPr>
          <w:lang w:val="es-ES"/>
        </w:rPr>
        <w:t xml:space="preserve">Esta Guía establece los controles mínimos que deben funcionar en cada oficina/unidad. Sin embargo, el PNUD es una organización predominantemente descentralizada, y cada oficina o dependencia tiene diferentes actividades programáticas y operacionales, tamaño, capacidad de personal y contexto operativo local que pueden generar riesgos </w:t>
      </w:r>
      <w:r w:rsidR="006560AB" w:rsidRPr="00756410">
        <w:rPr>
          <w:lang w:val="es-ES"/>
        </w:rPr>
        <w:t xml:space="preserve">diferenciados </w:t>
      </w:r>
      <w:r w:rsidRPr="00756410">
        <w:rPr>
          <w:lang w:val="es-ES"/>
        </w:rPr>
        <w:t xml:space="preserve">para la gestión de los controles internos. En consecuencia, el jefe de la oficina o dependencia debe asegurarse de que se realice periódicamente una evaluación de riesgos localizada de las actividades programáticas y operacionales de la oficina o dependencia para </w:t>
      </w:r>
      <w:r w:rsidR="0028723C" w:rsidRPr="00756410">
        <w:rPr>
          <w:lang w:val="es-ES"/>
        </w:rPr>
        <w:t>identificar lo siguiente</w:t>
      </w:r>
      <w:r w:rsidR="003B2691" w:rsidRPr="00756410">
        <w:rPr>
          <w:lang w:val="es-ES"/>
        </w:rPr>
        <w:t>:</w:t>
      </w:r>
      <w:r w:rsidRPr="00756410">
        <w:rPr>
          <w:lang w:val="es-ES"/>
        </w:rPr>
        <w:t xml:space="preserve"> a) los puntos fuertes </w:t>
      </w:r>
      <w:r w:rsidR="003B2691" w:rsidRPr="00756410">
        <w:rPr>
          <w:lang w:val="es-ES"/>
        </w:rPr>
        <w:t xml:space="preserve">es decir, </w:t>
      </w:r>
      <w:r w:rsidRPr="00756410">
        <w:rPr>
          <w:lang w:val="es-ES"/>
        </w:rPr>
        <w:t xml:space="preserve">cuando la aplicación de los controles mínimos pueda ser suficiente; y b) </w:t>
      </w:r>
      <w:r w:rsidR="003B2691" w:rsidRPr="00756410">
        <w:rPr>
          <w:lang w:val="es-ES"/>
        </w:rPr>
        <w:t xml:space="preserve">las </w:t>
      </w:r>
      <w:r w:rsidRPr="00756410">
        <w:rPr>
          <w:lang w:val="es-ES"/>
        </w:rPr>
        <w:t xml:space="preserve">deficiencias o </w:t>
      </w:r>
      <w:r w:rsidR="00015215" w:rsidRPr="00015215">
        <w:rPr>
          <w:lang w:val="es-ES"/>
        </w:rPr>
        <w:t>áreas</w:t>
      </w:r>
      <w:r w:rsidR="003B2691" w:rsidRPr="00756410">
        <w:rPr>
          <w:lang w:val="es-ES"/>
        </w:rPr>
        <w:t xml:space="preserve"> </w:t>
      </w:r>
      <w:r w:rsidRPr="00756410">
        <w:rPr>
          <w:lang w:val="es-ES"/>
        </w:rPr>
        <w:t xml:space="preserve">en las que puede haber mayores riesgos debido a la naturaleza del programa, las </w:t>
      </w:r>
      <w:r w:rsidR="00854AB9" w:rsidRPr="00756410">
        <w:rPr>
          <w:lang w:val="es-ES"/>
        </w:rPr>
        <w:t>alianzas</w:t>
      </w:r>
      <w:r w:rsidRPr="00756410">
        <w:rPr>
          <w:lang w:val="es-ES"/>
        </w:rPr>
        <w:t xml:space="preserve">, las capacidades internas, los entornos locales, etc. </w:t>
      </w:r>
      <w:r w:rsidR="00351D99" w:rsidRPr="00756410">
        <w:rPr>
          <w:lang w:val="es-ES"/>
        </w:rPr>
        <w:t xml:space="preserve">, es decir </w:t>
      </w:r>
      <w:r w:rsidRPr="00756410">
        <w:rPr>
          <w:lang w:val="es-ES"/>
        </w:rPr>
        <w:t>cuando puede ser prudente establecer controles preventivos o de detección más estrictos para mitigar estos riesgos</w:t>
      </w:r>
      <w:r w:rsidR="00351D99" w:rsidRPr="00756410">
        <w:rPr>
          <w:lang w:val="es-ES"/>
        </w:rPr>
        <w:t xml:space="preserve"> mayores</w:t>
      </w:r>
      <w:r w:rsidRPr="00756410">
        <w:rPr>
          <w:lang w:val="es-ES"/>
        </w:rPr>
        <w:t xml:space="preserve">. Por ejemplo, si un proyecto en particular </w:t>
      </w:r>
      <w:r w:rsidR="006C191B" w:rsidRPr="00756410">
        <w:rPr>
          <w:lang w:val="es-ES"/>
        </w:rPr>
        <w:t xml:space="preserve">maneja grandes cantidades </w:t>
      </w:r>
      <w:r w:rsidR="00F06F76" w:rsidRPr="00756410">
        <w:rPr>
          <w:lang w:val="es-ES"/>
        </w:rPr>
        <w:t>de efectivo</w:t>
      </w:r>
      <w:r w:rsidRPr="00756410">
        <w:rPr>
          <w:lang w:val="es-ES"/>
        </w:rPr>
        <w:t xml:space="preserve">, </w:t>
      </w:r>
      <w:r w:rsidR="00F06F76" w:rsidRPr="00756410">
        <w:rPr>
          <w:lang w:val="es-ES"/>
        </w:rPr>
        <w:t>se debe incluir un</w:t>
      </w:r>
      <w:r w:rsidRPr="00756410">
        <w:rPr>
          <w:lang w:val="es-ES"/>
        </w:rPr>
        <w:t xml:space="preserve"> estricto </w:t>
      </w:r>
      <w:r w:rsidR="00F06F76" w:rsidRPr="00756410">
        <w:rPr>
          <w:lang w:val="es-ES"/>
        </w:rPr>
        <w:t xml:space="preserve">control </w:t>
      </w:r>
      <w:r w:rsidRPr="00756410">
        <w:rPr>
          <w:lang w:val="es-ES"/>
        </w:rPr>
        <w:t xml:space="preserve">sobre la gestión del efectivo. </w:t>
      </w:r>
      <w:r w:rsidRPr="00756410">
        <w:rPr>
          <w:lang w:val="es-419"/>
        </w:rPr>
        <w:t xml:space="preserve">Los jefes de </w:t>
      </w:r>
      <w:r w:rsidR="00F06F76" w:rsidRPr="00756410">
        <w:rPr>
          <w:lang w:val="es-419"/>
        </w:rPr>
        <w:t xml:space="preserve">las </w:t>
      </w:r>
      <w:r w:rsidRPr="00756410">
        <w:rPr>
          <w:lang w:val="es-419"/>
        </w:rPr>
        <w:t>oficinas</w:t>
      </w:r>
      <w:r w:rsidR="00890A92" w:rsidRPr="00756410">
        <w:rPr>
          <w:lang w:val="es-419"/>
        </w:rPr>
        <w:t xml:space="preserve"> o </w:t>
      </w:r>
      <w:r w:rsidRPr="00756410">
        <w:rPr>
          <w:lang w:val="es-419"/>
        </w:rPr>
        <w:t>unidades, en colaboración con sus respectiv</w:t>
      </w:r>
      <w:r w:rsidR="00F06F76" w:rsidRPr="00756410">
        <w:rPr>
          <w:lang w:val="es-419"/>
        </w:rPr>
        <w:t>o</w:t>
      </w:r>
      <w:r w:rsidRPr="00756410">
        <w:rPr>
          <w:lang w:val="es-419"/>
        </w:rPr>
        <w:t xml:space="preserve">s </w:t>
      </w:r>
      <w:r w:rsidR="00F06F76" w:rsidRPr="00756410">
        <w:rPr>
          <w:lang w:val="es-419"/>
        </w:rPr>
        <w:t>bur</w:t>
      </w:r>
      <w:r w:rsidR="00F6035C" w:rsidRPr="00756410">
        <w:rPr>
          <w:lang w:val="es-419"/>
        </w:rPr>
        <w:t>o</w:t>
      </w:r>
      <w:r w:rsidRPr="00756410">
        <w:rPr>
          <w:lang w:val="es-419"/>
        </w:rPr>
        <w:t xml:space="preserve">, tienen un </w:t>
      </w:r>
      <w:r w:rsidR="00F6035C" w:rsidRPr="00756410">
        <w:rPr>
          <w:lang w:val="es-419"/>
        </w:rPr>
        <w:t xml:space="preserve">amplio </w:t>
      </w:r>
      <w:r w:rsidRPr="00756410">
        <w:rPr>
          <w:lang w:val="es-419"/>
        </w:rPr>
        <w:t xml:space="preserve">margen  para diseñar un sistema de control interno </w:t>
      </w:r>
      <w:r w:rsidR="00890A92" w:rsidRPr="00756410">
        <w:rPr>
          <w:lang w:val="es-419"/>
        </w:rPr>
        <w:t xml:space="preserve">que se adapte a las necesidades de </w:t>
      </w:r>
      <w:r w:rsidRPr="00756410">
        <w:rPr>
          <w:lang w:val="es-419"/>
        </w:rPr>
        <w:t>su oficina</w:t>
      </w:r>
      <w:r w:rsidR="00890A92" w:rsidRPr="00756410">
        <w:rPr>
          <w:lang w:val="es-419"/>
        </w:rPr>
        <w:t xml:space="preserve"> o </w:t>
      </w:r>
      <w:r w:rsidRPr="00756410">
        <w:rPr>
          <w:lang w:val="es-419"/>
        </w:rPr>
        <w:t>unidad.</w:t>
      </w:r>
    </w:p>
    <w:p w14:paraId="783BE2FC" w14:textId="1E6761D2" w:rsidR="008021E5" w:rsidRPr="00756410" w:rsidRDefault="008021E5" w:rsidP="00817B66">
      <w:pPr>
        <w:spacing w:line="240" w:lineRule="auto"/>
        <w:rPr>
          <w:lang w:val="es-ES"/>
        </w:rPr>
      </w:pPr>
      <w:r w:rsidRPr="00756410">
        <w:rPr>
          <w:lang w:val="es-419"/>
        </w:rPr>
        <w:t xml:space="preserve">Este sistema de control interno basado en el riesgo </w:t>
      </w:r>
      <w:r w:rsidR="0047195C" w:rsidRPr="00756410">
        <w:rPr>
          <w:lang w:val="es-419"/>
        </w:rPr>
        <w:t xml:space="preserve">y </w:t>
      </w:r>
      <w:r w:rsidRPr="00756410">
        <w:rPr>
          <w:lang w:val="es-419"/>
        </w:rPr>
        <w:t xml:space="preserve">diseñado </w:t>
      </w:r>
      <w:r w:rsidR="00EB15B8" w:rsidRPr="00756410">
        <w:rPr>
          <w:lang w:val="es-419"/>
        </w:rPr>
        <w:t xml:space="preserve">específicamente </w:t>
      </w:r>
      <w:r w:rsidRPr="00756410">
        <w:rPr>
          <w:lang w:val="es-419"/>
        </w:rPr>
        <w:t>para el contexto local debe documentarse en un</w:t>
      </w:r>
      <w:r w:rsidR="009D1DEF" w:rsidRPr="00756410">
        <w:rPr>
          <w:lang w:val="es-419"/>
        </w:rPr>
        <w:t xml:space="preserve"> Marco de Control Interno (</w:t>
      </w:r>
      <w:r w:rsidRPr="00756410">
        <w:rPr>
          <w:lang w:val="es-419"/>
        </w:rPr>
        <w:t>ICF</w:t>
      </w:r>
      <w:r w:rsidR="009D1DEF" w:rsidRPr="00756410">
        <w:rPr>
          <w:lang w:val="es-419"/>
        </w:rPr>
        <w:t>)</w:t>
      </w:r>
      <w:r w:rsidRPr="00756410">
        <w:rPr>
          <w:lang w:val="es-419"/>
        </w:rPr>
        <w:t xml:space="preserve"> local para la oficina </w:t>
      </w:r>
      <w:r w:rsidR="009D1DEF" w:rsidRPr="00756410">
        <w:rPr>
          <w:lang w:val="es-419"/>
        </w:rPr>
        <w:t xml:space="preserve">o </w:t>
      </w:r>
      <w:r w:rsidRPr="00756410">
        <w:rPr>
          <w:lang w:val="es-419"/>
        </w:rPr>
        <w:t>unidad. Dada la naturaleza dinámica de los entornos de</w:t>
      </w:r>
      <w:r w:rsidR="00F56F52" w:rsidRPr="00756410">
        <w:rPr>
          <w:lang w:val="es-419"/>
        </w:rPr>
        <w:t xml:space="preserve"> las</w:t>
      </w:r>
      <w:r w:rsidRPr="00756410">
        <w:rPr>
          <w:lang w:val="es-419"/>
        </w:rPr>
        <w:t xml:space="preserve"> oficina</w:t>
      </w:r>
      <w:r w:rsidR="00F56F52" w:rsidRPr="00756410">
        <w:rPr>
          <w:lang w:val="es-419"/>
        </w:rPr>
        <w:t xml:space="preserve">s o </w:t>
      </w:r>
      <w:r w:rsidRPr="00756410">
        <w:rPr>
          <w:lang w:val="es-419"/>
        </w:rPr>
        <w:t>unidad</w:t>
      </w:r>
      <w:r w:rsidR="00F56F52" w:rsidRPr="00756410">
        <w:rPr>
          <w:lang w:val="es-419"/>
        </w:rPr>
        <w:t>es</w:t>
      </w:r>
      <w:r w:rsidRPr="00756410">
        <w:rPr>
          <w:lang w:val="es-419"/>
        </w:rPr>
        <w:t xml:space="preserve">, los riesgos de control interno deben reevaluarse periódicamente y el ICF local debe actualizarse en consecuencia. </w:t>
      </w:r>
    </w:p>
    <w:p w14:paraId="2BFC1E9B" w14:textId="483EB63F" w:rsidR="00A33186" w:rsidRPr="00756410" w:rsidRDefault="00B80B31">
      <w:pPr>
        <w:pStyle w:val="Heading1"/>
        <w:numPr>
          <w:ilvl w:val="0"/>
          <w:numId w:val="93"/>
        </w:numPr>
        <w:spacing w:after="240"/>
        <w:rPr>
          <w:lang w:val="es-ES"/>
        </w:rPr>
      </w:pPr>
      <w:bookmarkStart w:id="8" w:name="_Toc210052740"/>
      <w:r w:rsidRPr="00756410">
        <w:rPr>
          <w:lang w:val="es-419"/>
        </w:rPr>
        <w:t>Controles mínimos que deben implementarse en todas las oficinas/unidades</w:t>
      </w:r>
      <w:bookmarkEnd w:id="8"/>
    </w:p>
    <w:p w14:paraId="19A7ACB0" w14:textId="004D90A7" w:rsidR="00484153" w:rsidRPr="00756410" w:rsidRDefault="00A33186" w:rsidP="00817B66">
      <w:pPr>
        <w:spacing w:line="240" w:lineRule="auto"/>
        <w:rPr>
          <w:lang w:val="es-419"/>
        </w:rPr>
      </w:pPr>
      <w:r w:rsidRPr="00756410">
        <w:rPr>
          <w:lang w:val="es-419"/>
        </w:rPr>
        <w:t>En cada oficina/unidad deben existir los siguientes controles mínimos:</w:t>
      </w:r>
    </w:p>
    <w:p w14:paraId="1E54807A" w14:textId="77777777" w:rsidR="00D50A16" w:rsidRPr="00756410" w:rsidRDefault="005D7DD5" w:rsidP="008A2B3D">
      <w:pPr>
        <w:spacing w:after="0" w:line="240" w:lineRule="auto"/>
        <w:ind w:left="360"/>
        <w:rPr>
          <w:lang w:val="es-419"/>
        </w:rPr>
      </w:pPr>
      <w:r w:rsidRPr="00756410">
        <w:rPr>
          <w:lang w:val="es-419"/>
        </w:rPr>
        <w:t xml:space="preserve">2.1 </w:t>
      </w:r>
      <w:r w:rsidRPr="00756410">
        <w:rPr>
          <w:lang w:val="es-419"/>
        </w:rPr>
        <w:tab/>
      </w:r>
      <w:r w:rsidR="00A33186" w:rsidRPr="00756410">
        <w:rPr>
          <w:lang w:val="es-419"/>
        </w:rPr>
        <w:t>Segregación de funciones.</w:t>
      </w:r>
    </w:p>
    <w:p w14:paraId="7A39F2EF" w14:textId="77777777" w:rsidR="00D50A16" w:rsidRPr="00756410" w:rsidRDefault="005D7DD5" w:rsidP="008A2B3D">
      <w:pPr>
        <w:spacing w:after="0" w:line="240" w:lineRule="auto"/>
        <w:ind w:left="360"/>
        <w:rPr>
          <w:lang w:val="es-419"/>
        </w:rPr>
      </w:pPr>
      <w:r w:rsidRPr="00756410">
        <w:rPr>
          <w:lang w:val="es-419"/>
        </w:rPr>
        <w:t xml:space="preserve">2.2 </w:t>
      </w:r>
      <w:r w:rsidRPr="00756410">
        <w:rPr>
          <w:lang w:val="es-419"/>
        </w:rPr>
        <w:tab/>
      </w:r>
      <w:r w:rsidR="00A33186" w:rsidRPr="00756410">
        <w:rPr>
          <w:lang w:val="es-419"/>
        </w:rPr>
        <w:t>Procedimientos para identificar y gestionar conflictos de intereses.</w:t>
      </w:r>
    </w:p>
    <w:p w14:paraId="5BFE7176" w14:textId="7BFED4E3" w:rsidR="00A33186" w:rsidRPr="00756410" w:rsidRDefault="005D7DD5" w:rsidP="008A2B3D">
      <w:pPr>
        <w:spacing w:after="0" w:line="240" w:lineRule="auto"/>
        <w:ind w:left="360"/>
        <w:rPr>
          <w:lang w:val="es-419"/>
        </w:rPr>
      </w:pPr>
      <w:r w:rsidRPr="00756410">
        <w:rPr>
          <w:lang w:val="es-419"/>
        </w:rPr>
        <w:t xml:space="preserve">2.3 </w:t>
      </w:r>
      <w:r w:rsidRPr="00756410">
        <w:rPr>
          <w:lang w:val="es-419"/>
        </w:rPr>
        <w:tab/>
      </w:r>
      <w:r w:rsidR="00A33186" w:rsidRPr="00756410">
        <w:rPr>
          <w:lang w:val="es-419"/>
        </w:rPr>
        <w:t>Funciones mínimas de control que debe realizar el personal.</w:t>
      </w:r>
    </w:p>
    <w:p w14:paraId="4FEBA420" w14:textId="533318DE" w:rsidR="00A33186" w:rsidRPr="00756410" w:rsidRDefault="005D7DD5" w:rsidP="008A2B3D">
      <w:pPr>
        <w:spacing w:after="0" w:line="240" w:lineRule="auto"/>
        <w:ind w:left="360"/>
        <w:rPr>
          <w:lang w:val="es-419"/>
        </w:rPr>
      </w:pPr>
      <w:r w:rsidRPr="00756410">
        <w:rPr>
          <w:lang w:val="es-419"/>
        </w:rPr>
        <w:t xml:space="preserve">2.4 </w:t>
      </w:r>
      <w:r w:rsidRPr="00756410">
        <w:rPr>
          <w:lang w:val="es-419"/>
        </w:rPr>
        <w:tab/>
      </w:r>
      <w:r w:rsidR="00A33186" w:rsidRPr="00756410">
        <w:rPr>
          <w:lang w:val="es-419"/>
        </w:rPr>
        <w:t xml:space="preserve">Acciones que deben ser </w:t>
      </w:r>
      <w:r w:rsidR="00E30A2A" w:rsidRPr="00756410">
        <w:rPr>
          <w:lang w:val="es-419"/>
        </w:rPr>
        <w:t xml:space="preserve">autorizadas </w:t>
      </w:r>
      <w:r w:rsidR="00A33186" w:rsidRPr="00756410">
        <w:rPr>
          <w:lang w:val="es-419"/>
        </w:rPr>
        <w:t xml:space="preserve">o aprobadas por el </w:t>
      </w:r>
      <w:r w:rsidR="00BC25D8" w:rsidRPr="00756410">
        <w:rPr>
          <w:lang w:val="es-419"/>
        </w:rPr>
        <w:t xml:space="preserve">titular </w:t>
      </w:r>
      <w:r w:rsidR="00A33186" w:rsidRPr="00756410">
        <w:rPr>
          <w:lang w:val="es-419"/>
        </w:rPr>
        <w:t xml:space="preserve">de una autoridad funcional (por ejemplo, </w:t>
      </w:r>
      <w:r w:rsidR="00376AF6">
        <w:rPr>
          <w:lang w:val="es-419"/>
        </w:rPr>
        <w:t xml:space="preserve">el </w:t>
      </w:r>
      <w:r w:rsidR="002B37C0">
        <w:rPr>
          <w:lang w:val="es-419"/>
        </w:rPr>
        <w:t>Contralor</w:t>
      </w:r>
      <w:r w:rsidR="00376AF6">
        <w:rPr>
          <w:lang w:val="es-419"/>
        </w:rPr>
        <w:t xml:space="preserve"> (</w:t>
      </w:r>
      <w:r w:rsidR="00A33186" w:rsidRPr="00756410">
        <w:rPr>
          <w:lang w:val="es-419"/>
        </w:rPr>
        <w:t>CFO</w:t>
      </w:r>
      <w:r w:rsidR="00376AF6">
        <w:rPr>
          <w:lang w:val="es-419"/>
        </w:rPr>
        <w:t>)</w:t>
      </w:r>
      <w:r w:rsidR="00A33186" w:rsidRPr="00756410">
        <w:rPr>
          <w:lang w:val="es-419"/>
        </w:rPr>
        <w:t xml:space="preserve">, Tesorero, </w:t>
      </w:r>
      <w:r w:rsidR="00376AF6">
        <w:rPr>
          <w:lang w:val="es-419"/>
        </w:rPr>
        <w:t>director de adquisiciones (</w:t>
      </w:r>
      <w:r w:rsidR="00A33186" w:rsidRPr="00756410">
        <w:rPr>
          <w:lang w:val="es-419"/>
        </w:rPr>
        <w:t>CPO</w:t>
      </w:r>
      <w:r w:rsidR="00376AF6">
        <w:rPr>
          <w:lang w:val="es-419"/>
        </w:rPr>
        <w:t>)</w:t>
      </w:r>
      <w:r w:rsidR="00A33186" w:rsidRPr="00756410">
        <w:rPr>
          <w:lang w:val="es-419"/>
        </w:rPr>
        <w:t>).</w:t>
      </w:r>
    </w:p>
    <w:p w14:paraId="47D77070" w14:textId="2F68439C" w:rsidR="00A33186" w:rsidRPr="00756410" w:rsidRDefault="005D7DD5" w:rsidP="008A2B3D">
      <w:pPr>
        <w:spacing w:after="0" w:line="240" w:lineRule="auto"/>
        <w:ind w:left="360"/>
        <w:rPr>
          <w:lang w:val="es-419"/>
        </w:rPr>
      </w:pPr>
      <w:r w:rsidRPr="00756410">
        <w:rPr>
          <w:lang w:val="es-419"/>
        </w:rPr>
        <w:t>2.5</w:t>
      </w:r>
      <w:r w:rsidRPr="00756410">
        <w:rPr>
          <w:lang w:val="es-419"/>
        </w:rPr>
        <w:tab/>
      </w:r>
      <w:r w:rsidR="00A33186" w:rsidRPr="00756410">
        <w:rPr>
          <w:lang w:val="es-419"/>
        </w:rPr>
        <w:t>Un ICF local documentado.</w:t>
      </w:r>
    </w:p>
    <w:p w14:paraId="3DA204C9" w14:textId="375332DC" w:rsidR="00A33186" w:rsidRPr="00756410" w:rsidRDefault="005D7DD5" w:rsidP="008A2B3D">
      <w:pPr>
        <w:spacing w:after="0" w:line="240" w:lineRule="auto"/>
        <w:ind w:left="360"/>
        <w:rPr>
          <w:lang w:val="es-419"/>
        </w:rPr>
      </w:pPr>
      <w:r w:rsidRPr="00756410">
        <w:rPr>
          <w:lang w:val="es-419"/>
        </w:rPr>
        <w:t xml:space="preserve">2.6 </w:t>
      </w:r>
      <w:r w:rsidRPr="00756410">
        <w:rPr>
          <w:lang w:val="es-419"/>
        </w:rPr>
        <w:tab/>
      </w:r>
      <w:r w:rsidR="00A33186" w:rsidRPr="00756410">
        <w:rPr>
          <w:lang w:val="es-419"/>
        </w:rPr>
        <w:t>Seguimiento e informes sobre la gestión de riesgos.</w:t>
      </w:r>
    </w:p>
    <w:p w14:paraId="641014F2" w14:textId="6A4DE9AB" w:rsidR="00A33186" w:rsidRPr="00756410" w:rsidRDefault="005D7DD5" w:rsidP="008A2B3D">
      <w:pPr>
        <w:spacing w:after="0" w:line="240" w:lineRule="auto"/>
        <w:ind w:left="360"/>
        <w:rPr>
          <w:lang w:val="es-ES"/>
        </w:rPr>
      </w:pPr>
      <w:r w:rsidRPr="00756410">
        <w:rPr>
          <w:lang w:val="es-419"/>
        </w:rPr>
        <w:t xml:space="preserve">2.7 </w:t>
      </w:r>
      <w:r w:rsidRPr="00756410">
        <w:rPr>
          <w:lang w:val="es-ES"/>
        </w:rPr>
        <w:tab/>
      </w:r>
      <w:r w:rsidR="00A33186" w:rsidRPr="00756410">
        <w:rPr>
          <w:lang w:val="es-419"/>
        </w:rPr>
        <w:t>Mitigación de riesgos asociados con el lavado de dinero y el financiamiento del terrorismo (</w:t>
      </w:r>
      <w:r w:rsidR="00376AF6">
        <w:rPr>
          <w:lang w:val="es-419"/>
        </w:rPr>
        <w:t>AML</w:t>
      </w:r>
      <w:r w:rsidR="00A33186" w:rsidRPr="00756410">
        <w:rPr>
          <w:lang w:val="es-419"/>
        </w:rPr>
        <w:t>/CFT).</w:t>
      </w:r>
    </w:p>
    <w:p w14:paraId="138836E0" w14:textId="4A0A29F9" w:rsidR="00A33186" w:rsidRPr="00756410" w:rsidRDefault="005D7DD5" w:rsidP="008A2B3D">
      <w:pPr>
        <w:spacing w:after="0" w:line="240" w:lineRule="auto"/>
        <w:ind w:left="360"/>
        <w:rPr>
          <w:lang w:val="es-419"/>
        </w:rPr>
      </w:pPr>
      <w:r w:rsidRPr="00756410">
        <w:rPr>
          <w:lang w:val="es-419"/>
        </w:rPr>
        <w:t xml:space="preserve">2.8 </w:t>
      </w:r>
      <w:r w:rsidRPr="00756410">
        <w:rPr>
          <w:lang w:val="es-419"/>
        </w:rPr>
        <w:tab/>
      </w:r>
      <w:r w:rsidR="00A33186" w:rsidRPr="00756410">
        <w:rPr>
          <w:lang w:val="es-419"/>
        </w:rPr>
        <w:t>Informar el fraude</w:t>
      </w:r>
      <w:r w:rsidR="000C32B6" w:rsidRPr="00756410">
        <w:rPr>
          <w:lang w:val="es-419"/>
        </w:rPr>
        <w:t xml:space="preserve"> rápidamente</w:t>
      </w:r>
      <w:r w:rsidR="00A33186" w:rsidRPr="00756410">
        <w:rPr>
          <w:lang w:val="es-419"/>
        </w:rPr>
        <w:t>.</w:t>
      </w:r>
    </w:p>
    <w:p w14:paraId="0DCA6342" w14:textId="2A9B47F4" w:rsidR="00A33186" w:rsidRPr="00756410" w:rsidRDefault="005D7DD5" w:rsidP="008A2B3D">
      <w:pPr>
        <w:spacing w:after="0" w:line="240" w:lineRule="auto"/>
        <w:ind w:left="360"/>
        <w:rPr>
          <w:lang w:val="es-419"/>
        </w:rPr>
      </w:pPr>
      <w:r w:rsidRPr="00756410">
        <w:rPr>
          <w:lang w:val="es-419"/>
        </w:rPr>
        <w:t xml:space="preserve">2.9 </w:t>
      </w:r>
      <w:r w:rsidRPr="00756410">
        <w:rPr>
          <w:lang w:val="es-419"/>
        </w:rPr>
        <w:tab/>
      </w:r>
      <w:r w:rsidR="0008297D" w:rsidRPr="00756410">
        <w:rPr>
          <w:lang w:val="es-419"/>
        </w:rPr>
        <w:t xml:space="preserve">Comunicación clara y comprensión de la </w:t>
      </w:r>
      <w:r w:rsidR="000C32B6">
        <w:rPr>
          <w:lang w:val="es-419"/>
        </w:rPr>
        <w:t>rendición de cuentas individual</w:t>
      </w:r>
    </w:p>
    <w:p w14:paraId="69AEE64D" w14:textId="1A2854A3" w:rsidR="00281394" w:rsidRPr="00756410" w:rsidRDefault="005D7DD5" w:rsidP="008A2B3D">
      <w:pPr>
        <w:spacing w:after="0" w:line="240" w:lineRule="auto"/>
        <w:ind w:left="360"/>
        <w:rPr>
          <w:lang w:val="es-419"/>
        </w:rPr>
      </w:pPr>
      <w:r w:rsidRPr="00756410">
        <w:rPr>
          <w:lang w:val="es-419"/>
        </w:rPr>
        <w:t>2.10 Gestión y conservación de la documentación.</w:t>
      </w:r>
    </w:p>
    <w:p w14:paraId="64AB6113" w14:textId="20210512" w:rsidR="00A33186" w:rsidRPr="00756410" w:rsidRDefault="00A33186" w:rsidP="008A2B3D">
      <w:pPr>
        <w:spacing w:before="240" w:line="240" w:lineRule="auto"/>
        <w:rPr>
          <w:lang w:val="es-419"/>
        </w:rPr>
      </w:pPr>
      <w:r w:rsidRPr="00756410">
        <w:rPr>
          <w:lang w:val="es-419"/>
        </w:rPr>
        <w:t>Estos controles mínimos se describen con más detalle en las secciones siguientes.</w:t>
      </w:r>
    </w:p>
    <w:p w14:paraId="21B6B224" w14:textId="39D80E74" w:rsidR="00A33186" w:rsidRPr="00756410" w:rsidRDefault="00A33186">
      <w:pPr>
        <w:pStyle w:val="Heading2"/>
        <w:numPr>
          <w:ilvl w:val="1"/>
          <w:numId w:val="93"/>
        </w:numPr>
        <w:spacing w:after="240"/>
        <w:rPr>
          <w:lang w:val="es-419"/>
        </w:rPr>
      </w:pPr>
      <w:bookmarkStart w:id="9" w:name="_Toc210052741"/>
      <w:r w:rsidRPr="00756410">
        <w:rPr>
          <w:lang w:val="es-419"/>
        </w:rPr>
        <w:lastRenderedPageBreak/>
        <w:t>Segregación de funciones</w:t>
      </w:r>
      <w:bookmarkEnd w:id="9"/>
    </w:p>
    <w:p w14:paraId="430AB5D2" w14:textId="2D7A85D8" w:rsidR="00307ECA" w:rsidRPr="00756410" w:rsidRDefault="00A33186" w:rsidP="00817B66">
      <w:pPr>
        <w:spacing w:line="240" w:lineRule="auto"/>
        <w:rPr>
          <w:lang w:val="es-419"/>
        </w:rPr>
      </w:pPr>
      <w:r w:rsidRPr="00756410">
        <w:rPr>
          <w:lang w:val="es-419"/>
        </w:rPr>
        <w:t xml:space="preserve">La separación de funciones se basa en garantizar que ningún funcionario pueda: i) tener la custodia de los bienes; (ii) autorizar y aprobar el uso de activos; y (iii) registrar y reportar activos. La separación de funciones está anclada en el Artículo 20.02 del Reglamento Financiero del PNUD y es un control fundamental que ayuda al PNUD a salvaguardar sus activos y mitigar el riesgo de fraude y error. </w:t>
      </w:r>
      <w:r w:rsidR="00307914" w:rsidRPr="00756410">
        <w:rPr>
          <w:lang w:val="es-419"/>
        </w:rPr>
        <w:t xml:space="preserve">Esto es </w:t>
      </w:r>
      <w:r w:rsidR="00307ECA" w:rsidRPr="00756410">
        <w:rPr>
          <w:u w:val="single"/>
          <w:lang w:val="es-419"/>
        </w:rPr>
        <w:t xml:space="preserve"> de vital importancia en el </w:t>
      </w:r>
      <w:r w:rsidR="00307914" w:rsidRPr="00756410">
        <w:rPr>
          <w:u w:val="single"/>
          <w:lang w:val="es-419"/>
        </w:rPr>
        <w:t xml:space="preserve">proceso, desde la </w:t>
      </w:r>
      <w:r w:rsidR="00307ECA" w:rsidRPr="00756410">
        <w:rPr>
          <w:u w:val="single"/>
          <w:lang w:val="es-419"/>
        </w:rPr>
        <w:t xml:space="preserve">compra </w:t>
      </w:r>
      <w:r w:rsidR="00976FBD" w:rsidRPr="00756410">
        <w:rPr>
          <w:u w:val="single"/>
          <w:lang w:val="es-419"/>
        </w:rPr>
        <w:t xml:space="preserve">hasta el </w:t>
      </w:r>
      <w:r w:rsidR="00307ECA" w:rsidRPr="00756410">
        <w:rPr>
          <w:u w:val="single"/>
          <w:lang w:val="es-419"/>
        </w:rPr>
        <w:t xml:space="preserve"> pago (consulte la sección 5 para obtener más información).</w:t>
      </w:r>
      <w:r w:rsidR="00307ECA" w:rsidRPr="00756410">
        <w:rPr>
          <w:lang w:val="es-419"/>
        </w:rPr>
        <w:t xml:space="preserve"> Hay 8 áreas</w:t>
      </w:r>
      <w:r w:rsidR="00B65B59" w:rsidRPr="00756410">
        <w:rPr>
          <w:lang w:val="es-419"/>
        </w:rPr>
        <w:t xml:space="preserve"> fundamentales</w:t>
      </w:r>
      <w:r w:rsidR="00307ECA" w:rsidRPr="00756410">
        <w:rPr>
          <w:lang w:val="es-419"/>
        </w:rPr>
        <w:t xml:space="preserve"> en las que la segregación de funciones debe estar </w:t>
      </w:r>
      <w:r w:rsidR="007E411F" w:rsidRPr="00756410">
        <w:rPr>
          <w:lang w:val="es-419"/>
        </w:rPr>
        <w:t>implementada</w:t>
      </w:r>
      <w:r w:rsidR="00307ECA" w:rsidRPr="00756410">
        <w:rPr>
          <w:lang w:val="es-419"/>
        </w:rPr>
        <w:t xml:space="preserve"> y funcionando, a menos que el </w:t>
      </w:r>
      <w:r w:rsidR="00227BA7">
        <w:rPr>
          <w:lang w:val="es-419"/>
        </w:rPr>
        <w:t>Contralor</w:t>
      </w:r>
      <w:r w:rsidR="00F07AB6" w:rsidRPr="00756410">
        <w:rPr>
          <w:lang w:val="es-419"/>
        </w:rPr>
        <w:t xml:space="preserve"> (</w:t>
      </w:r>
      <w:r w:rsidR="00307ECA" w:rsidRPr="00756410">
        <w:rPr>
          <w:lang w:val="es-419"/>
        </w:rPr>
        <w:t>CFO</w:t>
      </w:r>
      <w:r w:rsidR="00F07AB6" w:rsidRPr="00756410">
        <w:rPr>
          <w:lang w:val="es-419"/>
        </w:rPr>
        <w:t>)</w:t>
      </w:r>
      <w:r w:rsidR="00307ECA" w:rsidRPr="00756410">
        <w:rPr>
          <w:lang w:val="es-419"/>
        </w:rPr>
        <w:t xml:space="preserve"> haya otorgado una excepción </w:t>
      </w:r>
      <w:r w:rsidR="00F07AB6" w:rsidRPr="00756410">
        <w:rPr>
          <w:lang w:val="es-419"/>
        </w:rPr>
        <w:t xml:space="preserve">por escrito </w:t>
      </w:r>
      <w:r w:rsidR="00307ECA" w:rsidRPr="00756410">
        <w:rPr>
          <w:lang w:val="es-419"/>
        </w:rPr>
        <w:t xml:space="preserve">con límite de tiempo, bajo condiciones específicas y </w:t>
      </w:r>
      <w:r w:rsidR="00ED1691" w:rsidRPr="00756410">
        <w:rPr>
          <w:lang w:val="es-419"/>
        </w:rPr>
        <w:t>con base en</w:t>
      </w:r>
      <w:r w:rsidR="00307ECA" w:rsidRPr="00756410">
        <w:rPr>
          <w:lang w:val="es-419"/>
        </w:rPr>
        <w:t xml:space="preserve"> la implementación de controles </w:t>
      </w:r>
      <w:r w:rsidR="00ED1691" w:rsidRPr="00756410">
        <w:rPr>
          <w:lang w:val="es-419"/>
        </w:rPr>
        <w:t>compensatorios previamente</w:t>
      </w:r>
      <w:r w:rsidR="00307ECA" w:rsidRPr="00756410">
        <w:rPr>
          <w:lang w:val="es-419"/>
        </w:rPr>
        <w:t xml:space="preserve"> acordados (según la Regla Financiera 120.04), </w:t>
      </w:r>
      <w:r w:rsidR="00D1218D" w:rsidRPr="00756410">
        <w:rPr>
          <w:lang w:val="es-419"/>
        </w:rPr>
        <w:t xml:space="preserve">tal </w:t>
      </w:r>
      <w:r w:rsidR="00307ECA" w:rsidRPr="00756410">
        <w:rPr>
          <w:lang w:val="es-419"/>
        </w:rPr>
        <w:t>como se ilustra en la Tabla 1 a continuación.</w:t>
      </w:r>
    </w:p>
    <w:tbl>
      <w:tblPr>
        <w:tblStyle w:val="TableGrid"/>
        <w:tblW w:w="9715" w:type="dxa"/>
        <w:tblLook w:val="04A0" w:firstRow="1" w:lastRow="0" w:firstColumn="1" w:lastColumn="0" w:noHBand="0" w:noVBand="1"/>
      </w:tblPr>
      <w:tblGrid>
        <w:gridCol w:w="355"/>
        <w:gridCol w:w="6300"/>
        <w:gridCol w:w="1350"/>
        <w:gridCol w:w="1710"/>
      </w:tblGrid>
      <w:tr w:rsidR="00B1609D" w14:paraId="243E66D0" w14:textId="77777777" w:rsidTr="008C4953">
        <w:trPr>
          <w:tblHeader/>
        </w:trPr>
        <w:tc>
          <w:tcPr>
            <w:tcW w:w="3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B5038EC" w14:textId="745C9713" w:rsidR="00E324B0" w:rsidRPr="00D44DC7" w:rsidRDefault="00E324B0">
            <w:pPr>
              <w:rPr>
                <w:b/>
                <w:bCs/>
                <w:sz w:val="20"/>
                <w:szCs w:val="20"/>
              </w:rPr>
            </w:pPr>
            <w:r>
              <w:rPr>
                <w:b/>
                <w:bCs/>
                <w:sz w:val="20"/>
                <w:szCs w:val="20"/>
              </w:rPr>
              <w:t>#</w:t>
            </w:r>
          </w:p>
        </w:tc>
        <w:tc>
          <w:tcPr>
            <w:tcW w:w="630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9CE103D" w14:textId="657EC4C9" w:rsidR="00E324B0" w:rsidRPr="00D44DC7" w:rsidRDefault="00E324B0">
            <w:pPr>
              <w:rPr>
                <w:b/>
                <w:bCs/>
                <w:sz w:val="20"/>
                <w:szCs w:val="20"/>
              </w:rPr>
            </w:pPr>
            <w:r w:rsidRPr="00D44DC7">
              <w:rPr>
                <w:b/>
                <w:bCs/>
                <w:sz w:val="20"/>
                <w:szCs w:val="20"/>
              </w:rPr>
              <w:t>Roles que deben segregarse</w:t>
            </w:r>
          </w:p>
        </w:tc>
        <w:tc>
          <w:tcPr>
            <w:tcW w:w="135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151CB4E" w14:textId="48E37A69" w:rsidR="00E324B0" w:rsidRPr="00D44DC7" w:rsidRDefault="00E324B0">
            <w:pPr>
              <w:rPr>
                <w:b/>
                <w:bCs/>
                <w:sz w:val="20"/>
                <w:szCs w:val="20"/>
              </w:rPr>
            </w:pPr>
            <w:r w:rsidRPr="00D44DC7">
              <w:rPr>
                <w:b/>
                <w:bCs/>
                <w:sz w:val="20"/>
                <w:szCs w:val="20"/>
              </w:rPr>
              <w:t>Aplicado por ERP</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F12C54" w14:textId="5BF2DD4C" w:rsidR="00E324B0" w:rsidRPr="00D44DC7" w:rsidRDefault="00E324B0">
            <w:pPr>
              <w:rPr>
                <w:b/>
                <w:bCs/>
                <w:sz w:val="20"/>
                <w:szCs w:val="20"/>
              </w:rPr>
            </w:pPr>
            <w:r>
              <w:rPr>
                <w:b/>
                <w:bCs/>
                <w:sz w:val="20"/>
                <w:szCs w:val="20"/>
              </w:rPr>
              <w:t>Más información</w:t>
            </w:r>
          </w:p>
        </w:tc>
      </w:tr>
      <w:tr w:rsidR="00B1609D" w:rsidRPr="00773863" w14:paraId="2B4520B0" w14:textId="77777777" w:rsidTr="008C4953">
        <w:tc>
          <w:tcPr>
            <w:tcW w:w="355" w:type="dxa"/>
            <w:tcBorders>
              <w:top w:val="single" w:sz="4" w:space="0" w:color="auto"/>
              <w:left w:val="single" w:sz="4" w:space="0" w:color="auto"/>
              <w:bottom w:val="single" w:sz="4" w:space="0" w:color="auto"/>
              <w:right w:val="single" w:sz="4" w:space="0" w:color="auto"/>
            </w:tcBorders>
          </w:tcPr>
          <w:p w14:paraId="4752CA01" w14:textId="5ECE87B4" w:rsidR="00E324B0" w:rsidRDefault="00E324B0">
            <w:pPr>
              <w:rPr>
                <w:sz w:val="20"/>
                <w:szCs w:val="20"/>
              </w:rPr>
            </w:pPr>
            <w:r>
              <w:rPr>
                <w:sz w:val="20"/>
                <w:szCs w:val="20"/>
              </w:rPr>
              <w:t>1</w:t>
            </w:r>
          </w:p>
        </w:tc>
        <w:tc>
          <w:tcPr>
            <w:tcW w:w="6300" w:type="dxa"/>
            <w:tcBorders>
              <w:top w:val="single" w:sz="4" w:space="0" w:color="auto"/>
              <w:left w:val="single" w:sz="4" w:space="0" w:color="auto"/>
              <w:bottom w:val="single" w:sz="4" w:space="0" w:color="auto"/>
              <w:right w:val="single" w:sz="4" w:space="0" w:color="auto"/>
            </w:tcBorders>
          </w:tcPr>
          <w:p w14:paraId="08FAFA4E" w14:textId="22E86C8A" w:rsidR="00E324B0" w:rsidRPr="00756410" w:rsidRDefault="00E324B0" w:rsidP="363CA695">
            <w:pPr>
              <w:rPr>
                <w:sz w:val="20"/>
                <w:szCs w:val="20"/>
                <w:lang w:val="es-419"/>
              </w:rPr>
            </w:pPr>
            <w:r w:rsidRPr="00756410">
              <w:rPr>
                <w:b/>
                <w:sz w:val="20"/>
                <w:szCs w:val="20"/>
                <w:lang w:val="es-419"/>
              </w:rPr>
              <w:t>Tres autoridades:</w:t>
            </w:r>
            <w:r w:rsidRPr="00756410">
              <w:rPr>
                <w:sz w:val="20"/>
                <w:szCs w:val="20"/>
                <w:lang w:val="es-419"/>
              </w:rPr>
              <w:t xml:space="preserve"> Las tres autoridades (Gerente de Proyecto, </w:t>
            </w:r>
            <w:r w:rsidR="00376AF6">
              <w:rPr>
                <w:sz w:val="20"/>
                <w:szCs w:val="20"/>
                <w:lang w:val="es-419"/>
              </w:rPr>
              <w:t>Autoridad</w:t>
            </w:r>
            <w:r w:rsidR="00376AF6" w:rsidRPr="00756410">
              <w:rPr>
                <w:sz w:val="20"/>
                <w:szCs w:val="20"/>
                <w:lang w:val="es-419"/>
              </w:rPr>
              <w:t xml:space="preserve"> </w:t>
            </w:r>
            <w:r w:rsidRPr="00756410">
              <w:rPr>
                <w:sz w:val="20"/>
                <w:szCs w:val="20"/>
                <w:lang w:val="es-419"/>
              </w:rPr>
              <w:t>de Aprobación y Oficial de Desembolsos) deben estar separadas para</w:t>
            </w:r>
            <w:r w:rsidRPr="00756410">
              <w:rPr>
                <w:b/>
                <w:sz w:val="20"/>
                <w:szCs w:val="20"/>
                <w:lang w:val="es-419"/>
              </w:rPr>
              <w:t xml:space="preserve">: </w:t>
            </w:r>
            <w:r w:rsidRPr="00756410">
              <w:rPr>
                <w:sz w:val="20"/>
                <w:szCs w:val="20"/>
                <w:lang w:val="es-419"/>
              </w:rPr>
              <w:t xml:space="preserve">(i) transacciones </w:t>
            </w:r>
            <w:r w:rsidR="00376AF6">
              <w:rPr>
                <w:sz w:val="20"/>
                <w:szCs w:val="20"/>
                <w:lang w:val="es-419"/>
              </w:rPr>
              <w:t>desde la compra hasta el pago</w:t>
            </w:r>
            <w:r w:rsidRPr="00756410">
              <w:rPr>
                <w:sz w:val="20"/>
                <w:szCs w:val="20"/>
                <w:lang w:val="es-419"/>
              </w:rPr>
              <w:t xml:space="preserve"> (adquisiciones, compromisos, gasto y desembolso); y (ii) transacciones de </w:t>
            </w:r>
            <w:r w:rsidR="00772495">
              <w:rPr>
                <w:sz w:val="20"/>
                <w:szCs w:val="20"/>
                <w:lang w:val="es-419"/>
              </w:rPr>
              <w:t xml:space="preserve">pago de </w:t>
            </w:r>
            <w:r w:rsidRPr="00756410">
              <w:rPr>
                <w:sz w:val="20"/>
                <w:szCs w:val="20"/>
                <w:lang w:val="es-419"/>
              </w:rPr>
              <w:t>nómina</w:t>
            </w:r>
            <w:r w:rsidR="00772495">
              <w:rPr>
                <w:sz w:val="20"/>
                <w:szCs w:val="20"/>
                <w:lang w:val="es-419"/>
              </w:rPr>
              <w:t xml:space="preserve"> de personal</w:t>
            </w:r>
            <w:r w:rsidRPr="00756410">
              <w:rPr>
                <w:sz w:val="20"/>
                <w:szCs w:val="20"/>
                <w:lang w:val="es-419"/>
              </w:rPr>
              <w:t xml:space="preserve">. Las tres autoridades también deben estar debidamente </w:t>
            </w:r>
            <w:r w:rsidR="00772495">
              <w:rPr>
                <w:sz w:val="20"/>
                <w:szCs w:val="20"/>
                <w:lang w:val="es-419"/>
              </w:rPr>
              <w:t>segregadas</w:t>
            </w:r>
            <w:r w:rsidR="00772495" w:rsidRPr="00756410">
              <w:rPr>
                <w:sz w:val="20"/>
                <w:szCs w:val="20"/>
                <w:lang w:val="es-419"/>
              </w:rPr>
              <w:t xml:space="preserve"> </w:t>
            </w:r>
            <w:r w:rsidRPr="00756410">
              <w:rPr>
                <w:sz w:val="20"/>
                <w:szCs w:val="20"/>
                <w:lang w:val="es-419"/>
              </w:rPr>
              <w:t xml:space="preserve">para el personal de la oficina </w:t>
            </w:r>
            <w:r w:rsidR="00772495">
              <w:rPr>
                <w:sz w:val="20"/>
                <w:szCs w:val="20"/>
                <w:lang w:val="es-419"/>
              </w:rPr>
              <w:t>de</w:t>
            </w:r>
            <w:r w:rsidRPr="00756410">
              <w:rPr>
                <w:sz w:val="20"/>
                <w:szCs w:val="20"/>
                <w:lang w:val="es-419"/>
              </w:rPr>
              <w:t xml:space="preserve"> país cuando procesen las transacciones de emergencia que el BMS/GSSC no pueda realizar a tiempo</w:t>
            </w:r>
            <w:r w:rsidRPr="363CA695">
              <w:rPr>
                <w:rStyle w:val="FootnoteReference"/>
                <w:sz w:val="20"/>
                <w:szCs w:val="20"/>
              </w:rPr>
              <w:footnoteReference w:id="5"/>
            </w:r>
            <w:r w:rsidRPr="00756410">
              <w:rPr>
                <w:sz w:val="20"/>
                <w:szCs w:val="20"/>
                <w:lang w:val="es-419"/>
              </w:rPr>
              <w:t>.</w:t>
            </w:r>
          </w:p>
        </w:tc>
        <w:tc>
          <w:tcPr>
            <w:tcW w:w="1350" w:type="dxa"/>
            <w:tcBorders>
              <w:top w:val="single" w:sz="4" w:space="0" w:color="auto"/>
              <w:left w:val="single" w:sz="4" w:space="0" w:color="auto"/>
              <w:bottom w:val="single" w:sz="4" w:space="0" w:color="auto"/>
              <w:right w:val="single" w:sz="4" w:space="0" w:color="auto"/>
            </w:tcBorders>
          </w:tcPr>
          <w:p w14:paraId="1F61336B" w14:textId="4A27E853" w:rsidR="00E324B0" w:rsidRPr="000B5C6A" w:rsidRDefault="000B5C6A" w:rsidP="00EE123E">
            <w:pPr>
              <w:jc w:val="center"/>
              <w:rPr>
                <w:rFonts w:cstheme="minorHAnsi"/>
                <w:sz w:val="20"/>
                <w:szCs w:val="20"/>
              </w:rPr>
            </w:pPr>
            <w:r w:rsidRPr="00F84992">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176F9776" w14:textId="1F547887" w:rsidR="00E324B0" w:rsidRPr="00756410" w:rsidRDefault="00E324B0">
            <w:pPr>
              <w:rPr>
                <w:sz w:val="20"/>
                <w:szCs w:val="20"/>
                <w:lang w:val="es-419"/>
              </w:rPr>
            </w:pPr>
            <w:hyperlink w:anchor="_Procure_and_Pay" w:history="1">
              <w:r w:rsidRPr="00756410">
                <w:rPr>
                  <w:rStyle w:val="Hyperlink"/>
                  <w:sz w:val="20"/>
                  <w:szCs w:val="20"/>
                  <w:lang w:val="es-419"/>
                </w:rPr>
                <w:t>Sección 5</w:t>
              </w:r>
            </w:hyperlink>
            <w:r w:rsidRPr="00756410">
              <w:rPr>
                <w:sz w:val="20"/>
                <w:szCs w:val="20"/>
                <w:lang w:val="es-419"/>
              </w:rPr>
              <w:t xml:space="preserve"> para </w:t>
            </w:r>
            <w:r w:rsidR="00772495">
              <w:rPr>
                <w:sz w:val="20"/>
                <w:szCs w:val="20"/>
                <w:lang w:val="es-419"/>
              </w:rPr>
              <w:t>proceso de</w:t>
            </w:r>
            <w:r w:rsidR="0084063F">
              <w:rPr>
                <w:sz w:val="20"/>
                <w:szCs w:val="20"/>
                <w:lang w:val="es-419"/>
              </w:rPr>
              <w:t xml:space="preserve">sde la </w:t>
            </w:r>
            <w:r w:rsidR="00103EDB">
              <w:rPr>
                <w:sz w:val="20"/>
                <w:szCs w:val="20"/>
                <w:lang w:val="es-419"/>
              </w:rPr>
              <w:t xml:space="preserve">adquisición </w:t>
            </w:r>
            <w:r w:rsidR="00772495">
              <w:rPr>
                <w:sz w:val="20"/>
                <w:szCs w:val="20"/>
                <w:lang w:val="es-419"/>
              </w:rPr>
              <w:t>hasta el pago</w:t>
            </w:r>
            <w:r w:rsidRPr="00756410">
              <w:rPr>
                <w:sz w:val="20"/>
                <w:szCs w:val="20"/>
                <w:lang w:val="es-419"/>
              </w:rPr>
              <w:t xml:space="preserve"> y </w:t>
            </w:r>
            <w:hyperlink w:anchor="_Human_Resources" w:history="1">
              <w:r w:rsidRPr="00756410">
                <w:rPr>
                  <w:rStyle w:val="Hyperlink"/>
                  <w:sz w:val="20"/>
                  <w:szCs w:val="20"/>
                  <w:lang w:val="es-419"/>
                </w:rPr>
                <w:t>sección 8</w:t>
              </w:r>
            </w:hyperlink>
            <w:r w:rsidRPr="00756410">
              <w:rPr>
                <w:sz w:val="20"/>
                <w:szCs w:val="20"/>
                <w:lang w:val="es-419"/>
              </w:rPr>
              <w:t xml:space="preserve"> para Nómina</w:t>
            </w:r>
            <w:r w:rsidR="00772495">
              <w:rPr>
                <w:sz w:val="20"/>
                <w:szCs w:val="20"/>
                <w:lang w:val="es-419"/>
              </w:rPr>
              <w:t xml:space="preserve"> de personal</w:t>
            </w:r>
            <w:r w:rsidRPr="00756410">
              <w:rPr>
                <w:sz w:val="20"/>
                <w:szCs w:val="20"/>
                <w:lang w:val="es-419"/>
              </w:rPr>
              <w:t>.</w:t>
            </w:r>
          </w:p>
          <w:p w14:paraId="6D2683D7" w14:textId="77777777" w:rsidR="00E324B0" w:rsidRPr="00756410" w:rsidRDefault="00E324B0">
            <w:pPr>
              <w:rPr>
                <w:sz w:val="20"/>
                <w:szCs w:val="20"/>
                <w:lang w:val="es-419"/>
              </w:rPr>
            </w:pPr>
          </w:p>
          <w:p w14:paraId="1DB04BE2" w14:textId="77777777" w:rsidR="00E324B0" w:rsidRPr="00756410" w:rsidRDefault="00E324B0">
            <w:pPr>
              <w:rPr>
                <w:sz w:val="20"/>
                <w:szCs w:val="20"/>
                <w:lang w:val="es-419"/>
              </w:rPr>
            </w:pPr>
          </w:p>
          <w:p w14:paraId="6EFE425F" w14:textId="2C9A24E3" w:rsidR="00A24D5B" w:rsidRPr="00756410" w:rsidRDefault="00A24D5B">
            <w:pPr>
              <w:rPr>
                <w:sz w:val="20"/>
                <w:szCs w:val="20"/>
                <w:lang w:val="es-419"/>
              </w:rPr>
            </w:pPr>
          </w:p>
        </w:tc>
      </w:tr>
      <w:tr w:rsidR="00B1609D" w:rsidRPr="00773863" w14:paraId="4EF91D8C" w14:textId="77777777" w:rsidTr="008C4953">
        <w:tc>
          <w:tcPr>
            <w:tcW w:w="355" w:type="dxa"/>
            <w:tcBorders>
              <w:top w:val="single" w:sz="4" w:space="0" w:color="auto"/>
              <w:left w:val="single" w:sz="4" w:space="0" w:color="auto"/>
              <w:bottom w:val="single" w:sz="4" w:space="0" w:color="auto"/>
              <w:right w:val="single" w:sz="4" w:space="0" w:color="auto"/>
            </w:tcBorders>
          </w:tcPr>
          <w:p w14:paraId="6153D7F7" w14:textId="77777777" w:rsidR="00A24D5B" w:rsidRPr="00756410" w:rsidRDefault="00A24D5B">
            <w:pPr>
              <w:rPr>
                <w:sz w:val="20"/>
                <w:szCs w:val="20"/>
                <w:lang w:val="es-419"/>
              </w:rPr>
            </w:pPr>
          </w:p>
        </w:tc>
        <w:tc>
          <w:tcPr>
            <w:tcW w:w="6300" w:type="dxa"/>
            <w:tcBorders>
              <w:top w:val="single" w:sz="4" w:space="0" w:color="auto"/>
              <w:left w:val="single" w:sz="4" w:space="0" w:color="auto"/>
              <w:bottom w:val="single" w:sz="4" w:space="0" w:color="auto"/>
              <w:right w:val="single" w:sz="4" w:space="0" w:color="auto"/>
            </w:tcBorders>
          </w:tcPr>
          <w:p w14:paraId="6890FB31" w14:textId="2891A04B" w:rsidR="00A24D5B" w:rsidRPr="00756410" w:rsidRDefault="00A24D5B" w:rsidP="363CA695">
            <w:pPr>
              <w:rPr>
                <w:b/>
                <w:sz w:val="20"/>
                <w:szCs w:val="20"/>
                <w:lang w:val="es-419"/>
              </w:rPr>
            </w:pPr>
            <w:r w:rsidRPr="00756410">
              <w:rPr>
                <w:sz w:val="20"/>
                <w:szCs w:val="20"/>
                <w:u w:val="single"/>
                <w:lang w:val="es-419"/>
              </w:rPr>
              <w:t>Excepciones:</w:t>
            </w:r>
            <w:r w:rsidRPr="00756410">
              <w:rPr>
                <w:sz w:val="20"/>
                <w:szCs w:val="20"/>
                <w:lang w:val="es-419"/>
              </w:rPr>
              <w:t xml:space="preserve"> El </w:t>
            </w:r>
            <w:r w:rsidR="00772495">
              <w:rPr>
                <w:sz w:val="20"/>
                <w:szCs w:val="20"/>
                <w:lang w:val="es-419"/>
              </w:rPr>
              <w:t>CFO</w:t>
            </w:r>
            <w:r w:rsidRPr="00756410">
              <w:rPr>
                <w:sz w:val="20"/>
                <w:szCs w:val="20"/>
                <w:lang w:val="es-419"/>
              </w:rPr>
              <w:t xml:space="preserve"> puede aprobar excepciones para oficinas pequeñas o aquellas </w:t>
            </w:r>
            <w:r w:rsidR="00772495">
              <w:rPr>
                <w:sz w:val="20"/>
                <w:szCs w:val="20"/>
                <w:lang w:val="es-419"/>
              </w:rPr>
              <w:t xml:space="preserve">que </w:t>
            </w:r>
            <w:r w:rsidR="00375F0F">
              <w:rPr>
                <w:sz w:val="20"/>
                <w:szCs w:val="20"/>
                <w:lang w:val="es-419"/>
              </w:rPr>
              <w:t xml:space="preserve">transiten </w:t>
            </w:r>
            <w:r w:rsidRPr="00756410">
              <w:rPr>
                <w:sz w:val="20"/>
                <w:szCs w:val="20"/>
                <w:lang w:val="es-419"/>
              </w:rPr>
              <w:t xml:space="preserve">circunstancias especiales, </w:t>
            </w:r>
            <w:r w:rsidR="00375F0F">
              <w:rPr>
                <w:sz w:val="20"/>
                <w:szCs w:val="20"/>
                <w:lang w:val="es-419"/>
              </w:rPr>
              <w:t xml:space="preserve">para lo cual se definirán </w:t>
            </w:r>
            <w:r w:rsidRPr="00756410">
              <w:rPr>
                <w:sz w:val="20"/>
                <w:szCs w:val="20"/>
                <w:lang w:val="es-419"/>
              </w:rPr>
              <w:t>controles de compensación apropiados.</w:t>
            </w:r>
          </w:p>
        </w:tc>
        <w:tc>
          <w:tcPr>
            <w:tcW w:w="1350" w:type="dxa"/>
            <w:tcBorders>
              <w:top w:val="single" w:sz="4" w:space="0" w:color="auto"/>
              <w:left w:val="single" w:sz="4" w:space="0" w:color="auto"/>
              <w:bottom w:val="single" w:sz="4" w:space="0" w:color="auto"/>
              <w:right w:val="single" w:sz="4" w:space="0" w:color="auto"/>
            </w:tcBorders>
          </w:tcPr>
          <w:p w14:paraId="1D016630" w14:textId="77777777" w:rsidR="00A24D5B" w:rsidRPr="00756410" w:rsidRDefault="00A24D5B" w:rsidP="7F61F61C">
            <w:pPr>
              <w:jc w:val="center"/>
              <w:rPr>
                <w:rFonts w:eastAsiaTheme="minorEastAsia"/>
                <w:sz w:val="20"/>
                <w:szCs w:val="20"/>
                <w:lang w:val="es-419"/>
              </w:rPr>
            </w:pPr>
          </w:p>
        </w:tc>
        <w:tc>
          <w:tcPr>
            <w:tcW w:w="1710" w:type="dxa"/>
            <w:tcBorders>
              <w:top w:val="single" w:sz="4" w:space="0" w:color="auto"/>
              <w:left w:val="single" w:sz="4" w:space="0" w:color="auto"/>
              <w:bottom w:val="single" w:sz="4" w:space="0" w:color="auto"/>
              <w:right w:val="single" w:sz="4" w:space="0" w:color="auto"/>
            </w:tcBorders>
          </w:tcPr>
          <w:p w14:paraId="59B9FBAE" w14:textId="406F7E2B" w:rsidR="00A24D5B" w:rsidRPr="00756410" w:rsidRDefault="00A24D5B">
            <w:pPr>
              <w:rPr>
                <w:sz w:val="20"/>
                <w:szCs w:val="20"/>
                <w:highlight w:val="yellow"/>
                <w:lang w:val="es-419"/>
              </w:rPr>
            </w:pPr>
            <w:r w:rsidRPr="00756410">
              <w:rPr>
                <w:sz w:val="20"/>
                <w:szCs w:val="20"/>
                <w:lang w:val="es-419"/>
              </w:rPr>
              <w:t>Consulte la sección 3.3 para conocer las flexibilidades</w:t>
            </w:r>
            <w:r w:rsidR="00772495">
              <w:rPr>
                <w:sz w:val="20"/>
                <w:szCs w:val="20"/>
                <w:lang w:val="es-419"/>
              </w:rPr>
              <w:t xml:space="preserve"> establecidas para </w:t>
            </w:r>
            <w:r w:rsidRPr="00756410">
              <w:rPr>
                <w:sz w:val="20"/>
                <w:szCs w:val="20"/>
                <w:lang w:val="es-419"/>
              </w:rPr>
              <w:t xml:space="preserve"> oficinas pequeñas</w:t>
            </w:r>
          </w:p>
        </w:tc>
      </w:tr>
      <w:tr w:rsidR="00983800" w14:paraId="0DCE94D2" w14:textId="77777777" w:rsidTr="008C4953">
        <w:tc>
          <w:tcPr>
            <w:tcW w:w="355" w:type="dxa"/>
            <w:tcBorders>
              <w:top w:val="single" w:sz="4" w:space="0" w:color="auto"/>
              <w:left w:val="single" w:sz="4" w:space="0" w:color="auto"/>
              <w:bottom w:val="nil"/>
              <w:right w:val="single" w:sz="4" w:space="0" w:color="auto"/>
            </w:tcBorders>
          </w:tcPr>
          <w:p w14:paraId="337CE4B7" w14:textId="467A809A" w:rsidR="00EE123E" w:rsidRPr="00EE123E" w:rsidRDefault="00EE123E" w:rsidP="00EE123E">
            <w:pPr>
              <w:rPr>
                <w:sz w:val="20"/>
                <w:szCs w:val="20"/>
              </w:rPr>
            </w:pPr>
            <w:r w:rsidRPr="00EE123E">
              <w:rPr>
                <w:sz w:val="20"/>
                <w:szCs w:val="20"/>
              </w:rPr>
              <w:t>2</w:t>
            </w:r>
          </w:p>
        </w:tc>
        <w:tc>
          <w:tcPr>
            <w:tcW w:w="6300" w:type="dxa"/>
            <w:tcBorders>
              <w:top w:val="single" w:sz="4" w:space="0" w:color="auto"/>
              <w:left w:val="single" w:sz="4" w:space="0" w:color="auto"/>
              <w:bottom w:val="single" w:sz="4" w:space="0" w:color="auto"/>
              <w:right w:val="single" w:sz="4" w:space="0" w:color="auto"/>
            </w:tcBorders>
          </w:tcPr>
          <w:p w14:paraId="1603C240" w14:textId="37B989F0" w:rsidR="00EE123E" w:rsidRPr="00756410" w:rsidRDefault="0056115A" w:rsidP="363CA695">
            <w:pPr>
              <w:rPr>
                <w:sz w:val="20"/>
                <w:szCs w:val="20"/>
                <w:lang w:val="es-419"/>
              </w:rPr>
            </w:pPr>
            <w:r>
              <w:rPr>
                <w:b/>
                <w:sz w:val="20"/>
                <w:szCs w:val="20"/>
                <w:lang w:val="es-419"/>
              </w:rPr>
              <w:t>P</w:t>
            </w:r>
            <w:r w:rsidR="00EE123E" w:rsidRPr="00756410">
              <w:rPr>
                <w:b/>
                <w:sz w:val="20"/>
                <w:szCs w:val="20"/>
                <w:lang w:val="es-419"/>
              </w:rPr>
              <w:t xml:space="preserve">erfil </w:t>
            </w:r>
            <w:r>
              <w:rPr>
                <w:b/>
                <w:sz w:val="20"/>
                <w:szCs w:val="20"/>
                <w:lang w:val="es-419"/>
              </w:rPr>
              <w:t xml:space="preserve">único de usuario en el ERP </w:t>
            </w:r>
            <w:r w:rsidR="00375F0F">
              <w:rPr>
                <w:b/>
                <w:sz w:val="20"/>
                <w:szCs w:val="20"/>
                <w:lang w:val="es-419"/>
              </w:rPr>
              <w:t>(</w:t>
            </w:r>
            <w:r w:rsidR="00EE123E" w:rsidRPr="00756410">
              <w:rPr>
                <w:b/>
                <w:sz w:val="20"/>
                <w:szCs w:val="20"/>
                <w:lang w:val="es-419"/>
              </w:rPr>
              <w:t>IDAM</w:t>
            </w:r>
            <w:r w:rsidR="00375F0F">
              <w:rPr>
                <w:b/>
                <w:sz w:val="20"/>
                <w:szCs w:val="20"/>
                <w:lang w:val="es-419"/>
              </w:rPr>
              <w:t>)</w:t>
            </w:r>
            <w:r w:rsidR="00EE123E" w:rsidRPr="00756410">
              <w:rPr>
                <w:b/>
                <w:sz w:val="20"/>
                <w:szCs w:val="20"/>
                <w:lang w:val="es-419"/>
              </w:rPr>
              <w:t xml:space="preserve"> para transacciones financieras</w:t>
            </w:r>
            <w:r w:rsidR="005B755E" w:rsidRPr="363CA695">
              <w:rPr>
                <w:rStyle w:val="FootnoteReference"/>
                <w:b/>
                <w:bCs/>
                <w:sz w:val="20"/>
                <w:szCs w:val="20"/>
              </w:rPr>
              <w:footnoteReference w:id="6"/>
            </w:r>
            <w:r w:rsidR="00EE123E" w:rsidRPr="00756410">
              <w:rPr>
                <w:b/>
                <w:sz w:val="20"/>
                <w:szCs w:val="20"/>
                <w:lang w:val="es-419"/>
              </w:rPr>
              <w:t xml:space="preserve">: </w:t>
            </w:r>
            <w:r w:rsidR="00375F0F" w:rsidRPr="00375F0F">
              <w:rPr>
                <w:b/>
                <w:sz w:val="20"/>
                <w:szCs w:val="20"/>
                <w:lang w:val="es-419"/>
              </w:rPr>
              <w:t xml:space="preserve">Los </w:t>
            </w:r>
            <w:r w:rsidR="00375F0F" w:rsidRPr="00375F0F">
              <w:rPr>
                <w:sz w:val="20"/>
                <w:szCs w:val="20"/>
                <w:lang w:val="es-419"/>
              </w:rPr>
              <w:t>perfiles</w:t>
            </w:r>
            <w:r w:rsidR="00EE123E" w:rsidRPr="00756410">
              <w:rPr>
                <w:sz w:val="20"/>
                <w:szCs w:val="20"/>
                <w:lang w:val="es-419"/>
              </w:rPr>
              <w:t xml:space="preserve"> </w:t>
            </w:r>
            <w:r>
              <w:rPr>
                <w:sz w:val="20"/>
                <w:szCs w:val="20"/>
                <w:lang w:val="es-419"/>
              </w:rPr>
              <w:t>de usuario</w:t>
            </w:r>
            <w:r w:rsidR="00EE123E" w:rsidRPr="00756410">
              <w:rPr>
                <w:sz w:val="20"/>
                <w:szCs w:val="20"/>
                <w:lang w:val="es-419"/>
              </w:rPr>
              <w:t xml:space="preserve"> estándar de</w:t>
            </w:r>
            <w:r w:rsidR="00375F0F">
              <w:rPr>
                <w:sz w:val="20"/>
                <w:szCs w:val="20"/>
                <w:lang w:val="es-419"/>
              </w:rPr>
              <w:t>l sistema</w:t>
            </w:r>
            <w:r w:rsidR="00EE123E" w:rsidRPr="00756410">
              <w:rPr>
                <w:sz w:val="20"/>
                <w:szCs w:val="20"/>
                <w:lang w:val="es-419"/>
              </w:rPr>
              <w:t xml:space="preserve"> IDAM se han diseñado para segregar funciones en la etapa de asignación de roles </w:t>
            </w:r>
            <w:r w:rsidR="00375F0F">
              <w:rPr>
                <w:sz w:val="20"/>
                <w:szCs w:val="20"/>
                <w:lang w:val="es-419"/>
              </w:rPr>
              <w:t>en el</w:t>
            </w:r>
            <w:r w:rsidR="00375F0F" w:rsidRPr="00756410">
              <w:rPr>
                <w:sz w:val="20"/>
                <w:szCs w:val="20"/>
                <w:lang w:val="es-419"/>
              </w:rPr>
              <w:t xml:space="preserve"> </w:t>
            </w:r>
            <w:r w:rsidR="00EE123E" w:rsidRPr="00756410">
              <w:rPr>
                <w:sz w:val="20"/>
                <w:szCs w:val="20"/>
                <w:lang w:val="es-419"/>
              </w:rPr>
              <w:t xml:space="preserve">ERP. Como resultado, el personal debe tener solo un perfil </w:t>
            </w:r>
            <w:r>
              <w:rPr>
                <w:sz w:val="20"/>
                <w:szCs w:val="20"/>
                <w:lang w:val="es-419"/>
              </w:rPr>
              <w:t>de usuario</w:t>
            </w:r>
            <w:r w:rsidR="00375F0F" w:rsidRPr="00756410">
              <w:rPr>
                <w:sz w:val="20"/>
                <w:szCs w:val="20"/>
                <w:lang w:val="es-419"/>
              </w:rPr>
              <w:t xml:space="preserve"> </w:t>
            </w:r>
            <w:r w:rsidR="00EE123E" w:rsidRPr="00756410">
              <w:rPr>
                <w:sz w:val="20"/>
                <w:szCs w:val="20"/>
                <w:lang w:val="es-419"/>
              </w:rPr>
              <w:t>de IDAM que sea coherente con su función (por ejemplo, gerente de proyecto, comprado</w:t>
            </w:r>
            <w:r w:rsidR="00843A63">
              <w:rPr>
                <w:sz w:val="20"/>
                <w:szCs w:val="20"/>
                <w:lang w:val="es-419"/>
              </w:rPr>
              <w:t>r, Gerente</w:t>
            </w:r>
            <w:r w:rsidR="00EE123E" w:rsidRPr="00756410">
              <w:rPr>
                <w:sz w:val="20"/>
                <w:szCs w:val="20"/>
                <w:lang w:val="es-419"/>
              </w:rPr>
              <w:t xml:space="preserve"> de aprobación (L1-2, </w:t>
            </w:r>
            <w:r w:rsidR="00843A63">
              <w:rPr>
                <w:sz w:val="20"/>
                <w:szCs w:val="20"/>
                <w:lang w:val="es-419"/>
              </w:rPr>
              <w:t>G</w:t>
            </w:r>
            <w:r w:rsidR="00EE123E" w:rsidRPr="00756410">
              <w:rPr>
                <w:sz w:val="20"/>
                <w:szCs w:val="20"/>
                <w:lang w:val="es-419"/>
              </w:rPr>
              <w:t>erente senior), usuario de finanzas, usuario general</w:t>
            </w:r>
            <w:r w:rsidR="00EE123E" w:rsidRPr="00F84992">
              <w:rPr>
                <w:rStyle w:val="FootnoteReference"/>
                <w:sz w:val="20"/>
                <w:szCs w:val="20"/>
              </w:rPr>
              <w:footnoteReference w:id="7"/>
            </w:r>
            <w:r w:rsidR="00EE123E" w:rsidRPr="00756410">
              <w:rPr>
                <w:sz w:val="20"/>
                <w:szCs w:val="20"/>
                <w:lang w:val="es-419"/>
              </w:rPr>
              <w:t xml:space="preserve">). </w:t>
            </w:r>
            <w:r w:rsidR="00375F0F">
              <w:rPr>
                <w:sz w:val="20"/>
                <w:szCs w:val="20"/>
                <w:lang w:val="es-419"/>
              </w:rPr>
              <w:t>C</w:t>
            </w:r>
            <w:r w:rsidR="00375F0F" w:rsidRPr="00943896">
              <w:rPr>
                <w:sz w:val="20"/>
                <w:szCs w:val="20"/>
                <w:lang w:val="es-419"/>
              </w:rPr>
              <w:t>onsulte la sección 3</w:t>
            </w:r>
            <w:r w:rsidR="00375F0F">
              <w:rPr>
                <w:sz w:val="20"/>
                <w:szCs w:val="20"/>
                <w:lang w:val="es-419"/>
              </w:rPr>
              <w:t xml:space="preserve"> p</w:t>
            </w:r>
            <w:r w:rsidR="00EE123E" w:rsidRPr="00756410">
              <w:rPr>
                <w:sz w:val="20"/>
                <w:szCs w:val="20"/>
                <w:lang w:val="es-419"/>
              </w:rPr>
              <w:t xml:space="preserve">ara ver cómo Quantum IDAM </w:t>
            </w:r>
            <w:r w:rsidR="00375F0F">
              <w:rPr>
                <w:sz w:val="20"/>
                <w:szCs w:val="20"/>
                <w:lang w:val="es-419"/>
              </w:rPr>
              <w:t>establece</w:t>
            </w:r>
            <w:r w:rsidR="00375F0F" w:rsidRPr="00756410">
              <w:rPr>
                <w:sz w:val="20"/>
                <w:szCs w:val="20"/>
                <w:lang w:val="es-419"/>
              </w:rPr>
              <w:t xml:space="preserve"> </w:t>
            </w:r>
            <w:r w:rsidR="00EE123E" w:rsidRPr="00756410">
              <w:rPr>
                <w:sz w:val="20"/>
                <w:szCs w:val="20"/>
                <w:lang w:val="es-419"/>
              </w:rPr>
              <w:t>la segregación de funciones,.</w:t>
            </w:r>
          </w:p>
        </w:tc>
        <w:tc>
          <w:tcPr>
            <w:tcW w:w="1350" w:type="dxa"/>
            <w:tcBorders>
              <w:top w:val="single" w:sz="4" w:space="0" w:color="auto"/>
              <w:left w:val="single" w:sz="4" w:space="0" w:color="auto"/>
              <w:bottom w:val="single" w:sz="4" w:space="0" w:color="auto"/>
              <w:right w:val="single" w:sz="4" w:space="0" w:color="auto"/>
            </w:tcBorders>
          </w:tcPr>
          <w:p w14:paraId="293FE193" w14:textId="1971B1B7" w:rsidR="00EE123E" w:rsidRDefault="000B5C6A" w:rsidP="00EE123E">
            <w:pPr>
              <w:jc w:val="center"/>
            </w:pPr>
            <w:r w:rsidRPr="00F84992">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6381E929" w14:textId="1C2CC0D9" w:rsidR="00EE123E" w:rsidRDefault="00A24D5B" w:rsidP="00EE123E">
            <w:pPr>
              <w:rPr>
                <w:sz w:val="20"/>
                <w:szCs w:val="20"/>
              </w:rPr>
            </w:pPr>
            <w:r w:rsidRPr="00146274">
              <w:rPr>
                <w:sz w:val="20"/>
                <w:szCs w:val="20"/>
              </w:rPr>
              <w:t>Consulte la sección 3</w:t>
            </w:r>
          </w:p>
          <w:p w14:paraId="242430D5" w14:textId="77777777" w:rsidR="00A24D5B" w:rsidRDefault="00A24D5B" w:rsidP="00EE123E">
            <w:pPr>
              <w:rPr>
                <w:sz w:val="20"/>
                <w:szCs w:val="20"/>
              </w:rPr>
            </w:pPr>
          </w:p>
          <w:p w14:paraId="04DB54C4" w14:textId="77777777" w:rsidR="00A24D5B" w:rsidRDefault="00A24D5B" w:rsidP="00EE123E">
            <w:pPr>
              <w:rPr>
                <w:sz w:val="20"/>
                <w:szCs w:val="20"/>
              </w:rPr>
            </w:pPr>
          </w:p>
          <w:p w14:paraId="1F93F70F" w14:textId="77777777" w:rsidR="00A24D5B" w:rsidRDefault="00A24D5B" w:rsidP="00EE123E">
            <w:pPr>
              <w:rPr>
                <w:sz w:val="20"/>
                <w:szCs w:val="20"/>
              </w:rPr>
            </w:pPr>
          </w:p>
          <w:p w14:paraId="577CCB61" w14:textId="77777777" w:rsidR="00A24D5B" w:rsidRDefault="00A24D5B" w:rsidP="00EE123E">
            <w:pPr>
              <w:rPr>
                <w:sz w:val="20"/>
                <w:szCs w:val="20"/>
              </w:rPr>
            </w:pPr>
          </w:p>
          <w:p w14:paraId="3FD53FE9" w14:textId="77777777" w:rsidR="00A24D5B" w:rsidRDefault="00A24D5B" w:rsidP="00EE123E">
            <w:pPr>
              <w:rPr>
                <w:sz w:val="20"/>
                <w:szCs w:val="20"/>
              </w:rPr>
            </w:pPr>
          </w:p>
          <w:p w14:paraId="12BD9374" w14:textId="5CE9BD65" w:rsidR="00A24D5B" w:rsidRPr="00A24D5B" w:rsidRDefault="00A24D5B" w:rsidP="00EE123E">
            <w:pPr>
              <w:rPr>
                <w:sz w:val="20"/>
                <w:szCs w:val="20"/>
              </w:rPr>
            </w:pPr>
          </w:p>
        </w:tc>
      </w:tr>
      <w:tr w:rsidR="00983800" w:rsidRPr="00773863" w14:paraId="09BB59E1" w14:textId="77777777" w:rsidTr="008C4953">
        <w:tc>
          <w:tcPr>
            <w:tcW w:w="355" w:type="dxa"/>
            <w:tcBorders>
              <w:top w:val="nil"/>
              <w:left w:val="single" w:sz="4" w:space="0" w:color="auto"/>
              <w:bottom w:val="nil"/>
              <w:right w:val="single" w:sz="4" w:space="0" w:color="auto"/>
            </w:tcBorders>
          </w:tcPr>
          <w:p w14:paraId="31730299" w14:textId="77777777" w:rsidR="00E324B0" w:rsidRDefault="00E324B0"/>
        </w:tc>
        <w:tc>
          <w:tcPr>
            <w:tcW w:w="6300" w:type="dxa"/>
            <w:tcBorders>
              <w:top w:val="single" w:sz="4" w:space="0" w:color="auto"/>
              <w:left w:val="single" w:sz="4" w:space="0" w:color="auto"/>
              <w:bottom w:val="single" w:sz="4" w:space="0" w:color="auto"/>
              <w:right w:val="single" w:sz="4" w:space="0" w:color="auto"/>
            </w:tcBorders>
          </w:tcPr>
          <w:p w14:paraId="1233A5AA" w14:textId="3C836A42" w:rsidR="00A24D5B" w:rsidRPr="00756410" w:rsidRDefault="46BD673A" w:rsidP="363CA695">
            <w:pPr>
              <w:rPr>
                <w:sz w:val="20"/>
                <w:szCs w:val="20"/>
                <w:lang w:val="es-419"/>
              </w:rPr>
            </w:pPr>
            <w:r w:rsidRPr="00756410">
              <w:rPr>
                <w:sz w:val="20"/>
                <w:szCs w:val="20"/>
                <w:u w:val="single"/>
                <w:lang w:val="es-419"/>
              </w:rPr>
              <w:t xml:space="preserve">Excepción aprobada permanente: </w:t>
            </w:r>
            <w:r w:rsidR="00375F0F">
              <w:rPr>
                <w:sz w:val="20"/>
                <w:szCs w:val="20"/>
                <w:u w:val="single"/>
                <w:lang w:val="es-419"/>
              </w:rPr>
              <w:t xml:space="preserve">los </w:t>
            </w:r>
            <w:r w:rsidR="00D12547" w:rsidRPr="00943896">
              <w:rPr>
                <w:sz w:val="20"/>
                <w:szCs w:val="20"/>
                <w:u w:val="single"/>
                <w:lang w:val="es-419"/>
              </w:rPr>
              <w:t>RR/RR</w:t>
            </w:r>
            <w:r w:rsidR="006E4323">
              <w:rPr>
                <w:sz w:val="20"/>
                <w:szCs w:val="20"/>
                <w:u w:val="single"/>
                <w:lang w:val="es-419"/>
              </w:rPr>
              <w:t>D</w:t>
            </w:r>
            <w:r w:rsidR="00D12547" w:rsidRPr="00943896">
              <w:rPr>
                <w:sz w:val="20"/>
                <w:szCs w:val="20"/>
                <w:u w:val="single"/>
                <w:lang w:val="es-419"/>
              </w:rPr>
              <w:t xml:space="preserve">/Gerente de operaciones (OM) (y equivalentes </w:t>
            </w:r>
            <w:r w:rsidR="00D12547">
              <w:rPr>
                <w:sz w:val="20"/>
                <w:szCs w:val="20"/>
                <w:u w:val="single"/>
                <w:lang w:val="es-419"/>
              </w:rPr>
              <w:t>en la sede central</w:t>
            </w:r>
            <w:r w:rsidR="00D12547" w:rsidRPr="00943896">
              <w:rPr>
                <w:sz w:val="20"/>
                <w:szCs w:val="20"/>
                <w:u w:val="single"/>
                <w:lang w:val="es-419"/>
              </w:rPr>
              <w:t>)</w:t>
            </w:r>
            <w:r w:rsidR="00D12547">
              <w:rPr>
                <w:sz w:val="20"/>
                <w:szCs w:val="20"/>
                <w:u w:val="single"/>
                <w:lang w:val="es-419"/>
              </w:rPr>
              <w:t xml:space="preserve"> pueden mantener a la vez los </w:t>
            </w:r>
            <w:r w:rsidRPr="00756410">
              <w:rPr>
                <w:sz w:val="20"/>
                <w:szCs w:val="20"/>
                <w:u w:val="single"/>
                <w:lang w:val="es-419"/>
              </w:rPr>
              <w:lastRenderedPageBreak/>
              <w:t xml:space="preserve">roles de gerente de proyecto y </w:t>
            </w:r>
            <w:r w:rsidR="00375F0F">
              <w:rPr>
                <w:sz w:val="20"/>
                <w:szCs w:val="20"/>
                <w:u w:val="single"/>
                <w:lang w:val="es-419"/>
              </w:rPr>
              <w:t>autoridad</w:t>
            </w:r>
            <w:r w:rsidR="00375F0F" w:rsidRPr="00756410">
              <w:rPr>
                <w:sz w:val="20"/>
                <w:szCs w:val="20"/>
                <w:u w:val="single"/>
                <w:lang w:val="es-419"/>
              </w:rPr>
              <w:t xml:space="preserve"> </w:t>
            </w:r>
            <w:r w:rsidRPr="00756410">
              <w:rPr>
                <w:sz w:val="20"/>
                <w:szCs w:val="20"/>
                <w:u w:val="single"/>
                <w:lang w:val="es-419"/>
              </w:rPr>
              <w:t xml:space="preserve">de aprobación : </w:t>
            </w:r>
            <w:r w:rsidR="00D12547">
              <w:rPr>
                <w:sz w:val="20"/>
                <w:szCs w:val="20"/>
                <w:u w:val="single"/>
                <w:lang w:val="es-419"/>
              </w:rPr>
              <w:t xml:space="preserve">El sistema </w:t>
            </w:r>
            <w:r w:rsidR="704ACFAA" w:rsidRPr="00756410">
              <w:rPr>
                <w:sz w:val="20"/>
                <w:szCs w:val="20"/>
                <w:lang w:val="es-419"/>
              </w:rPr>
              <w:t xml:space="preserve">IDAM no permite </w:t>
            </w:r>
            <w:r w:rsidR="00D12547" w:rsidRPr="009A16E3">
              <w:rPr>
                <w:sz w:val="20"/>
                <w:szCs w:val="20"/>
                <w:lang w:val="es-419"/>
              </w:rPr>
              <w:t xml:space="preserve">actualmente </w:t>
            </w:r>
            <w:r w:rsidR="704ACFAA" w:rsidRPr="00756410">
              <w:rPr>
                <w:sz w:val="20"/>
                <w:szCs w:val="20"/>
                <w:lang w:val="es-419"/>
              </w:rPr>
              <w:t>que se asigne más de un perfil a un</w:t>
            </w:r>
            <w:r w:rsidR="0056115A">
              <w:rPr>
                <w:sz w:val="20"/>
                <w:szCs w:val="20"/>
                <w:lang w:val="es-419"/>
              </w:rPr>
              <w:t>a</w:t>
            </w:r>
            <w:r w:rsidR="704ACFAA" w:rsidRPr="00756410">
              <w:rPr>
                <w:sz w:val="20"/>
                <w:szCs w:val="20"/>
                <w:lang w:val="es-419"/>
              </w:rPr>
              <w:t xml:space="preserve"> usuario. Sin embargo, el ICF reconoce que el RR/RR</w:t>
            </w:r>
            <w:r w:rsidR="006E4323">
              <w:rPr>
                <w:sz w:val="20"/>
                <w:szCs w:val="20"/>
                <w:lang w:val="es-419"/>
              </w:rPr>
              <w:t>D</w:t>
            </w:r>
            <w:r w:rsidR="704ACFAA" w:rsidRPr="00756410">
              <w:rPr>
                <w:sz w:val="20"/>
                <w:szCs w:val="20"/>
                <w:lang w:val="es-419"/>
              </w:rPr>
              <w:t>/OM (y sus equivalentes en la sede</w:t>
            </w:r>
            <w:r w:rsidR="00D12547">
              <w:rPr>
                <w:sz w:val="20"/>
                <w:szCs w:val="20"/>
                <w:lang w:val="es-419"/>
              </w:rPr>
              <w:t xml:space="preserve"> central</w:t>
            </w:r>
            <w:r w:rsidR="704ACFAA" w:rsidRPr="00756410">
              <w:rPr>
                <w:sz w:val="20"/>
                <w:szCs w:val="20"/>
                <w:lang w:val="es-419"/>
              </w:rPr>
              <w:t xml:space="preserve">) pueden tener que actuar como Gerente de Proyecto en algunas transacciones y </w:t>
            </w:r>
            <w:r w:rsidR="0078635C">
              <w:rPr>
                <w:sz w:val="20"/>
                <w:szCs w:val="20"/>
                <w:lang w:val="es-419"/>
              </w:rPr>
              <w:t>Gerente</w:t>
            </w:r>
            <w:r w:rsidR="00D12547">
              <w:rPr>
                <w:sz w:val="20"/>
                <w:szCs w:val="20"/>
                <w:lang w:val="es-419"/>
              </w:rPr>
              <w:t xml:space="preserve"> </w:t>
            </w:r>
            <w:r w:rsidR="704ACFAA" w:rsidRPr="00756410">
              <w:rPr>
                <w:sz w:val="20"/>
                <w:szCs w:val="20"/>
                <w:lang w:val="es-419"/>
              </w:rPr>
              <w:t xml:space="preserve">de Aprobación en otras transacciones. Como resultado, estos puestos (y solo estos puestos) pueden desempeñar funciones duales de Gerente de Proyecto y </w:t>
            </w:r>
            <w:r w:rsidR="0078635C">
              <w:rPr>
                <w:sz w:val="20"/>
                <w:szCs w:val="20"/>
                <w:lang w:val="es-419"/>
              </w:rPr>
              <w:t>Gerente</w:t>
            </w:r>
            <w:r w:rsidR="00D12547" w:rsidRPr="00756410">
              <w:rPr>
                <w:sz w:val="20"/>
                <w:szCs w:val="20"/>
                <w:lang w:val="es-419"/>
              </w:rPr>
              <w:t xml:space="preserve"> </w:t>
            </w:r>
            <w:r w:rsidR="704ACFAA" w:rsidRPr="00756410">
              <w:rPr>
                <w:sz w:val="20"/>
                <w:szCs w:val="20"/>
                <w:lang w:val="es-419"/>
              </w:rPr>
              <w:t xml:space="preserve">de Aprobación </w:t>
            </w:r>
            <w:r w:rsidRPr="00756410">
              <w:rPr>
                <w:b/>
                <w:bCs/>
                <w:sz w:val="20"/>
                <w:szCs w:val="20"/>
                <w:lang w:val="es-419"/>
              </w:rPr>
              <w:t>si se mantiene la segregación de funciones y se evitan los conflictos de intereses</w:t>
            </w:r>
            <w:r w:rsidRPr="00756410">
              <w:rPr>
                <w:sz w:val="20"/>
                <w:szCs w:val="20"/>
                <w:lang w:val="es-419"/>
              </w:rPr>
              <w:t xml:space="preserve">. Específicamente, no deben: (i) aprobar una solicitud </w:t>
            </w:r>
            <w:r w:rsidR="00D12547">
              <w:rPr>
                <w:sz w:val="20"/>
                <w:szCs w:val="20"/>
                <w:lang w:val="es-419"/>
              </w:rPr>
              <w:t xml:space="preserve">de compra </w:t>
            </w:r>
            <w:r w:rsidRPr="00756410">
              <w:rPr>
                <w:sz w:val="20"/>
                <w:szCs w:val="20"/>
                <w:lang w:val="es-419"/>
              </w:rPr>
              <w:t>y la orden de compra asociada</w:t>
            </w:r>
            <w:r w:rsidR="00D12547">
              <w:rPr>
                <w:sz w:val="20"/>
                <w:szCs w:val="20"/>
                <w:lang w:val="es-419"/>
              </w:rPr>
              <w:t xml:space="preserve"> </w:t>
            </w:r>
            <w:r w:rsidR="0056115A">
              <w:rPr>
                <w:sz w:val="20"/>
                <w:szCs w:val="20"/>
                <w:lang w:val="es-419"/>
              </w:rPr>
              <w:t>al mismo</w:t>
            </w:r>
            <w:r w:rsidR="00D12547">
              <w:rPr>
                <w:sz w:val="20"/>
                <w:szCs w:val="20"/>
                <w:lang w:val="es-419"/>
              </w:rPr>
              <w:t xml:space="preserve"> proceso</w:t>
            </w:r>
            <w:r w:rsidRPr="00756410">
              <w:rPr>
                <w:sz w:val="20"/>
                <w:szCs w:val="20"/>
                <w:lang w:val="es-419"/>
              </w:rPr>
              <w:t xml:space="preserve"> (este requisito de segregación de funciones se aplica preventivamente mediante un control a nivel de transacción en Quantum); o (ii) independientemente de si aprobaron o no solicitudes electrónicas en sus proyectos, </w:t>
            </w:r>
            <w:r w:rsidR="0056115A">
              <w:rPr>
                <w:sz w:val="20"/>
                <w:szCs w:val="20"/>
                <w:lang w:val="es-419"/>
              </w:rPr>
              <w:t xml:space="preserve">no pueden </w:t>
            </w:r>
            <w:r w:rsidRPr="00756410">
              <w:rPr>
                <w:sz w:val="20"/>
                <w:szCs w:val="20"/>
                <w:lang w:val="es-419"/>
              </w:rPr>
              <w:t xml:space="preserve">actuar como </w:t>
            </w:r>
            <w:r w:rsidR="00D12547">
              <w:rPr>
                <w:sz w:val="20"/>
                <w:szCs w:val="20"/>
                <w:lang w:val="es-419"/>
              </w:rPr>
              <w:t>Autoridad</w:t>
            </w:r>
            <w:r w:rsidR="00D12547" w:rsidRPr="00756410">
              <w:rPr>
                <w:sz w:val="20"/>
                <w:szCs w:val="20"/>
                <w:lang w:val="es-419"/>
              </w:rPr>
              <w:t xml:space="preserve"> </w:t>
            </w:r>
            <w:r w:rsidRPr="00756410">
              <w:rPr>
                <w:sz w:val="20"/>
                <w:szCs w:val="20"/>
                <w:lang w:val="es-419"/>
              </w:rPr>
              <w:t>de Aprobación para transacciones con cargo a sus propios proyectos (</w:t>
            </w:r>
            <w:r w:rsidR="00D12547">
              <w:rPr>
                <w:sz w:val="20"/>
                <w:szCs w:val="20"/>
                <w:lang w:val="es-419"/>
              </w:rPr>
              <w:t>aplica</w:t>
            </w:r>
            <w:r w:rsidR="0056115A">
              <w:rPr>
                <w:sz w:val="20"/>
                <w:szCs w:val="20"/>
                <w:lang w:val="es-419"/>
              </w:rPr>
              <w:t xml:space="preserve"> tanto</w:t>
            </w:r>
            <w:r w:rsidR="00D12547">
              <w:rPr>
                <w:sz w:val="20"/>
                <w:szCs w:val="20"/>
                <w:lang w:val="es-419"/>
              </w:rPr>
              <w:t xml:space="preserve"> para proyectos de </w:t>
            </w:r>
            <w:r w:rsidRPr="00756410">
              <w:rPr>
                <w:sz w:val="20"/>
                <w:szCs w:val="20"/>
                <w:lang w:val="es-419"/>
              </w:rPr>
              <w:t xml:space="preserve">desarrollo </w:t>
            </w:r>
            <w:r w:rsidR="0056115A">
              <w:rPr>
                <w:sz w:val="20"/>
                <w:szCs w:val="20"/>
                <w:lang w:val="es-419"/>
              </w:rPr>
              <w:t xml:space="preserve">como </w:t>
            </w:r>
            <w:r w:rsidR="00D12547">
              <w:rPr>
                <w:sz w:val="20"/>
                <w:szCs w:val="20"/>
                <w:lang w:val="es-419"/>
              </w:rPr>
              <w:t>proyectos de</w:t>
            </w:r>
            <w:r w:rsidRPr="00756410">
              <w:rPr>
                <w:sz w:val="20"/>
                <w:szCs w:val="20"/>
                <w:lang w:val="es-419"/>
              </w:rPr>
              <w:t xml:space="preserve"> gestión</w:t>
            </w:r>
            <w:r w:rsidR="00D12547">
              <w:rPr>
                <w:sz w:val="20"/>
                <w:szCs w:val="20"/>
                <w:lang w:val="es-419"/>
              </w:rPr>
              <w:t xml:space="preserve"> interna</w:t>
            </w:r>
            <w:r w:rsidRPr="00756410">
              <w:rPr>
                <w:sz w:val="20"/>
                <w:szCs w:val="20"/>
                <w:lang w:val="es-419"/>
              </w:rPr>
              <w:t xml:space="preserve">), ya que esto </w:t>
            </w:r>
            <w:r w:rsidR="00D12547">
              <w:rPr>
                <w:sz w:val="20"/>
                <w:szCs w:val="20"/>
                <w:lang w:val="es-419"/>
              </w:rPr>
              <w:t xml:space="preserve">representaría </w:t>
            </w:r>
            <w:r w:rsidRPr="00756410">
              <w:rPr>
                <w:sz w:val="20"/>
                <w:szCs w:val="20"/>
                <w:lang w:val="es-419"/>
              </w:rPr>
              <w:t xml:space="preserve"> un conflicto de intereses. </w:t>
            </w:r>
            <w:hyperlink r:id="rId15">
              <w:r w:rsidR="704ACFAA" w:rsidRPr="00756410">
                <w:rPr>
                  <w:rStyle w:val="Hyperlink"/>
                  <w:sz w:val="20"/>
                  <w:szCs w:val="20"/>
                  <w:lang w:val="es-419"/>
                </w:rPr>
                <w:t>Los Informes de Monitoreo del ICF</w:t>
              </w:r>
            </w:hyperlink>
            <w:r w:rsidR="704ACFAA" w:rsidRPr="00756410">
              <w:rPr>
                <w:sz w:val="20"/>
                <w:szCs w:val="20"/>
                <w:lang w:val="es-419"/>
              </w:rPr>
              <w:t xml:space="preserve"> </w:t>
            </w:r>
            <w:r w:rsidR="00D12547">
              <w:rPr>
                <w:sz w:val="20"/>
                <w:szCs w:val="20"/>
                <w:lang w:val="es-419"/>
              </w:rPr>
              <w:t xml:space="preserve">son </w:t>
            </w:r>
            <w:r w:rsidR="704ACFAA" w:rsidRPr="00756410">
              <w:rPr>
                <w:sz w:val="20"/>
                <w:szCs w:val="20"/>
                <w:lang w:val="es-419"/>
              </w:rPr>
              <w:t xml:space="preserve">actualizados diariamente </w:t>
            </w:r>
            <w:r w:rsidR="0056115A">
              <w:rPr>
                <w:sz w:val="20"/>
                <w:szCs w:val="20"/>
                <w:lang w:val="es-419"/>
              </w:rPr>
              <w:t>y están</w:t>
            </w:r>
            <w:r w:rsidR="704ACFAA" w:rsidRPr="00756410">
              <w:rPr>
                <w:sz w:val="20"/>
                <w:szCs w:val="20"/>
                <w:lang w:val="es-419"/>
              </w:rPr>
              <w:t xml:space="preserve"> disponibles para los Aprobadores y Puntos Focales de</w:t>
            </w:r>
            <w:r w:rsidR="0056115A">
              <w:rPr>
                <w:sz w:val="20"/>
                <w:szCs w:val="20"/>
                <w:lang w:val="es-419"/>
              </w:rPr>
              <w:t>l sistema</w:t>
            </w:r>
            <w:r w:rsidR="704ACFAA" w:rsidRPr="00756410">
              <w:rPr>
                <w:sz w:val="20"/>
                <w:szCs w:val="20"/>
                <w:lang w:val="es-419"/>
              </w:rPr>
              <w:t xml:space="preserve"> IDAM en las oficinas/unidades para garantizar que </w:t>
            </w:r>
            <w:r w:rsidR="00D12547">
              <w:rPr>
                <w:sz w:val="20"/>
                <w:szCs w:val="20"/>
                <w:lang w:val="es-419"/>
              </w:rPr>
              <w:t xml:space="preserve">se </w:t>
            </w:r>
            <w:r w:rsidR="704ACFAA" w:rsidRPr="00756410">
              <w:rPr>
                <w:sz w:val="20"/>
                <w:szCs w:val="20"/>
                <w:lang w:val="es-419"/>
              </w:rPr>
              <w:t xml:space="preserve">cumplan con estos </w:t>
            </w:r>
            <w:r w:rsidR="00D12547">
              <w:rPr>
                <w:sz w:val="20"/>
                <w:szCs w:val="20"/>
                <w:lang w:val="es-419"/>
              </w:rPr>
              <w:t>requerimientos</w:t>
            </w:r>
            <w:r w:rsidR="00D12547" w:rsidRPr="00756410">
              <w:rPr>
                <w:sz w:val="20"/>
                <w:szCs w:val="20"/>
                <w:lang w:val="es-419"/>
              </w:rPr>
              <w:t xml:space="preserve"> </w:t>
            </w:r>
            <w:r w:rsidR="704ACFAA" w:rsidRPr="00756410">
              <w:rPr>
                <w:sz w:val="20"/>
                <w:szCs w:val="20"/>
                <w:lang w:val="es-419"/>
              </w:rPr>
              <w:t>del ICF.</w:t>
            </w:r>
            <w:r w:rsidR="00D12547">
              <w:rPr>
                <w:sz w:val="20"/>
                <w:szCs w:val="20"/>
                <w:lang w:val="es-419"/>
              </w:rPr>
              <w:t xml:space="preserve"> La unidad de</w:t>
            </w:r>
            <w:r w:rsidR="704ACFAA" w:rsidRPr="00756410">
              <w:rPr>
                <w:sz w:val="20"/>
                <w:szCs w:val="20"/>
                <w:lang w:val="es-419"/>
              </w:rPr>
              <w:t xml:space="preserve"> BMS también monitorea </w:t>
            </w:r>
            <w:r w:rsidR="004F0A15">
              <w:rPr>
                <w:sz w:val="20"/>
                <w:szCs w:val="20"/>
                <w:lang w:val="es-419"/>
              </w:rPr>
              <w:t xml:space="preserve">el </w:t>
            </w:r>
            <w:r w:rsidR="004F0A15" w:rsidRPr="004F0A15">
              <w:rPr>
                <w:sz w:val="20"/>
                <w:szCs w:val="20"/>
                <w:lang w:val="es-419"/>
              </w:rPr>
              <w:t>uso</w:t>
            </w:r>
            <w:r w:rsidR="0056115A">
              <w:rPr>
                <w:sz w:val="20"/>
                <w:szCs w:val="20"/>
                <w:lang w:val="es-419"/>
              </w:rPr>
              <w:t xml:space="preserve"> </w:t>
            </w:r>
            <w:r w:rsidR="704ACFAA" w:rsidRPr="00756410">
              <w:rPr>
                <w:sz w:val="20"/>
                <w:szCs w:val="20"/>
                <w:lang w:val="es-419"/>
              </w:rPr>
              <w:t xml:space="preserve"> </w:t>
            </w:r>
            <w:r w:rsidR="0056115A">
              <w:rPr>
                <w:sz w:val="20"/>
                <w:szCs w:val="20"/>
                <w:lang w:val="es-419"/>
              </w:rPr>
              <w:t xml:space="preserve">de los perfiles de usuario </w:t>
            </w:r>
            <w:r w:rsidR="704ACFAA" w:rsidRPr="00756410">
              <w:rPr>
                <w:sz w:val="20"/>
                <w:szCs w:val="20"/>
                <w:lang w:val="es-419"/>
              </w:rPr>
              <w:t xml:space="preserve">y </w:t>
            </w:r>
            <w:r w:rsidR="00D12547">
              <w:rPr>
                <w:sz w:val="20"/>
                <w:szCs w:val="20"/>
                <w:lang w:val="es-419"/>
              </w:rPr>
              <w:t xml:space="preserve">eventuales </w:t>
            </w:r>
            <w:r w:rsidR="704ACFAA" w:rsidRPr="00756410">
              <w:rPr>
                <w:sz w:val="20"/>
                <w:szCs w:val="20"/>
                <w:lang w:val="es-419"/>
              </w:rPr>
              <w:t xml:space="preserve">violaciones </w:t>
            </w:r>
            <w:r w:rsidR="0056115A">
              <w:rPr>
                <w:sz w:val="20"/>
                <w:szCs w:val="20"/>
                <w:lang w:val="es-419"/>
              </w:rPr>
              <w:t xml:space="preserve">o </w:t>
            </w:r>
            <w:r w:rsidR="00620966">
              <w:rPr>
                <w:sz w:val="20"/>
                <w:szCs w:val="20"/>
                <w:lang w:val="es-419"/>
              </w:rPr>
              <w:t>incumplimientos</w:t>
            </w:r>
            <w:r w:rsidR="704ACFAA" w:rsidRPr="00756410">
              <w:rPr>
                <w:sz w:val="20"/>
                <w:szCs w:val="20"/>
                <w:lang w:val="es-419"/>
              </w:rPr>
              <w:t>.</w:t>
            </w:r>
          </w:p>
          <w:p w14:paraId="62671ADC" w14:textId="77777777" w:rsidR="00A24D5B" w:rsidRPr="00756410" w:rsidRDefault="00A24D5B" w:rsidP="00A24D5B">
            <w:pPr>
              <w:rPr>
                <w:b/>
                <w:sz w:val="20"/>
                <w:szCs w:val="20"/>
                <w:lang w:val="es-419"/>
              </w:rPr>
            </w:pPr>
          </w:p>
          <w:p w14:paraId="287E5B4A" w14:textId="0E43DA26" w:rsidR="00A24D5B" w:rsidRPr="00756410" w:rsidRDefault="00A24D5B" w:rsidP="363CA695">
            <w:pPr>
              <w:rPr>
                <w:sz w:val="20"/>
                <w:szCs w:val="20"/>
                <w:lang w:val="es-419"/>
              </w:rPr>
            </w:pPr>
            <w:r w:rsidRPr="00756410">
              <w:rPr>
                <w:b/>
                <w:sz w:val="20"/>
                <w:szCs w:val="20"/>
                <w:lang w:val="es-419"/>
              </w:rPr>
              <w:t xml:space="preserve">Como medida provisional, </w:t>
            </w:r>
            <w:r w:rsidRPr="00756410">
              <w:rPr>
                <w:sz w:val="20"/>
                <w:szCs w:val="20"/>
                <w:lang w:val="es-419"/>
              </w:rPr>
              <w:t xml:space="preserve">para adaptarse a la flexibilidad de ICF </w:t>
            </w:r>
            <w:r w:rsidR="0056115A">
              <w:rPr>
                <w:sz w:val="20"/>
                <w:szCs w:val="20"/>
                <w:lang w:val="es-419"/>
              </w:rPr>
              <w:t xml:space="preserve">que se permite </w:t>
            </w:r>
            <w:r w:rsidRPr="00756410">
              <w:rPr>
                <w:sz w:val="20"/>
                <w:szCs w:val="20"/>
                <w:lang w:val="es-419"/>
              </w:rPr>
              <w:t>para RR/RR</w:t>
            </w:r>
            <w:r w:rsidR="006E4323">
              <w:rPr>
                <w:sz w:val="20"/>
                <w:szCs w:val="20"/>
                <w:lang w:val="es-419"/>
              </w:rPr>
              <w:t>D</w:t>
            </w:r>
            <w:r w:rsidRPr="00756410">
              <w:rPr>
                <w:sz w:val="20"/>
                <w:szCs w:val="20"/>
                <w:lang w:val="es-419"/>
              </w:rPr>
              <w:t xml:space="preserve">/OM (y equivalentes de </w:t>
            </w:r>
            <w:r w:rsidR="0056115A">
              <w:rPr>
                <w:sz w:val="20"/>
                <w:szCs w:val="20"/>
                <w:lang w:val="es-419"/>
              </w:rPr>
              <w:t>en la sede central</w:t>
            </w:r>
            <w:r w:rsidRPr="00756410">
              <w:rPr>
                <w:sz w:val="20"/>
                <w:szCs w:val="20"/>
                <w:lang w:val="es-419"/>
              </w:rPr>
              <w:t xml:space="preserve">) en IDAM/Quantum, el perfil </w:t>
            </w:r>
            <w:r w:rsidR="0056115A">
              <w:rPr>
                <w:sz w:val="20"/>
                <w:szCs w:val="20"/>
                <w:lang w:val="es-419"/>
              </w:rPr>
              <w:t>de usuario</w:t>
            </w:r>
            <w:r w:rsidR="00913328">
              <w:rPr>
                <w:sz w:val="20"/>
                <w:szCs w:val="20"/>
                <w:lang w:val="es-419"/>
              </w:rPr>
              <w:t xml:space="preserve"> </w:t>
            </w:r>
            <w:r w:rsidRPr="00756410">
              <w:rPr>
                <w:sz w:val="20"/>
                <w:szCs w:val="20"/>
                <w:lang w:val="es-419"/>
              </w:rPr>
              <w:t xml:space="preserve">de </w:t>
            </w:r>
            <w:r w:rsidR="000808FB">
              <w:rPr>
                <w:sz w:val="20"/>
                <w:szCs w:val="20"/>
                <w:lang w:val="es-419"/>
              </w:rPr>
              <w:t>autoridad</w:t>
            </w:r>
            <w:r w:rsidR="000808FB" w:rsidRPr="00756410">
              <w:rPr>
                <w:sz w:val="20"/>
                <w:szCs w:val="20"/>
                <w:lang w:val="es-419"/>
              </w:rPr>
              <w:t xml:space="preserve"> </w:t>
            </w:r>
            <w:r w:rsidRPr="00756410">
              <w:rPr>
                <w:sz w:val="20"/>
                <w:szCs w:val="20"/>
                <w:lang w:val="es-419"/>
              </w:rPr>
              <w:t xml:space="preserve">de aprobación se puede asignar en IDAM y el rol de </w:t>
            </w:r>
            <w:r w:rsidR="000808FB">
              <w:rPr>
                <w:sz w:val="20"/>
                <w:szCs w:val="20"/>
                <w:lang w:val="es-419"/>
              </w:rPr>
              <w:t>gerente</w:t>
            </w:r>
            <w:r w:rsidR="000808FB" w:rsidRPr="00756410">
              <w:rPr>
                <w:sz w:val="20"/>
                <w:szCs w:val="20"/>
                <w:lang w:val="es-419"/>
              </w:rPr>
              <w:t xml:space="preserve"> </w:t>
            </w:r>
            <w:r w:rsidRPr="00756410">
              <w:rPr>
                <w:sz w:val="20"/>
                <w:szCs w:val="20"/>
                <w:lang w:val="es-419"/>
              </w:rPr>
              <w:t xml:space="preserve">de proyectos se puede asignar directamente en el campo de asignación de </w:t>
            </w:r>
            <w:r w:rsidR="000808FB">
              <w:rPr>
                <w:sz w:val="20"/>
                <w:szCs w:val="20"/>
                <w:lang w:val="es-419"/>
              </w:rPr>
              <w:t>recursos</w:t>
            </w:r>
            <w:r w:rsidR="000808FB" w:rsidRPr="00756410">
              <w:rPr>
                <w:sz w:val="20"/>
                <w:szCs w:val="20"/>
                <w:lang w:val="es-419"/>
              </w:rPr>
              <w:t xml:space="preserve"> </w:t>
            </w:r>
            <w:r w:rsidRPr="00756410">
              <w:rPr>
                <w:sz w:val="20"/>
                <w:szCs w:val="20"/>
                <w:lang w:val="es-419"/>
              </w:rPr>
              <w:t>de</w:t>
            </w:r>
            <w:r w:rsidR="000808FB">
              <w:rPr>
                <w:sz w:val="20"/>
                <w:szCs w:val="20"/>
                <w:lang w:val="es-419"/>
              </w:rPr>
              <w:t>l</w:t>
            </w:r>
            <w:r w:rsidRPr="00756410">
              <w:rPr>
                <w:sz w:val="20"/>
                <w:szCs w:val="20"/>
                <w:lang w:val="es-419"/>
              </w:rPr>
              <w:t xml:space="preserve"> proyecto </w:t>
            </w:r>
            <w:r w:rsidR="000808FB">
              <w:rPr>
                <w:sz w:val="20"/>
                <w:szCs w:val="20"/>
                <w:lang w:val="es-419"/>
              </w:rPr>
              <w:t xml:space="preserve"> en </w:t>
            </w:r>
            <w:r w:rsidRPr="00756410">
              <w:rPr>
                <w:sz w:val="20"/>
                <w:szCs w:val="20"/>
                <w:lang w:val="es-419"/>
              </w:rPr>
              <w:t>Quantum PPM</w:t>
            </w:r>
            <w:r w:rsidRPr="363CA695">
              <w:rPr>
                <w:rStyle w:val="FootnoteReference"/>
                <w:sz w:val="20"/>
                <w:szCs w:val="20"/>
              </w:rPr>
              <w:footnoteReference w:id="8"/>
            </w:r>
            <w:r w:rsidRPr="00756410">
              <w:rPr>
                <w:sz w:val="20"/>
                <w:szCs w:val="20"/>
                <w:lang w:val="es-419"/>
              </w:rPr>
              <w:t xml:space="preserve">. </w:t>
            </w:r>
          </w:p>
          <w:p w14:paraId="4930014C" w14:textId="595F209D" w:rsidR="00E324B0" w:rsidRPr="00756410" w:rsidRDefault="00E324B0">
            <w:pPr>
              <w:rPr>
                <w:lang w:val="es-419"/>
              </w:rPr>
            </w:pPr>
          </w:p>
        </w:tc>
        <w:tc>
          <w:tcPr>
            <w:tcW w:w="1350" w:type="dxa"/>
            <w:tcBorders>
              <w:top w:val="single" w:sz="4" w:space="0" w:color="auto"/>
              <w:left w:val="single" w:sz="4" w:space="0" w:color="auto"/>
              <w:bottom w:val="single" w:sz="4" w:space="0" w:color="auto"/>
              <w:right w:val="single" w:sz="4" w:space="0" w:color="auto"/>
            </w:tcBorders>
          </w:tcPr>
          <w:p w14:paraId="51AEA59D" w14:textId="77777777" w:rsidR="00E324B0" w:rsidRPr="00756410" w:rsidRDefault="00E324B0">
            <w:pPr>
              <w:rPr>
                <w:lang w:val="es-419"/>
              </w:rPr>
            </w:pPr>
          </w:p>
        </w:tc>
        <w:tc>
          <w:tcPr>
            <w:tcW w:w="1710" w:type="dxa"/>
            <w:tcBorders>
              <w:top w:val="single" w:sz="4" w:space="0" w:color="auto"/>
              <w:left w:val="single" w:sz="4" w:space="0" w:color="auto"/>
              <w:bottom w:val="single" w:sz="4" w:space="0" w:color="auto"/>
              <w:right w:val="single" w:sz="4" w:space="0" w:color="auto"/>
            </w:tcBorders>
          </w:tcPr>
          <w:p w14:paraId="34144C2E" w14:textId="5C148AEA" w:rsidR="00E324B0" w:rsidRPr="00756410" w:rsidRDefault="00424EE9">
            <w:pPr>
              <w:rPr>
                <w:sz w:val="20"/>
                <w:szCs w:val="20"/>
                <w:lang w:val="es-419"/>
              </w:rPr>
            </w:pPr>
            <w:r w:rsidRPr="00756410">
              <w:rPr>
                <w:sz w:val="20"/>
                <w:szCs w:val="20"/>
                <w:lang w:val="es-419"/>
              </w:rPr>
              <w:t xml:space="preserve">Consulte la sección 3.2 para </w:t>
            </w:r>
            <w:r w:rsidRPr="00756410">
              <w:rPr>
                <w:sz w:val="20"/>
                <w:szCs w:val="20"/>
                <w:lang w:val="es-419"/>
              </w:rPr>
              <w:lastRenderedPageBreak/>
              <w:t xml:space="preserve">obtener más información sobre los informes de seguimiento </w:t>
            </w:r>
            <w:r w:rsidR="00D12547">
              <w:rPr>
                <w:sz w:val="20"/>
                <w:szCs w:val="20"/>
                <w:lang w:val="es-419"/>
              </w:rPr>
              <w:t>del ICF</w:t>
            </w:r>
            <w:r w:rsidRPr="00756410">
              <w:rPr>
                <w:sz w:val="20"/>
                <w:szCs w:val="20"/>
                <w:lang w:val="es-419"/>
              </w:rPr>
              <w:t>.</w:t>
            </w:r>
          </w:p>
        </w:tc>
      </w:tr>
      <w:tr w:rsidR="00983800" w:rsidRPr="00773863" w14:paraId="0830647E" w14:textId="77777777" w:rsidTr="008C4953">
        <w:trPr>
          <w:trHeight w:val="1404"/>
        </w:trPr>
        <w:tc>
          <w:tcPr>
            <w:tcW w:w="355" w:type="dxa"/>
            <w:tcBorders>
              <w:top w:val="nil"/>
              <w:left w:val="single" w:sz="4" w:space="0" w:color="auto"/>
              <w:bottom w:val="single" w:sz="4" w:space="0" w:color="auto"/>
              <w:right w:val="single" w:sz="4" w:space="0" w:color="auto"/>
            </w:tcBorders>
          </w:tcPr>
          <w:p w14:paraId="0039203D" w14:textId="77777777" w:rsidR="00E324B0" w:rsidRPr="00756410" w:rsidRDefault="00E324B0">
            <w:pPr>
              <w:rPr>
                <w:lang w:val="es-419"/>
              </w:rPr>
            </w:pPr>
          </w:p>
        </w:tc>
        <w:tc>
          <w:tcPr>
            <w:tcW w:w="6300" w:type="dxa"/>
            <w:tcBorders>
              <w:top w:val="single" w:sz="4" w:space="0" w:color="auto"/>
              <w:left w:val="single" w:sz="4" w:space="0" w:color="auto"/>
              <w:bottom w:val="single" w:sz="4" w:space="0" w:color="auto"/>
              <w:right w:val="single" w:sz="4" w:space="0" w:color="auto"/>
            </w:tcBorders>
          </w:tcPr>
          <w:p w14:paraId="7373C60E" w14:textId="09053C73" w:rsidR="00E324B0" w:rsidRPr="00756410" w:rsidRDefault="00A24D5B" w:rsidP="363CA695">
            <w:pPr>
              <w:pStyle w:val="TableParagraph"/>
              <w:spacing w:line="268" w:lineRule="exact"/>
              <w:ind w:left="0" w:right="210"/>
              <w:rPr>
                <w:sz w:val="20"/>
                <w:szCs w:val="20"/>
                <w:lang w:val="es-419"/>
              </w:rPr>
            </w:pPr>
            <w:r w:rsidRPr="00756410">
              <w:rPr>
                <w:sz w:val="20"/>
                <w:szCs w:val="20"/>
                <w:u w:val="single"/>
                <w:lang w:val="es-419"/>
              </w:rPr>
              <w:t xml:space="preserve">Excepciones que requieren la aprobación del </w:t>
            </w:r>
            <w:r w:rsidR="00227BA7">
              <w:rPr>
                <w:sz w:val="20"/>
                <w:szCs w:val="20"/>
                <w:u w:val="single"/>
                <w:lang w:val="es-419"/>
              </w:rPr>
              <w:t>contralor</w:t>
            </w:r>
            <w:r w:rsidR="00376AF6">
              <w:rPr>
                <w:sz w:val="20"/>
                <w:szCs w:val="20"/>
                <w:u w:val="single"/>
                <w:lang w:val="es-419"/>
              </w:rPr>
              <w:t xml:space="preserve"> (</w:t>
            </w:r>
            <w:r w:rsidRPr="00756410">
              <w:rPr>
                <w:sz w:val="20"/>
                <w:szCs w:val="20"/>
                <w:u w:val="single"/>
                <w:lang w:val="es-419"/>
              </w:rPr>
              <w:t>CFO</w:t>
            </w:r>
            <w:r w:rsidR="00376AF6">
              <w:rPr>
                <w:sz w:val="20"/>
                <w:szCs w:val="20"/>
                <w:u w:val="single"/>
                <w:lang w:val="es-419"/>
              </w:rPr>
              <w:t>)</w:t>
            </w:r>
            <w:r w:rsidRPr="00756410">
              <w:rPr>
                <w:sz w:val="20"/>
                <w:szCs w:val="20"/>
                <w:u w:val="single"/>
                <w:lang w:val="es-419"/>
              </w:rPr>
              <w:t>:</w:t>
            </w:r>
            <w:r w:rsidRPr="00756410">
              <w:rPr>
                <w:sz w:val="20"/>
                <w:szCs w:val="20"/>
                <w:lang w:val="es-419"/>
              </w:rPr>
              <w:t xml:space="preserve"> Si, </w:t>
            </w:r>
            <w:r w:rsidR="000808FB">
              <w:rPr>
                <w:sz w:val="20"/>
                <w:szCs w:val="20"/>
                <w:lang w:val="es-419"/>
              </w:rPr>
              <w:t>por</w:t>
            </w:r>
            <w:r w:rsidR="000808FB" w:rsidRPr="00756410">
              <w:rPr>
                <w:sz w:val="20"/>
                <w:szCs w:val="20"/>
                <w:lang w:val="es-419"/>
              </w:rPr>
              <w:t xml:space="preserve"> </w:t>
            </w:r>
            <w:r w:rsidRPr="00756410">
              <w:rPr>
                <w:sz w:val="20"/>
                <w:szCs w:val="20"/>
                <w:lang w:val="es-419"/>
              </w:rPr>
              <w:t xml:space="preserve">circunstancias locales o especiales, una oficina/unidad requiere que un miembro del personal tenga más de un perfil </w:t>
            </w:r>
            <w:r w:rsidR="000808FB">
              <w:rPr>
                <w:sz w:val="20"/>
                <w:szCs w:val="20"/>
                <w:lang w:val="es-419"/>
              </w:rPr>
              <w:t>de usuario</w:t>
            </w:r>
            <w:r w:rsidR="000808FB" w:rsidRPr="00756410">
              <w:rPr>
                <w:sz w:val="20"/>
                <w:szCs w:val="20"/>
                <w:lang w:val="es-419"/>
              </w:rPr>
              <w:t xml:space="preserve"> </w:t>
            </w:r>
            <w:r w:rsidRPr="00756410">
              <w:rPr>
                <w:sz w:val="20"/>
                <w:szCs w:val="20"/>
                <w:lang w:val="es-419"/>
              </w:rPr>
              <w:t xml:space="preserve">de IDAM, el CFO debe otorgar una aprobación excepcional. Esta aprobación debe incluirse como documentación de respaldo </w:t>
            </w:r>
            <w:r w:rsidR="000808FB">
              <w:rPr>
                <w:sz w:val="20"/>
                <w:szCs w:val="20"/>
                <w:lang w:val="es-419"/>
              </w:rPr>
              <w:t xml:space="preserve">que debe </w:t>
            </w:r>
            <w:r w:rsidRPr="00756410">
              <w:rPr>
                <w:sz w:val="20"/>
                <w:szCs w:val="20"/>
                <w:lang w:val="es-419"/>
              </w:rPr>
              <w:t>adjunta</w:t>
            </w:r>
            <w:r w:rsidR="000808FB">
              <w:rPr>
                <w:sz w:val="20"/>
                <w:szCs w:val="20"/>
                <w:lang w:val="es-419"/>
              </w:rPr>
              <w:t>rse</w:t>
            </w:r>
            <w:r w:rsidRPr="00756410">
              <w:rPr>
                <w:sz w:val="20"/>
                <w:szCs w:val="20"/>
                <w:lang w:val="es-419"/>
              </w:rPr>
              <w:t xml:space="preserve"> a la solicitud de acceso</w:t>
            </w:r>
            <w:r w:rsidR="000808FB">
              <w:rPr>
                <w:sz w:val="20"/>
                <w:szCs w:val="20"/>
                <w:lang w:val="es-419"/>
              </w:rPr>
              <w:t xml:space="preserve"> (perfil)</w:t>
            </w:r>
            <w:r w:rsidRPr="00756410">
              <w:rPr>
                <w:sz w:val="20"/>
                <w:szCs w:val="20"/>
                <w:lang w:val="es-419"/>
              </w:rPr>
              <w:t xml:space="preserve"> de IDAM.</w:t>
            </w:r>
          </w:p>
        </w:tc>
        <w:tc>
          <w:tcPr>
            <w:tcW w:w="1350" w:type="dxa"/>
            <w:tcBorders>
              <w:top w:val="single" w:sz="4" w:space="0" w:color="auto"/>
              <w:left w:val="single" w:sz="4" w:space="0" w:color="auto"/>
              <w:bottom w:val="single" w:sz="4" w:space="0" w:color="auto"/>
              <w:right w:val="single" w:sz="4" w:space="0" w:color="auto"/>
            </w:tcBorders>
          </w:tcPr>
          <w:p w14:paraId="3B820591" w14:textId="77777777" w:rsidR="00E324B0" w:rsidRPr="00756410" w:rsidRDefault="00E324B0">
            <w:pPr>
              <w:rPr>
                <w:lang w:val="es-419"/>
              </w:rPr>
            </w:pPr>
          </w:p>
        </w:tc>
        <w:tc>
          <w:tcPr>
            <w:tcW w:w="1710" w:type="dxa"/>
            <w:tcBorders>
              <w:top w:val="single" w:sz="4" w:space="0" w:color="auto"/>
              <w:left w:val="single" w:sz="4" w:space="0" w:color="auto"/>
              <w:bottom w:val="single" w:sz="4" w:space="0" w:color="auto"/>
              <w:right w:val="single" w:sz="4" w:space="0" w:color="auto"/>
            </w:tcBorders>
          </w:tcPr>
          <w:p w14:paraId="061C5688" w14:textId="1D56F899" w:rsidR="00E324B0" w:rsidRPr="00756410" w:rsidRDefault="004D01F8">
            <w:pPr>
              <w:rPr>
                <w:lang w:val="es-419"/>
              </w:rPr>
            </w:pPr>
            <w:r w:rsidRPr="00756410">
              <w:rPr>
                <w:sz w:val="20"/>
                <w:szCs w:val="20"/>
                <w:lang w:val="es-419"/>
              </w:rPr>
              <w:t xml:space="preserve">Consulte la sección 3.3 para conocer las flexibilidades </w:t>
            </w:r>
            <w:r w:rsidR="000808FB">
              <w:rPr>
                <w:sz w:val="20"/>
                <w:szCs w:val="20"/>
                <w:lang w:val="es-419"/>
              </w:rPr>
              <w:t xml:space="preserve">establecidas para </w:t>
            </w:r>
            <w:r w:rsidRPr="00756410">
              <w:rPr>
                <w:sz w:val="20"/>
                <w:szCs w:val="20"/>
                <w:lang w:val="es-419"/>
              </w:rPr>
              <w:t xml:space="preserve"> oficinas/unidades pequeñas</w:t>
            </w:r>
          </w:p>
        </w:tc>
      </w:tr>
      <w:tr w:rsidR="00962F7A" w:rsidRPr="00773863" w14:paraId="54069AFE" w14:textId="77777777" w:rsidTr="008C4953">
        <w:tc>
          <w:tcPr>
            <w:tcW w:w="355" w:type="dxa"/>
            <w:tcBorders>
              <w:top w:val="single" w:sz="4" w:space="0" w:color="auto"/>
              <w:left w:val="single" w:sz="4" w:space="0" w:color="auto"/>
              <w:bottom w:val="single" w:sz="4" w:space="0" w:color="auto"/>
              <w:right w:val="single" w:sz="4" w:space="0" w:color="auto"/>
            </w:tcBorders>
          </w:tcPr>
          <w:p w14:paraId="69057F0F" w14:textId="5EDD5439" w:rsidR="00E324B0" w:rsidRPr="00962F7A" w:rsidRDefault="002E2D9F">
            <w:pPr>
              <w:rPr>
                <w:sz w:val="20"/>
                <w:szCs w:val="20"/>
              </w:rPr>
            </w:pPr>
            <w:r w:rsidRPr="00962F7A">
              <w:rPr>
                <w:sz w:val="20"/>
                <w:szCs w:val="20"/>
              </w:rPr>
              <w:t>3</w:t>
            </w:r>
          </w:p>
        </w:tc>
        <w:tc>
          <w:tcPr>
            <w:tcW w:w="6300" w:type="dxa"/>
            <w:tcBorders>
              <w:top w:val="single" w:sz="4" w:space="0" w:color="auto"/>
              <w:left w:val="single" w:sz="4" w:space="0" w:color="auto"/>
              <w:bottom w:val="single" w:sz="4" w:space="0" w:color="auto"/>
              <w:right w:val="single" w:sz="4" w:space="0" w:color="auto"/>
            </w:tcBorders>
          </w:tcPr>
          <w:p w14:paraId="7578CA73" w14:textId="4DC8F385" w:rsidR="00E324B0" w:rsidRPr="00756410" w:rsidRDefault="002E2D9F" w:rsidP="363CA695">
            <w:pPr>
              <w:rPr>
                <w:sz w:val="20"/>
                <w:szCs w:val="20"/>
                <w:lang w:val="es-419"/>
              </w:rPr>
            </w:pPr>
            <w:r w:rsidRPr="00756410">
              <w:rPr>
                <w:b/>
                <w:sz w:val="20"/>
                <w:szCs w:val="20"/>
                <w:lang w:val="es-419"/>
              </w:rPr>
              <w:t xml:space="preserve">Creación y aprobación de proveedores: </w:t>
            </w:r>
            <w:r w:rsidR="000657FC" w:rsidRPr="00756410">
              <w:rPr>
                <w:sz w:val="20"/>
                <w:szCs w:val="20"/>
                <w:lang w:val="es-419"/>
              </w:rPr>
              <w:t xml:space="preserve">El PNUD implementó un Portal de Proveedores </w:t>
            </w:r>
            <w:r w:rsidR="00394594">
              <w:rPr>
                <w:sz w:val="20"/>
                <w:szCs w:val="20"/>
                <w:lang w:val="es-419"/>
              </w:rPr>
              <w:t xml:space="preserve">en </w:t>
            </w:r>
            <w:r w:rsidR="000657FC" w:rsidRPr="00756410">
              <w:rPr>
                <w:sz w:val="20"/>
                <w:szCs w:val="20"/>
                <w:lang w:val="es-419"/>
              </w:rPr>
              <w:t>Quantum para permitir que los proveedores se registren y actualicen su información según sea necesario, lo que se previó para acercar la entrada de datos a su fuente de origen</w:t>
            </w:r>
            <w:r w:rsidR="00394594">
              <w:rPr>
                <w:sz w:val="20"/>
                <w:szCs w:val="20"/>
                <w:lang w:val="es-419"/>
              </w:rPr>
              <w:t>, lo que representa</w:t>
            </w:r>
            <w:r w:rsidR="00633A06">
              <w:rPr>
                <w:sz w:val="20"/>
                <w:szCs w:val="20"/>
                <w:lang w:val="es-419"/>
              </w:rPr>
              <w:t xml:space="preserve"> </w:t>
            </w:r>
            <w:r w:rsidR="000657FC" w:rsidRPr="00756410">
              <w:rPr>
                <w:sz w:val="20"/>
                <w:szCs w:val="20"/>
                <w:lang w:val="es-419"/>
              </w:rPr>
              <w:t xml:space="preserve">una ganancia clave de eficiencia </w:t>
            </w:r>
            <w:r w:rsidR="008722FB">
              <w:rPr>
                <w:sz w:val="20"/>
                <w:szCs w:val="20"/>
                <w:lang w:val="es-419"/>
              </w:rPr>
              <w:t>con la implementación de</w:t>
            </w:r>
            <w:r w:rsidR="00394594">
              <w:rPr>
                <w:sz w:val="20"/>
                <w:szCs w:val="20"/>
                <w:lang w:val="es-419"/>
              </w:rPr>
              <w:t xml:space="preserve"> Quantum</w:t>
            </w:r>
            <w:r w:rsidR="00394594" w:rsidRPr="00756410">
              <w:rPr>
                <w:sz w:val="20"/>
                <w:szCs w:val="20"/>
                <w:lang w:val="es-419"/>
              </w:rPr>
              <w:t xml:space="preserve"> </w:t>
            </w:r>
            <w:r w:rsidR="000657FC" w:rsidRPr="00756410">
              <w:rPr>
                <w:sz w:val="20"/>
                <w:szCs w:val="20"/>
                <w:lang w:val="es-419"/>
              </w:rPr>
              <w:t xml:space="preserve">que se está monitoreando corporativamente). Cuando un proveedor se registra o </w:t>
            </w:r>
            <w:r w:rsidR="000657FC" w:rsidRPr="00756410">
              <w:rPr>
                <w:sz w:val="20"/>
                <w:szCs w:val="20"/>
                <w:lang w:val="es-419"/>
              </w:rPr>
              <w:lastRenderedPageBreak/>
              <w:t xml:space="preserve">edita su información en el Portal de Proveedores, la solicitud de registro/edición del proveedor se envía electrónicamente a un aprobador de nivel 1 de la oficina de </w:t>
            </w:r>
            <w:r w:rsidR="008A6F6C">
              <w:rPr>
                <w:sz w:val="20"/>
                <w:szCs w:val="20"/>
                <w:lang w:val="es-419"/>
              </w:rPr>
              <w:t>país</w:t>
            </w:r>
            <w:r w:rsidR="008722FB">
              <w:rPr>
                <w:sz w:val="20"/>
                <w:szCs w:val="20"/>
                <w:lang w:val="es-419"/>
              </w:rPr>
              <w:t xml:space="preserve"> o sede</w:t>
            </w:r>
            <w:r w:rsidR="000657FC" w:rsidRPr="00756410">
              <w:rPr>
                <w:sz w:val="20"/>
                <w:szCs w:val="20"/>
                <w:lang w:val="es-419"/>
              </w:rPr>
              <w:t>(L1)</w:t>
            </w:r>
            <w:r w:rsidR="008722FB">
              <w:rPr>
                <w:sz w:val="20"/>
                <w:szCs w:val="20"/>
                <w:lang w:val="es-419"/>
              </w:rPr>
              <w:t xml:space="preserve">, quien tiene asignado </w:t>
            </w:r>
            <w:r w:rsidR="000657FC" w:rsidRPr="00756410">
              <w:rPr>
                <w:sz w:val="20"/>
                <w:szCs w:val="20"/>
                <w:lang w:val="es-419"/>
              </w:rPr>
              <w:t xml:space="preserve"> el rol complementario de mantenimiento de proveedores de IDAM </w:t>
            </w:r>
            <w:r w:rsidR="008722FB">
              <w:rPr>
                <w:sz w:val="20"/>
                <w:szCs w:val="20"/>
                <w:lang w:val="es-419"/>
              </w:rPr>
              <w:t xml:space="preserve">y </w:t>
            </w:r>
            <w:r w:rsidR="000657FC" w:rsidRPr="00756410">
              <w:rPr>
                <w:sz w:val="20"/>
                <w:szCs w:val="20"/>
                <w:lang w:val="es-419"/>
              </w:rPr>
              <w:t xml:space="preserve">está mejor posicionado para confirmar la validez y legitimidad de la solicitud en el contexto de las actividades de la oficina de </w:t>
            </w:r>
            <w:r w:rsidR="00F71481">
              <w:rPr>
                <w:sz w:val="20"/>
                <w:szCs w:val="20"/>
                <w:lang w:val="es-419"/>
              </w:rPr>
              <w:t>país</w:t>
            </w:r>
            <w:r w:rsidR="008722FB">
              <w:rPr>
                <w:sz w:val="20"/>
                <w:szCs w:val="20"/>
                <w:lang w:val="es-419"/>
              </w:rPr>
              <w:t xml:space="preserve"> o la sede</w:t>
            </w:r>
            <w:r w:rsidR="000657FC" w:rsidRPr="00756410">
              <w:rPr>
                <w:sz w:val="20"/>
                <w:szCs w:val="20"/>
                <w:lang w:val="es-419"/>
              </w:rPr>
              <w:t xml:space="preserve">. Después de la aprobación L1 de la oficina </w:t>
            </w:r>
            <w:r w:rsidR="008722FB">
              <w:rPr>
                <w:sz w:val="20"/>
                <w:szCs w:val="20"/>
                <w:lang w:val="es-419"/>
              </w:rPr>
              <w:t>de país o la sede</w:t>
            </w:r>
            <w:r w:rsidR="000657FC" w:rsidRPr="00756410">
              <w:rPr>
                <w:sz w:val="20"/>
                <w:szCs w:val="20"/>
                <w:lang w:val="es-419"/>
              </w:rPr>
              <w:t>, la solicitud de registro/edición del proveedor se envía a un aprobador de Nivel 2 (L2)</w:t>
            </w:r>
            <w:r w:rsidR="008722FB">
              <w:rPr>
                <w:sz w:val="20"/>
                <w:szCs w:val="20"/>
                <w:lang w:val="es-419"/>
              </w:rPr>
              <w:t>, quien tiene asignado</w:t>
            </w:r>
            <w:r w:rsidR="000F415B">
              <w:rPr>
                <w:sz w:val="20"/>
                <w:szCs w:val="20"/>
                <w:lang w:val="es-419"/>
              </w:rPr>
              <w:t xml:space="preserve"> </w:t>
            </w:r>
            <w:r w:rsidR="008722FB">
              <w:rPr>
                <w:sz w:val="20"/>
                <w:szCs w:val="20"/>
                <w:lang w:val="es-419"/>
              </w:rPr>
              <w:t xml:space="preserve">el </w:t>
            </w:r>
            <w:r w:rsidR="000657FC" w:rsidRPr="00756410">
              <w:rPr>
                <w:sz w:val="20"/>
                <w:szCs w:val="20"/>
                <w:lang w:val="es-419"/>
              </w:rPr>
              <w:t xml:space="preserve">rol de </w:t>
            </w:r>
            <w:r w:rsidR="00F71481">
              <w:rPr>
                <w:sz w:val="20"/>
                <w:szCs w:val="20"/>
                <w:lang w:val="es-419"/>
              </w:rPr>
              <w:t>administración</w:t>
            </w:r>
            <w:r w:rsidR="008722FB" w:rsidRPr="00756410">
              <w:rPr>
                <w:sz w:val="20"/>
                <w:szCs w:val="20"/>
                <w:lang w:val="es-419"/>
              </w:rPr>
              <w:t xml:space="preserve"> </w:t>
            </w:r>
            <w:r w:rsidR="000657FC" w:rsidRPr="00756410">
              <w:rPr>
                <w:sz w:val="20"/>
                <w:szCs w:val="20"/>
                <w:lang w:val="es-419"/>
              </w:rPr>
              <w:t xml:space="preserve">de </w:t>
            </w:r>
            <w:r w:rsidR="008722FB">
              <w:rPr>
                <w:sz w:val="20"/>
                <w:szCs w:val="20"/>
                <w:lang w:val="es-419"/>
              </w:rPr>
              <w:t>p</w:t>
            </w:r>
            <w:r w:rsidR="000657FC" w:rsidRPr="00756410">
              <w:rPr>
                <w:sz w:val="20"/>
                <w:szCs w:val="20"/>
                <w:lang w:val="es-419"/>
              </w:rPr>
              <w:t>roveedores</w:t>
            </w:r>
            <w:r w:rsidR="008722FB">
              <w:rPr>
                <w:sz w:val="20"/>
                <w:szCs w:val="20"/>
                <w:lang w:val="es-419"/>
              </w:rPr>
              <w:t xml:space="preserve">. Esta </w:t>
            </w:r>
            <w:r w:rsidR="00F71481">
              <w:rPr>
                <w:sz w:val="20"/>
                <w:szCs w:val="20"/>
                <w:lang w:val="es-419"/>
              </w:rPr>
              <w:t>aprobación</w:t>
            </w:r>
            <w:r w:rsidR="008722FB">
              <w:rPr>
                <w:sz w:val="20"/>
                <w:szCs w:val="20"/>
                <w:lang w:val="es-419"/>
              </w:rPr>
              <w:t xml:space="preserve"> es </w:t>
            </w:r>
            <w:r w:rsidR="000657FC" w:rsidRPr="00756410">
              <w:rPr>
                <w:sz w:val="20"/>
                <w:szCs w:val="20"/>
                <w:lang w:val="es-419"/>
              </w:rPr>
              <w:t>realizad</w:t>
            </w:r>
            <w:r w:rsidR="008722FB">
              <w:rPr>
                <w:sz w:val="20"/>
                <w:szCs w:val="20"/>
                <w:lang w:val="es-419"/>
              </w:rPr>
              <w:t>a</w:t>
            </w:r>
            <w:r w:rsidR="000657FC" w:rsidRPr="00756410">
              <w:rPr>
                <w:sz w:val="20"/>
                <w:szCs w:val="20"/>
                <w:lang w:val="es-419"/>
              </w:rPr>
              <w:t xml:space="preserve"> por BMS/GSSC para todas las oficinas/unidades</w:t>
            </w:r>
            <w:r w:rsidR="000657FC" w:rsidRPr="00F84992">
              <w:rPr>
                <w:rStyle w:val="FootnoteReference"/>
                <w:sz w:val="20"/>
                <w:szCs w:val="20"/>
              </w:rPr>
              <w:footnoteReference w:id="9"/>
            </w:r>
            <w:r w:rsidR="000657FC" w:rsidRPr="00756410">
              <w:rPr>
                <w:sz w:val="20"/>
                <w:szCs w:val="20"/>
                <w:lang w:val="es-419"/>
              </w:rPr>
              <w:t>) qu</w:t>
            </w:r>
            <w:r w:rsidR="008722FB">
              <w:rPr>
                <w:sz w:val="20"/>
                <w:szCs w:val="20"/>
                <w:lang w:val="es-419"/>
              </w:rPr>
              <w:t>ienes</w:t>
            </w:r>
            <w:r w:rsidR="000657FC" w:rsidRPr="00756410">
              <w:rPr>
                <w:sz w:val="20"/>
                <w:szCs w:val="20"/>
                <w:lang w:val="es-419"/>
              </w:rPr>
              <w:t xml:space="preserve"> revisa</w:t>
            </w:r>
            <w:r w:rsidR="008722FB">
              <w:rPr>
                <w:sz w:val="20"/>
                <w:szCs w:val="20"/>
                <w:lang w:val="es-419"/>
              </w:rPr>
              <w:t>n</w:t>
            </w:r>
            <w:r w:rsidR="000657FC" w:rsidRPr="00756410">
              <w:rPr>
                <w:sz w:val="20"/>
                <w:szCs w:val="20"/>
                <w:lang w:val="es-419"/>
              </w:rPr>
              <w:t xml:space="preserve"> y aprueba</w:t>
            </w:r>
            <w:r w:rsidR="008722FB">
              <w:rPr>
                <w:sz w:val="20"/>
                <w:szCs w:val="20"/>
                <w:lang w:val="es-419"/>
              </w:rPr>
              <w:t>n</w:t>
            </w:r>
            <w:r w:rsidR="000657FC" w:rsidRPr="00756410">
              <w:rPr>
                <w:sz w:val="20"/>
                <w:szCs w:val="20"/>
                <w:lang w:val="es-419"/>
              </w:rPr>
              <w:t xml:space="preserve"> los detalles bancarios del proveedor y los documentos de respaldo de acuerdo con el POPP del PNUD y los requisitos relacionados con el ICF.</w:t>
            </w:r>
          </w:p>
          <w:p w14:paraId="438BFB62" w14:textId="5678A58A" w:rsidR="00962F7A" w:rsidRPr="00756410" w:rsidRDefault="00962F7A" w:rsidP="00962F7A">
            <w:pPr>
              <w:rPr>
                <w:sz w:val="20"/>
                <w:szCs w:val="20"/>
                <w:lang w:val="es-419"/>
              </w:rPr>
            </w:pPr>
          </w:p>
        </w:tc>
        <w:tc>
          <w:tcPr>
            <w:tcW w:w="1350" w:type="dxa"/>
            <w:tcBorders>
              <w:top w:val="single" w:sz="4" w:space="0" w:color="auto"/>
              <w:left w:val="single" w:sz="4" w:space="0" w:color="auto"/>
              <w:bottom w:val="single" w:sz="4" w:space="0" w:color="auto"/>
              <w:right w:val="single" w:sz="4" w:space="0" w:color="auto"/>
            </w:tcBorders>
          </w:tcPr>
          <w:p w14:paraId="35929BF2" w14:textId="77777777" w:rsidR="000B5C6A" w:rsidRPr="00756410" w:rsidRDefault="000B5C6A" w:rsidP="00962F7A">
            <w:pPr>
              <w:jc w:val="center"/>
              <w:rPr>
                <w:rFonts w:cstheme="minorHAnsi"/>
                <w:i/>
                <w:iCs/>
                <w:sz w:val="18"/>
                <w:szCs w:val="18"/>
                <w:lang w:val="es-ES"/>
              </w:rPr>
            </w:pPr>
            <w:r w:rsidRPr="00756410">
              <w:rPr>
                <w:rFonts w:cstheme="minorHAnsi"/>
                <w:sz w:val="20"/>
                <w:szCs w:val="20"/>
                <w:lang w:val="es-ES"/>
              </w:rPr>
              <w:lastRenderedPageBreak/>
              <w:t xml:space="preserve">Sí </w:t>
            </w:r>
          </w:p>
          <w:p w14:paraId="7EB86924" w14:textId="24965048" w:rsidR="00983800" w:rsidRPr="00756410" w:rsidRDefault="00983800" w:rsidP="00962F7A">
            <w:pPr>
              <w:jc w:val="center"/>
              <w:rPr>
                <w:rFonts w:cstheme="minorHAnsi"/>
                <w:i/>
                <w:iCs/>
                <w:sz w:val="18"/>
                <w:szCs w:val="18"/>
                <w:lang w:val="es-ES"/>
              </w:rPr>
            </w:pPr>
            <w:r w:rsidRPr="00756410">
              <w:rPr>
                <w:rFonts w:cstheme="minorHAnsi"/>
                <w:i/>
                <w:iCs/>
                <w:sz w:val="18"/>
                <w:szCs w:val="18"/>
                <w:lang w:val="es-ES"/>
              </w:rPr>
              <w:t>(para registros de proveedores externos)</w:t>
            </w:r>
          </w:p>
          <w:p w14:paraId="251134FB" w14:textId="77777777" w:rsidR="00983800" w:rsidRPr="00756410" w:rsidRDefault="00983800">
            <w:pPr>
              <w:rPr>
                <w:rFonts w:cstheme="minorHAnsi"/>
                <w:i/>
                <w:iCs/>
                <w:sz w:val="18"/>
                <w:szCs w:val="18"/>
                <w:lang w:val="es-ES"/>
              </w:rPr>
            </w:pPr>
          </w:p>
          <w:p w14:paraId="77D35D09" w14:textId="77777777" w:rsidR="00962F7A" w:rsidRPr="00756410" w:rsidRDefault="00962F7A" w:rsidP="00962F7A">
            <w:pPr>
              <w:jc w:val="center"/>
              <w:rPr>
                <w:rFonts w:cstheme="minorHAnsi"/>
                <w:sz w:val="18"/>
                <w:szCs w:val="18"/>
                <w:lang w:val="es-ES"/>
              </w:rPr>
            </w:pPr>
          </w:p>
          <w:p w14:paraId="14E6052C" w14:textId="77777777" w:rsidR="00962F7A" w:rsidRPr="00756410" w:rsidRDefault="00962F7A" w:rsidP="00962F7A">
            <w:pPr>
              <w:jc w:val="center"/>
              <w:rPr>
                <w:rFonts w:cstheme="minorHAnsi"/>
                <w:sz w:val="18"/>
                <w:szCs w:val="18"/>
                <w:lang w:val="es-ES"/>
              </w:rPr>
            </w:pPr>
          </w:p>
          <w:p w14:paraId="44039E3D" w14:textId="77777777" w:rsidR="00962F7A" w:rsidRPr="00756410" w:rsidRDefault="00962F7A" w:rsidP="00962F7A">
            <w:pPr>
              <w:jc w:val="center"/>
              <w:rPr>
                <w:rFonts w:cstheme="minorHAnsi"/>
                <w:sz w:val="18"/>
                <w:szCs w:val="18"/>
                <w:lang w:val="es-ES"/>
              </w:rPr>
            </w:pPr>
          </w:p>
          <w:p w14:paraId="2C3ACEA7" w14:textId="77777777" w:rsidR="00962F7A" w:rsidRPr="00756410" w:rsidRDefault="00962F7A" w:rsidP="00962F7A">
            <w:pPr>
              <w:jc w:val="center"/>
              <w:rPr>
                <w:rFonts w:cstheme="minorHAnsi"/>
                <w:sz w:val="18"/>
                <w:szCs w:val="18"/>
                <w:lang w:val="es-ES"/>
              </w:rPr>
            </w:pPr>
          </w:p>
          <w:p w14:paraId="6CA0F3B1" w14:textId="77777777" w:rsidR="00962F7A" w:rsidRPr="00756410" w:rsidRDefault="00962F7A" w:rsidP="00962F7A">
            <w:pPr>
              <w:jc w:val="center"/>
              <w:rPr>
                <w:rFonts w:cstheme="minorHAnsi"/>
                <w:sz w:val="18"/>
                <w:szCs w:val="18"/>
                <w:lang w:val="es-ES"/>
              </w:rPr>
            </w:pPr>
          </w:p>
          <w:p w14:paraId="3D150E6D" w14:textId="77777777" w:rsidR="00962F7A" w:rsidRPr="00756410" w:rsidRDefault="00962F7A" w:rsidP="00962F7A">
            <w:pPr>
              <w:jc w:val="center"/>
              <w:rPr>
                <w:rFonts w:cstheme="minorHAnsi"/>
                <w:sz w:val="18"/>
                <w:szCs w:val="18"/>
                <w:lang w:val="es-ES"/>
              </w:rPr>
            </w:pPr>
          </w:p>
          <w:p w14:paraId="3CE5E77B" w14:textId="77777777" w:rsidR="00962F7A" w:rsidRPr="00756410" w:rsidRDefault="00962F7A" w:rsidP="00962F7A">
            <w:pPr>
              <w:jc w:val="center"/>
              <w:rPr>
                <w:rFonts w:cstheme="minorHAnsi"/>
                <w:sz w:val="18"/>
                <w:szCs w:val="18"/>
                <w:lang w:val="es-ES"/>
              </w:rPr>
            </w:pPr>
          </w:p>
          <w:p w14:paraId="7DE27CDE" w14:textId="77777777" w:rsidR="00962F7A" w:rsidRPr="00756410" w:rsidRDefault="00962F7A" w:rsidP="00962F7A">
            <w:pPr>
              <w:jc w:val="center"/>
              <w:rPr>
                <w:rFonts w:cstheme="minorHAnsi"/>
                <w:sz w:val="18"/>
                <w:szCs w:val="18"/>
                <w:lang w:val="es-ES"/>
              </w:rPr>
            </w:pPr>
          </w:p>
          <w:p w14:paraId="40B98E2C" w14:textId="77777777" w:rsidR="00962F7A" w:rsidRPr="00756410" w:rsidRDefault="00962F7A" w:rsidP="00962F7A">
            <w:pPr>
              <w:jc w:val="center"/>
              <w:rPr>
                <w:rFonts w:cstheme="minorHAnsi"/>
                <w:sz w:val="18"/>
                <w:szCs w:val="18"/>
                <w:lang w:val="es-ES"/>
              </w:rPr>
            </w:pPr>
          </w:p>
          <w:p w14:paraId="68C154F5" w14:textId="77777777" w:rsidR="00962F7A" w:rsidRPr="00756410" w:rsidRDefault="00962F7A" w:rsidP="00962F7A">
            <w:pPr>
              <w:jc w:val="center"/>
              <w:rPr>
                <w:rFonts w:cstheme="minorHAnsi"/>
                <w:sz w:val="18"/>
                <w:szCs w:val="18"/>
                <w:lang w:val="es-ES"/>
              </w:rPr>
            </w:pPr>
          </w:p>
          <w:p w14:paraId="6C37AE9F" w14:textId="510F2C67" w:rsidR="00983800" w:rsidRPr="00756410" w:rsidRDefault="00983800" w:rsidP="00962F7A">
            <w:pPr>
              <w:rPr>
                <w:rFonts w:cstheme="minorHAnsi"/>
                <w:i/>
                <w:iCs/>
                <w:sz w:val="18"/>
                <w:szCs w:val="18"/>
                <w:lang w:val="es-ES"/>
              </w:rPr>
            </w:pPr>
          </w:p>
        </w:tc>
        <w:tc>
          <w:tcPr>
            <w:tcW w:w="1710" w:type="dxa"/>
            <w:tcBorders>
              <w:top w:val="single" w:sz="4" w:space="0" w:color="auto"/>
              <w:left w:val="single" w:sz="4" w:space="0" w:color="auto"/>
              <w:bottom w:val="single" w:sz="4" w:space="0" w:color="auto"/>
              <w:right w:val="single" w:sz="4" w:space="0" w:color="auto"/>
            </w:tcBorders>
          </w:tcPr>
          <w:p w14:paraId="31698036" w14:textId="313308B6" w:rsidR="00E324B0" w:rsidRPr="00756410" w:rsidRDefault="00983800">
            <w:pPr>
              <w:rPr>
                <w:sz w:val="20"/>
                <w:szCs w:val="20"/>
                <w:lang w:val="es-419"/>
              </w:rPr>
            </w:pPr>
            <w:r w:rsidRPr="00756410">
              <w:rPr>
                <w:sz w:val="20"/>
                <w:szCs w:val="20"/>
                <w:lang w:val="es-419"/>
              </w:rPr>
              <w:lastRenderedPageBreak/>
              <w:t xml:space="preserve">Consulte la sección 5 sobre </w:t>
            </w:r>
            <w:r w:rsidR="008722FB">
              <w:rPr>
                <w:sz w:val="20"/>
                <w:szCs w:val="20"/>
                <w:lang w:val="es-419"/>
              </w:rPr>
              <w:t>el proceso desde la adquisición al pago</w:t>
            </w:r>
            <w:r w:rsidRPr="00756410">
              <w:rPr>
                <w:sz w:val="20"/>
                <w:szCs w:val="20"/>
                <w:lang w:val="es-419"/>
              </w:rPr>
              <w:t xml:space="preserve"> </w:t>
            </w:r>
          </w:p>
          <w:p w14:paraId="3A367E1B" w14:textId="77777777" w:rsidR="00962F7A" w:rsidRPr="00756410" w:rsidRDefault="00962F7A">
            <w:pPr>
              <w:rPr>
                <w:sz w:val="20"/>
                <w:szCs w:val="20"/>
                <w:lang w:val="es-419"/>
              </w:rPr>
            </w:pPr>
          </w:p>
          <w:p w14:paraId="15E54143" w14:textId="14FD1880" w:rsidR="00962F7A" w:rsidRPr="00756410" w:rsidRDefault="00962F7A">
            <w:pPr>
              <w:rPr>
                <w:color w:val="0070C0"/>
                <w:sz w:val="20"/>
                <w:szCs w:val="20"/>
                <w:lang w:val="es-ES"/>
              </w:rPr>
            </w:pPr>
            <w:hyperlink r:id="rId16" w:history="1">
              <w:r w:rsidRPr="00756410">
                <w:rPr>
                  <w:rStyle w:val="Hyperlink"/>
                  <w:color w:val="0070C0"/>
                  <w:sz w:val="20"/>
                  <w:szCs w:val="20"/>
                  <w:lang w:val="es-ES"/>
                </w:rPr>
                <w:t xml:space="preserve">Panel de </w:t>
              </w:r>
              <w:r w:rsidR="008722FB" w:rsidRPr="00756410">
                <w:rPr>
                  <w:rStyle w:val="Hyperlink"/>
                  <w:color w:val="0070C0"/>
                  <w:sz w:val="20"/>
                  <w:szCs w:val="20"/>
                  <w:lang w:val="es-ES"/>
                </w:rPr>
                <w:t>c</w:t>
              </w:r>
              <w:r w:rsidR="008722FB" w:rsidRPr="00756410">
                <w:rPr>
                  <w:rStyle w:val="Hyperlink"/>
                  <w:color w:val="0070C0"/>
                  <w:lang w:val="es-ES"/>
                </w:rPr>
                <w:t xml:space="preserve">ontrol de </w:t>
              </w:r>
              <w:r w:rsidRPr="00756410">
                <w:rPr>
                  <w:rStyle w:val="Hyperlink"/>
                  <w:color w:val="0070C0"/>
                  <w:sz w:val="20"/>
                  <w:szCs w:val="20"/>
                  <w:lang w:val="es-ES"/>
                </w:rPr>
                <w:t>registro de proveedores de BMS / GSSC</w:t>
              </w:r>
            </w:hyperlink>
            <w:r w:rsidRPr="00756410">
              <w:rPr>
                <w:color w:val="0070C0"/>
                <w:sz w:val="20"/>
                <w:szCs w:val="20"/>
                <w:lang w:val="es-ES"/>
              </w:rPr>
              <w:t xml:space="preserve"> </w:t>
            </w:r>
          </w:p>
          <w:p w14:paraId="3ACA3EB7" w14:textId="77777777" w:rsidR="00983800" w:rsidRPr="00756410" w:rsidRDefault="00983800">
            <w:pPr>
              <w:rPr>
                <w:lang w:val="es-ES"/>
              </w:rPr>
            </w:pPr>
          </w:p>
          <w:p w14:paraId="2F3309AA" w14:textId="17F6602E" w:rsidR="00983800" w:rsidRPr="00756410" w:rsidRDefault="00983800">
            <w:pPr>
              <w:rPr>
                <w:lang w:val="es-ES"/>
              </w:rPr>
            </w:pPr>
          </w:p>
        </w:tc>
      </w:tr>
      <w:tr w:rsidR="00962F7A" w14:paraId="59C939D1" w14:textId="77777777" w:rsidTr="008C4953">
        <w:tc>
          <w:tcPr>
            <w:tcW w:w="355" w:type="dxa"/>
            <w:tcBorders>
              <w:top w:val="single" w:sz="4" w:space="0" w:color="auto"/>
              <w:left w:val="single" w:sz="4" w:space="0" w:color="auto"/>
              <w:bottom w:val="single" w:sz="4" w:space="0" w:color="auto"/>
              <w:right w:val="single" w:sz="4" w:space="0" w:color="auto"/>
            </w:tcBorders>
          </w:tcPr>
          <w:p w14:paraId="1DE14273" w14:textId="77777777" w:rsidR="00962F7A" w:rsidRPr="00756410" w:rsidRDefault="00962F7A">
            <w:pPr>
              <w:rPr>
                <w:sz w:val="20"/>
                <w:szCs w:val="20"/>
                <w:lang w:val="es-ES"/>
              </w:rPr>
            </w:pPr>
          </w:p>
        </w:tc>
        <w:tc>
          <w:tcPr>
            <w:tcW w:w="6300" w:type="dxa"/>
            <w:tcBorders>
              <w:top w:val="single" w:sz="4" w:space="0" w:color="auto"/>
              <w:left w:val="single" w:sz="4" w:space="0" w:color="auto"/>
              <w:bottom w:val="single" w:sz="4" w:space="0" w:color="auto"/>
              <w:right w:val="single" w:sz="4" w:space="0" w:color="auto"/>
            </w:tcBorders>
          </w:tcPr>
          <w:p w14:paraId="56B1FB6E" w14:textId="4D2891CD" w:rsidR="00962F7A" w:rsidRPr="00756410" w:rsidRDefault="00962F7A" w:rsidP="363CA695">
            <w:pPr>
              <w:rPr>
                <w:sz w:val="20"/>
                <w:szCs w:val="20"/>
                <w:lang w:val="es-419"/>
              </w:rPr>
            </w:pPr>
            <w:r w:rsidRPr="00756410">
              <w:rPr>
                <w:b/>
                <w:sz w:val="20"/>
                <w:szCs w:val="20"/>
                <w:lang w:val="es-419"/>
              </w:rPr>
              <w:t>Como medida provisional</w:t>
            </w:r>
            <w:r w:rsidRPr="00756410">
              <w:rPr>
                <w:sz w:val="20"/>
                <w:szCs w:val="20"/>
                <w:lang w:val="es-419"/>
              </w:rPr>
              <w:t xml:space="preserve"> para abordar los desafíos de</w:t>
            </w:r>
            <w:r w:rsidR="008722FB">
              <w:rPr>
                <w:sz w:val="20"/>
                <w:szCs w:val="20"/>
                <w:lang w:val="es-419"/>
              </w:rPr>
              <w:t>l</w:t>
            </w:r>
            <w:r w:rsidRPr="00756410">
              <w:rPr>
                <w:sz w:val="20"/>
                <w:szCs w:val="20"/>
                <w:lang w:val="es-419"/>
              </w:rPr>
              <w:t xml:space="preserve"> </w:t>
            </w:r>
            <w:r w:rsidR="00F71481" w:rsidRPr="00F71481">
              <w:rPr>
                <w:sz w:val="20"/>
                <w:szCs w:val="20"/>
                <w:lang w:val="es-419"/>
              </w:rPr>
              <w:t>autorregistro</w:t>
            </w:r>
            <w:r w:rsidRPr="00756410">
              <w:rPr>
                <w:sz w:val="20"/>
                <w:szCs w:val="20"/>
                <w:lang w:val="es-419"/>
              </w:rPr>
              <w:t xml:space="preserve"> de proveedores y para </w:t>
            </w:r>
            <w:r w:rsidR="008722FB">
              <w:rPr>
                <w:sz w:val="20"/>
                <w:szCs w:val="20"/>
                <w:lang w:val="es-419"/>
              </w:rPr>
              <w:t>atender</w:t>
            </w:r>
            <w:r w:rsidR="008722FB" w:rsidRPr="00756410">
              <w:rPr>
                <w:sz w:val="20"/>
                <w:szCs w:val="20"/>
                <w:lang w:val="es-419"/>
              </w:rPr>
              <w:t xml:space="preserve"> </w:t>
            </w:r>
            <w:r w:rsidRPr="00756410">
              <w:rPr>
                <w:sz w:val="20"/>
                <w:szCs w:val="20"/>
                <w:lang w:val="es-419"/>
              </w:rPr>
              <w:t>la acumulación de solicitudes de registro de proveedores, se ha permitido</w:t>
            </w:r>
            <w:r w:rsidR="00520816">
              <w:rPr>
                <w:sz w:val="20"/>
                <w:szCs w:val="20"/>
                <w:lang w:val="es-419"/>
              </w:rPr>
              <w:t xml:space="preserve"> </w:t>
            </w:r>
            <w:r w:rsidR="00E81F98">
              <w:rPr>
                <w:sz w:val="20"/>
                <w:szCs w:val="20"/>
                <w:lang w:val="es-419"/>
              </w:rPr>
              <w:t>temporalmente</w:t>
            </w:r>
            <w:r w:rsidR="00520816">
              <w:rPr>
                <w:sz w:val="20"/>
                <w:szCs w:val="20"/>
                <w:lang w:val="es-419"/>
              </w:rPr>
              <w:t xml:space="preserve"> que </w:t>
            </w:r>
            <w:r w:rsidRPr="00756410">
              <w:rPr>
                <w:sz w:val="20"/>
                <w:szCs w:val="20"/>
                <w:lang w:val="es-419"/>
              </w:rPr>
              <w:t xml:space="preserve"> </w:t>
            </w:r>
            <w:r w:rsidR="00520816">
              <w:rPr>
                <w:sz w:val="20"/>
                <w:szCs w:val="20"/>
                <w:lang w:val="es-419"/>
              </w:rPr>
              <w:t xml:space="preserve">usuarios con perfil de </w:t>
            </w:r>
            <w:r w:rsidRPr="00756410">
              <w:rPr>
                <w:sz w:val="20"/>
                <w:szCs w:val="20"/>
                <w:lang w:val="es-419"/>
              </w:rPr>
              <w:t xml:space="preserve"> compradores </w:t>
            </w:r>
            <w:r w:rsidR="00520816">
              <w:rPr>
                <w:sz w:val="20"/>
                <w:szCs w:val="20"/>
                <w:lang w:val="es-419"/>
              </w:rPr>
              <w:t>de</w:t>
            </w:r>
            <w:r w:rsidRPr="00756410">
              <w:rPr>
                <w:sz w:val="20"/>
                <w:szCs w:val="20"/>
                <w:lang w:val="es-419"/>
              </w:rPr>
              <w:t xml:space="preserve"> adquisiciones del PNUD </w:t>
            </w:r>
            <w:r w:rsidR="00520816">
              <w:rPr>
                <w:sz w:val="20"/>
                <w:szCs w:val="20"/>
                <w:lang w:val="es-419"/>
              </w:rPr>
              <w:t xml:space="preserve">puedan </w:t>
            </w:r>
            <w:r w:rsidRPr="00756410">
              <w:rPr>
                <w:sz w:val="20"/>
                <w:szCs w:val="20"/>
                <w:lang w:val="es-419"/>
              </w:rPr>
              <w:t xml:space="preserve">desempeñar </w:t>
            </w:r>
            <w:r w:rsidR="00345962">
              <w:rPr>
                <w:sz w:val="20"/>
                <w:szCs w:val="20"/>
                <w:lang w:val="es-419"/>
              </w:rPr>
              <w:t>el rol</w:t>
            </w:r>
            <w:r w:rsidR="006E0B35">
              <w:rPr>
                <w:sz w:val="20"/>
                <w:szCs w:val="20"/>
                <w:lang w:val="es-419"/>
              </w:rPr>
              <w:t xml:space="preserve"> </w:t>
            </w:r>
            <w:r w:rsidRPr="00756410">
              <w:rPr>
                <w:sz w:val="20"/>
                <w:szCs w:val="20"/>
                <w:lang w:val="es-419"/>
              </w:rPr>
              <w:t>complementari</w:t>
            </w:r>
            <w:r w:rsidR="00345962">
              <w:rPr>
                <w:sz w:val="20"/>
                <w:szCs w:val="20"/>
                <w:lang w:val="es-419"/>
              </w:rPr>
              <w:t>o</w:t>
            </w:r>
            <w:r w:rsidRPr="00756410">
              <w:rPr>
                <w:sz w:val="20"/>
                <w:szCs w:val="20"/>
                <w:lang w:val="es-419"/>
              </w:rPr>
              <w:t xml:space="preserve"> de mantenimiento de proveedores (L1) de IDAM</w:t>
            </w:r>
            <w:r w:rsidR="006E0B35">
              <w:rPr>
                <w:sz w:val="20"/>
                <w:szCs w:val="20"/>
                <w:lang w:val="es-419"/>
              </w:rPr>
              <w:t xml:space="preserve"> </w:t>
            </w:r>
            <w:r w:rsidR="00F9377C">
              <w:rPr>
                <w:sz w:val="20"/>
                <w:szCs w:val="20"/>
                <w:lang w:val="es-419"/>
              </w:rPr>
              <w:t>para permitirles reali</w:t>
            </w:r>
            <w:r w:rsidR="006E0B35">
              <w:rPr>
                <w:sz w:val="20"/>
                <w:szCs w:val="20"/>
                <w:lang w:val="es-419"/>
              </w:rPr>
              <w:t>z</w:t>
            </w:r>
            <w:r w:rsidR="00F9377C">
              <w:rPr>
                <w:sz w:val="20"/>
                <w:szCs w:val="20"/>
                <w:lang w:val="es-419"/>
              </w:rPr>
              <w:t>ar</w:t>
            </w:r>
            <w:r w:rsidRPr="00756410">
              <w:rPr>
                <w:sz w:val="20"/>
                <w:szCs w:val="20"/>
                <w:lang w:val="es-419"/>
              </w:rPr>
              <w:t xml:space="preserve"> un "registro interno" del proveedor en Quantum. Dado </w:t>
            </w:r>
            <w:r w:rsidR="00520816">
              <w:rPr>
                <w:sz w:val="20"/>
                <w:szCs w:val="20"/>
                <w:lang w:val="es-419"/>
              </w:rPr>
              <w:t xml:space="preserve">que existe una necesidad </w:t>
            </w:r>
            <w:r w:rsidR="00520816" w:rsidRPr="00756410">
              <w:rPr>
                <w:sz w:val="20"/>
                <w:szCs w:val="20"/>
                <w:lang w:val="es-419"/>
              </w:rPr>
              <w:t>imperativ</w:t>
            </w:r>
            <w:r w:rsidR="00520816">
              <w:rPr>
                <w:sz w:val="20"/>
                <w:szCs w:val="20"/>
                <w:lang w:val="es-419"/>
              </w:rPr>
              <w:t>a</w:t>
            </w:r>
            <w:r w:rsidR="00520816" w:rsidRPr="00756410">
              <w:rPr>
                <w:sz w:val="20"/>
                <w:szCs w:val="20"/>
                <w:lang w:val="es-419"/>
              </w:rPr>
              <w:t xml:space="preserve"> </w:t>
            </w:r>
            <w:r w:rsidRPr="00756410">
              <w:rPr>
                <w:sz w:val="20"/>
                <w:szCs w:val="20"/>
                <w:lang w:val="es-419"/>
              </w:rPr>
              <w:t xml:space="preserve"> registrar y pagar a los proveedores, y </w:t>
            </w:r>
            <w:r w:rsidR="00520816">
              <w:rPr>
                <w:sz w:val="20"/>
                <w:szCs w:val="20"/>
                <w:lang w:val="es-419"/>
              </w:rPr>
              <w:t xml:space="preserve">que existe </w:t>
            </w:r>
            <w:r w:rsidRPr="00756410">
              <w:rPr>
                <w:sz w:val="20"/>
                <w:szCs w:val="20"/>
                <w:lang w:val="es-419"/>
              </w:rPr>
              <w:t>una aprobación L2 independiente del</w:t>
            </w:r>
            <w:r w:rsidR="00520816">
              <w:rPr>
                <w:sz w:val="20"/>
                <w:szCs w:val="20"/>
                <w:lang w:val="es-419"/>
              </w:rPr>
              <w:t xml:space="preserve"> regist</w:t>
            </w:r>
            <w:r w:rsidR="006E0B35">
              <w:rPr>
                <w:sz w:val="20"/>
                <w:szCs w:val="20"/>
                <w:lang w:val="es-419"/>
              </w:rPr>
              <w:t>r</w:t>
            </w:r>
            <w:r w:rsidR="00520816">
              <w:rPr>
                <w:sz w:val="20"/>
                <w:szCs w:val="20"/>
                <w:lang w:val="es-419"/>
              </w:rPr>
              <w:t>o</w:t>
            </w:r>
            <w:r w:rsidRPr="00756410">
              <w:rPr>
                <w:sz w:val="20"/>
                <w:szCs w:val="20"/>
                <w:lang w:val="es-419"/>
              </w:rPr>
              <w:t xml:space="preserve"> </w:t>
            </w:r>
            <w:r w:rsidR="00520816">
              <w:rPr>
                <w:sz w:val="20"/>
                <w:szCs w:val="20"/>
                <w:lang w:val="es-419"/>
              </w:rPr>
              <w:t xml:space="preserve">del </w:t>
            </w:r>
            <w:r w:rsidR="00520816" w:rsidRPr="00520816">
              <w:rPr>
                <w:sz w:val="20"/>
                <w:szCs w:val="20"/>
                <w:lang w:val="es-419"/>
              </w:rPr>
              <w:t>proveedor</w:t>
            </w:r>
            <w:r w:rsidRPr="00756410">
              <w:rPr>
                <w:sz w:val="20"/>
                <w:szCs w:val="20"/>
                <w:lang w:val="es-419"/>
              </w:rPr>
              <w:t xml:space="preserve"> en todos los casos, </w:t>
            </w:r>
            <w:r w:rsidR="00520816">
              <w:rPr>
                <w:sz w:val="20"/>
                <w:szCs w:val="20"/>
                <w:lang w:val="es-419"/>
              </w:rPr>
              <w:t xml:space="preserve">se considera que </w:t>
            </w:r>
            <w:r w:rsidRPr="00756410">
              <w:rPr>
                <w:sz w:val="20"/>
                <w:szCs w:val="20"/>
                <w:lang w:val="es-419"/>
              </w:rPr>
              <w:t xml:space="preserve">el riesgo de control  manejable </w:t>
            </w:r>
            <w:r w:rsidR="00520816">
              <w:rPr>
                <w:sz w:val="20"/>
                <w:szCs w:val="20"/>
                <w:lang w:val="es-419"/>
              </w:rPr>
              <w:t>temporalmente</w:t>
            </w:r>
            <w:r w:rsidRPr="00756410">
              <w:rPr>
                <w:sz w:val="20"/>
                <w:szCs w:val="20"/>
                <w:lang w:val="es-419"/>
              </w:rPr>
              <w:t>.</w:t>
            </w:r>
          </w:p>
          <w:p w14:paraId="5E7089FE" w14:textId="24871802" w:rsidR="00962F7A" w:rsidRPr="00756410" w:rsidRDefault="00962F7A" w:rsidP="00962F7A">
            <w:pPr>
              <w:rPr>
                <w:sz w:val="20"/>
                <w:szCs w:val="20"/>
                <w:lang w:val="es-419"/>
              </w:rPr>
            </w:pPr>
          </w:p>
          <w:p w14:paraId="1E6AAFF1" w14:textId="5C636545" w:rsidR="00962F7A" w:rsidRPr="00756410" w:rsidRDefault="00962F7A" w:rsidP="00962F7A">
            <w:pPr>
              <w:rPr>
                <w:sz w:val="20"/>
                <w:szCs w:val="20"/>
                <w:lang w:val="es-419"/>
              </w:rPr>
            </w:pPr>
            <w:r w:rsidRPr="00756410">
              <w:rPr>
                <w:sz w:val="20"/>
                <w:szCs w:val="20"/>
                <w:lang w:val="es-419"/>
              </w:rPr>
              <w:t xml:space="preserve">Si bien BMS/GSSC sigue realizando una revisión de cumplimiento en todos los casos, dado el modelo de negocio descentralizado del PNUD y los riesgos involucrados con la creación/modificación de proveedores (incluidas las cuentas bancarias), la aprobación de L1 es una importante salvaguarda adicional realizada por el personal de la oficina de </w:t>
            </w:r>
            <w:r w:rsidR="00520816">
              <w:rPr>
                <w:sz w:val="20"/>
                <w:szCs w:val="20"/>
                <w:lang w:val="es-419"/>
              </w:rPr>
              <w:t>pa</w:t>
            </w:r>
            <w:r w:rsidR="006E0B35">
              <w:rPr>
                <w:sz w:val="20"/>
                <w:szCs w:val="20"/>
                <w:lang w:val="es-419"/>
              </w:rPr>
              <w:t>í</w:t>
            </w:r>
            <w:r w:rsidR="00520816">
              <w:rPr>
                <w:sz w:val="20"/>
                <w:szCs w:val="20"/>
                <w:lang w:val="es-419"/>
              </w:rPr>
              <w:t xml:space="preserve">s o la sede, quienes </w:t>
            </w:r>
            <w:r w:rsidR="006E0B35">
              <w:rPr>
                <w:sz w:val="20"/>
                <w:szCs w:val="20"/>
                <w:lang w:val="es-419"/>
              </w:rPr>
              <w:t xml:space="preserve">están </w:t>
            </w:r>
            <w:r w:rsidRPr="00756410">
              <w:rPr>
                <w:sz w:val="20"/>
                <w:szCs w:val="20"/>
                <w:lang w:val="es-419"/>
              </w:rPr>
              <w:t>familiarizado</w:t>
            </w:r>
            <w:r w:rsidR="00520816">
              <w:rPr>
                <w:sz w:val="20"/>
                <w:szCs w:val="20"/>
                <w:lang w:val="es-419"/>
              </w:rPr>
              <w:t>s</w:t>
            </w:r>
            <w:r w:rsidRPr="00756410">
              <w:rPr>
                <w:sz w:val="20"/>
                <w:szCs w:val="20"/>
                <w:lang w:val="es-419"/>
              </w:rPr>
              <w:t xml:space="preserve"> con las necesidades </w:t>
            </w:r>
            <w:r w:rsidR="00520816">
              <w:rPr>
                <w:sz w:val="20"/>
                <w:szCs w:val="20"/>
                <w:lang w:val="es-419"/>
              </w:rPr>
              <w:t xml:space="preserve">de la oficina </w:t>
            </w:r>
            <w:r w:rsidRPr="00756410">
              <w:rPr>
                <w:sz w:val="20"/>
                <w:szCs w:val="20"/>
                <w:lang w:val="es-419"/>
              </w:rPr>
              <w:t>para confirmar la legitimidad y validez de la solicitud/modificación del proveedor. Ahora que la implementación de Quantum se ha estabilizado</w:t>
            </w:r>
            <w:r w:rsidR="00520816">
              <w:rPr>
                <w:sz w:val="20"/>
                <w:szCs w:val="20"/>
                <w:lang w:val="es-419"/>
              </w:rPr>
              <w:t>,</w:t>
            </w:r>
            <w:r w:rsidRPr="00756410">
              <w:rPr>
                <w:sz w:val="20"/>
                <w:szCs w:val="20"/>
                <w:lang w:val="es-419"/>
              </w:rPr>
              <w:t xml:space="preserve"> se espera que el volumen de </w:t>
            </w:r>
            <w:r w:rsidR="006E0B35">
              <w:rPr>
                <w:sz w:val="20"/>
                <w:szCs w:val="20"/>
                <w:u w:val="single"/>
                <w:lang w:val="es-419"/>
              </w:rPr>
              <w:t>r</w:t>
            </w:r>
            <w:r w:rsidRPr="00756410">
              <w:rPr>
                <w:sz w:val="20"/>
                <w:szCs w:val="20"/>
                <w:u w:val="single"/>
                <w:lang w:val="es-419"/>
              </w:rPr>
              <w:t xml:space="preserve">egistros </w:t>
            </w:r>
            <w:r w:rsidR="00520816">
              <w:rPr>
                <w:sz w:val="20"/>
                <w:szCs w:val="20"/>
                <w:u w:val="single"/>
                <w:lang w:val="es-419"/>
              </w:rPr>
              <w:t xml:space="preserve">internos </w:t>
            </w:r>
            <w:r w:rsidRPr="00756410">
              <w:rPr>
                <w:sz w:val="20"/>
                <w:szCs w:val="20"/>
                <w:u w:val="single"/>
                <w:lang w:val="es-419"/>
              </w:rPr>
              <w:t>de</w:t>
            </w:r>
            <w:r w:rsidRPr="00756410">
              <w:rPr>
                <w:sz w:val="20"/>
                <w:szCs w:val="20"/>
                <w:lang w:val="es-419"/>
              </w:rPr>
              <w:t xml:space="preserve"> proveedores disminuya y se convierta en la excepción en lugar de la norma</w:t>
            </w:r>
            <w:r w:rsidRPr="00756410">
              <w:rPr>
                <w:lang w:val="es-419"/>
              </w:rPr>
              <w:t>,</w:t>
            </w:r>
            <w:r w:rsidRPr="00756410">
              <w:rPr>
                <w:sz w:val="20"/>
                <w:szCs w:val="20"/>
                <w:lang w:val="es-419"/>
              </w:rPr>
              <w:t xml:space="preserve"> </w:t>
            </w:r>
            <w:r w:rsidR="00520816">
              <w:rPr>
                <w:sz w:val="20"/>
                <w:szCs w:val="20"/>
                <w:lang w:val="es-419"/>
              </w:rPr>
              <w:t xml:space="preserve">en </w:t>
            </w:r>
            <w:r w:rsidR="006E0B35">
              <w:rPr>
                <w:sz w:val="20"/>
                <w:szCs w:val="20"/>
                <w:lang w:val="es-419"/>
              </w:rPr>
              <w:t>consecuencia,</w:t>
            </w:r>
            <w:r w:rsidR="00520816">
              <w:rPr>
                <w:sz w:val="20"/>
                <w:szCs w:val="20"/>
                <w:lang w:val="es-419"/>
              </w:rPr>
              <w:t xml:space="preserve"> </w:t>
            </w:r>
            <w:r w:rsidRPr="00756410">
              <w:rPr>
                <w:sz w:val="20"/>
                <w:szCs w:val="20"/>
                <w:lang w:val="es-419"/>
              </w:rPr>
              <w:t>BMS está trabajando para reintroducir una separación más estricta entre la creación de proveedores y la aprobación L1 en todas las oficinas</w:t>
            </w:r>
            <w:r w:rsidR="006E0B35">
              <w:rPr>
                <w:sz w:val="20"/>
                <w:szCs w:val="20"/>
                <w:lang w:val="es-419"/>
              </w:rPr>
              <w:t xml:space="preserve"> </w:t>
            </w:r>
            <w:r w:rsidR="00520816">
              <w:rPr>
                <w:sz w:val="20"/>
                <w:szCs w:val="20"/>
                <w:lang w:val="es-419"/>
              </w:rPr>
              <w:t xml:space="preserve">o </w:t>
            </w:r>
            <w:r w:rsidRPr="00756410">
              <w:rPr>
                <w:sz w:val="20"/>
                <w:szCs w:val="20"/>
                <w:lang w:val="es-419"/>
              </w:rPr>
              <w:t>unidades</w:t>
            </w:r>
            <w:r w:rsidRPr="00F84992">
              <w:rPr>
                <w:rStyle w:val="FootnoteReference"/>
                <w:sz w:val="20"/>
                <w:szCs w:val="20"/>
              </w:rPr>
              <w:footnoteReference w:id="10"/>
            </w:r>
            <w:r w:rsidRPr="00756410">
              <w:rPr>
                <w:sz w:val="20"/>
                <w:szCs w:val="20"/>
                <w:lang w:val="es-419"/>
              </w:rPr>
              <w:t xml:space="preserve">. </w:t>
            </w:r>
          </w:p>
          <w:p w14:paraId="6D9EE3F0" w14:textId="77777777" w:rsidR="00F768C6" w:rsidRPr="00756410" w:rsidRDefault="00F768C6" w:rsidP="00962F7A">
            <w:pPr>
              <w:rPr>
                <w:sz w:val="20"/>
                <w:szCs w:val="20"/>
                <w:lang w:val="es-419"/>
              </w:rPr>
            </w:pPr>
          </w:p>
          <w:p w14:paraId="65BF09B2" w14:textId="1FCD9A82" w:rsidR="00962F7A" w:rsidRPr="00756410" w:rsidRDefault="00F768C6" w:rsidP="363CA695">
            <w:pPr>
              <w:rPr>
                <w:sz w:val="20"/>
                <w:szCs w:val="20"/>
                <w:lang w:val="es-419"/>
              </w:rPr>
            </w:pPr>
            <w:r w:rsidRPr="00756410">
              <w:rPr>
                <w:sz w:val="20"/>
                <w:szCs w:val="20"/>
                <w:lang w:val="es-419"/>
              </w:rPr>
              <w:lastRenderedPageBreak/>
              <w:t xml:space="preserve">Roles incompatibles con la aprobaciones de </w:t>
            </w:r>
            <w:r w:rsidR="00520816">
              <w:rPr>
                <w:sz w:val="20"/>
                <w:szCs w:val="20"/>
                <w:lang w:val="es-419"/>
              </w:rPr>
              <w:t xml:space="preserve">registro de </w:t>
            </w:r>
            <w:r w:rsidRPr="00756410">
              <w:rPr>
                <w:sz w:val="20"/>
                <w:szCs w:val="20"/>
                <w:lang w:val="es-419"/>
              </w:rPr>
              <w:t xml:space="preserve">proveedores: En todos los casos, el personal que tenga roles complementarios de </w:t>
            </w:r>
            <w:r w:rsidR="00520816">
              <w:rPr>
                <w:sz w:val="20"/>
                <w:szCs w:val="20"/>
                <w:lang w:val="es-419"/>
              </w:rPr>
              <w:t>m</w:t>
            </w:r>
            <w:r w:rsidR="00520816" w:rsidRPr="00756410">
              <w:rPr>
                <w:sz w:val="20"/>
                <w:szCs w:val="20"/>
                <w:lang w:val="es-419"/>
              </w:rPr>
              <w:t xml:space="preserve">antenimiento </w:t>
            </w:r>
            <w:r w:rsidRPr="00756410">
              <w:rPr>
                <w:sz w:val="20"/>
                <w:szCs w:val="20"/>
                <w:lang w:val="es-419"/>
              </w:rPr>
              <w:t xml:space="preserve">de proveedores (L1) o </w:t>
            </w:r>
            <w:r w:rsidR="00520816">
              <w:rPr>
                <w:sz w:val="20"/>
                <w:szCs w:val="20"/>
                <w:lang w:val="es-419"/>
              </w:rPr>
              <w:t>a</w:t>
            </w:r>
            <w:r w:rsidR="00520816" w:rsidRPr="00756410">
              <w:rPr>
                <w:sz w:val="20"/>
                <w:szCs w:val="20"/>
                <w:lang w:val="es-419"/>
              </w:rPr>
              <w:t xml:space="preserve">probador </w:t>
            </w:r>
            <w:r w:rsidRPr="00756410">
              <w:rPr>
                <w:sz w:val="20"/>
                <w:szCs w:val="20"/>
                <w:lang w:val="es-419"/>
              </w:rPr>
              <w:t xml:space="preserve">de proveedores (L2) no debe: (i) crear proveedores, órdenes de compra o facturas (excepto </w:t>
            </w:r>
            <w:r w:rsidR="00520816">
              <w:rPr>
                <w:sz w:val="20"/>
                <w:szCs w:val="20"/>
                <w:lang w:val="es-419"/>
              </w:rPr>
              <w:t xml:space="preserve">en el caso de </w:t>
            </w:r>
            <w:r w:rsidRPr="00756410">
              <w:rPr>
                <w:sz w:val="20"/>
                <w:szCs w:val="20"/>
                <w:lang w:val="es-419"/>
              </w:rPr>
              <w:t>las medidas provisionales mencionadas anteriormente); (ii) preparar conciliaciones bancarias; o (iii) ser un único signatario de una cuenta bancaria.</w:t>
            </w:r>
          </w:p>
        </w:tc>
        <w:tc>
          <w:tcPr>
            <w:tcW w:w="1350" w:type="dxa"/>
            <w:tcBorders>
              <w:top w:val="single" w:sz="4" w:space="0" w:color="auto"/>
              <w:left w:val="single" w:sz="4" w:space="0" w:color="auto"/>
              <w:bottom w:val="single" w:sz="4" w:space="0" w:color="auto"/>
              <w:right w:val="single" w:sz="4" w:space="0" w:color="auto"/>
            </w:tcBorders>
          </w:tcPr>
          <w:p w14:paraId="6CE3DC49" w14:textId="4E275870" w:rsidR="00962F7A" w:rsidRPr="00756410" w:rsidRDefault="00962F7A" w:rsidP="00F554B6">
            <w:pPr>
              <w:jc w:val="center"/>
              <w:rPr>
                <w:rFonts w:ascii="Webdings" w:hAnsi="Webdings"/>
                <w:sz w:val="32"/>
                <w:szCs w:val="32"/>
                <w:lang w:val="es-419"/>
              </w:rPr>
            </w:pPr>
            <w:r w:rsidRPr="00756410">
              <w:rPr>
                <w:rFonts w:cstheme="minorHAnsi"/>
                <w:sz w:val="18"/>
                <w:szCs w:val="18"/>
                <w:lang w:val="es-419"/>
              </w:rPr>
              <w:lastRenderedPageBreak/>
              <w:t xml:space="preserve">Parcialmente </w:t>
            </w:r>
            <w:r w:rsidRPr="00756410">
              <w:rPr>
                <w:rFonts w:cstheme="minorHAnsi"/>
                <w:i/>
                <w:iCs/>
                <w:sz w:val="18"/>
                <w:szCs w:val="18"/>
                <w:lang w:val="es-419"/>
              </w:rPr>
              <w:br/>
              <w:t>(para registros internos)</w:t>
            </w:r>
          </w:p>
        </w:tc>
        <w:tc>
          <w:tcPr>
            <w:tcW w:w="1710" w:type="dxa"/>
            <w:tcBorders>
              <w:top w:val="single" w:sz="4" w:space="0" w:color="auto"/>
              <w:left w:val="single" w:sz="4" w:space="0" w:color="auto"/>
              <w:bottom w:val="single" w:sz="4" w:space="0" w:color="auto"/>
              <w:right w:val="single" w:sz="4" w:space="0" w:color="auto"/>
            </w:tcBorders>
          </w:tcPr>
          <w:p w14:paraId="7C86C890" w14:textId="77777777" w:rsidR="00962F7A" w:rsidRDefault="00962F7A"/>
        </w:tc>
      </w:tr>
      <w:tr w:rsidR="00B1609D" w:rsidRPr="00773863" w14:paraId="062C62D1" w14:textId="77777777" w:rsidTr="008C4953">
        <w:trPr>
          <w:trHeight w:val="1070"/>
        </w:trPr>
        <w:tc>
          <w:tcPr>
            <w:tcW w:w="355" w:type="dxa"/>
            <w:tcBorders>
              <w:top w:val="single" w:sz="4" w:space="0" w:color="auto"/>
              <w:left w:val="single" w:sz="4" w:space="0" w:color="auto"/>
              <w:bottom w:val="single" w:sz="4" w:space="0" w:color="auto"/>
              <w:right w:val="single" w:sz="4" w:space="0" w:color="auto"/>
            </w:tcBorders>
          </w:tcPr>
          <w:p w14:paraId="026599DD" w14:textId="370B66C7" w:rsidR="00F554B6" w:rsidRPr="00F914B8" w:rsidRDefault="00F554B6">
            <w:pPr>
              <w:rPr>
                <w:sz w:val="20"/>
                <w:szCs w:val="20"/>
              </w:rPr>
            </w:pPr>
            <w:r w:rsidRPr="00F914B8">
              <w:rPr>
                <w:sz w:val="20"/>
                <w:szCs w:val="20"/>
              </w:rPr>
              <w:t>4</w:t>
            </w:r>
          </w:p>
        </w:tc>
        <w:tc>
          <w:tcPr>
            <w:tcW w:w="6300" w:type="dxa"/>
            <w:tcBorders>
              <w:top w:val="single" w:sz="4" w:space="0" w:color="auto"/>
              <w:left w:val="single" w:sz="4" w:space="0" w:color="auto"/>
              <w:bottom w:val="single" w:sz="4" w:space="0" w:color="auto"/>
              <w:right w:val="single" w:sz="4" w:space="0" w:color="auto"/>
            </w:tcBorders>
          </w:tcPr>
          <w:p w14:paraId="0ECC747A" w14:textId="66310689" w:rsidR="00F554B6" w:rsidRPr="00756410" w:rsidRDefault="00F554B6" w:rsidP="363CA695">
            <w:pPr>
              <w:rPr>
                <w:sz w:val="20"/>
                <w:szCs w:val="20"/>
                <w:lang w:val="es-419"/>
              </w:rPr>
            </w:pPr>
            <w:r w:rsidRPr="00756410">
              <w:rPr>
                <w:b/>
                <w:bCs/>
                <w:sz w:val="20"/>
                <w:szCs w:val="20"/>
                <w:lang w:val="es-419"/>
              </w:rPr>
              <w:t xml:space="preserve">Funciones incompatibles con el </w:t>
            </w:r>
            <w:r w:rsidR="00E81F98">
              <w:rPr>
                <w:b/>
                <w:bCs/>
                <w:sz w:val="20"/>
                <w:szCs w:val="20"/>
                <w:lang w:val="es-419"/>
              </w:rPr>
              <w:t xml:space="preserve">perfil de </w:t>
            </w:r>
            <w:r w:rsidRPr="00756410">
              <w:rPr>
                <w:b/>
                <w:bCs/>
                <w:sz w:val="20"/>
                <w:szCs w:val="20"/>
                <w:lang w:val="es-419"/>
              </w:rPr>
              <w:t>comprador de adquisiciones:</w:t>
            </w:r>
            <w:r w:rsidRPr="00756410">
              <w:rPr>
                <w:sz w:val="20"/>
                <w:szCs w:val="20"/>
                <w:lang w:val="es-419"/>
              </w:rPr>
              <w:t xml:space="preserve"> Los compradores no deben: (i) aprobar a los proveedores (teniendo en cuenta las medidas de excepción provisionales adoptadas en el punto 3 anterior); (ii) </w:t>
            </w:r>
            <w:r w:rsidR="00E81F98">
              <w:rPr>
                <w:sz w:val="20"/>
                <w:szCs w:val="20"/>
                <w:lang w:val="es-419"/>
              </w:rPr>
              <w:t>registrar la recepción de</w:t>
            </w:r>
            <w:r w:rsidRPr="00756410">
              <w:rPr>
                <w:sz w:val="20"/>
                <w:szCs w:val="20"/>
                <w:lang w:val="es-419"/>
              </w:rPr>
              <w:t xml:space="preserve"> bienes, servicios u obras; o (iii) aprobar facturas para el pago.</w:t>
            </w:r>
          </w:p>
        </w:tc>
        <w:tc>
          <w:tcPr>
            <w:tcW w:w="1350" w:type="dxa"/>
            <w:tcBorders>
              <w:top w:val="single" w:sz="4" w:space="0" w:color="auto"/>
              <w:left w:val="single" w:sz="4" w:space="0" w:color="auto"/>
              <w:bottom w:val="single" w:sz="4" w:space="0" w:color="auto"/>
              <w:right w:val="single" w:sz="4" w:space="0" w:color="auto"/>
            </w:tcBorders>
          </w:tcPr>
          <w:p w14:paraId="7B36CD6E" w14:textId="43A1122B" w:rsidR="000B5C6A" w:rsidRPr="00756410" w:rsidRDefault="000B5C6A" w:rsidP="00962F7A">
            <w:pPr>
              <w:jc w:val="center"/>
              <w:rPr>
                <w:sz w:val="18"/>
                <w:szCs w:val="18"/>
                <w:lang w:val="es-419"/>
              </w:rPr>
            </w:pPr>
            <w:r w:rsidRPr="00756410">
              <w:rPr>
                <w:sz w:val="20"/>
                <w:szCs w:val="20"/>
                <w:lang w:val="es-419"/>
              </w:rPr>
              <w:t xml:space="preserve">Sí </w:t>
            </w:r>
          </w:p>
          <w:p w14:paraId="549D20D9" w14:textId="11FE746A" w:rsidR="00962F7A" w:rsidRPr="00756410" w:rsidRDefault="00962F7A" w:rsidP="00962F7A">
            <w:pPr>
              <w:jc w:val="center"/>
              <w:rPr>
                <w:lang w:val="es-419"/>
              </w:rPr>
            </w:pPr>
            <w:r w:rsidRPr="00756410">
              <w:rPr>
                <w:sz w:val="18"/>
                <w:szCs w:val="18"/>
                <w:lang w:val="es-419"/>
              </w:rPr>
              <w:t>(excepto la aprobación del proveedor L1</w:t>
            </w:r>
            <w:r w:rsidRPr="00756410">
              <w:rPr>
                <w:i/>
                <w:sz w:val="18"/>
                <w:szCs w:val="18"/>
                <w:lang w:val="es-419"/>
              </w:rPr>
              <w:t>)</w:t>
            </w:r>
          </w:p>
        </w:tc>
        <w:tc>
          <w:tcPr>
            <w:tcW w:w="1710" w:type="dxa"/>
            <w:tcBorders>
              <w:top w:val="single" w:sz="4" w:space="0" w:color="auto"/>
              <w:left w:val="single" w:sz="4" w:space="0" w:color="auto"/>
              <w:bottom w:val="single" w:sz="4" w:space="0" w:color="auto"/>
              <w:right w:val="single" w:sz="4" w:space="0" w:color="auto"/>
            </w:tcBorders>
          </w:tcPr>
          <w:p w14:paraId="36F41571" w14:textId="4E9CD774" w:rsidR="00F954F9" w:rsidRPr="00756410" w:rsidRDefault="00F954F9" w:rsidP="00F954F9">
            <w:pPr>
              <w:rPr>
                <w:sz w:val="20"/>
                <w:szCs w:val="20"/>
                <w:lang w:val="es-419"/>
              </w:rPr>
            </w:pPr>
            <w:r w:rsidRPr="00756410">
              <w:rPr>
                <w:sz w:val="20"/>
                <w:szCs w:val="20"/>
                <w:lang w:val="es-419"/>
              </w:rPr>
              <w:t>Consulte la sección 5.1 sobre Compradores.</w:t>
            </w:r>
          </w:p>
          <w:p w14:paraId="2B01FBFA" w14:textId="77777777" w:rsidR="00F554B6" w:rsidRPr="00756410" w:rsidRDefault="00F554B6">
            <w:pPr>
              <w:rPr>
                <w:lang w:val="es-419"/>
              </w:rPr>
            </w:pPr>
          </w:p>
        </w:tc>
      </w:tr>
      <w:tr w:rsidR="00B1609D" w14:paraId="6CD75E6A" w14:textId="77777777" w:rsidTr="008C4953">
        <w:trPr>
          <w:trHeight w:val="800"/>
        </w:trPr>
        <w:tc>
          <w:tcPr>
            <w:tcW w:w="355" w:type="dxa"/>
            <w:tcBorders>
              <w:top w:val="single" w:sz="4" w:space="0" w:color="auto"/>
              <w:left w:val="single" w:sz="4" w:space="0" w:color="auto"/>
              <w:bottom w:val="single" w:sz="4" w:space="0" w:color="auto"/>
              <w:right w:val="single" w:sz="4" w:space="0" w:color="auto"/>
            </w:tcBorders>
          </w:tcPr>
          <w:p w14:paraId="762948D7" w14:textId="28A65414" w:rsidR="00E324B0" w:rsidRPr="00F914B8" w:rsidRDefault="00962F7A">
            <w:pPr>
              <w:rPr>
                <w:sz w:val="20"/>
                <w:szCs w:val="20"/>
              </w:rPr>
            </w:pPr>
            <w:r>
              <w:rPr>
                <w:sz w:val="20"/>
                <w:szCs w:val="20"/>
              </w:rPr>
              <w:t>5</w:t>
            </w:r>
          </w:p>
        </w:tc>
        <w:tc>
          <w:tcPr>
            <w:tcW w:w="6300" w:type="dxa"/>
            <w:tcBorders>
              <w:top w:val="single" w:sz="4" w:space="0" w:color="auto"/>
              <w:left w:val="single" w:sz="4" w:space="0" w:color="auto"/>
              <w:bottom w:val="single" w:sz="4" w:space="0" w:color="auto"/>
              <w:right w:val="single" w:sz="4" w:space="0" w:color="auto"/>
            </w:tcBorders>
          </w:tcPr>
          <w:p w14:paraId="1C74F31E" w14:textId="2F4FCECD" w:rsidR="00E324B0" w:rsidRPr="00756410" w:rsidRDefault="001B6B89">
            <w:pPr>
              <w:rPr>
                <w:sz w:val="20"/>
                <w:szCs w:val="20"/>
                <w:lang w:val="es-419"/>
              </w:rPr>
            </w:pPr>
            <w:r w:rsidRPr="00756410">
              <w:rPr>
                <w:b/>
                <w:bCs/>
                <w:sz w:val="20"/>
                <w:szCs w:val="20"/>
                <w:lang w:val="es-419"/>
              </w:rPr>
              <w:t xml:space="preserve">Roles incompatibles con </w:t>
            </w:r>
            <w:r w:rsidR="00E81F98">
              <w:rPr>
                <w:b/>
                <w:bCs/>
                <w:sz w:val="20"/>
                <w:szCs w:val="20"/>
                <w:lang w:val="es-419"/>
              </w:rPr>
              <w:t xml:space="preserve">la elaboración </w:t>
            </w:r>
            <w:r w:rsidR="00E81F98" w:rsidRPr="00E81F98">
              <w:rPr>
                <w:b/>
                <w:bCs/>
                <w:sz w:val="20"/>
                <w:szCs w:val="20"/>
                <w:lang w:val="es-419"/>
              </w:rPr>
              <w:t>de</w:t>
            </w:r>
            <w:r w:rsidRPr="00756410">
              <w:rPr>
                <w:b/>
                <w:bCs/>
                <w:sz w:val="20"/>
                <w:szCs w:val="20"/>
                <w:lang w:val="es-419"/>
              </w:rPr>
              <w:t xml:space="preserve"> conciliación bancaria:</w:t>
            </w:r>
            <w:r w:rsidR="00F554B6" w:rsidRPr="00756410">
              <w:rPr>
                <w:sz w:val="20"/>
                <w:szCs w:val="20"/>
                <w:lang w:val="es-419"/>
              </w:rPr>
              <w:t xml:space="preserve"> los </w:t>
            </w:r>
            <w:r w:rsidR="00E81F98">
              <w:rPr>
                <w:sz w:val="20"/>
                <w:szCs w:val="20"/>
                <w:lang w:val="es-419"/>
              </w:rPr>
              <w:t>responsables de preparar la</w:t>
            </w:r>
            <w:r w:rsidR="00F554B6" w:rsidRPr="00756410">
              <w:rPr>
                <w:sz w:val="20"/>
                <w:szCs w:val="20"/>
                <w:lang w:val="es-419"/>
              </w:rPr>
              <w:t xml:space="preserve"> conciliación bancaria no deben ser signatarios </w:t>
            </w:r>
            <w:r w:rsidR="00385CC6" w:rsidRPr="00385CC6">
              <w:rPr>
                <w:sz w:val="20"/>
                <w:szCs w:val="20"/>
                <w:lang w:val="es-419"/>
              </w:rPr>
              <w:t>bancari</w:t>
            </w:r>
            <w:r w:rsidR="00385CC6">
              <w:rPr>
                <w:sz w:val="20"/>
                <w:szCs w:val="20"/>
                <w:lang w:val="es-419"/>
              </w:rPr>
              <w:t>o</w:t>
            </w:r>
            <w:r w:rsidR="00385CC6" w:rsidRPr="00385CC6">
              <w:rPr>
                <w:sz w:val="20"/>
                <w:szCs w:val="20"/>
                <w:lang w:val="es-419"/>
              </w:rPr>
              <w:t>s</w:t>
            </w:r>
            <w:r w:rsidR="00F554B6" w:rsidRPr="00756410">
              <w:rPr>
                <w:sz w:val="20"/>
                <w:szCs w:val="20"/>
                <w:lang w:val="es-419"/>
              </w:rPr>
              <w:t xml:space="preserve"> ni aprobar facturas o </w:t>
            </w:r>
            <w:r w:rsidR="00E81F98">
              <w:rPr>
                <w:sz w:val="20"/>
                <w:szCs w:val="20"/>
                <w:lang w:val="es-419"/>
              </w:rPr>
              <w:t xml:space="preserve">registros de </w:t>
            </w:r>
            <w:r w:rsidR="00F554B6" w:rsidRPr="00756410">
              <w:rPr>
                <w:sz w:val="20"/>
                <w:szCs w:val="20"/>
                <w:lang w:val="es-419"/>
              </w:rPr>
              <w:t>proveedores en Quantum. Nota: todas las conciliaciones bancarias son preparadas por BMS/GSSC.</w:t>
            </w:r>
          </w:p>
        </w:tc>
        <w:tc>
          <w:tcPr>
            <w:tcW w:w="1350" w:type="dxa"/>
            <w:tcBorders>
              <w:top w:val="single" w:sz="4" w:space="0" w:color="auto"/>
              <w:left w:val="single" w:sz="4" w:space="0" w:color="auto"/>
              <w:bottom w:val="single" w:sz="4" w:space="0" w:color="auto"/>
              <w:right w:val="single" w:sz="4" w:space="0" w:color="auto"/>
            </w:tcBorders>
          </w:tcPr>
          <w:p w14:paraId="4D9F8E81" w14:textId="7BDBDAA4" w:rsidR="00E324B0" w:rsidRPr="000B5C6A" w:rsidRDefault="000B5C6A" w:rsidP="00962F7A">
            <w:pPr>
              <w:jc w:val="center"/>
              <w:rPr>
                <w:sz w:val="20"/>
                <w:szCs w:val="20"/>
              </w:rPr>
            </w:pPr>
            <w:r w:rsidRPr="009A7C29">
              <w:rPr>
                <w:rFonts w:cstheme="minorHAnsi"/>
                <w:sz w:val="20"/>
                <w:szCs w:val="20"/>
              </w:rPr>
              <w:t xml:space="preserve">Sí </w:t>
            </w:r>
          </w:p>
        </w:tc>
        <w:tc>
          <w:tcPr>
            <w:tcW w:w="1710" w:type="dxa"/>
            <w:tcBorders>
              <w:top w:val="single" w:sz="4" w:space="0" w:color="auto"/>
              <w:left w:val="single" w:sz="4" w:space="0" w:color="auto"/>
              <w:bottom w:val="single" w:sz="4" w:space="0" w:color="auto"/>
              <w:right w:val="single" w:sz="4" w:space="0" w:color="auto"/>
            </w:tcBorders>
          </w:tcPr>
          <w:p w14:paraId="7D2AC513" w14:textId="52142E45" w:rsidR="00E324B0" w:rsidRDefault="00E324B0"/>
        </w:tc>
      </w:tr>
      <w:tr w:rsidR="00F954F9" w:rsidRPr="00773863" w14:paraId="1EE482AF" w14:textId="77777777" w:rsidTr="008C4953">
        <w:trPr>
          <w:trHeight w:val="1016"/>
        </w:trPr>
        <w:tc>
          <w:tcPr>
            <w:tcW w:w="355" w:type="dxa"/>
            <w:tcBorders>
              <w:top w:val="single" w:sz="4" w:space="0" w:color="auto"/>
              <w:left w:val="single" w:sz="4" w:space="0" w:color="auto"/>
              <w:bottom w:val="single" w:sz="4" w:space="0" w:color="auto"/>
              <w:right w:val="single" w:sz="4" w:space="0" w:color="auto"/>
            </w:tcBorders>
          </w:tcPr>
          <w:p w14:paraId="1D57A8E4" w14:textId="18D42011" w:rsidR="00F954F9" w:rsidRPr="00B1609D" w:rsidRDefault="00F954F9">
            <w:pPr>
              <w:rPr>
                <w:sz w:val="20"/>
                <w:szCs w:val="20"/>
              </w:rPr>
            </w:pPr>
            <w:r>
              <w:rPr>
                <w:sz w:val="20"/>
                <w:szCs w:val="20"/>
              </w:rPr>
              <w:t>6</w:t>
            </w:r>
          </w:p>
        </w:tc>
        <w:tc>
          <w:tcPr>
            <w:tcW w:w="6300" w:type="dxa"/>
            <w:tcBorders>
              <w:top w:val="single" w:sz="4" w:space="0" w:color="auto"/>
              <w:left w:val="single" w:sz="4" w:space="0" w:color="auto"/>
              <w:bottom w:val="single" w:sz="4" w:space="0" w:color="auto"/>
              <w:right w:val="single" w:sz="4" w:space="0" w:color="auto"/>
            </w:tcBorders>
          </w:tcPr>
          <w:p w14:paraId="46F6FAD6" w14:textId="264B6719" w:rsidR="00F954F9" w:rsidRPr="00756410" w:rsidRDefault="00F954F9" w:rsidP="00756410">
            <w:pPr>
              <w:jc w:val="both"/>
              <w:rPr>
                <w:sz w:val="20"/>
                <w:szCs w:val="20"/>
                <w:lang w:val="es-419"/>
              </w:rPr>
            </w:pPr>
            <w:bookmarkStart w:id="10" w:name="_Hlk180506914"/>
            <w:r w:rsidRPr="00756410">
              <w:rPr>
                <w:b/>
                <w:bCs/>
                <w:sz w:val="20"/>
                <w:szCs w:val="20"/>
                <w:lang w:val="es-419"/>
              </w:rPr>
              <w:t xml:space="preserve">Funciones incompatibles con los </w:t>
            </w:r>
            <w:r w:rsidR="00385CC6" w:rsidRPr="00385CC6">
              <w:rPr>
                <w:b/>
                <w:bCs/>
                <w:sz w:val="20"/>
                <w:szCs w:val="20"/>
                <w:lang w:val="es-419"/>
              </w:rPr>
              <w:t>signatario</w:t>
            </w:r>
            <w:r w:rsidR="00385CC6">
              <w:rPr>
                <w:b/>
                <w:bCs/>
                <w:sz w:val="20"/>
                <w:szCs w:val="20"/>
                <w:lang w:val="es-419"/>
              </w:rPr>
              <w:t>s bancarios</w:t>
            </w:r>
            <w:r w:rsidRPr="00756410">
              <w:rPr>
                <w:b/>
                <w:bCs/>
                <w:sz w:val="20"/>
                <w:szCs w:val="20"/>
                <w:lang w:val="es-419"/>
              </w:rPr>
              <w:t xml:space="preserve">: </w:t>
            </w:r>
            <w:r w:rsidR="00ED043B" w:rsidRPr="00ED043B">
              <w:rPr>
                <w:b/>
                <w:bCs/>
                <w:sz w:val="20"/>
                <w:szCs w:val="20"/>
                <w:lang w:val="es-419"/>
              </w:rPr>
              <w:t xml:space="preserve">Los </w:t>
            </w:r>
            <w:r w:rsidR="00ED043B" w:rsidRPr="008B529A">
              <w:rPr>
                <w:sz w:val="20"/>
                <w:szCs w:val="20"/>
                <w:lang w:val="es-419"/>
              </w:rPr>
              <w:t>signatarios</w:t>
            </w:r>
            <w:r w:rsidRPr="00756410">
              <w:rPr>
                <w:sz w:val="20"/>
                <w:szCs w:val="20"/>
                <w:lang w:val="es-419"/>
              </w:rPr>
              <w:t xml:space="preserve"> bancarios: i) no deben preparar conciliaciones bancarias ni crear facturas o depósitos; (ii) cuando sean los únicos signatarios de una cuenta bancaria, según lo aprobado por el Tesorero, no deben aprobar </w:t>
            </w:r>
            <w:r w:rsidR="00E81F98">
              <w:rPr>
                <w:sz w:val="20"/>
                <w:szCs w:val="20"/>
                <w:lang w:val="es-419"/>
              </w:rPr>
              <w:t xml:space="preserve">registros de </w:t>
            </w:r>
            <w:r w:rsidRPr="00756410">
              <w:rPr>
                <w:sz w:val="20"/>
                <w:szCs w:val="20"/>
                <w:lang w:val="es-419"/>
              </w:rPr>
              <w:t>proveedores.</w:t>
            </w:r>
            <w:bookmarkEnd w:id="10"/>
          </w:p>
        </w:tc>
        <w:tc>
          <w:tcPr>
            <w:tcW w:w="1350" w:type="dxa"/>
            <w:tcBorders>
              <w:top w:val="single" w:sz="4" w:space="0" w:color="auto"/>
              <w:left w:val="single" w:sz="4" w:space="0" w:color="auto"/>
              <w:bottom w:val="single" w:sz="4" w:space="0" w:color="auto"/>
              <w:right w:val="single" w:sz="4" w:space="0" w:color="auto"/>
            </w:tcBorders>
          </w:tcPr>
          <w:p w14:paraId="726F7254" w14:textId="34CF86EB" w:rsidR="00F954F9" w:rsidRPr="00756410" w:rsidRDefault="000B5C6A" w:rsidP="363CA695">
            <w:pPr>
              <w:jc w:val="center"/>
              <w:rPr>
                <w:sz w:val="20"/>
                <w:szCs w:val="20"/>
                <w:lang w:val="es-ES"/>
              </w:rPr>
            </w:pPr>
            <w:r w:rsidRPr="00756410">
              <w:rPr>
                <w:sz w:val="20"/>
                <w:szCs w:val="20"/>
                <w:lang w:val="es-ES"/>
              </w:rPr>
              <w:t>Sí para (i)</w:t>
            </w:r>
          </w:p>
          <w:p w14:paraId="0C01AC93" w14:textId="220A3FE1" w:rsidR="00CB04FA" w:rsidRPr="00756410" w:rsidRDefault="00CB04FA" w:rsidP="00B1609D">
            <w:pPr>
              <w:jc w:val="center"/>
              <w:rPr>
                <w:rFonts w:cstheme="minorHAnsi"/>
                <w:sz w:val="20"/>
                <w:szCs w:val="20"/>
                <w:lang w:val="es-ES"/>
              </w:rPr>
            </w:pPr>
            <w:r w:rsidRPr="00756410">
              <w:rPr>
                <w:rFonts w:cstheme="minorHAnsi"/>
                <w:sz w:val="20"/>
                <w:szCs w:val="20"/>
                <w:lang w:val="es-ES"/>
              </w:rPr>
              <w:t>No para (ii)</w:t>
            </w:r>
          </w:p>
        </w:tc>
        <w:tc>
          <w:tcPr>
            <w:tcW w:w="1710" w:type="dxa"/>
            <w:tcBorders>
              <w:top w:val="single" w:sz="4" w:space="0" w:color="auto"/>
              <w:left w:val="single" w:sz="4" w:space="0" w:color="auto"/>
              <w:bottom w:val="single" w:sz="4" w:space="0" w:color="auto"/>
              <w:right w:val="single" w:sz="4" w:space="0" w:color="auto"/>
            </w:tcBorders>
          </w:tcPr>
          <w:p w14:paraId="37464C29" w14:textId="21C56158" w:rsidR="00F954F9" w:rsidRPr="00756410" w:rsidRDefault="00F954F9">
            <w:pPr>
              <w:rPr>
                <w:sz w:val="20"/>
                <w:szCs w:val="20"/>
                <w:lang w:val="es-ES"/>
              </w:rPr>
            </w:pPr>
          </w:p>
        </w:tc>
      </w:tr>
      <w:tr w:rsidR="00B1609D" w14:paraId="68524845" w14:textId="77777777" w:rsidTr="008C4953">
        <w:trPr>
          <w:trHeight w:val="2546"/>
        </w:trPr>
        <w:tc>
          <w:tcPr>
            <w:tcW w:w="355" w:type="dxa"/>
            <w:tcBorders>
              <w:top w:val="single" w:sz="4" w:space="0" w:color="auto"/>
              <w:left w:val="single" w:sz="4" w:space="0" w:color="auto"/>
              <w:bottom w:val="single" w:sz="4" w:space="0" w:color="auto"/>
              <w:right w:val="single" w:sz="4" w:space="0" w:color="auto"/>
            </w:tcBorders>
          </w:tcPr>
          <w:p w14:paraId="27901DA8" w14:textId="503D652E" w:rsidR="00E324B0" w:rsidRPr="00B1609D" w:rsidRDefault="005B44B5">
            <w:pPr>
              <w:rPr>
                <w:sz w:val="20"/>
                <w:szCs w:val="20"/>
              </w:rPr>
            </w:pPr>
            <w:r>
              <w:rPr>
                <w:sz w:val="20"/>
                <w:szCs w:val="20"/>
              </w:rPr>
              <w:t>7</w:t>
            </w:r>
          </w:p>
        </w:tc>
        <w:tc>
          <w:tcPr>
            <w:tcW w:w="6300" w:type="dxa"/>
            <w:tcBorders>
              <w:top w:val="single" w:sz="4" w:space="0" w:color="auto"/>
              <w:left w:val="single" w:sz="4" w:space="0" w:color="auto"/>
              <w:bottom w:val="single" w:sz="4" w:space="0" w:color="auto"/>
              <w:right w:val="single" w:sz="4" w:space="0" w:color="auto"/>
            </w:tcBorders>
          </w:tcPr>
          <w:p w14:paraId="1D4DF3BC" w14:textId="52B2EEE7" w:rsidR="00E324B0" w:rsidRPr="00756410" w:rsidRDefault="00B1609D" w:rsidP="00756410">
            <w:pPr>
              <w:jc w:val="both"/>
              <w:rPr>
                <w:sz w:val="20"/>
                <w:szCs w:val="20"/>
                <w:lang w:val="es-419"/>
              </w:rPr>
            </w:pPr>
            <w:r w:rsidRPr="00756410">
              <w:rPr>
                <w:b/>
                <w:bCs/>
                <w:sz w:val="20"/>
                <w:szCs w:val="20"/>
                <w:lang w:val="es-419"/>
              </w:rPr>
              <w:t>Registro y verificación física de activos fijos e inventarios:</w:t>
            </w:r>
            <w:r w:rsidRPr="00756410">
              <w:rPr>
                <w:sz w:val="20"/>
                <w:szCs w:val="20"/>
                <w:lang w:val="es-419"/>
              </w:rPr>
              <w:t xml:space="preserve"> El Punto Focal de Activos que comunica los cambios</w:t>
            </w:r>
            <w:r w:rsidR="00811F28" w:rsidRPr="00CD4D36">
              <w:rPr>
                <w:sz w:val="20"/>
                <w:szCs w:val="20"/>
                <w:lang w:val="es-419"/>
              </w:rPr>
              <w:t xml:space="preserve"> en el registro</w:t>
            </w:r>
            <w:r w:rsidRPr="00756410">
              <w:rPr>
                <w:sz w:val="20"/>
                <w:szCs w:val="20"/>
                <w:lang w:val="es-419"/>
              </w:rPr>
              <w:t xml:space="preserve"> de activos a BMS/GSSC no debe participar ni ser responsable de</w:t>
            </w:r>
            <w:r w:rsidR="00050F0C" w:rsidRPr="00756410">
              <w:rPr>
                <w:sz w:val="20"/>
                <w:szCs w:val="20"/>
                <w:lang w:val="es-419"/>
              </w:rPr>
              <w:t xml:space="preserve"> la </w:t>
            </w:r>
            <w:r w:rsidR="00574741" w:rsidRPr="00756410">
              <w:rPr>
                <w:sz w:val="20"/>
                <w:szCs w:val="20"/>
                <w:lang w:val="es-419"/>
              </w:rPr>
              <w:t>v</w:t>
            </w:r>
            <w:r w:rsidR="00050F0C" w:rsidRPr="00756410">
              <w:rPr>
                <w:sz w:val="20"/>
                <w:szCs w:val="20"/>
                <w:lang w:val="es-419"/>
              </w:rPr>
              <w:t>erificación física</w:t>
            </w:r>
            <w:r w:rsidRPr="00756410">
              <w:rPr>
                <w:sz w:val="20"/>
                <w:szCs w:val="20"/>
                <w:lang w:val="es-419"/>
              </w:rPr>
              <w:t xml:space="preserve"> de</w:t>
            </w:r>
            <w:r w:rsidR="00811F28" w:rsidRPr="00CD4D36">
              <w:rPr>
                <w:sz w:val="20"/>
                <w:szCs w:val="20"/>
                <w:lang w:val="es-419"/>
              </w:rPr>
              <w:t xml:space="preserve"> los</w:t>
            </w:r>
            <w:r w:rsidRPr="00756410">
              <w:rPr>
                <w:sz w:val="20"/>
                <w:szCs w:val="20"/>
                <w:lang w:val="es-419"/>
              </w:rPr>
              <w:t xml:space="preserve"> activos fijos (es decir, no debe ser el Coordinador de Verificación Física ni parte del equipo de </w:t>
            </w:r>
            <w:r w:rsidR="00574741" w:rsidRPr="00756410">
              <w:rPr>
                <w:sz w:val="20"/>
                <w:szCs w:val="20"/>
                <w:lang w:val="es-419"/>
              </w:rPr>
              <w:t>recuento</w:t>
            </w:r>
            <w:r w:rsidRPr="00756410">
              <w:rPr>
                <w:sz w:val="20"/>
                <w:szCs w:val="20"/>
                <w:lang w:val="es-419"/>
              </w:rPr>
              <w:t xml:space="preserve">). Del mismo modo, el </w:t>
            </w:r>
            <w:r w:rsidR="00066E6C" w:rsidRPr="00CD4D36">
              <w:rPr>
                <w:sz w:val="20"/>
                <w:szCs w:val="20"/>
                <w:lang w:val="es-419"/>
              </w:rPr>
              <w:t>Punto Focal</w:t>
            </w:r>
            <w:r w:rsidR="00066E6C" w:rsidRPr="00756410">
              <w:rPr>
                <w:sz w:val="20"/>
                <w:szCs w:val="20"/>
                <w:lang w:val="es-419"/>
              </w:rPr>
              <w:t xml:space="preserve"> </w:t>
            </w:r>
            <w:r w:rsidRPr="00756410">
              <w:rPr>
                <w:sz w:val="20"/>
                <w:szCs w:val="20"/>
                <w:lang w:val="es-419"/>
              </w:rPr>
              <w:t>de Inventario que registra y comunica el inventario al BMS/GSSC no debe participar ni ser responsable del recuento físico del inventario. (es decir, no debe ser el Coordinador de</w:t>
            </w:r>
            <w:r w:rsidR="00CD4D36">
              <w:rPr>
                <w:sz w:val="20"/>
                <w:szCs w:val="20"/>
                <w:lang w:val="es-419"/>
              </w:rPr>
              <w:t xml:space="preserve">l Recuento </w:t>
            </w:r>
            <w:r w:rsidRPr="00756410">
              <w:rPr>
                <w:sz w:val="20"/>
                <w:szCs w:val="20"/>
                <w:lang w:val="es-419"/>
              </w:rPr>
              <w:t xml:space="preserve">Físico de Inventario ni parte del equipo de </w:t>
            </w:r>
            <w:r w:rsidR="00CD4D36">
              <w:rPr>
                <w:sz w:val="20"/>
                <w:szCs w:val="20"/>
                <w:lang w:val="es-419"/>
              </w:rPr>
              <w:t>recuento</w:t>
            </w:r>
            <w:r w:rsidRPr="00756410">
              <w:rPr>
                <w:sz w:val="20"/>
                <w:szCs w:val="20"/>
                <w:lang w:val="es-419"/>
              </w:rPr>
              <w:t xml:space="preserve">). </w:t>
            </w:r>
            <w:r w:rsidR="00894DDD">
              <w:rPr>
                <w:sz w:val="20"/>
                <w:szCs w:val="20"/>
                <w:lang w:val="es-419"/>
              </w:rPr>
              <w:t>Las actividades relacionadas con</w:t>
            </w:r>
            <w:r w:rsidR="00CD4D36">
              <w:rPr>
                <w:sz w:val="20"/>
                <w:szCs w:val="20"/>
                <w:lang w:val="es-419"/>
              </w:rPr>
              <w:t xml:space="preserve"> </w:t>
            </w:r>
            <w:r w:rsidRPr="00756410">
              <w:rPr>
                <w:sz w:val="20"/>
                <w:szCs w:val="20"/>
                <w:lang w:val="es-419"/>
              </w:rPr>
              <w:t>estos roles se ejecutan fuera del ERP, por lo que las oficinas/unidades deben garantizar diligentemente que se cumpla la segregación de funciones requerida.</w:t>
            </w:r>
          </w:p>
        </w:tc>
        <w:tc>
          <w:tcPr>
            <w:tcW w:w="1350" w:type="dxa"/>
            <w:tcBorders>
              <w:top w:val="single" w:sz="4" w:space="0" w:color="auto"/>
              <w:left w:val="single" w:sz="4" w:space="0" w:color="auto"/>
              <w:bottom w:val="single" w:sz="4" w:space="0" w:color="auto"/>
              <w:right w:val="single" w:sz="4" w:space="0" w:color="auto"/>
            </w:tcBorders>
          </w:tcPr>
          <w:p w14:paraId="66C8713A" w14:textId="732B124E" w:rsidR="00B1609D" w:rsidRPr="009A7C29" w:rsidRDefault="000B5C6A" w:rsidP="00B1609D">
            <w:pPr>
              <w:jc w:val="center"/>
              <w:rPr>
                <w:rFonts w:cstheme="minorHAnsi"/>
                <w:sz w:val="20"/>
                <w:szCs w:val="20"/>
              </w:rPr>
            </w:pPr>
            <w:r w:rsidRPr="009A7C29">
              <w:rPr>
                <w:rFonts w:cstheme="minorHAnsi"/>
                <w:sz w:val="20"/>
                <w:szCs w:val="20"/>
              </w:rPr>
              <w:t>No</w:t>
            </w:r>
          </w:p>
          <w:p w14:paraId="528C2413" w14:textId="77777777" w:rsidR="00E324B0" w:rsidRDefault="00E324B0"/>
        </w:tc>
        <w:tc>
          <w:tcPr>
            <w:tcW w:w="1710" w:type="dxa"/>
            <w:tcBorders>
              <w:top w:val="single" w:sz="4" w:space="0" w:color="auto"/>
              <w:left w:val="single" w:sz="4" w:space="0" w:color="auto"/>
              <w:bottom w:val="single" w:sz="4" w:space="0" w:color="auto"/>
              <w:right w:val="single" w:sz="4" w:space="0" w:color="auto"/>
            </w:tcBorders>
          </w:tcPr>
          <w:p w14:paraId="6550D041" w14:textId="5DBB6AE3" w:rsidR="00E324B0" w:rsidRPr="005B44B5" w:rsidRDefault="00B1609D">
            <w:pPr>
              <w:rPr>
                <w:sz w:val="20"/>
                <w:szCs w:val="20"/>
              </w:rPr>
            </w:pPr>
            <w:r w:rsidRPr="005B44B5">
              <w:rPr>
                <w:sz w:val="20"/>
                <w:szCs w:val="20"/>
              </w:rPr>
              <w:t>Consulte la sección 7.</w:t>
            </w:r>
          </w:p>
        </w:tc>
      </w:tr>
      <w:tr w:rsidR="00B1609D" w:rsidRPr="00773863" w14:paraId="64DC1B99" w14:textId="77777777" w:rsidTr="008C4953">
        <w:tc>
          <w:tcPr>
            <w:tcW w:w="355" w:type="dxa"/>
            <w:tcBorders>
              <w:top w:val="single" w:sz="4" w:space="0" w:color="auto"/>
              <w:left w:val="single" w:sz="4" w:space="0" w:color="auto"/>
              <w:bottom w:val="single" w:sz="4" w:space="0" w:color="auto"/>
              <w:right w:val="single" w:sz="4" w:space="0" w:color="auto"/>
            </w:tcBorders>
          </w:tcPr>
          <w:p w14:paraId="2CACA303" w14:textId="112724CA" w:rsidR="00B1609D" w:rsidRPr="001B6B89" w:rsidRDefault="005B44B5">
            <w:pPr>
              <w:rPr>
                <w:sz w:val="20"/>
                <w:szCs w:val="20"/>
              </w:rPr>
            </w:pPr>
            <w:r>
              <w:rPr>
                <w:sz w:val="20"/>
                <w:szCs w:val="20"/>
              </w:rPr>
              <w:t>8</w:t>
            </w:r>
          </w:p>
        </w:tc>
        <w:tc>
          <w:tcPr>
            <w:tcW w:w="6300" w:type="dxa"/>
            <w:tcBorders>
              <w:top w:val="single" w:sz="4" w:space="0" w:color="auto"/>
              <w:left w:val="single" w:sz="4" w:space="0" w:color="auto"/>
              <w:bottom w:val="single" w:sz="4" w:space="0" w:color="auto"/>
              <w:right w:val="single" w:sz="4" w:space="0" w:color="auto"/>
            </w:tcBorders>
          </w:tcPr>
          <w:p w14:paraId="75F68294" w14:textId="1C62542E" w:rsidR="00B1609D" w:rsidRPr="00756410" w:rsidRDefault="00B1609D" w:rsidP="00B1609D">
            <w:pPr>
              <w:rPr>
                <w:sz w:val="20"/>
                <w:szCs w:val="20"/>
                <w:lang w:val="es-419"/>
              </w:rPr>
            </w:pPr>
            <w:r w:rsidRPr="00756410">
              <w:rPr>
                <w:b/>
                <w:bCs/>
                <w:sz w:val="20"/>
                <w:szCs w:val="20"/>
                <w:lang w:val="es-419"/>
              </w:rPr>
              <w:t>Transacciones de emergencia:</w:t>
            </w:r>
            <w:r w:rsidRPr="00756410">
              <w:rPr>
                <w:sz w:val="20"/>
                <w:szCs w:val="20"/>
                <w:lang w:val="es-419"/>
              </w:rPr>
              <w:t xml:space="preserve"> La</w:t>
            </w:r>
            <w:r w:rsidR="00805FF3">
              <w:rPr>
                <w:sz w:val="20"/>
                <w:szCs w:val="20"/>
                <w:lang w:val="es-419"/>
              </w:rPr>
              <w:t>s</w:t>
            </w:r>
            <w:r w:rsidRPr="00756410">
              <w:rPr>
                <w:sz w:val="20"/>
                <w:szCs w:val="20"/>
                <w:lang w:val="es-419"/>
              </w:rPr>
              <w:t xml:space="preserve"> primera</w:t>
            </w:r>
            <w:r w:rsidR="00805FF3">
              <w:rPr>
                <w:sz w:val="20"/>
                <w:szCs w:val="20"/>
                <w:lang w:val="es-419"/>
              </w:rPr>
              <w:t>s</w:t>
            </w:r>
            <w:r w:rsidRPr="00756410">
              <w:rPr>
                <w:sz w:val="20"/>
                <w:szCs w:val="20"/>
                <w:lang w:val="es-419"/>
              </w:rPr>
              <w:t>, segunda</w:t>
            </w:r>
            <w:r w:rsidR="00805FF3">
              <w:rPr>
                <w:sz w:val="20"/>
                <w:szCs w:val="20"/>
                <w:lang w:val="es-419"/>
              </w:rPr>
              <w:t>s</w:t>
            </w:r>
            <w:r w:rsidRPr="00756410">
              <w:rPr>
                <w:sz w:val="20"/>
                <w:szCs w:val="20"/>
                <w:lang w:val="es-419"/>
              </w:rPr>
              <w:t xml:space="preserve"> y tercera</w:t>
            </w:r>
            <w:r w:rsidR="00805FF3">
              <w:rPr>
                <w:sz w:val="20"/>
                <w:szCs w:val="20"/>
                <w:lang w:val="es-419"/>
              </w:rPr>
              <w:t>s</w:t>
            </w:r>
            <w:r w:rsidRPr="00756410">
              <w:rPr>
                <w:sz w:val="20"/>
                <w:szCs w:val="20"/>
                <w:lang w:val="es-419"/>
              </w:rPr>
              <w:t xml:space="preserve"> autoridades deben estar debidamente </w:t>
            </w:r>
            <w:r w:rsidR="00805FF3">
              <w:rPr>
                <w:sz w:val="20"/>
                <w:szCs w:val="20"/>
                <w:lang w:val="es-419"/>
              </w:rPr>
              <w:t>segregadas</w:t>
            </w:r>
            <w:r w:rsidR="00805FF3" w:rsidRPr="00756410">
              <w:rPr>
                <w:sz w:val="20"/>
                <w:szCs w:val="20"/>
                <w:lang w:val="es-419"/>
              </w:rPr>
              <w:t xml:space="preserve"> </w:t>
            </w:r>
            <w:r w:rsidRPr="00756410">
              <w:rPr>
                <w:sz w:val="20"/>
                <w:szCs w:val="20"/>
                <w:lang w:val="es-419"/>
              </w:rPr>
              <w:t xml:space="preserve">cuando se procesan las transacciones de emergencia </w:t>
            </w:r>
            <w:r w:rsidR="002441B4">
              <w:rPr>
                <w:sz w:val="20"/>
                <w:szCs w:val="20"/>
                <w:lang w:val="es-419"/>
              </w:rPr>
              <w:t xml:space="preserve">en la oficina de país debido a </w:t>
            </w:r>
            <w:r w:rsidRPr="00756410">
              <w:rPr>
                <w:sz w:val="20"/>
                <w:szCs w:val="20"/>
                <w:lang w:val="es-419"/>
              </w:rPr>
              <w:t xml:space="preserve">que el BMS/GSSC no puede realizar </w:t>
            </w:r>
            <w:r w:rsidR="002441B4">
              <w:rPr>
                <w:sz w:val="20"/>
                <w:szCs w:val="20"/>
                <w:lang w:val="es-419"/>
              </w:rPr>
              <w:t xml:space="preserve">las transacciones </w:t>
            </w:r>
            <w:r w:rsidRPr="00756410">
              <w:rPr>
                <w:sz w:val="20"/>
                <w:szCs w:val="20"/>
                <w:lang w:val="es-419"/>
              </w:rPr>
              <w:t xml:space="preserve">a tiempo. Consulte </w:t>
            </w:r>
            <w:hyperlink r:id="rId17">
              <w:r w:rsidR="002441B4">
                <w:rPr>
                  <w:rStyle w:val="Hyperlink"/>
                  <w:sz w:val="20"/>
                  <w:szCs w:val="20"/>
                  <w:lang w:val="es-419"/>
                </w:rPr>
                <w:t>el SOP del GSSC sobre transacciones financieras de emergencia</w:t>
              </w:r>
            </w:hyperlink>
            <w:r w:rsidR="00782C9A" w:rsidRPr="00756410">
              <w:rPr>
                <w:color w:val="ED7D31" w:themeColor="accent2"/>
                <w:sz w:val="20"/>
                <w:szCs w:val="20"/>
                <w:lang w:val="es-419"/>
              </w:rPr>
              <w:t>.</w:t>
            </w:r>
          </w:p>
        </w:tc>
        <w:tc>
          <w:tcPr>
            <w:tcW w:w="1350" w:type="dxa"/>
            <w:tcBorders>
              <w:top w:val="single" w:sz="4" w:space="0" w:color="auto"/>
              <w:left w:val="single" w:sz="4" w:space="0" w:color="auto"/>
              <w:bottom w:val="single" w:sz="4" w:space="0" w:color="auto"/>
              <w:right w:val="single" w:sz="4" w:space="0" w:color="auto"/>
            </w:tcBorders>
          </w:tcPr>
          <w:p w14:paraId="0CFC5577" w14:textId="77FFF467" w:rsidR="00B1609D" w:rsidRPr="00B1609D" w:rsidRDefault="00782C9A" w:rsidP="00B1609D">
            <w:pPr>
              <w:jc w:val="center"/>
              <w:rPr>
                <w:rFonts w:ascii="Webdings" w:hAnsi="Webdings"/>
                <w:sz w:val="24"/>
                <w:szCs w:val="24"/>
              </w:rPr>
            </w:pPr>
            <w:r>
              <w:rPr>
                <w:rFonts w:cstheme="minorHAnsi"/>
                <w:sz w:val="20"/>
                <w:szCs w:val="20"/>
              </w:rPr>
              <w:t>No</w:t>
            </w:r>
          </w:p>
        </w:tc>
        <w:tc>
          <w:tcPr>
            <w:tcW w:w="1710" w:type="dxa"/>
            <w:tcBorders>
              <w:top w:val="single" w:sz="4" w:space="0" w:color="auto"/>
              <w:left w:val="single" w:sz="4" w:space="0" w:color="auto"/>
              <w:bottom w:val="single" w:sz="4" w:space="0" w:color="auto"/>
              <w:right w:val="single" w:sz="4" w:space="0" w:color="auto"/>
            </w:tcBorders>
          </w:tcPr>
          <w:p w14:paraId="476766B5" w14:textId="6B893A9A" w:rsidR="00B1609D" w:rsidRPr="00756410" w:rsidRDefault="00782C9A">
            <w:pPr>
              <w:rPr>
                <w:sz w:val="20"/>
                <w:szCs w:val="20"/>
                <w:lang w:val="es-419"/>
              </w:rPr>
            </w:pPr>
            <w:r w:rsidRPr="00756410">
              <w:rPr>
                <w:sz w:val="20"/>
                <w:szCs w:val="20"/>
                <w:lang w:val="es-419"/>
              </w:rPr>
              <w:t>L</w:t>
            </w:r>
            <w:r w:rsidR="00B8256D">
              <w:rPr>
                <w:sz w:val="20"/>
                <w:szCs w:val="20"/>
                <w:lang w:val="es-419"/>
              </w:rPr>
              <w:t xml:space="preserve">as oficinas de país </w:t>
            </w:r>
            <w:r w:rsidRPr="00756410">
              <w:rPr>
                <w:sz w:val="20"/>
                <w:szCs w:val="20"/>
                <w:lang w:val="es-419"/>
              </w:rPr>
              <w:t>solo pueden realizar pagos manuales fuera de Quantum</w:t>
            </w:r>
          </w:p>
        </w:tc>
      </w:tr>
    </w:tbl>
    <w:p w14:paraId="2037639C" w14:textId="77777777" w:rsidR="00A33186" w:rsidRPr="00756410" w:rsidRDefault="00A33186">
      <w:pPr>
        <w:rPr>
          <w:sz w:val="8"/>
          <w:szCs w:val="8"/>
          <w:lang w:val="es-419"/>
        </w:rPr>
      </w:pPr>
    </w:p>
    <w:p w14:paraId="1D616E08" w14:textId="6F9B830F" w:rsidR="005B44B5" w:rsidRPr="00756410" w:rsidRDefault="005B44B5">
      <w:pPr>
        <w:pStyle w:val="Heading2"/>
        <w:numPr>
          <w:ilvl w:val="1"/>
          <w:numId w:val="93"/>
        </w:numPr>
        <w:spacing w:after="240"/>
        <w:rPr>
          <w:lang w:val="es-419"/>
        </w:rPr>
      </w:pPr>
      <w:bookmarkStart w:id="11" w:name="_Toc134134741"/>
      <w:bookmarkStart w:id="12" w:name="_Toc210052742"/>
      <w:r w:rsidRPr="00756410">
        <w:rPr>
          <w:lang w:val="es-419"/>
        </w:rPr>
        <w:t>Identificación y gestión de conflictos de intereses</w:t>
      </w:r>
      <w:bookmarkEnd w:id="11"/>
      <w:bookmarkEnd w:id="12"/>
    </w:p>
    <w:p w14:paraId="050792E4" w14:textId="6F78031C" w:rsidR="005B44B5" w:rsidRPr="00756410" w:rsidRDefault="005B44B5" w:rsidP="00817B66">
      <w:pPr>
        <w:spacing w:line="240" w:lineRule="auto"/>
        <w:rPr>
          <w:lang w:val="es-419"/>
        </w:rPr>
      </w:pPr>
      <w:r w:rsidRPr="00756410">
        <w:rPr>
          <w:b/>
          <w:lang w:val="es-419"/>
        </w:rPr>
        <w:t xml:space="preserve">Conflicto entre los intereses del PNUD y </w:t>
      </w:r>
      <w:r w:rsidR="00766C63">
        <w:rPr>
          <w:b/>
          <w:lang w:val="es-419"/>
        </w:rPr>
        <w:t>un</w:t>
      </w:r>
      <w:r w:rsidR="00766C63" w:rsidRPr="00756410">
        <w:rPr>
          <w:b/>
          <w:lang w:val="es-419"/>
        </w:rPr>
        <w:t xml:space="preserve"> </w:t>
      </w:r>
      <w:r w:rsidRPr="00756410">
        <w:rPr>
          <w:b/>
          <w:lang w:val="es-419"/>
        </w:rPr>
        <w:t>individuo:</w:t>
      </w:r>
      <w:r w:rsidRPr="00756410">
        <w:rPr>
          <w:lang w:val="es-419"/>
        </w:rPr>
        <w:t xml:space="preserve"> La cláusula 1.2 (g) del Estatuto del Personal aclara que el personal del PNUD no utilizará los conocimientos adquiridos en sus funciones oficiales para beneficio privado, financiero o de otro tipo, o para el beneficio de terceros, incluidos familiares, amigos y aquellos a quienes </w:t>
      </w:r>
      <w:r w:rsidR="00771CD6">
        <w:rPr>
          <w:lang w:val="es-419"/>
        </w:rPr>
        <w:t xml:space="preserve">estos </w:t>
      </w:r>
      <w:r w:rsidRPr="00756410">
        <w:rPr>
          <w:lang w:val="es-419"/>
        </w:rPr>
        <w:t xml:space="preserve">favorezcan. Pueden surgir situaciones en las que una persona que actúa para el PNUD se enfrente a un posible conflicto entre los intereses del PNUD y los intereses de la persona. Si bien </w:t>
      </w:r>
      <w:r w:rsidR="00304DD3">
        <w:rPr>
          <w:lang w:val="es-419"/>
        </w:rPr>
        <w:t xml:space="preserve">el </w:t>
      </w:r>
      <w:r w:rsidR="00304DD3" w:rsidRPr="002D0E12">
        <w:rPr>
          <w:lang w:val="es-419"/>
        </w:rPr>
        <w:t xml:space="preserve">Estatuto del Personal dispone </w:t>
      </w:r>
      <w:r w:rsidRPr="00756410">
        <w:rPr>
          <w:lang w:val="es-419"/>
        </w:rPr>
        <w:t xml:space="preserve">en el apartado m) de la cláusula 1.2 que el personal tiene la obligación de comunicar </w:t>
      </w:r>
      <w:r w:rsidR="00FD39E6">
        <w:rPr>
          <w:lang w:val="es-419"/>
        </w:rPr>
        <w:t>al</w:t>
      </w:r>
      <w:r w:rsidRPr="00756410">
        <w:rPr>
          <w:lang w:val="es-419"/>
        </w:rPr>
        <w:t xml:space="preserve"> jefe de </w:t>
      </w:r>
      <w:r w:rsidR="00FD39E6">
        <w:rPr>
          <w:lang w:val="es-419"/>
        </w:rPr>
        <w:t xml:space="preserve">la </w:t>
      </w:r>
      <w:r w:rsidRPr="00756410">
        <w:rPr>
          <w:lang w:val="es-419"/>
        </w:rPr>
        <w:t xml:space="preserve">oficina o dependencia </w:t>
      </w:r>
      <w:r w:rsidR="00FD39E6">
        <w:rPr>
          <w:lang w:val="es-419"/>
        </w:rPr>
        <w:t xml:space="preserve">sobre </w:t>
      </w:r>
      <w:r w:rsidRPr="00756410">
        <w:rPr>
          <w:lang w:val="es-419"/>
        </w:rPr>
        <w:t xml:space="preserve">cualquier conflicto de </w:t>
      </w:r>
      <w:r w:rsidR="00385CC6" w:rsidRPr="00385CC6">
        <w:rPr>
          <w:lang w:val="es-419"/>
        </w:rPr>
        <w:t>interés</w:t>
      </w:r>
      <w:r w:rsidRPr="00756410">
        <w:rPr>
          <w:lang w:val="es-419"/>
        </w:rPr>
        <w:t xml:space="preserve"> potencial o real para que pueda resolverse en favor de los intereses de la Organización, también deben aplicarse procedimientos y controles internos en todas las oficinas o dependencias para detectar y gestionar cualquier posible conflicto.  para que los intereses </w:t>
      </w:r>
      <w:r w:rsidRPr="00756410">
        <w:rPr>
          <w:lang w:val="es-419"/>
        </w:rPr>
        <w:lastRenderedPageBreak/>
        <w:t xml:space="preserve">del PNUD estén siempre protegidos. A </w:t>
      </w:r>
      <w:r w:rsidR="00740C16" w:rsidRPr="00740C16">
        <w:rPr>
          <w:lang w:val="es-419"/>
        </w:rPr>
        <w:t>continuación,</w:t>
      </w:r>
      <w:r w:rsidRPr="00756410">
        <w:rPr>
          <w:lang w:val="es-419"/>
        </w:rPr>
        <w:t xml:space="preserve"> se proporcionan algunos ejemplos de conflictos de intereses.</w:t>
      </w:r>
    </w:p>
    <w:p w14:paraId="062745DD" w14:textId="2A7CCD00" w:rsidR="005B44B5" w:rsidRPr="00756410" w:rsidRDefault="005B44B5">
      <w:pPr>
        <w:pStyle w:val="ListParagraph"/>
        <w:numPr>
          <w:ilvl w:val="0"/>
          <w:numId w:val="8"/>
        </w:numPr>
        <w:spacing w:line="240" w:lineRule="auto"/>
        <w:rPr>
          <w:lang w:val="es-419"/>
        </w:rPr>
      </w:pPr>
      <w:r w:rsidRPr="00756410">
        <w:rPr>
          <w:b/>
          <w:bCs/>
          <w:lang w:val="es-419"/>
        </w:rPr>
        <w:t>Pagos a individuos:</w:t>
      </w:r>
      <w:r w:rsidRPr="00756410">
        <w:rPr>
          <w:lang w:val="es-419"/>
        </w:rPr>
        <w:t xml:space="preserve"> Creación o aprobación de transacciones que se relacionan con personas o entidades en las que el individuo que actúa para el PNUD tiene un interés, como un pago a sí mismo, a un pariente, a un amigo o a una empresa en la que tiene un interés financiero; o autorización de viaje para uno mismo, un pariente o un amigo.</w:t>
      </w:r>
    </w:p>
    <w:p w14:paraId="2722946E" w14:textId="77777777" w:rsidR="005B44B5" w:rsidRPr="00756410" w:rsidRDefault="005B44B5" w:rsidP="00817B66">
      <w:pPr>
        <w:pStyle w:val="ListParagraph"/>
        <w:spacing w:line="240" w:lineRule="auto"/>
        <w:rPr>
          <w:lang w:val="es-419"/>
        </w:rPr>
      </w:pPr>
    </w:p>
    <w:p w14:paraId="2BAFF113" w14:textId="37AA6260" w:rsidR="005B44B5" w:rsidRPr="00756410" w:rsidRDefault="00942CD1">
      <w:pPr>
        <w:pStyle w:val="ListParagraph"/>
        <w:numPr>
          <w:ilvl w:val="0"/>
          <w:numId w:val="8"/>
        </w:numPr>
        <w:spacing w:line="240" w:lineRule="auto"/>
        <w:rPr>
          <w:lang w:val="es-419"/>
        </w:rPr>
      </w:pPr>
      <w:r>
        <w:rPr>
          <w:b/>
          <w:bCs/>
          <w:lang w:val="es-419"/>
        </w:rPr>
        <w:t>Gerente</w:t>
      </w:r>
      <w:r w:rsidRPr="00756410">
        <w:rPr>
          <w:b/>
          <w:bCs/>
          <w:lang w:val="es-419"/>
        </w:rPr>
        <w:t xml:space="preserve"> </w:t>
      </w:r>
      <w:r w:rsidR="005B44B5" w:rsidRPr="00756410">
        <w:rPr>
          <w:b/>
          <w:bCs/>
          <w:lang w:val="es-419"/>
        </w:rPr>
        <w:t>de proyectos:</w:t>
      </w:r>
      <w:r w:rsidR="005B44B5" w:rsidRPr="00756410">
        <w:rPr>
          <w:lang w:val="es-419"/>
        </w:rPr>
        <w:t xml:space="preserve"> Cuando un miembro del personal es tanto un gerente de proyecto como un</w:t>
      </w:r>
      <w:r>
        <w:rPr>
          <w:lang w:val="es-419"/>
        </w:rPr>
        <w:t>a</w:t>
      </w:r>
      <w:r w:rsidR="005B44B5" w:rsidRPr="00756410">
        <w:rPr>
          <w:lang w:val="es-419"/>
        </w:rPr>
        <w:t xml:space="preserve"> </w:t>
      </w:r>
      <w:r>
        <w:rPr>
          <w:lang w:val="es-419"/>
        </w:rPr>
        <w:t xml:space="preserve">autoridad </w:t>
      </w:r>
      <w:r w:rsidR="005B44B5" w:rsidRPr="00756410">
        <w:rPr>
          <w:lang w:val="es-419"/>
        </w:rPr>
        <w:t xml:space="preserve">de aprobación, no debe aprobar órdenes de compra, facturas o facturas prepagas para sus proyectos </w:t>
      </w:r>
      <w:r w:rsidR="00837B06">
        <w:rPr>
          <w:lang w:val="es-419"/>
        </w:rPr>
        <w:t xml:space="preserve">en el caso de proyectos de </w:t>
      </w:r>
      <w:r w:rsidR="005B44B5" w:rsidRPr="00756410">
        <w:rPr>
          <w:lang w:val="es-419"/>
        </w:rPr>
        <w:t xml:space="preserve">desarrollo </w:t>
      </w:r>
      <w:r w:rsidR="00837B06">
        <w:rPr>
          <w:lang w:val="es-419"/>
        </w:rPr>
        <w:t>como proyectos de</w:t>
      </w:r>
      <w:r w:rsidR="00837B06" w:rsidRPr="00756410">
        <w:rPr>
          <w:lang w:val="es-419"/>
        </w:rPr>
        <w:t xml:space="preserve"> </w:t>
      </w:r>
      <w:r w:rsidR="005B44B5" w:rsidRPr="00756410">
        <w:rPr>
          <w:lang w:val="es-419"/>
        </w:rPr>
        <w:t>gestión</w:t>
      </w:r>
      <w:r w:rsidR="00837B06">
        <w:rPr>
          <w:lang w:val="es-419"/>
        </w:rPr>
        <w:t xml:space="preserve"> interna</w:t>
      </w:r>
      <w:r w:rsidR="005B44B5" w:rsidRPr="00756410">
        <w:rPr>
          <w:lang w:val="es-419"/>
        </w:rPr>
        <w:t xml:space="preserve">. Actuar como </w:t>
      </w:r>
      <w:r>
        <w:rPr>
          <w:lang w:val="es-419"/>
        </w:rPr>
        <w:t xml:space="preserve">Autoridad </w:t>
      </w:r>
      <w:r w:rsidR="005B44B5" w:rsidRPr="00756410">
        <w:rPr>
          <w:lang w:val="es-419"/>
        </w:rPr>
        <w:t>de Aprobación para transacciones con cargo a sus propios proyectos representa un conflicto de intereses.</w:t>
      </w:r>
    </w:p>
    <w:p w14:paraId="1C02C2E2" w14:textId="77777777" w:rsidR="00A75947" w:rsidRPr="00756410" w:rsidRDefault="00A75947" w:rsidP="00A75947">
      <w:pPr>
        <w:pStyle w:val="ListParagraph"/>
        <w:rPr>
          <w:lang w:val="es-419"/>
        </w:rPr>
      </w:pPr>
    </w:p>
    <w:p w14:paraId="6004248B" w14:textId="13926BB6" w:rsidR="00A75947" w:rsidRPr="00756410" w:rsidRDefault="00A75947">
      <w:pPr>
        <w:pStyle w:val="ListParagraph"/>
        <w:numPr>
          <w:ilvl w:val="0"/>
          <w:numId w:val="8"/>
        </w:numPr>
        <w:spacing w:line="240" w:lineRule="auto"/>
        <w:rPr>
          <w:color w:val="ED7D31" w:themeColor="accent2"/>
          <w:lang w:val="es-419"/>
        </w:rPr>
      </w:pPr>
      <w:r w:rsidRPr="00756410">
        <w:rPr>
          <w:b/>
          <w:bCs/>
          <w:lang w:val="es-419"/>
        </w:rPr>
        <w:t>Participación en comités:</w:t>
      </w:r>
      <w:r w:rsidRPr="00756410">
        <w:rPr>
          <w:lang w:val="es-419"/>
        </w:rPr>
        <w:t xml:space="preserve"> El personal que participa en comités de supervisión o asesoramiento (por ejemplo, comités de supervisión de adquisiciones, comités asesor</w:t>
      </w:r>
      <w:r w:rsidR="002F6A52">
        <w:rPr>
          <w:lang w:val="es-419"/>
        </w:rPr>
        <w:t>amiento</w:t>
      </w:r>
      <w:r w:rsidRPr="00756410">
        <w:rPr>
          <w:lang w:val="es-419"/>
        </w:rPr>
        <w:t xml:space="preserve"> de inversiones, etc.) debe</w:t>
      </w:r>
      <w:r w:rsidR="008F752E">
        <w:rPr>
          <w:lang w:val="es-419"/>
        </w:rPr>
        <w:t>n</w:t>
      </w:r>
      <w:r w:rsidRPr="00756410">
        <w:rPr>
          <w:lang w:val="es-419"/>
        </w:rPr>
        <w:t xml:space="preserve"> </w:t>
      </w:r>
      <w:r w:rsidR="00C64682">
        <w:rPr>
          <w:lang w:val="es-419"/>
        </w:rPr>
        <w:t>confirmar</w:t>
      </w:r>
      <w:r w:rsidR="00C64682" w:rsidRPr="00756410">
        <w:rPr>
          <w:lang w:val="es-419"/>
        </w:rPr>
        <w:t xml:space="preserve"> </w:t>
      </w:r>
      <w:r w:rsidRPr="00756410">
        <w:rPr>
          <w:lang w:val="es-419"/>
        </w:rPr>
        <w:t xml:space="preserve">formalmente que no tiene ningún conflicto de intereses en los puntos de la agenda </w:t>
      </w:r>
      <w:r w:rsidR="00C64682">
        <w:rPr>
          <w:lang w:val="es-419"/>
        </w:rPr>
        <w:t xml:space="preserve">que serán </w:t>
      </w:r>
      <w:r w:rsidRPr="00756410">
        <w:rPr>
          <w:lang w:val="es-419"/>
        </w:rPr>
        <w:t xml:space="preserve">presentados para la deliberación del comité o recusarse si surge un conflicto de intereses. Cuando lo exija la política del </w:t>
      </w:r>
      <w:hyperlink r:id="rId18" w:history="1">
        <w:r w:rsidRPr="00756410">
          <w:rPr>
            <w:rStyle w:val="Hyperlink"/>
            <w:color w:val="auto"/>
            <w:lang w:val="es-419"/>
          </w:rPr>
          <w:t xml:space="preserve">Programa de </w:t>
        </w:r>
        <w:r w:rsidR="00CE649F">
          <w:rPr>
            <w:rStyle w:val="Hyperlink"/>
            <w:color w:val="auto"/>
            <w:lang w:val="es-419"/>
          </w:rPr>
          <w:t>Declaración</w:t>
        </w:r>
        <w:r w:rsidRPr="00756410">
          <w:rPr>
            <w:rStyle w:val="Hyperlink"/>
            <w:color w:val="auto"/>
            <w:lang w:val="es-419"/>
          </w:rPr>
          <w:t xml:space="preserve"> Financiera</w:t>
        </w:r>
      </w:hyperlink>
      <w:r w:rsidRPr="00756410">
        <w:rPr>
          <w:lang w:val="es-419"/>
        </w:rPr>
        <w:t xml:space="preserve">, el personal también debe completar su Declaración de Situación Financiera anual, para confirmar que no existen </w:t>
      </w:r>
      <w:r w:rsidRPr="00756410">
        <w:rPr>
          <w:shd w:val="clear" w:color="auto" w:fill="FCFCFC"/>
          <w:lang w:val="es-419"/>
        </w:rPr>
        <w:t>conflictos reales, aparentes</w:t>
      </w:r>
      <w:r w:rsidR="006571CB">
        <w:rPr>
          <w:shd w:val="clear" w:color="auto" w:fill="FCFCFC"/>
          <w:lang w:val="es-419"/>
        </w:rPr>
        <w:t xml:space="preserve"> o</w:t>
      </w:r>
      <w:r w:rsidRPr="00756410">
        <w:rPr>
          <w:shd w:val="clear" w:color="auto" w:fill="FCFCFC"/>
          <w:lang w:val="es-419"/>
        </w:rPr>
        <w:t xml:space="preserve"> potenciales entre sus responsabilidades profesionales y sus intereses y actividades financieras privadas.</w:t>
      </w:r>
    </w:p>
    <w:p w14:paraId="0E9AE5D6" w14:textId="127F76F4" w:rsidR="005B44B5" w:rsidRPr="00756410" w:rsidRDefault="003C3D3F" w:rsidP="00817B66">
      <w:pPr>
        <w:spacing w:line="240" w:lineRule="auto"/>
        <w:rPr>
          <w:lang w:val="es-419"/>
        </w:rPr>
      </w:pPr>
      <w:r>
        <w:rPr>
          <w:b/>
          <w:lang w:val="es-419"/>
        </w:rPr>
        <w:t>Acciones requeridas</w:t>
      </w:r>
      <w:r w:rsidR="005B44B5" w:rsidRPr="00756410">
        <w:rPr>
          <w:b/>
          <w:lang w:val="es-419"/>
        </w:rPr>
        <w:t>:</w:t>
      </w:r>
      <w:r w:rsidR="005B44B5" w:rsidRPr="00756410">
        <w:rPr>
          <w:lang w:val="es-419"/>
        </w:rPr>
        <w:t xml:space="preserve"> Cuando surjan posibles conflictos, la persona debe informar a la </w:t>
      </w:r>
      <w:r w:rsidR="009134DF">
        <w:rPr>
          <w:lang w:val="es-419"/>
        </w:rPr>
        <w:t>gerencia</w:t>
      </w:r>
      <w:r w:rsidR="009134DF" w:rsidRPr="00756410">
        <w:rPr>
          <w:lang w:val="es-419"/>
        </w:rPr>
        <w:t xml:space="preserve"> </w:t>
      </w:r>
      <w:r w:rsidR="005B44B5" w:rsidRPr="00756410">
        <w:rPr>
          <w:lang w:val="es-419"/>
        </w:rPr>
        <w:t xml:space="preserve">del PNUD y negarse a procesar una transacción </w:t>
      </w:r>
      <w:r w:rsidR="000E43B4">
        <w:rPr>
          <w:lang w:val="es-419"/>
        </w:rPr>
        <w:t>así como</w:t>
      </w:r>
      <w:r w:rsidR="000E43B4" w:rsidRPr="00756410">
        <w:rPr>
          <w:lang w:val="es-419"/>
        </w:rPr>
        <w:t xml:space="preserve"> </w:t>
      </w:r>
      <w:r w:rsidR="0024064D">
        <w:rPr>
          <w:lang w:val="es-419"/>
        </w:rPr>
        <w:t>enviar</w:t>
      </w:r>
      <w:r w:rsidR="0024064D" w:rsidRPr="00756410">
        <w:rPr>
          <w:lang w:val="es-419"/>
        </w:rPr>
        <w:t xml:space="preserve"> </w:t>
      </w:r>
      <w:r w:rsidR="005B44B5" w:rsidRPr="00756410">
        <w:rPr>
          <w:lang w:val="es-419"/>
        </w:rPr>
        <w:t>la transacción a otr</w:t>
      </w:r>
      <w:r w:rsidR="0024064D">
        <w:rPr>
          <w:lang w:val="es-419"/>
        </w:rPr>
        <w:t>a</w:t>
      </w:r>
      <w:r w:rsidR="005B44B5" w:rsidRPr="00756410">
        <w:rPr>
          <w:lang w:val="es-419"/>
        </w:rPr>
        <w:t xml:space="preserve"> </w:t>
      </w:r>
      <w:r w:rsidR="0024064D">
        <w:rPr>
          <w:lang w:val="es-419"/>
        </w:rPr>
        <w:t xml:space="preserve">autoridad </w:t>
      </w:r>
      <w:r w:rsidR="005B44B5" w:rsidRPr="00756410">
        <w:rPr>
          <w:lang w:val="es-419"/>
        </w:rPr>
        <w:t xml:space="preserve">para su procesamiento. Cuando </w:t>
      </w:r>
      <w:r w:rsidR="00C704C3">
        <w:rPr>
          <w:lang w:val="es-419"/>
        </w:rPr>
        <w:t xml:space="preserve">exista la posibilidad de que </w:t>
      </w:r>
      <w:r w:rsidR="00E24D90">
        <w:rPr>
          <w:lang w:val="es-419"/>
        </w:rPr>
        <w:t xml:space="preserve">haya que evitar </w:t>
      </w:r>
      <w:r w:rsidR="005B44B5" w:rsidRPr="00756410">
        <w:rPr>
          <w:lang w:val="es-419"/>
        </w:rPr>
        <w:t xml:space="preserve">tales transacciones de forma rutinaria, </w:t>
      </w:r>
      <w:r w:rsidR="00E24D90">
        <w:rPr>
          <w:lang w:val="es-419"/>
        </w:rPr>
        <w:t>se deberá considerar</w:t>
      </w:r>
      <w:r w:rsidR="005B44B5" w:rsidRPr="00756410">
        <w:rPr>
          <w:lang w:val="es-419"/>
        </w:rPr>
        <w:t xml:space="preserve"> excusar o recusar </w:t>
      </w:r>
      <w:r w:rsidR="009565C2">
        <w:rPr>
          <w:lang w:val="es-419"/>
        </w:rPr>
        <w:t>al individuo</w:t>
      </w:r>
      <w:r w:rsidR="005B44B5" w:rsidRPr="00756410">
        <w:rPr>
          <w:lang w:val="es-419"/>
        </w:rPr>
        <w:t xml:space="preserve"> por escrito </w:t>
      </w:r>
      <w:r w:rsidR="007A351A">
        <w:rPr>
          <w:lang w:val="es-419"/>
        </w:rPr>
        <w:t xml:space="preserve">involucrado. Esta decisión </w:t>
      </w:r>
      <w:r w:rsidR="00385CC6" w:rsidRPr="00385CC6">
        <w:rPr>
          <w:lang w:val="es-419"/>
        </w:rPr>
        <w:t>debe</w:t>
      </w:r>
      <w:r w:rsidR="00385CC6">
        <w:rPr>
          <w:lang w:val="es-419"/>
        </w:rPr>
        <w:t>rá</w:t>
      </w:r>
      <w:r w:rsidR="005B44B5" w:rsidRPr="00756410">
        <w:rPr>
          <w:lang w:val="es-419"/>
        </w:rPr>
        <w:t xml:space="preserve"> discutirse con su superior jerárquico y remitirse al Jefe de la Oficina o Unidad. El Jefe de la Oficina/Unidad, como parte de su responsabilidad general, </w:t>
      </w:r>
      <w:r w:rsidR="00071307">
        <w:rPr>
          <w:lang w:val="es-419"/>
        </w:rPr>
        <w:t>podrá</w:t>
      </w:r>
      <w:r w:rsidR="00211251">
        <w:rPr>
          <w:lang w:val="es-419"/>
        </w:rPr>
        <w:t xml:space="preserve"> </w:t>
      </w:r>
      <w:r w:rsidR="005B44B5" w:rsidRPr="00756410">
        <w:rPr>
          <w:lang w:val="es-419"/>
        </w:rPr>
        <w:t xml:space="preserve">ejercer su mejor </w:t>
      </w:r>
      <w:r w:rsidR="00211251">
        <w:rPr>
          <w:lang w:val="es-419"/>
        </w:rPr>
        <w:t xml:space="preserve">criterio para determinar </w:t>
      </w:r>
      <w:r w:rsidR="005B44B5" w:rsidRPr="00756410">
        <w:rPr>
          <w:lang w:val="es-419"/>
        </w:rPr>
        <w:t xml:space="preserve">si </w:t>
      </w:r>
      <w:r w:rsidR="003C3036">
        <w:rPr>
          <w:lang w:val="es-419"/>
        </w:rPr>
        <w:t>el</w:t>
      </w:r>
      <w:r w:rsidR="003C3036" w:rsidRPr="00756410">
        <w:rPr>
          <w:lang w:val="es-419"/>
        </w:rPr>
        <w:t xml:space="preserve"> </w:t>
      </w:r>
      <w:r w:rsidR="005B44B5" w:rsidRPr="00756410">
        <w:rPr>
          <w:lang w:val="es-419"/>
        </w:rPr>
        <w:t>conflicto de intereses representa un riesgo operativo para la oficina</w:t>
      </w:r>
      <w:r w:rsidR="003C3036">
        <w:rPr>
          <w:lang w:val="es-419"/>
        </w:rPr>
        <w:t xml:space="preserve"> o </w:t>
      </w:r>
      <w:r w:rsidR="005B44B5" w:rsidRPr="00756410">
        <w:rPr>
          <w:lang w:val="es-419"/>
        </w:rPr>
        <w:t>unidad.</w:t>
      </w:r>
    </w:p>
    <w:p w14:paraId="4FB42C3F" w14:textId="764168A6" w:rsidR="002B6083" w:rsidRPr="00756410" w:rsidRDefault="00B47A2E">
      <w:pPr>
        <w:pStyle w:val="Heading2"/>
        <w:numPr>
          <w:ilvl w:val="1"/>
          <w:numId w:val="93"/>
        </w:numPr>
        <w:spacing w:after="240"/>
        <w:rPr>
          <w:lang w:val="es-419"/>
        </w:rPr>
      </w:pPr>
      <w:bookmarkStart w:id="13" w:name="_Toc210052743"/>
      <w:bookmarkEnd w:id="13"/>
      <w:r w:rsidRPr="00756410">
        <w:rPr>
          <w:lang w:val="es-419"/>
        </w:rPr>
        <w:t xml:space="preserve">Roles que debe desempeñar el personal </w:t>
      </w:r>
    </w:p>
    <w:p w14:paraId="6C625EC6" w14:textId="5B033169" w:rsidR="00B47A2E" w:rsidRDefault="00B47A2E" w:rsidP="00756410">
      <w:pPr>
        <w:spacing w:line="240" w:lineRule="auto"/>
        <w:jc w:val="both"/>
        <w:rPr>
          <w:lang w:val="es-419"/>
        </w:rPr>
      </w:pPr>
      <w:r w:rsidRPr="00756410">
        <w:rPr>
          <w:b/>
          <w:lang w:val="es-419"/>
        </w:rPr>
        <w:t xml:space="preserve">¿Por qué es esto importante? </w:t>
      </w:r>
      <w:r w:rsidRPr="00756410">
        <w:rPr>
          <w:lang w:val="es-419"/>
        </w:rPr>
        <w:t>En principio, el personal que no es de plantilla no puede desempeñar funciones "inherentes" a las Naciones Unidas</w:t>
      </w:r>
      <w:r w:rsidR="0082757A">
        <w:rPr>
          <w:lang w:val="es-419"/>
        </w:rPr>
        <w:t xml:space="preserve">. Estas funciones </w:t>
      </w:r>
      <w:r w:rsidRPr="00756410">
        <w:rPr>
          <w:lang w:val="es-419"/>
        </w:rPr>
        <w:t xml:space="preserve"> incluyen: a) </w:t>
      </w:r>
      <w:r w:rsidR="00F445F0">
        <w:rPr>
          <w:lang w:val="es-419"/>
        </w:rPr>
        <w:t>comprometer</w:t>
      </w:r>
      <w:r w:rsidR="00F445F0" w:rsidRPr="00756410">
        <w:rPr>
          <w:lang w:val="es-419"/>
        </w:rPr>
        <w:t xml:space="preserve"> </w:t>
      </w:r>
      <w:r w:rsidRPr="00756410">
        <w:rPr>
          <w:lang w:val="es-419"/>
        </w:rPr>
        <w:t xml:space="preserve">al PNUD a adoptar alguna medida por contrato (es decir, contraer compromisos jurídicos o financieros); b) ejercer el control último sobre </w:t>
      </w:r>
      <w:r w:rsidR="00EE77A8">
        <w:rPr>
          <w:lang w:val="es-419"/>
        </w:rPr>
        <w:t>una</w:t>
      </w:r>
      <w:r w:rsidR="00EE77A8" w:rsidRPr="00756410">
        <w:rPr>
          <w:lang w:val="es-419"/>
        </w:rPr>
        <w:t xml:space="preserve"> </w:t>
      </w:r>
      <w:r w:rsidRPr="00756410">
        <w:rPr>
          <w:lang w:val="es-419"/>
        </w:rPr>
        <w:t xml:space="preserve">adquisición, utilización o disposición de bienes de las Naciones Unidas; (c) establecer políticas o procedimientos para la recaudación, control o desembolso de fondos; o d) actuar como custodio de control interno de la organización. Como </w:t>
      </w:r>
      <w:r w:rsidR="00EE77A8" w:rsidRPr="00EE77A8">
        <w:rPr>
          <w:lang w:val="es-419"/>
        </w:rPr>
        <w:t>resultado, el</w:t>
      </w:r>
      <w:r w:rsidRPr="00756410">
        <w:rPr>
          <w:lang w:val="es-419"/>
        </w:rPr>
        <w:t xml:space="preserve"> </w:t>
      </w:r>
      <w:r w:rsidRPr="00756410">
        <w:rPr>
          <w:b/>
          <w:lang w:val="es-419"/>
        </w:rPr>
        <w:t>personal que no es de plantilla no puede realizar funciones de control que abarquen estas áreas, incluidas las aprobaciones de transacciones (segunda y tercera autoridad) o la toma de decisiones de gestión de activos (como se refleja en las funciones que figuran en el cuadro siguiente que deben desempeñar</w:t>
      </w:r>
      <w:r w:rsidR="004B500F">
        <w:rPr>
          <w:b/>
          <w:lang w:val="es-419"/>
        </w:rPr>
        <w:t xml:space="preserve"> </w:t>
      </w:r>
      <w:r w:rsidR="004E60C8">
        <w:rPr>
          <w:b/>
          <w:lang w:val="es-419"/>
        </w:rPr>
        <w:t>únicamente</w:t>
      </w:r>
      <w:r w:rsidRPr="00756410">
        <w:rPr>
          <w:b/>
          <w:lang w:val="es-419"/>
        </w:rPr>
        <w:t xml:space="preserve"> </w:t>
      </w:r>
      <w:r w:rsidR="00642CB2">
        <w:rPr>
          <w:b/>
          <w:lang w:val="es-419"/>
        </w:rPr>
        <w:t>por personal</w:t>
      </w:r>
      <w:r w:rsidR="00642CB2" w:rsidRPr="00756410">
        <w:rPr>
          <w:b/>
          <w:lang w:val="es-419"/>
        </w:rPr>
        <w:t xml:space="preserve"> </w:t>
      </w:r>
      <w:r w:rsidRPr="00756410">
        <w:rPr>
          <w:b/>
          <w:lang w:val="es-419"/>
        </w:rPr>
        <w:t>funcionario del PNUD).</w:t>
      </w:r>
      <w:r w:rsidRPr="00756410">
        <w:rPr>
          <w:lang w:val="es-419"/>
        </w:rPr>
        <w:t xml:space="preserve"> En este contexto, y salvo </w:t>
      </w:r>
      <w:r w:rsidR="004B500F">
        <w:rPr>
          <w:lang w:val="es-419"/>
        </w:rPr>
        <w:t xml:space="preserve">para </w:t>
      </w:r>
      <w:r w:rsidRPr="00756410">
        <w:rPr>
          <w:lang w:val="es-419"/>
        </w:rPr>
        <w:t>las funciones especificadas a continuación que deben</w:t>
      </w:r>
      <w:r w:rsidR="004B500F">
        <w:rPr>
          <w:lang w:val="es-419"/>
        </w:rPr>
        <w:t xml:space="preserve"> ser</w:t>
      </w:r>
      <w:r w:rsidRPr="00756410">
        <w:rPr>
          <w:lang w:val="es-419"/>
        </w:rPr>
        <w:t xml:space="preserve"> desempeña</w:t>
      </w:r>
      <w:r w:rsidR="004B500F">
        <w:rPr>
          <w:lang w:val="es-419"/>
        </w:rPr>
        <w:t>das por</w:t>
      </w:r>
      <w:r w:rsidRPr="00756410">
        <w:rPr>
          <w:lang w:val="es-419"/>
        </w:rPr>
        <w:t xml:space="preserve"> </w:t>
      </w:r>
      <w:r w:rsidR="004E60C8">
        <w:rPr>
          <w:lang w:val="es-419"/>
        </w:rPr>
        <w:t>personal</w:t>
      </w:r>
      <w:r w:rsidR="004E60C8" w:rsidRPr="00756410">
        <w:rPr>
          <w:lang w:val="es-419"/>
        </w:rPr>
        <w:t xml:space="preserve"> </w:t>
      </w:r>
      <w:r w:rsidRPr="00756410">
        <w:rPr>
          <w:lang w:val="es-419"/>
        </w:rPr>
        <w:t>funcionario del PNUD, los jefes de oficinas</w:t>
      </w:r>
      <w:r w:rsidR="00F730E9">
        <w:rPr>
          <w:lang w:val="es-419"/>
        </w:rPr>
        <w:t xml:space="preserve"> o unidades</w:t>
      </w:r>
      <w:r w:rsidR="00F730E9" w:rsidRPr="00756410">
        <w:rPr>
          <w:lang w:val="es-419"/>
        </w:rPr>
        <w:t xml:space="preserve"> </w:t>
      </w:r>
      <w:r w:rsidRPr="00756410">
        <w:rPr>
          <w:lang w:val="es-419"/>
        </w:rPr>
        <w:t xml:space="preserve">deben </w:t>
      </w:r>
      <w:r w:rsidR="00A7727B">
        <w:rPr>
          <w:lang w:val="es-419"/>
        </w:rPr>
        <w:t>ejercer su criterio</w:t>
      </w:r>
      <w:r w:rsidRPr="00756410">
        <w:rPr>
          <w:lang w:val="es-419"/>
        </w:rPr>
        <w:t xml:space="preserve"> al asignar </w:t>
      </w:r>
      <w:r w:rsidR="00F730E9">
        <w:rPr>
          <w:lang w:val="es-419"/>
        </w:rPr>
        <w:t>los demás roles</w:t>
      </w:r>
      <w:r w:rsidRPr="00756410">
        <w:rPr>
          <w:lang w:val="es-419"/>
        </w:rPr>
        <w:t xml:space="preserve"> </w:t>
      </w:r>
      <w:r w:rsidR="00F730E9">
        <w:rPr>
          <w:lang w:val="es-419"/>
        </w:rPr>
        <w:t>definidos</w:t>
      </w:r>
      <w:r w:rsidR="00F730E9" w:rsidRPr="00756410">
        <w:rPr>
          <w:lang w:val="es-419"/>
        </w:rPr>
        <w:t xml:space="preserve"> </w:t>
      </w:r>
      <w:r w:rsidRPr="00756410">
        <w:rPr>
          <w:lang w:val="es-419"/>
        </w:rPr>
        <w:t xml:space="preserve">en esta Guía </w:t>
      </w:r>
      <w:r w:rsidR="00F730E9">
        <w:rPr>
          <w:lang w:val="es-419"/>
        </w:rPr>
        <w:t>tomando en cuenta</w:t>
      </w:r>
      <w:r w:rsidRPr="00756410">
        <w:rPr>
          <w:lang w:val="es-419"/>
        </w:rPr>
        <w:t xml:space="preserve"> las circunstancias</w:t>
      </w:r>
      <w:r w:rsidR="00F730E9">
        <w:rPr>
          <w:lang w:val="es-419"/>
        </w:rPr>
        <w:t xml:space="preserve"> </w:t>
      </w:r>
      <w:r w:rsidR="004E60C8">
        <w:rPr>
          <w:lang w:val="es-419"/>
        </w:rPr>
        <w:t>específicas</w:t>
      </w:r>
      <w:r w:rsidRPr="00756410">
        <w:rPr>
          <w:lang w:val="es-419"/>
        </w:rPr>
        <w:t xml:space="preserve"> y riesgos </w:t>
      </w:r>
      <w:r w:rsidR="00F730E9">
        <w:rPr>
          <w:lang w:val="es-419"/>
        </w:rPr>
        <w:t xml:space="preserve">del entorno </w:t>
      </w:r>
      <w:r w:rsidRPr="00756410">
        <w:rPr>
          <w:lang w:val="es-419"/>
        </w:rPr>
        <w:t>operativo local y las capacidades de oficina</w:t>
      </w:r>
      <w:r w:rsidR="00F730E9">
        <w:rPr>
          <w:lang w:val="es-419"/>
        </w:rPr>
        <w:t xml:space="preserve"> o </w:t>
      </w:r>
      <w:r w:rsidRPr="00756410">
        <w:rPr>
          <w:lang w:val="es-419"/>
        </w:rPr>
        <w:t>unidad.</w:t>
      </w:r>
    </w:p>
    <w:p w14:paraId="2210F3CF" w14:textId="77777777" w:rsidR="00EF4E3E" w:rsidRDefault="00EF4E3E" w:rsidP="00756410">
      <w:pPr>
        <w:spacing w:line="240" w:lineRule="auto"/>
        <w:jc w:val="both"/>
        <w:rPr>
          <w:lang w:val="es-419"/>
        </w:rPr>
      </w:pPr>
    </w:p>
    <w:p w14:paraId="07BDD0A3" w14:textId="77777777" w:rsidR="00EF4E3E" w:rsidRPr="00756410" w:rsidRDefault="00EF4E3E" w:rsidP="00756410">
      <w:pPr>
        <w:spacing w:line="240" w:lineRule="auto"/>
        <w:jc w:val="both"/>
        <w:rPr>
          <w:lang w:val="es-419"/>
        </w:rPr>
      </w:pPr>
    </w:p>
    <w:tbl>
      <w:tblPr>
        <w:tblStyle w:val="TableGrid"/>
        <w:tblW w:w="0" w:type="auto"/>
        <w:tblLook w:val="04A0" w:firstRow="1" w:lastRow="0" w:firstColumn="1" w:lastColumn="0" w:noHBand="0" w:noVBand="1"/>
      </w:tblPr>
      <w:tblGrid>
        <w:gridCol w:w="4963"/>
        <w:gridCol w:w="4963"/>
      </w:tblGrid>
      <w:tr w:rsidR="00BD402A" w:rsidRPr="00773863" w14:paraId="41E9302C" w14:textId="77777777" w:rsidTr="008C4953">
        <w:tc>
          <w:tcPr>
            <w:tcW w:w="4963" w:type="dxa"/>
            <w:tcBorders>
              <w:top w:val="single" w:sz="4" w:space="0" w:color="auto"/>
              <w:left w:val="single" w:sz="4" w:space="0" w:color="auto"/>
              <w:bottom w:val="single" w:sz="4" w:space="0" w:color="auto"/>
              <w:right w:val="single" w:sz="4" w:space="0" w:color="auto"/>
            </w:tcBorders>
            <w:shd w:val="clear" w:color="auto" w:fill="002060"/>
          </w:tcPr>
          <w:p w14:paraId="30495CA5" w14:textId="14FC1138" w:rsidR="00BD402A" w:rsidRPr="00756410" w:rsidRDefault="00BD402A" w:rsidP="00817B66">
            <w:pPr>
              <w:rPr>
                <w:b/>
                <w:bCs/>
                <w:lang w:val="es-419"/>
              </w:rPr>
            </w:pPr>
            <w:r w:rsidRPr="00756410">
              <w:rPr>
                <w:b/>
                <w:bCs/>
                <w:lang w:val="es-419"/>
              </w:rPr>
              <w:lastRenderedPageBreak/>
              <w:t xml:space="preserve">El personal </w:t>
            </w:r>
            <w:r w:rsidR="002328E1" w:rsidRPr="00756410">
              <w:rPr>
                <w:b/>
                <w:bCs/>
                <w:lang w:val="es-419"/>
              </w:rPr>
              <w:t>de plantilla</w:t>
            </w:r>
            <w:r w:rsidR="00D6286F">
              <w:rPr>
                <w:b/>
                <w:bCs/>
                <w:lang w:val="es-419"/>
              </w:rPr>
              <w:t xml:space="preserve"> </w:t>
            </w:r>
            <w:r w:rsidR="00642CB2">
              <w:rPr>
                <w:b/>
                <w:bCs/>
                <w:lang w:val="es-419"/>
              </w:rPr>
              <w:t xml:space="preserve">(personal </w:t>
            </w:r>
            <w:r w:rsidR="00385CC6">
              <w:rPr>
                <w:b/>
                <w:bCs/>
                <w:lang w:val="es-419"/>
              </w:rPr>
              <w:t>funcionario</w:t>
            </w:r>
            <w:r w:rsidR="00642CB2">
              <w:rPr>
                <w:b/>
                <w:bCs/>
                <w:lang w:val="es-419"/>
              </w:rPr>
              <w:t xml:space="preserve">) </w:t>
            </w:r>
            <w:r w:rsidR="00D6286F">
              <w:rPr>
                <w:b/>
                <w:bCs/>
                <w:lang w:val="es-419"/>
              </w:rPr>
              <w:t>es</w:t>
            </w:r>
          </w:p>
        </w:tc>
        <w:tc>
          <w:tcPr>
            <w:tcW w:w="4963" w:type="dxa"/>
            <w:tcBorders>
              <w:top w:val="single" w:sz="4" w:space="0" w:color="auto"/>
              <w:left w:val="single" w:sz="4" w:space="0" w:color="auto"/>
              <w:bottom w:val="single" w:sz="4" w:space="0" w:color="auto"/>
              <w:right w:val="single" w:sz="4" w:space="0" w:color="auto"/>
            </w:tcBorders>
            <w:shd w:val="clear" w:color="auto" w:fill="00B050"/>
          </w:tcPr>
          <w:p w14:paraId="0973FE23" w14:textId="5517B990" w:rsidR="00BD402A" w:rsidRPr="00756410" w:rsidRDefault="00BD402A" w:rsidP="00817B66">
            <w:pPr>
              <w:rPr>
                <w:b/>
                <w:bCs/>
                <w:color w:val="FFFFFF" w:themeColor="background1"/>
                <w:lang w:val="es-419"/>
              </w:rPr>
            </w:pPr>
            <w:r w:rsidRPr="00756410">
              <w:rPr>
                <w:b/>
                <w:bCs/>
                <w:color w:val="FFFFFF" w:themeColor="background1"/>
                <w:lang w:val="es-419"/>
              </w:rPr>
              <w:t>El personal</w:t>
            </w:r>
            <w:r w:rsidR="002328E1" w:rsidRPr="00756410">
              <w:rPr>
                <w:b/>
                <w:bCs/>
                <w:color w:val="FFFFFF" w:themeColor="background1"/>
                <w:lang w:val="es-419"/>
              </w:rPr>
              <w:t xml:space="preserve"> que no es de Plantilla </w:t>
            </w:r>
            <w:r w:rsidR="00642CB2">
              <w:rPr>
                <w:b/>
                <w:bCs/>
                <w:color w:val="FFFFFF" w:themeColor="background1"/>
                <w:lang w:val="es-419"/>
              </w:rPr>
              <w:t>(persona</w:t>
            </w:r>
            <w:r w:rsidR="00FC41B3">
              <w:rPr>
                <w:b/>
                <w:bCs/>
                <w:color w:val="FFFFFF" w:themeColor="background1"/>
                <w:lang w:val="es-419"/>
              </w:rPr>
              <w:t>l</w:t>
            </w:r>
            <w:r w:rsidR="00642CB2">
              <w:rPr>
                <w:b/>
                <w:bCs/>
                <w:color w:val="FFFFFF" w:themeColor="background1"/>
                <w:lang w:val="es-419"/>
              </w:rPr>
              <w:t xml:space="preserve"> no funcionario) </w:t>
            </w:r>
            <w:r w:rsidR="00D6286F">
              <w:rPr>
                <w:b/>
                <w:bCs/>
                <w:color w:val="FFFFFF" w:themeColor="background1"/>
                <w:lang w:val="es-419"/>
              </w:rPr>
              <w:t>es</w:t>
            </w:r>
          </w:p>
        </w:tc>
      </w:tr>
      <w:tr w:rsidR="00BD402A" w14:paraId="0F1F16DD" w14:textId="77777777" w:rsidTr="008C4953">
        <w:trPr>
          <w:trHeight w:val="1754"/>
        </w:trPr>
        <w:tc>
          <w:tcPr>
            <w:tcW w:w="4963" w:type="dxa"/>
            <w:tcBorders>
              <w:top w:val="single" w:sz="4" w:space="0" w:color="auto"/>
              <w:left w:val="single" w:sz="4" w:space="0" w:color="auto"/>
              <w:bottom w:val="single" w:sz="4" w:space="0" w:color="auto"/>
              <w:right w:val="single" w:sz="4" w:space="0" w:color="auto"/>
            </w:tcBorders>
          </w:tcPr>
          <w:p w14:paraId="0E3407C0" w14:textId="3A1AD728" w:rsidR="00BD402A" w:rsidRPr="00756410" w:rsidRDefault="00BD402A" w:rsidP="00817B66">
            <w:pPr>
              <w:rPr>
                <w:sz w:val="20"/>
                <w:szCs w:val="20"/>
                <w:lang w:val="es-419"/>
              </w:rPr>
            </w:pPr>
            <w:r w:rsidRPr="00756410">
              <w:rPr>
                <w:sz w:val="20"/>
                <w:szCs w:val="20"/>
                <w:lang w:val="es-419"/>
              </w:rPr>
              <w:t>Aquellos que poseen cartas de nombramiento del PNUD que se rigen por el Estatuto y Reglamento del Personal de las Naciones Unidas, incluyendo:</w:t>
            </w:r>
          </w:p>
          <w:p w14:paraId="3B34721A" w14:textId="3C4C7E5D" w:rsidR="00BD402A" w:rsidRPr="00756410" w:rsidRDefault="00BD402A">
            <w:pPr>
              <w:pStyle w:val="ListParagraph"/>
              <w:numPr>
                <w:ilvl w:val="0"/>
                <w:numId w:val="9"/>
              </w:numPr>
              <w:rPr>
                <w:sz w:val="20"/>
                <w:szCs w:val="20"/>
                <w:lang w:val="es-419"/>
              </w:rPr>
            </w:pPr>
            <w:r w:rsidRPr="00756410">
              <w:rPr>
                <w:sz w:val="20"/>
                <w:szCs w:val="20"/>
                <w:lang w:val="es-419"/>
              </w:rPr>
              <w:t>Nombramientos de plazo fijo (FTA)</w:t>
            </w:r>
          </w:p>
          <w:p w14:paraId="08D15A57" w14:textId="50705EE2" w:rsidR="00BD402A" w:rsidRPr="00756410" w:rsidRDefault="00BD402A">
            <w:pPr>
              <w:pStyle w:val="ListParagraph"/>
              <w:numPr>
                <w:ilvl w:val="0"/>
                <w:numId w:val="9"/>
              </w:numPr>
              <w:rPr>
                <w:sz w:val="20"/>
                <w:szCs w:val="20"/>
                <w:lang w:val="es-ES"/>
              </w:rPr>
            </w:pPr>
            <w:r w:rsidRPr="00756410">
              <w:rPr>
                <w:sz w:val="20"/>
                <w:szCs w:val="20"/>
                <w:lang w:val="es-ES"/>
              </w:rPr>
              <w:t>Nombramientos continuos o permanentes (CA/PA)</w:t>
            </w:r>
          </w:p>
          <w:p w14:paraId="29E9EF50" w14:textId="555AFFF5" w:rsidR="00BD402A" w:rsidRPr="00DF4695" w:rsidRDefault="00BD402A">
            <w:pPr>
              <w:pStyle w:val="ListParagraph"/>
              <w:numPr>
                <w:ilvl w:val="0"/>
                <w:numId w:val="9"/>
              </w:numPr>
              <w:rPr>
                <w:sz w:val="20"/>
                <w:szCs w:val="20"/>
              </w:rPr>
            </w:pPr>
            <w:r w:rsidRPr="00DF4695">
              <w:rPr>
                <w:sz w:val="20"/>
                <w:szCs w:val="20"/>
              </w:rPr>
              <w:t>Nombramientos temporales (TA)</w:t>
            </w:r>
          </w:p>
        </w:tc>
        <w:tc>
          <w:tcPr>
            <w:tcW w:w="4963" w:type="dxa"/>
            <w:tcBorders>
              <w:top w:val="single" w:sz="4" w:space="0" w:color="auto"/>
              <w:left w:val="single" w:sz="4" w:space="0" w:color="auto"/>
              <w:bottom w:val="single" w:sz="4" w:space="0" w:color="auto"/>
              <w:right w:val="single" w:sz="4" w:space="0" w:color="auto"/>
            </w:tcBorders>
          </w:tcPr>
          <w:p w14:paraId="4E3D418E" w14:textId="459696B0" w:rsidR="00BD402A" w:rsidRPr="00756410" w:rsidRDefault="3731AD5B">
            <w:pPr>
              <w:pStyle w:val="ListParagraph"/>
              <w:numPr>
                <w:ilvl w:val="0"/>
                <w:numId w:val="10"/>
              </w:numPr>
              <w:rPr>
                <w:sz w:val="20"/>
                <w:szCs w:val="20"/>
                <w:lang w:val="es-419"/>
              </w:rPr>
            </w:pPr>
            <w:r w:rsidRPr="00756410">
              <w:rPr>
                <w:sz w:val="20"/>
                <w:szCs w:val="20"/>
                <w:lang w:val="es-419"/>
              </w:rPr>
              <w:t xml:space="preserve">Personal Nacionales </w:t>
            </w:r>
            <w:r w:rsidR="0073298C" w:rsidRPr="00756410">
              <w:rPr>
                <w:sz w:val="20"/>
                <w:szCs w:val="20"/>
                <w:lang w:val="es-419"/>
              </w:rPr>
              <w:t>o</w:t>
            </w:r>
            <w:r w:rsidRPr="00756410">
              <w:rPr>
                <w:sz w:val="20"/>
                <w:szCs w:val="20"/>
                <w:lang w:val="es-419"/>
              </w:rPr>
              <w:t xml:space="preserve"> Internacionale</w:t>
            </w:r>
            <w:r w:rsidR="00FC41B3">
              <w:rPr>
                <w:sz w:val="20"/>
                <w:szCs w:val="20"/>
                <w:lang w:val="es-419"/>
              </w:rPr>
              <w:t>s</w:t>
            </w:r>
            <w:r w:rsidR="0073298C" w:rsidRPr="00756410">
              <w:rPr>
                <w:sz w:val="20"/>
                <w:szCs w:val="20"/>
                <w:lang w:val="es-419"/>
              </w:rPr>
              <w:t xml:space="preserve"> con contrato de Servicios </w:t>
            </w:r>
            <w:r w:rsidR="0073298C">
              <w:rPr>
                <w:sz w:val="20"/>
                <w:szCs w:val="20"/>
                <w:lang w:val="es-419"/>
              </w:rPr>
              <w:t>(PSA)</w:t>
            </w:r>
          </w:p>
          <w:p w14:paraId="4864C203" w14:textId="1EEC91F9" w:rsidR="00BD402A" w:rsidRPr="00756410" w:rsidRDefault="7DD4270E">
            <w:pPr>
              <w:pStyle w:val="ListParagraph"/>
              <w:numPr>
                <w:ilvl w:val="0"/>
                <w:numId w:val="10"/>
              </w:numPr>
              <w:rPr>
                <w:sz w:val="20"/>
                <w:szCs w:val="20"/>
                <w:lang w:val="es-419"/>
              </w:rPr>
            </w:pPr>
            <w:r w:rsidRPr="00756410">
              <w:rPr>
                <w:sz w:val="20"/>
                <w:szCs w:val="20"/>
                <w:lang w:val="es-419"/>
              </w:rPr>
              <w:t>Personal en Acuerdos de Préstamo Reembolsable (RLA) o Acuerdos de Préstamo No Reembolsable (NRLA) de entidades no pertenecientes a la ONU</w:t>
            </w:r>
          </w:p>
          <w:p w14:paraId="5FDD130E" w14:textId="546D9EBF" w:rsidR="00BD402A" w:rsidRPr="00756410" w:rsidRDefault="00BD402A">
            <w:pPr>
              <w:pStyle w:val="ListParagraph"/>
              <w:numPr>
                <w:ilvl w:val="0"/>
                <w:numId w:val="10"/>
              </w:numPr>
              <w:rPr>
                <w:sz w:val="20"/>
                <w:szCs w:val="20"/>
                <w:lang w:val="es-419"/>
              </w:rPr>
            </w:pPr>
            <w:r w:rsidRPr="00756410">
              <w:rPr>
                <w:sz w:val="20"/>
                <w:szCs w:val="20"/>
                <w:lang w:val="es-419"/>
              </w:rPr>
              <w:t>Voluntarios de las Naciones Unidas (</w:t>
            </w:r>
            <w:r w:rsidR="00A64ADB">
              <w:rPr>
                <w:sz w:val="20"/>
                <w:szCs w:val="20"/>
                <w:lang w:val="es-419"/>
              </w:rPr>
              <w:t>VNU</w:t>
            </w:r>
            <w:r w:rsidRPr="00756410">
              <w:rPr>
                <w:sz w:val="20"/>
                <w:szCs w:val="20"/>
                <w:lang w:val="es-419"/>
              </w:rPr>
              <w:t>)</w:t>
            </w:r>
          </w:p>
          <w:p w14:paraId="2C67C00E" w14:textId="0C6FF017" w:rsidR="00BD402A" w:rsidRPr="00756410" w:rsidRDefault="00BD402A">
            <w:pPr>
              <w:pStyle w:val="ListParagraph"/>
              <w:numPr>
                <w:ilvl w:val="0"/>
                <w:numId w:val="10"/>
              </w:numPr>
              <w:rPr>
                <w:sz w:val="20"/>
                <w:szCs w:val="20"/>
                <w:lang w:val="es-419"/>
              </w:rPr>
            </w:pPr>
            <w:r w:rsidRPr="00756410">
              <w:rPr>
                <w:sz w:val="20"/>
                <w:szCs w:val="20"/>
                <w:lang w:val="es-419"/>
              </w:rPr>
              <w:t>Contratistas individuales (IC</w:t>
            </w:r>
            <w:r w:rsidR="007B5E1E" w:rsidRPr="00756410">
              <w:rPr>
                <w:sz w:val="20"/>
                <w:szCs w:val="20"/>
                <w:lang w:val="es-419"/>
              </w:rPr>
              <w:t xml:space="preserve"> p</w:t>
            </w:r>
            <w:r w:rsidR="00A64ADB">
              <w:rPr>
                <w:sz w:val="20"/>
                <w:szCs w:val="20"/>
                <w:lang w:val="es-419"/>
              </w:rPr>
              <w:t>or</w:t>
            </w:r>
            <w:r w:rsidR="007B5E1E" w:rsidRPr="00756410">
              <w:rPr>
                <w:sz w:val="20"/>
                <w:szCs w:val="20"/>
                <w:lang w:val="es-419"/>
              </w:rPr>
              <w:t xml:space="preserve"> sus siglas en ingles</w:t>
            </w:r>
            <w:r w:rsidRPr="00756410">
              <w:rPr>
                <w:sz w:val="20"/>
                <w:szCs w:val="20"/>
                <w:lang w:val="es-419"/>
              </w:rPr>
              <w:t xml:space="preserve">) </w:t>
            </w:r>
          </w:p>
          <w:p w14:paraId="12ABE2E4" w14:textId="0AFA43D8" w:rsidR="00BD402A" w:rsidRPr="009A7C29" w:rsidRDefault="00BD402A">
            <w:pPr>
              <w:pStyle w:val="ListParagraph"/>
              <w:numPr>
                <w:ilvl w:val="0"/>
                <w:numId w:val="10"/>
              </w:numPr>
              <w:rPr>
                <w:sz w:val="20"/>
                <w:szCs w:val="20"/>
              </w:rPr>
            </w:pPr>
            <w:r w:rsidRPr="009A7C29">
              <w:rPr>
                <w:sz w:val="20"/>
                <w:szCs w:val="20"/>
              </w:rPr>
              <w:t>Internos</w:t>
            </w:r>
          </w:p>
          <w:p w14:paraId="2505EA5E" w14:textId="3D5A48A5" w:rsidR="00BD402A" w:rsidRPr="009A7C29" w:rsidRDefault="00CC7321">
            <w:pPr>
              <w:pStyle w:val="ListParagraph"/>
              <w:numPr>
                <w:ilvl w:val="0"/>
                <w:numId w:val="10"/>
              </w:numPr>
              <w:rPr>
                <w:sz w:val="20"/>
                <w:szCs w:val="20"/>
              </w:rPr>
            </w:pPr>
            <w:r>
              <w:rPr>
                <w:sz w:val="20"/>
                <w:szCs w:val="20"/>
              </w:rPr>
              <w:t>Becarios</w:t>
            </w:r>
          </w:p>
          <w:p w14:paraId="29C6A99A" w14:textId="005BD208" w:rsidR="00BD402A" w:rsidRPr="00756410" w:rsidRDefault="6E09F3F7">
            <w:pPr>
              <w:pStyle w:val="ListParagraph"/>
              <w:numPr>
                <w:ilvl w:val="0"/>
                <w:numId w:val="10"/>
              </w:numPr>
              <w:rPr>
                <w:sz w:val="20"/>
                <w:szCs w:val="20"/>
                <w:lang w:val="es-419"/>
              </w:rPr>
            </w:pPr>
            <w:r w:rsidRPr="00756410">
              <w:rPr>
                <w:sz w:val="20"/>
                <w:szCs w:val="20"/>
                <w:lang w:val="es-419"/>
              </w:rPr>
              <w:t>Expertos técnicos en comisión de servicios</w:t>
            </w:r>
          </w:p>
          <w:p w14:paraId="0E8E960D" w14:textId="4BA1B4D0" w:rsidR="00BD402A" w:rsidRPr="00DF4695" w:rsidRDefault="6E09F3F7">
            <w:pPr>
              <w:pStyle w:val="ListParagraph"/>
              <w:numPr>
                <w:ilvl w:val="0"/>
                <w:numId w:val="10"/>
              </w:numPr>
              <w:rPr>
                <w:sz w:val="20"/>
                <w:szCs w:val="20"/>
              </w:rPr>
            </w:pPr>
            <w:r w:rsidRPr="009A7C29">
              <w:rPr>
                <w:sz w:val="20"/>
                <w:szCs w:val="20"/>
              </w:rPr>
              <w:t>Colegas pro</w:t>
            </w:r>
            <w:r w:rsidR="00FC41B3">
              <w:rPr>
                <w:sz w:val="20"/>
                <w:szCs w:val="20"/>
              </w:rPr>
              <w:t>-</w:t>
            </w:r>
            <w:r w:rsidRPr="009A7C29">
              <w:rPr>
                <w:sz w:val="20"/>
                <w:szCs w:val="20"/>
              </w:rPr>
              <w:t>bono</w:t>
            </w:r>
          </w:p>
        </w:tc>
      </w:tr>
    </w:tbl>
    <w:p w14:paraId="48EB4D7B" w14:textId="77777777" w:rsidR="00F11B4A" w:rsidRPr="00DF4695" w:rsidRDefault="00F11B4A" w:rsidP="00B47A2E">
      <w:pPr>
        <w:tabs>
          <w:tab w:val="left" w:pos="5076"/>
        </w:tabs>
        <w:ind w:left="113"/>
        <w:rPr>
          <w:b/>
          <w:bCs/>
          <w:color w:val="FFFFFF" w:themeColor="background1"/>
          <w:sz w:val="8"/>
          <w:szCs w:val="8"/>
        </w:rPr>
      </w:pPr>
      <w:r w:rsidRPr="00DF4695">
        <w:rPr>
          <w:b/>
          <w:bCs/>
          <w:color w:val="FFFFFF" w:themeColor="background1"/>
          <w:sz w:val="8"/>
          <w:szCs w:val="8"/>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963"/>
      </w:tblGrid>
      <w:tr w:rsidR="00B47A2E" w:rsidRPr="00773863" w14:paraId="2AAC7517" w14:textId="77777777" w:rsidTr="008C4953">
        <w:trPr>
          <w:trHeight w:val="359"/>
          <w:tblHeader/>
        </w:trPr>
        <w:tc>
          <w:tcPr>
            <w:tcW w:w="4963" w:type="dxa"/>
            <w:shd w:val="clear" w:color="auto" w:fill="002060"/>
          </w:tcPr>
          <w:p w14:paraId="264359BA" w14:textId="15A2655C" w:rsidR="00B47A2E" w:rsidRPr="00756410" w:rsidRDefault="00B47A2E" w:rsidP="002B6083">
            <w:pPr>
              <w:rPr>
                <w:b/>
                <w:color w:val="FFFFFF" w:themeColor="background1"/>
                <w:lang w:val="es-419"/>
              </w:rPr>
            </w:pPr>
            <w:r w:rsidRPr="00756410">
              <w:rPr>
                <w:b/>
                <w:bCs/>
                <w:color w:val="FFFFFF" w:themeColor="background1"/>
                <w:lang w:val="es-419"/>
              </w:rPr>
              <w:t>Funciones de ICF que debe desempeñar el personal</w:t>
            </w:r>
            <w:r w:rsidR="00D6286F">
              <w:rPr>
                <w:b/>
                <w:bCs/>
                <w:color w:val="FFFFFF" w:themeColor="background1"/>
                <w:lang w:val="es-419"/>
              </w:rPr>
              <w:t xml:space="preserve"> de plantilla</w:t>
            </w:r>
            <w:r w:rsidR="004D19CB">
              <w:rPr>
                <w:b/>
                <w:bCs/>
                <w:color w:val="FFFFFF" w:themeColor="background1"/>
                <w:lang w:val="es-419"/>
              </w:rPr>
              <w:t xml:space="preserve"> (personal funcionario):</w:t>
            </w:r>
          </w:p>
        </w:tc>
        <w:tc>
          <w:tcPr>
            <w:tcW w:w="4963" w:type="dxa"/>
            <w:shd w:val="clear" w:color="auto" w:fill="00B050"/>
          </w:tcPr>
          <w:p w14:paraId="00D5F1DE" w14:textId="267DD7AA" w:rsidR="00B47A2E" w:rsidRPr="00756410" w:rsidRDefault="00B47A2E" w:rsidP="00B47A2E">
            <w:pPr>
              <w:rPr>
                <w:b/>
                <w:color w:val="FFFFFF" w:themeColor="background1"/>
                <w:lang w:val="es-419"/>
              </w:rPr>
            </w:pPr>
            <w:r w:rsidRPr="00756410">
              <w:rPr>
                <w:b/>
                <w:bCs/>
                <w:color w:val="FFFFFF" w:themeColor="background1"/>
                <w:lang w:val="es-419"/>
              </w:rPr>
              <w:t xml:space="preserve">Funciones de ICF que pueden ser desempeñadas por personas que </w:t>
            </w:r>
            <w:r w:rsidR="00633A06">
              <w:rPr>
                <w:b/>
                <w:bCs/>
                <w:color w:val="FFFFFF" w:themeColor="background1"/>
                <w:lang w:val="es-419"/>
              </w:rPr>
              <w:t>no son</w:t>
            </w:r>
            <w:r w:rsidR="00D6286F">
              <w:rPr>
                <w:b/>
                <w:bCs/>
                <w:color w:val="FFFFFF" w:themeColor="background1"/>
                <w:lang w:val="es-419"/>
              </w:rPr>
              <w:t xml:space="preserve"> de plantilla</w:t>
            </w:r>
            <w:r w:rsidR="00633A06">
              <w:rPr>
                <w:b/>
                <w:bCs/>
                <w:color w:val="FFFFFF" w:themeColor="background1"/>
                <w:lang w:val="es-419"/>
              </w:rPr>
              <w:t xml:space="preserve"> </w:t>
            </w:r>
            <w:r w:rsidR="004D19CB">
              <w:rPr>
                <w:b/>
                <w:bCs/>
                <w:color w:val="FFFFFF" w:themeColor="background1"/>
                <w:lang w:val="es-419"/>
              </w:rPr>
              <w:t>(personal no funcionario)</w:t>
            </w:r>
          </w:p>
        </w:tc>
      </w:tr>
      <w:tr w:rsidR="00B47A2E" w:rsidRPr="00773863" w14:paraId="615E4CC9" w14:textId="77777777" w:rsidTr="008C4953">
        <w:trPr>
          <w:trHeight w:val="1016"/>
        </w:trPr>
        <w:tc>
          <w:tcPr>
            <w:tcW w:w="4963" w:type="dxa"/>
          </w:tcPr>
          <w:p w14:paraId="09F63888" w14:textId="77777777" w:rsidR="00B47A2E" w:rsidRPr="00DF4695" w:rsidRDefault="00B47A2E" w:rsidP="00B47A2E">
            <w:pPr>
              <w:pStyle w:val="TableParagraph"/>
              <w:tabs>
                <w:tab w:val="left" w:pos="468"/>
                <w:tab w:val="left" w:pos="469"/>
              </w:tabs>
              <w:spacing w:line="268" w:lineRule="exact"/>
              <w:ind w:left="0"/>
              <w:rPr>
                <w:rFonts w:ascii="Wingdings" w:hAnsi="Wingdings"/>
                <w:sz w:val="20"/>
                <w:szCs w:val="20"/>
                <w:u w:val="single"/>
              </w:rPr>
            </w:pPr>
            <w:r w:rsidRPr="00DF4695">
              <w:rPr>
                <w:sz w:val="20"/>
                <w:szCs w:val="20"/>
                <w:u w:val="single"/>
              </w:rPr>
              <w:t>Finanzas:</w:t>
            </w:r>
          </w:p>
          <w:p w14:paraId="57054855" w14:textId="44C75EDD" w:rsidR="00B47A2E" w:rsidRPr="00756410" w:rsidRDefault="00B47A2E">
            <w:pPr>
              <w:pStyle w:val="TableParagraph"/>
              <w:numPr>
                <w:ilvl w:val="0"/>
                <w:numId w:val="11"/>
              </w:numPr>
              <w:tabs>
                <w:tab w:val="left" w:pos="468"/>
                <w:tab w:val="left" w:pos="469"/>
              </w:tabs>
              <w:spacing w:line="268" w:lineRule="exact"/>
              <w:rPr>
                <w:rFonts w:ascii="Wingdings" w:hAnsi="Wingdings"/>
                <w:sz w:val="20"/>
                <w:szCs w:val="20"/>
                <w:lang w:val="es-419"/>
              </w:rPr>
            </w:pPr>
            <w:r w:rsidRPr="00756410">
              <w:rPr>
                <w:sz w:val="20"/>
                <w:szCs w:val="20"/>
                <w:lang w:val="es-419"/>
              </w:rPr>
              <w:t xml:space="preserve">2ª Autoridad: </w:t>
            </w:r>
            <w:r w:rsidR="009E03EE">
              <w:rPr>
                <w:sz w:val="20"/>
                <w:szCs w:val="20"/>
                <w:lang w:val="es-419"/>
              </w:rPr>
              <w:t xml:space="preserve">Autoridad de </w:t>
            </w:r>
            <w:r w:rsidRPr="00756410">
              <w:rPr>
                <w:sz w:val="20"/>
                <w:szCs w:val="20"/>
                <w:lang w:val="es-419"/>
              </w:rPr>
              <w:t>Aprobación (incluso para la aprobación de transacciones de viaje)</w:t>
            </w:r>
          </w:p>
          <w:p w14:paraId="00B4BE33"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t>3ª Autoridad: Oficial de Desembolso</w:t>
            </w:r>
          </w:p>
          <w:p w14:paraId="30F14B6C" w14:textId="2F8F106A" w:rsidR="00B47A2E" w:rsidRPr="00756410" w:rsidRDefault="00B47A2E">
            <w:pPr>
              <w:pStyle w:val="TableParagraph"/>
              <w:numPr>
                <w:ilvl w:val="0"/>
                <w:numId w:val="11"/>
              </w:numPr>
              <w:tabs>
                <w:tab w:val="left" w:pos="468"/>
                <w:tab w:val="left" w:pos="469"/>
              </w:tabs>
              <w:spacing w:line="267" w:lineRule="exact"/>
              <w:rPr>
                <w:rFonts w:ascii="Wingdings" w:hAnsi="Wingdings"/>
                <w:sz w:val="20"/>
                <w:szCs w:val="20"/>
                <w:lang w:val="es-419"/>
              </w:rPr>
            </w:pPr>
            <w:r w:rsidRPr="00756410">
              <w:rPr>
                <w:sz w:val="20"/>
                <w:szCs w:val="20"/>
                <w:lang w:val="es-419"/>
              </w:rPr>
              <w:t>Signatariode la cuenta bancaria</w:t>
            </w:r>
          </w:p>
          <w:p w14:paraId="33E73E1C" w14:textId="77777777" w:rsidR="00B47A2E" w:rsidRPr="00DF4695" w:rsidRDefault="00B47A2E">
            <w:pPr>
              <w:pStyle w:val="TableParagraph"/>
              <w:numPr>
                <w:ilvl w:val="0"/>
                <w:numId w:val="11"/>
              </w:numPr>
              <w:tabs>
                <w:tab w:val="left" w:pos="468"/>
                <w:tab w:val="left" w:pos="469"/>
              </w:tabs>
              <w:spacing w:line="267" w:lineRule="exact"/>
              <w:rPr>
                <w:rFonts w:ascii="Wingdings" w:hAnsi="Wingdings"/>
                <w:sz w:val="20"/>
                <w:szCs w:val="20"/>
              </w:rPr>
            </w:pPr>
            <w:r w:rsidRPr="00DF4695">
              <w:rPr>
                <w:sz w:val="20"/>
                <w:szCs w:val="20"/>
              </w:rPr>
              <w:t>Aprobador de conciliación bancaria</w:t>
            </w:r>
          </w:p>
          <w:p w14:paraId="49468F47"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t>Administrador de fondos fiduciarios</w:t>
            </w:r>
          </w:p>
          <w:p w14:paraId="32F3637C" w14:textId="1BFB2203" w:rsidR="00B47A2E" w:rsidRPr="00756410" w:rsidRDefault="00B47A2E">
            <w:pPr>
              <w:pStyle w:val="TableParagraph"/>
              <w:numPr>
                <w:ilvl w:val="0"/>
                <w:numId w:val="11"/>
              </w:numPr>
              <w:tabs>
                <w:tab w:val="left" w:pos="468"/>
                <w:tab w:val="left" w:pos="469"/>
              </w:tabs>
              <w:rPr>
                <w:rFonts w:ascii="Wingdings" w:hAnsi="Wingdings"/>
                <w:sz w:val="20"/>
                <w:szCs w:val="20"/>
                <w:lang w:val="es-419"/>
              </w:rPr>
            </w:pPr>
            <w:r w:rsidRPr="00756410">
              <w:rPr>
                <w:sz w:val="20"/>
                <w:szCs w:val="20"/>
                <w:lang w:val="es-419"/>
              </w:rPr>
              <w:t xml:space="preserve">Custodio </w:t>
            </w:r>
            <w:r w:rsidR="008E180F" w:rsidRPr="00756410">
              <w:rPr>
                <w:sz w:val="20"/>
                <w:szCs w:val="20"/>
                <w:lang w:val="es-419"/>
              </w:rPr>
              <w:t>de la caja fuerte</w:t>
            </w:r>
          </w:p>
          <w:p w14:paraId="3E3C4F2F" w14:textId="0C547D1F" w:rsidR="00B47A2E" w:rsidRPr="00756410" w:rsidRDefault="76CE20E5">
            <w:pPr>
              <w:pStyle w:val="TableParagraph"/>
              <w:numPr>
                <w:ilvl w:val="0"/>
                <w:numId w:val="11"/>
              </w:numPr>
              <w:tabs>
                <w:tab w:val="left" w:pos="468"/>
                <w:tab w:val="left" w:pos="469"/>
              </w:tabs>
              <w:rPr>
                <w:sz w:val="20"/>
                <w:szCs w:val="20"/>
                <w:lang w:val="es-419"/>
              </w:rPr>
            </w:pPr>
            <w:r w:rsidRPr="00756410">
              <w:rPr>
                <w:sz w:val="20"/>
                <w:szCs w:val="20"/>
                <w:lang w:val="es-419"/>
              </w:rPr>
              <w:t>Custodio de caja chica (</w:t>
            </w:r>
            <w:r w:rsidR="008E180F">
              <w:rPr>
                <w:sz w:val="20"/>
                <w:szCs w:val="20"/>
                <w:lang w:val="es-419"/>
              </w:rPr>
              <w:t xml:space="preserve">con </w:t>
            </w:r>
            <w:r w:rsidRPr="00756410">
              <w:rPr>
                <w:sz w:val="20"/>
                <w:szCs w:val="20"/>
                <w:lang w:val="es-419"/>
              </w:rPr>
              <w:t>algunas excepciones)</w:t>
            </w:r>
          </w:p>
          <w:p w14:paraId="2AB68E53" w14:textId="72C4E91A" w:rsidR="00B47A2E" w:rsidRPr="00DF4695" w:rsidRDefault="00C14E73">
            <w:pPr>
              <w:pStyle w:val="TableParagraph"/>
              <w:numPr>
                <w:ilvl w:val="0"/>
                <w:numId w:val="11"/>
              </w:numPr>
              <w:tabs>
                <w:tab w:val="left" w:pos="468"/>
                <w:tab w:val="left" w:pos="469"/>
              </w:tabs>
              <w:spacing w:before="1"/>
              <w:rPr>
                <w:rFonts w:ascii="Wingdings" w:hAnsi="Wingdings"/>
                <w:sz w:val="20"/>
                <w:szCs w:val="20"/>
              </w:rPr>
            </w:pPr>
            <w:r>
              <w:rPr>
                <w:sz w:val="20"/>
                <w:szCs w:val="20"/>
              </w:rPr>
              <w:t>Roles</w:t>
            </w:r>
            <w:r w:rsidRPr="00DF4695">
              <w:rPr>
                <w:sz w:val="20"/>
                <w:szCs w:val="20"/>
              </w:rPr>
              <w:t xml:space="preserve"> </w:t>
            </w:r>
            <w:r w:rsidR="00B47A2E" w:rsidRPr="00DF4695">
              <w:rPr>
                <w:sz w:val="20"/>
                <w:szCs w:val="20"/>
              </w:rPr>
              <w:t>complementari</w:t>
            </w:r>
            <w:r w:rsidR="009009BC">
              <w:rPr>
                <w:sz w:val="20"/>
                <w:szCs w:val="20"/>
              </w:rPr>
              <w:t>o</w:t>
            </w:r>
            <w:r w:rsidR="00B47A2E" w:rsidRPr="00DF4695">
              <w:rPr>
                <w:sz w:val="20"/>
                <w:szCs w:val="20"/>
              </w:rPr>
              <w:t xml:space="preserve">s </w:t>
            </w:r>
            <w:r w:rsidR="005A1B6E">
              <w:rPr>
                <w:sz w:val="20"/>
                <w:szCs w:val="20"/>
              </w:rPr>
              <w:t>en Quantum</w:t>
            </w:r>
            <w:r w:rsidR="00B47A2E" w:rsidRPr="00DF4695">
              <w:rPr>
                <w:sz w:val="20"/>
                <w:szCs w:val="20"/>
              </w:rPr>
              <w:t>:</w:t>
            </w:r>
          </w:p>
          <w:p w14:paraId="387ECE3C" w14:textId="38252E3C" w:rsidR="00B47A2E" w:rsidRPr="00DF4695" w:rsidRDefault="00B47A2E">
            <w:pPr>
              <w:pStyle w:val="TableParagraph"/>
              <w:numPr>
                <w:ilvl w:val="1"/>
                <w:numId w:val="11"/>
              </w:numPr>
              <w:tabs>
                <w:tab w:val="left" w:pos="649"/>
              </w:tabs>
              <w:spacing w:line="280" w:lineRule="exact"/>
              <w:rPr>
                <w:sz w:val="20"/>
                <w:szCs w:val="20"/>
              </w:rPr>
            </w:pPr>
            <w:r w:rsidRPr="00DF4695">
              <w:rPr>
                <w:sz w:val="20"/>
                <w:szCs w:val="20"/>
              </w:rPr>
              <w:t>Mantenimiento de proveedores (L1)</w:t>
            </w:r>
          </w:p>
          <w:p w14:paraId="73BAA398" w14:textId="5104A1F1" w:rsidR="00B47A2E" w:rsidRPr="00DF4695" w:rsidRDefault="00B47A2E">
            <w:pPr>
              <w:pStyle w:val="TableParagraph"/>
              <w:numPr>
                <w:ilvl w:val="1"/>
                <w:numId w:val="11"/>
              </w:numPr>
              <w:tabs>
                <w:tab w:val="left" w:pos="649"/>
              </w:tabs>
              <w:spacing w:line="280" w:lineRule="exact"/>
              <w:rPr>
                <w:sz w:val="20"/>
                <w:szCs w:val="20"/>
              </w:rPr>
            </w:pPr>
            <w:r w:rsidRPr="00DF4695">
              <w:rPr>
                <w:sz w:val="20"/>
                <w:szCs w:val="20"/>
              </w:rPr>
              <w:t>Aprobador de proveedores (L2)</w:t>
            </w:r>
          </w:p>
          <w:p w14:paraId="0F1501E2" w14:textId="6FE02002" w:rsidR="003112A3" w:rsidRPr="00DF4695" w:rsidRDefault="002A69AE" w:rsidP="003112A3">
            <w:pPr>
              <w:pStyle w:val="TableParagraph"/>
              <w:numPr>
                <w:ilvl w:val="1"/>
                <w:numId w:val="11"/>
              </w:numPr>
              <w:tabs>
                <w:tab w:val="left" w:pos="649"/>
              </w:tabs>
              <w:spacing w:before="1"/>
              <w:rPr>
                <w:sz w:val="20"/>
                <w:szCs w:val="20"/>
              </w:rPr>
            </w:pPr>
            <w:r>
              <w:rPr>
                <w:sz w:val="20"/>
                <w:szCs w:val="20"/>
              </w:rPr>
              <w:t>“</w:t>
            </w:r>
            <w:r w:rsidR="003112A3" w:rsidRPr="00DF4695">
              <w:rPr>
                <w:sz w:val="20"/>
                <w:szCs w:val="20"/>
              </w:rPr>
              <w:t>Override match exception</w:t>
            </w:r>
            <w:r>
              <w:rPr>
                <w:sz w:val="20"/>
                <w:szCs w:val="20"/>
              </w:rPr>
              <w:t>”</w:t>
            </w:r>
          </w:p>
          <w:p w14:paraId="76EA068E" w14:textId="5C61ACEA" w:rsidR="00B47A2E" w:rsidRPr="00DF4695" w:rsidRDefault="00CE50A3">
            <w:pPr>
              <w:pStyle w:val="TableParagraph"/>
              <w:numPr>
                <w:ilvl w:val="1"/>
                <w:numId w:val="11"/>
              </w:numPr>
              <w:tabs>
                <w:tab w:val="left" w:pos="649"/>
              </w:tabs>
              <w:spacing w:before="1"/>
              <w:rPr>
                <w:sz w:val="20"/>
                <w:szCs w:val="20"/>
              </w:rPr>
            </w:pPr>
            <w:r>
              <w:rPr>
                <w:sz w:val="20"/>
                <w:szCs w:val="20"/>
              </w:rPr>
              <w:t>Gerente de</w:t>
            </w:r>
            <w:r w:rsidR="00B47A2E" w:rsidRPr="00DF4695">
              <w:rPr>
                <w:sz w:val="20"/>
                <w:szCs w:val="20"/>
              </w:rPr>
              <w:t xml:space="preserve"> fondos</w:t>
            </w:r>
          </w:p>
          <w:p w14:paraId="328AEFBA" w14:textId="5D578488" w:rsidR="00B47A2E" w:rsidRPr="00DF4695" w:rsidRDefault="00B47A2E" w:rsidP="00B47A2E">
            <w:pPr>
              <w:pStyle w:val="TableParagraph"/>
              <w:tabs>
                <w:tab w:val="left" w:pos="649"/>
              </w:tabs>
              <w:spacing w:before="1"/>
              <w:ind w:left="0"/>
              <w:rPr>
                <w:sz w:val="20"/>
                <w:szCs w:val="20"/>
                <w:u w:val="single"/>
              </w:rPr>
            </w:pPr>
            <w:r w:rsidRPr="00DF4695">
              <w:rPr>
                <w:sz w:val="20"/>
                <w:szCs w:val="20"/>
                <w:u w:val="single"/>
              </w:rPr>
              <w:t>Recursos humanos:</w:t>
            </w:r>
          </w:p>
          <w:p w14:paraId="0185FE3B" w14:textId="13368AE7" w:rsidR="00B47A2E" w:rsidRPr="00756410" w:rsidRDefault="00B47A2E">
            <w:pPr>
              <w:pStyle w:val="TableParagraph"/>
              <w:numPr>
                <w:ilvl w:val="0"/>
                <w:numId w:val="11"/>
              </w:numPr>
              <w:tabs>
                <w:tab w:val="left" w:pos="468"/>
                <w:tab w:val="left" w:pos="469"/>
              </w:tabs>
              <w:spacing w:line="268" w:lineRule="exact"/>
              <w:rPr>
                <w:sz w:val="20"/>
                <w:szCs w:val="20"/>
                <w:lang w:val="es-419"/>
              </w:rPr>
            </w:pPr>
            <w:r w:rsidRPr="00756410">
              <w:rPr>
                <w:sz w:val="20"/>
                <w:szCs w:val="20"/>
                <w:lang w:val="es-419"/>
              </w:rPr>
              <w:t xml:space="preserve">1ª Autoridad: Administrador de RRHH (solo en la sede </w:t>
            </w:r>
            <w:r w:rsidR="00CE50A3">
              <w:rPr>
                <w:sz w:val="20"/>
                <w:szCs w:val="20"/>
                <w:lang w:val="es-419"/>
              </w:rPr>
              <w:t>central</w:t>
            </w:r>
            <w:r w:rsidRPr="00756410">
              <w:rPr>
                <w:sz w:val="20"/>
                <w:szCs w:val="20"/>
                <w:lang w:val="es-419"/>
              </w:rPr>
              <w:t>)</w:t>
            </w:r>
          </w:p>
          <w:p w14:paraId="0C76DAA7" w14:textId="70C6E99E" w:rsidR="00B47A2E" w:rsidRPr="00756410" w:rsidRDefault="00B47A2E">
            <w:pPr>
              <w:pStyle w:val="TableParagraph"/>
              <w:numPr>
                <w:ilvl w:val="0"/>
                <w:numId w:val="11"/>
              </w:numPr>
              <w:tabs>
                <w:tab w:val="left" w:pos="468"/>
                <w:tab w:val="left" w:pos="469"/>
              </w:tabs>
              <w:spacing w:before="17"/>
              <w:rPr>
                <w:sz w:val="20"/>
                <w:szCs w:val="20"/>
                <w:lang w:val="es-ES"/>
              </w:rPr>
            </w:pPr>
            <w:r w:rsidRPr="00756410">
              <w:rPr>
                <w:sz w:val="20"/>
                <w:szCs w:val="20"/>
                <w:lang w:val="es-ES"/>
              </w:rPr>
              <w:t>2ª Autoridad: Administrador de Nómina Global</w:t>
            </w:r>
          </w:p>
          <w:p w14:paraId="46AEFB81" w14:textId="7EFA49B2" w:rsidR="00B47A2E" w:rsidRPr="00756410" w:rsidRDefault="00B47A2E">
            <w:pPr>
              <w:pStyle w:val="TableParagraph"/>
              <w:numPr>
                <w:ilvl w:val="0"/>
                <w:numId w:val="11"/>
              </w:numPr>
              <w:tabs>
                <w:tab w:val="left" w:pos="468"/>
                <w:tab w:val="left" w:pos="469"/>
              </w:tabs>
              <w:spacing w:before="19"/>
              <w:rPr>
                <w:sz w:val="20"/>
                <w:szCs w:val="20"/>
                <w:lang w:val="es-419"/>
              </w:rPr>
            </w:pPr>
            <w:r w:rsidRPr="00756410">
              <w:rPr>
                <w:sz w:val="20"/>
                <w:szCs w:val="20"/>
                <w:lang w:val="es-419"/>
              </w:rPr>
              <w:t>3ª Autoridad: Usuario de la herramienta de validación de nómina</w:t>
            </w:r>
          </w:p>
          <w:p w14:paraId="6CDB05FB" w14:textId="4F68CDFC" w:rsidR="00B47A2E" w:rsidRPr="00756410" w:rsidRDefault="00B47A2E">
            <w:pPr>
              <w:pStyle w:val="TableParagraph"/>
              <w:numPr>
                <w:ilvl w:val="0"/>
                <w:numId w:val="11"/>
              </w:numPr>
              <w:tabs>
                <w:tab w:val="left" w:pos="468"/>
                <w:tab w:val="left" w:pos="469"/>
              </w:tabs>
              <w:spacing w:before="17"/>
              <w:rPr>
                <w:sz w:val="20"/>
                <w:szCs w:val="20"/>
                <w:lang w:val="es-419"/>
              </w:rPr>
            </w:pPr>
            <w:r w:rsidRPr="00756410">
              <w:rPr>
                <w:sz w:val="20"/>
                <w:szCs w:val="20"/>
                <w:lang w:val="es-419"/>
              </w:rPr>
              <w:t xml:space="preserve">Aprobador de posición - Jefe de oficina; y Aprobador de </w:t>
            </w:r>
            <w:r w:rsidR="00556DAC" w:rsidRPr="00DD2AC1">
              <w:rPr>
                <w:sz w:val="20"/>
                <w:szCs w:val="20"/>
                <w:lang w:val="es-419"/>
              </w:rPr>
              <w:t>posición</w:t>
            </w:r>
            <w:r w:rsidRPr="00756410">
              <w:rPr>
                <w:sz w:val="20"/>
                <w:szCs w:val="20"/>
                <w:lang w:val="es-419"/>
              </w:rPr>
              <w:t xml:space="preserve"> – Jefe de Oficina </w:t>
            </w:r>
            <w:r w:rsidR="00BB15F6">
              <w:rPr>
                <w:sz w:val="20"/>
                <w:szCs w:val="20"/>
                <w:lang w:val="es-419"/>
              </w:rPr>
              <w:t>a nivel de Buro</w:t>
            </w:r>
            <w:r w:rsidRPr="00756410">
              <w:rPr>
                <w:sz w:val="20"/>
                <w:szCs w:val="20"/>
                <w:lang w:val="es-419"/>
              </w:rPr>
              <w:t xml:space="preserve"> (consulte la sección 8.5 para obtener más información)</w:t>
            </w:r>
          </w:p>
        </w:tc>
        <w:tc>
          <w:tcPr>
            <w:tcW w:w="4963" w:type="dxa"/>
          </w:tcPr>
          <w:p w14:paraId="2B32DE13" w14:textId="77777777" w:rsidR="00B64FB0" w:rsidRDefault="00B64FB0" w:rsidP="00B64FB0">
            <w:pPr>
              <w:rPr>
                <w:sz w:val="20"/>
                <w:szCs w:val="20"/>
                <w:u w:val="single"/>
              </w:rPr>
            </w:pPr>
            <w:r w:rsidRPr="00DF4695">
              <w:rPr>
                <w:sz w:val="20"/>
                <w:szCs w:val="20"/>
                <w:u w:val="single"/>
              </w:rPr>
              <w:t>Finanzas:</w:t>
            </w:r>
          </w:p>
          <w:p w14:paraId="04894213" w14:textId="77777777" w:rsidR="00D50A16" w:rsidRPr="00756410" w:rsidRDefault="00D50A16">
            <w:pPr>
              <w:pStyle w:val="ListParagraph"/>
              <w:numPr>
                <w:ilvl w:val="0"/>
                <w:numId w:val="12"/>
              </w:numPr>
              <w:rPr>
                <w:sz w:val="20"/>
                <w:szCs w:val="20"/>
                <w:lang w:val="es-419"/>
              </w:rPr>
            </w:pPr>
            <w:r w:rsidRPr="00756410">
              <w:rPr>
                <w:sz w:val="20"/>
                <w:szCs w:val="20"/>
                <w:lang w:val="es-419"/>
              </w:rPr>
              <w:t>Gerente de proyecto (primera autoridad)</w:t>
            </w:r>
            <w:r w:rsidRPr="363CA695">
              <w:rPr>
                <w:rStyle w:val="FootnoteReference"/>
                <w:spacing w:val="-2"/>
                <w:sz w:val="20"/>
                <w:szCs w:val="20"/>
              </w:rPr>
              <w:footnoteReference w:id="11"/>
            </w:r>
          </w:p>
          <w:p w14:paraId="20B886E8" w14:textId="77777777" w:rsidR="00D50A16" w:rsidRPr="00DF4695" w:rsidRDefault="00D50A16">
            <w:pPr>
              <w:pStyle w:val="ListParagraph"/>
              <w:numPr>
                <w:ilvl w:val="0"/>
                <w:numId w:val="12"/>
              </w:numPr>
              <w:rPr>
                <w:sz w:val="20"/>
                <w:szCs w:val="20"/>
              </w:rPr>
            </w:pPr>
            <w:r w:rsidRPr="00DF4695">
              <w:rPr>
                <w:sz w:val="20"/>
                <w:szCs w:val="20"/>
              </w:rPr>
              <w:t>Comprador de adquisiciones</w:t>
            </w:r>
          </w:p>
          <w:p w14:paraId="621C2801" w14:textId="77777777" w:rsidR="00D50A16" w:rsidRPr="00DF4695" w:rsidRDefault="00D50A16">
            <w:pPr>
              <w:pStyle w:val="ListParagraph"/>
              <w:numPr>
                <w:ilvl w:val="0"/>
                <w:numId w:val="12"/>
              </w:numPr>
              <w:rPr>
                <w:sz w:val="20"/>
                <w:szCs w:val="20"/>
              </w:rPr>
            </w:pPr>
            <w:r w:rsidRPr="00DF4695">
              <w:rPr>
                <w:sz w:val="20"/>
                <w:szCs w:val="20"/>
              </w:rPr>
              <w:t>Usuario de finanzas</w:t>
            </w:r>
            <w:r w:rsidRPr="00DF4695">
              <w:rPr>
                <w:rStyle w:val="FootnoteReference"/>
                <w:sz w:val="20"/>
                <w:szCs w:val="20"/>
              </w:rPr>
              <w:footnoteReference w:id="12"/>
            </w:r>
          </w:p>
          <w:p w14:paraId="6D379144" w14:textId="77777777" w:rsidR="00D50A16" w:rsidRPr="00DF4695" w:rsidRDefault="00D50A16">
            <w:pPr>
              <w:pStyle w:val="ListParagraph"/>
              <w:numPr>
                <w:ilvl w:val="0"/>
                <w:numId w:val="12"/>
              </w:numPr>
              <w:rPr>
                <w:sz w:val="20"/>
                <w:szCs w:val="20"/>
              </w:rPr>
            </w:pPr>
            <w:r w:rsidRPr="00DF4695">
              <w:rPr>
                <w:sz w:val="20"/>
                <w:szCs w:val="20"/>
              </w:rPr>
              <w:t xml:space="preserve">Procesador de viaje </w:t>
            </w:r>
          </w:p>
          <w:p w14:paraId="07CCD4EB" w14:textId="2E0F4760" w:rsidR="00D50A16" w:rsidRPr="00756410" w:rsidRDefault="00D50A16">
            <w:pPr>
              <w:pStyle w:val="ListParagraph"/>
              <w:numPr>
                <w:ilvl w:val="0"/>
                <w:numId w:val="12"/>
              </w:numPr>
              <w:rPr>
                <w:rStyle w:val="Hyperlink"/>
                <w:color w:val="auto"/>
                <w:sz w:val="20"/>
                <w:szCs w:val="20"/>
                <w:u w:val="none"/>
                <w:lang w:val="es-419"/>
              </w:rPr>
            </w:pPr>
            <w:r w:rsidRPr="00756410">
              <w:rPr>
                <w:sz w:val="20"/>
                <w:szCs w:val="20"/>
                <w:lang w:val="es-419"/>
              </w:rPr>
              <w:t>Titular de Anticipo de Caja Chica de Proyecto</w:t>
            </w:r>
            <w:r w:rsidR="00761866">
              <w:rPr>
                <w:sz w:val="20"/>
                <w:szCs w:val="20"/>
                <w:lang w:val="es-419"/>
              </w:rPr>
              <w:t>s</w:t>
            </w:r>
            <w:r w:rsidRPr="00756410">
              <w:rPr>
                <w:sz w:val="20"/>
                <w:szCs w:val="20"/>
                <w:lang w:val="es-419"/>
              </w:rPr>
              <w:t xml:space="preserve"> de Desarrollo – sujeto a </w:t>
            </w:r>
            <w:hyperlink r:id="rId19" w:history="1">
              <w:r w:rsidRPr="00756410">
                <w:rPr>
                  <w:rStyle w:val="Hyperlink"/>
                  <w:spacing w:val="-3"/>
                  <w:sz w:val="20"/>
                  <w:szCs w:val="20"/>
                  <w:lang w:val="es-419"/>
                </w:rPr>
                <w:t>la política de "Gestión de Caja Chica"</w:t>
              </w:r>
            </w:hyperlink>
          </w:p>
          <w:p w14:paraId="33B403FD" w14:textId="29618600" w:rsidR="00D50A16" w:rsidRPr="00756410" w:rsidRDefault="00D50A16" w:rsidP="00D50A16">
            <w:pPr>
              <w:rPr>
                <w:rStyle w:val="Hyperlink"/>
                <w:color w:val="auto"/>
                <w:sz w:val="20"/>
                <w:szCs w:val="20"/>
                <w:u w:val="none"/>
                <w:lang w:val="es-419"/>
              </w:rPr>
            </w:pPr>
          </w:p>
          <w:p w14:paraId="04D60CAE" w14:textId="6DF7DAAE" w:rsidR="000E79F3" w:rsidRPr="00DF4695" w:rsidRDefault="000E79F3" w:rsidP="000E79F3">
            <w:pPr>
              <w:rPr>
                <w:sz w:val="20"/>
                <w:szCs w:val="20"/>
                <w:u w:val="single"/>
              </w:rPr>
            </w:pPr>
            <w:r w:rsidRPr="00DF4695">
              <w:rPr>
                <w:sz w:val="20"/>
                <w:szCs w:val="20"/>
                <w:u w:val="single"/>
              </w:rPr>
              <w:t>Recursos humanos:</w:t>
            </w:r>
          </w:p>
          <w:p w14:paraId="3101FDE5" w14:textId="0D0594DF" w:rsidR="006B1ACD" w:rsidRPr="00756410" w:rsidRDefault="006B1ACD" w:rsidP="006B1ACD">
            <w:pPr>
              <w:pStyle w:val="ListParagraph"/>
              <w:numPr>
                <w:ilvl w:val="0"/>
                <w:numId w:val="112"/>
              </w:numPr>
              <w:rPr>
                <w:rFonts w:eastAsia="Times New Roman"/>
                <w:kern w:val="0"/>
                <w:sz w:val="20"/>
                <w:szCs w:val="20"/>
                <w:lang w:val="es-419"/>
                <w14:ligatures w14:val="none"/>
              </w:rPr>
            </w:pPr>
            <w:r w:rsidRPr="00756410">
              <w:rPr>
                <w:rFonts w:eastAsia="Times New Roman"/>
                <w:kern w:val="0"/>
                <w:sz w:val="20"/>
                <w:szCs w:val="20"/>
                <w:lang w:val="es-419"/>
                <w14:ligatures w14:val="none"/>
              </w:rPr>
              <w:t>Administrador de puestos - Acceso a datos a nivel de unidad operativa</w:t>
            </w:r>
            <w:r w:rsidR="00AA37FC">
              <w:rPr>
                <w:rFonts w:eastAsia="Times New Roman"/>
                <w:kern w:val="0"/>
                <w:sz w:val="20"/>
                <w:szCs w:val="20"/>
                <w:lang w:val="es-419"/>
                <w14:ligatures w14:val="none"/>
              </w:rPr>
              <w:t xml:space="preserve"> (OU)</w:t>
            </w:r>
          </w:p>
          <w:p w14:paraId="3475F9E2" w14:textId="77777777" w:rsidR="006B1ACD" w:rsidRPr="00756410" w:rsidRDefault="006B1ACD" w:rsidP="006B1ACD">
            <w:pPr>
              <w:pStyle w:val="ListParagraph"/>
              <w:numPr>
                <w:ilvl w:val="0"/>
                <w:numId w:val="112"/>
              </w:numPr>
              <w:rPr>
                <w:sz w:val="20"/>
                <w:szCs w:val="20"/>
                <w:lang w:val="es-ES"/>
              </w:rPr>
            </w:pPr>
            <w:r w:rsidRPr="00756410">
              <w:rPr>
                <w:sz w:val="20"/>
                <w:szCs w:val="20"/>
                <w:lang w:val="es-ES"/>
              </w:rPr>
              <w:t>Aprobador de puestos Gerente de RRHH por departamento</w:t>
            </w:r>
          </w:p>
          <w:p w14:paraId="2D0015B7" w14:textId="1B320206" w:rsidR="006B1ACD" w:rsidRPr="00756410" w:rsidRDefault="006B1ACD" w:rsidP="006B1ACD">
            <w:pPr>
              <w:pStyle w:val="ListParagraph"/>
              <w:numPr>
                <w:ilvl w:val="0"/>
                <w:numId w:val="112"/>
              </w:numPr>
              <w:rPr>
                <w:sz w:val="20"/>
                <w:szCs w:val="20"/>
                <w:lang w:val="es-ES"/>
              </w:rPr>
            </w:pPr>
            <w:r w:rsidRPr="00756410">
              <w:rPr>
                <w:sz w:val="20"/>
                <w:szCs w:val="20"/>
                <w:lang w:val="es-ES"/>
              </w:rPr>
              <w:t xml:space="preserve">Aprobador de puestos Gerente de recursos humanos Nivel de </w:t>
            </w:r>
            <w:r w:rsidR="006D4B0E" w:rsidRPr="00756410">
              <w:rPr>
                <w:sz w:val="20"/>
                <w:szCs w:val="20"/>
                <w:lang w:val="es-ES"/>
              </w:rPr>
              <w:t xml:space="preserve">Buro </w:t>
            </w:r>
          </w:p>
          <w:p w14:paraId="774DD350" w14:textId="77777777" w:rsidR="006B1ACD" w:rsidRPr="00756410" w:rsidRDefault="006B1ACD" w:rsidP="006B1ACD">
            <w:pPr>
              <w:pStyle w:val="ListParagraph"/>
              <w:numPr>
                <w:ilvl w:val="0"/>
                <w:numId w:val="112"/>
              </w:numPr>
              <w:rPr>
                <w:sz w:val="20"/>
                <w:szCs w:val="20"/>
                <w:lang w:val="es-419"/>
              </w:rPr>
            </w:pPr>
            <w:r w:rsidRPr="00756410">
              <w:rPr>
                <w:sz w:val="20"/>
                <w:szCs w:val="20"/>
                <w:lang w:val="es-419"/>
              </w:rPr>
              <w:t>Aprobador de puestos Revisor de presupuesto por departamento</w:t>
            </w:r>
          </w:p>
          <w:p w14:paraId="7FB088FD" w14:textId="688469FB" w:rsidR="006B1ACD" w:rsidRPr="00756410" w:rsidRDefault="006B1ACD" w:rsidP="006B1ACD">
            <w:pPr>
              <w:pStyle w:val="ListParagraph"/>
              <w:numPr>
                <w:ilvl w:val="0"/>
                <w:numId w:val="112"/>
              </w:numPr>
              <w:rPr>
                <w:sz w:val="20"/>
                <w:szCs w:val="20"/>
                <w:lang w:val="es-419"/>
              </w:rPr>
            </w:pPr>
            <w:r w:rsidRPr="00756410">
              <w:rPr>
                <w:sz w:val="20"/>
                <w:szCs w:val="20"/>
                <w:lang w:val="es-419"/>
              </w:rPr>
              <w:t xml:space="preserve">Aprobador de posición Revisor de presupuesto Nivel de </w:t>
            </w:r>
            <w:r w:rsidR="00A50EA4">
              <w:rPr>
                <w:sz w:val="20"/>
                <w:szCs w:val="20"/>
                <w:lang w:val="es-419"/>
              </w:rPr>
              <w:t>buro</w:t>
            </w:r>
          </w:p>
          <w:p w14:paraId="32844587" w14:textId="3AE2BF2A" w:rsidR="006B1ACD" w:rsidRPr="00756410" w:rsidRDefault="006B1ACD" w:rsidP="006B1ACD">
            <w:pPr>
              <w:pStyle w:val="ListParagraph"/>
              <w:numPr>
                <w:ilvl w:val="0"/>
                <w:numId w:val="112"/>
              </w:numPr>
              <w:rPr>
                <w:sz w:val="20"/>
                <w:szCs w:val="20"/>
                <w:lang w:val="es-419"/>
              </w:rPr>
            </w:pPr>
            <w:r w:rsidRPr="00756410">
              <w:rPr>
                <w:sz w:val="20"/>
                <w:szCs w:val="20"/>
                <w:lang w:val="es-419"/>
              </w:rPr>
              <w:t>Posición Aprobador Revisor</w:t>
            </w:r>
            <w:r w:rsidR="00A50EA4" w:rsidRPr="00756410">
              <w:rPr>
                <w:sz w:val="20"/>
                <w:szCs w:val="20"/>
                <w:lang w:val="es-419"/>
              </w:rPr>
              <w:t xml:space="preserve"> del Buro</w:t>
            </w:r>
          </w:p>
          <w:p w14:paraId="6CC1EF59" w14:textId="4CDD23C5" w:rsidR="006B1ACD" w:rsidRDefault="006B1ACD" w:rsidP="006B1ACD">
            <w:pPr>
              <w:pStyle w:val="ListParagraph"/>
              <w:numPr>
                <w:ilvl w:val="0"/>
                <w:numId w:val="112"/>
              </w:numPr>
              <w:rPr>
                <w:sz w:val="20"/>
                <w:szCs w:val="20"/>
              </w:rPr>
            </w:pPr>
            <w:r w:rsidRPr="006B1ACD">
              <w:rPr>
                <w:sz w:val="20"/>
                <w:szCs w:val="20"/>
              </w:rPr>
              <w:t>Aprobador de posición GSSC</w:t>
            </w:r>
          </w:p>
          <w:p w14:paraId="5DF532F8" w14:textId="5073F133" w:rsidR="006B1ACD" w:rsidRPr="00756410" w:rsidRDefault="006B1ACD" w:rsidP="006B1ACD">
            <w:pPr>
              <w:pStyle w:val="ListParagraph"/>
              <w:ind w:left="360"/>
              <w:rPr>
                <w:sz w:val="20"/>
                <w:szCs w:val="20"/>
                <w:lang w:val="es-419"/>
              </w:rPr>
            </w:pPr>
            <w:r w:rsidRPr="00756410">
              <w:rPr>
                <w:sz w:val="20"/>
                <w:szCs w:val="20"/>
                <w:lang w:val="es-419"/>
              </w:rPr>
              <w:t>(consulte la sección 8.5 para obtener más información)</w:t>
            </w:r>
          </w:p>
          <w:p w14:paraId="3B35C815" w14:textId="3C2F4456" w:rsidR="000E79F3" w:rsidRPr="00756410" w:rsidRDefault="003175AA">
            <w:pPr>
              <w:pStyle w:val="ListParagraph"/>
              <w:numPr>
                <w:ilvl w:val="0"/>
                <w:numId w:val="106"/>
              </w:numPr>
              <w:textAlignment w:val="baseline"/>
              <w:rPr>
                <w:lang w:val="es-419" w:eastAsia="en-GB"/>
                <w14:ligatures w14:val="none"/>
              </w:rPr>
            </w:pPr>
            <w:r w:rsidRPr="00756410">
              <w:rPr>
                <w:sz w:val="20"/>
                <w:szCs w:val="20"/>
                <w:lang w:val="es-419"/>
              </w:rPr>
              <w:t xml:space="preserve">Los PSA pueden servir en comités corporativos (como paneles de entrevistas, comités de contratos y </w:t>
            </w:r>
            <w:r w:rsidRPr="00756410">
              <w:rPr>
                <w:sz w:val="20"/>
                <w:szCs w:val="20"/>
                <w:lang w:val="es-419"/>
              </w:rPr>
              <w:lastRenderedPageBreak/>
              <w:t xml:space="preserve">propiedad, comité de revisión de proveedores, etc.).  A excepción de los paneles de entrevistas, los PSA no pueden servir como presidente, presidente suplente o ser los miembros con derecho a voto mayoritario en los comités corporativos. Con respecto a los paneles de entrevistas, el panel normalmente estará presidido por un titular FTA. Sin embargo, cuando esto no sea posible, el Jefe de la Unidad puede autorizar </w:t>
            </w:r>
            <w:r w:rsidR="0013429C">
              <w:rPr>
                <w:sz w:val="20"/>
                <w:szCs w:val="20"/>
                <w:lang w:val="es-419"/>
              </w:rPr>
              <w:t>que e</w:t>
            </w:r>
            <w:r w:rsidRPr="00756410">
              <w:rPr>
                <w:sz w:val="20"/>
                <w:szCs w:val="20"/>
                <w:lang w:val="es-419"/>
              </w:rPr>
              <w:t>l presidente del panel de entrevistas</w:t>
            </w:r>
            <w:r w:rsidR="001B0071">
              <w:rPr>
                <w:sz w:val="20"/>
                <w:szCs w:val="20"/>
                <w:lang w:val="es-419"/>
              </w:rPr>
              <w:t xml:space="preserve"> sea un PSA que posea el mayor nivel</w:t>
            </w:r>
            <w:r w:rsidRPr="00756410">
              <w:rPr>
                <w:sz w:val="20"/>
                <w:szCs w:val="20"/>
                <w:lang w:val="es-419"/>
              </w:rPr>
              <w:t xml:space="preserve">, </w:t>
            </w:r>
            <w:r w:rsidR="00AE1ECA">
              <w:rPr>
                <w:sz w:val="20"/>
                <w:szCs w:val="20"/>
                <w:lang w:val="es-419"/>
              </w:rPr>
              <w:t xml:space="preserve">siempre que </w:t>
            </w:r>
            <w:r w:rsidR="00195206">
              <w:rPr>
                <w:sz w:val="20"/>
                <w:szCs w:val="20"/>
                <w:lang w:val="es-419"/>
              </w:rPr>
              <w:t>posea el nivel del puesto o superior</w:t>
            </w:r>
            <w:r w:rsidRPr="00756410">
              <w:rPr>
                <w:sz w:val="20"/>
                <w:szCs w:val="20"/>
                <w:lang w:val="es-419"/>
              </w:rPr>
              <w:t xml:space="preserve">. </w:t>
            </w:r>
          </w:p>
          <w:p w14:paraId="06D5F2C4" w14:textId="77777777" w:rsidR="00DF4695" w:rsidRPr="00756410" w:rsidRDefault="00DF4695" w:rsidP="00DF4695">
            <w:pPr>
              <w:pStyle w:val="ListParagraph"/>
              <w:ind w:left="360"/>
              <w:rPr>
                <w:sz w:val="20"/>
                <w:szCs w:val="20"/>
                <w:lang w:val="es-419"/>
              </w:rPr>
            </w:pPr>
          </w:p>
          <w:p w14:paraId="2981531D" w14:textId="2858A337" w:rsidR="000E79F3" w:rsidRPr="00756410" w:rsidRDefault="003175AA" w:rsidP="00756410">
            <w:pPr>
              <w:pStyle w:val="ListParagraph"/>
              <w:numPr>
                <w:ilvl w:val="0"/>
                <w:numId w:val="12"/>
              </w:numPr>
              <w:jc w:val="both"/>
              <w:rPr>
                <w:sz w:val="20"/>
                <w:szCs w:val="20"/>
                <w:lang w:val="es-419"/>
              </w:rPr>
            </w:pPr>
            <w:r w:rsidRPr="00756410">
              <w:rPr>
                <w:sz w:val="20"/>
                <w:szCs w:val="20"/>
                <w:lang w:val="es-419"/>
              </w:rPr>
              <w:t xml:space="preserve">Los PSA también pueden administrar o gestionar un proceso de selección de acuerdo con las políticas estándar del PNUD y los procesos establecidos, ya que esto no se considera una "función inherente". Sin embargo, decidir qué reglas </w:t>
            </w:r>
            <w:r w:rsidR="00EE473B">
              <w:rPr>
                <w:sz w:val="20"/>
                <w:szCs w:val="20"/>
                <w:lang w:val="es-419"/>
              </w:rPr>
              <w:t xml:space="preserve">se incluirán </w:t>
            </w:r>
            <w:r w:rsidRPr="00756410">
              <w:rPr>
                <w:sz w:val="20"/>
                <w:szCs w:val="20"/>
                <w:lang w:val="es-419"/>
              </w:rPr>
              <w:t xml:space="preserve">en los manuales y políticas corporativas o hacer excepciones a dichas políticas, en interés de </w:t>
            </w:r>
            <w:r w:rsidR="0015764B">
              <w:rPr>
                <w:sz w:val="20"/>
                <w:szCs w:val="20"/>
                <w:lang w:val="es-419"/>
              </w:rPr>
              <w:t>las Naciones Unidas</w:t>
            </w:r>
            <w:r w:rsidRPr="00756410">
              <w:rPr>
                <w:sz w:val="20"/>
                <w:szCs w:val="20"/>
                <w:lang w:val="es-419"/>
              </w:rPr>
              <w:t xml:space="preserve">, es una "función inherente" y no puede ser realizada por los PSA. Para obtener más información, consulte </w:t>
            </w:r>
            <w:r w:rsidR="000E79F3" w:rsidRPr="00756410">
              <w:rPr>
                <w:color w:val="0462C1"/>
                <w:sz w:val="20"/>
                <w:szCs w:val="20"/>
                <w:u w:val="single"/>
                <w:lang w:val="es-419"/>
              </w:rPr>
              <w:t xml:space="preserve">POPP Gestión de </w:t>
            </w:r>
            <w:hyperlink r:id="rId20" w:history="1">
              <w:r w:rsidR="000E79F3" w:rsidRPr="008E3380">
                <w:rPr>
                  <w:rStyle w:val="Hyperlink"/>
                  <w:sz w:val="20"/>
                  <w:szCs w:val="20"/>
                  <w:lang w:val="es-419"/>
                </w:rPr>
                <w:t>recursos humanos</w:t>
              </w:r>
              <w:r w:rsidR="00F31D75" w:rsidRPr="008E3380">
                <w:rPr>
                  <w:rStyle w:val="Hyperlink"/>
                  <w:sz w:val="20"/>
                  <w:szCs w:val="20"/>
                  <w:lang w:val="es-419"/>
                </w:rPr>
                <w:t xml:space="preserve"> personal que </w:t>
              </w:r>
              <w:r w:rsidR="00B06079" w:rsidRPr="008E3380">
                <w:rPr>
                  <w:rStyle w:val="Hyperlink"/>
                  <w:sz w:val="20"/>
                  <w:szCs w:val="20"/>
                  <w:lang w:val="es-419"/>
                </w:rPr>
                <w:t>no</w:t>
              </w:r>
            </w:hyperlink>
            <w:r w:rsidR="00B06079" w:rsidRPr="00756410">
              <w:rPr>
                <w:sz w:val="20"/>
                <w:szCs w:val="20"/>
                <w:lang w:val="es-419"/>
              </w:rPr>
              <w:t xml:space="preserve"> es de plantilla</w:t>
            </w:r>
            <w:r w:rsidR="004D19CB" w:rsidRPr="00756410">
              <w:rPr>
                <w:sz w:val="20"/>
                <w:szCs w:val="20"/>
                <w:lang w:val="es-419"/>
              </w:rPr>
              <w:t xml:space="preserve"> (personal no funcionario).</w:t>
            </w:r>
          </w:p>
        </w:tc>
      </w:tr>
    </w:tbl>
    <w:p w14:paraId="215233BE" w14:textId="785E3C51" w:rsidR="00BD402A" w:rsidRPr="00756410" w:rsidRDefault="00F11B4A" w:rsidP="00756410">
      <w:pPr>
        <w:spacing w:line="240" w:lineRule="auto"/>
        <w:jc w:val="both"/>
        <w:rPr>
          <w:lang w:val="es-419"/>
        </w:rPr>
      </w:pPr>
      <w:r w:rsidRPr="00756410">
        <w:rPr>
          <w:lang w:val="es-419"/>
        </w:rPr>
        <w:lastRenderedPageBreak/>
        <w:br/>
      </w:r>
      <w:r w:rsidR="00B47A2E" w:rsidRPr="00756410">
        <w:rPr>
          <w:b/>
          <w:lang w:val="es-419"/>
        </w:rPr>
        <w:t>Situación especial relativa al personal de otros organismos de las Naciones Unidas:</w:t>
      </w:r>
      <w:r w:rsidR="00B47A2E" w:rsidRPr="00756410">
        <w:rPr>
          <w:lang w:val="es-419"/>
        </w:rPr>
        <w:t xml:space="preserve"> Puede haber situaciones en las que un funcionario de otro organismo de las Naciones Unidas </w:t>
      </w:r>
      <w:r w:rsidR="00E42856">
        <w:rPr>
          <w:lang w:val="es-419"/>
        </w:rPr>
        <w:t>aplique</w:t>
      </w:r>
      <w:r w:rsidR="00E42856" w:rsidRPr="00756410">
        <w:rPr>
          <w:lang w:val="es-419"/>
        </w:rPr>
        <w:t xml:space="preserve"> </w:t>
      </w:r>
      <w:r w:rsidR="00B47A2E" w:rsidRPr="00756410">
        <w:rPr>
          <w:lang w:val="es-419"/>
        </w:rPr>
        <w:t>y sea nombrado para un puesto de FTA o TA del PNUD y, por instrucción de BMS/OHR, el miembro del personal sea colocado en un RLA/NRLA durante el primer año del nombramiento (en lugar de un</w:t>
      </w:r>
      <w:r w:rsidR="00FC29C9">
        <w:rPr>
          <w:lang w:val="es-419"/>
        </w:rPr>
        <w:t xml:space="preserve"> traslado temporal</w:t>
      </w:r>
      <w:r w:rsidR="00B47A2E" w:rsidRPr="00756410">
        <w:rPr>
          <w:lang w:val="es-419"/>
        </w:rPr>
        <w:t>) debido a que el organismo de las Naciones Unidas transfiere un gravamen sobre su puesto. En tales casos, el personal de la (N)RLA de otras entidades de las Naciones Unidas debe considerarse miembro del personal del PNUD a los efectos del ICF, dependiendo de la delegación y otras responsabilidades establecidas en el acuerdo de la RLA.</w:t>
      </w:r>
    </w:p>
    <w:p w14:paraId="2262B49A" w14:textId="523CE5E3" w:rsidR="00D5789D" w:rsidRPr="00756410" w:rsidRDefault="00D5789D">
      <w:pPr>
        <w:pStyle w:val="Heading2"/>
        <w:numPr>
          <w:ilvl w:val="1"/>
          <w:numId w:val="93"/>
        </w:numPr>
        <w:spacing w:after="240"/>
        <w:rPr>
          <w:lang w:val="es-419"/>
        </w:rPr>
      </w:pPr>
      <w:bookmarkStart w:id="14" w:name="_Toc134134744"/>
      <w:bookmarkStart w:id="15" w:name="_Toc210052744"/>
      <w:r w:rsidRPr="00756410">
        <w:rPr>
          <w:lang w:val="es-419"/>
        </w:rPr>
        <w:t xml:space="preserve">Acciones o excepciones que deben ser aprobadas o autorizadas por el </w:t>
      </w:r>
      <w:r w:rsidR="1FFFF9DD" w:rsidRPr="00756410">
        <w:rPr>
          <w:lang w:val="es-419"/>
        </w:rPr>
        <w:t>titular</w:t>
      </w:r>
      <w:r w:rsidRPr="00756410">
        <w:rPr>
          <w:lang w:val="es-419"/>
        </w:rPr>
        <w:t xml:space="preserve"> de una autoridad</w:t>
      </w:r>
      <w:bookmarkEnd w:id="14"/>
      <w:bookmarkEnd w:id="15"/>
    </w:p>
    <w:p w14:paraId="3FB74280" w14:textId="02AEDE1E" w:rsidR="00D5789D" w:rsidRPr="00756410" w:rsidRDefault="00D5789D" w:rsidP="00817B66">
      <w:pPr>
        <w:spacing w:line="240" w:lineRule="auto"/>
        <w:rPr>
          <w:lang w:val="es-419"/>
        </w:rPr>
      </w:pPr>
      <w:r w:rsidRPr="00756410">
        <w:rPr>
          <w:lang w:val="es-419"/>
        </w:rPr>
        <w:t>Según la Política de Delegación de Autoridad (DOA) y las secciones específicas de</w:t>
      </w:r>
      <w:r w:rsidR="007066F9">
        <w:rPr>
          <w:lang w:val="es-419"/>
        </w:rPr>
        <w:t>l</w:t>
      </w:r>
      <w:r w:rsidRPr="00756410">
        <w:rPr>
          <w:lang w:val="es-419"/>
        </w:rPr>
        <w:t xml:space="preserve"> </w:t>
      </w:r>
      <w:r w:rsidR="00E75B81">
        <w:rPr>
          <w:lang w:val="es-419"/>
        </w:rPr>
        <w:t>POPP</w:t>
      </w:r>
      <w:r w:rsidRPr="00756410">
        <w:rPr>
          <w:lang w:val="es-419"/>
        </w:rPr>
        <w:t xml:space="preserve">, ciertas acciones requieren la autorización del </w:t>
      </w:r>
      <w:r w:rsidR="5E55FBB0" w:rsidRPr="00756410">
        <w:rPr>
          <w:lang w:val="es-419"/>
        </w:rPr>
        <w:t>titular</w:t>
      </w:r>
      <w:r w:rsidRPr="00756410">
        <w:rPr>
          <w:lang w:val="es-419"/>
        </w:rPr>
        <w:t xml:space="preserve"> de la autoridad correspondiente. Se incluye más información en la </w:t>
      </w:r>
      <w:hyperlink r:id="rId21">
        <w:r w:rsidRPr="00756410">
          <w:rPr>
            <w:rStyle w:val="Hyperlink"/>
            <w:lang w:val="es-419"/>
          </w:rPr>
          <w:t xml:space="preserve">Política DOA, </w:t>
        </w:r>
      </w:hyperlink>
      <w:r w:rsidR="004D19CB" w:rsidRPr="00756410">
        <w:rPr>
          <w:lang w:val="es-ES"/>
        </w:rPr>
        <w:t>el</w:t>
      </w:r>
      <w:r w:rsidR="004D19CB">
        <w:rPr>
          <w:lang w:val="es-ES"/>
        </w:rPr>
        <w:t xml:space="preserve"> </w:t>
      </w:r>
      <w:r w:rsidRPr="00756410">
        <w:rPr>
          <w:lang w:val="es-419"/>
        </w:rPr>
        <w:t xml:space="preserve">Anexo A, el </w:t>
      </w:r>
      <w:r w:rsidR="00F91053">
        <w:rPr>
          <w:lang w:val="es-419"/>
        </w:rPr>
        <w:t>POPP</w:t>
      </w:r>
      <w:r w:rsidR="00F91053" w:rsidRPr="00756410">
        <w:rPr>
          <w:lang w:val="es-419"/>
        </w:rPr>
        <w:t xml:space="preserve"> </w:t>
      </w:r>
      <w:r w:rsidRPr="00756410">
        <w:rPr>
          <w:lang w:val="es-419"/>
        </w:rPr>
        <w:t>y/o en las áreas relevantes de esta Guía.</w:t>
      </w:r>
    </w:p>
    <w:p w14:paraId="34F1BD8B" w14:textId="7ABDD1AD" w:rsidR="00D5789D" w:rsidRPr="00756410" w:rsidRDefault="00D5789D">
      <w:pPr>
        <w:pStyle w:val="Heading2"/>
        <w:numPr>
          <w:ilvl w:val="1"/>
          <w:numId w:val="93"/>
        </w:numPr>
        <w:spacing w:after="240"/>
        <w:rPr>
          <w:lang w:val="es-419"/>
        </w:rPr>
      </w:pPr>
      <w:bookmarkStart w:id="16" w:name="_Toc134134745"/>
      <w:bookmarkStart w:id="17" w:name="_Toc210052745"/>
      <w:r w:rsidRPr="00756410">
        <w:rPr>
          <w:lang w:val="es-419"/>
        </w:rPr>
        <w:t>Documentación del ICF local de la oficina/unidad</w:t>
      </w:r>
      <w:bookmarkEnd w:id="16"/>
      <w:bookmarkEnd w:id="17"/>
    </w:p>
    <w:p w14:paraId="39014C8C" w14:textId="5DA0FFAF" w:rsidR="00D5789D" w:rsidRPr="00756410" w:rsidRDefault="00151C6C" w:rsidP="00756410">
      <w:pPr>
        <w:spacing w:line="240" w:lineRule="auto"/>
        <w:jc w:val="both"/>
        <w:rPr>
          <w:lang w:val="es-419"/>
        </w:rPr>
      </w:pPr>
      <w:bookmarkStart w:id="18" w:name="_Hlk194409974"/>
      <w:r w:rsidRPr="00756410">
        <w:rPr>
          <w:b/>
          <w:bCs/>
          <w:lang w:val="es-419"/>
        </w:rPr>
        <w:t xml:space="preserve">Contenido </w:t>
      </w:r>
      <w:r w:rsidR="003A606E">
        <w:rPr>
          <w:b/>
          <w:bCs/>
          <w:lang w:val="es-419"/>
        </w:rPr>
        <w:t xml:space="preserve">del ICF </w:t>
      </w:r>
      <w:r w:rsidRPr="00756410">
        <w:rPr>
          <w:b/>
          <w:bCs/>
          <w:lang w:val="es-419"/>
        </w:rPr>
        <w:t xml:space="preserve">local y ciclo de revisión: </w:t>
      </w:r>
      <w:bookmarkEnd w:id="18"/>
      <w:r w:rsidR="00D5789D" w:rsidRPr="00756410">
        <w:rPr>
          <w:lang w:val="es-419"/>
        </w:rPr>
        <w:t xml:space="preserve">Cada Jefe de Oficina/Unidad tiene la responsabilidad de establecer y mantener controles internos adecuados en su oficina/unidad, y de garantizar </w:t>
      </w:r>
      <w:r w:rsidR="00D97809">
        <w:rPr>
          <w:lang w:val="es-419"/>
        </w:rPr>
        <w:t xml:space="preserve">que se mantenga </w:t>
      </w:r>
      <w:r w:rsidR="00D5789D" w:rsidRPr="00756410">
        <w:rPr>
          <w:lang w:val="es-419"/>
        </w:rPr>
        <w:t xml:space="preserve">la documentación de los procedimientos de control interno de la oficina/unidad de manera coherente con esta Guía. Periódicamente y al menos una vez al año, el Jefe de la Oficina/Unidad debe revisar, actualizar y aprobar el ICF local documentado de la oficina/unidad y </w:t>
      </w:r>
      <w:r w:rsidR="00407AB1">
        <w:rPr>
          <w:lang w:val="es-419"/>
        </w:rPr>
        <w:t xml:space="preserve">registrarlo en </w:t>
      </w:r>
      <w:r w:rsidR="00D5789D" w:rsidRPr="00756410">
        <w:rPr>
          <w:lang w:val="es-419"/>
        </w:rPr>
        <w:t xml:space="preserve"> el </w:t>
      </w:r>
      <w:hyperlink r:id="rId22">
        <w:r w:rsidR="00D5789D" w:rsidRPr="00756410">
          <w:rPr>
            <w:rStyle w:val="Hyperlink"/>
            <w:lang w:val="es-419"/>
          </w:rPr>
          <w:t xml:space="preserve">Repositorio de ICF Local de la Sede </w:t>
        </w:r>
      </w:hyperlink>
      <w:r w:rsidR="00D5789D" w:rsidRPr="00756410">
        <w:rPr>
          <w:lang w:val="es-419"/>
        </w:rPr>
        <w:t xml:space="preserve">para futuras referencias y auditorías. El ICF local debe incluir los siguientes elementos mínimos: (i) distribución de roles; ii) las delegaciones de autoridad (incluidas las ejercidas al margen del </w:t>
      </w:r>
      <w:r w:rsidR="008417EF">
        <w:rPr>
          <w:lang w:val="es-419"/>
        </w:rPr>
        <w:t>ERP</w:t>
      </w:r>
      <w:r w:rsidR="00D5789D" w:rsidRPr="00756410">
        <w:rPr>
          <w:lang w:val="es-419"/>
        </w:rPr>
        <w:t xml:space="preserve">); (iii) </w:t>
      </w:r>
      <w:r w:rsidR="00E626D4">
        <w:rPr>
          <w:lang w:val="es-419"/>
        </w:rPr>
        <w:t xml:space="preserve">la política de </w:t>
      </w:r>
      <w:r w:rsidR="00B234C7">
        <w:rPr>
          <w:lang w:val="es-419"/>
        </w:rPr>
        <w:t>“override”</w:t>
      </w:r>
      <w:r w:rsidR="00D5789D" w:rsidRPr="00756410">
        <w:rPr>
          <w:lang w:val="es-419"/>
        </w:rPr>
        <w:t xml:space="preserve">; y (iv) organigrama de la oficina/unidad. </w:t>
      </w:r>
    </w:p>
    <w:p w14:paraId="64EB0D24" w14:textId="614C9D8C" w:rsidR="00D5789D" w:rsidRPr="00756410" w:rsidRDefault="00151C6C" w:rsidP="00756410">
      <w:pPr>
        <w:spacing w:line="240" w:lineRule="auto"/>
        <w:jc w:val="both"/>
        <w:rPr>
          <w:lang w:val="es-419"/>
        </w:rPr>
      </w:pPr>
      <w:r w:rsidRPr="00756410">
        <w:rPr>
          <w:b/>
          <w:bCs/>
          <w:lang w:val="es-419"/>
        </w:rPr>
        <w:lastRenderedPageBreak/>
        <w:t xml:space="preserve">Uso de herramientas electrónicas para el ICF local: </w:t>
      </w:r>
      <w:r w:rsidR="00D5789D" w:rsidRPr="00756410">
        <w:rPr>
          <w:lang w:val="es-419"/>
        </w:rPr>
        <w:t xml:space="preserve">Las oficinas/unidades pueden utilizar herramientas locales o regionales para apoyar la gestión y la emisión de delegaciones de autoridad (DOA). Sin embargo, todas las oficinas/unidades aún deben cargar la información requerida en su ICF local en el </w:t>
      </w:r>
      <w:hyperlink r:id="rId23">
        <w:r w:rsidR="3E3F53C8" w:rsidRPr="00756410">
          <w:rPr>
            <w:rStyle w:val="Hyperlink"/>
            <w:lang w:val="es-419"/>
          </w:rPr>
          <w:t>Repositorio de ICF local de la sede</w:t>
        </w:r>
      </w:hyperlink>
      <w:r w:rsidR="4D31F826" w:rsidRPr="00756410">
        <w:rPr>
          <w:lang w:val="es-419"/>
        </w:rPr>
        <w:t>.</w:t>
      </w:r>
      <w:r w:rsidR="00D5789D" w:rsidRPr="00756410">
        <w:rPr>
          <w:lang w:val="es-419"/>
        </w:rPr>
        <w:t xml:space="preserve"> En los casos en que las oficinas/unidades utilicen una herramienta específica del DOA, aún deben cargar la información requerida sobre su ICF local, que puede incluir un enlace a la herramienta donde se almacena la información del DOA. </w:t>
      </w:r>
    </w:p>
    <w:p w14:paraId="136D93CB" w14:textId="494C17B5" w:rsidR="00D5789D" w:rsidRPr="00756410" w:rsidRDefault="00B234C7" w:rsidP="00817B66">
      <w:pPr>
        <w:spacing w:line="240" w:lineRule="auto"/>
        <w:rPr>
          <w:lang w:val="es-419"/>
        </w:rPr>
      </w:pPr>
      <w:r w:rsidRPr="48224A22">
        <w:rPr>
          <w:b/>
          <w:bCs/>
          <w:lang w:val="es-419"/>
        </w:rPr>
        <w:t>Rol del BMS/GSSC en</w:t>
      </w:r>
      <w:r w:rsidR="0032705B" w:rsidRPr="48224A22">
        <w:rPr>
          <w:b/>
          <w:bCs/>
          <w:lang w:val="es-419"/>
        </w:rPr>
        <w:t xml:space="preserve"> los</w:t>
      </w:r>
      <w:r w:rsidR="0048166B">
        <w:rPr>
          <w:b/>
          <w:bCs/>
          <w:lang w:val="es-419"/>
        </w:rPr>
        <w:t xml:space="preserve"> </w:t>
      </w:r>
      <w:r w:rsidR="00151C6C" w:rsidRPr="00756410">
        <w:rPr>
          <w:b/>
          <w:bCs/>
          <w:lang w:val="es-419"/>
        </w:rPr>
        <w:t xml:space="preserve">servicios de procesamiento: </w:t>
      </w:r>
      <w:r w:rsidR="00D5789D" w:rsidRPr="00756410">
        <w:rPr>
          <w:lang w:val="es-419"/>
        </w:rPr>
        <w:t xml:space="preserve">Para las oficinas de país cuyos procesos </w:t>
      </w:r>
      <w:r w:rsidR="0032705B" w:rsidRPr="48224A22">
        <w:rPr>
          <w:lang w:val="es-419"/>
        </w:rPr>
        <w:t>corporativ</w:t>
      </w:r>
      <w:r w:rsidR="0048166B">
        <w:rPr>
          <w:lang w:val="es-419"/>
        </w:rPr>
        <w:t>o</w:t>
      </w:r>
      <w:r w:rsidR="0032705B" w:rsidRPr="48224A22">
        <w:rPr>
          <w:lang w:val="es-419"/>
        </w:rPr>
        <w:t>s</w:t>
      </w:r>
      <w:r w:rsidR="0032705B" w:rsidRPr="00756410">
        <w:rPr>
          <w:lang w:val="es-419"/>
        </w:rPr>
        <w:t xml:space="preserve"> </w:t>
      </w:r>
      <w:r w:rsidR="00D5789D" w:rsidRPr="00756410">
        <w:rPr>
          <w:lang w:val="es-419"/>
        </w:rPr>
        <w:t>se ejecutan a través del BMS/GSSC, el ICF local debe indicar qué procesos se han transferido al BMS/GSSC y a quiénes ha</w:t>
      </w:r>
      <w:r w:rsidR="00AE490C" w:rsidRPr="48224A22">
        <w:rPr>
          <w:lang w:val="es-419"/>
        </w:rPr>
        <w:t>n</w:t>
      </w:r>
      <w:r w:rsidR="00D5789D" w:rsidRPr="00756410">
        <w:rPr>
          <w:lang w:val="es-419"/>
        </w:rPr>
        <w:t xml:space="preserve"> </w:t>
      </w:r>
      <w:r w:rsidR="00AE490C" w:rsidRPr="48224A22">
        <w:rPr>
          <w:lang w:val="es-419"/>
        </w:rPr>
        <w:t xml:space="preserve">sido </w:t>
      </w:r>
      <w:r w:rsidR="00D5789D" w:rsidRPr="00756410">
        <w:rPr>
          <w:lang w:val="es-419"/>
        </w:rPr>
        <w:t>asignado</w:t>
      </w:r>
      <w:r w:rsidR="00AE490C" w:rsidRPr="48224A22">
        <w:rPr>
          <w:lang w:val="es-419"/>
        </w:rPr>
        <w:t>s por</w:t>
      </w:r>
      <w:r w:rsidR="00D5789D" w:rsidRPr="00756410">
        <w:rPr>
          <w:lang w:val="es-419"/>
        </w:rPr>
        <w:t xml:space="preserve"> el Jefe de la Oficina para que sean los funcionarios designados autorizados para presentar solicitudes de servicio al BMS/GSSC. La presentación de una solicitud de servicio por parte de las oficinas del país o de la sede al BMS/GSSC constituye toda la autorización necesaria para que el BMS/GSSC realice la transacción en su totalidad en nombre de la oficina/dependencia que presenta la solicitud. Los servicios de BMS/GSSC prestados mensualmente sin una solicitud de servicio incluyen conciliaciones B2B, informes de cuentas por cobrar, procesamiento y revisión de otras cuentas por cobrar, informes de inventario y PPR. Las oficinas/unidades deben asegurarse de que se siga cuidadosamente la segregación de funciones al asignar funciones para presentar solicitudes de servicio de BMS/GSSC.</w:t>
      </w:r>
    </w:p>
    <w:p w14:paraId="29773734" w14:textId="390D4CA6" w:rsidR="00D5789D" w:rsidRPr="00756410" w:rsidRDefault="00151C6C" w:rsidP="00817B66">
      <w:pPr>
        <w:spacing w:line="240" w:lineRule="auto"/>
        <w:rPr>
          <w:lang w:val="es-419"/>
        </w:rPr>
      </w:pPr>
      <w:r w:rsidRPr="00756410">
        <w:rPr>
          <w:b/>
          <w:lang w:val="es-419"/>
        </w:rPr>
        <w:t xml:space="preserve">Remediar las debilidades identificadas: </w:t>
      </w:r>
      <w:r w:rsidR="00D5789D" w:rsidRPr="00756410">
        <w:rPr>
          <w:lang w:val="es-419"/>
        </w:rPr>
        <w:t xml:space="preserve">En el curso normal de los negocios, los miembros del personal pueden identificar debilidades o áreas de incumplimiento </w:t>
      </w:r>
      <w:r w:rsidR="00AE490C">
        <w:rPr>
          <w:lang w:val="es-419"/>
        </w:rPr>
        <w:t>d</w:t>
      </w:r>
      <w:r w:rsidR="00D5789D" w:rsidRPr="00756410">
        <w:rPr>
          <w:lang w:val="es-419"/>
        </w:rPr>
        <w:t xml:space="preserve">el ICF </w:t>
      </w:r>
      <w:r w:rsidR="00AE490C">
        <w:rPr>
          <w:lang w:val="es-419"/>
        </w:rPr>
        <w:t>por parte de la</w:t>
      </w:r>
      <w:r w:rsidR="00D5789D" w:rsidRPr="00756410">
        <w:rPr>
          <w:lang w:val="es-419"/>
        </w:rPr>
        <w:t xml:space="preserve"> oficina</w:t>
      </w:r>
      <w:r w:rsidR="0048166B">
        <w:rPr>
          <w:lang w:val="es-419"/>
        </w:rPr>
        <w:t xml:space="preserve"> </w:t>
      </w:r>
      <w:r w:rsidR="00AE490C">
        <w:rPr>
          <w:lang w:val="es-419"/>
        </w:rPr>
        <w:t xml:space="preserve">o </w:t>
      </w:r>
      <w:r w:rsidR="00D5789D" w:rsidRPr="00756410">
        <w:rPr>
          <w:lang w:val="es-419"/>
        </w:rPr>
        <w:t xml:space="preserve">unidad. El Jefe de la Oficina o </w:t>
      </w:r>
      <w:r w:rsidR="00AE490C">
        <w:rPr>
          <w:lang w:val="es-419"/>
        </w:rPr>
        <w:t>unidad</w:t>
      </w:r>
      <w:r w:rsidR="00AE490C" w:rsidRPr="00756410">
        <w:rPr>
          <w:lang w:val="es-419"/>
        </w:rPr>
        <w:t xml:space="preserve"> </w:t>
      </w:r>
      <w:r w:rsidR="00D5789D" w:rsidRPr="00756410">
        <w:rPr>
          <w:lang w:val="es-419"/>
        </w:rPr>
        <w:t>debería establecer procedimientos para facilitar la recepción de las denuncias del personal sobre deficiencias o incumplimientos de conformidad con la regla 102.02 de la Reglamentación Financiera Detallada. El Jefe de la Oficina</w:t>
      </w:r>
      <w:r w:rsidR="00AE490C">
        <w:rPr>
          <w:lang w:val="es-419"/>
        </w:rPr>
        <w:t xml:space="preserve"> o </w:t>
      </w:r>
      <w:r w:rsidR="00D5789D" w:rsidRPr="00756410">
        <w:rPr>
          <w:lang w:val="es-419"/>
        </w:rPr>
        <w:t>Unidad es responsable de tomar medidas correctivas si, a su mejor juicio, el incumplimiento representa un riesgo operativo para la oficina</w:t>
      </w:r>
      <w:r w:rsidR="00AE490C">
        <w:rPr>
          <w:lang w:val="es-419"/>
        </w:rPr>
        <w:t xml:space="preserve"> o </w:t>
      </w:r>
      <w:r w:rsidR="00D5789D" w:rsidRPr="00756410">
        <w:rPr>
          <w:lang w:val="es-419"/>
        </w:rPr>
        <w:t xml:space="preserve">unidad. Si los usuarios identifican alguna inconsistencia en las configuraciones de control </w:t>
      </w:r>
      <w:r w:rsidR="00AE490C">
        <w:rPr>
          <w:lang w:val="es-419"/>
        </w:rPr>
        <w:t>de Quantum</w:t>
      </w:r>
      <w:r w:rsidR="00D5789D" w:rsidRPr="00756410">
        <w:rPr>
          <w:lang w:val="es-419"/>
        </w:rPr>
        <w:t xml:space="preserve"> esto debe informarse de inmediato a BMS/OFRM </w:t>
      </w:r>
      <w:r w:rsidR="00AE490C">
        <w:rPr>
          <w:lang w:val="es-419"/>
        </w:rPr>
        <w:t xml:space="preserve">a la </w:t>
      </w:r>
      <w:r w:rsidR="00B5100E">
        <w:rPr>
          <w:lang w:val="es-419"/>
        </w:rPr>
        <w:t>dirección de correo</w:t>
      </w:r>
      <w:r w:rsidR="00AE490C" w:rsidRPr="00756410">
        <w:rPr>
          <w:lang w:val="es-419"/>
        </w:rPr>
        <w:t xml:space="preserve"> </w:t>
      </w:r>
      <w:r w:rsidR="00D5789D" w:rsidRPr="00756410">
        <w:rPr>
          <w:lang w:val="es-419"/>
        </w:rPr>
        <w:t>fba.all@undp.org.</w:t>
      </w:r>
    </w:p>
    <w:p w14:paraId="4102EAA1" w14:textId="40362856" w:rsidR="00D5789D" w:rsidRPr="00756410" w:rsidRDefault="00D5789D">
      <w:pPr>
        <w:pStyle w:val="Heading2"/>
        <w:numPr>
          <w:ilvl w:val="1"/>
          <w:numId w:val="93"/>
        </w:numPr>
        <w:spacing w:after="240"/>
        <w:rPr>
          <w:lang w:val="es-419"/>
        </w:rPr>
      </w:pPr>
      <w:bookmarkStart w:id="19" w:name="2.6_Monitoring_&amp;_reporting_on_risk_manag"/>
      <w:bookmarkStart w:id="20" w:name="_Toc134134746"/>
      <w:bookmarkStart w:id="21" w:name="_Toc210052746"/>
      <w:bookmarkEnd w:id="19"/>
      <w:r w:rsidRPr="00756410">
        <w:rPr>
          <w:lang w:val="es-419"/>
        </w:rPr>
        <w:t>Seguimiento e informes sobre la gestión de riesgos</w:t>
      </w:r>
      <w:bookmarkEnd w:id="20"/>
      <w:bookmarkEnd w:id="21"/>
    </w:p>
    <w:p w14:paraId="409EE29C" w14:textId="593C2320" w:rsidR="006D26ED" w:rsidRPr="00756410" w:rsidRDefault="00D5789D" w:rsidP="006D26ED">
      <w:pPr>
        <w:spacing w:line="240" w:lineRule="auto"/>
        <w:rPr>
          <w:lang w:val="es-419"/>
        </w:rPr>
      </w:pPr>
      <w:r w:rsidRPr="00756410">
        <w:rPr>
          <w:lang w:val="es-419"/>
        </w:rPr>
        <w:t xml:space="preserve">La gestión de riesgos es un componente integral del Marco de Control Interno del PNUD, y los resultados del seguimiento y </w:t>
      </w:r>
      <w:r w:rsidR="00B5100E">
        <w:rPr>
          <w:lang w:val="es-419"/>
        </w:rPr>
        <w:t>revisión</w:t>
      </w:r>
      <w:r w:rsidR="00B5100E" w:rsidRPr="00756410">
        <w:rPr>
          <w:lang w:val="es-419"/>
        </w:rPr>
        <w:t xml:space="preserve"> </w:t>
      </w:r>
      <w:r w:rsidRPr="00756410">
        <w:rPr>
          <w:lang w:val="es-419"/>
        </w:rPr>
        <w:t xml:space="preserve">de riesgos deben registrarse e informarse según corresponda y utilizarse como insumo regular para las decisiones de gestión de programas y proyectos, auditorías y desempeño organizacional. Además, el estado y la eficacia de las medidas de </w:t>
      </w:r>
      <w:r w:rsidR="00A375FE">
        <w:rPr>
          <w:lang w:val="es-419"/>
        </w:rPr>
        <w:t>abordaje del riesgo</w:t>
      </w:r>
      <w:r w:rsidR="0048166B">
        <w:rPr>
          <w:lang w:val="es-419"/>
        </w:rPr>
        <w:t xml:space="preserve"> </w:t>
      </w:r>
      <w:r w:rsidRPr="00756410">
        <w:rPr>
          <w:lang w:val="es-419"/>
        </w:rPr>
        <w:t xml:space="preserve">deben monitorearse para detectar riesgos moderados, sustanciales y de alto nivel e incluirse en los planes y presupuestos de monitoreo de gestión de programas y proyectos. </w:t>
      </w:r>
      <w:hyperlink r:id="rId24">
        <w:r w:rsidR="006D26ED" w:rsidRPr="00756410">
          <w:rPr>
            <w:rStyle w:val="Hyperlink"/>
            <w:lang w:val="es-419"/>
          </w:rPr>
          <w:t xml:space="preserve">Los cuadros de mando de riesgos de programas </w:t>
        </w:r>
      </w:hyperlink>
      <w:r w:rsidR="006D26ED" w:rsidRPr="00756410">
        <w:rPr>
          <w:lang w:val="es-419"/>
        </w:rPr>
        <w:t xml:space="preserve"> y </w:t>
      </w:r>
      <w:hyperlink r:id="rId25">
        <w:r w:rsidR="006D26ED" w:rsidRPr="00756410">
          <w:rPr>
            <w:rStyle w:val="Hyperlink"/>
            <w:lang w:val="es-419"/>
          </w:rPr>
          <w:t>proyectos/carteras</w:t>
        </w:r>
      </w:hyperlink>
      <w:r w:rsidR="006D26ED" w:rsidRPr="00756410">
        <w:rPr>
          <w:lang w:val="es-419"/>
        </w:rPr>
        <w:t xml:space="preserve"> proporcionan una visión general de los riesgos elevados junto con el estado de aplicación de las medidas de </w:t>
      </w:r>
      <w:r w:rsidR="0003149A">
        <w:rPr>
          <w:lang w:val="es-419"/>
        </w:rPr>
        <w:t xml:space="preserve">mitigación </w:t>
      </w:r>
      <w:r w:rsidR="006D26ED" w:rsidRPr="00756410">
        <w:rPr>
          <w:lang w:val="es-419"/>
        </w:rPr>
        <w:t xml:space="preserve">para facilitar la gestión y el seguimiento de los riesgos. </w:t>
      </w:r>
      <w:r w:rsidR="0048166B">
        <w:rPr>
          <w:lang w:val="es-419"/>
        </w:rPr>
        <w:t>C</w:t>
      </w:r>
      <w:r w:rsidR="006D26ED" w:rsidRPr="00756410">
        <w:rPr>
          <w:lang w:val="es-419"/>
        </w:rPr>
        <w:t xml:space="preserve">onsulte </w:t>
      </w:r>
      <w:hyperlink r:id="rId26">
        <w:r w:rsidR="006D26ED" w:rsidRPr="00756410">
          <w:rPr>
            <w:rStyle w:val="Hyperlink"/>
            <w:lang w:val="es-419"/>
          </w:rPr>
          <w:t xml:space="preserve">Gestión de riesgos </w:t>
        </w:r>
        <w:r w:rsidR="00313654">
          <w:rPr>
            <w:rStyle w:val="Hyperlink"/>
            <w:lang w:val="es-419"/>
          </w:rPr>
          <w:t>institucionales</w:t>
        </w:r>
        <w:r w:rsidR="00313654" w:rsidRPr="00756410">
          <w:rPr>
            <w:rStyle w:val="Hyperlink"/>
            <w:lang w:val="es-419"/>
          </w:rPr>
          <w:t xml:space="preserve"> </w:t>
        </w:r>
        <w:r w:rsidR="006D26ED" w:rsidRPr="00756410">
          <w:rPr>
            <w:rStyle w:val="Hyperlink"/>
            <w:lang w:val="es-419"/>
          </w:rPr>
          <w:t>de POPP</w:t>
        </w:r>
      </w:hyperlink>
      <w:r w:rsidR="0003149A">
        <w:rPr>
          <w:lang w:val="es-419"/>
        </w:rPr>
        <w:t xml:space="preserve"> para obtener m</w:t>
      </w:r>
      <w:r w:rsidR="00313654">
        <w:rPr>
          <w:lang w:val="es-419"/>
        </w:rPr>
        <w:t>á</w:t>
      </w:r>
      <w:r w:rsidR="0003149A">
        <w:rPr>
          <w:lang w:val="es-419"/>
        </w:rPr>
        <w:t xml:space="preserve">s información. </w:t>
      </w:r>
    </w:p>
    <w:p w14:paraId="1E32730F" w14:textId="1BE36950" w:rsidR="00D5789D" w:rsidRPr="00756410" w:rsidRDefault="00D5789D">
      <w:pPr>
        <w:pStyle w:val="Heading2"/>
        <w:numPr>
          <w:ilvl w:val="1"/>
          <w:numId w:val="93"/>
        </w:numPr>
        <w:spacing w:after="240"/>
        <w:rPr>
          <w:lang w:val="es-419"/>
        </w:rPr>
      </w:pPr>
      <w:bookmarkStart w:id="22" w:name="_Toc134134748"/>
      <w:bookmarkStart w:id="23" w:name="_Toc210052747"/>
      <w:bookmarkStart w:id="24" w:name="_Hlk115436647"/>
      <w:r w:rsidRPr="00756410">
        <w:rPr>
          <w:lang w:val="es-419"/>
        </w:rPr>
        <w:t>Mitigación de los riesgos asociados con el lavado de dinero y el financiamiento del terrorismo</w:t>
      </w:r>
      <w:bookmarkEnd w:id="22"/>
      <w:bookmarkEnd w:id="23"/>
    </w:p>
    <w:bookmarkEnd w:id="24"/>
    <w:p w14:paraId="49A77368" w14:textId="058D975D" w:rsidR="00D5789D" w:rsidRPr="00756410" w:rsidRDefault="00D5789D" w:rsidP="00756410">
      <w:pPr>
        <w:spacing w:line="240" w:lineRule="auto"/>
        <w:jc w:val="both"/>
        <w:rPr>
          <w:lang w:val="es-419"/>
        </w:rPr>
      </w:pPr>
      <w:r w:rsidRPr="00756410">
        <w:rPr>
          <w:lang w:val="es-419"/>
        </w:rPr>
        <w:t>El PNUD está comprometido con las normas éticas más estrictas y no tolerará el desvío de los recursos que se le confían mediante el blanqueo de dinero o la financiación del terrorismo. Del mismo modo, el PNUD no colaborará con entidades que toleren el desvío de recursos mediante el blanqueo de dinero o la financiación del terrorismo. La Política del PNUD contra el lavado de dinero ("AML") y la lucha contra el financiamiento del terrorismo ("CFT") (en conjunto, "</w:t>
      </w:r>
      <w:r w:rsidR="009B10C3">
        <w:rPr>
          <w:lang w:val="es-419"/>
        </w:rPr>
        <w:t>AML</w:t>
      </w:r>
      <w:r w:rsidRPr="00756410">
        <w:rPr>
          <w:lang w:val="es-419"/>
        </w:rPr>
        <w:t xml:space="preserve">/CFT") (2022) establece los requisitos del PNUD: (i) establecer principios rectores y estándares fundamentales con respecto a </w:t>
      </w:r>
      <w:r w:rsidR="008F51F0" w:rsidRPr="00756410">
        <w:rPr>
          <w:lang w:val="es-419"/>
        </w:rPr>
        <w:t>A</w:t>
      </w:r>
      <w:r w:rsidR="008F51F0">
        <w:rPr>
          <w:lang w:val="es-419"/>
        </w:rPr>
        <w:t>ML</w:t>
      </w:r>
      <w:r w:rsidRPr="00756410">
        <w:rPr>
          <w:lang w:val="es-419"/>
        </w:rPr>
        <w:t xml:space="preserve">/CFT, como se refleja en los diversos procedimientos y controles dentro del marco de políticas y procedimientos del PNUD, y (ii) definir los roles y responsabilidades de su administración y personal </w:t>
      </w:r>
      <w:r w:rsidR="00E32B16">
        <w:rPr>
          <w:lang w:val="es-419"/>
        </w:rPr>
        <w:t xml:space="preserve">asignado </w:t>
      </w:r>
      <w:r w:rsidRPr="00756410">
        <w:rPr>
          <w:lang w:val="es-419"/>
        </w:rPr>
        <w:t xml:space="preserve">en relación con </w:t>
      </w:r>
      <w:r w:rsidR="008F51F0" w:rsidRPr="00756410">
        <w:rPr>
          <w:lang w:val="es-419"/>
        </w:rPr>
        <w:t>A</w:t>
      </w:r>
      <w:r w:rsidR="008F51F0">
        <w:rPr>
          <w:lang w:val="es-419"/>
        </w:rPr>
        <w:t>ML</w:t>
      </w:r>
      <w:r w:rsidRPr="00756410">
        <w:rPr>
          <w:lang w:val="es-419"/>
        </w:rPr>
        <w:t xml:space="preserve">/CFT. </w:t>
      </w:r>
    </w:p>
    <w:p w14:paraId="6E0148BD" w14:textId="73523C64" w:rsidR="00D5789D" w:rsidRPr="00756410" w:rsidRDefault="00B6432F" w:rsidP="00756410">
      <w:pPr>
        <w:spacing w:line="240" w:lineRule="auto"/>
        <w:jc w:val="both"/>
        <w:rPr>
          <w:lang w:val="es-419"/>
        </w:rPr>
      </w:pPr>
      <w:r w:rsidRPr="00756410">
        <w:rPr>
          <w:b/>
          <w:bCs/>
          <w:lang w:val="es-419"/>
        </w:rPr>
        <w:lastRenderedPageBreak/>
        <w:t xml:space="preserve">Qué se debe hacer: </w:t>
      </w:r>
      <w:r w:rsidR="00D5789D" w:rsidRPr="00756410">
        <w:rPr>
          <w:lang w:val="es-419"/>
        </w:rPr>
        <w:t xml:space="preserve">La Política </w:t>
      </w:r>
      <w:r w:rsidR="00E32B16" w:rsidRPr="00756410">
        <w:rPr>
          <w:lang w:val="es-419"/>
        </w:rPr>
        <w:t>A</w:t>
      </w:r>
      <w:r w:rsidR="0048166B">
        <w:rPr>
          <w:lang w:val="es-419"/>
        </w:rPr>
        <w:t>ML</w:t>
      </w:r>
      <w:r w:rsidR="00D5789D" w:rsidRPr="00756410">
        <w:rPr>
          <w:lang w:val="es-419"/>
        </w:rPr>
        <w:t xml:space="preserve">/CFT proporciona orientación sobre la realización de la debida diligencia obligatoria basada en el riesgo (con criterios de calificación de riesgo y el proceso para la investigación estándar frente a la mejorada); el establecimiento y la terminación de acuerdos contractuales; la notificación y gestión de actividades sospechosas; y la protección aplicable contra los procedimientos de represalias. </w:t>
      </w:r>
    </w:p>
    <w:p w14:paraId="42506309" w14:textId="06EB80FB" w:rsidR="00D5789D" w:rsidRPr="00756410" w:rsidRDefault="00B6432F" w:rsidP="00756410">
      <w:pPr>
        <w:spacing w:line="240" w:lineRule="auto"/>
        <w:jc w:val="both"/>
        <w:rPr>
          <w:lang w:val="es-419"/>
        </w:rPr>
      </w:pPr>
      <w:r w:rsidRPr="00756410">
        <w:rPr>
          <w:b/>
          <w:lang w:val="es-419"/>
        </w:rPr>
        <w:t xml:space="preserve">Quién debe hacerlo: </w:t>
      </w:r>
      <w:r w:rsidR="00D5789D" w:rsidRPr="00756410">
        <w:rPr>
          <w:lang w:val="es-419"/>
        </w:rPr>
        <w:t xml:space="preserve">A nivel de </w:t>
      </w:r>
      <w:r w:rsidR="00063B8B">
        <w:rPr>
          <w:lang w:val="es-419"/>
        </w:rPr>
        <w:t>oficina de país,</w:t>
      </w:r>
      <w:r w:rsidR="007258F4">
        <w:rPr>
          <w:lang w:val="es-419"/>
        </w:rPr>
        <w:t xml:space="preserve"> oficina de la sede o centro regional,</w:t>
      </w:r>
      <w:r w:rsidR="00D5789D" w:rsidRPr="00756410">
        <w:rPr>
          <w:lang w:val="es-419"/>
        </w:rPr>
        <w:t xml:space="preserve">, el rol de Punto Focal </w:t>
      </w:r>
      <w:r w:rsidR="00B401B0" w:rsidRPr="00756410">
        <w:rPr>
          <w:lang w:val="es-419"/>
        </w:rPr>
        <w:t>A</w:t>
      </w:r>
      <w:r w:rsidR="00B401B0">
        <w:rPr>
          <w:lang w:val="es-419"/>
        </w:rPr>
        <w:t>ML</w:t>
      </w:r>
      <w:r w:rsidR="00D5789D" w:rsidRPr="00756410">
        <w:rPr>
          <w:lang w:val="es-419"/>
        </w:rPr>
        <w:t xml:space="preserve">/CFT se asignará a un miembro del personal del PNUD con suficiente experiencia, independencia y antigüedad para apoyar la implementación de políticas </w:t>
      </w:r>
      <w:r w:rsidR="00B401B0" w:rsidRPr="00756410">
        <w:rPr>
          <w:lang w:val="es-419"/>
        </w:rPr>
        <w:t>A</w:t>
      </w:r>
      <w:r w:rsidR="00B401B0">
        <w:rPr>
          <w:lang w:val="es-419"/>
        </w:rPr>
        <w:t>ML</w:t>
      </w:r>
      <w:r w:rsidR="00D5789D" w:rsidRPr="00756410">
        <w:rPr>
          <w:lang w:val="es-419"/>
        </w:rPr>
        <w:t xml:space="preserve">/CFT y los procesos de gestión de riesgos para el </w:t>
      </w:r>
      <w:r w:rsidR="00E932D3">
        <w:rPr>
          <w:lang w:val="es-419"/>
        </w:rPr>
        <w:t>oficina de país, oficina de la sede o centro regional</w:t>
      </w:r>
      <w:r w:rsidR="00E932D3" w:rsidRPr="00E932D3" w:rsidDel="00E932D3">
        <w:rPr>
          <w:lang w:val="es-419"/>
        </w:rPr>
        <w:t xml:space="preserve"> </w:t>
      </w:r>
      <w:r w:rsidR="00D5789D" w:rsidRPr="00756410">
        <w:rPr>
          <w:lang w:val="es-419"/>
        </w:rPr>
        <w:t xml:space="preserve">correspondiente. Para evitar conflictos de intereses, el Punto Focal </w:t>
      </w:r>
      <w:r w:rsidR="00E932D3" w:rsidRPr="00756410">
        <w:rPr>
          <w:lang w:val="es-419"/>
        </w:rPr>
        <w:t>A</w:t>
      </w:r>
      <w:r w:rsidR="00E932D3">
        <w:rPr>
          <w:lang w:val="es-419"/>
        </w:rPr>
        <w:t>ML</w:t>
      </w:r>
      <w:r w:rsidR="00D5789D" w:rsidRPr="00756410">
        <w:rPr>
          <w:lang w:val="es-419"/>
        </w:rPr>
        <w:t xml:space="preserve">/CFT no debe tener responsabilidades para originar y/o mantener relaciones con las contrapartes. Entre los ejemplos de funcionarios del PNUD que pueden desempeñar esta función figuran los directores de operaciones de la </w:t>
      </w:r>
      <w:r w:rsidR="00E932D3">
        <w:rPr>
          <w:lang w:val="es-419"/>
        </w:rPr>
        <w:t>oficina de país</w:t>
      </w:r>
      <w:r w:rsidR="00D5789D" w:rsidRPr="00756410">
        <w:rPr>
          <w:lang w:val="es-419"/>
        </w:rPr>
        <w:t xml:space="preserve">, los oficiales de finanzas, los funcionarios encargados de la oficina, etc. (y sus equivalentes en la sede). Puede encontrar más información en la </w:t>
      </w:r>
      <w:hyperlink r:id="rId27">
        <w:r w:rsidR="00D5789D" w:rsidRPr="00756410">
          <w:rPr>
            <w:rStyle w:val="Hyperlink"/>
            <w:lang w:val="es-419"/>
          </w:rPr>
          <w:t xml:space="preserve">Política </w:t>
        </w:r>
        <w:r w:rsidR="00071307" w:rsidRPr="00756410">
          <w:rPr>
            <w:rStyle w:val="Hyperlink"/>
            <w:lang w:val="es-419"/>
          </w:rPr>
          <w:t>AML</w:t>
        </w:r>
        <w:r w:rsidR="00D5789D" w:rsidRPr="00756410">
          <w:rPr>
            <w:rStyle w:val="Hyperlink"/>
            <w:lang w:val="es-419"/>
          </w:rPr>
          <w:t>/CFT</w:t>
        </w:r>
      </w:hyperlink>
      <w:r w:rsidR="00D5789D" w:rsidRPr="00756410">
        <w:rPr>
          <w:lang w:val="es-419"/>
        </w:rPr>
        <w:t>.</w:t>
      </w:r>
      <w:bookmarkStart w:id="25" w:name="2.9_Personal_accountability"/>
      <w:bookmarkEnd w:id="25"/>
    </w:p>
    <w:p w14:paraId="458C3BD7" w14:textId="77777777" w:rsidR="009F5C1E" w:rsidRPr="00756410" w:rsidRDefault="009F5C1E">
      <w:pPr>
        <w:pStyle w:val="Heading2"/>
        <w:numPr>
          <w:ilvl w:val="1"/>
          <w:numId w:val="93"/>
        </w:numPr>
        <w:spacing w:after="240"/>
        <w:rPr>
          <w:lang w:val="es-419"/>
        </w:rPr>
      </w:pPr>
      <w:bookmarkStart w:id="26" w:name="_Toc210052748"/>
      <w:r w:rsidRPr="00756410">
        <w:rPr>
          <w:lang w:val="es-419"/>
        </w:rPr>
        <w:t>Denuncia de fraude</w:t>
      </w:r>
      <w:bookmarkEnd w:id="26"/>
    </w:p>
    <w:p w14:paraId="06479534" w14:textId="1709108F" w:rsidR="009F5C1E" w:rsidRPr="00756410" w:rsidRDefault="009F5C1E" w:rsidP="009F5C1E">
      <w:pPr>
        <w:spacing w:line="240" w:lineRule="auto"/>
        <w:rPr>
          <w:lang w:val="es-419"/>
        </w:rPr>
      </w:pPr>
      <w:r w:rsidRPr="00756410">
        <w:rPr>
          <w:lang w:val="es-419"/>
        </w:rPr>
        <w:t xml:space="preserve">Cualquier acto de fraude y corrupción en las actividades del PNUD </w:t>
      </w:r>
      <w:r w:rsidR="00CB6B39">
        <w:rPr>
          <w:lang w:val="es-419"/>
        </w:rPr>
        <w:t>utiliza</w:t>
      </w:r>
      <w:r w:rsidRPr="00756410">
        <w:rPr>
          <w:lang w:val="es-419"/>
        </w:rPr>
        <w:t xml:space="preserve"> fondos, activos y otros recursos necesarios para cumplir con el mandato del PNUD. Las prácticas fraudulentas y corruptas también pueden dañar gravemente la reputación del PNUD y disminuir la confianza de los donantes, socios y beneficiarios en su capacidad para obtener resultados de manera responsable y transparente. Además, puede afectar a la eficacia, la motivación y la moral del personal y a la capacidad de la Organización para atraer y retener una fuerza de trabajo talentosa. El PNUD tiene tolerancia cero con el fraude y la corrupción, lo que significa que los funcionarios del PNUD, el personal que no es de plantilla, los proveedores, los asociados en la ejecución y las partes responsables no deben cometer fraude ni corrupción.</w:t>
      </w:r>
    </w:p>
    <w:p w14:paraId="23FE8AE2" w14:textId="364A2295" w:rsidR="00DE1BCC" w:rsidRPr="00756410" w:rsidRDefault="009F5C1E" w:rsidP="00DE1BCC">
      <w:pPr>
        <w:rPr>
          <w:lang w:val="es-419"/>
        </w:rPr>
      </w:pPr>
      <w:r w:rsidRPr="00756410">
        <w:rPr>
          <w:lang w:val="es-419"/>
        </w:rPr>
        <w:t xml:space="preserve">Todos los incidentes de fraude y corrupción deben informarse con prontitud para mejorar las posibilidades de recuperación de fondos </w:t>
      </w:r>
      <w:r w:rsidR="00A154C1">
        <w:rPr>
          <w:lang w:val="es-419"/>
        </w:rPr>
        <w:t>o</w:t>
      </w:r>
      <w:r w:rsidRPr="00756410">
        <w:rPr>
          <w:lang w:val="es-419"/>
        </w:rPr>
        <w:t xml:space="preserve">recursos. </w:t>
      </w:r>
      <w:r w:rsidR="00C62A0B">
        <w:rPr>
          <w:lang w:val="es-419"/>
        </w:rPr>
        <w:t xml:space="preserve">Estos </w:t>
      </w:r>
      <w:r w:rsidR="00D95AE5">
        <w:rPr>
          <w:lang w:val="es-419"/>
        </w:rPr>
        <w:t>s</w:t>
      </w:r>
      <w:r w:rsidRPr="00756410">
        <w:rPr>
          <w:lang w:val="es-419"/>
        </w:rPr>
        <w:t xml:space="preserve">erán evaluados y, según corresponda, investigados de acuerdo con las </w:t>
      </w:r>
      <w:hyperlink r:id="rId28">
        <w:r w:rsidRPr="00756410">
          <w:rPr>
            <w:rStyle w:val="Hyperlink"/>
            <w:lang w:val="es-419"/>
          </w:rPr>
          <w:t>Directrices de Investigación de la Oficina de Auditoría e Investigaciones del PNUD</w:t>
        </w:r>
      </w:hyperlink>
      <w:r w:rsidRPr="00756410">
        <w:rPr>
          <w:lang w:val="es-419"/>
        </w:rPr>
        <w:t xml:space="preserve"> (OAI) y el </w:t>
      </w:r>
      <w:hyperlink r:id="rId29">
        <w:r w:rsidRPr="00756410">
          <w:rPr>
            <w:rStyle w:val="Hyperlink"/>
            <w:lang w:val="es-419"/>
          </w:rPr>
          <w:t>Marco Legal del PNUD para Abordar el Incumplimiento de las Normas de Conducta de las Naciones Unidas</w:t>
        </w:r>
      </w:hyperlink>
      <w:r w:rsidRPr="00756410">
        <w:rPr>
          <w:lang w:val="es-419"/>
        </w:rPr>
        <w:t xml:space="preserve"> ("Marco Legal del PNUD"), cuando corresponda. Consulte la </w:t>
      </w:r>
      <w:hyperlink r:id="rId30">
        <w:r w:rsidRPr="00756410">
          <w:rPr>
            <w:rStyle w:val="Hyperlink"/>
            <w:lang w:val="es-419"/>
          </w:rPr>
          <w:t>Política Antifraude POPP</w:t>
        </w:r>
      </w:hyperlink>
      <w:r w:rsidRPr="00756410">
        <w:rPr>
          <w:lang w:val="es-419"/>
        </w:rPr>
        <w:t xml:space="preserve"> y el </w:t>
      </w:r>
      <w:hyperlink r:id="rId31">
        <w:r w:rsidR="796A5FF6" w:rsidRPr="00B126D4">
          <w:rPr>
            <w:rStyle w:val="Hyperlink"/>
            <w:color w:val="4472C4" w:themeColor="accent1"/>
            <w:lang w:val="es-419"/>
          </w:rPr>
          <w:t>sitio de SharePoint de Investigaciones de OAI</w:t>
        </w:r>
      </w:hyperlink>
      <w:r w:rsidRPr="00756410">
        <w:rPr>
          <w:lang w:val="es-419"/>
        </w:rPr>
        <w:t xml:space="preserve"> para obtener más información, incluso </w:t>
      </w:r>
      <w:r w:rsidR="00D95AE5">
        <w:rPr>
          <w:lang w:val="es-419"/>
        </w:rPr>
        <w:t>en</w:t>
      </w:r>
      <w:r w:rsidRPr="00756410">
        <w:rPr>
          <w:lang w:val="es-419"/>
        </w:rPr>
        <w:t xml:space="preserve">los diferentes canales de denuncia de fraude. </w:t>
      </w:r>
      <w:r w:rsidR="0026418A">
        <w:rPr>
          <w:lang w:val="es-419"/>
        </w:rPr>
        <w:t>Asimismo</w:t>
      </w:r>
      <w:r w:rsidRPr="00756410">
        <w:rPr>
          <w:lang w:val="es-419"/>
        </w:rPr>
        <w:t xml:space="preserve">, cualquier posible fraude relacionado con los pagos debe comunicarse a BMS / OFRM / Tesorería de inmediato, ya que el tiempo es esencial para recuperar los fondos. </w:t>
      </w:r>
    </w:p>
    <w:p w14:paraId="52288408" w14:textId="77777777" w:rsidR="00D5789D" w:rsidRPr="00E54A14" w:rsidRDefault="00D5789D">
      <w:pPr>
        <w:pStyle w:val="Heading2"/>
        <w:numPr>
          <w:ilvl w:val="1"/>
          <w:numId w:val="93"/>
        </w:numPr>
        <w:spacing w:after="240"/>
      </w:pPr>
      <w:bookmarkStart w:id="27" w:name="_Toc134134749"/>
      <w:bookmarkStart w:id="28" w:name="_Toc210052749"/>
      <w:r w:rsidRPr="00E54A14">
        <w:t>Responsabilidad personal</w:t>
      </w:r>
      <w:bookmarkEnd w:id="27"/>
      <w:bookmarkEnd w:id="28"/>
    </w:p>
    <w:p w14:paraId="321C847C" w14:textId="11D2BC5F" w:rsidR="000F3577" w:rsidRPr="00756410" w:rsidRDefault="00D5789D" w:rsidP="000F3577">
      <w:pPr>
        <w:spacing w:line="240" w:lineRule="auto"/>
        <w:rPr>
          <w:color w:val="ED7D31" w:themeColor="accent2"/>
          <w:lang w:val="es-419"/>
        </w:rPr>
      </w:pPr>
      <w:r w:rsidRPr="00756410">
        <w:rPr>
          <w:lang w:val="es-419"/>
        </w:rPr>
        <w:t xml:space="preserve">La regla </w:t>
      </w:r>
      <w:r w:rsidR="0026418A">
        <w:rPr>
          <w:lang w:val="es-419"/>
        </w:rPr>
        <w:t xml:space="preserve">financiera </w:t>
      </w:r>
      <w:r w:rsidRPr="00756410">
        <w:rPr>
          <w:lang w:val="es-419"/>
        </w:rPr>
        <w:t xml:space="preserve">102.02 de la Reglamentación Financiera </w:t>
      </w:r>
      <w:r w:rsidR="00004A71">
        <w:rPr>
          <w:lang w:val="es-419"/>
        </w:rPr>
        <w:t>(FRR)</w:t>
      </w:r>
      <w:r w:rsidRPr="00756410">
        <w:rPr>
          <w:lang w:val="es-419"/>
        </w:rPr>
        <w:t xml:space="preserve">del PNUD establece que "todo el personal del PNUD es responsable ante el Administrador de la regularidad de las medidas que adopte en el desempeño de sus funciones oficiales. Todo personal que adopte medidas contrarias a las presentes normas financieras o a las instrucciones que puedan dictarse en relación con ellas podrá ser considerado personal </w:t>
      </w:r>
      <w:r w:rsidR="007B1C9A" w:rsidRPr="00D16D8E">
        <w:rPr>
          <w:lang w:val="es-419"/>
        </w:rPr>
        <w:t xml:space="preserve">y financieramente </w:t>
      </w:r>
      <w:r w:rsidRPr="00756410">
        <w:rPr>
          <w:lang w:val="es-419"/>
        </w:rPr>
        <w:t xml:space="preserve">responsable de las consecuencias de esas </w:t>
      </w:r>
      <w:r w:rsidR="004D57E2">
        <w:rPr>
          <w:lang w:val="es-419"/>
        </w:rPr>
        <w:t>acciones</w:t>
      </w:r>
      <w:r w:rsidRPr="00756410">
        <w:rPr>
          <w:lang w:val="es-419"/>
        </w:rPr>
        <w:t xml:space="preserve">." Esto es particularmente relevante para la aplicación de los Capítulos F (Utilización de Recursos por el PNUD) y G (Administración de Recursos), incluidas las secciones relacionadas </w:t>
      </w:r>
      <w:r w:rsidR="00D70475">
        <w:rPr>
          <w:lang w:val="es-419"/>
        </w:rPr>
        <w:t>d</w:t>
      </w:r>
      <w:r w:rsidRPr="00756410">
        <w:rPr>
          <w:lang w:val="es-419"/>
        </w:rPr>
        <w:t xml:space="preserve">el </w:t>
      </w:r>
      <w:r w:rsidR="00D70475">
        <w:rPr>
          <w:lang w:val="es-419"/>
        </w:rPr>
        <w:t>POPP</w:t>
      </w:r>
      <w:r w:rsidR="00D70475" w:rsidRPr="00756410">
        <w:rPr>
          <w:lang w:val="es-419"/>
        </w:rPr>
        <w:t xml:space="preserve"> </w:t>
      </w:r>
      <w:r w:rsidRPr="00756410">
        <w:rPr>
          <w:lang w:val="es-419"/>
        </w:rPr>
        <w:t xml:space="preserve">sobre </w:t>
      </w:r>
      <w:hyperlink r:id="rId32">
        <w:r w:rsidR="539245FA" w:rsidRPr="00756410">
          <w:rPr>
            <w:rStyle w:val="Hyperlink"/>
            <w:lang w:val="es-419"/>
          </w:rPr>
          <w:t>Ética de las Adquisiciones, Fraude y Prácticas Corruptas</w:t>
        </w:r>
      </w:hyperlink>
      <w:r w:rsidR="539245FA" w:rsidRPr="00756410">
        <w:rPr>
          <w:lang w:val="es-419"/>
        </w:rPr>
        <w:t xml:space="preserve">, y </w:t>
      </w:r>
      <w:hyperlink r:id="rId33" w:history="1">
        <w:r w:rsidR="539245FA" w:rsidRPr="008E3380">
          <w:rPr>
            <w:rStyle w:val="Hyperlink"/>
            <w:lang w:val="es-419"/>
          </w:rPr>
          <w:t>Sanciones a los Proveedores.</w:t>
        </w:r>
      </w:hyperlink>
    </w:p>
    <w:p w14:paraId="6E59032C" w14:textId="13769F43" w:rsidR="000F3577" w:rsidRPr="00756410" w:rsidRDefault="00666091" w:rsidP="363CA695">
      <w:pPr>
        <w:spacing w:line="240" w:lineRule="auto"/>
        <w:rPr>
          <w:lang w:val="es-419"/>
        </w:rPr>
      </w:pPr>
      <w:r w:rsidRPr="00756410">
        <w:rPr>
          <w:lang w:val="es-419"/>
        </w:rPr>
        <w:t>Ad</w:t>
      </w:r>
      <w:r>
        <w:rPr>
          <w:lang w:val="es-419"/>
        </w:rPr>
        <w:t>Icionalmente</w:t>
      </w:r>
      <w:r w:rsidR="000F3577" w:rsidRPr="00756410">
        <w:rPr>
          <w:lang w:val="es-419"/>
        </w:rPr>
        <w:t xml:space="preserve">, el personal debe tener en cuenta que la sección 5.3 (Recuperación por pérdida de bienes o activos) del </w:t>
      </w:r>
      <w:hyperlink r:id="rId34">
        <w:r w:rsidR="000F3577" w:rsidRPr="00B126D4">
          <w:rPr>
            <w:rStyle w:val="Hyperlink"/>
            <w:color w:val="4472C4" w:themeColor="accent1"/>
            <w:lang w:val="es-419"/>
          </w:rPr>
          <w:t>Marco jurídico del PNUD para hacer frente al incumplimiento de las normas de conducta de las Naciones Unidas</w:t>
        </w:r>
      </w:hyperlink>
      <w:r w:rsidR="000F3577" w:rsidRPr="00756410">
        <w:rPr>
          <w:lang w:val="es-419"/>
        </w:rPr>
        <w:t xml:space="preserve"> establece que "En virtud de la regla 10.1 b) del Reglamento del Personal, "Cuando el Secretario General determine que el incumplimiento por parte del funcionario de sus obligaciones o de las normas de conducta que se esperan de un funcionario público internacional constituye una falta de conducta,  </w:t>
      </w:r>
      <w:r w:rsidR="000F3577" w:rsidRPr="00756410">
        <w:rPr>
          <w:lang w:val="es-419"/>
        </w:rPr>
        <w:lastRenderedPageBreak/>
        <w:t xml:space="preserve">se podrá exigir a dicho funcionario que reembolse a las Naciones Unidas, ya sea parcial o totalmente, cualquier pérdida financiera sufrida por las Naciones Unidas como resultado de sus acciones, si se determina que esas acciones son intencionales, imprudentes o gravemente negligentes". De conformidad con esa norma, el PNUD tratará de recuperar cualquier pérdida financiera atribuible a la mala conducta del funcionario (fraude, robo) o a la negligencia grave o imprudencia en la gestión de los fondos. Esas medidas de recuperación no constituyen una medida disciplinaria (véase el apartado b) de la regla 10.2 del Reglamento del Personal) y son distintas de cualquier medida disciplinaria que se esté </w:t>
      </w:r>
      <w:r w:rsidR="003517F3">
        <w:rPr>
          <w:lang w:val="es-419"/>
        </w:rPr>
        <w:t>considerando</w:t>
      </w:r>
      <w:r w:rsidR="003517F3" w:rsidRPr="00756410">
        <w:rPr>
          <w:lang w:val="es-419"/>
        </w:rPr>
        <w:t xml:space="preserve"> </w:t>
      </w:r>
      <w:r w:rsidR="000F3577" w:rsidRPr="00756410">
        <w:rPr>
          <w:lang w:val="es-419"/>
        </w:rPr>
        <w:t xml:space="preserve">o </w:t>
      </w:r>
      <w:r w:rsidR="00FC7E63">
        <w:rPr>
          <w:lang w:val="es-419"/>
        </w:rPr>
        <w:t>aplicando</w:t>
      </w:r>
      <w:r w:rsidR="000F3577" w:rsidRPr="00756410">
        <w:rPr>
          <w:lang w:val="es-419"/>
        </w:rPr>
        <w:t>.</w:t>
      </w:r>
    </w:p>
    <w:p w14:paraId="5E5CABE4" w14:textId="445FB8E3" w:rsidR="00281394" w:rsidRDefault="00671E75">
      <w:pPr>
        <w:pStyle w:val="Heading2"/>
        <w:numPr>
          <w:ilvl w:val="1"/>
          <w:numId w:val="93"/>
        </w:numPr>
        <w:spacing w:after="240"/>
      </w:pPr>
      <w:bookmarkStart w:id="29" w:name="_Toc210052750"/>
      <w:r>
        <w:t>Gestión y retención de documentación</w:t>
      </w:r>
      <w:bookmarkEnd w:id="29"/>
    </w:p>
    <w:p w14:paraId="69776D3E" w14:textId="2B505AA8" w:rsidR="00371DFA" w:rsidRPr="00756410" w:rsidRDefault="00A94B62" w:rsidP="363CA695">
      <w:pPr>
        <w:spacing w:line="240" w:lineRule="auto"/>
        <w:rPr>
          <w:rStyle w:val="normaltextrun"/>
          <w:lang w:val="es-419"/>
        </w:rPr>
      </w:pPr>
      <w:r w:rsidRPr="00756410">
        <w:rPr>
          <w:rStyle w:val="normaltextrun"/>
          <w:shd w:val="clear" w:color="auto" w:fill="FFFFFF"/>
          <w:lang w:val="es-419"/>
        </w:rPr>
        <w:t xml:space="preserve">Las oficinas deben garantizar el cumplimiento </w:t>
      </w:r>
      <w:r w:rsidR="0050152D" w:rsidRPr="7087F675">
        <w:rPr>
          <w:rStyle w:val="normaltextrun"/>
          <w:lang w:val="es-419"/>
        </w:rPr>
        <w:t>de la</w:t>
      </w:r>
      <w:r w:rsidRPr="00756410">
        <w:rPr>
          <w:rStyle w:val="normaltextrun"/>
          <w:shd w:val="clear" w:color="auto" w:fill="FFFFFF"/>
          <w:lang w:val="es-419"/>
        </w:rPr>
        <w:t xml:space="preserve"> </w:t>
      </w:r>
      <w:hyperlink r:id="rId35" w:history="1">
        <w:r w:rsidR="00BE71AC" w:rsidRPr="00756410">
          <w:rPr>
            <w:rStyle w:val="Hyperlink"/>
            <w:color w:val="4472C4" w:themeColor="accent1"/>
            <w:shd w:val="clear" w:color="auto" w:fill="FFFFFF"/>
            <w:lang w:val="es-419"/>
          </w:rPr>
          <w:t>retención de registros, la seguridad de los datos y la contingencia</w:t>
        </w:r>
      </w:hyperlink>
      <w:r w:rsidR="00BE71AC" w:rsidRPr="00756410">
        <w:rPr>
          <w:rStyle w:val="normaltextrun"/>
          <w:shd w:val="clear" w:color="auto" w:fill="FFFFFF"/>
          <w:lang w:val="es-419"/>
        </w:rPr>
        <w:t xml:space="preserve"> d</w:t>
      </w:r>
      <w:r w:rsidR="00E45A67">
        <w:rPr>
          <w:rStyle w:val="normaltextrun"/>
          <w:shd w:val="clear" w:color="auto" w:fill="FFFFFF"/>
          <w:lang w:val="es-419"/>
        </w:rPr>
        <w:t>el POPP</w:t>
      </w:r>
      <w:r w:rsidR="00BE71AC" w:rsidRPr="00756410">
        <w:rPr>
          <w:rStyle w:val="normaltextrun"/>
          <w:shd w:val="clear" w:color="auto" w:fill="FFFFFF"/>
          <w:lang w:val="es-419"/>
        </w:rPr>
        <w:t>.</w:t>
      </w:r>
    </w:p>
    <w:p w14:paraId="40D43C85" w14:textId="1F767DAD" w:rsidR="00075D80" w:rsidRPr="00756410" w:rsidRDefault="00075D80">
      <w:pPr>
        <w:pStyle w:val="Heading1"/>
        <w:numPr>
          <w:ilvl w:val="0"/>
          <w:numId w:val="93"/>
        </w:numPr>
        <w:spacing w:after="240"/>
        <w:rPr>
          <w:color w:val="4472C4" w:themeColor="accent1"/>
          <w:lang w:val="es-419"/>
        </w:rPr>
      </w:pPr>
      <w:bookmarkStart w:id="30" w:name="_Toc210052751"/>
      <w:r w:rsidRPr="00756410">
        <w:rPr>
          <w:color w:val="4472C4" w:themeColor="accent1"/>
          <w:lang w:val="es-419"/>
        </w:rPr>
        <w:t xml:space="preserve">Implementación del ICF en el PNUD </w:t>
      </w:r>
      <w:bookmarkEnd w:id="30"/>
    </w:p>
    <w:p w14:paraId="2D053E0E" w14:textId="3217D202" w:rsidR="00262F27" w:rsidRPr="00756410" w:rsidRDefault="00262F27">
      <w:pPr>
        <w:pStyle w:val="Heading2"/>
        <w:numPr>
          <w:ilvl w:val="1"/>
          <w:numId w:val="14"/>
        </w:numPr>
        <w:spacing w:after="240"/>
        <w:ind w:left="360"/>
        <w:rPr>
          <w:color w:val="4472C4" w:themeColor="accent1"/>
          <w:lang w:val="es-419"/>
        </w:rPr>
      </w:pPr>
      <w:bookmarkStart w:id="31" w:name="_Toc210052752"/>
      <w:r w:rsidRPr="00756410">
        <w:rPr>
          <w:color w:val="4472C4" w:themeColor="accent1"/>
          <w:lang w:val="es-419"/>
        </w:rPr>
        <w:t>¿Cómo ha simplificado y fortalecido Quantum la implementación del ICF del PNUD?</w:t>
      </w:r>
      <w:bookmarkEnd w:id="31"/>
    </w:p>
    <w:p w14:paraId="4B3F29ED" w14:textId="5B220595" w:rsidR="001D2F8F" w:rsidRPr="00756410" w:rsidRDefault="00C01D2A" w:rsidP="068E6479">
      <w:pPr>
        <w:pStyle w:val="fluidplugincopy1"/>
        <w:shd w:val="clear" w:color="auto" w:fill="FFFFFF" w:themeFill="background1"/>
        <w:rPr>
          <w:rFonts w:asciiTheme="minorHAnsi" w:hAnsiTheme="minorHAnsi" w:cstheme="minorBidi"/>
          <w:shd w:val="clear" w:color="auto" w:fill="FFFFFF"/>
          <w:lang w:val="es-419"/>
        </w:rPr>
      </w:pPr>
      <w:r w:rsidRPr="00756410">
        <w:rPr>
          <w:lang w:val="es-419"/>
        </w:rPr>
        <w:t xml:space="preserve">Quantum es una parte fundamental de la agenda de transformación digital del PNUD y tiene como objetivo proporcionar a la organización un sistema de gestión moderno y robusto basado en la nube que brinde importantes beneficios de automatización de procesos y digitalización de documentos, incluso con respecto al ICF. La mayor parte del ICF del PNUD se implementa dentro de Quantum. Con la transición a Quantum, </w:t>
      </w:r>
      <w:r w:rsidR="001172D4" w:rsidRPr="00756410">
        <w:rPr>
          <w:b/>
          <w:bCs/>
          <w:lang w:val="es-419"/>
        </w:rPr>
        <w:t>los elementos clave de nuestro ICF no han cambiado</w:t>
      </w:r>
      <w:r w:rsidR="001172D4" w:rsidRPr="00756410">
        <w:rPr>
          <w:lang w:val="es-419"/>
        </w:rPr>
        <w:t>, incluida la segregación mínima requerida de funciones y las funciones de control que debe realizar un miembro del personal del PNUD</w:t>
      </w:r>
      <w:r w:rsidR="001172D4" w:rsidRPr="00756410">
        <w:rPr>
          <w:rFonts w:asciiTheme="minorHAnsi" w:hAnsiTheme="minorHAnsi" w:cstheme="minorBidi"/>
          <w:shd w:val="clear" w:color="auto" w:fill="FFFFFF"/>
          <w:lang w:val="es-419"/>
        </w:rPr>
        <w:t xml:space="preserve">. Sin embargo, </w:t>
      </w:r>
      <w:r w:rsidR="001172D4" w:rsidRPr="00756410">
        <w:rPr>
          <w:rFonts w:asciiTheme="minorHAnsi" w:hAnsiTheme="minorHAnsi" w:cstheme="minorBidi"/>
          <w:b/>
          <w:shd w:val="clear" w:color="auto" w:fill="FFFFFF"/>
          <w:lang w:val="es-419"/>
        </w:rPr>
        <w:t xml:space="preserve">un beneficio clave de Quantum es que simplifica y fortalece la implementación de ICF para todas las </w:t>
      </w:r>
      <w:r w:rsidR="00D043B3" w:rsidRPr="00D043B3">
        <w:rPr>
          <w:rFonts w:asciiTheme="minorHAnsi" w:hAnsiTheme="minorHAnsi" w:cstheme="minorBidi"/>
          <w:b/>
          <w:shd w:val="clear" w:color="auto" w:fill="FFFFFF"/>
          <w:lang w:val="es-419"/>
        </w:rPr>
        <w:t>oficinas</w:t>
      </w:r>
      <w:r w:rsidR="00D043B3">
        <w:rPr>
          <w:rFonts w:asciiTheme="minorHAnsi" w:hAnsiTheme="minorHAnsi" w:cstheme="minorBidi"/>
          <w:b/>
          <w:shd w:val="clear" w:color="auto" w:fill="FFFFFF"/>
          <w:lang w:val="es-419"/>
        </w:rPr>
        <w:t xml:space="preserve"> o</w:t>
      </w:r>
      <w:r w:rsidR="008243C1">
        <w:rPr>
          <w:rFonts w:asciiTheme="minorHAnsi" w:hAnsiTheme="minorHAnsi" w:cstheme="minorBidi"/>
          <w:b/>
          <w:shd w:val="clear" w:color="auto" w:fill="FFFFFF"/>
          <w:lang w:val="es-419"/>
        </w:rPr>
        <w:t xml:space="preserve"> </w:t>
      </w:r>
      <w:r w:rsidR="00D043B3" w:rsidRPr="00D043B3">
        <w:rPr>
          <w:rFonts w:asciiTheme="minorHAnsi" w:hAnsiTheme="minorHAnsi" w:cstheme="minorBidi"/>
          <w:b/>
          <w:shd w:val="clear" w:color="auto" w:fill="FFFFFF"/>
          <w:lang w:val="es-419"/>
        </w:rPr>
        <w:t>unidades</w:t>
      </w:r>
      <w:r w:rsidR="00D043B3">
        <w:rPr>
          <w:rFonts w:asciiTheme="minorHAnsi" w:hAnsiTheme="minorHAnsi" w:cstheme="minorBidi"/>
          <w:b/>
          <w:shd w:val="clear" w:color="auto" w:fill="FFFFFF"/>
          <w:lang w:val="es-419"/>
        </w:rPr>
        <w:t xml:space="preserve"> mediante</w:t>
      </w:r>
      <w:r w:rsidR="001D2F8F" w:rsidRPr="00756410">
        <w:rPr>
          <w:lang w:val="es-419"/>
        </w:rPr>
        <w:t xml:space="preserve">: </w:t>
      </w:r>
    </w:p>
    <w:p w14:paraId="50F87452" w14:textId="77777777" w:rsidR="001D2F8F" w:rsidRPr="00756410" w:rsidRDefault="001D2F8F" w:rsidP="00817B66">
      <w:pPr>
        <w:pStyle w:val="fluidplugincopy1"/>
        <w:shd w:val="clear" w:color="auto" w:fill="FFFFFF"/>
        <w:rPr>
          <w:lang w:val="es-419"/>
        </w:rPr>
      </w:pPr>
    </w:p>
    <w:p w14:paraId="548EE228" w14:textId="454570D2" w:rsidR="00410B3B" w:rsidRPr="00756410" w:rsidRDefault="00B7748E" w:rsidP="068E6479">
      <w:pPr>
        <w:pStyle w:val="fluidplugincopy1"/>
        <w:numPr>
          <w:ilvl w:val="0"/>
          <w:numId w:val="13"/>
        </w:numPr>
        <w:shd w:val="clear" w:color="auto" w:fill="FFFFFF" w:themeFill="background1"/>
        <w:spacing w:after="240"/>
        <w:rPr>
          <w:lang w:val="es-419"/>
        </w:rPr>
      </w:pPr>
      <w:r>
        <w:rPr>
          <w:b/>
          <w:bCs/>
          <w:lang w:val="es-419"/>
        </w:rPr>
        <w:t>La a</w:t>
      </w:r>
      <w:r w:rsidR="00410B3B" w:rsidRPr="00756410">
        <w:rPr>
          <w:b/>
          <w:bCs/>
          <w:lang w:val="es-419"/>
        </w:rPr>
        <w:t>utomatización del proceso de solicitud y aprobación del control de acceso al ERP</w:t>
      </w:r>
      <w:r w:rsidR="00410B3B" w:rsidRPr="00756410">
        <w:rPr>
          <w:lang w:val="es-419"/>
        </w:rPr>
        <w:t xml:space="preserve">. El acceso a Quantum se gestiona a través de la aplicación </w:t>
      </w:r>
      <w:r w:rsidR="00410B3B" w:rsidRPr="00756410">
        <w:rPr>
          <w:i/>
          <w:iCs/>
          <w:lang w:val="es-419"/>
        </w:rPr>
        <w:t>Identity and Access Management</w:t>
      </w:r>
      <w:r w:rsidR="00410B3B" w:rsidRPr="00756410">
        <w:rPr>
          <w:lang w:val="es-419"/>
        </w:rPr>
        <w:t xml:space="preserve"> (IDAM) en UNall. IDAM cuenta con un flujo de trabajo electrónico de extremo a extremo para solicitar y aprobar el acceso </w:t>
      </w:r>
      <w:r>
        <w:rPr>
          <w:lang w:val="es-419"/>
        </w:rPr>
        <w:t>a Quantum</w:t>
      </w:r>
      <w:r w:rsidR="00410B3B" w:rsidRPr="00756410">
        <w:rPr>
          <w:lang w:val="es-419"/>
        </w:rPr>
        <w:t xml:space="preserve">, junto con paneles de </w:t>
      </w:r>
      <w:r w:rsidR="00D043B3">
        <w:rPr>
          <w:lang w:val="es-419"/>
        </w:rPr>
        <w:t>control</w:t>
      </w:r>
      <w:r w:rsidR="00410B3B" w:rsidRPr="00756410">
        <w:rPr>
          <w:lang w:val="es-419"/>
        </w:rPr>
        <w:t xml:space="preserve">, historial de acceso de usuarios y un repositorio único para albergar excepciones </w:t>
      </w:r>
      <w:r w:rsidR="00ED1CC4">
        <w:rPr>
          <w:lang w:val="es-419"/>
        </w:rPr>
        <w:t xml:space="preserve">al </w:t>
      </w:r>
      <w:r w:rsidR="00410B3B" w:rsidRPr="00756410">
        <w:rPr>
          <w:lang w:val="es-419"/>
        </w:rPr>
        <w:t>ICF aprobadas.</w:t>
      </w:r>
    </w:p>
    <w:p w14:paraId="58E02295" w14:textId="1F3082E3" w:rsidR="001D2F8F" w:rsidRPr="00756410" w:rsidRDefault="00DF4695" w:rsidP="41D73977">
      <w:pPr>
        <w:pStyle w:val="fluidplugincopy1"/>
        <w:numPr>
          <w:ilvl w:val="0"/>
          <w:numId w:val="13"/>
        </w:numPr>
        <w:shd w:val="clear" w:color="auto" w:fill="FFFFFF" w:themeFill="background1"/>
        <w:spacing w:after="240"/>
        <w:rPr>
          <w:lang w:val="es-419"/>
        </w:rPr>
      </w:pPr>
      <w:r w:rsidRPr="00756410">
        <w:rPr>
          <w:b/>
          <w:lang w:val="es-419"/>
        </w:rPr>
        <w:t xml:space="preserve">Aplicar preventivamente la segregación de funciones y funciones de control exclusivas </w:t>
      </w:r>
      <w:r w:rsidR="00E766BB">
        <w:rPr>
          <w:b/>
          <w:lang w:val="es-419"/>
        </w:rPr>
        <w:t>para el</w:t>
      </w:r>
      <w:r w:rsidR="00E766BB" w:rsidRPr="00756410">
        <w:rPr>
          <w:b/>
          <w:lang w:val="es-419"/>
        </w:rPr>
        <w:t xml:space="preserve"> </w:t>
      </w:r>
      <w:r w:rsidRPr="00756410">
        <w:rPr>
          <w:b/>
          <w:lang w:val="es-419"/>
        </w:rPr>
        <w:t>personal</w:t>
      </w:r>
      <w:r w:rsidR="001D2F8F" w:rsidRPr="00756410">
        <w:rPr>
          <w:lang w:val="es-419"/>
        </w:rPr>
        <w:t xml:space="preserve"> en la etapa de perfil </w:t>
      </w:r>
      <w:r w:rsidR="00B93C25">
        <w:rPr>
          <w:lang w:val="es-419"/>
        </w:rPr>
        <w:t>de usuario</w:t>
      </w:r>
      <w:r w:rsidR="00B93C25" w:rsidRPr="00756410">
        <w:rPr>
          <w:lang w:val="es-419"/>
        </w:rPr>
        <w:t xml:space="preserve"> </w:t>
      </w:r>
      <w:r w:rsidR="001D2F8F" w:rsidRPr="00756410">
        <w:rPr>
          <w:lang w:val="es-419"/>
        </w:rPr>
        <w:t xml:space="preserve">y asignación de roles </w:t>
      </w:r>
      <w:r w:rsidR="007D5FE2">
        <w:rPr>
          <w:lang w:val="es-419"/>
        </w:rPr>
        <w:t>complementarios</w:t>
      </w:r>
      <w:r w:rsidR="007D5FE2" w:rsidRPr="00756410">
        <w:rPr>
          <w:lang w:val="es-419"/>
        </w:rPr>
        <w:t xml:space="preserve"> </w:t>
      </w:r>
      <w:r w:rsidR="001D2F8F" w:rsidRPr="00756410">
        <w:rPr>
          <w:lang w:val="es-419"/>
        </w:rPr>
        <w:t xml:space="preserve">en IDAM: si los perfiles </w:t>
      </w:r>
      <w:r w:rsidR="00B93C25">
        <w:rPr>
          <w:lang w:val="es-419"/>
        </w:rPr>
        <w:t>de usuario</w:t>
      </w:r>
      <w:r w:rsidR="00B93C25" w:rsidRPr="00756410">
        <w:rPr>
          <w:lang w:val="es-419"/>
        </w:rPr>
        <w:t xml:space="preserve"> </w:t>
      </w:r>
      <w:r w:rsidR="001D2F8F" w:rsidRPr="00756410">
        <w:rPr>
          <w:lang w:val="es-419"/>
        </w:rPr>
        <w:t xml:space="preserve">y/o los roles complementarios son incompatibles según el ICF, IDAM no le permitirá seleccionarlos. Además, IDAM no le permitirá asignar un perfil </w:t>
      </w:r>
      <w:r w:rsidR="00B93C25">
        <w:rPr>
          <w:lang w:val="es-419"/>
        </w:rPr>
        <w:t>de usuario</w:t>
      </w:r>
      <w:r w:rsidR="00B93C25" w:rsidRPr="00756410">
        <w:rPr>
          <w:lang w:val="es-419"/>
        </w:rPr>
        <w:t xml:space="preserve"> </w:t>
      </w:r>
      <w:r w:rsidR="001D2F8F" w:rsidRPr="00756410">
        <w:rPr>
          <w:lang w:val="es-419"/>
        </w:rPr>
        <w:t xml:space="preserve">o un rol complementario "solo para el personal" al personal que no sea </w:t>
      </w:r>
      <w:r w:rsidR="00B93C25">
        <w:rPr>
          <w:lang w:val="es-419"/>
        </w:rPr>
        <w:t>de plantilla</w:t>
      </w:r>
      <w:r w:rsidR="001D2F8F" w:rsidRPr="00756410">
        <w:rPr>
          <w:lang w:val="es-419"/>
        </w:rPr>
        <w:t xml:space="preserve">. IDAM hace el </w:t>
      </w:r>
      <w:r w:rsidR="002F7FF8">
        <w:rPr>
          <w:lang w:val="es-419"/>
        </w:rPr>
        <w:t>análisis del</w:t>
      </w:r>
      <w:r w:rsidR="002F7FF8" w:rsidRPr="00756410">
        <w:rPr>
          <w:lang w:val="es-419"/>
        </w:rPr>
        <w:t xml:space="preserve"> </w:t>
      </w:r>
      <w:r w:rsidR="001D2F8F" w:rsidRPr="00756410">
        <w:rPr>
          <w:lang w:val="es-419"/>
        </w:rPr>
        <w:t xml:space="preserve">ICF por usted al mostrarle solo los perfiles </w:t>
      </w:r>
      <w:r w:rsidR="002F7FF8">
        <w:rPr>
          <w:lang w:val="es-419"/>
        </w:rPr>
        <w:t>de usuario</w:t>
      </w:r>
      <w:r w:rsidR="002F7FF8" w:rsidRPr="00756410">
        <w:rPr>
          <w:lang w:val="es-419"/>
        </w:rPr>
        <w:t xml:space="preserve"> </w:t>
      </w:r>
      <w:r w:rsidR="001D2F8F" w:rsidRPr="00756410">
        <w:rPr>
          <w:lang w:val="es-419"/>
        </w:rPr>
        <w:t xml:space="preserve">compatibles </w:t>
      </w:r>
      <w:r w:rsidR="00911A42">
        <w:rPr>
          <w:lang w:val="es-419"/>
        </w:rPr>
        <w:t>con la</w:t>
      </w:r>
      <w:r w:rsidR="001D2F8F" w:rsidRPr="00756410">
        <w:rPr>
          <w:lang w:val="es-419"/>
        </w:rPr>
        <w:t xml:space="preserve"> selección</w:t>
      </w:r>
      <w:r w:rsidR="00911A42">
        <w:rPr>
          <w:lang w:val="es-419"/>
        </w:rPr>
        <w:t xml:space="preserve"> de </w:t>
      </w:r>
      <w:r w:rsidR="0097216D">
        <w:rPr>
          <w:lang w:val="es-419"/>
        </w:rPr>
        <w:t>roles básicos y complementarios</w:t>
      </w:r>
      <w:r w:rsidR="001D2F8F" w:rsidRPr="00756410">
        <w:rPr>
          <w:lang w:val="es-419"/>
        </w:rPr>
        <w:t>.</w:t>
      </w:r>
    </w:p>
    <w:p w14:paraId="4EC51968" w14:textId="36189413" w:rsidR="00DD53B1" w:rsidRPr="00756410" w:rsidRDefault="00DF4695">
      <w:pPr>
        <w:pStyle w:val="fluidplugincopy1"/>
        <w:numPr>
          <w:ilvl w:val="0"/>
          <w:numId w:val="13"/>
        </w:numPr>
        <w:shd w:val="clear" w:color="auto" w:fill="FFFFFF" w:themeFill="background1"/>
        <w:spacing w:after="240"/>
        <w:rPr>
          <w:lang w:val="es-419"/>
        </w:rPr>
      </w:pPr>
      <w:r w:rsidRPr="00756410">
        <w:rPr>
          <w:b/>
          <w:lang w:val="es-419"/>
        </w:rPr>
        <w:t>Aplicar preventivamente controles a nivel de transacción para garantizar la segregación de funciones</w:t>
      </w:r>
      <w:r w:rsidR="001D2F8F" w:rsidRPr="00756410">
        <w:rPr>
          <w:lang w:val="es-419"/>
        </w:rPr>
        <w:t xml:space="preserve"> entre la creación y aprobación de transacciones (por ejemplo, el mismo usuario no puede crear y aprobar una transacción) y entre autoridades (por ejemplo, el mismo usuario no puede aprobar una solicitud y una orden de compra relacionada). Quantum no </w:t>
      </w:r>
      <w:r w:rsidR="003B67B6" w:rsidRPr="00756410">
        <w:rPr>
          <w:lang w:val="es-419"/>
        </w:rPr>
        <w:t xml:space="preserve">le </w:t>
      </w:r>
      <w:r w:rsidR="001D2F8F" w:rsidRPr="00756410">
        <w:rPr>
          <w:lang w:val="es-419"/>
        </w:rPr>
        <w:t xml:space="preserve">permitirá hacer lo que no se </w:t>
      </w:r>
      <w:r w:rsidR="003B67B6">
        <w:rPr>
          <w:lang w:val="es-419"/>
        </w:rPr>
        <w:t>le</w:t>
      </w:r>
      <w:r w:rsidR="001D2F8F" w:rsidRPr="00756410">
        <w:rPr>
          <w:lang w:val="es-419"/>
        </w:rPr>
        <w:t xml:space="preserve"> permite hacer.</w:t>
      </w:r>
    </w:p>
    <w:p w14:paraId="455DCD54" w14:textId="4715F355" w:rsidR="00C01D2A" w:rsidRPr="00756410" w:rsidRDefault="001D2F8F">
      <w:pPr>
        <w:pStyle w:val="fluidplugincopy1"/>
        <w:numPr>
          <w:ilvl w:val="0"/>
          <w:numId w:val="13"/>
        </w:numPr>
        <w:shd w:val="clear" w:color="auto" w:fill="FFFFFF" w:themeFill="background1"/>
        <w:spacing w:after="240"/>
        <w:rPr>
          <w:lang w:val="es-419"/>
        </w:rPr>
      </w:pPr>
      <w:r w:rsidRPr="00756410">
        <w:rPr>
          <w:b/>
          <w:lang w:val="es-419"/>
        </w:rPr>
        <w:t>Proporcionar una mejor seguridad basada en roles</w:t>
      </w:r>
      <w:r w:rsidRPr="00756410">
        <w:rPr>
          <w:lang w:val="es-419"/>
        </w:rPr>
        <w:t xml:space="preserve"> que asigna solo el acceso necesario (solo lectura frente a funcional), lo que no era posible en Atlas. Esto brinda más flexibilidad para que las </w:t>
      </w:r>
      <w:r w:rsidR="00D043B3" w:rsidRPr="00D043B3">
        <w:rPr>
          <w:lang w:val="es-419"/>
        </w:rPr>
        <w:t>oficinas</w:t>
      </w:r>
      <w:r w:rsidR="00D043B3">
        <w:rPr>
          <w:lang w:val="es-419"/>
        </w:rPr>
        <w:t xml:space="preserve"> o</w:t>
      </w:r>
      <w:r w:rsidR="00EC5D70">
        <w:rPr>
          <w:lang w:val="es-419"/>
        </w:rPr>
        <w:t xml:space="preserve"> </w:t>
      </w:r>
      <w:r w:rsidRPr="00756410">
        <w:rPr>
          <w:lang w:val="es-419"/>
        </w:rPr>
        <w:t>unidades brinden a los usuarios acceso de solo lectura a la información sin asignar accidentalmente</w:t>
      </w:r>
      <w:r w:rsidR="00B665BD">
        <w:rPr>
          <w:lang w:val="es-419"/>
        </w:rPr>
        <w:t xml:space="preserve"> </w:t>
      </w:r>
      <w:r w:rsidRPr="00756410">
        <w:rPr>
          <w:lang w:val="es-419"/>
        </w:rPr>
        <w:t xml:space="preserve">derechos </w:t>
      </w:r>
      <w:r w:rsidR="00EC5D70">
        <w:rPr>
          <w:lang w:val="es-419"/>
        </w:rPr>
        <w:t>en Quantum que son</w:t>
      </w:r>
      <w:r w:rsidR="00EC5D70" w:rsidRPr="00756410">
        <w:rPr>
          <w:lang w:val="es-419"/>
        </w:rPr>
        <w:t xml:space="preserve"> </w:t>
      </w:r>
      <w:r w:rsidRPr="00756410">
        <w:rPr>
          <w:lang w:val="es-419"/>
        </w:rPr>
        <w:t xml:space="preserve">no compatibles. Esto minimiza el riesgo </w:t>
      </w:r>
      <w:r w:rsidR="00EC5D70">
        <w:rPr>
          <w:lang w:val="es-419"/>
        </w:rPr>
        <w:t>en la</w:t>
      </w:r>
      <w:r w:rsidR="00EC5D70" w:rsidRPr="00756410">
        <w:rPr>
          <w:lang w:val="es-419"/>
        </w:rPr>
        <w:t xml:space="preserve"> </w:t>
      </w:r>
      <w:r w:rsidRPr="00756410">
        <w:rPr>
          <w:lang w:val="es-419"/>
        </w:rPr>
        <w:t>implementación de</w:t>
      </w:r>
      <w:r w:rsidR="00EC5D70">
        <w:rPr>
          <w:lang w:val="es-419"/>
        </w:rPr>
        <w:t>l</w:t>
      </w:r>
      <w:r w:rsidRPr="00756410">
        <w:rPr>
          <w:lang w:val="es-419"/>
        </w:rPr>
        <w:t xml:space="preserve"> ICF.</w:t>
      </w:r>
    </w:p>
    <w:p w14:paraId="5C83979F" w14:textId="76AA3111" w:rsidR="00075D80" w:rsidRPr="00756410" w:rsidRDefault="00075D80">
      <w:pPr>
        <w:pStyle w:val="Heading2"/>
        <w:numPr>
          <w:ilvl w:val="1"/>
          <w:numId w:val="14"/>
        </w:numPr>
        <w:spacing w:after="240" w:line="240" w:lineRule="auto"/>
        <w:ind w:left="360"/>
        <w:rPr>
          <w:color w:val="4472C4" w:themeColor="accent1"/>
          <w:lang w:val="es-419"/>
        </w:rPr>
      </w:pPr>
      <w:bookmarkStart w:id="32" w:name="_Toc210052753"/>
      <w:r w:rsidRPr="00756410">
        <w:rPr>
          <w:color w:val="4472C4" w:themeColor="accent1"/>
          <w:lang w:val="es-419"/>
        </w:rPr>
        <w:lastRenderedPageBreak/>
        <w:t xml:space="preserve">¿Qué controles aún requieren monitoreo por parte de todas las </w:t>
      </w:r>
      <w:r w:rsidR="00D043B3" w:rsidRPr="00D043B3">
        <w:rPr>
          <w:color w:val="4472C4" w:themeColor="accent1"/>
          <w:lang w:val="es-419"/>
        </w:rPr>
        <w:t>oficinas</w:t>
      </w:r>
      <w:r w:rsidR="00D043B3">
        <w:rPr>
          <w:color w:val="4472C4" w:themeColor="accent1"/>
          <w:lang w:val="es-419"/>
        </w:rPr>
        <w:t xml:space="preserve"> o</w:t>
      </w:r>
      <w:r w:rsidR="00EC5D70">
        <w:rPr>
          <w:color w:val="4472C4" w:themeColor="accent1"/>
          <w:lang w:val="es-419"/>
        </w:rPr>
        <w:t xml:space="preserve"> </w:t>
      </w:r>
      <w:r w:rsidRPr="00756410">
        <w:rPr>
          <w:color w:val="4472C4" w:themeColor="accent1"/>
          <w:lang w:val="es-419"/>
        </w:rPr>
        <w:t>unidades? (dentro y fuera de la plataforma ERP)</w:t>
      </w:r>
      <w:bookmarkEnd w:id="32"/>
    </w:p>
    <w:p w14:paraId="38C25C95" w14:textId="22D8E0DA" w:rsidR="00E4494D" w:rsidRPr="00756410" w:rsidRDefault="00E4494D" w:rsidP="363CA695">
      <w:pPr>
        <w:spacing w:line="240" w:lineRule="auto"/>
        <w:rPr>
          <w:lang w:val="es-419"/>
        </w:rPr>
      </w:pPr>
      <w:r w:rsidRPr="00756410">
        <w:rPr>
          <w:lang w:val="es-419"/>
        </w:rPr>
        <w:t xml:space="preserve">Los controles preventivos e integrados más fuertes de Quantum </w:t>
      </w:r>
      <w:r w:rsidRPr="00756410">
        <w:rPr>
          <w:b/>
          <w:bCs/>
          <w:lang w:val="es-419"/>
        </w:rPr>
        <w:t xml:space="preserve">reducen significativamente el alcance del monitoreo manual y </w:t>
      </w:r>
      <w:r w:rsidR="00CB5A1E" w:rsidRPr="00756410">
        <w:rPr>
          <w:b/>
          <w:bCs/>
          <w:lang w:val="es-419"/>
        </w:rPr>
        <w:t>post</w:t>
      </w:r>
      <w:r w:rsidR="00CB5A1E">
        <w:rPr>
          <w:b/>
          <w:bCs/>
          <w:lang w:val="es-419"/>
        </w:rPr>
        <w:t>-</w:t>
      </w:r>
      <w:r w:rsidR="00CB5A1E" w:rsidRPr="00756410">
        <w:rPr>
          <w:b/>
          <w:bCs/>
          <w:lang w:val="es-419"/>
        </w:rPr>
        <w:t xml:space="preserve"> </w:t>
      </w:r>
      <w:r w:rsidRPr="00756410">
        <w:rPr>
          <w:b/>
          <w:bCs/>
          <w:lang w:val="es-419"/>
        </w:rPr>
        <w:t xml:space="preserve">facto </w:t>
      </w:r>
      <w:r w:rsidR="004059DD" w:rsidRPr="00DD2AC1">
        <w:rPr>
          <w:b/>
          <w:bCs/>
          <w:lang w:val="es-419"/>
        </w:rPr>
        <w:t>que las oficinas</w:t>
      </w:r>
      <w:r w:rsidR="004059DD">
        <w:rPr>
          <w:b/>
          <w:bCs/>
          <w:lang w:val="es-419"/>
        </w:rPr>
        <w:t xml:space="preserve"> o </w:t>
      </w:r>
      <w:r w:rsidR="004059DD" w:rsidRPr="00DD2AC1">
        <w:rPr>
          <w:b/>
          <w:bCs/>
          <w:lang w:val="es-419"/>
        </w:rPr>
        <w:t>unidades deben realizar</w:t>
      </w:r>
      <w:r w:rsidR="004059DD" w:rsidRPr="004059DD">
        <w:rPr>
          <w:b/>
          <w:bCs/>
          <w:lang w:val="es-419"/>
        </w:rPr>
        <w:t xml:space="preserve"> </w:t>
      </w:r>
      <w:r w:rsidR="004059DD">
        <w:rPr>
          <w:b/>
          <w:bCs/>
          <w:lang w:val="es-419"/>
        </w:rPr>
        <w:t xml:space="preserve">sobre </w:t>
      </w:r>
      <w:r w:rsidR="00D043B3">
        <w:rPr>
          <w:b/>
          <w:bCs/>
          <w:lang w:val="es-419"/>
        </w:rPr>
        <w:t xml:space="preserve">el </w:t>
      </w:r>
      <w:r w:rsidR="00D043B3" w:rsidRPr="00D043B3">
        <w:rPr>
          <w:b/>
          <w:bCs/>
          <w:lang w:val="es-419"/>
        </w:rPr>
        <w:t>cumplimiento</w:t>
      </w:r>
      <w:r w:rsidRPr="00756410">
        <w:rPr>
          <w:b/>
          <w:bCs/>
          <w:lang w:val="es-419"/>
        </w:rPr>
        <w:t xml:space="preserve"> de ICF</w:t>
      </w:r>
      <w:r w:rsidRPr="00756410">
        <w:rPr>
          <w:lang w:val="es-419"/>
        </w:rPr>
        <w:t xml:space="preserve">. Sin embargo, no todos los controles pudieron establecerse como controles preventivos </w:t>
      </w:r>
      <w:r w:rsidR="007B1B06">
        <w:rPr>
          <w:lang w:val="es-419"/>
        </w:rPr>
        <w:t>a</w:t>
      </w:r>
      <w:r w:rsidRPr="00756410">
        <w:rPr>
          <w:lang w:val="es-419"/>
        </w:rPr>
        <w:t xml:space="preserve">l momento de la transición a Quantum. </w:t>
      </w:r>
    </w:p>
    <w:p w14:paraId="5FA3F39A" w14:textId="23B19095" w:rsidR="00502C7B" w:rsidRPr="00756410" w:rsidRDefault="00E4494D" w:rsidP="363CA695">
      <w:pPr>
        <w:spacing w:line="240" w:lineRule="auto"/>
        <w:rPr>
          <w:lang w:val="es-419"/>
        </w:rPr>
      </w:pPr>
      <w:r w:rsidRPr="00756410">
        <w:rPr>
          <w:b/>
          <w:bCs/>
          <w:u w:val="single"/>
          <w:lang w:val="es-419"/>
        </w:rPr>
        <w:t xml:space="preserve">Seguimiento de las medidas adoptadas en el marco del </w:t>
      </w:r>
      <w:r w:rsidR="004F38D6">
        <w:rPr>
          <w:b/>
          <w:bCs/>
          <w:u w:val="single"/>
          <w:lang w:val="es-419"/>
        </w:rPr>
        <w:t>ERP</w:t>
      </w:r>
      <w:r w:rsidRPr="00756410">
        <w:rPr>
          <w:b/>
          <w:bCs/>
          <w:u w:val="single"/>
          <w:lang w:val="es-419"/>
        </w:rPr>
        <w:t xml:space="preserve">: </w:t>
      </w:r>
      <w:r w:rsidR="004F38D6">
        <w:rPr>
          <w:b/>
          <w:bCs/>
          <w:u w:val="single"/>
          <w:lang w:val="es-419"/>
        </w:rPr>
        <w:t xml:space="preserve">Tal </w:t>
      </w:r>
      <w:r w:rsidR="00A5556A">
        <w:rPr>
          <w:b/>
          <w:bCs/>
          <w:u w:val="single"/>
          <w:lang w:val="es-419"/>
        </w:rPr>
        <w:t xml:space="preserve">como se indica a continuación, </w:t>
      </w:r>
      <w:r w:rsidR="00A5556A">
        <w:rPr>
          <w:lang w:val="es-419"/>
        </w:rPr>
        <w:t>s</w:t>
      </w:r>
      <w:r w:rsidRPr="00756410">
        <w:rPr>
          <w:lang w:val="es-419"/>
        </w:rPr>
        <w:t xml:space="preserve">iguen existiendo cinco esferas del cumplimiento de la aplicación del ICF basado en el ERP que las oficinas o dependencias deben supervisar (mensualmente como mínimo): </w:t>
      </w:r>
    </w:p>
    <w:p w14:paraId="4D78818F" w14:textId="391A360A" w:rsidR="00502C7B" w:rsidRPr="00756410" w:rsidRDefault="00502C7B">
      <w:pPr>
        <w:pStyle w:val="ListParagraph"/>
        <w:numPr>
          <w:ilvl w:val="0"/>
          <w:numId w:val="91"/>
        </w:numPr>
        <w:rPr>
          <w:lang w:val="es-419"/>
        </w:rPr>
      </w:pPr>
      <w:r w:rsidRPr="00756410">
        <w:rPr>
          <w:lang w:val="es-419"/>
        </w:rPr>
        <w:t xml:space="preserve">Roles de Gerente de Proyecto Dual y </w:t>
      </w:r>
      <w:r w:rsidR="00EA2F6F">
        <w:rPr>
          <w:lang w:val="es-419"/>
        </w:rPr>
        <w:t xml:space="preserve">Autoridad </w:t>
      </w:r>
      <w:r w:rsidRPr="00756410">
        <w:rPr>
          <w:lang w:val="es-419"/>
        </w:rPr>
        <w:t>de Aprobación ocupados por personal que no es RR/RR</w:t>
      </w:r>
      <w:r w:rsidR="006E4323">
        <w:rPr>
          <w:lang w:val="es-419"/>
        </w:rPr>
        <w:t>D</w:t>
      </w:r>
      <w:r w:rsidRPr="00756410">
        <w:rPr>
          <w:lang w:val="es-419"/>
        </w:rPr>
        <w:t>/OM (o equivalente en la sede), lo que contraviene el requisito de ICF.</w:t>
      </w:r>
    </w:p>
    <w:p w14:paraId="029CA8A6" w14:textId="5EC62B3E" w:rsidR="00502C7B" w:rsidRPr="00756410" w:rsidRDefault="00502C7B">
      <w:pPr>
        <w:pStyle w:val="ListParagraph"/>
        <w:numPr>
          <w:ilvl w:val="0"/>
          <w:numId w:val="91"/>
        </w:numPr>
        <w:rPr>
          <w:lang w:val="es-419"/>
        </w:rPr>
      </w:pPr>
      <w:r w:rsidRPr="00756410">
        <w:rPr>
          <w:lang w:val="es-419"/>
        </w:rPr>
        <w:t xml:space="preserve">Facturas aprobadas por el Gerente de Proyecto para proyecto propio (desarrollo o </w:t>
      </w:r>
      <w:r w:rsidR="00EA2F6F">
        <w:rPr>
          <w:lang w:val="es-419"/>
        </w:rPr>
        <w:t xml:space="preserve">de </w:t>
      </w:r>
      <w:r w:rsidRPr="00756410">
        <w:rPr>
          <w:lang w:val="es-419"/>
        </w:rPr>
        <w:t>gestión</w:t>
      </w:r>
      <w:r w:rsidR="00EA2F6F">
        <w:rPr>
          <w:lang w:val="es-419"/>
        </w:rPr>
        <w:t xml:space="preserve"> interna</w:t>
      </w:r>
      <w:r w:rsidRPr="00756410">
        <w:rPr>
          <w:lang w:val="es-419"/>
        </w:rPr>
        <w:t>), ya que se trata de un conflicto de intereses bajo el ICF.</w:t>
      </w:r>
    </w:p>
    <w:p w14:paraId="4EC7B56D" w14:textId="29AB61D3" w:rsidR="00502C7B" w:rsidRPr="00756410" w:rsidRDefault="00502C7B">
      <w:pPr>
        <w:pStyle w:val="ListParagraph"/>
        <w:numPr>
          <w:ilvl w:val="0"/>
          <w:numId w:val="91"/>
        </w:numPr>
        <w:rPr>
          <w:lang w:val="es-419"/>
        </w:rPr>
      </w:pPr>
      <w:r w:rsidRPr="00756410">
        <w:rPr>
          <w:lang w:val="es-419"/>
        </w:rPr>
        <w:t>No alineación entre los perfiles de IDAM y las asignaciones de administrador de proyectos de PPM, identificando compradores, finanzas, usuarios y usuarios generales en IDAM a los que también se les ha asignado un rol de administrador de proyectos directamente en PPM</w:t>
      </w:r>
      <w:r w:rsidR="00671E75" w:rsidRPr="009A7C29">
        <w:rPr>
          <w:rStyle w:val="FootnoteReference"/>
        </w:rPr>
        <w:footnoteReference w:id="13"/>
      </w:r>
      <w:r w:rsidRPr="00756410">
        <w:rPr>
          <w:lang w:val="es-419"/>
        </w:rPr>
        <w:t>.</w:t>
      </w:r>
    </w:p>
    <w:p w14:paraId="296928D4" w14:textId="5ECA0F70" w:rsidR="00502C7B" w:rsidRPr="00756410" w:rsidRDefault="00502C7B">
      <w:pPr>
        <w:pStyle w:val="ListParagraph"/>
        <w:numPr>
          <w:ilvl w:val="0"/>
          <w:numId w:val="91"/>
        </w:numPr>
        <w:rPr>
          <w:lang w:val="es-419"/>
        </w:rPr>
      </w:pPr>
      <w:r w:rsidRPr="00756410">
        <w:rPr>
          <w:lang w:val="es-419"/>
        </w:rPr>
        <w:t>El número de aprobadores de proveedores (L1 y L2) supera los límites de ICF.</w:t>
      </w:r>
    </w:p>
    <w:p w14:paraId="1C4041C8" w14:textId="3D97F453" w:rsidR="00502C7B" w:rsidRPr="00756410" w:rsidRDefault="00502C7B">
      <w:pPr>
        <w:pStyle w:val="ListParagraph"/>
        <w:numPr>
          <w:ilvl w:val="0"/>
          <w:numId w:val="91"/>
        </w:numPr>
        <w:rPr>
          <w:lang w:val="es-419"/>
        </w:rPr>
      </w:pPr>
      <w:r w:rsidRPr="00756410">
        <w:rPr>
          <w:lang w:val="es-419"/>
        </w:rPr>
        <w:t>El mismo aprobador de facturas y el mismo proveedor pagados, lo que captura los casos en los que un</w:t>
      </w:r>
      <w:r w:rsidR="006A1290">
        <w:rPr>
          <w:lang w:val="es-419"/>
        </w:rPr>
        <w:t>a</w:t>
      </w:r>
      <w:r w:rsidRPr="00756410">
        <w:rPr>
          <w:lang w:val="es-419"/>
        </w:rPr>
        <w:t xml:space="preserve"> </w:t>
      </w:r>
      <w:r w:rsidR="006A1290">
        <w:rPr>
          <w:lang w:val="es-419"/>
        </w:rPr>
        <w:t>Autoridad</w:t>
      </w:r>
      <w:r w:rsidR="006A1290" w:rsidRPr="00756410">
        <w:rPr>
          <w:lang w:val="es-419"/>
        </w:rPr>
        <w:t xml:space="preserve"> </w:t>
      </w:r>
      <w:r w:rsidRPr="00756410">
        <w:rPr>
          <w:lang w:val="es-419"/>
        </w:rPr>
        <w:t>de Aprobación ha aprobado una factura pagadera a sí mismo, lo cual es un conflicto de intereses según el ICF.</w:t>
      </w:r>
    </w:p>
    <w:p w14:paraId="64FF845D" w14:textId="482B3688" w:rsidR="00262F27" w:rsidRPr="00756410" w:rsidRDefault="00A33DD0" w:rsidP="363CA695">
      <w:pPr>
        <w:spacing w:line="240" w:lineRule="auto"/>
        <w:rPr>
          <w:color w:val="ED7D31" w:themeColor="accent2"/>
          <w:lang w:val="es-419"/>
        </w:rPr>
      </w:pPr>
      <w:r w:rsidRPr="00756410">
        <w:rPr>
          <w:lang w:val="es-419"/>
        </w:rPr>
        <w:t xml:space="preserve">Se espera que con el tiempo estas cinco áreas de "monitoreo post-facto de ICF" se eliminen progresivamente a medida que continuamos refinando y mejorando los procesos </w:t>
      </w:r>
      <w:r w:rsidR="00D043B3" w:rsidRPr="00D043B3">
        <w:rPr>
          <w:lang w:val="es-419"/>
        </w:rPr>
        <w:t>c</w:t>
      </w:r>
      <w:r w:rsidR="00D043B3">
        <w:rPr>
          <w:lang w:val="es-419"/>
        </w:rPr>
        <w:t>on</w:t>
      </w:r>
      <w:r w:rsidR="00BE1195">
        <w:rPr>
          <w:lang w:val="es-419"/>
        </w:rPr>
        <w:t xml:space="preserve"> Quantum</w:t>
      </w:r>
      <w:r w:rsidRPr="00756410">
        <w:rPr>
          <w:lang w:val="es-419"/>
        </w:rPr>
        <w:t xml:space="preserve">. Para ayudar a las oficinas o unidades a supervisar la implementación de ICF en estas cinco áreas, </w:t>
      </w:r>
      <w:hyperlink r:id="rId36">
        <w:r w:rsidR="7976109C" w:rsidRPr="00B126D4">
          <w:rPr>
            <w:rStyle w:val="Hyperlink"/>
            <w:lang w:val="es-419"/>
          </w:rPr>
          <w:t xml:space="preserve"> hay disponibles informes de supervisión de ICF de</w:t>
        </w:r>
      </w:hyperlink>
      <w:r w:rsidR="00944D11" w:rsidRPr="00756410">
        <w:rPr>
          <w:b/>
          <w:bCs/>
          <w:lang w:val="es-419"/>
        </w:rPr>
        <w:t xml:space="preserve"> </w:t>
      </w:r>
      <w:r w:rsidR="320B472D" w:rsidRPr="00756410">
        <w:rPr>
          <w:lang w:val="es-419"/>
        </w:rPr>
        <w:t xml:space="preserve"> Power BI.</w:t>
      </w:r>
      <w:r w:rsidR="00763A35" w:rsidRPr="00756410">
        <w:rPr>
          <w:lang w:val="es-419"/>
        </w:rPr>
        <w:t xml:space="preserve"> Estos informes son accesibles para el Punto Focal IDAM y el Aprobador IDAM (generalmente el RR/RR</w:t>
      </w:r>
      <w:r w:rsidR="006E4323">
        <w:rPr>
          <w:lang w:val="es-419"/>
        </w:rPr>
        <w:t>D</w:t>
      </w:r>
      <w:r w:rsidR="00763A35" w:rsidRPr="00756410">
        <w:rPr>
          <w:lang w:val="es-419"/>
        </w:rPr>
        <w:t xml:space="preserve">/Gerente de Operaciones o equivalentes de HQ) en cada </w:t>
      </w:r>
      <w:r w:rsidR="00B7482C">
        <w:rPr>
          <w:lang w:val="es-419"/>
        </w:rPr>
        <w:t>unidad de negocio</w:t>
      </w:r>
      <w:r w:rsidR="00B7482C" w:rsidRPr="00756410">
        <w:rPr>
          <w:lang w:val="es-419"/>
        </w:rPr>
        <w:t xml:space="preserve"> </w:t>
      </w:r>
      <w:r w:rsidR="00763A35" w:rsidRPr="00756410">
        <w:rPr>
          <w:lang w:val="es-419"/>
        </w:rPr>
        <w:t xml:space="preserve">para su revisión y acción correctiva. Los informes se actualizan diariamente a las 9 a.m. (hora de Nueva York). Para obtener más información, consulte </w:t>
      </w:r>
      <w:hyperlink w:anchor="_Annex_1:_Overview" w:history="1">
        <w:r w:rsidR="009B585B" w:rsidRPr="00756410">
          <w:rPr>
            <w:rStyle w:val="Hyperlink"/>
            <w:lang w:val="es-419"/>
          </w:rPr>
          <w:t xml:space="preserve"> el Anexo 1</w:t>
        </w:r>
      </w:hyperlink>
      <w:r w:rsidR="009B585B" w:rsidRPr="00756410">
        <w:rPr>
          <w:color w:val="ED7D31" w:themeColor="accent2"/>
          <w:lang w:val="es-419"/>
        </w:rPr>
        <w:t xml:space="preserve"> </w:t>
      </w:r>
      <w:r w:rsidR="009B585B" w:rsidRPr="00756410">
        <w:rPr>
          <w:lang w:val="es-419"/>
        </w:rPr>
        <w:t xml:space="preserve">de esta Guía y/o la </w:t>
      </w:r>
      <w:hyperlink r:id="rId37">
        <w:r w:rsidR="37D3C13B" w:rsidRPr="00756410">
          <w:rPr>
            <w:rStyle w:val="Hyperlink"/>
            <w:lang w:val="es-419"/>
          </w:rPr>
          <w:t>Guía del usuario del Informe de Monitoreo de ICF</w:t>
        </w:r>
      </w:hyperlink>
      <w:r w:rsidR="00944D11" w:rsidRPr="00756410">
        <w:rPr>
          <w:lang w:val="es-419"/>
        </w:rPr>
        <w:t>.</w:t>
      </w:r>
    </w:p>
    <w:p w14:paraId="40CC7C0D" w14:textId="40B8CBEB" w:rsidR="00512B87" w:rsidRPr="00756410" w:rsidRDefault="00E4494D" w:rsidP="363CA695">
      <w:pPr>
        <w:spacing w:line="240" w:lineRule="auto"/>
        <w:rPr>
          <w:lang w:val="es-419"/>
        </w:rPr>
      </w:pPr>
      <w:r w:rsidRPr="00756410">
        <w:rPr>
          <w:b/>
          <w:bCs/>
          <w:u w:val="single"/>
          <w:lang w:val="es-419"/>
        </w:rPr>
        <w:t xml:space="preserve">Seguimiento de las acciones realizadas fuera del ERP: </w:t>
      </w:r>
      <w:r w:rsidR="00512B87" w:rsidRPr="00756410">
        <w:rPr>
          <w:lang w:val="es-419"/>
        </w:rPr>
        <w:t>Hay varias áreas donde se ejecutan controles fuera del ERP que deben ser implementados y monitoreados por todas las oficinas</w:t>
      </w:r>
      <w:r w:rsidR="00BE1195">
        <w:rPr>
          <w:lang w:val="es-419"/>
        </w:rPr>
        <w:t xml:space="preserve"> o </w:t>
      </w:r>
      <w:r w:rsidR="00512B87" w:rsidRPr="00756410">
        <w:rPr>
          <w:lang w:val="es-419"/>
        </w:rPr>
        <w:t xml:space="preserve">unidades. </w:t>
      </w:r>
    </w:p>
    <w:p w14:paraId="16AD5DAC" w14:textId="0C73DC80" w:rsidR="004A44F6" w:rsidRPr="00756410" w:rsidRDefault="004A44F6" w:rsidP="068E6479">
      <w:pPr>
        <w:pStyle w:val="fluidplugincopy1"/>
        <w:shd w:val="clear" w:color="auto" w:fill="FFFFFF" w:themeFill="background1"/>
        <w:spacing w:after="240"/>
        <w:rPr>
          <w:color w:val="ED7D31" w:themeColor="accent2"/>
          <w:lang w:val="es-419"/>
        </w:rPr>
      </w:pPr>
      <w:r w:rsidRPr="00756410">
        <w:rPr>
          <w:lang w:val="es-419"/>
        </w:rPr>
        <w:t xml:space="preserve">Consulte el </w:t>
      </w:r>
      <w:hyperlink w:anchor="_Annex_6:_Overview" w:history="1">
        <w:r w:rsidRPr="00756410">
          <w:rPr>
            <w:rStyle w:val="Hyperlink"/>
            <w:lang w:val="es-419"/>
          </w:rPr>
          <w:t>Anexo 6</w:t>
        </w:r>
      </w:hyperlink>
      <w:r w:rsidRPr="00756410">
        <w:rPr>
          <w:color w:val="ED7D31" w:themeColor="accent2"/>
          <w:lang w:val="es-419"/>
        </w:rPr>
        <w:t xml:space="preserve"> </w:t>
      </w:r>
      <w:r w:rsidRPr="00756410">
        <w:rPr>
          <w:lang w:val="es-419"/>
        </w:rPr>
        <w:t>para obtener una descripción general de los controles preventivos que aplican IDAM y Quantum, junto con los controles ejecutados fuera del ERP.</w:t>
      </w:r>
    </w:p>
    <w:p w14:paraId="1AD7D7FC" w14:textId="38E36EE4" w:rsidR="00003931" w:rsidRPr="00756410" w:rsidRDefault="00003931">
      <w:pPr>
        <w:pStyle w:val="Heading2"/>
        <w:numPr>
          <w:ilvl w:val="1"/>
          <w:numId w:val="14"/>
        </w:numPr>
        <w:spacing w:after="240" w:line="240" w:lineRule="auto"/>
        <w:ind w:left="360"/>
        <w:rPr>
          <w:color w:val="4472C4" w:themeColor="accent1"/>
          <w:lang w:val="es-419"/>
        </w:rPr>
      </w:pPr>
      <w:bookmarkStart w:id="33" w:name="_Toc210052754"/>
      <w:r w:rsidRPr="00756410">
        <w:rPr>
          <w:color w:val="4472C4" w:themeColor="accent1"/>
          <w:lang w:val="es-419"/>
        </w:rPr>
        <w:t>Descripción general de las funciones de IDAM y el ICF</w:t>
      </w:r>
      <w:bookmarkEnd w:id="33"/>
    </w:p>
    <w:p w14:paraId="4005412F" w14:textId="661AA11D" w:rsidR="00D733E9" w:rsidRPr="00756410" w:rsidRDefault="00D733E9" w:rsidP="363CA695">
      <w:pPr>
        <w:spacing w:line="240" w:lineRule="auto"/>
        <w:rPr>
          <w:lang w:val="es-419"/>
        </w:rPr>
      </w:pPr>
      <w:r w:rsidRPr="00756410">
        <w:rPr>
          <w:lang w:val="es-419"/>
        </w:rPr>
        <w:t>El acceso a Quantum solo se puede otorgar a través de IDAM en UNall. El acceso a IDAM está limitado a los solicitantes de IDAM y a los aprobadores de IDAM (normalmente RR/RR</w:t>
      </w:r>
      <w:r w:rsidR="006E4323">
        <w:rPr>
          <w:lang w:val="es-419"/>
        </w:rPr>
        <w:t>D</w:t>
      </w:r>
      <w:r w:rsidRPr="00756410">
        <w:rPr>
          <w:lang w:val="es-419"/>
        </w:rPr>
        <w:t xml:space="preserve">/OM o equivalentes de la sede) en </w:t>
      </w:r>
      <w:r w:rsidRPr="00756410">
        <w:rPr>
          <w:lang w:val="es-419"/>
        </w:rPr>
        <w:lastRenderedPageBreak/>
        <w:t>cada oficina</w:t>
      </w:r>
      <w:r w:rsidR="006B60F0">
        <w:rPr>
          <w:lang w:val="es-419"/>
        </w:rPr>
        <w:t xml:space="preserve"> o </w:t>
      </w:r>
      <w:r w:rsidRPr="00756410">
        <w:rPr>
          <w:lang w:val="es-419"/>
        </w:rPr>
        <w:t xml:space="preserve">unidad </w:t>
      </w:r>
      <w:r w:rsidRPr="00756410">
        <w:rPr>
          <w:color w:val="4472C4" w:themeColor="accent1"/>
          <w:lang w:val="es-419"/>
        </w:rPr>
        <w:t>(</w:t>
      </w:r>
      <w:hyperlink r:id="rId38" w:history="1">
        <w:r w:rsidRPr="00756410">
          <w:rPr>
            <w:rStyle w:val="Hyperlink"/>
            <w:color w:val="4472C4" w:themeColor="accent1"/>
            <w:lang w:val="es-419"/>
          </w:rPr>
          <w:t>Guía del usuario de IDAM).</w:t>
        </w:r>
      </w:hyperlink>
      <w:r w:rsidRPr="00756410">
        <w:rPr>
          <w:lang w:val="es-419"/>
        </w:rPr>
        <w:t xml:space="preserve"> Como parte del flujo de trabajo electrónico de solicitud de acceso de IDAM, la solicitud de acceso del usuario se envía primero al </w:t>
      </w:r>
      <w:r w:rsidR="006B60F0">
        <w:rPr>
          <w:lang w:val="es-419"/>
        </w:rPr>
        <w:t>supervisor</w:t>
      </w:r>
      <w:r w:rsidR="00C04C4D">
        <w:rPr>
          <w:lang w:val="es-419"/>
        </w:rPr>
        <w:t xml:space="preserve"> de </w:t>
      </w:r>
      <w:r w:rsidR="004560AD">
        <w:rPr>
          <w:lang w:val="es-419"/>
        </w:rPr>
        <w:t>línea</w:t>
      </w:r>
      <w:r w:rsidRPr="00756410">
        <w:rPr>
          <w:lang w:val="es-419"/>
        </w:rPr>
        <w:t xml:space="preserve"> del usuario para aprobar la solicitud sobre la base de que </w:t>
      </w:r>
      <w:r w:rsidR="00C04C4D">
        <w:rPr>
          <w:lang w:val="es-419"/>
        </w:rPr>
        <w:t>el supervisor</w:t>
      </w:r>
      <w:r w:rsidRPr="00756410">
        <w:rPr>
          <w:lang w:val="es-419"/>
        </w:rPr>
        <w:t xml:space="preserve"> de línea está mejor equipado para determinar el acceso necesario en función de las tareas diarias del subordinado directo</w:t>
      </w:r>
      <w:r w:rsidRPr="009A7C29">
        <w:rPr>
          <w:rStyle w:val="FootnoteReference"/>
        </w:rPr>
        <w:footnoteReference w:id="14"/>
      </w:r>
      <w:r w:rsidRPr="00756410">
        <w:rPr>
          <w:lang w:val="es-419"/>
        </w:rPr>
        <w:t xml:space="preserve">. Después de la aprobación del </w:t>
      </w:r>
      <w:r w:rsidR="009715E6">
        <w:rPr>
          <w:lang w:val="es-419"/>
        </w:rPr>
        <w:t>supervisor</w:t>
      </w:r>
      <w:r w:rsidR="00C04C4D" w:rsidRPr="00756410">
        <w:rPr>
          <w:lang w:val="es-419"/>
        </w:rPr>
        <w:t xml:space="preserve"> </w:t>
      </w:r>
      <w:r w:rsidRPr="00756410">
        <w:rPr>
          <w:lang w:val="es-419"/>
        </w:rPr>
        <w:t>de línea, la solicitud de acceso se envía electrónicamente al aprobador IDAM en la oficina</w:t>
      </w:r>
      <w:r w:rsidR="00EE0395">
        <w:rPr>
          <w:lang w:val="es-419"/>
        </w:rPr>
        <w:t xml:space="preserve"> o </w:t>
      </w:r>
      <w:r w:rsidRPr="00756410">
        <w:rPr>
          <w:lang w:val="es-419"/>
        </w:rPr>
        <w:t>unidad correspondiente para su aprobación final. Para los roles complementarios que conllevan un alto riesgo financiero (por ejemplo, anulación de presupuesto, administrador de fondos), el flujo de trabajo electrónico se enruta a BMS/OFRM para su aprobación, antes de la aprobación final por parte del aprobador de IDAM.</w:t>
      </w:r>
    </w:p>
    <w:p w14:paraId="30C9CA9C" w14:textId="49D00CA3" w:rsidR="00D73B61" w:rsidRPr="00756410" w:rsidRDefault="009938DD" w:rsidP="00DA089C">
      <w:pPr>
        <w:spacing w:line="240" w:lineRule="auto"/>
        <w:rPr>
          <w:lang w:val="es-419"/>
        </w:rPr>
      </w:pPr>
      <w:r w:rsidRPr="00756410">
        <w:rPr>
          <w:lang w:val="es-419"/>
        </w:rPr>
        <w:t xml:space="preserve">A </w:t>
      </w:r>
      <w:r w:rsidR="0045170C" w:rsidRPr="0045170C">
        <w:rPr>
          <w:lang w:val="es-419"/>
        </w:rPr>
        <w:t>continuación,</w:t>
      </w:r>
      <w:r w:rsidRPr="00756410">
        <w:rPr>
          <w:lang w:val="es-419"/>
        </w:rPr>
        <w:t xml:space="preserve"> se muestra una descripción general de alto nivel de los roles de ICF que se ejecutan dentro del ERP. Hay siete perfiles </w:t>
      </w:r>
      <w:r w:rsidR="0045170C">
        <w:rPr>
          <w:lang w:val="es-419"/>
        </w:rPr>
        <w:t>de</w:t>
      </w:r>
      <w:r w:rsidR="00F04FD2">
        <w:rPr>
          <w:lang w:val="es-419"/>
        </w:rPr>
        <w:t xml:space="preserve"> usuario</w:t>
      </w:r>
      <w:r w:rsidR="0045170C" w:rsidRPr="00756410">
        <w:rPr>
          <w:lang w:val="es-419"/>
        </w:rPr>
        <w:t xml:space="preserve"> </w:t>
      </w:r>
      <w:r w:rsidRPr="00756410">
        <w:rPr>
          <w:lang w:val="es-419"/>
        </w:rPr>
        <w:t>de finanzas y adquisiciones, seis de los cuales están disponibles para todas las oficinas</w:t>
      </w:r>
      <w:r w:rsidR="00F04FD2">
        <w:rPr>
          <w:lang w:val="es-419"/>
        </w:rPr>
        <w:t xml:space="preserve"> o </w:t>
      </w:r>
      <w:r w:rsidRPr="00756410">
        <w:rPr>
          <w:lang w:val="es-419"/>
        </w:rPr>
        <w:t xml:space="preserve">unidades, que incluyen: Gerente de proyecto, Comprador de adquisiciones, Usuario de finanzas, Usuario general, Gerente Nivel 1, Gerente Nivel 2 y Gerente senior. La antigua función de oficial de desembolsos en lo que respecta al desembolso de los pagos está ahora a cargo del BMS/OFRM/Tesorería, el BMS/GSSC y </w:t>
      </w:r>
      <w:r w:rsidR="00A64ADB">
        <w:rPr>
          <w:lang w:val="es-419"/>
        </w:rPr>
        <w:t>VNU</w:t>
      </w:r>
      <w:r w:rsidRPr="00756410">
        <w:rPr>
          <w:lang w:val="es-419"/>
        </w:rPr>
        <w:t>.</w:t>
      </w:r>
    </w:p>
    <w:p w14:paraId="5C5E7718" w14:textId="2FEEBF68" w:rsidR="00E4494D" w:rsidRPr="00756410" w:rsidRDefault="00D73B61" w:rsidP="363CA695">
      <w:pPr>
        <w:spacing w:line="240" w:lineRule="auto"/>
        <w:rPr>
          <w:lang w:val="es-419"/>
        </w:rPr>
      </w:pPr>
      <w:r w:rsidRPr="00756410">
        <w:rPr>
          <w:lang w:val="es-419"/>
        </w:rPr>
        <w:t xml:space="preserve">Hay cuatro roles de Recursos Humanos que caen dentro del alcance del ICF, como se muestra a continuación. BMS/GSSC realiza procesos y ejecuta la aprobación final en Quantum para las tres autoridades relacionadas con las transacciones de nómina. Existen varios perfiles de </w:t>
      </w:r>
      <w:r w:rsidR="00F04FD2">
        <w:rPr>
          <w:lang w:val="es-419"/>
        </w:rPr>
        <w:t>usuario</w:t>
      </w:r>
      <w:r w:rsidR="00F04FD2" w:rsidRPr="00756410">
        <w:rPr>
          <w:lang w:val="es-419"/>
        </w:rPr>
        <w:t xml:space="preserve"> </w:t>
      </w:r>
      <w:r w:rsidRPr="00756410">
        <w:rPr>
          <w:lang w:val="es-419"/>
        </w:rPr>
        <w:t xml:space="preserve">de administración de puestos para capturar las aprobaciones de </w:t>
      </w:r>
      <w:r w:rsidR="00F04FD2">
        <w:rPr>
          <w:lang w:val="es-419"/>
        </w:rPr>
        <w:t xml:space="preserve">la oficina de </w:t>
      </w:r>
      <w:r w:rsidR="00C700D2">
        <w:rPr>
          <w:lang w:val="es-419"/>
        </w:rPr>
        <w:t>país</w:t>
      </w:r>
      <w:r w:rsidR="00F04FD2" w:rsidRPr="00756410">
        <w:rPr>
          <w:lang w:val="es-419"/>
        </w:rPr>
        <w:t xml:space="preserve"> </w:t>
      </w:r>
      <w:r w:rsidR="00C700D2">
        <w:rPr>
          <w:lang w:val="es-419"/>
        </w:rPr>
        <w:t xml:space="preserve">(CO) </w:t>
      </w:r>
      <w:r w:rsidRPr="00756410">
        <w:rPr>
          <w:lang w:val="es-419"/>
        </w:rPr>
        <w:t xml:space="preserve">y </w:t>
      </w:r>
      <w:r w:rsidR="00610D1A">
        <w:rPr>
          <w:lang w:val="es-419"/>
        </w:rPr>
        <w:t>buros regionales</w:t>
      </w:r>
      <w:r w:rsidR="00F04FD2" w:rsidRPr="00756410">
        <w:rPr>
          <w:lang w:val="es-419"/>
        </w:rPr>
        <w:t xml:space="preserve"> </w:t>
      </w:r>
      <w:r w:rsidRPr="00756410">
        <w:rPr>
          <w:lang w:val="es-419"/>
        </w:rPr>
        <w:t xml:space="preserve">(según corresponda) o BMS/GSSC para realizar las aprobaciones en Quantum (consulte la sección 8.5 para obtener más detalles). Todas las demás funciones de recursos humanos no entran en el ámbito del ICF, ya que no implican un nuevo compromiso de fondos ni la liberación de fondos. Consulte el </w:t>
      </w:r>
      <w:hyperlink w:anchor="_Annex_2:_Overview" w:history="1">
        <w:r w:rsidR="00BA5960" w:rsidRPr="008C4953">
          <w:rPr>
            <w:rStyle w:val="Hyperlink"/>
            <w:color w:val="4472C4" w:themeColor="accent1"/>
            <w:lang w:val="es-419"/>
          </w:rPr>
          <w:t>Anexo 2</w:t>
        </w:r>
      </w:hyperlink>
      <w:r w:rsidR="00BA5960" w:rsidRPr="00756410">
        <w:rPr>
          <w:lang w:val="es-419"/>
        </w:rPr>
        <w:t xml:space="preserve"> para obtener una breve explicación de todos los roles de recursos humanos de IDAM disponibles para su selección por oficinas</w:t>
      </w:r>
      <w:r w:rsidR="00AF0144">
        <w:rPr>
          <w:lang w:val="es-419"/>
        </w:rPr>
        <w:t xml:space="preserve"> </w:t>
      </w:r>
      <w:r w:rsidR="00F04FD2">
        <w:rPr>
          <w:lang w:val="es-419"/>
        </w:rPr>
        <w:t xml:space="preserve">o </w:t>
      </w:r>
      <w:r w:rsidR="00BA5960" w:rsidRPr="00756410">
        <w:rPr>
          <w:lang w:val="es-419"/>
        </w:rPr>
        <w:t>unidades al solicitar acceso a Quantum.</w:t>
      </w:r>
    </w:p>
    <w:p w14:paraId="5F934EB8" w14:textId="499D428D" w:rsidR="00E4494D" w:rsidRPr="00756410" w:rsidRDefault="00D51DEB" w:rsidP="00DC09B1">
      <w:pPr>
        <w:ind w:left="360" w:hanging="360"/>
        <w:jc w:val="center"/>
        <w:rPr>
          <w:lang w:val="es-419"/>
        </w:rPr>
      </w:pPr>
      <w:r w:rsidRPr="00D51DEB">
        <w:rPr>
          <w:noProof/>
          <w:lang w:val="es-419"/>
        </w:rPr>
        <w:drawing>
          <wp:inline distT="0" distB="0" distL="0" distR="0" wp14:anchorId="310F034D" wp14:editId="7917764B">
            <wp:extent cx="5058094" cy="2871349"/>
            <wp:effectExtent l="0" t="0" r="0" b="5715"/>
            <wp:docPr id="883408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08215" name=""/>
                    <pic:cNvPicPr/>
                  </pic:nvPicPr>
                  <pic:blipFill>
                    <a:blip r:embed="rId39"/>
                    <a:stretch>
                      <a:fillRect/>
                    </a:stretch>
                  </pic:blipFill>
                  <pic:spPr>
                    <a:xfrm>
                      <a:off x="0" y="0"/>
                      <a:ext cx="5083740" cy="2885908"/>
                    </a:xfrm>
                    <a:prstGeom prst="rect">
                      <a:avLst/>
                    </a:prstGeom>
                  </pic:spPr>
                </pic:pic>
              </a:graphicData>
            </a:graphic>
          </wp:inline>
        </w:drawing>
      </w:r>
    </w:p>
    <w:p w14:paraId="7BB12171" w14:textId="0726F0CE" w:rsidR="00614460" w:rsidRDefault="00614460" w:rsidP="00614460">
      <w:pPr>
        <w:ind w:left="360" w:hanging="360"/>
        <w:jc w:val="center"/>
      </w:pPr>
    </w:p>
    <w:p w14:paraId="3C0DA3B6" w14:textId="1CBC025B" w:rsidR="00003931" w:rsidRPr="00756410" w:rsidRDefault="00C95CD8" w:rsidP="00DA089C">
      <w:pPr>
        <w:spacing w:line="240" w:lineRule="auto"/>
        <w:rPr>
          <w:lang w:val="es-419"/>
        </w:rPr>
      </w:pPr>
      <w:r w:rsidRPr="00756410">
        <w:rPr>
          <w:lang w:val="es-419"/>
        </w:rPr>
        <w:t xml:space="preserve">Cuando se selecciona y aprueba un perfil de </w:t>
      </w:r>
      <w:r w:rsidR="00732603">
        <w:rPr>
          <w:lang w:val="es-419"/>
        </w:rPr>
        <w:t>usuario</w:t>
      </w:r>
      <w:r w:rsidR="00732603" w:rsidRPr="00756410">
        <w:rPr>
          <w:lang w:val="es-419"/>
        </w:rPr>
        <w:t xml:space="preserve"> </w:t>
      </w:r>
      <w:r w:rsidRPr="00756410">
        <w:rPr>
          <w:lang w:val="es-419"/>
        </w:rPr>
        <w:t xml:space="preserve">en IDAM, se otorga al usuario una variedad de capacidades relevantes para su rol </w:t>
      </w:r>
      <w:r w:rsidR="00E3003D">
        <w:rPr>
          <w:lang w:val="es-419"/>
        </w:rPr>
        <w:t xml:space="preserve"> </w:t>
      </w:r>
      <w:r w:rsidR="00D61590">
        <w:rPr>
          <w:lang w:val="es-419"/>
        </w:rPr>
        <w:t xml:space="preserve">en la </w:t>
      </w:r>
      <w:r w:rsidR="00CF3718">
        <w:rPr>
          <w:lang w:val="es-419"/>
        </w:rPr>
        <w:t>organización</w:t>
      </w:r>
      <w:r w:rsidRPr="00756410">
        <w:rPr>
          <w:lang w:val="es-419"/>
        </w:rPr>
        <w:t xml:space="preserve">. Por ejemplo, cuando se selecciona un perfil de </w:t>
      </w:r>
      <w:r w:rsidR="00D61590">
        <w:rPr>
          <w:lang w:val="es-419"/>
        </w:rPr>
        <w:t>usuario</w:t>
      </w:r>
      <w:r w:rsidRPr="00756410">
        <w:rPr>
          <w:lang w:val="es-419"/>
        </w:rPr>
        <w:t xml:space="preserve"> </w:t>
      </w:r>
      <w:r w:rsidR="00D61590">
        <w:rPr>
          <w:lang w:val="es-419"/>
        </w:rPr>
        <w:t>Gerente de Proyecto</w:t>
      </w:r>
      <w:r w:rsidRPr="00756410">
        <w:rPr>
          <w:lang w:val="es-419"/>
        </w:rPr>
        <w:t xml:space="preserve">, se asignan una serie de roles de módulo de Quantum </w:t>
      </w:r>
      <w:r w:rsidR="00686BC3">
        <w:rPr>
          <w:lang w:val="es-419"/>
        </w:rPr>
        <w:t>en segundo plano</w:t>
      </w:r>
      <w:r w:rsidRPr="00756410">
        <w:rPr>
          <w:lang w:val="es-419"/>
        </w:rPr>
        <w:t xml:space="preserve"> en Quantum PPM, SCM y GL para permitir que el </w:t>
      </w:r>
      <w:r w:rsidR="00686BC3">
        <w:rPr>
          <w:lang w:val="es-419"/>
        </w:rPr>
        <w:t>Gerente de Proyecto</w:t>
      </w:r>
      <w:r w:rsidRPr="00756410">
        <w:rPr>
          <w:lang w:val="es-419"/>
        </w:rPr>
        <w:t xml:space="preserve"> abra y cierre proyectos, gestione presupuestos, inicie adquisiciones, reciba bienes y servicios y solicite pagos, entre otras capacidades. </w:t>
      </w:r>
    </w:p>
    <w:p w14:paraId="4C2EB0D4" w14:textId="4637FFA0" w:rsidR="00C95CD8" w:rsidRDefault="00D51DEB" w:rsidP="005200F5">
      <w:pPr>
        <w:jc w:val="center"/>
      </w:pPr>
      <w:r w:rsidRPr="00D51DEB">
        <w:rPr>
          <w:noProof/>
        </w:rPr>
        <w:drawing>
          <wp:inline distT="0" distB="0" distL="0" distR="0" wp14:anchorId="6D5679F5" wp14:editId="0D37F548">
            <wp:extent cx="4932321" cy="2673372"/>
            <wp:effectExtent l="0" t="0" r="1905" b="0"/>
            <wp:docPr id="207310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09674" name=""/>
                    <pic:cNvPicPr/>
                  </pic:nvPicPr>
                  <pic:blipFill>
                    <a:blip r:embed="rId40"/>
                    <a:stretch>
                      <a:fillRect/>
                    </a:stretch>
                  </pic:blipFill>
                  <pic:spPr>
                    <a:xfrm>
                      <a:off x="0" y="0"/>
                      <a:ext cx="4957791" cy="2687177"/>
                    </a:xfrm>
                    <a:prstGeom prst="rect">
                      <a:avLst/>
                    </a:prstGeom>
                  </pic:spPr>
                </pic:pic>
              </a:graphicData>
            </a:graphic>
          </wp:inline>
        </w:drawing>
      </w:r>
    </w:p>
    <w:p w14:paraId="69E4B6D2" w14:textId="7B27C80F" w:rsidR="00FD58ED" w:rsidRPr="00756410" w:rsidRDefault="00D6256F" w:rsidP="363CA695">
      <w:pPr>
        <w:spacing w:line="240" w:lineRule="auto"/>
        <w:rPr>
          <w:color w:val="ED7D31" w:themeColor="accent2"/>
          <w:lang w:val="es-419"/>
        </w:rPr>
      </w:pPr>
      <w:r w:rsidRPr="00756410">
        <w:rPr>
          <w:lang w:val="es-419"/>
        </w:rPr>
        <w:t xml:space="preserve">Las capacidades asignadas para cada perfil de </w:t>
      </w:r>
      <w:r w:rsidR="00686BC3" w:rsidRPr="00756410">
        <w:rPr>
          <w:lang w:val="es-419"/>
        </w:rPr>
        <w:t xml:space="preserve">usuario </w:t>
      </w:r>
      <w:r w:rsidRPr="00756410">
        <w:rPr>
          <w:lang w:val="es-419"/>
        </w:rPr>
        <w:t xml:space="preserve">de IDAM se han configurado cuidadosamente para garantizar que se conserven los requisitos de segregación de funciones del ICF. Lo mismo se aplica a los roles complementarios, que se pueden asignar a ciertos perfiles de </w:t>
      </w:r>
      <w:r w:rsidR="00686BC3">
        <w:rPr>
          <w:lang w:val="es-419"/>
        </w:rPr>
        <w:t>usuario</w:t>
      </w:r>
      <w:r w:rsidR="00686BC3" w:rsidRPr="00756410">
        <w:rPr>
          <w:lang w:val="es-419"/>
        </w:rPr>
        <w:t xml:space="preserve"> </w:t>
      </w:r>
      <w:r w:rsidRPr="00756410">
        <w:rPr>
          <w:lang w:val="es-419"/>
        </w:rPr>
        <w:t xml:space="preserve">para ejecutar funciones </w:t>
      </w:r>
      <w:r w:rsidR="00561E5A" w:rsidRPr="00756410">
        <w:rPr>
          <w:lang w:val="es-419"/>
        </w:rPr>
        <w:t xml:space="preserve"> </w:t>
      </w:r>
      <w:r w:rsidRPr="00756410">
        <w:rPr>
          <w:lang w:val="es-419"/>
        </w:rPr>
        <w:t>específicas</w:t>
      </w:r>
      <w:r w:rsidR="00A82688">
        <w:rPr>
          <w:lang w:val="es-419"/>
        </w:rPr>
        <w:t xml:space="preserve"> y delimitadas</w:t>
      </w:r>
      <w:r w:rsidRPr="00756410">
        <w:rPr>
          <w:lang w:val="es-419"/>
        </w:rPr>
        <w:t xml:space="preserve"> bajo el ICF. Los roles complementarios que son incompatibles con un perfil de </w:t>
      </w:r>
      <w:r w:rsidR="00A82688">
        <w:rPr>
          <w:lang w:val="es-419"/>
        </w:rPr>
        <w:t>usuario</w:t>
      </w:r>
      <w:r w:rsidR="00A82688" w:rsidRPr="00756410">
        <w:rPr>
          <w:lang w:val="es-419"/>
        </w:rPr>
        <w:t xml:space="preserve"> </w:t>
      </w:r>
      <w:r w:rsidRPr="00756410">
        <w:rPr>
          <w:lang w:val="es-419"/>
        </w:rPr>
        <w:t xml:space="preserve">específico no se pueden asignar en IDAM (por ejemplo, a un perfil de </w:t>
      </w:r>
      <w:r w:rsidR="00A82688">
        <w:rPr>
          <w:lang w:val="es-419"/>
        </w:rPr>
        <w:t>usuario</w:t>
      </w:r>
      <w:r w:rsidR="00A82688" w:rsidRPr="00756410">
        <w:rPr>
          <w:lang w:val="es-419"/>
        </w:rPr>
        <w:t xml:space="preserve"> </w:t>
      </w:r>
      <w:r w:rsidRPr="00756410">
        <w:rPr>
          <w:lang w:val="es-419"/>
        </w:rPr>
        <w:t xml:space="preserve">de comprador de </w:t>
      </w:r>
      <w:r w:rsidR="00A82688">
        <w:rPr>
          <w:lang w:val="es-419"/>
        </w:rPr>
        <w:t>adquisiciones</w:t>
      </w:r>
      <w:r w:rsidR="00A82688" w:rsidRPr="00756410">
        <w:rPr>
          <w:lang w:val="es-419"/>
        </w:rPr>
        <w:t xml:space="preserve"> </w:t>
      </w:r>
      <w:r w:rsidRPr="00756410">
        <w:rPr>
          <w:lang w:val="es-419"/>
        </w:rPr>
        <w:t xml:space="preserve">no se le puede asignar un rol complementario de receptor de gastos). Consulte el </w:t>
      </w:r>
      <w:hyperlink w:anchor="_Annex_3:_Overview" w:history="1">
        <w:r w:rsidR="0059271D" w:rsidRPr="00756410">
          <w:rPr>
            <w:rStyle w:val="Hyperlink"/>
            <w:lang w:val="es-419"/>
          </w:rPr>
          <w:t>Anexo 3</w:t>
        </w:r>
      </w:hyperlink>
      <w:r w:rsidR="0059271D" w:rsidRPr="00756410">
        <w:rPr>
          <w:color w:val="ED7D31" w:themeColor="accent2"/>
          <w:lang w:val="es-419"/>
        </w:rPr>
        <w:t xml:space="preserve"> </w:t>
      </w:r>
      <w:r w:rsidR="0059271D" w:rsidRPr="00756410">
        <w:rPr>
          <w:lang w:val="es-419"/>
        </w:rPr>
        <w:t xml:space="preserve">para obtener más detalles sobre las capacidades del módulo </w:t>
      </w:r>
      <w:r w:rsidR="00CE474E">
        <w:rPr>
          <w:lang w:val="es-419"/>
        </w:rPr>
        <w:t>Quantum</w:t>
      </w:r>
      <w:r w:rsidR="00CE474E" w:rsidRPr="00756410">
        <w:rPr>
          <w:lang w:val="es-419"/>
        </w:rPr>
        <w:t xml:space="preserve"> </w:t>
      </w:r>
      <w:r w:rsidR="0059271D" w:rsidRPr="00756410">
        <w:rPr>
          <w:lang w:val="es-419"/>
        </w:rPr>
        <w:t xml:space="preserve">otorgadas con cada uno de los siete Perfiles de </w:t>
      </w:r>
      <w:r w:rsidR="00CE474E">
        <w:rPr>
          <w:lang w:val="es-419"/>
        </w:rPr>
        <w:t>usuario</w:t>
      </w:r>
      <w:r w:rsidR="00CE474E" w:rsidRPr="00756410">
        <w:rPr>
          <w:lang w:val="es-419"/>
        </w:rPr>
        <w:t xml:space="preserve"> </w:t>
      </w:r>
      <w:r w:rsidR="0059271D" w:rsidRPr="00756410">
        <w:rPr>
          <w:lang w:val="es-419"/>
        </w:rPr>
        <w:t xml:space="preserve">de Finanzas y Adquisiciones y los Roles Complementarios relacionados; y </w:t>
      </w:r>
      <w:hyperlink w:anchor="_Annex_4:_Overview" w:history="1">
        <w:r w:rsidR="0016462F" w:rsidRPr="00756410">
          <w:rPr>
            <w:rStyle w:val="Hyperlink"/>
            <w:lang w:val="es-419"/>
          </w:rPr>
          <w:t xml:space="preserve"> el Anexo 4</w:t>
        </w:r>
      </w:hyperlink>
      <w:r w:rsidR="0016462F" w:rsidRPr="00756410">
        <w:rPr>
          <w:color w:val="ED7D31" w:themeColor="accent2"/>
          <w:lang w:val="es-419"/>
        </w:rPr>
        <w:t xml:space="preserve"> </w:t>
      </w:r>
      <w:r w:rsidR="0016462F" w:rsidRPr="00756410">
        <w:rPr>
          <w:lang w:val="es-419"/>
        </w:rPr>
        <w:t xml:space="preserve">para obtener más información sobre qué Perfiles de </w:t>
      </w:r>
      <w:r w:rsidR="00CE474E">
        <w:rPr>
          <w:lang w:val="es-419"/>
        </w:rPr>
        <w:t>Usuario</w:t>
      </w:r>
      <w:r w:rsidR="00CE474E" w:rsidRPr="00756410">
        <w:rPr>
          <w:lang w:val="es-419"/>
        </w:rPr>
        <w:t xml:space="preserve"> </w:t>
      </w:r>
      <w:r w:rsidR="0016462F" w:rsidRPr="00756410">
        <w:rPr>
          <w:lang w:val="es-419"/>
        </w:rPr>
        <w:t xml:space="preserve">y roles </w:t>
      </w:r>
      <w:r w:rsidR="007D5FE2">
        <w:rPr>
          <w:lang w:val="es-419"/>
        </w:rPr>
        <w:t>complementarios</w:t>
      </w:r>
      <w:r w:rsidR="007D5FE2" w:rsidRPr="00756410">
        <w:rPr>
          <w:lang w:val="es-419"/>
        </w:rPr>
        <w:t xml:space="preserve"> </w:t>
      </w:r>
      <w:r w:rsidR="0016462F" w:rsidRPr="00756410">
        <w:rPr>
          <w:lang w:val="es-419"/>
        </w:rPr>
        <w:t>se pueden asignar dentro de cada oficina</w:t>
      </w:r>
      <w:r w:rsidR="00CE474E">
        <w:rPr>
          <w:lang w:val="es-419"/>
        </w:rPr>
        <w:t xml:space="preserve"> o </w:t>
      </w:r>
      <w:r w:rsidR="0016462F" w:rsidRPr="00756410">
        <w:rPr>
          <w:lang w:val="es-419"/>
        </w:rPr>
        <w:t>unidad.</w:t>
      </w:r>
    </w:p>
    <w:p w14:paraId="3FD77D75" w14:textId="68571EEF" w:rsidR="006E6EB2" w:rsidRPr="00756410" w:rsidRDefault="006E6EB2" w:rsidP="006E6EB2">
      <w:pPr>
        <w:rPr>
          <w:b/>
          <w:lang w:val="es-419"/>
        </w:rPr>
      </w:pPr>
      <w:r w:rsidRPr="00756410">
        <w:rPr>
          <w:b/>
          <w:bCs/>
          <w:lang w:val="es-419"/>
        </w:rPr>
        <w:t>¿Quién puede aprobar las excepciones de la ICF?</w:t>
      </w:r>
    </w:p>
    <w:p w14:paraId="52500358" w14:textId="1269D47F" w:rsidR="00E91982" w:rsidRPr="00756410" w:rsidRDefault="00E91982" w:rsidP="00E91982">
      <w:pPr>
        <w:pStyle w:val="NormalWeb"/>
        <w:rPr>
          <w:rFonts w:asciiTheme="minorHAnsi" w:hAnsiTheme="minorHAnsi" w:cstheme="minorBidi"/>
          <w:sz w:val="22"/>
          <w:szCs w:val="22"/>
          <w:lang w:val="es-419"/>
        </w:rPr>
      </w:pPr>
      <w:bookmarkStart w:id="34" w:name="_Hlk188370354"/>
      <w:r w:rsidRPr="00756410">
        <w:rPr>
          <w:rFonts w:asciiTheme="minorHAnsi" w:hAnsiTheme="minorHAnsi" w:cstheme="minorBidi"/>
          <w:sz w:val="22"/>
          <w:szCs w:val="22"/>
          <w:lang w:val="es-419"/>
        </w:rPr>
        <w:t>La Regla 120.04 de la Reglamentación Financiera Detallada del PNUD exige que: a) el Contralor</w:t>
      </w:r>
      <w:r w:rsidRPr="4ADA6C0E">
        <w:rPr>
          <w:rStyle w:val="FootnoteReference"/>
          <w:rFonts w:asciiTheme="minorHAnsi" w:hAnsiTheme="minorHAnsi" w:cstheme="minorBidi"/>
          <w:sz w:val="22"/>
          <w:szCs w:val="22"/>
        </w:rPr>
        <w:footnoteReference w:id="15"/>
      </w:r>
      <w:r w:rsidRPr="00756410">
        <w:rPr>
          <w:rFonts w:asciiTheme="minorHAnsi" w:hAnsiTheme="minorHAnsi" w:cstheme="minorBidi"/>
          <w:sz w:val="22"/>
          <w:szCs w:val="22"/>
          <w:lang w:val="es-419"/>
        </w:rPr>
        <w:t xml:space="preserve"> apruebe todas las solicitudes de excepciones a la separación de funciones; b) se requieren al menos dos signatarios para autorizar el </w:t>
      </w:r>
      <w:r w:rsidR="000574E1">
        <w:rPr>
          <w:rFonts w:asciiTheme="minorHAnsi" w:hAnsiTheme="minorHAnsi" w:cstheme="minorBidi"/>
          <w:sz w:val="22"/>
          <w:szCs w:val="22"/>
          <w:lang w:val="es-419"/>
        </w:rPr>
        <w:t>uso de</w:t>
      </w:r>
      <w:r w:rsidRPr="00756410">
        <w:rPr>
          <w:rFonts w:asciiTheme="minorHAnsi" w:hAnsiTheme="minorHAnsi" w:cstheme="minorBidi"/>
          <w:sz w:val="22"/>
          <w:szCs w:val="22"/>
          <w:lang w:val="es-419"/>
        </w:rPr>
        <w:t xml:space="preserve"> fondos; c) la excepción se concederá por un máximo de 30 días </w:t>
      </w:r>
      <w:r w:rsidR="000574E1">
        <w:rPr>
          <w:rFonts w:asciiTheme="minorHAnsi" w:hAnsiTheme="minorHAnsi" w:cstheme="minorBidi"/>
          <w:sz w:val="22"/>
          <w:szCs w:val="22"/>
          <w:lang w:val="es-419"/>
        </w:rPr>
        <w:t>calendario</w:t>
      </w:r>
      <w:r w:rsidRPr="00756410">
        <w:rPr>
          <w:rFonts w:asciiTheme="minorHAnsi" w:hAnsiTheme="minorHAnsi" w:cstheme="minorBidi"/>
          <w:sz w:val="22"/>
          <w:szCs w:val="22"/>
          <w:lang w:val="es-419"/>
        </w:rPr>
        <w:t xml:space="preserve">; y d) la excepción se concederá sobre la base de los controles compensatorios propuestos por la oficina en el país o las oficinas regionales o centrales, incluido el examen </w:t>
      </w:r>
      <w:r w:rsidR="00E3236A">
        <w:rPr>
          <w:rFonts w:asciiTheme="minorHAnsi" w:hAnsiTheme="minorHAnsi" w:cstheme="minorBidi"/>
          <w:sz w:val="22"/>
          <w:szCs w:val="22"/>
          <w:lang w:val="es-419"/>
        </w:rPr>
        <w:t>posterior</w:t>
      </w:r>
      <w:r w:rsidRPr="00756410">
        <w:rPr>
          <w:rFonts w:asciiTheme="minorHAnsi" w:hAnsiTheme="minorHAnsi" w:cstheme="minorBidi"/>
          <w:sz w:val="22"/>
          <w:szCs w:val="22"/>
          <w:lang w:val="es-419"/>
        </w:rPr>
        <w:t xml:space="preserve"> por otra dependencia de todas las transacciones realizadas durante el período de exención </w:t>
      </w:r>
      <w:r w:rsidR="00E3236A">
        <w:rPr>
          <w:rFonts w:asciiTheme="minorHAnsi" w:hAnsiTheme="minorHAnsi" w:cstheme="minorBidi"/>
          <w:sz w:val="22"/>
          <w:szCs w:val="22"/>
          <w:lang w:val="es-419"/>
        </w:rPr>
        <w:t>en</w:t>
      </w:r>
      <w:r w:rsidR="00E3236A" w:rsidRPr="00756410">
        <w:rPr>
          <w:rFonts w:asciiTheme="minorHAnsi" w:hAnsiTheme="minorHAnsi" w:cstheme="minorBidi"/>
          <w:sz w:val="22"/>
          <w:szCs w:val="22"/>
          <w:lang w:val="es-419"/>
        </w:rPr>
        <w:t xml:space="preserve"> </w:t>
      </w:r>
      <w:r w:rsidRPr="00756410">
        <w:rPr>
          <w:rFonts w:asciiTheme="minorHAnsi" w:hAnsiTheme="minorHAnsi" w:cstheme="minorBidi"/>
          <w:sz w:val="22"/>
          <w:szCs w:val="22"/>
          <w:lang w:val="es-419"/>
        </w:rPr>
        <w:t>la separación de funciones. Además, las oficinas también pueden considerar la implementación de otras mejores prácticas para aumentar los controles de separación de funciones, como la política de vacaciones obligatorias, la rotación periódica de funciones y las revisiones analíticas.</w:t>
      </w:r>
    </w:p>
    <w:p w14:paraId="3C137106" w14:textId="7F9C2F20" w:rsidR="00E91982" w:rsidRPr="00756410" w:rsidRDefault="00E91982" w:rsidP="363CA695">
      <w:pPr>
        <w:pStyle w:val="NormalWeb"/>
        <w:rPr>
          <w:rFonts w:asciiTheme="minorHAnsi" w:hAnsiTheme="minorHAnsi" w:cstheme="minorBidi"/>
          <w:sz w:val="22"/>
          <w:szCs w:val="22"/>
          <w:lang w:val="es-419"/>
        </w:rPr>
      </w:pPr>
      <w:r w:rsidRPr="00756410">
        <w:rPr>
          <w:rFonts w:asciiTheme="minorHAnsi" w:hAnsiTheme="minorHAnsi" w:cstheme="minorBidi"/>
          <w:b/>
          <w:bCs/>
          <w:sz w:val="22"/>
          <w:szCs w:val="22"/>
          <w:lang w:val="es-419"/>
        </w:rPr>
        <w:t>Las unidades de negocio</w:t>
      </w:r>
      <w:r w:rsidR="00744D3E">
        <w:rPr>
          <w:rFonts w:asciiTheme="minorHAnsi" w:hAnsiTheme="minorHAnsi" w:cstheme="minorBidi"/>
          <w:b/>
          <w:bCs/>
          <w:sz w:val="22"/>
          <w:szCs w:val="22"/>
          <w:lang w:val="es-419"/>
        </w:rPr>
        <w:t xml:space="preserve"> (BU</w:t>
      </w:r>
      <w:r w:rsidR="00B7482C">
        <w:rPr>
          <w:rFonts w:asciiTheme="minorHAnsi" w:hAnsiTheme="minorHAnsi" w:cstheme="minorBidi"/>
          <w:b/>
          <w:bCs/>
          <w:sz w:val="22"/>
          <w:szCs w:val="22"/>
          <w:lang w:val="es-419"/>
        </w:rPr>
        <w:t xml:space="preserve">, </w:t>
      </w:r>
      <w:r w:rsidR="00AE51B4">
        <w:rPr>
          <w:rFonts w:asciiTheme="minorHAnsi" w:hAnsiTheme="minorHAnsi" w:cstheme="minorBidi"/>
          <w:b/>
          <w:bCs/>
          <w:sz w:val="22"/>
          <w:szCs w:val="22"/>
          <w:lang w:val="es-419"/>
        </w:rPr>
        <w:t xml:space="preserve">por sus siglas en </w:t>
      </w:r>
      <w:r w:rsidR="00B7482C">
        <w:rPr>
          <w:rFonts w:asciiTheme="minorHAnsi" w:hAnsiTheme="minorHAnsi" w:cstheme="minorBidi"/>
          <w:b/>
          <w:bCs/>
          <w:sz w:val="22"/>
          <w:szCs w:val="22"/>
          <w:lang w:val="es-419"/>
        </w:rPr>
        <w:t>inglés</w:t>
      </w:r>
      <w:r w:rsidR="00744D3E">
        <w:rPr>
          <w:rFonts w:asciiTheme="minorHAnsi" w:hAnsiTheme="minorHAnsi" w:cstheme="minorBidi"/>
          <w:b/>
          <w:bCs/>
          <w:sz w:val="22"/>
          <w:szCs w:val="22"/>
          <w:lang w:val="es-419"/>
        </w:rPr>
        <w:t>)</w:t>
      </w:r>
      <w:r w:rsidRPr="00756410">
        <w:rPr>
          <w:rFonts w:asciiTheme="minorHAnsi" w:hAnsiTheme="minorHAnsi" w:cstheme="minorBidi"/>
          <w:b/>
          <w:bCs/>
          <w:sz w:val="22"/>
          <w:szCs w:val="22"/>
          <w:lang w:val="es-419"/>
        </w:rPr>
        <w:t xml:space="preserve"> pueden solicitar la aprobación excepcional del </w:t>
      </w:r>
      <w:r w:rsidR="00227BA7">
        <w:rPr>
          <w:rFonts w:asciiTheme="minorHAnsi" w:hAnsiTheme="minorHAnsi" w:cstheme="minorBidi"/>
          <w:b/>
          <w:bCs/>
          <w:sz w:val="22"/>
          <w:szCs w:val="22"/>
          <w:lang w:val="es-419"/>
        </w:rPr>
        <w:t>Contralor</w:t>
      </w:r>
      <w:r w:rsidR="00376AF6">
        <w:rPr>
          <w:rFonts w:asciiTheme="minorHAnsi" w:hAnsiTheme="minorHAnsi" w:cstheme="minorBidi"/>
          <w:b/>
          <w:bCs/>
          <w:sz w:val="22"/>
          <w:szCs w:val="22"/>
          <w:lang w:val="es-419"/>
        </w:rPr>
        <w:t xml:space="preserve"> (</w:t>
      </w:r>
      <w:r w:rsidRPr="00756410">
        <w:rPr>
          <w:rFonts w:asciiTheme="minorHAnsi" w:hAnsiTheme="minorHAnsi" w:cstheme="minorBidi"/>
          <w:b/>
          <w:bCs/>
          <w:sz w:val="22"/>
          <w:szCs w:val="22"/>
          <w:lang w:val="es-419"/>
        </w:rPr>
        <w:t>CFO</w:t>
      </w:r>
      <w:r w:rsidR="00376AF6">
        <w:rPr>
          <w:rFonts w:asciiTheme="minorHAnsi" w:hAnsiTheme="minorHAnsi" w:cstheme="minorBidi"/>
          <w:b/>
          <w:bCs/>
          <w:sz w:val="22"/>
          <w:szCs w:val="22"/>
          <w:lang w:val="es-419"/>
        </w:rPr>
        <w:t>)</w:t>
      </w:r>
      <w:r w:rsidRPr="00756410">
        <w:rPr>
          <w:rFonts w:asciiTheme="minorHAnsi" w:hAnsiTheme="minorHAnsi" w:cstheme="minorBidi"/>
          <w:b/>
          <w:bCs/>
          <w:sz w:val="22"/>
          <w:szCs w:val="22"/>
          <w:lang w:val="es-419"/>
        </w:rPr>
        <w:t xml:space="preserve"> para las exenciones de ICF con plazos determinados en relación con la segregación de </w:t>
      </w:r>
      <w:r w:rsidRPr="00756410">
        <w:rPr>
          <w:rFonts w:asciiTheme="minorHAnsi" w:hAnsiTheme="minorHAnsi" w:cstheme="minorBidi"/>
          <w:b/>
          <w:bCs/>
          <w:sz w:val="22"/>
          <w:szCs w:val="22"/>
          <w:lang w:val="es-419"/>
        </w:rPr>
        <w:lastRenderedPageBreak/>
        <w:t xml:space="preserve">funciones o la asignación de funciones que debe cumplir el personal (como se </w:t>
      </w:r>
      <w:r w:rsidR="00EA797C">
        <w:rPr>
          <w:rFonts w:asciiTheme="minorHAnsi" w:hAnsiTheme="minorHAnsi" w:cstheme="minorBidi"/>
          <w:b/>
          <w:bCs/>
          <w:sz w:val="22"/>
          <w:szCs w:val="22"/>
          <w:lang w:val="es-419"/>
        </w:rPr>
        <w:t>detalla</w:t>
      </w:r>
      <w:r w:rsidR="00EA797C" w:rsidRPr="00756410">
        <w:rPr>
          <w:rFonts w:asciiTheme="minorHAnsi" w:hAnsiTheme="minorHAnsi" w:cstheme="minorBidi"/>
          <w:b/>
          <w:bCs/>
          <w:sz w:val="22"/>
          <w:szCs w:val="22"/>
          <w:lang w:val="es-419"/>
        </w:rPr>
        <w:t xml:space="preserve"> </w:t>
      </w:r>
      <w:r w:rsidRPr="00756410">
        <w:rPr>
          <w:rFonts w:asciiTheme="minorHAnsi" w:hAnsiTheme="minorHAnsi" w:cstheme="minorBidi"/>
          <w:b/>
          <w:bCs/>
          <w:sz w:val="22"/>
          <w:szCs w:val="22"/>
          <w:lang w:val="es-419"/>
        </w:rPr>
        <w:t>en la Sección 2.3 de esta Guía).</w:t>
      </w:r>
      <w:r w:rsidRPr="00756410">
        <w:rPr>
          <w:rFonts w:asciiTheme="minorHAnsi" w:hAnsiTheme="minorHAnsi" w:cstheme="minorBidi"/>
          <w:sz w:val="22"/>
          <w:szCs w:val="22"/>
          <w:lang w:val="es-419"/>
        </w:rPr>
        <w:t xml:space="preserve"> Esto incluye excepciones para los roles transaccionales de recursos humanos que conllevan un riesgo financiero de control interno, como Administrador de recursos humanos (primera autoridad), Administrador de nómina global (segunda autoridad), Oficial de desembolso - Nómina (tercera autoridad) y </w:t>
      </w:r>
      <w:bookmarkStart w:id="35" w:name="_Hlk209012022"/>
      <w:r w:rsidR="0098149C" w:rsidRPr="00756410">
        <w:rPr>
          <w:rFonts w:asciiTheme="minorHAnsi" w:hAnsiTheme="minorHAnsi" w:cstheme="minorBidi"/>
          <w:sz w:val="22"/>
          <w:szCs w:val="22"/>
          <w:lang w:val="es-419"/>
        </w:rPr>
        <w:t>Aprobador de puestos - Jefe de oficina; y Aprobador de puestos - Jefe de oficina Nivel de oficina (consulte la sección 8.5 para obtener más información sobre los diversos roles de administración de puestos)</w:t>
      </w:r>
      <w:bookmarkEnd w:id="35"/>
      <w:r w:rsidRPr="00756410">
        <w:rPr>
          <w:rFonts w:asciiTheme="minorHAnsi" w:hAnsiTheme="minorHAnsi" w:cstheme="minorBidi"/>
          <w:sz w:val="22"/>
          <w:szCs w:val="22"/>
          <w:lang w:val="es-419"/>
        </w:rPr>
        <w:t xml:space="preserve">. Estos roles de recursos humanos se incluyen en el ICF, ya que implican el compromiso, la aprobación o el desembolso de fondos relacionados con la nómina y los puestos. Las solicitudes de excepciones en todas las demás funciones de recursos humanos que no conllevan riesgo de transacción financiera pueden ser aprobadas por el Director de BMS/OHR en función de su evaluación del riesgo funcional. Consulte el </w:t>
      </w:r>
      <w:hyperlink w:anchor="_Annex_2:_Overview" w:history="1">
        <w:r w:rsidR="000F49AC" w:rsidRPr="00756410">
          <w:rPr>
            <w:rStyle w:val="Hyperlink"/>
            <w:rFonts w:asciiTheme="minorHAnsi" w:hAnsiTheme="minorHAnsi" w:cstheme="minorBidi"/>
            <w:sz w:val="22"/>
            <w:szCs w:val="22"/>
            <w:lang w:val="es-419"/>
          </w:rPr>
          <w:t>Anexo 2</w:t>
        </w:r>
      </w:hyperlink>
      <w:r w:rsidR="000F49AC" w:rsidRPr="00756410">
        <w:rPr>
          <w:rFonts w:asciiTheme="minorHAnsi" w:hAnsiTheme="minorHAnsi" w:cstheme="minorBidi"/>
          <w:sz w:val="22"/>
          <w:szCs w:val="22"/>
          <w:lang w:val="es-419"/>
        </w:rPr>
        <w:t xml:space="preserve"> para obtener una descripción general de todas las funciones de recursos humanos disponibles para las oficinas</w:t>
      </w:r>
      <w:r w:rsidR="00AF0144">
        <w:rPr>
          <w:rFonts w:asciiTheme="minorHAnsi" w:hAnsiTheme="minorHAnsi" w:cstheme="minorBidi"/>
          <w:sz w:val="22"/>
          <w:szCs w:val="22"/>
          <w:lang w:val="es-419"/>
        </w:rPr>
        <w:t xml:space="preserve"> </w:t>
      </w:r>
      <w:r w:rsidR="004F24C3">
        <w:rPr>
          <w:rFonts w:asciiTheme="minorHAnsi" w:hAnsiTheme="minorHAnsi" w:cstheme="minorBidi"/>
          <w:sz w:val="22"/>
          <w:szCs w:val="22"/>
          <w:lang w:val="es-419"/>
        </w:rPr>
        <w:t xml:space="preserve">o </w:t>
      </w:r>
      <w:r w:rsidR="000F49AC" w:rsidRPr="00756410">
        <w:rPr>
          <w:rFonts w:asciiTheme="minorHAnsi" w:hAnsiTheme="minorHAnsi" w:cstheme="minorBidi"/>
          <w:sz w:val="22"/>
          <w:szCs w:val="22"/>
          <w:lang w:val="es-419"/>
        </w:rPr>
        <w:t>unidades y su propósito.</w:t>
      </w:r>
    </w:p>
    <w:bookmarkEnd w:id="34"/>
    <w:p w14:paraId="057FBA00" w14:textId="79BA8DF0" w:rsidR="006E6EB2" w:rsidRPr="00756410" w:rsidRDefault="006E6EB2" w:rsidP="363CA695">
      <w:pPr>
        <w:rPr>
          <w:b/>
          <w:lang w:val="es-419"/>
        </w:rPr>
      </w:pPr>
      <w:r w:rsidRPr="00756410">
        <w:rPr>
          <w:b/>
          <w:lang w:val="es-419"/>
        </w:rPr>
        <w:t>¿Cómo se deben solicitar las aprobaciones de excepción de ICF?</w:t>
      </w:r>
    </w:p>
    <w:p w14:paraId="12973A0F" w14:textId="437CBD48" w:rsidR="006E6EB2" w:rsidRPr="00756410" w:rsidRDefault="006E6EB2" w:rsidP="00756410">
      <w:pPr>
        <w:spacing w:line="240" w:lineRule="auto"/>
        <w:jc w:val="both"/>
        <w:rPr>
          <w:lang w:val="es-419"/>
        </w:rPr>
      </w:pPr>
      <w:r w:rsidRPr="00756410">
        <w:rPr>
          <w:lang w:val="es-419"/>
        </w:rPr>
        <w:t xml:space="preserve">Las solicitudes de excepciones en Finanzas y los roles transaccionales de recursos humanos mencionados anteriormente (es decir, las tres autoridades de nómina y el </w:t>
      </w:r>
      <w:r w:rsidR="00DD1EBD" w:rsidRPr="00756410">
        <w:rPr>
          <w:rFonts w:cstheme="minorHAnsi"/>
          <w:lang w:val="es-419"/>
        </w:rPr>
        <w:t xml:space="preserve">Aprobador de Posición - Jefe de Oficina; y el Aprobador de Posición - Jefe de </w:t>
      </w:r>
      <w:r w:rsidR="00E33176">
        <w:rPr>
          <w:rFonts w:cstheme="minorHAnsi"/>
          <w:lang w:val="es-419"/>
        </w:rPr>
        <w:t>Buro</w:t>
      </w:r>
      <w:r w:rsidR="63E74BFF" w:rsidRPr="00756410">
        <w:rPr>
          <w:lang w:val="es-419"/>
        </w:rPr>
        <w:t>) deben enviarse a través del Punto Focal</w:t>
      </w:r>
      <w:r w:rsidR="00CA25D6">
        <w:rPr>
          <w:lang w:val="es-419"/>
        </w:rPr>
        <w:t xml:space="preserve"> de ICF de</w:t>
      </w:r>
      <w:r w:rsidR="63E74BFF" w:rsidRPr="00756410">
        <w:rPr>
          <w:lang w:val="es-419"/>
        </w:rPr>
        <w:t xml:space="preserve"> </w:t>
      </w:r>
      <w:r w:rsidR="001000E1">
        <w:rPr>
          <w:lang w:val="es-419"/>
        </w:rPr>
        <w:t xml:space="preserve">los </w:t>
      </w:r>
      <w:r w:rsidR="00CA25D6">
        <w:rPr>
          <w:lang w:val="es-419"/>
        </w:rPr>
        <w:t>Buro</w:t>
      </w:r>
      <w:r w:rsidR="001000E1">
        <w:rPr>
          <w:lang w:val="es-419"/>
        </w:rPr>
        <w:t>s</w:t>
      </w:r>
      <w:r w:rsidR="00CA25D6">
        <w:rPr>
          <w:lang w:val="es-419"/>
        </w:rPr>
        <w:t xml:space="preserve"> Centrales o </w:t>
      </w:r>
      <w:r w:rsidR="001000E1">
        <w:rPr>
          <w:lang w:val="es-419"/>
        </w:rPr>
        <w:t xml:space="preserve">los </w:t>
      </w:r>
      <w:r w:rsidR="00CA25D6">
        <w:rPr>
          <w:lang w:val="es-419"/>
        </w:rPr>
        <w:t>Buro</w:t>
      </w:r>
      <w:r w:rsidR="00E20FC1">
        <w:rPr>
          <w:lang w:val="es-419"/>
        </w:rPr>
        <w:t>s</w:t>
      </w:r>
      <w:r w:rsidR="00CA25D6">
        <w:rPr>
          <w:lang w:val="es-419"/>
        </w:rPr>
        <w:t xml:space="preserve"> Regionales (</w:t>
      </w:r>
      <w:r w:rsidR="63E74BFF" w:rsidRPr="00756410">
        <w:rPr>
          <w:lang w:val="es-419"/>
        </w:rPr>
        <w:t>CBx/RBx</w:t>
      </w:r>
      <w:r w:rsidR="00CA25D6">
        <w:rPr>
          <w:lang w:val="es-419"/>
        </w:rPr>
        <w:t>)</w:t>
      </w:r>
      <w:r w:rsidR="63E74BFF" w:rsidRPr="00756410">
        <w:rPr>
          <w:lang w:val="es-419"/>
        </w:rPr>
        <w:t xml:space="preserve"> a </w:t>
      </w:r>
      <w:r w:rsidR="00207525">
        <w:rPr>
          <w:lang w:val="es-419"/>
        </w:rPr>
        <w:t>los “</w:t>
      </w:r>
      <w:r w:rsidR="63E74BFF" w:rsidRPr="00756410">
        <w:rPr>
          <w:lang w:val="es-419"/>
        </w:rPr>
        <w:t>Finance Business Advisors</w:t>
      </w:r>
      <w:r w:rsidR="00207525">
        <w:rPr>
          <w:lang w:val="es-419"/>
        </w:rPr>
        <w:t>”</w:t>
      </w:r>
      <w:r w:rsidR="63E74BFF" w:rsidRPr="00756410">
        <w:rPr>
          <w:lang w:val="es-419"/>
        </w:rPr>
        <w:t xml:space="preserve"> </w:t>
      </w:r>
      <w:hyperlink r:id="rId41">
        <w:r w:rsidRPr="00756410">
          <w:rPr>
            <w:rStyle w:val="Hyperlink"/>
            <w:lang w:val="es-419"/>
          </w:rPr>
          <w:t>fba.all@undp.org</w:t>
        </w:r>
      </w:hyperlink>
      <w:r w:rsidRPr="00756410">
        <w:rPr>
          <w:lang w:val="es-419"/>
        </w:rPr>
        <w:t>). En cada solicitud se indicará: i) qué excepción se solicita (separación de funciones, asignación de funciones del personal a personas que no son del personal</w:t>
      </w:r>
      <w:r w:rsidR="00CA25D6">
        <w:rPr>
          <w:lang w:val="es-419"/>
        </w:rPr>
        <w:t xml:space="preserve"> de plantilla</w:t>
      </w:r>
      <w:r w:rsidRPr="00756410">
        <w:rPr>
          <w:lang w:val="es-419"/>
        </w:rPr>
        <w:t>, etc.); ii) por qué es necesaria la excepción con plazos determinados; y (iii) qué controles/medidas de revisión compensatoria implementará la oficina</w:t>
      </w:r>
      <w:r w:rsidR="0082597B">
        <w:rPr>
          <w:lang w:val="es-419"/>
        </w:rPr>
        <w:t xml:space="preserve"> o </w:t>
      </w:r>
      <w:r w:rsidRPr="00756410">
        <w:rPr>
          <w:lang w:val="es-419"/>
        </w:rPr>
        <w:t>unidad (o</w:t>
      </w:r>
      <w:r w:rsidR="0082597B">
        <w:rPr>
          <w:lang w:val="es-419"/>
        </w:rPr>
        <w:t xml:space="preserve"> Buro </w:t>
      </w:r>
      <w:r w:rsidRPr="00756410">
        <w:rPr>
          <w:lang w:val="es-419"/>
        </w:rPr>
        <w:t>Bx, según corresponda) durante el período de la excepción; y iv) qué medidas adoptará la oficina o dependencia para eliminar gradualmente la necesidad de la excepción a mediano y largo plazo. La aprobación de la solicitud por parte del CFO (si se concede) debe adjuntarse a la solicitud de acceso a IDAM como documento de respaldo al solicitar el acceso especial en IDAM.</w:t>
      </w:r>
    </w:p>
    <w:p w14:paraId="365BFA4F" w14:textId="6C056D29" w:rsidR="006E6EB2" w:rsidRPr="00756410" w:rsidRDefault="006E6EB2" w:rsidP="00756410">
      <w:pPr>
        <w:spacing w:line="240" w:lineRule="auto"/>
        <w:jc w:val="both"/>
        <w:rPr>
          <w:lang w:val="es-419"/>
        </w:rPr>
      </w:pPr>
      <w:r w:rsidRPr="00756410">
        <w:rPr>
          <w:lang w:val="es-419"/>
        </w:rPr>
        <w:t>Las solicitudes de excepciones relativas a todas las demás funciones de recursos humanos deben enviarse a la Dirección de BMS/OHR, y su aprobación debe adjuntarse a la solicitud de acceso de IDAM como documento de respaldo al solicitar el acceso especial.</w:t>
      </w:r>
    </w:p>
    <w:p w14:paraId="019E8790" w14:textId="23763BFD" w:rsidR="006E6EB2" w:rsidRPr="00756410" w:rsidRDefault="006E6EB2" w:rsidP="363CA695">
      <w:pPr>
        <w:rPr>
          <w:b/>
          <w:lang w:val="es-419"/>
        </w:rPr>
      </w:pPr>
      <w:r w:rsidRPr="00756410">
        <w:rPr>
          <w:b/>
          <w:lang w:val="es-419"/>
        </w:rPr>
        <w:t>¿Cuáles son las flexibilidades para oficinas</w:t>
      </w:r>
      <w:r w:rsidR="00976815">
        <w:rPr>
          <w:b/>
          <w:lang w:val="es-419"/>
        </w:rPr>
        <w:t xml:space="preserve"> o </w:t>
      </w:r>
      <w:r w:rsidRPr="00756410">
        <w:rPr>
          <w:b/>
          <w:lang w:val="es-419"/>
        </w:rPr>
        <w:t>unidades más pequeñas?</w:t>
      </w:r>
    </w:p>
    <w:p w14:paraId="72E56376" w14:textId="17B5546F" w:rsidR="00B84C07" w:rsidRPr="00756410" w:rsidRDefault="2D2CD389" w:rsidP="00756410">
      <w:pPr>
        <w:jc w:val="both"/>
        <w:rPr>
          <w:lang w:val="es-419"/>
        </w:rPr>
      </w:pPr>
      <w:r w:rsidRPr="00756410">
        <w:rPr>
          <w:lang w:val="es-419"/>
        </w:rPr>
        <w:t>Segregación de autoridades en oficinas/unidades pequeñas o aquellas que experimentan ausencias prolongadas de personal que desempeña funciones clave de control interno (como la</w:t>
      </w:r>
      <w:r w:rsidR="1A22721C" w:rsidRPr="00756410">
        <w:rPr>
          <w:lang w:val="es-419"/>
        </w:rPr>
        <w:t>s autoridades de</w:t>
      </w:r>
      <w:r w:rsidRPr="00756410">
        <w:rPr>
          <w:lang w:val="es-419"/>
        </w:rPr>
        <w:t xml:space="preserve"> aprobación): En ciertas circunstancias, particularmente en oficinas</w:t>
      </w:r>
      <w:r w:rsidR="5E300FD3" w:rsidRPr="00756410">
        <w:rPr>
          <w:lang w:val="es-419"/>
        </w:rPr>
        <w:t xml:space="preserve"> o </w:t>
      </w:r>
      <w:r w:rsidRPr="00756410">
        <w:rPr>
          <w:lang w:val="es-419"/>
        </w:rPr>
        <w:t xml:space="preserve">unidades pequeñas (que pueden incluir oficinas </w:t>
      </w:r>
      <w:r w:rsidR="5E300FD3" w:rsidRPr="00756410">
        <w:rPr>
          <w:lang w:val="es-419"/>
        </w:rPr>
        <w:t>de</w:t>
      </w:r>
      <w:r w:rsidRPr="00756410">
        <w:rPr>
          <w:lang w:val="es-419"/>
        </w:rPr>
        <w:t xml:space="preserve"> país, oficinas de proyectos u oficinas de representación) o debido a una ausencia prolongada, puede haber un número reducido de personal disponible para desempeñar funciones clave de control interno (como la </w:t>
      </w:r>
      <w:r w:rsidR="5E300FD3" w:rsidRPr="00756410">
        <w:rPr>
          <w:lang w:val="es-419"/>
        </w:rPr>
        <w:t xml:space="preserve">autoridad de </w:t>
      </w:r>
      <w:r w:rsidRPr="00756410">
        <w:rPr>
          <w:lang w:val="es-419"/>
        </w:rPr>
        <w:t>aprobación). Si se dan estas circunstancias, las oficinas</w:t>
      </w:r>
      <w:r w:rsidR="5E300FD3" w:rsidRPr="00756410">
        <w:rPr>
          <w:lang w:val="es-419"/>
        </w:rPr>
        <w:t xml:space="preserve"> o </w:t>
      </w:r>
      <w:r w:rsidRPr="00756410">
        <w:rPr>
          <w:lang w:val="es-419"/>
        </w:rPr>
        <w:t xml:space="preserve">unidades deben solicitar la asistencia de un centro regional (RH) o de una oficina regional o una oficina central de apoyo para realizar las funciones de aprobación necesarias (segunda y tercera autoridad).  </w:t>
      </w:r>
    </w:p>
    <w:p w14:paraId="4E9B1E06" w14:textId="091469C9" w:rsidR="006E6EB2" w:rsidRPr="00756410" w:rsidRDefault="006E6EB2" w:rsidP="00756410">
      <w:pPr>
        <w:jc w:val="both"/>
        <w:rPr>
          <w:lang w:val="es-419"/>
        </w:rPr>
      </w:pPr>
      <w:r w:rsidRPr="00756410">
        <w:rPr>
          <w:lang w:val="es-419"/>
        </w:rPr>
        <w:t xml:space="preserve">IDAM puede </w:t>
      </w:r>
      <w:r w:rsidR="005479F0">
        <w:rPr>
          <w:lang w:val="es-419"/>
        </w:rPr>
        <w:t>ajustar</w:t>
      </w:r>
      <w:r w:rsidR="005479F0" w:rsidRPr="00756410">
        <w:rPr>
          <w:lang w:val="es-419"/>
        </w:rPr>
        <w:t xml:space="preserve"> </w:t>
      </w:r>
      <w:r w:rsidRPr="00756410">
        <w:rPr>
          <w:lang w:val="es-419"/>
        </w:rPr>
        <w:t xml:space="preserve">el mismo perfil de </w:t>
      </w:r>
      <w:r w:rsidR="00665411">
        <w:rPr>
          <w:lang w:val="es-419"/>
        </w:rPr>
        <w:t>usuario</w:t>
      </w:r>
      <w:r w:rsidR="00665411" w:rsidRPr="00756410">
        <w:rPr>
          <w:lang w:val="es-419"/>
        </w:rPr>
        <w:t xml:space="preserve"> </w:t>
      </w:r>
      <w:r w:rsidRPr="00756410">
        <w:rPr>
          <w:lang w:val="es-419"/>
        </w:rPr>
        <w:t xml:space="preserve">en una unidad de negocio </w:t>
      </w:r>
      <w:r w:rsidR="00665411">
        <w:rPr>
          <w:lang w:val="es-419"/>
        </w:rPr>
        <w:t>y</w:t>
      </w:r>
      <w:r w:rsidRPr="00756410">
        <w:rPr>
          <w:lang w:val="es-419"/>
        </w:rPr>
        <w:t xml:space="preserve"> </w:t>
      </w:r>
      <w:r w:rsidR="00665411">
        <w:rPr>
          <w:lang w:val="es-419"/>
        </w:rPr>
        <w:t>extenderlo</w:t>
      </w:r>
      <w:r w:rsidR="00665411" w:rsidRPr="00756410">
        <w:rPr>
          <w:lang w:val="es-419"/>
        </w:rPr>
        <w:t xml:space="preserve"> </w:t>
      </w:r>
      <w:r w:rsidRPr="00756410">
        <w:rPr>
          <w:lang w:val="es-419"/>
        </w:rPr>
        <w:t xml:space="preserve">a una unidad de negocio diferente. Por ejemplo, si un usuario es Gerente Nivel 1 en el centro regional, entonces el punto focal IDAM de la oficina en el país puede presentar una solicitud IDAM para extender el acceso de usuario Gerente Nivel 1 a la oficina </w:t>
      </w:r>
      <w:r w:rsidR="00024FA6">
        <w:rPr>
          <w:lang w:val="es-419"/>
        </w:rPr>
        <w:t>de</w:t>
      </w:r>
      <w:r w:rsidRPr="00756410">
        <w:rPr>
          <w:lang w:val="es-419"/>
        </w:rPr>
        <w:t xml:space="preserve"> país para permitir que las oficinas regionales realicen la función de aprobación para la oficina </w:t>
      </w:r>
      <w:r w:rsidR="00024FA6">
        <w:rPr>
          <w:lang w:val="es-419"/>
        </w:rPr>
        <w:t>de</w:t>
      </w:r>
      <w:r w:rsidRPr="00756410">
        <w:rPr>
          <w:lang w:val="es-419"/>
        </w:rPr>
        <w:t xml:space="preserve"> país.</w:t>
      </w:r>
      <w:r w:rsidR="00024FA6" w:rsidRPr="00756410">
        <w:rPr>
          <w:lang w:val="es-ES"/>
        </w:rPr>
        <w:t xml:space="preserve"> </w:t>
      </w:r>
      <w:r w:rsidRPr="00756410">
        <w:rPr>
          <w:lang w:val="es-419"/>
        </w:rPr>
        <w:t xml:space="preserve">Todos los derechos de acceso y aprobación de datos serán procesados automáticamente por IDAM. Si es necesario, los documentos justificativos pueden enviarse (y posteriormente firmarse) electrónicamente a las </w:t>
      </w:r>
      <w:r w:rsidR="0055608D">
        <w:rPr>
          <w:lang w:val="es-419"/>
        </w:rPr>
        <w:t>oficinas de país</w:t>
      </w:r>
      <w:r w:rsidRPr="00756410">
        <w:rPr>
          <w:lang w:val="es-419"/>
        </w:rPr>
        <w:t xml:space="preserve"> y de la sede central que realizan las funciones de autorización. En tales casos, la estrategia propuesta para abordar el ICF para la oficina o dependencia respectiva debería examinarse con </w:t>
      </w:r>
      <w:r w:rsidR="00312EBE">
        <w:rPr>
          <w:lang w:val="es-419"/>
        </w:rPr>
        <w:t>el Buro</w:t>
      </w:r>
      <w:r w:rsidRPr="00756410">
        <w:rPr>
          <w:lang w:val="es-419"/>
        </w:rPr>
        <w:t xml:space="preserve">, en </w:t>
      </w:r>
      <w:r w:rsidRPr="00756410">
        <w:rPr>
          <w:lang w:val="es-419"/>
        </w:rPr>
        <w:lastRenderedPageBreak/>
        <w:t>estrecha consulta con BMS/OFRM. Los derechos IDAM extendidos de una unidad de negocio a otra unidad de negocio deben reflejarse en la documentación de las delegaciones de autoridad locales del ICF.</w:t>
      </w:r>
    </w:p>
    <w:p w14:paraId="18429AAA" w14:textId="5CEA25E1" w:rsidR="009F4F88" w:rsidRPr="00756410" w:rsidRDefault="009F4F88">
      <w:pPr>
        <w:pStyle w:val="Heading1"/>
        <w:numPr>
          <w:ilvl w:val="0"/>
          <w:numId w:val="93"/>
        </w:numPr>
        <w:spacing w:after="240"/>
        <w:rPr>
          <w:lang w:val="es-ES"/>
        </w:rPr>
      </w:pPr>
      <w:bookmarkStart w:id="36" w:name="_Toc210052755"/>
      <w:r w:rsidRPr="00756410">
        <w:rPr>
          <w:lang w:val="es-ES"/>
        </w:rPr>
        <w:t xml:space="preserve">Gestión de </w:t>
      </w:r>
      <w:r w:rsidR="00C104E7" w:rsidRPr="00756410">
        <w:rPr>
          <w:lang w:val="es-ES"/>
        </w:rPr>
        <w:t>P</w:t>
      </w:r>
      <w:r w:rsidRPr="00756410">
        <w:rPr>
          <w:lang w:val="es-ES"/>
        </w:rPr>
        <w:t xml:space="preserve">rogramas y </w:t>
      </w:r>
      <w:r w:rsidR="00C104E7" w:rsidRPr="00756410">
        <w:rPr>
          <w:lang w:val="es-ES"/>
        </w:rPr>
        <w:t>P</w:t>
      </w:r>
      <w:r w:rsidRPr="00756410">
        <w:rPr>
          <w:lang w:val="es-ES"/>
        </w:rPr>
        <w:t>royectos</w:t>
      </w:r>
      <w:bookmarkEnd w:id="36"/>
    </w:p>
    <w:p w14:paraId="61DA6312" w14:textId="79847116" w:rsidR="00ED3CA1" w:rsidRPr="00756410" w:rsidRDefault="00597C21" w:rsidP="00756410">
      <w:pPr>
        <w:spacing w:line="240" w:lineRule="auto"/>
        <w:jc w:val="both"/>
        <w:rPr>
          <w:lang w:val="es-419"/>
        </w:rPr>
      </w:pPr>
      <w:r w:rsidRPr="00756410">
        <w:rPr>
          <w:lang w:val="es-419"/>
        </w:rPr>
        <w:t xml:space="preserve">La </w:t>
      </w:r>
      <w:r w:rsidR="00EA5106">
        <w:rPr>
          <w:lang w:val="es-419"/>
        </w:rPr>
        <w:t xml:space="preserve">política de </w:t>
      </w:r>
      <w:hyperlink r:id="rId42">
        <w:r w:rsidR="00EA5106">
          <w:rPr>
            <w:rStyle w:val="Hyperlink"/>
            <w:lang w:val="es-419"/>
          </w:rPr>
          <w:t>”</w:t>
        </w:r>
        <w:r w:rsidR="00EA5106" w:rsidRPr="00756410">
          <w:rPr>
            <w:rStyle w:val="Hyperlink"/>
            <w:i/>
            <w:iCs/>
            <w:lang w:val="es-419"/>
          </w:rPr>
          <w:t>G</w:t>
        </w:r>
        <w:r w:rsidRPr="00756410">
          <w:rPr>
            <w:rStyle w:val="Hyperlink"/>
            <w:i/>
            <w:iCs/>
            <w:lang w:val="es-419"/>
          </w:rPr>
          <w:t>estión de programas y proyectos</w:t>
        </w:r>
        <w:r w:rsidR="00EA5106">
          <w:rPr>
            <w:rStyle w:val="Hyperlink"/>
            <w:lang w:val="es-419"/>
          </w:rPr>
          <w:t>”</w:t>
        </w:r>
        <w:r w:rsidRPr="00756410">
          <w:rPr>
            <w:rStyle w:val="Hyperlink"/>
            <w:lang w:val="es-419"/>
          </w:rPr>
          <w:t xml:space="preserve"> de</w:t>
        </w:r>
        <w:r w:rsidR="00EA5106">
          <w:rPr>
            <w:rStyle w:val="Hyperlink"/>
            <w:lang w:val="es-419"/>
          </w:rPr>
          <w:t>l</w:t>
        </w:r>
        <w:r w:rsidRPr="00756410">
          <w:rPr>
            <w:rStyle w:val="Hyperlink"/>
            <w:lang w:val="es-419"/>
          </w:rPr>
          <w:t xml:space="preserve"> POPP </w:t>
        </w:r>
      </w:hyperlink>
      <w:r w:rsidR="006E290D">
        <w:rPr>
          <w:lang w:val="es-419"/>
        </w:rPr>
        <w:t>expresa</w:t>
      </w:r>
      <w:r w:rsidR="006E290D" w:rsidRPr="00756410">
        <w:rPr>
          <w:lang w:val="es-419"/>
        </w:rPr>
        <w:t xml:space="preserve"> </w:t>
      </w:r>
      <w:r w:rsidRPr="00756410">
        <w:rPr>
          <w:lang w:val="es-419"/>
        </w:rPr>
        <w:t xml:space="preserve">de manera integral las funciones y responsabilidades de los </w:t>
      </w:r>
      <w:r w:rsidR="006E290D">
        <w:rPr>
          <w:lang w:val="es-419"/>
        </w:rPr>
        <w:t>gerentes</w:t>
      </w:r>
      <w:r w:rsidR="006E290D" w:rsidRPr="00756410">
        <w:rPr>
          <w:lang w:val="es-419"/>
        </w:rPr>
        <w:t xml:space="preserve"> </w:t>
      </w:r>
      <w:r w:rsidRPr="00756410">
        <w:rPr>
          <w:lang w:val="es-419"/>
        </w:rPr>
        <w:t xml:space="preserve">de proyectos, los oficiales de programas y los administradores de fondos fiduciarios. La </w:t>
      </w:r>
      <w:hyperlink r:id="rId43">
        <w:r w:rsidR="001549DE" w:rsidRPr="00756410">
          <w:rPr>
            <w:rStyle w:val="Hyperlink"/>
            <w:color w:val="4472C4" w:themeColor="accent1"/>
            <w:lang w:val="es-419"/>
          </w:rPr>
          <w:t>Guía visual de programación: Ciclo de programas</w:t>
        </w:r>
      </w:hyperlink>
      <w:r w:rsidR="001549DE" w:rsidRPr="00756410">
        <w:rPr>
          <w:color w:val="4472C4" w:themeColor="accent1"/>
          <w:lang w:val="es-419"/>
        </w:rPr>
        <w:t xml:space="preserve">  </w:t>
      </w:r>
      <w:r w:rsidR="001549DE" w:rsidRPr="00756410">
        <w:rPr>
          <w:lang w:val="es-419"/>
        </w:rPr>
        <w:t xml:space="preserve">y la </w:t>
      </w:r>
      <w:hyperlink r:id="rId44">
        <w:r w:rsidR="001549DE" w:rsidRPr="00756410">
          <w:rPr>
            <w:rStyle w:val="Hyperlink"/>
            <w:color w:val="4472C4" w:themeColor="accent1"/>
            <w:lang w:val="es-419"/>
          </w:rPr>
          <w:t>Guía visual de programación: Proyecto de desarrollo de normas</w:t>
        </w:r>
      </w:hyperlink>
      <w:r w:rsidR="001549DE" w:rsidRPr="00756410">
        <w:rPr>
          <w:lang w:val="es-419"/>
        </w:rPr>
        <w:t xml:space="preserve"> proporcionan una visión general de todas las funciones, documentos y orientaciones clave para diseñar, implementar, cerrar y hacer la transición de un programa y un proyecto de desarrollo. Las guías visuales se pueden utilizar como listas de verificación y hojas de ruta para ayudar a administrar las tareas de manera eficiente y segura. Además, se puede encontrar una variedad de artículos de conocimiento </w:t>
      </w:r>
      <w:r w:rsidR="00795AEF">
        <w:rPr>
          <w:lang w:val="es-419"/>
        </w:rPr>
        <w:t xml:space="preserve">sobre Quantum </w:t>
      </w:r>
      <w:r w:rsidR="001549DE" w:rsidRPr="00756410">
        <w:rPr>
          <w:lang w:val="es-419"/>
        </w:rPr>
        <w:t xml:space="preserve">en UNall en </w:t>
      </w:r>
      <w:hyperlink r:id="rId45">
        <w:r w:rsidR="001549DE" w:rsidRPr="00756410">
          <w:rPr>
            <w:rStyle w:val="Hyperlink"/>
            <w:i/>
            <w:iCs/>
            <w:color w:val="4472C4" w:themeColor="accent1"/>
            <w:lang w:val="es-419"/>
          </w:rPr>
          <w:t>Project &amp; Portfolio Management</w:t>
        </w:r>
      </w:hyperlink>
      <w:r w:rsidR="001549DE" w:rsidRPr="00756410">
        <w:rPr>
          <w:i/>
          <w:iCs/>
          <w:lang w:val="es-419"/>
        </w:rPr>
        <w:t>.</w:t>
      </w:r>
      <w:r w:rsidR="001549DE" w:rsidRPr="00756410">
        <w:rPr>
          <w:lang w:val="es-419"/>
        </w:rPr>
        <w:t xml:space="preserve"> A </w:t>
      </w:r>
      <w:r w:rsidR="00795AEF" w:rsidRPr="00795AEF">
        <w:rPr>
          <w:lang w:val="es-419"/>
        </w:rPr>
        <w:t>continuación,</w:t>
      </w:r>
      <w:r w:rsidR="001549DE" w:rsidRPr="00756410">
        <w:rPr>
          <w:lang w:val="es-419"/>
        </w:rPr>
        <w:t xml:space="preserve"> se presenta una descripción general de las principales responsabilidades de control interno que cumplen los </w:t>
      </w:r>
      <w:r w:rsidR="001B2711">
        <w:rPr>
          <w:lang w:val="es-419"/>
        </w:rPr>
        <w:t>gerente</w:t>
      </w:r>
      <w:r w:rsidR="001B2711" w:rsidRPr="00756410">
        <w:rPr>
          <w:lang w:val="es-419"/>
        </w:rPr>
        <w:t xml:space="preserve"> </w:t>
      </w:r>
      <w:r w:rsidR="001549DE" w:rsidRPr="00756410">
        <w:rPr>
          <w:lang w:val="es-419"/>
        </w:rPr>
        <w:t xml:space="preserve">de proyectos, los oficiales de programas y los administradores de fondos fiduciarios, junto con las responsabilidades de supervisión del Representante Residente </w:t>
      </w:r>
      <w:r w:rsidR="005A00AB">
        <w:rPr>
          <w:lang w:val="es-419"/>
        </w:rPr>
        <w:t>Auxiliar</w:t>
      </w:r>
      <w:r w:rsidR="00F632D7" w:rsidRPr="00756410">
        <w:rPr>
          <w:lang w:val="es-419"/>
        </w:rPr>
        <w:t xml:space="preserve"> </w:t>
      </w:r>
      <w:r w:rsidR="001549DE" w:rsidRPr="00756410">
        <w:rPr>
          <w:lang w:val="es-419"/>
        </w:rPr>
        <w:t>- Programas (</w:t>
      </w:r>
      <w:r w:rsidR="00873025">
        <w:rPr>
          <w:lang w:val="es-419"/>
        </w:rPr>
        <w:t>RR</w:t>
      </w:r>
      <w:r w:rsidR="005A00AB">
        <w:rPr>
          <w:lang w:val="es-419"/>
        </w:rPr>
        <w:t>A</w:t>
      </w:r>
      <w:r w:rsidR="001549DE" w:rsidRPr="00756410">
        <w:rPr>
          <w:lang w:val="es-419"/>
        </w:rPr>
        <w:t>-P).</w:t>
      </w:r>
    </w:p>
    <w:p w14:paraId="06C049CC" w14:textId="68F3469C" w:rsidR="009F4F88" w:rsidRPr="004B2DF3" w:rsidRDefault="009F4F88">
      <w:pPr>
        <w:pStyle w:val="Heading2"/>
        <w:numPr>
          <w:ilvl w:val="1"/>
          <w:numId w:val="93"/>
        </w:numPr>
        <w:spacing w:after="240"/>
      </w:pPr>
      <w:bookmarkStart w:id="37" w:name="_Toc210052756"/>
      <w:r w:rsidRPr="004B2DF3">
        <w:t xml:space="preserve">Gerente de </w:t>
      </w:r>
      <w:r w:rsidR="00C104E7">
        <w:t>P</w:t>
      </w:r>
      <w:r w:rsidRPr="004B2DF3">
        <w:t>royecto</w:t>
      </w:r>
      <w:bookmarkEnd w:id="37"/>
    </w:p>
    <w:p w14:paraId="5D9D6EFE" w14:textId="3801073E" w:rsidR="00EC4C68" w:rsidRPr="00756410" w:rsidRDefault="00597C21" w:rsidP="00756410">
      <w:pPr>
        <w:spacing w:line="240" w:lineRule="auto"/>
        <w:jc w:val="both"/>
        <w:rPr>
          <w:lang w:val="es-419"/>
        </w:rPr>
      </w:pPr>
      <w:r w:rsidRPr="00756410">
        <w:rPr>
          <w:lang w:val="es-419"/>
        </w:rPr>
        <w:t>Los gerentes de proyectos son responsables de la gestión diaria del proyecto y la toma de decisiones. Garantizan que los proyectos produzcan los resultados especificados en los documentos del proyecto, con los estándares de calidad requeridos y dentro de las limitaciones especificadas de tiempo y costo. Dentro de esta Guía, el rol de 'Gerente de Proyecto' se refiere a la persona con la responsabilidad principal de administrar los recursos, en el sentido de que todos los presupuestos, compromisos y desembolsos se asignan a un proyecto en Quantum.</w:t>
      </w:r>
    </w:p>
    <w:p w14:paraId="47C3F8EB" w14:textId="68C69BA2" w:rsidR="002559E9" w:rsidRPr="00756410" w:rsidRDefault="002559E9" w:rsidP="00756410">
      <w:pPr>
        <w:spacing w:line="240" w:lineRule="auto"/>
        <w:jc w:val="both"/>
        <w:rPr>
          <w:lang w:val="es-419"/>
        </w:rPr>
      </w:pPr>
      <w:r w:rsidRPr="00756410">
        <w:rPr>
          <w:b/>
          <w:bCs/>
          <w:lang w:val="es-419"/>
        </w:rPr>
        <w:t>Para los proyectos de gestión</w:t>
      </w:r>
      <w:r w:rsidR="00F632D7">
        <w:rPr>
          <w:b/>
          <w:bCs/>
          <w:lang w:val="es-419"/>
        </w:rPr>
        <w:t xml:space="preserve"> interna</w:t>
      </w:r>
      <w:r w:rsidRPr="00756410">
        <w:rPr>
          <w:b/>
          <w:bCs/>
          <w:lang w:val="es-419"/>
        </w:rPr>
        <w:t>,</w:t>
      </w:r>
      <w:r w:rsidRPr="00756410">
        <w:rPr>
          <w:lang w:val="es-419"/>
        </w:rPr>
        <w:t xml:space="preserve"> el rol de Gerente de Proyecto debe asignarse a los gerentes y esto podría incluir </w:t>
      </w:r>
      <w:r w:rsidR="0031570B">
        <w:rPr>
          <w:lang w:val="es-419"/>
        </w:rPr>
        <w:t>el representante residente (</w:t>
      </w:r>
      <w:r w:rsidRPr="00756410">
        <w:rPr>
          <w:lang w:val="es-419"/>
        </w:rPr>
        <w:t>RR</w:t>
      </w:r>
      <w:r w:rsidR="0031570B">
        <w:rPr>
          <w:lang w:val="es-419"/>
        </w:rPr>
        <w:t>)</w:t>
      </w:r>
      <w:r w:rsidRPr="00756410">
        <w:rPr>
          <w:lang w:val="es-419"/>
        </w:rPr>
        <w:t xml:space="preserve">, Representantes Residentes Adjuntos (RRD), Representantes Residentes Auxiliares (ARR) o Gerentes de Operaciones en </w:t>
      </w:r>
      <w:r w:rsidR="00593183">
        <w:rPr>
          <w:lang w:val="es-419"/>
        </w:rPr>
        <w:t>la oficina de pais (CO)</w:t>
      </w:r>
      <w:r w:rsidRPr="00756410">
        <w:rPr>
          <w:lang w:val="es-419"/>
        </w:rPr>
        <w:t>. En las unidades de la sede, podrían ser jefes de oficina, jefes adjuntos de oficina u oficiales ejecutivos.</w:t>
      </w:r>
    </w:p>
    <w:p w14:paraId="2A776BC7" w14:textId="3CC61DE0" w:rsidR="002559E9" w:rsidRPr="00756410" w:rsidRDefault="002559E9" w:rsidP="00756410">
      <w:pPr>
        <w:spacing w:line="240" w:lineRule="auto"/>
        <w:jc w:val="both"/>
        <w:rPr>
          <w:lang w:val="es-419"/>
        </w:rPr>
      </w:pPr>
      <w:r w:rsidRPr="00756410">
        <w:rPr>
          <w:b/>
          <w:bCs/>
          <w:lang w:val="es-419"/>
        </w:rPr>
        <w:t>Para los proyectos de desarrollo implementados directamente por el PNUD,</w:t>
      </w:r>
      <w:r w:rsidRPr="00756410">
        <w:rPr>
          <w:lang w:val="es-419"/>
        </w:rPr>
        <w:t xml:space="preserve"> los Gerentes de Proyecto podrían ser RR, </w:t>
      </w:r>
      <w:r w:rsidR="00195598">
        <w:rPr>
          <w:lang w:val="es-419"/>
        </w:rPr>
        <w:t>RR</w:t>
      </w:r>
      <w:r w:rsidR="006E4323">
        <w:rPr>
          <w:lang w:val="es-419"/>
        </w:rPr>
        <w:t>D</w:t>
      </w:r>
      <w:r w:rsidR="00195598">
        <w:rPr>
          <w:lang w:val="es-419"/>
        </w:rPr>
        <w:t xml:space="preserve"> de </w:t>
      </w:r>
      <w:r w:rsidRPr="00756410">
        <w:rPr>
          <w:lang w:val="es-419"/>
        </w:rPr>
        <w:t xml:space="preserve">Programa (puestos limitados), </w:t>
      </w:r>
      <w:r w:rsidR="00B044BE">
        <w:rPr>
          <w:lang w:val="es-419"/>
        </w:rPr>
        <w:t>RRA</w:t>
      </w:r>
      <w:r w:rsidR="002C3D51">
        <w:rPr>
          <w:lang w:val="es-419"/>
        </w:rPr>
        <w:t xml:space="preserve"> de </w:t>
      </w:r>
      <w:r w:rsidRPr="00756410">
        <w:rPr>
          <w:lang w:val="es-419"/>
        </w:rPr>
        <w:t>Programa o Gerentes de Proyecto.</w:t>
      </w:r>
    </w:p>
    <w:p w14:paraId="7D606FC6" w14:textId="179E8A85" w:rsidR="00EC4C68" w:rsidRPr="00756410" w:rsidRDefault="002559E9" w:rsidP="00756410">
      <w:pPr>
        <w:spacing w:line="240" w:lineRule="auto"/>
        <w:jc w:val="both"/>
        <w:rPr>
          <w:lang w:val="es-419"/>
        </w:rPr>
      </w:pPr>
      <w:r w:rsidRPr="00756410">
        <w:rPr>
          <w:b/>
          <w:bCs/>
          <w:lang w:val="es-419"/>
        </w:rPr>
        <w:t>Para los proyectos de desarrollo que no son ejecutados directamente por el PNUD,</w:t>
      </w:r>
      <w:r w:rsidRPr="00756410">
        <w:rPr>
          <w:lang w:val="es-419"/>
        </w:rPr>
        <w:t xml:space="preserve"> el asociado en la ejecución (por ejemplo, una institución gubernamental, un organismo de las Naciones Unidas, una organización intergubernamental o una ONG) nombra al </w:t>
      </w:r>
      <w:r w:rsidR="006A13F8">
        <w:rPr>
          <w:lang w:val="es-419"/>
        </w:rPr>
        <w:t>gerente</w:t>
      </w:r>
      <w:r w:rsidR="006A13F8" w:rsidRPr="00756410">
        <w:rPr>
          <w:lang w:val="es-419"/>
        </w:rPr>
        <w:t xml:space="preserve"> </w:t>
      </w:r>
      <w:r w:rsidRPr="00756410">
        <w:rPr>
          <w:lang w:val="es-419"/>
        </w:rPr>
        <w:t xml:space="preserve">de proyecto de acuerdo con los requisitos del </w:t>
      </w:r>
      <w:r w:rsidR="006A13F8">
        <w:rPr>
          <w:lang w:val="es-419"/>
        </w:rPr>
        <w:t>POPP</w:t>
      </w:r>
      <w:r w:rsidR="006A13F8" w:rsidRPr="00756410">
        <w:rPr>
          <w:lang w:val="es-419"/>
        </w:rPr>
        <w:t xml:space="preserve"> </w:t>
      </w:r>
      <w:r w:rsidRPr="00756410">
        <w:rPr>
          <w:lang w:val="es-419"/>
        </w:rPr>
        <w:t xml:space="preserve">(véase la gestión del proyecto). En el caso de estos proyectos, el director nacional del proyecto externo o el asesor técnico principal suele ser la principal responsable de lograr los resultados en materia de desarrollo y del uso adecuado de los recursos del PNUD, según lo acordado en el documento del proyecto. En este escenario, el NPD o CTA externo puede usar el servicio de acceso externo de Quantum para desempeñar el rol de Gerente de Proyecto (consulte la sección 14 para obtener más información) o puede aprobar y enviar transacciones autorizadas al Gerente de Programa del PNUD responsable del proyecto para su </w:t>
      </w:r>
      <w:r w:rsidR="00993AEE">
        <w:rPr>
          <w:lang w:val="es-419"/>
        </w:rPr>
        <w:t xml:space="preserve">registro </w:t>
      </w:r>
      <w:r w:rsidRPr="00756410">
        <w:rPr>
          <w:lang w:val="es-419"/>
        </w:rPr>
        <w:t>y aprobación en Quantum.</w:t>
      </w:r>
    </w:p>
    <w:tbl>
      <w:tblPr>
        <w:tblStyle w:val="TableGrid"/>
        <w:tblW w:w="9895" w:type="dxa"/>
        <w:tblCellMar>
          <w:bottom w:w="43" w:type="dxa"/>
        </w:tblCellMar>
        <w:tblLook w:val="04A0" w:firstRow="1" w:lastRow="0" w:firstColumn="1" w:lastColumn="0" w:noHBand="0" w:noVBand="1"/>
      </w:tblPr>
      <w:tblGrid>
        <w:gridCol w:w="9895"/>
      </w:tblGrid>
      <w:tr w:rsidR="003D6AE3" w:rsidRPr="00773863" w14:paraId="7ACB0C79" w14:textId="77777777" w:rsidTr="008C4953">
        <w:trPr>
          <w:tblHeader/>
        </w:trPr>
        <w:tc>
          <w:tcPr>
            <w:tcW w:w="989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ADE230" w14:textId="160FBE9B" w:rsidR="003D6AE3" w:rsidRPr="00756410" w:rsidRDefault="00910A7D" w:rsidP="00910A7D">
            <w:pPr>
              <w:rPr>
                <w:b/>
                <w:sz w:val="20"/>
                <w:szCs w:val="20"/>
                <w:lang w:val="es-419"/>
              </w:rPr>
            </w:pPr>
            <w:r w:rsidRPr="00756410">
              <w:rPr>
                <w:b/>
                <w:bCs/>
                <w:sz w:val="20"/>
                <w:szCs w:val="20"/>
                <w:lang w:val="es-419"/>
              </w:rPr>
              <w:t xml:space="preserve">Gerente de Proyecto (primera autoridad, </w:t>
            </w:r>
            <w:r w:rsidR="001E7385" w:rsidRPr="00756410">
              <w:rPr>
                <w:b/>
                <w:bCs/>
                <w:sz w:val="20"/>
                <w:szCs w:val="20"/>
                <w:lang w:val="es-419"/>
              </w:rPr>
              <w:t>personal autorizado para contraer compromisos</w:t>
            </w:r>
            <w:r w:rsidRPr="00756410">
              <w:rPr>
                <w:b/>
                <w:bCs/>
                <w:sz w:val="20"/>
                <w:szCs w:val="20"/>
                <w:lang w:val="es-419"/>
              </w:rPr>
              <w:t>): Responsabilidades de Control Interno realizadas dentro de cada oficina</w:t>
            </w:r>
            <w:r w:rsidR="00AD4010" w:rsidRPr="00756410">
              <w:rPr>
                <w:b/>
                <w:bCs/>
                <w:sz w:val="20"/>
                <w:szCs w:val="20"/>
                <w:lang w:val="es-419"/>
              </w:rPr>
              <w:t xml:space="preserve"> o </w:t>
            </w:r>
            <w:r w:rsidRPr="00756410">
              <w:rPr>
                <w:b/>
                <w:bCs/>
                <w:sz w:val="20"/>
                <w:szCs w:val="20"/>
                <w:lang w:val="es-419"/>
              </w:rPr>
              <w:t>unidad</w:t>
            </w:r>
          </w:p>
        </w:tc>
      </w:tr>
      <w:tr w:rsidR="004F6AC8" w:rsidRPr="00773863" w14:paraId="53344A0F"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EADF8F2" w14:textId="6C3D6556" w:rsidR="004F6AC8" w:rsidRPr="00756410" w:rsidRDefault="004F6AC8">
            <w:pPr>
              <w:pStyle w:val="ListParagraph"/>
              <w:numPr>
                <w:ilvl w:val="0"/>
                <w:numId w:val="19"/>
              </w:numPr>
              <w:rPr>
                <w:sz w:val="20"/>
                <w:szCs w:val="20"/>
                <w:lang w:val="es-ES"/>
              </w:rPr>
            </w:pPr>
            <w:r w:rsidRPr="00756410">
              <w:rPr>
                <w:b/>
                <w:sz w:val="20"/>
                <w:szCs w:val="20"/>
                <w:lang w:val="es-ES"/>
              </w:rPr>
              <w:t xml:space="preserve">Gestionar proyectos: </w:t>
            </w:r>
            <w:r w:rsidR="00A2086B" w:rsidRPr="00756410">
              <w:rPr>
                <w:b/>
                <w:sz w:val="20"/>
                <w:szCs w:val="20"/>
                <w:lang w:val="es-ES"/>
              </w:rPr>
              <w:t>Planificar, implementar, supervisar, cerrar</w:t>
            </w:r>
          </w:p>
        </w:tc>
      </w:tr>
      <w:tr w:rsidR="004F6AC8" w:rsidRPr="00773863" w14:paraId="520B56C7" w14:textId="77777777" w:rsidTr="008C4953">
        <w:tc>
          <w:tcPr>
            <w:tcW w:w="9895" w:type="dxa"/>
            <w:tcBorders>
              <w:top w:val="single" w:sz="4" w:space="0" w:color="auto"/>
              <w:left w:val="single" w:sz="4" w:space="0" w:color="auto"/>
              <w:bottom w:val="single" w:sz="4" w:space="0" w:color="auto"/>
              <w:right w:val="single" w:sz="4" w:space="0" w:color="auto"/>
            </w:tcBorders>
          </w:tcPr>
          <w:p w14:paraId="1809FBBE" w14:textId="026F5C05" w:rsidR="004F6AC8" w:rsidRPr="00756410" w:rsidRDefault="004E6C17" w:rsidP="00756410">
            <w:pPr>
              <w:pStyle w:val="ListParagraph"/>
              <w:numPr>
                <w:ilvl w:val="0"/>
                <w:numId w:val="102"/>
              </w:numPr>
              <w:jc w:val="both"/>
              <w:rPr>
                <w:sz w:val="20"/>
                <w:szCs w:val="20"/>
                <w:lang w:val="es-419"/>
              </w:rPr>
            </w:pPr>
            <w:r w:rsidRPr="00756410">
              <w:rPr>
                <w:b/>
                <w:bCs/>
                <w:sz w:val="20"/>
                <w:szCs w:val="20"/>
                <w:lang w:val="es-419"/>
              </w:rPr>
              <w:t xml:space="preserve">Administrar proyecto: </w:t>
            </w:r>
            <w:r w:rsidR="004F6AC8" w:rsidRPr="00756410">
              <w:rPr>
                <w:sz w:val="20"/>
                <w:szCs w:val="20"/>
                <w:lang w:val="es-419"/>
              </w:rPr>
              <w:t xml:space="preserve">El gerente de proyecto tiene la autoridad para </w:t>
            </w:r>
            <w:r w:rsidR="00617019">
              <w:rPr>
                <w:sz w:val="20"/>
                <w:szCs w:val="20"/>
                <w:lang w:val="es-419"/>
              </w:rPr>
              <w:t>gestionar diariamente</w:t>
            </w:r>
            <w:r w:rsidR="00617019" w:rsidRPr="00756410">
              <w:rPr>
                <w:sz w:val="20"/>
                <w:szCs w:val="20"/>
                <w:lang w:val="es-419"/>
              </w:rPr>
              <w:t xml:space="preserve"> </w:t>
            </w:r>
            <w:r w:rsidR="004F6AC8" w:rsidRPr="00756410">
              <w:rPr>
                <w:sz w:val="20"/>
                <w:szCs w:val="20"/>
                <w:lang w:val="es-419"/>
              </w:rPr>
              <w:t xml:space="preserve">el proyecto en nombre de la junta de proyecto dentro de los requisitos establecidos por la junta de proyecto. </w:t>
            </w:r>
          </w:p>
        </w:tc>
      </w:tr>
      <w:tr w:rsidR="004E6C17" w:rsidRPr="00773863" w14:paraId="5F883A5D" w14:textId="77777777" w:rsidTr="008C4953">
        <w:tc>
          <w:tcPr>
            <w:tcW w:w="9895" w:type="dxa"/>
            <w:tcBorders>
              <w:top w:val="single" w:sz="4" w:space="0" w:color="auto"/>
              <w:left w:val="single" w:sz="4" w:space="0" w:color="auto"/>
              <w:bottom w:val="single" w:sz="4" w:space="0" w:color="auto"/>
              <w:right w:val="single" w:sz="4" w:space="0" w:color="auto"/>
            </w:tcBorders>
          </w:tcPr>
          <w:p w14:paraId="7B0A91CC" w14:textId="44163EF0" w:rsidR="004E6C17" w:rsidRPr="00756410" w:rsidRDefault="0A510B6B" w:rsidP="00756410">
            <w:pPr>
              <w:pStyle w:val="ListParagraph"/>
              <w:numPr>
                <w:ilvl w:val="0"/>
                <w:numId w:val="17"/>
              </w:numPr>
              <w:jc w:val="both"/>
              <w:rPr>
                <w:sz w:val="20"/>
                <w:szCs w:val="20"/>
                <w:lang w:val="es-419"/>
              </w:rPr>
            </w:pPr>
            <w:r w:rsidRPr="00756410">
              <w:rPr>
                <w:b/>
                <w:sz w:val="20"/>
                <w:szCs w:val="20"/>
                <w:lang w:val="es-419"/>
              </w:rPr>
              <w:lastRenderedPageBreak/>
              <w:t>Preparar, implementar y monitorear (al menos mensualmente) los planes del proyecto (plan de trabajo, presupuesto)</w:t>
            </w:r>
            <w:r w:rsidRPr="00756410">
              <w:rPr>
                <w:sz w:val="20"/>
                <w:szCs w:val="20"/>
                <w:lang w:val="es-419"/>
              </w:rPr>
              <w:t xml:space="preserve"> y los subplanes (adquisiciones</w:t>
            </w:r>
            <w:r w:rsidR="001F13DD" w:rsidRPr="009A7C29">
              <w:rPr>
                <w:rStyle w:val="FootnoteReference"/>
                <w:sz w:val="20"/>
                <w:szCs w:val="20"/>
              </w:rPr>
              <w:footnoteReference w:id="16"/>
            </w:r>
            <w:r w:rsidRPr="00756410">
              <w:rPr>
                <w:sz w:val="20"/>
                <w:szCs w:val="20"/>
                <w:lang w:val="es-419"/>
              </w:rPr>
              <w:t xml:space="preserve">, reclutamiento, actividades HACT, monitoreo del proyecto, gestión de riesgos, comunicación) para lograr los resultados del proyecto, asegurando que la alta gerencia esté informada de cualquier cambio propuesto. Una vez concluidas las actividades programáticas, el proyecto debe </w:t>
            </w:r>
            <w:r w:rsidRPr="00756410">
              <w:rPr>
                <w:b/>
                <w:sz w:val="20"/>
                <w:szCs w:val="20"/>
                <w:lang w:val="es-419"/>
              </w:rPr>
              <w:t>designarse rápidamente como cerrado desde el punto de vista operacional</w:t>
            </w:r>
            <w:r w:rsidRPr="00756410">
              <w:rPr>
                <w:sz w:val="20"/>
                <w:szCs w:val="20"/>
                <w:lang w:val="es-419"/>
              </w:rPr>
              <w:t>.</w:t>
            </w:r>
          </w:p>
        </w:tc>
      </w:tr>
      <w:tr w:rsidR="004E6C17" w:rsidRPr="00773863" w14:paraId="28D6B4AC" w14:textId="77777777" w:rsidTr="008C4953">
        <w:tc>
          <w:tcPr>
            <w:tcW w:w="9895" w:type="dxa"/>
            <w:tcBorders>
              <w:top w:val="single" w:sz="4" w:space="0" w:color="auto"/>
              <w:left w:val="single" w:sz="4" w:space="0" w:color="auto"/>
              <w:bottom w:val="single" w:sz="4" w:space="0" w:color="auto"/>
              <w:right w:val="single" w:sz="4" w:space="0" w:color="auto"/>
            </w:tcBorders>
          </w:tcPr>
          <w:p w14:paraId="2B7CA7C9" w14:textId="0529DF4C" w:rsidR="004E6C17" w:rsidRPr="00DB1CA7" w:rsidRDefault="004E6C17" w:rsidP="00756410">
            <w:pPr>
              <w:pStyle w:val="ListParagraph"/>
              <w:numPr>
                <w:ilvl w:val="0"/>
                <w:numId w:val="17"/>
              </w:numPr>
              <w:jc w:val="both"/>
              <w:rPr>
                <w:b/>
                <w:sz w:val="20"/>
                <w:szCs w:val="20"/>
                <w:lang w:val="es-419"/>
              </w:rPr>
            </w:pPr>
            <w:r w:rsidRPr="00756410">
              <w:rPr>
                <w:b/>
                <w:sz w:val="20"/>
                <w:szCs w:val="20"/>
                <w:lang w:val="es-419"/>
              </w:rPr>
              <w:t>Asegurar una gestión financiera sólida de los recursos y activos del proyecto</w:t>
            </w:r>
            <w:r w:rsidRPr="00756410">
              <w:rPr>
                <w:sz w:val="20"/>
                <w:szCs w:val="20"/>
                <w:lang w:val="es-419"/>
              </w:rPr>
              <w:t xml:space="preserve">, incluido el pronto cobro de las cuentas por cobrar; revisar periódicamente los informes del proyecto para garantizar que los ingresos, compromisos, gastos y desembolsos estén completos y se registren con precisión (con un seguimiento adecuado de los CDR, los anticipos NEX y los déficits); garantizar que los fondos se reserven adecuadamente para cubrir el costo total del personal; garantizar que los activos del proyecto estén físicamente protegidos; y garantizar las brechas identificados a través de actividades de evaluación y aseguramiento de HACT, auditorías internas y externas, y </w:t>
            </w:r>
            <w:r w:rsidR="006942D5">
              <w:rPr>
                <w:sz w:val="20"/>
                <w:szCs w:val="20"/>
                <w:lang w:val="es-419"/>
              </w:rPr>
              <w:t xml:space="preserve">que </w:t>
            </w:r>
            <w:r w:rsidRPr="00756410">
              <w:rPr>
                <w:sz w:val="20"/>
                <w:szCs w:val="20"/>
                <w:lang w:val="es-419"/>
              </w:rPr>
              <w:t>se abordan los riesgos del proyecto.</w:t>
            </w:r>
          </w:p>
        </w:tc>
      </w:tr>
      <w:tr w:rsidR="003D6AE3" w:rsidRPr="00773863" w14:paraId="63F6B00B"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EFD3C14" w14:textId="5D8454C1" w:rsidR="003D6AE3" w:rsidRPr="00756410" w:rsidRDefault="003D6AE3">
            <w:pPr>
              <w:pStyle w:val="ListParagraph"/>
              <w:numPr>
                <w:ilvl w:val="0"/>
                <w:numId w:val="19"/>
              </w:numPr>
              <w:rPr>
                <w:sz w:val="20"/>
                <w:szCs w:val="20"/>
                <w:lang w:val="es-419"/>
              </w:rPr>
            </w:pPr>
            <w:r w:rsidRPr="00756410">
              <w:rPr>
                <w:b/>
                <w:bCs/>
                <w:sz w:val="20"/>
                <w:szCs w:val="20"/>
                <w:lang w:val="es-419"/>
              </w:rPr>
              <w:t>Gesti</w:t>
            </w:r>
            <w:r w:rsidR="00E2085B">
              <w:rPr>
                <w:b/>
                <w:bCs/>
                <w:sz w:val="20"/>
                <w:szCs w:val="20"/>
                <w:lang w:val="es-ES"/>
              </w:rPr>
              <w:t>ó</w:t>
            </w:r>
            <w:r w:rsidRPr="00756410">
              <w:rPr>
                <w:b/>
                <w:bCs/>
                <w:sz w:val="20"/>
                <w:szCs w:val="20"/>
                <w:lang w:val="es-419"/>
              </w:rPr>
              <w:t xml:space="preserve">n </w:t>
            </w:r>
            <w:r w:rsidR="004F0D1E">
              <w:rPr>
                <w:b/>
                <w:bCs/>
                <w:sz w:val="20"/>
                <w:szCs w:val="20"/>
                <w:lang w:val="es-419"/>
              </w:rPr>
              <w:t>d</w:t>
            </w:r>
            <w:r w:rsidRPr="00756410">
              <w:rPr>
                <w:b/>
                <w:bCs/>
                <w:sz w:val="20"/>
                <w:szCs w:val="20"/>
                <w:lang w:val="es-419"/>
              </w:rPr>
              <w:t>el presupuesto: Establece presupuestos anuales y plurianuales en Quantum</w:t>
            </w:r>
          </w:p>
        </w:tc>
      </w:tr>
      <w:tr w:rsidR="003D6AE3" w:rsidRPr="00773863" w14:paraId="35C24ABB" w14:textId="77777777" w:rsidTr="008C4953">
        <w:tc>
          <w:tcPr>
            <w:tcW w:w="9895" w:type="dxa"/>
            <w:tcBorders>
              <w:top w:val="single" w:sz="4" w:space="0" w:color="auto"/>
              <w:left w:val="single" w:sz="4" w:space="0" w:color="auto"/>
              <w:bottom w:val="single" w:sz="4" w:space="0" w:color="auto"/>
              <w:right w:val="single" w:sz="4" w:space="0" w:color="auto"/>
            </w:tcBorders>
          </w:tcPr>
          <w:p w14:paraId="04AE821D" w14:textId="1A3A9A92" w:rsidR="003D6AE3" w:rsidRPr="00756410" w:rsidRDefault="003D6AE3" w:rsidP="00756410">
            <w:pPr>
              <w:pStyle w:val="ListParagraph"/>
              <w:numPr>
                <w:ilvl w:val="0"/>
                <w:numId w:val="18"/>
              </w:numPr>
              <w:ind w:left="360"/>
              <w:jc w:val="both"/>
              <w:rPr>
                <w:sz w:val="20"/>
                <w:szCs w:val="20"/>
                <w:lang w:val="es-419"/>
              </w:rPr>
            </w:pPr>
            <w:r w:rsidRPr="00756410">
              <w:rPr>
                <w:b/>
                <w:bCs/>
                <w:sz w:val="20"/>
                <w:szCs w:val="20"/>
                <w:lang w:val="es-419"/>
              </w:rPr>
              <w:t>Antes de finalizar el presupuesto en Quantum:</w:t>
            </w:r>
            <w:r w:rsidRPr="00756410">
              <w:rPr>
                <w:sz w:val="20"/>
                <w:szCs w:val="20"/>
                <w:lang w:val="es-419"/>
              </w:rPr>
              <w:t xml:space="preserve"> El Gerente de Proyecto debe asegurarse de que: (i) las actividades y los insumos se hayan ingresado correctamente y sean consistentes con el plan de trabajo anual; ii) en el caso de las actividades con recursos complementarios, la información introducida coincida con el acuerdo de contribución firmado; y iii) se cree el plan financiero y sea coherente con el presupuesto propuesto en el documento del proyecto. </w:t>
            </w:r>
          </w:p>
        </w:tc>
      </w:tr>
      <w:tr w:rsidR="004E6C17" w:rsidRPr="00773863" w14:paraId="14B1793F" w14:textId="77777777" w:rsidTr="008C4953">
        <w:tc>
          <w:tcPr>
            <w:tcW w:w="9895" w:type="dxa"/>
            <w:tcBorders>
              <w:top w:val="single" w:sz="4" w:space="0" w:color="auto"/>
              <w:left w:val="single" w:sz="4" w:space="0" w:color="auto"/>
              <w:bottom w:val="single" w:sz="4" w:space="0" w:color="auto"/>
              <w:right w:val="single" w:sz="4" w:space="0" w:color="auto"/>
            </w:tcBorders>
          </w:tcPr>
          <w:p w14:paraId="683D91E0" w14:textId="66F6C2F6" w:rsidR="004E6C17" w:rsidRPr="00DB1CA7" w:rsidRDefault="004E6C17" w:rsidP="00756410">
            <w:pPr>
              <w:pStyle w:val="ListParagraph"/>
              <w:numPr>
                <w:ilvl w:val="0"/>
                <w:numId w:val="18"/>
              </w:numPr>
              <w:ind w:left="360"/>
              <w:jc w:val="both"/>
              <w:rPr>
                <w:b/>
                <w:bCs/>
                <w:sz w:val="20"/>
                <w:szCs w:val="20"/>
                <w:lang w:val="es-419"/>
              </w:rPr>
            </w:pPr>
            <w:r w:rsidRPr="00756410">
              <w:rPr>
                <w:b/>
                <w:bCs/>
                <w:sz w:val="20"/>
                <w:szCs w:val="20"/>
                <w:lang w:val="es-419"/>
              </w:rPr>
              <w:t>Delegación de la creación del presupuesto del proyecto en Quantum:</w:t>
            </w:r>
            <w:r w:rsidRPr="00756410">
              <w:rPr>
                <w:sz w:val="20"/>
                <w:szCs w:val="20"/>
                <w:lang w:val="es-419"/>
              </w:rPr>
              <w:t xml:space="preserve"> Con la aprobación del Jefe de Oficina</w:t>
            </w:r>
            <w:r w:rsidR="004D1E20">
              <w:rPr>
                <w:sz w:val="20"/>
                <w:szCs w:val="20"/>
                <w:lang w:val="es-419"/>
              </w:rPr>
              <w:t xml:space="preserve"> o </w:t>
            </w:r>
            <w:r w:rsidRPr="00756410">
              <w:rPr>
                <w:sz w:val="20"/>
                <w:szCs w:val="20"/>
                <w:lang w:val="es-419"/>
              </w:rPr>
              <w:t xml:space="preserve">Unidad, los Gerentes de Proyecto pueden documentar su aprobación de los presupuestos del proyecto fuera de Quantum y delegar la creación del presupuesto en Quantum al personal de Finanzas. El gerente de proyecto sigue siendo responsable de garantizar que el presupuesto creado en Quantum por el usuario de finanzas </w:t>
            </w:r>
            <w:r w:rsidR="00D37EA9">
              <w:rPr>
                <w:sz w:val="20"/>
                <w:szCs w:val="20"/>
                <w:lang w:val="es-419"/>
              </w:rPr>
              <w:t>este alineado</w:t>
            </w:r>
            <w:r w:rsidRPr="00756410">
              <w:rPr>
                <w:sz w:val="20"/>
                <w:szCs w:val="20"/>
                <w:lang w:val="es-419"/>
              </w:rPr>
              <w:t xml:space="preserve"> con el presupuesto aprobado. La aprobación del presupuesto en Quantum la realizan </w:t>
            </w:r>
            <w:r w:rsidR="00D37EA9">
              <w:rPr>
                <w:sz w:val="20"/>
                <w:szCs w:val="20"/>
                <w:lang w:val="es-419"/>
              </w:rPr>
              <w:t>las autoridades</w:t>
            </w:r>
            <w:r w:rsidRPr="00756410">
              <w:rPr>
                <w:sz w:val="20"/>
                <w:szCs w:val="20"/>
                <w:lang w:val="es-419"/>
              </w:rPr>
              <w:t xml:space="preserve"> de aprobación.</w:t>
            </w:r>
          </w:p>
        </w:tc>
      </w:tr>
      <w:tr w:rsidR="004E6C17" w:rsidRPr="00773863" w14:paraId="7794A8E0" w14:textId="77777777" w:rsidTr="008C4953">
        <w:tc>
          <w:tcPr>
            <w:tcW w:w="9895" w:type="dxa"/>
            <w:tcBorders>
              <w:top w:val="single" w:sz="4" w:space="0" w:color="auto"/>
              <w:left w:val="single" w:sz="4" w:space="0" w:color="auto"/>
              <w:bottom w:val="single" w:sz="4" w:space="0" w:color="auto"/>
              <w:right w:val="single" w:sz="4" w:space="0" w:color="auto"/>
            </w:tcBorders>
          </w:tcPr>
          <w:p w14:paraId="1D121FA2" w14:textId="0C8414D9" w:rsidR="004E6C17" w:rsidRPr="00DB1CA7" w:rsidRDefault="004E6C17" w:rsidP="00756410">
            <w:pPr>
              <w:pStyle w:val="ListParagraph"/>
              <w:numPr>
                <w:ilvl w:val="0"/>
                <w:numId w:val="18"/>
              </w:numPr>
              <w:ind w:left="360"/>
              <w:jc w:val="both"/>
              <w:rPr>
                <w:b/>
                <w:bCs/>
                <w:sz w:val="20"/>
                <w:szCs w:val="20"/>
                <w:lang w:val="es-419"/>
              </w:rPr>
            </w:pPr>
            <w:r w:rsidRPr="00756410">
              <w:rPr>
                <w:b/>
                <w:bCs/>
                <w:sz w:val="20"/>
                <w:szCs w:val="20"/>
                <w:lang w:val="es-419"/>
              </w:rPr>
              <w:t xml:space="preserve">La presupuestación plurianual debe </w:t>
            </w:r>
            <w:r w:rsidR="007C6B16">
              <w:rPr>
                <w:b/>
                <w:bCs/>
                <w:sz w:val="20"/>
                <w:szCs w:val="20"/>
                <w:lang w:val="es-419"/>
              </w:rPr>
              <w:t>registrarse</w:t>
            </w:r>
            <w:r w:rsidR="007C6B16" w:rsidRPr="00756410">
              <w:rPr>
                <w:b/>
                <w:bCs/>
                <w:sz w:val="20"/>
                <w:szCs w:val="20"/>
                <w:lang w:val="es-419"/>
              </w:rPr>
              <w:t xml:space="preserve"> </w:t>
            </w:r>
            <w:r w:rsidRPr="00756410">
              <w:rPr>
                <w:b/>
                <w:bCs/>
                <w:sz w:val="20"/>
                <w:szCs w:val="20"/>
                <w:lang w:val="es-419"/>
              </w:rPr>
              <w:t>en Quantum:</w:t>
            </w:r>
            <w:r w:rsidRPr="00756410">
              <w:rPr>
                <w:sz w:val="20"/>
                <w:szCs w:val="20"/>
                <w:lang w:val="es-419"/>
              </w:rPr>
              <w:t xml:space="preserve"> Los gerentes de proyecto son responsables de garantizar que los presupuestos de los proyectos se ingresen en Quantum sobre una base multianual si los proyectos duran más de un año. En principio, los presupuestos totales ingresados en Quantum no deben ser mayores que el monto de financiamiento (el monto total del acuerdo) del </w:t>
            </w:r>
            <w:r w:rsidR="00014397">
              <w:rPr>
                <w:sz w:val="20"/>
                <w:szCs w:val="20"/>
                <w:lang w:val="es-419"/>
              </w:rPr>
              <w:t>”award”</w:t>
            </w:r>
            <w:r w:rsidRPr="00756410">
              <w:rPr>
                <w:sz w:val="20"/>
                <w:szCs w:val="20"/>
                <w:lang w:val="es-419"/>
              </w:rPr>
              <w:t xml:space="preserve">. Una excepción es para los proyectos de presupuesto institucional financiados por </w:t>
            </w:r>
            <w:r w:rsidR="0091094C">
              <w:rPr>
                <w:sz w:val="20"/>
                <w:szCs w:val="20"/>
                <w:lang w:val="es-419"/>
              </w:rPr>
              <w:t>fondos CORE</w:t>
            </w:r>
            <w:r w:rsidRPr="00756410">
              <w:rPr>
                <w:sz w:val="20"/>
                <w:szCs w:val="20"/>
                <w:lang w:val="es-419"/>
              </w:rPr>
              <w:t xml:space="preserve">, donde el presupuesto se puede crear para </w:t>
            </w:r>
            <w:r w:rsidR="00880703">
              <w:rPr>
                <w:sz w:val="20"/>
                <w:szCs w:val="20"/>
                <w:lang w:val="es-419"/>
              </w:rPr>
              <w:t>un</w:t>
            </w:r>
            <w:r w:rsidRPr="00756410">
              <w:rPr>
                <w:sz w:val="20"/>
                <w:szCs w:val="20"/>
                <w:lang w:val="es-419"/>
              </w:rPr>
              <w:t xml:space="preserve"> año, aunque solo se emitan 7 meses de ASL al comienzo del año.</w:t>
            </w:r>
          </w:p>
        </w:tc>
      </w:tr>
      <w:tr w:rsidR="004E6C17" w:rsidRPr="00773863" w14:paraId="564A4C3C" w14:textId="77777777" w:rsidTr="008C4953">
        <w:tc>
          <w:tcPr>
            <w:tcW w:w="9895" w:type="dxa"/>
            <w:tcBorders>
              <w:top w:val="single" w:sz="4" w:space="0" w:color="auto"/>
              <w:left w:val="single" w:sz="4" w:space="0" w:color="auto"/>
              <w:bottom w:val="single" w:sz="4" w:space="0" w:color="auto"/>
              <w:right w:val="single" w:sz="4" w:space="0" w:color="auto"/>
            </w:tcBorders>
          </w:tcPr>
          <w:p w14:paraId="5F763E8B" w14:textId="422075B7" w:rsidR="004E6C17" w:rsidRPr="00756410" w:rsidRDefault="004E6C17" w:rsidP="00756410">
            <w:pPr>
              <w:pStyle w:val="ListParagraph"/>
              <w:numPr>
                <w:ilvl w:val="0"/>
                <w:numId w:val="18"/>
              </w:numPr>
              <w:ind w:left="360"/>
              <w:jc w:val="both"/>
              <w:rPr>
                <w:b/>
                <w:sz w:val="20"/>
                <w:szCs w:val="20"/>
                <w:lang w:val="es-419"/>
              </w:rPr>
            </w:pPr>
            <w:r w:rsidRPr="00756410">
              <w:rPr>
                <w:b/>
                <w:bCs/>
                <w:sz w:val="20"/>
                <w:szCs w:val="20"/>
                <w:lang w:val="es-419"/>
              </w:rPr>
              <w:t>No se pueden hacer compromisos a menos que se haya recibido la contribución:</w:t>
            </w:r>
            <w:r w:rsidRPr="00756410">
              <w:rPr>
                <w:sz w:val="20"/>
                <w:szCs w:val="20"/>
                <w:lang w:val="es-419"/>
              </w:rPr>
              <w:t xml:space="preserve"> Quantum permite la creación de un presupuesto cuando se establece la adjudicación, aunque no se haya recibido la contribución, pero no permite que las oficinas</w:t>
            </w:r>
            <w:r w:rsidR="00633E89">
              <w:rPr>
                <w:sz w:val="20"/>
                <w:szCs w:val="20"/>
                <w:lang w:val="es-419"/>
              </w:rPr>
              <w:t xml:space="preserve"> o </w:t>
            </w:r>
            <w:r w:rsidRPr="00756410">
              <w:rPr>
                <w:sz w:val="20"/>
                <w:szCs w:val="20"/>
                <w:lang w:val="es-419"/>
              </w:rPr>
              <w:t>unidades asuman compromisos (es decir, aprueben las órdenes de compra) a menos que se haya recibido la contribución.</w:t>
            </w:r>
          </w:p>
        </w:tc>
      </w:tr>
      <w:tr w:rsidR="003D6AE3" w:rsidRPr="00773863" w14:paraId="51EBAE6F"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79ECB57" w14:textId="2E1798A7" w:rsidR="003D6AE3" w:rsidRPr="00756410" w:rsidRDefault="00BA6934">
            <w:pPr>
              <w:pStyle w:val="ListParagraph"/>
              <w:numPr>
                <w:ilvl w:val="0"/>
                <w:numId w:val="19"/>
              </w:numPr>
              <w:rPr>
                <w:sz w:val="20"/>
                <w:szCs w:val="20"/>
                <w:lang w:val="es-419"/>
              </w:rPr>
            </w:pPr>
            <w:r w:rsidRPr="00756410">
              <w:rPr>
                <w:b/>
                <w:sz w:val="20"/>
                <w:szCs w:val="20"/>
                <w:lang w:val="es-419"/>
              </w:rPr>
              <w:t>Iniciar adquisición: aprueba las solicitudes de compra de adquisiciones electrónicas como primera autoridad</w:t>
            </w:r>
          </w:p>
        </w:tc>
      </w:tr>
      <w:tr w:rsidR="003D6AE3" w:rsidRPr="00773863" w14:paraId="52589845" w14:textId="77777777" w:rsidTr="008C4953">
        <w:tc>
          <w:tcPr>
            <w:tcW w:w="9895" w:type="dxa"/>
            <w:tcBorders>
              <w:top w:val="single" w:sz="4" w:space="0" w:color="auto"/>
              <w:left w:val="single" w:sz="4" w:space="0" w:color="auto"/>
              <w:bottom w:val="single" w:sz="4" w:space="0" w:color="auto"/>
              <w:right w:val="single" w:sz="4" w:space="0" w:color="auto"/>
            </w:tcBorders>
          </w:tcPr>
          <w:p w14:paraId="77D570E2" w14:textId="27949975" w:rsidR="003D6AE3" w:rsidRPr="00756410" w:rsidRDefault="00BA6934" w:rsidP="00756410">
            <w:pPr>
              <w:pStyle w:val="ListParagraph"/>
              <w:widowControl w:val="0"/>
              <w:numPr>
                <w:ilvl w:val="0"/>
                <w:numId w:val="20"/>
              </w:numPr>
              <w:autoSpaceDE w:val="0"/>
              <w:autoSpaceDN w:val="0"/>
              <w:ind w:left="360"/>
              <w:jc w:val="both"/>
              <w:rPr>
                <w:sz w:val="20"/>
                <w:szCs w:val="20"/>
                <w:lang w:val="es-419"/>
              </w:rPr>
            </w:pPr>
            <w:r w:rsidRPr="00756410">
              <w:rPr>
                <w:b/>
                <w:sz w:val="20"/>
                <w:szCs w:val="20"/>
                <w:lang w:val="es-419"/>
              </w:rPr>
              <w:t>Ejercicio de la primera autoridad para las transacciones del proyecto:</w:t>
            </w:r>
            <w:r w:rsidRPr="00756410">
              <w:rPr>
                <w:sz w:val="20"/>
                <w:szCs w:val="20"/>
                <w:lang w:val="es-419"/>
              </w:rPr>
              <w:t xml:space="preserve"> El Gerente del Proyecto es el </w:t>
            </w:r>
            <w:r w:rsidR="007E3FDD">
              <w:rPr>
                <w:sz w:val="20"/>
                <w:szCs w:val="20"/>
                <w:lang w:val="es-419"/>
              </w:rPr>
              <w:t>personal</w:t>
            </w:r>
            <w:r w:rsidR="007E3FDD" w:rsidRPr="00914285">
              <w:rPr>
                <w:sz w:val="20"/>
                <w:szCs w:val="20"/>
                <w:lang w:val="es-419"/>
              </w:rPr>
              <w:t xml:space="preserve"> autorizado para </w:t>
            </w:r>
            <w:r w:rsidR="007E3FDD">
              <w:rPr>
                <w:sz w:val="20"/>
                <w:szCs w:val="20"/>
                <w:lang w:val="es-419"/>
              </w:rPr>
              <w:t>contraer compromisos</w:t>
            </w:r>
            <w:r w:rsidRPr="363CA695">
              <w:rPr>
                <w:rStyle w:val="FootnoteReference"/>
                <w:sz w:val="20"/>
                <w:szCs w:val="20"/>
              </w:rPr>
              <w:footnoteReference w:id="17"/>
            </w:r>
            <w:r w:rsidRPr="00756410">
              <w:rPr>
                <w:sz w:val="20"/>
                <w:szCs w:val="20"/>
                <w:lang w:val="es-419"/>
              </w:rPr>
              <w:t xml:space="preserve">, que ejerce la primera autoridad para las transacciones con cargo al proyecto. Esta autoridad no se puede delegar. Se puede designar un </w:t>
            </w:r>
            <w:r w:rsidR="00C30E39">
              <w:rPr>
                <w:sz w:val="20"/>
                <w:szCs w:val="20"/>
                <w:lang w:val="es-419"/>
              </w:rPr>
              <w:t>alterno</w:t>
            </w:r>
            <w:r w:rsidR="00C30E39" w:rsidRPr="00756410">
              <w:rPr>
                <w:sz w:val="20"/>
                <w:szCs w:val="20"/>
                <w:lang w:val="es-419"/>
              </w:rPr>
              <w:t xml:space="preserve"> </w:t>
            </w:r>
            <w:r w:rsidRPr="00756410">
              <w:rPr>
                <w:sz w:val="20"/>
                <w:szCs w:val="20"/>
                <w:lang w:val="es-419"/>
              </w:rPr>
              <w:t xml:space="preserve">para que actúe en ausencia del </w:t>
            </w:r>
            <w:r w:rsidR="001011D3">
              <w:rPr>
                <w:sz w:val="20"/>
                <w:szCs w:val="20"/>
                <w:lang w:val="es-419"/>
              </w:rPr>
              <w:t>personal</w:t>
            </w:r>
            <w:r w:rsidR="001011D3" w:rsidRPr="00914285">
              <w:rPr>
                <w:sz w:val="20"/>
                <w:szCs w:val="20"/>
                <w:lang w:val="es-419"/>
              </w:rPr>
              <w:t xml:space="preserve"> autorizado para </w:t>
            </w:r>
            <w:r w:rsidR="001011D3">
              <w:rPr>
                <w:sz w:val="20"/>
                <w:szCs w:val="20"/>
                <w:lang w:val="es-419"/>
              </w:rPr>
              <w:t>contraer compromisos</w:t>
            </w:r>
            <w:r w:rsidRPr="00756410">
              <w:rPr>
                <w:sz w:val="20"/>
                <w:szCs w:val="20"/>
                <w:lang w:val="es-419"/>
              </w:rPr>
              <w:t>. Los gerentes de proyecto son responsables de aprobar las solicitudes de adquisiciones electrónicas de acuerdo con</w:t>
            </w:r>
            <w:r w:rsidR="00641B33">
              <w:rPr>
                <w:sz w:val="20"/>
                <w:szCs w:val="20"/>
                <w:lang w:val="es-419"/>
              </w:rPr>
              <w:t xml:space="preserve"> la política de</w:t>
            </w:r>
            <w:r w:rsidRPr="00756410">
              <w:rPr>
                <w:sz w:val="20"/>
                <w:szCs w:val="20"/>
                <w:lang w:val="es-419"/>
              </w:rPr>
              <w:t xml:space="preserve"> </w:t>
            </w:r>
            <w:hyperlink r:id="rId46">
              <w:r w:rsidR="00641B33" w:rsidRPr="00756410">
                <w:rPr>
                  <w:rStyle w:val="Hyperlink"/>
                  <w:i/>
                  <w:iCs/>
                  <w:sz w:val="20"/>
                  <w:szCs w:val="20"/>
                  <w:lang w:val="es-419"/>
                </w:rPr>
                <w:t>“</w:t>
              </w:r>
              <w:r w:rsidR="003E442E">
                <w:rPr>
                  <w:rStyle w:val="Hyperlink"/>
                  <w:i/>
                  <w:iCs/>
                  <w:sz w:val="20"/>
                  <w:szCs w:val="20"/>
                  <w:lang w:val="es-419"/>
                </w:rPr>
                <w:t>P</w:t>
              </w:r>
              <w:r w:rsidR="003E442E" w:rsidRPr="003E442E">
                <w:rPr>
                  <w:rStyle w:val="Hyperlink"/>
                  <w:i/>
                  <w:iCs/>
                  <w:sz w:val="20"/>
                  <w:szCs w:val="20"/>
                  <w:lang w:val="es-419"/>
                </w:rPr>
                <w:t>resentación</w:t>
              </w:r>
              <w:r w:rsidR="00F1255D" w:rsidRPr="00756410">
                <w:rPr>
                  <w:rStyle w:val="Hyperlink"/>
                  <w:i/>
                  <w:iCs/>
                  <w:sz w:val="20"/>
                  <w:szCs w:val="20"/>
                  <w:lang w:val="es-419"/>
                </w:rPr>
                <w:t xml:space="preserve"> de solicitudes</w:t>
              </w:r>
              <w:r w:rsidR="003E442E" w:rsidRPr="00756410">
                <w:rPr>
                  <w:rStyle w:val="Hyperlink"/>
                  <w:i/>
                  <w:iCs/>
                  <w:sz w:val="20"/>
                  <w:szCs w:val="20"/>
                  <w:lang w:val="es-419"/>
                </w:rPr>
                <w:t>/</w:t>
              </w:r>
              <w:r w:rsidR="003E442E" w:rsidRPr="00756410">
                <w:rPr>
                  <w:rStyle w:val="Hyperlink"/>
                  <w:i/>
                  <w:iCs/>
                  <w:sz w:val="20"/>
                  <w:szCs w:val="20"/>
                  <w:lang w:val="es-ES"/>
                </w:rPr>
                <w:t>requisiciones</w:t>
              </w:r>
              <w:r w:rsidR="00F1255D" w:rsidRPr="00756410">
                <w:rPr>
                  <w:rStyle w:val="Hyperlink"/>
                  <w:i/>
                  <w:iCs/>
                  <w:sz w:val="20"/>
                  <w:szCs w:val="20"/>
                  <w:lang w:val="es-419"/>
                </w:rPr>
                <w:t xml:space="preserve"> electrónicas</w:t>
              </w:r>
              <w:r w:rsidR="003E442E" w:rsidRPr="00756410">
                <w:rPr>
                  <w:rStyle w:val="Hyperlink"/>
                  <w:i/>
                  <w:iCs/>
                  <w:sz w:val="20"/>
                  <w:szCs w:val="20"/>
                  <w:lang w:val="es-419"/>
                </w:rPr>
                <w:t>”</w:t>
              </w:r>
              <w:r w:rsidR="00F1255D" w:rsidRPr="00756410">
                <w:rPr>
                  <w:rStyle w:val="Hyperlink"/>
                  <w:i/>
                  <w:iCs/>
                  <w:sz w:val="20"/>
                  <w:szCs w:val="20"/>
                  <w:lang w:val="es-419"/>
                </w:rPr>
                <w:t xml:space="preserve"> </w:t>
              </w:r>
              <w:r w:rsidR="00F1255D" w:rsidRPr="003E442E">
                <w:rPr>
                  <w:rStyle w:val="Hyperlink"/>
                  <w:sz w:val="20"/>
                  <w:szCs w:val="20"/>
                  <w:lang w:val="es-419"/>
                </w:rPr>
                <w:t>de</w:t>
              </w:r>
              <w:r w:rsidR="003E442E" w:rsidRPr="003E442E">
                <w:rPr>
                  <w:rStyle w:val="Hyperlink"/>
                  <w:sz w:val="20"/>
                  <w:szCs w:val="20"/>
                  <w:lang w:val="es-419"/>
                </w:rPr>
                <w:t>l</w:t>
              </w:r>
              <w:r w:rsidR="00F1255D" w:rsidRPr="003E442E">
                <w:rPr>
                  <w:rStyle w:val="Hyperlink"/>
                  <w:sz w:val="20"/>
                  <w:szCs w:val="20"/>
                  <w:lang w:val="es-419"/>
                </w:rPr>
                <w:t xml:space="preserve"> POPP</w:t>
              </w:r>
            </w:hyperlink>
            <w:r w:rsidRPr="00756410">
              <w:rPr>
                <w:sz w:val="20"/>
                <w:szCs w:val="20"/>
                <w:lang w:val="es-419"/>
              </w:rPr>
              <w:t xml:space="preserve">. </w:t>
            </w:r>
          </w:p>
        </w:tc>
      </w:tr>
      <w:tr w:rsidR="00910A7D" w:rsidRPr="00773863" w14:paraId="1E879A41" w14:textId="77777777" w:rsidTr="008C4953">
        <w:tc>
          <w:tcPr>
            <w:tcW w:w="9895" w:type="dxa"/>
            <w:tcBorders>
              <w:top w:val="single" w:sz="4" w:space="0" w:color="auto"/>
              <w:left w:val="single" w:sz="4" w:space="0" w:color="auto"/>
              <w:bottom w:val="single" w:sz="4" w:space="0" w:color="auto"/>
              <w:right w:val="single" w:sz="4" w:space="0" w:color="auto"/>
            </w:tcBorders>
          </w:tcPr>
          <w:p w14:paraId="5B545AD9" w14:textId="66D24254" w:rsidR="00910A7D" w:rsidRPr="00DB1CA7" w:rsidRDefault="00910A7D" w:rsidP="00756410">
            <w:pPr>
              <w:pStyle w:val="ListParagraph"/>
              <w:widowControl w:val="0"/>
              <w:numPr>
                <w:ilvl w:val="0"/>
                <w:numId w:val="20"/>
              </w:numPr>
              <w:autoSpaceDE w:val="0"/>
              <w:autoSpaceDN w:val="0"/>
              <w:ind w:left="360"/>
              <w:jc w:val="both"/>
              <w:rPr>
                <w:b/>
                <w:sz w:val="20"/>
                <w:szCs w:val="20"/>
                <w:lang w:val="es-419"/>
              </w:rPr>
            </w:pPr>
            <w:r w:rsidRPr="00756410">
              <w:rPr>
                <w:b/>
                <w:sz w:val="20"/>
                <w:szCs w:val="20"/>
                <w:lang w:val="es-419"/>
              </w:rPr>
              <w:t>Alcance de la función de la primera autoridad:</w:t>
            </w:r>
            <w:r w:rsidRPr="00756410">
              <w:rPr>
                <w:sz w:val="20"/>
                <w:szCs w:val="20"/>
                <w:lang w:val="es-419"/>
              </w:rPr>
              <w:t xml:space="preserve"> El concepto de primera autoridad se aplica únicamente a los compromisos y gastos administrados directamente por el PNUD, como los compromisos y gastos en proyectos de gestión</w:t>
            </w:r>
            <w:r w:rsidR="00F1255D">
              <w:rPr>
                <w:sz w:val="20"/>
                <w:szCs w:val="20"/>
                <w:lang w:val="es-419"/>
              </w:rPr>
              <w:t xml:space="preserve"> interna</w:t>
            </w:r>
            <w:r w:rsidRPr="00756410">
              <w:rPr>
                <w:sz w:val="20"/>
                <w:szCs w:val="20"/>
                <w:lang w:val="es-419"/>
              </w:rPr>
              <w:t>, proyectos ejecutados por el PNUD y proyectos ejecutados por instituciones nacionales en los que la oficina</w:t>
            </w:r>
            <w:r w:rsidR="004E22B6">
              <w:rPr>
                <w:sz w:val="20"/>
                <w:szCs w:val="20"/>
                <w:lang w:val="es-419"/>
              </w:rPr>
              <w:t xml:space="preserve"> o </w:t>
            </w:r>
            <w:r w:rsidRPr="00756410">
              <w:rPr>
                <w:sz w:val="20"/>
                <w:szCs w:val="20"/>
                <w:lang w:val="es-419"/>
              </w:rPr>
              <w:t>dependencia presta apoyo a la institución nacional. No se aplica a los proyectos ejecutados por instituciones nacionales en los que la función del PNUD se limita a la emisión de anticipos y/o pagos directos. Consulte la sección 13 de esta Guía para obtener más información sobre las responsabilidades de la oficina</w:t>
            </w:r>
            <w:r w:rsidR="004E22B6">
              <w:rPr>
                <w:sz w:val="20"/>
                <w:szCs w:val="20"/>
                <w:lang w:val="es-419"/>
              </w:rPr>
              <w:t xml:space="preserve"> o </w:t>
            </w:r>
            <w:r w:rsidRPr="00756410">
              <w:rPr>
                <w:sz w:val="20"/>
                <w:szCs w:val="20"/>
                <w:lang w:val="es-419"/>
              </w:rPr>
              <w:t>unidad para los proyectos ejecutados por las instituciones nacionales.</w:t>
            </w:r>
          </w:p>
        </w:tc>
      </w:tr>
      <w:tr w:rsidR="00910A7D" w:rsidRPr="00773863" w14:paraId="01B7E789" w14:textId="77777777" w:rsidTr="008C4953">
        <w:tc>
          <w:tcPr>
            <w:tcW w:w="9895" w:type="dxa"/>
            <w:tcBorders>
              <w:top w:val="single" w:sz="4" w:space="0" w:color="auto"/>
              <w:left w:val="single" w:sz="4" w:space="0" w:color="auto"/>
              <w:bottom w:val="single" w:sz="4" w:space="0" w:color="auto"/>
              <w:right w:val="single" w:sz="4" w:space="0" w:color="auto"/>
            </w:tcBorders>
          </w:tcPr>
          <w:p w14:paraId="4E2E1E3C" w14:textId="2974EB6C" w:rsidR="00910A7D" w:rsidRPr="00DB1CA7" w:rsidRDefault="001F6CC9" w:rsidP="00756410">
            <w:pPr>
              <w:pStyle w:val="ListParagraph"/>
              <w:widowControl w:val="0"/>
              <w:numPr>
                <w:ilvl w:val="0"/>
                <w:numId w:val="20"/>
              </w:numPr>
              <w:autoSpaceDE w:val="0"/>
              <w:autoSpaceDN w:val="0"/>
              <w:ind w:left="360"/>
              <w:jc w:val="both"/>
              <w:rPr>
                <w:b/>
                <w:bCs/>
                <w:sz w:val="20"/>
                <w:szCs w:val="20"/>
                <w:lang w:val="es-419"/>
              </w:rPr>
            </w:pPr>
            <w:r>
              <w:rPr>
                <w:b/>
                <w:bCs/>
                <w:sz w:val="20"/>
                <w:szCs w:val="20"/>
                <w:lang w:val="es-419"/>
              </w:rPr>
              <w:t>Obtener</w:t>
            </w:r>
            <w:r w:rsidR="00910A7D" w:rsidRPr="00756410">
              <w:rPr>
                <w:b/>
                <w:bCs/>
                <w:sz w:val="20"/>
                <w:szCs w:val="20"/>
                <w:lang w:val="es-419"/>
              </w:rPr>
              <w:t xml:space="preserve"> la aprobación de la primera autoridad para los pagos directos del PNUD que no requieren una orden de </w:t>
            </w:r>
            <w:r w:rsidR="00910A7D" w:rsidRPr="00756410">
              <w:rPr>
                <w:b/>
                <w:bCs/>
                <w:sz w:val="20"/>
                <w:szCs w:val="20"/>
                <w:lang w:val="es-419"/>
              </w:rPr>
              <w:lastRenderedPageBreak/>
              <w:t>compra:</w:t>
            </w:r>
            <w:r w:rsidR="00910A7D" w:rsidRPr="00756410">
              <w:rPr>
                <w:sz w:val="20"/>
                <w:szCs w:val="20"/>
                <w:lang w:val="es-419"/>
              </w:rPr>
              <w:t xml:space="preserve"> Para pagos </w:t>
            </w:r>
            <w:r w:rsidR="00E57C57">
              <w:rPr>
                <w:sz w:val="20"/>
                <w:szCs w:val="20"/>
                <w:lang w:val="es-419"/>
              </w:rPr>
              <w:t xml:space="preserve">relacionados con un solo </w:t>
            </w:r>
            <w:r w:rsidR="00910A7D" w:rsidRPr="00756410">
              <w:rPr>
                <w:sz w:val="20"/>
                <w:szCs w:val="20"/>
                <w:lang w:val="es-419"/>
              </w:rPr>
              <w:t>proyecto</w:t>
            </w:r>
            <w:r w:rsidR="00A819E7">
              <w:rPr>
                <w:sz w:val="20"/>
                <w:szCs w:val="20"/>
                <w:lang w:val="es-419"/>
              </w:rPr>
              <w:t>s</w:t>
            </w:r>
            <w:r w:rsidR="00910A7D" w:rsidRPr="00756410">
              <w:rPr>
                <w:sz w:val="20"/>
                <w:szCs w:val="20"/>
                <w:lang w:val="es-419"/>
              </w:rPr>
              <w:t xml:space="preserve">, como PCA o subvenciones, la aprobación del Gerente de Proyecto es manual y debe incluirse como un archivo adjunto al pago (ya sea </w:t>
            </w:r>
            <w:r w:rsidR="00A819E7">
              <w:rPr>
                <w:sz w:val="20"/>
                <w:szCs w:val="20"/>
                <w:lang w:val="es-419"/>
              </w:rPr>
              <w:t xml:space="preserve">mediante la </w:t>
            </w:r>
            <w:r w:rsidR="00910A7D" w:rsidRPr="00756410">
              <w:rPr>
                <w:sz w:val="20"/>
                <w:szCs w:val="20"/>
                <w:lang w:val="es-419"/>
              </w:rPr>
              <w:t xml:space="preserve">autorización por correo electrónico, firma física </w:t>
            </w:r>
            <w:r w:rsidR="00661797">
              <w:rPr>
                <w:sz w:val="20"/>
                <w:szCs w:val="20"/>
                <w:lang w:val="es-419"/>
              </w:rPr>
              <w:t xml:space="preserve">o electrónica </w:t>
            </w:r>
            <w:r w:rsidR="00910A7D" w:rsidRPr="00756410">
              <w:rPr>
                <w:sz w:val="20"/>
                <w:szCs w:val="20"/>
                <w:lang w:val="es-419"/>
              </w:rPr>
              <w:t xml:space="preserve">en la factura o similar) para mantener </w:t>
            </w:r>
            <w:r w:rsidR="00F7532B">
              <w:rPr>
                <w:sz w:val="20"/>
                <w:szCs w:val="20"/>
                <w:lang w:val="es-419"/>
              </w:rPr>
              <w:t>la trazabilidad de</w:t>
            </w:r>
            <w:r w:rsidR="00910A7D" w:rsidRPr="00756410">
              <w:rPr>
                <w:sz w:val="20"/>
                <w:szCs w:val="20"/>
                <w:lang w:val="es-419"/>
              </w:rPr>
              <w:t xml:space="preserve"> auditoría adecuada. En el caso de las facturas </w:t>
            </w:r>
            <w:r w:rsidR="00E57C57">
              <w:rPr>
                <w:sz w:val="20"/>
                <w:szCs w:val="20"/>
                <w:lang w:val="es-419"/>
              </w:rPr>
              <w:t>relacionadas con</w:t>
            </w:r>
            <w:r w:rsidR="00E57C57" w:rsidRPr="00756410">
              <w:rPr>
                <w:sz w:val="20"/>
                <w:szCs w:val="20"/>
                <w:lang w:val="es-419"/>
              </w:rPr>
              <w:t xml:space="preserve"> </w:t>
            </w:r>
            <w:r w:rsidR="00910A7D" w:rsidRPr="00756410">
              <w:rPr>
                <w:sz w:val="20"/>
                <w:szCs w:val="20"/>
                <w:lang w:val="es-419"/>
              </w:rPr>
              <w:t xml:space="preserve">varios proyectos, debe ser suficiente que </w:t>
            </w:r>
            <w:r w:rsidR="0011562F">
              <w:rPr>
                <w:sz w:val="20"/>
                <w:szCs w:val="20"/>
                <w:lang w:val="es-419"/>
              </w:rPr>
              <w:t>la oficina de país</w:t>
            </w:r>
            <w:r w:rsidR="00910A7D" w:rsidRPr="00756410">
              <w:rPr>
                <w:sz w:val="20"/>
                <w:szCs w:val="20"/>
                <w:lang w:val="es-419"/>
              </w:rPr>
              <w:t xml:space="preserve"> haya documentado su proceso de </w:t>
            </w:r>
            <w:r w:rsidR="005C0909">
              <w:rPr>
                <w:sz w:val="20"/>
                <w:szCs w:val="20"/>
                <w:lang w:val="es-419"/>
              </w:rPr>
              <w:t>distribución</w:t>
            </w:r>
            <w:r w:rsidR="0011562F">
              <w:rPr>
                <w:sz w:val="20"/>
                <w:szCs w:val="20"/>
                <w:lang w:val="es-419"/>
              </w:rPr>
              <w:t xml:space="preserve"> </w:t>
            </w:r>
            <w:r w:rsidR="005C0909">
              <w:rPr>
                <w:sz w:val="20"/>
                <w:szCs w:val="20"/>
                <w:lang w:val="es-419"/>
              </w:rPr>
              <w:t>de los costos</w:t>
            </w:r>
            <w:r w:rsidR="00910A7D" w:rsidRPr="00756410">
              <w:rPr>
                <w:sz w:val="20"/>
                <w:szCs w:val="20"/>
                <w:lang w:val="es-419"/>
              </w:rPr>
              <w:t xml:space="preserve">, incluida la metodología para la asignación de costes entre los </w:t>
            </w:r>
            <w:r w:rsidR="0054774F">
              <w:rPr>
                <w:sz w:val="20"/>
                <w:szCs w:val="20"/>
                <w:lang w:val="es-419"/>
              </w:rPr>
              <w:t>planes de cuentas (</w:t>
            </w:r>
            <w:r w:rsidR="00910A7D" w:rsidRPr="00756410">
              <w:rPr>
                <w:sz w:val="20"/>
                <w:szCs w:val="20"/>
                <w:lang w:val="es-419"/>
              </w:rPr>
              <w:t>COA</w:t>
            </w:r>
            <w:r w:rsidR="0054774F">
              <w:rPr>
                <w:sz w:val="20"/>
                <w:szCs w:val="20"/>
                <w:lang w:val="es-419"/>
              </w:rPr>
              <w:t xml:space="preserve"> por sus siglas en inglés)</w:t>
            </w:r>
            <w:r w:rsidR="00910A7D" w:rsidRPr="00756410">
              <w:rPr>
                <w:sz w:val="20"/>
                <w:szCs w:val="20"/>
                <w:lang w:val="es-419"/>
              </w:rPr>
              <w:t xml:space="preserve">, y que la factura (incluido el recibo de los pagos basados en órdenes de compra) esté firmada por un funcionario delegado en </w:t>
            </w:r>
            <w:r w:rsidR="0011562F">
              <w:rPr>
                <w:sz w:val="20"/>
                <w:szCs w:val="20"/>
                <w:lang w:val="es-419"/>
              </w:rPr>
              <w:t>la oficina de país</w:t>
            </w:r>
            <w:r w:rsidR="00910A7D" w:rsidRPr="00756410">
              <w:rPr>
                <w:sz w:val="20"/>
                <w:szCs w:val="20"/>
                <w:lang w:val="es-419"/>
              </w:rPr>
              <w:t xml:space="preserve">. </w:t>
            </w:r>
          </w:p>
        </w:tc>
      </w:tr>
      <w:tr w:rsidR="003D6AE3" w:rsidRPr="00773863" w14:paraId="4A049E17"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B32E193" w14:textId="05786049" w:rsidR="003D6AE3" w:rsidRPr="00756410" w:rsidRDefault="00127B50">
            <w:pPr>
              <w:pStyle w:val="ListParagraph"/>
              <w:numPr>
                <w:ilvl w:val="0"/>
                <w:numId w:val="19"/>
              </w:numPr>
              <w:rPr>
                <w:sz w:val="20"/>
                <w:szCs w:val="20"/>
                <w:lang w:val="es-419"/>
              </w:rPr>
            </w:pPr>
            <w:r w:rsidRPr="00756410">
              <w:rPr>
                <w:b/>
                <w:sz w:val="20"/>
                <w:szCs w:val="20"/>
                <w:lang w:val="es-419"/>
              </w:rPr>
              <w:lastRenderedPageBreak/>
              <w:t xml:space="preserve">Solicitar pagos y anticipos: Aprobar solicitudes de pago sin </w:t>
            </w:r>
            <w:r w:rsidR="007A7DA2">
              <w:rPr>
                <w:b/>
                <w:sz w:val="20"/>
                <w:szCs w:val="20"/>
                <w:lang w:val="es-419"/>
              </w:rPr>
              <w:t>solicitud</w:t>
            </w:r>
            <w:r w:rsidR="007A7DA2" w:rsidRPr="00756410">
              <w:rPr>
                <w:b/>
                <w:sz w:val="20"/>
                <w:szCs w:val="20"/>
                <w:lang w:val="es-419"/>
              </w:rPr>
              <w:t xml:space="preserve"> </w:t>
            </w:r>
            <w:r w:rsidRPr="00756410">
              <w:rPr>
                <w:b/>
                <w:sz w:val="20"/>
                <w:szCs w:val="20"/>
                <w:lang w:val="es-419"/>
              </w:rPr>
              <w:t>de compra y solicitudes de anticipo</w:t>
            </w:r>
          </w:p>
        </w:tc>
      </w:tr>
      <w:tr w:rsidR="003D6AE3" w:rsidRPr="00773863" w14:paraId="32662268" w14:textId="77777777" w:rsidTr="008C4953">
        <w:tc>
          <w:tcPr>
            <w:tcW w:w="9895" w:type="dxa"/>
            <w:tcBorders>
              <w:top w:val="single" w:sz="4" w:space="0" w:color="auto"/>
              <w:left w:val="single" w:sz="4" w:space="0" w:color="auto"/>
              <w:bottom w:val="single" w:sz="4" w:space="0" w:color="auto"/>
              <w:right w:val="single" w:sz="4" w:space="0" w:color="auto"/>
            </w:tcBorders>
          </w:tcPr>
          <w:p w14:paraId="45FDBDC6" w14:textId="601BF072" w:rsidR="003D6AE3" w:rsidRPr="00756410" w:rsidRDefault="00127B50" w:rsidP="00756410">
            <w:pPr>
              <w:pStyle w:val="ListParagraph"/>
              <w:numPr>
                <w:ilvl w:val="0"/>
                <w:numId w:val="21"/>
              </w:numPr>
              <w:jc w:val="both"/>
              <w:rPr>
                <w:sz w:val="20"/>
                <w:szCs w:val="20"/>
                <w:lang w:val="es-419"/>
              </w:rPr>
            </w:pPr>
            <w:r w:rsidRPr="00756410">
              <w:rPr>
                <w:b/>
                <w:bCs/>
                <w:sz w:val="20"/>
                <w:szCs w:val="20"/>
                <w:lang w:val="es-419"/>
              </w:rPr>
              <w:t xml:space="preserve">Aprobación de solicitudes de pago </w:t>
            </w:r>
            <w:r w:rsidR="007A7DA2">
              <w:rPr>
                <w:b/>
                <w:bCs/>
                <w:sz w:val="20"/>
                <w:szCs w:val="20"/>
                <w:lang w:val="es-419"/>
              </w:rPr>
              <w:t>sin</w:t>
            </w:r>
            <w:r w:rsidR="007A7DA2" w:rsidRPr="00756410">
              <w:rPr>
                <w:b/>
                <w:bCs/>
                <w:sz w:val="20"/>
                <w:szCs w:val="20"/>
                <w:lang w:val="es-419"/>
              </w:rPr>
              <w:t xml:space="preserve"> </w:t>
            </w:r>
            <w:r w:rsidRPr="00756410">
              <w:rPr>
                <w:b/>
                <w:bCs/>
                <w:sz w:val="20"/>
                <w:szCs w:val="20"/>
                <w:lang w:val="es-419"/>
              </w:rPr>
              <w:t>PO:</w:t>
            </w:r>
            <w:r w:rsidRPr="00756410">
              <w:rPr>
                <w:sz w:val="20"/>
                <w:szCs w:val="20"/>
                <w:lang w:val="es-419"/>
              </w:rPr>
              <w:t xml:space="preserve"> El </w:t>
            </w:r>
            <w:r w:rsidR="007A7DA2">
              <w:rPr>
                <w:sz w:val="20"/>
                <w:szCs w:val="20"/>
                <w:lang w:val="es-419"/>
              </w:rPr>
              <w:t>Gerente</w:t>
            </w:r>
            <w:r w:rsidR="007A7DA2" w:rsidRPr="00756410">
              <w:rPr>
                <w:sz w:val="20"/>
                <w:szCs w:val="20"/>
                <w:lang w:val="es-419"/>
              </w:rPr>
              <w:t xml:space="preserve"> </w:t>
            </w:r>
            <w:r w:rsidRPr="00756410">
              <w:rPr>
                <w:sz w:val="20"/>
                <w:szCs w:val="20"/>
                <w:lang w:val="es-419"/>
              </w:rPr>
              <w:t xml:space="preserve">de Proyecto es responsable de aprobar las solicitudes de pagos </w:t>
            </w:r>
            <w:r w:rsidR="00204EBB">
              <w:rPr>
                <w:sz w:val="20"/>
                <w:szCs w:val="20"/>
                <w:lang w:val="es-419"/>
              </w:rPr>
              <w:t>sin</w:t>
            </w:r>
            <w:r w:rsidR="007A7DA2" w:rsidRPr="00756410">
              <w:rPr>
                <w:sz w:val="20"/>
                <w:szCs w:val="20"/>
                <w:lang w:val="es-419"/>
              </w:rPr>
              <w:t xml:space="preserve"> </w:t>
            </w:r>
            <w:r w:rsidRPr="00756410">
              <w:rPr>
                <w:sz w:val="20"/>
                <w:szCs w:val="20"/>
                <w:lang w:val="es-419"/>
              </w:rPr>
              <w:t xml:space="preserve">PO (por ejemplo, solicitudes de pago de un taller de capacitación) después de confirmar que: (i) las actividades que se financiarán están dentro del mandato del PNUD; ii) el pago se ajusta a la contratación pública en virtud del </w:t>
            </w:r>
            <w:r w:rsidR="007A5918">
              <w:rPr>
                <w:sz w:val="20"/>
                <w:szCs w:val="20"/>
                <w:lang w:val="es-419"/>
              </w:rPr>
              <w:t>POPP</w:t>
            </w:r>
            <w:r w:rsidR="007A5918" w:rsidRPr="00756410">
              <w:rPr>
                <w:sz w:val="20"/>
                <w:szCs w:val="20"/>
                <w:lang w:val="es-419"/>
              </w:rPr>
              <w:t xml:space="preserve"> </w:t>
            </w:r>
            <w:r w:rsidRPr="00756410">
              <w:rPr>
                <w:sz w:val="20"/>
                <w:szCs w:val="20"/>
                <w:lang w:val="es-419"/>
              </w:rPr>
              <w:t xml:space="preserve">u otras </w:t>
            </w:r>
            <w:r w:rsidR="00204EBB">
              <w:rPr>
                <w:sz w:val="20"/>
                <w:szCs w:val="20"/>
                <w:lang w:val="es-419"/>
              </w:rPr>
              <w:t>normas</w:t>
            </w:r>
            <w:r w:rsidR="00204EBB" w:rsidRPr="00756410">
              <w:rPr>
                <w:sz w:val="20"/>
                <w:szCs w:val="20"/>
                <w:lang w:val="es-419"/>
              </w:rPr>
              <w:t xml:space="preserve"> </w:t>
            </w:r>
            <w:r w:rsidRPr="00756410">
              <w:rPr>
                <w:sz w:val="20"/>
                <w:szCs w:val="20"/>
                <w:lang w:val="es-419"/>
              </w:rPr>
              <w:t xml:space="preserve">aplicables; y (iii) se recibieron bienes, se prestaron servicios y/o se alcanzaron hitos </w:t>
            </w:r>
            <w:r w:rsidR="00556E9C">
              <w:rPr>
                <w:sz w:val="20"/>
                <w:szCs w:val="20"/>
                <w:lang w:val="es-419"/>
              </w:rPr>
              <w:t>en la ejecución del proyecto</w:t>
            </w:r>
            <w:r w:rsidRPr="00756410">
              <w:rPr>
                <w:sz w:val="20"/>
                <w:szCs w:val="20"/>
                <w:lang w:val="es-419"/>
              </w:rPr>
              <w:t xml:space="preserve">. Los gerentes de proyecto son responsables de resolver los errores presupuestarios que puedan ser identificados por las verificaciones automáticas de Quantum, o por BMS / GSSC, o la unidad </w:t>
            </w:r>
            <w:r w:rsidR="00EB29E9">
              <w:rPr>
                <w:sz w:val="20"/>
                <w:szCs w:val="20"/>
                <w:lang w:val="es-419"/>
              </w:rPr>
              <w:t>de finanzas</w:t>
            </w:r>
            <w:r w:rsidR="00EB29E9" w:rsidRPr="00756410">
              <w:rPr>
                <w:sz w:val="20"/>
                <w:szCs w:val="20"/>
                <w:lang w:val="es-419"/>
              </w:rPr>
              <w:t xml:space="preserve"> </w:t>
            </w:r>
            <w:r w:rsidRPr="00756410">
              <w:rPr>
                <w:sz w:val="20"/>
                <w:szCs w:val="20"/>
                <w:lang w:val="es-419"/>
              </w:rPr>
              <w:t xml:space="preserve">local (según corresponda), y de proporcionar explicaciones sobre el incumplimiento de </w:t>
            </w:r>
            <w:r w:rsidR="00EB29E9">
              <w:rPr>
                <w:sz w:val="20"/>
                <w:szCs w:val="20"/>
                <w:lang w:val="es-419"/>
              </w:rPr>
              <w:t>POPP</w:t>
            </w:r>
          </w:p>
        </w:tc>
      </w:tr>
      <w:tr w:rsidR="00910A7D" w:rsidRPr="00773863" w14:paraId="2CC6850B" w14:textId="77777777" w:rsidTr="008C4953">
        <w:tc>
          <w:tcPr>
            <w:tcW w:w="9895" w:type="dxa"/>
            <w:tcBorders>
              <w:top w:val="single" w:sz="4" w:space="0" w:color="auto"/>
              <w:left w:val="single" w:sz="4" w:space="0" w:color="auto"/>
              <w:bottom w:val="single" w:sz="4" w:space="0" w:color="auto"/>
              <w:right w:val="single" w:sz="4" w:space="0" w:color="auto"/>
            </w:tcBorders>
          </w:tcPr>
          <w:p w14:paraId="2133FED7" w14:textId="2AE42852" w:rsidR="00910A7D" w:rsidRPr="00756410" w:rsidRDefault="00910A7D" w:rsidP="00756410">
            <w:pPr>
              <w:pStyle w:val="ListParagraph"/>
              <w:numPr>
                <w:ilvl w:val="0"/>
                <w:numId w:val="21"/>
              </w:numPr>
              <w:spacing w:after="160"/>
              <w:jc w:val="both"/>
              <w:rPr>
                <w:sz w:val="20"/>
                <w:szCs w:val="20"/>
                <w:lang w:val="es-419"/>
              </w:rPr>
            </w:pPr>
            <w:r w:rsidRPr="00756410">
              <w:rPr>
                <w:b/>
                <w:sz w:val="20"/>
                <w:szCs w:val="20"/>
                <w:lang w:val="es-419"/>
              </w:rPr>
              <w:t>Aprobación de solicitudes de prepago:</w:t>
            </w:r>
            <w:r w:rsidRPr="00756410">
              <w:rPr>
                <w:sz w:val="20"/>
                <w:szCs w:val="20"/>
                <w:lang w:val="es-419"/>
              </w:rPr>
              <w:t xml:space="preserve"> El Gerente de Proyecto es responsable de garantizar que la solicitud de prepago cumpla con </w:t>
            </w:r>
            <w:r w:rsidR="00EB29E9">
              <w:rPr>
                <w:sz w:val="20"/>
                <w:szCs w:val="20"/>
                <w:lang w:val="es-419"/>
              </w:rPr>
              <w:t xml:space="preserve">el </w:t>
            </w:r>
            <w:r w:rsidRPr="00756410">
              <w:rPr>
                <w:sz w:val="20"/>
                <w:szCs w:val="20"/>
                <w:lang w:val="es-419"/>
              </w:rPr>
              <w:t xml:space="preserve">POPP. Los </w:t>
            </w:r>
            <w:r w:rsidR="001D4FE2">
              <w:rPr>
                <w:sz w:val="20"/>
                <w:szCs w:val="20"/>
                <w:lang w:val="es-419"/>
              </w:rPr>
              <w:t>prepagos</w:t>
            </w:r>
            <w:r w:rsidR="001D4FE2" w:rsidRPr="00756410">
              <w:rPr>
                <w:sz w:val="20"/>
                <w:szCs w:val="20"/>
                <w:lang w:val="es-419"/>
              </w:rPr>
              <w:t xml:space="preserve"> </w:t>
            </w:r>
            <w:r w:rsidRPr="00756410">
              <w:rPr>
                <w:sz w:val="20"/>
                <w:szCs w:val="20"/>
                <w:lang w:val="es-419"/>
              </w:rPr>
              <w:t>en Quantum se utilizan para lo siguiente:</w:t>
            </w:r>
          </w:p>
          <w:p w14:paraId="62C44F07" w14:textId="0DEBA2A4" w:rsidR="00910A7D" w:rsidRPr="00756410" w:rsidRDefault="00910A7D" w:rsidP="00756410">
            <w:pPr>
              <w:pStyle w:val="ListParagraph"/>
              <w:widowControl w:val="0"/>
              <w:numPr>
                <w:ilvl w:val="0"/>
                <w:numId w:val="22"/>
              </w:numPr>
              <w:autoSpaceDE w:val="0"/>
              <w:autoSpaceDN w:val="0"/>
              <w:spacing w:before="240" w:after="160"/>
              <w:jc w:val="both"/>
              <w:rPr>
                <w:sz w:val="20"/>
                <w:szCs w:val="20"/>
                <w:lang w:val="es-ES"/>
              </w:rPr>
            </w:pPr>
            <w:r w:rsidRPr="00756410">
              <w:rPr>
                <w:sz w:val="20"/>
                <w:szCs w:val="20"/>
                <w:lang w:val="es-ES"/>
              </w:rPr>
              <w:t xml:space="preserve">Anticipos a proveedores: consulte </w:t>
            </w:r>
            <w:r w:rsidR="006B6305">
              <w:rPr>
                <w:sz w:val="20"/>
                <w:szCs w:val="20"/>
                <w:lang w:val="es-ES"/>
              </w:rPr>
              <w:t xml:space="preserve">la política de </w:t>
            </w:r>
            <w:r w:rsidR="003231AE">
              <w:rPr>
                <w:sz w:val="20"/>
                <w:szCs w:val="20"/>
                <w:lang w:val="es-ES"/>
              </w:rPr>
              <w:t>“</w:t>
            </w:r>
            <w:hyperlink r:id="rId47" w:history="1">
              <w:r w:rsidRPr="00756410">
                <w:rPr>
                  <w:rStyle w:val="Hyperlink"/>
                  <w:i/>
                  <w:iCs/>
                  <w:lang w:val="es-ES"/>
                </w:rPr>
                <w:t>Pagos</w:t>
              </w:r>
              <w:r w:rsidRPr="00756410">
                <w:rPr>
                  <w:rStyle w:val="Hyperlink"/>
                  <w:lang w:val="es-ES"/>
                </w:rPr>
                <w:t xml:space="preserve"> </w:t>
              </w:r>
              <w:r w:rsidRPr="00756410">
                <w:rPr>
                  <w:rStyle w:val="Hyperlink"/>
                  <w:i/>
                  <w:iCs/>
                  <w:sz w:val="20"/>
                  <w:szCs w:val="20"/>
                  <w:lang w:val="es-ES"/>
                </w:rPr>
                <w:t>anticipados</w:t>
              </w:r>
              <w:r w:rsidR="003231AE" w:rsidRPr="003231AE">
                <w:rPr>
                  <w:rStyle w:val="Hyperlink"/>
                  <w:sz w:val="20"/>
                  <w:szCs w:val="20"/>
                  <w:lang w:val="es-ES"/>
                </w:rPr>
                <w:t>”</w:t>
              </w:r>
              <w:r w:rsidRPr="00756410">
                <w:rPr>
                  <w:rStyle w:val="Hyperlink"/>
                  <w:sz w:val="20"/>
                  <w:szCs w:val="20"/>
                  <w:lang w:val="es-ES"/>
                </w:rPr>
                <w:t xml:space="preserve"> de</w:t>
              </w:r>
              <w:r w:rsidR="006B6305" w:rsidRPr="003231AE">
                <w:rPr>
                  <w:rStyle w:val="Hyperlink"/>
                  <w:sz w:val="20"/>
                  <w:szCs w:val="20"/>
                  <w:lang w:val="es-ES"/>
                </w:rPr>
                <w:t>l</w:t>
              </w:r>
              <w:r w:rsidRPr="00756410">
                <w:rPr>
                  <w:rStyle w:val="Hyperlink"/>
                  <w:sz w:val="20"/>
                  <w:szCs w:val="20"/>
                  <w:lang w:val="es-ES"/>
                </w:rPr>
                <w:t xml:space="preserve"> POPP</w:t>
              </w:r>
            </w:hyperlink>
            <w:r w:rsidRPr="00756410">
              <w:rPr>
                <w:lang w:val="es-ES"/>
              </w:rPr>
              <w:t xml:space="preserve"> </w:t>
            </w:r>
            <w:r w:rsidRPr="00756410">
              <w:rPr>
                <w:sz w:val="20"/>
                <w:szCs w:val="20"/>
                <w:lang w:val="es-ES"/>
              </w:rPr>
              <w:t xml:space="preserve"> para conocer </w:t>
            </w:r>
            <w:r w:rsidR="001D4FE2" w:rsidRPr="00756410">
              <w:rPr>
                <w:sz w:val="20"/>
                <w:szCs w:val="20"/>
                <w:lang w:val="es-ES"/>
              </w:rPr>
              <w:t xml:space="preserve">sobre </w:t>
            </w:r>
            <w:r w:rsidRPr="00756410">
              <w:rPr>
                <w:sz w:val="20"/>
                <w:szCs w:val="20"/>
                <w:lang w:val="es-ES"/>
              </w:rPr>
              <w:t xml:space="preserve"> anticipos a proveedores.</w:t>
            </w:r>
          </w:p>
          <w:p w14:paraId="5DFAB939" w14:textId="4834886F" w:rsidR="00910A7D" w:rsidRPr="00756410" w:rsidRDefault="00910A7D" w:rsidP="00756410">
            <w:pPr>
              <w:pStyle w:val="ListParagraph"/>
              <w:widowControl w:val="0"/>
              <w:numPr>
                <w:ilvl w:val="0"/>
                <w:numId w:val="22"/>
              </w:numPr>
              <w:autoSpaceDE w:val="0"/>
              <w:autoSpaceDN w:val="0"/>
              <w:spacing w:after="160"/>
              <w:jc w:val="both"/>
              <w:rPr>
                <w:rStyle w:val="Hyperlink"/>
                <w:color w:val="auto"/>
                <w:sz w:val="20"/>
                <w:szCs w:val="20"/>
                <w:u w:val="none"/>
                <w:lang w:val="es-ES"/>
              </w:rPr>
            </w:pPr>
            <w:r w:rsidRPr="00756410">
              <w:rPr>
                <w:sz w:val="20"/>
                <w:szCs w:val="20"/>
                <w:lang w:val="es-ES"/>
              </w:rPr>
              <w:t>Transferencias directas de efectivo a socios implementadores o partes responsables (los anticipos o anticipos NEX se conocen como "</w:t>
            </w:r>
            <w:r w:rsidR="001A4E65" w:rsidRPr="00756410">
              <w:rPr>
                <w:sz w:val="20"/>
                <w:szCs w:val="20"/>
                <w:lang w:val="es-ES"/>
              </w:rPr>
              <w:t>prepayment</w:t>
            </w:r>
            <w:r w:rsidRPr="00756410">
              <w:rPr>
                <w:sz w:val="20"/>
                <w:szCs w:val="20"/>
                <w:lang w:val="es-ES"/>
              </w:rPr>
              <w:t xml:space="preserve">" en Quantum) - Consulte </w:t>
            </w:r>
            <w:r w:rsidR="006A2423">
              <w:rPr>
                <w:sz w:val="20"/>
                <w:szCs w:val="20"/>
                <w:lang w:val="es-ES"/>
              </w:rPr>
              <w:t xml:space="preserve">la política de </w:t>
            </w:r>
            <w:hyperlink r:id="rId48" w:history="1">
              <w:r w:rsidR="006A2423">
                <w:rPr>
                  <w:rStyle w:val="Hyperlink"/>
                  <w:sz w:val="20"/>
                  <w:szCs w:val="20"/>
                  <w:lang w:val="es-ES"/>
                </w:rPr>
                <w:t>”</w:t>
              </w:r>
              <w:r w:rsidR="006A2423">
                <w:rPr>
                  <w:rStyle w:val="Hyperlink"/>
                  <w:lang w:val="es-ES"/>
                </w:rPr>
                <w:t>T</w:t>
              </w:r>
              <w:r w:rsidR="001A4E65" w:rsidRPr="00756410">
                <w:rPr>
                  <w:rStyle w:val="Hyperlink"/>
                  <w:sz w:val="20"/>
                  <w:szCs w:val="20"/>
                  <w:lang w:val="es-ES"/>
                </w:rPr>
                <w:t>ransferencias directas de efectivo y reembolsos</w:t>
              </w:r>
              <w:r w:rsidR="006A2423">
                <w:rPr>
                  <w:rStyle w:val="Hyperlink"/>
                  <w:sz w:val="20"/>
                  <w:szCs w:val="20"/>
                  <w:lang w:val="es-ES"/>
                </w:rPr>
                <w:t>”</w:t>
              </w:r>
              <w:r w:rsidR="001A4E65" w:rsidRPr="00756410">
                <w:rPr>
                  <w:rStyle w:val="Hyperlink"/>
                  <w:sz w:val="20"/>
                  <w:szCs w:val="20"/>
                  <w:lang w:val="es-ES"/>
                </w:rPr>
                <w:t xml:space="preserve"> de</w:t>
              </w:r>
              <w:r w:rsidR="006A2423">
                <w:rPr>
                  <w:rStyle w:val="Hyperlink"/>
                  <w:sz w:val="20"/>
                  <w:szCs w:val="20"/>
                  <w:lang w:val="es-ES"/>
                </w:rPr>
                <w:t>l</w:t>
              </w:r>
              <w:r w:rsidR="001A4E65" w:rsidRPr="00756410">
                <w:rPr>
                  <w:rStyle w:val="Hyperlink"/>
                  <w:sz w:val="20"/>
                  <w:szCs w:val="20"/>
                  <w:lang w:val="es-ES"/>
                </w:rPr>
                <w:t xml:space="preserve"> POPP</w:t>
              </w:r>
            </w:hyperlink>
          </w:p>
          <w:p w14:paraId="0BB152EA" w14:textId="68091A56" w:rsidR="00910A7D" w:rsidRPr="00756410" w:rsidRDefault="00910A7D" w:rsidP="00756410">
            <w:pPr>
              <w:pStyle w:val="ListParagraph"/>
              <w:widowControl w:val="0"/>
              <w:numPr>
                <w:ilvl w:val="0"/>
                <w:numId w:val="22"/>
              </w:numPr>
              <w:autoSpaceDE w:val="0"/>
              <w:autoSpaceDN w:val="0"/>
              <w:jc w:val="both"/>
              <w:rPr>
                <w:sz w:val="20"/>
                <w:szCs w:val="20"/>
                <w:lang w:val="es-419"/>
              </w:rPr>
            </w:pPr>
            <w:r w:rsidRPr="00756410">
              <w:rPr>
                <w:sz w:val="20"/>
                <w:szCs w:val="20"/>
                <w:lang w:val="es-419"/>
              </w:rPr>
              <w:t xml:space="preserve">Efectivo para gastos menores y adelantos en efectivo para proyectos - Consulte </w:t>
            </w:r>
            <w:r w:rsidR="00AE7D4A">
              <w:rPr>
                <w:sz w:val="20"/>
                <w:szCs w:val="20"/>
                <w:lang w:val="es-419"/>
              </w:rPr>
              <w:t>la política de</w:t>
            </w:r>
            <w:r w:rsidR="00AE7D4A" w:rsidRPr="00756410">
              <w:rPr>
                <w:sz w:val="20"/>
                <w:szCs w:val="20"/>
                <w:lang w:val="es-419"/>
              </w:rPr>
              <w:t xml:space="preserve"> </w:t>
            </w:r>
            <w:hyperlink r:id="rId49">
              <w:r w:rsidR="00AE7D4A">
                <w:rPr>
                  <w:rStyle w:val="Hyperlink"/>
                  <w:sz w:val="20"/>
                  <w:szCs w:val="20"/>
                  <w:lang w:val="es-419"/>
                </w:rPr>
                <w:t>”</w:t>
              </w:r>
              <w:r w:rsidR="00AE7D4A" w:rsidRPr="00756410">
                <w:rPr>
                  <w:rStyle w:val="Hyperlink"/>
                  <w:i/>
                  <w:iCs/>
                  <w:lang w:val="es-ES"/>
                </w:rPr>
                <w:t>E</w:t>
              </w:r>
              <w:r w:rsidRPr="00756410">
                <w:rPr>
                  <w:rStyle w:val="Hyperlink"/>
                  <w:i/>
                  <w:iCs/>
                  <w:sz w:val="20"/>
                  <w:szCs w:val="20"/>
                  <w:lang w:val="es-419"/>
                </w:rPr>
                <w:t>fectivo para gastos menores y adelantos en efectivo para proyecto</w:t>
              </w:r>
              <w:r w:rsidR="00A5127B" w:rsidRPr="00756410">
                <w:rPr>
                  <w:rStyle w:val="Hyperlink"/>
                  <w:i/>
                  <w:iCs/>
                  <w:sz w:val="20"/>
                  <w:szCs w:val="20"/>
                  <w:lang w:val="es-419"/>
                </w:rPr>
                <w:t>s</w:t>
              </w:r>
              <w:r w:rsidR="00A5127B" w:rsidRPr="00756410">
                <w:rPr>
                  <w:rStyle w:val="Hyperlink"/>
                  <w:i/>
                  <w:iCs/>
                  <w:lang w:val="es-ES"/>
                </w:rPr>
                <w:t>”</w:t>
              </w:r>
            </w:hyperlink>
            <w:r w:rsidR="00AE7D4A" w:rsidRPr="00756410">
              <w:rPr>
                <w:lang w:val="es-ES"/>
              </w:rPr>
              <w:t xml:space="preserve"> del POPP. </w:t>
            </w:r>
          </w:p>
        </w:tc>
      </w:tr>
      <w:tr w:rsidR="00BF56B1" w:rsidRPr="00773863" w14:paraId="5E67FA82" w14:textId="77777777" w:rsidTr="008C4953">
        <w:tc>
          <w:tcPr>
            <w:tcW w:w="9895" w:type="dxa"/>
            <w:tcBorders>
              <w:top w:val="single" w:sz="4" w:space="0" w:color="auto"/>
              <w:left w:val="single" w:sz="4" w:space="0" w:color="auto"/>
              <w:bottom w:val="single" w:sz="4" w:space="0" w:color="auto"/>
              <w:right w:val="single" w:sz="4" w:space="0" w:color="auto"/>
            </w:tcBorders>
          </w:tcPr>
          <w:p w14:paraId="228EE15A" w14:textId="3A383790" w:rsidR="00BF56B1" w:rsidRPr="00756410" w:rsidRDefault="00BF56B1" w:rsidP="00756410">
            <w:pPr>
              <w:pStyle w:val="ListParagraph"/>
              <w:numPr>
                <w:ilvl w:val="0"/>
                <w:numId w:val="21"/>
              </w:numPr>
              <w:jc w:val="both"/>
              <w:rPr>
                <w:b/>
                <w:sz w:val="20"/>
                <w:szCs w:val="20"/>
                <w:lang w:val="es-419"/>
              </w:rPr>
            </w:pPr>
            <w:r w:rsidRPr="00756410">
              <w:rPr>
                <w:b/>
                <w:sz w:val="20"/>
                <w:szCs w:val="20"/>
                <w:lang w:val="es-419"/>
              </w:rPr>
              <w:t xml:space="preserve">Solicitudes de anticipo de </w:t>
            </w:r>
            <w:r w:rsidR="001A4E65">
              <w:rPr>
                <w:b/>
                <w:sz w:val="20"/>
                <w:szCs w:val="20"/>
                <w:lang w:val="es-419"/>
              </w:rPr>
              <w:t>salario</w:t>
            </w:r>
            <w:r w:rsidRPr="00756410">
              <w:rPr>
                <w:b/>
                <w:sz w:val="20"/>
                <w:szCs w:val="20"/>
                <w:lang w:val="es-419"/>
              </w:rPr>
              <w:t>:</w:t>
            </w:r>
            <w:r w:rsidRPr="00756410">
              <w:rPr>
                <w:sz w:val="20"/>
                <w:szCs w:val="20"/>
                <w:lang w:val="es-419"/>
              </w:rPr>
              <w:t xml:space="preserve"> se procesan a través de la herramienta de anticipo de </w:t>
            </w:r>
            <w:r w:rsidR="001A4E65">
              <w:rPr>
                <w:sz w:val="20"/>
                <w:szCs w:val="20"/>
                <w:lang w:val="es-419"/>
              </w:rPr>
              <w:t>s</w:t>
            </w:r>
            <w:r w:rsidR="00ED03C1">
              <w:rPr>
                <w:sz w:val="20"/>
                <w:szCs w:val="20"/>
                <w:lang w:val="es-419"/>
              </w:rPr>
              <w:t>a</w:t>
            </w:r>
            <w:r w:rsidR="001A4E65">
              <w:rPr>
                <w:sz w:val="20"/>
                <w:szCs w:val="20"/>
                <w:lang w:val="es-419"/>
              </w:rPr>
              <w:t>larios</w:t>
            </w:r>
            <w:r w:rsidR="001A4E65" w:rsidRPr="00756410">
              <w:rPr>
                <w:sz w:val="20"/>
                <w:szCs w:val="20"/>
                <w:lang w:val="es-419"/>
              </w:rPr>
              <w:t xml:space="preserve"> </w:t>
            </w:r>
            <w:r w:rsidRPr="00756410">
              <w:rPr>
                <w:sz w:val="20"/>
                <w:szCs w:val="20"/>
                <w:lang w:val="es-419"/>
              </w:rPr>
              <w:t xml:space="preserve">en línea y son aprobadas por </w:t>
            </w:r>
            <w:r w:rsidR="00ED03C1">
              <w:rPr>
                <w:sz w:val="20"/>
                <w:szCs w:val="20"/>
                <w:lang w:val="es-419"/>
              </w:rPr>
              <w:t>una Autoridad de</w:t>
            </w:r>
            <w:r w:rsidRPr="00756410">
              <w:rPr>
                <w:sz w:val="20"/>
                <w:szCs w:val="20"/>
                <w:lang w:val="es-419"/>
              </w:rPr>
              <w:t xml:space="preserve"> Aprobación. Consulte el </w:t>
            </w:r>
            <w:hyperlink r:id="rId50">
              <w:r w:rsidRPr="00756410">
                <w:rPr>
                  <w:rStyle w:val="Hyperlink"/>
                  <w:sz w:val="20"/>
                  <w:szCs w:val="20"/>
                  <w:lang w:val="es-419"/>
                </w:rPr>
                <w:t>SOP de anticipo de salario</w:t>
              </w:r>
            </w:hyperlink>
            <w:r w:rsidRPr="00756410">
              <w:rPr>
                <w:sz w:val="20"/>
                <w:szCs w:val="20"/>
                <w:lang w:val="es-419"/>
              </w:rPr>
              <w:t xml:space="preserve"> para obtener más información.</w:t>
            </w:r>
          </w:p>
        </w:tc>
      </w:tr>
      <w:tr w:rsidR="003D6AE3" w:rsidRPr="00773863" w14:paraId="4EE55BFE"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32F7698" w14:textId="02BA5C3D" w:rsidR="003D6AE3" w:rsidRPr="00756410" w:rsidRDefault="00127B50">
            <w:pPr>
              <w:pStyle w:val="ListParagraph"/>
              <w:numPr>
                <w:ilvl w:val="0"/>
                <w:numId w:val="19"/>
              </w:numPr>
              <w:rPr>
                <w:sz w:val="20"/>
                <w:szCs w:val="20"/>
                <w:lang w:val="es-419"/>
              </w:rPr>
            </w:pPr>
            <w:r w:rsidRPr="00756410">
              <w:rPr>
                <w:b/>
                <w:sz w:val="20"/>
                <w:szCs w:val="20"/>
                <w:lang w:val="es-419"/>
              </w:rPr>
              <w:t>Recepción de bienes, servicios y obras: Verificar recepción</w:t>
            </w:r>
          </w:p>
        </w:tc>
      </w:tr>
      <w:tr w:rsidR="003D6AE3" w:rsidRPr="00773863" w14:paraId="1539484C" w14:textId="77777777" w:rsidTr="008C4953">
        <w:tc>
          <w:tcPr>
            <w:tcW w:w="9895" w:type="dxa"/>
            <w:tcBorders>
              <w:top w:val="single" w:sz="4" w:space="0" w:color="auto"/>
              <w:left w:val="single" w:sz="4" w:space="0" w:color="auto"/>
              <w:bottom w:val="single" w:sz="4" w:space="0" w:color="auto"/>
              <w:right w:val="single" w:sz="4" w:space="0" w:color="auto"/>
            </w:tcBorders>
          </w:tcPr>
          <w:p w14:paraId="199B47B3" w14:textId="11BC8904" w:rsidR="00127B50" w:rsidRPr="00756410" w:rsidRDefault="00127B50" w:rsidP="00756410">
            <w:pPr>
              <w:jc w:val="both"/>
              <w:rPr>
                <w:rFonts w:cstheme="minorHAnsi"/>
                <w:sz w:val="20"/>
                <w:szCs w:val="20"/>
                <w:lang w:val="es-419"/>
              </w:rPr>
            </w:pPr>
            <w:r w:rsidRPr="00756410">
              <w:rPr>
                <w:sz w:val="20"/>
                <w:szCs w:val="20"/>
                <w:lang w:val="es-419"/>
              </w:rPr>
              <w:t>Los gerentes de proyecto son responsables de verificar, documentar y registrar la recepción satisfactoria de bienes, servicios y obras en Quantum de manera oportuna de acuerdo con</w:t>
            </w:r>
            <w:r w:rsidR="00A10222">
              <w:rPr>
                <w:sz w:val="20"/>
                <w:szCs w:val="20"/>
                <w:lang w:val="es-419"/>
              </w:rPr>
              <w:t xml:space="preserve"> </w:t>
            </w:r>
            <w:r w:rsidR="00A10222" w:rsidRPr="00914285">
              <w:rPr>
                <w:sz w:val="20"/>
                <w:szCs w:val="20"/>
                <w:lang w:val="es-419"/>
              </w:rPr>
              <w:t>en</w:t>
            </w:r>
            <w:r w:rsidR="00A10222">
              <w:rPr>
                <w:sz w:val="20"/>
                <w:szCs w:val="20"/>
                <w:lang w:val="es-419"/>
              </w:rPr>
              <w:t xml:space="preserve"> la política</w:t>
            </w:r>
            <w:r w:rsidR="00A10222">
              <w:rPr>
                <w:rFonts w:cstheme="minorHAnsi"/>
                <w:sz w:val="20"/>
                <w:szCs w:val="20"/>
                <w:lang w:val="es-419"/>
              </w:rPr>
              <w:t xml:space="preserve"> de</w:t>
            </w:r>
            <w:r w:rsidR="00A10222" w:rsidRPr="00914285">
              <w:rPr>
                <w:rFonts w:cstheme="minorHAnsi"/>
                <w:sz w:val="20"/>
                <w:szCs w:val="20"/>
                <w:lang w:val="es-419"/>
              </w:rPr>
              <w:t xml:space="preserve"> </w:t>
            </w:r>
            <w:hyperlink r:id="rId51">
              <w:r w:rsidR="00A10222" w:rsidRPr="00DE6972">
                <w:rPr>
                  <w:rStyle w:val="Hyperlink"/>
                  <w:rFonts w:cstheme="minorHAnsi"/>
                  <w:sz w:val="20"/>
                  <w:szCs w:val="20"/>
                  <w:lang w:val="es-419"/>
                </w:rPr>
                <w:t>“</w:t>
              </w:r>
              <w:r w:rsidR="00A10222" w:rsidRPr="00914285">
                <w:rPr>
                  <w:rStyle w:val="Hyperlink"/>
                  <w:rFonts w:cstheme="minorHAnsi"/>
                  <w:i/>
                  <w:iCs/>
                  <w:sz w:val="20"/>
                  <w:szCs w:val="20"/>
                  <w:lang w:val="es-419"/>
                </w:rPr>
                <w:t>R</w:t>
              </w:r>
              <w:r w:rsidR="00A10222" w:rsidRPr="00914285">
                <w:rPr>
                  <w:rStyle w:val="Hyperlink"/>
                  <w:rFonts w:cstheme="minorHAnsi"/>
                  <w:i/>
                  <w:iCs/>
                  <w:sz w:val="20"/>
                  <w:szCs w:val="20"/>
                  <w:lang w:val="es-ES"/>
                </w:rPr>
                <w:t xml:space="preserve">ecepción de </w:t>
              </w:r>
              <w:r w:rsidR="00A10222" w:rsidRPr="00914285">
                <w:rPr>
                  <w:rStyle w:val="Hyperlink"/>
                  <w:rFonts w:cstheme="minorHAnsi"/>
                  <w:i/>
                  <w:iCs/>
                  <w:sz w:val="20"/>
                  <w:szCs w:val="20"/>
                  <w:lang w:val="es-419"/>
                </w:rPr>
                <w:t>bienes, servicios y obras</w:t>
              </w:r>
              <w:r w:rsidR="00A10222" w:rsidRPr="00DE6972">
                <w:rPr>
                  <w:rStyle w:val="Hyperlink"/>
                  <w:rFonts w:cstheme="minorHAnsi"/>
                  <w:sz w:val="20"/>
                  <w:szCs w:val="20"/>
                  <w:lang w:val="es-419"/>
                </w:rPr>
                <w:t>”</w:t>
              </w:r>
              <w:r w:rsidR="00A10222" w:rsidRPr="00914285">
                <w:rPr>
                  <w:rStyle w:val="Hyperlink"/>
                  <w:rFonts w:cstheme="minorHAnsi"/>
                  <w:sz w:val="20"/>
                  <w:szCs w:val="20"/>
                  <w:lang w:val="es-419"/>
                </w:rPr>
                <w:t xml:space="preserve"> de</w:t>
              </w:r>
              <w:r w:rsidR="00A10222" w:rsidRPr="00DE6972">
                <w:rPr>
                  <w:rStyle w:val="Hyperlink"/>
                  <w:rFonts w:cstheme="minorHAnsi"/>
                  <w:sz w:val="20"/>
                  <w:szCs w:val="20"/>
                  <w:lang w:val="es-419"/>
                </w:rPr>
                <w:t>l</w:t>
              </w:r>
              <w:r w:rsidR="00A10222" w:rsidRPr="00914285">
                <w:rPr>
                  <w:rStyle w:val="Hyperlink"/>
                  <w:rFonts w:cstheme="minorHAnsi"/>
                  <w:sz w:val="20"/>
                  <w:szCs w:val="20"/>
                  <w:lang w:val="es-419"/>
                </w:rPr>
                <w:t xml:space="preserve"> POPP</w:t>
              </w:r>
            </w:hyperlink>
            <w:r w:rsidR="00A10222" w:rsidRPr="00914285">
              <w:rPr>
                <w:sz w:val="20"/>
                <w:szCs w:val="20"/>
                <w:lang w:val="es-419"/>
              </w:rPr>
              <w:t>.</w:t>
            </w:r>
            <w:r w:rsidRPr="00756410">
              <w:rPr>
                <w:sz w:val="20"/>
                <w:szCs w:val="20"/>
                <w:lang w:val="es-419"/>
              </w:rPr>
              <w:t xml:space="preserve">  </w:t>
            </w:r>
          </w:p>
          <w:p w14:paraId="354AE4D3" w14:textId="6976A7C0" w:rsidR="003D6AE3" w:rsidRPr="00756410" w:rsidRDefault="00127B50" w:rsidP="00756410">
            <w:pPr>
              <w:pStyle w:val="ListParagraph"/>
              <w:numPr>
                <w:ilvl w:val="0"/>
                <w:numId w:val="21"/>
              </w:numPr>
              <w:jc w:val="both"/>
              <w:rPr>
                <w:sz w:val="20"/>
                <w:szCs w:val="20"/>
                <w:lang w:val="es-419"/>
              </w:rPr>
            </w:pPr>
            <w:r w:rsidRPr="00756410">
              <w:rPr>
                <w:b/>
                <w:bCs/>
                <w:sz w:val="20"/>
                <w:szCs w:val="20"/>
                <w:lang w:val="es-419"/>
              </w:rPr>
              <w:t xml:space="preserve">Quién puede hacerlo: </w:t>
            </w:r>
            <w:r w:rsidRPr="00756410">
              <w:rPr>
                <w:sz w:val="20"/>
                <w:szCs w:val="20"/>
                <w:lang w:val="es-419"/>
              </w:rPr>
              <w:t xml:space="preserve">El gerente de proyecto asignado en Quantum tiene la responsabilidad general de la gestión del proyecto y debe asegurarse de que la recepción se realice de manera adecuada, pero la recepción real en el sistema puede ser </w:t>
            </w:r>
            <w:r w:rsidR="00FD6CA7">
              <w:rPr>
                <w:sz w:val="20"/>
                <w:szCs w:val="20"/>
                <w:lang w:val="es-419"/>
              </w:rPr>
              <w:t>sub-</w:t>
            </w:r>
            <w:r w:rsidRPr="00756410">
              <w:rPr>
                <w:sz w:val="20"/>
                <w:szCs w:val="20"/>
                <w:lang w:val="es-419"/>
              </w:rPr>
              <w:t xml:space="preserve">delegada por el gerente de proyecto asignado, incluso en situaciones en las que otra </w:t>
            </w:r>
            <w:r w:rsidR="00B7482C">
              <w:rPr>
                <w:sz w:val="20"/>
                <w:szCs w:val="20"/>
                <w:lang w:val="es-419"/>
              </w:rPr>
              <w:t>unidad de negocio</w:t>
            </w:r>
            <w:r w:rsidR="00B7482C" w:rsidRPr="00756410">
              <w:rPr>
                <w:sz w:val="20"/>
                <w:szCs w:val="20"/>
                <w:lang w:val="es-419"/>
              </w:rPr>
              <w:t xml:space="preserve"> </w:t>
            </w:r>
            <w:r w:rsidRPr="00756410">
              <w:rPr>
                <w:sz w:val="20"/>
                <w:szCs w:val="20"/>
                <w:lang w:val="es-419"/>
              </w:rPr>
              <w:t>realiza la recepción (por ejemplo, BMS / PSU). Dependiendo del tamaño del proyecto y los volúmenes, los gerentes de proyecto pueden delegar esta función a otro personal del proyecto. Cuando los volúmenes sean significativos, esta delegación debe hacerse por escrito y con copia al Gerente de Operaciones, para que la unidad de finanzas esté al tanto de la delegación. Las copias de esta delegación deben conservarse y archivarse electrónicamente. En muchas oficinas</w:t>
            </w:r>
            <w:r w:rsidR="00FD6CA7">
              <w:rPr>
                <w:sz w:val="20"/>
                <w:szCs w:val="20"/>
                <w:lang w:val="es-419"/>
              </w:rPr>
              <w:t xml:space="preserve"> o </w:t>
            </w:r>
            <w:r w:rsidRPr="00756410">
              <w:rPr>
                <w:sz w:val="20"/>
                <w:szCs w:val="20"/>
                <w:lang w:val="es-419"/>
              </w:rPr>
              <w:t>unidades, el miembro del personal que recibe físicamente los bienes confirma la recepción de los bienes y envía dicha confirmación al Gerente de Proyecto para su aprobación por escrito antes de registrar el recibo en Quantum. La función "</w:t>
            </w:r>
            <w:r w:rsidR="0076638A" w:rsidRPr="00756410">
              <w:rPr>
                <w:sz w:val="20"/>
                <w:szCs w:val="20"/>
                <w:lang w:val="es-419"/>
              </w:rPr>
              <w:t>Recep</w:t>
            </w:r>
            <w:r w:rsidR="0076638A">
              <w:rPr>
                <w:sz w:val="20"/>
                <w:szCs w:val="20"/>
                <w:lang w:val="es-419"/>
              </w:rPr>
              <w:t>ci</w:t>
            </w:r>
            <w:r w:rsidR="004F64D1">
              <w:rPr>
                <w:sz w:val="20"/>
                <w:szCs w:val="20"/>
                <w:lang w:val="es-419"/>
              </w:rPr>
              <w:t>ó</w:t>
            </w:r>
            <w:r w:rsidR="0076638A">
              <w:rPr>
                <w:sz w:val="20"/>
                <w:szCs w:val="20"/>
                <w:lang w:val="es-419"/>
              </w:rPr>
              <w:t>n</w:t>
            </w:r>
            <w:r w:rsidR="0076638A" w:rsidRPr="00756410">
              <w:rPr>
                <w:sz w:val="20"/>
                <w:szCs w:val="20"/>
                <w:lang w:val="es-419"/>
              </w:rPr>
              <w:t xml:space="preserve"> </w:t>
            </w:r>
            <w:r w:rsidRPr="00756410">
              <w:rPr>
                <w:sz w:val="20"/>
                <w:szCs w:val="20"/>
                <w:lang w:val="es-419"/>
              </w:rPr>
              <w:t xml:space="preserve">de gastos" se incluye en el perfil </w:t>
            </w:r>
            <w:r w:rsidR="0076638A">
              <w:rPr>
                <w:sz w:val="20"/>
                <w:szCs w:val="20"/>
                <w:lang w:val="es-419"/>
              </w:rPr>
              <w:t>de usuario</w:t>
            </w:r>
            <w:r w:rsidR="0076638A" w:rsidRPr="00756410">
              <w:rPr>
                <w:sz w:val="20"/>
                <w:szCs w:val="20"/>
                <w:lang w:val="es-419"/>
              </w:rPr>
              <w:t xml:space="preserve"> </w:t>
            </w:r>
            <w:r w:rsidRPr="00756410">
              <w:rPr>
                <w:sz w:val="20"/>
                <w:szCs w:val="20"/>
                <w:lang w:val="es-419"/>
              </w:rPr>
              <w:t xml:space="preserve">del </w:t>
            </w:r>
            <w:r w:rsidR="0076638A">
              <w:rPr>
                <w:sz w:val="20"/>
                <w:szCs w:val="20"/>
                <w:lang w:val="es-419"/>
              </w:rPr>
              <w:t>gerente</w:t>
            </w:r>
            <w:r w:rsidR="0076638A" w:rsidRPr="00756410">
              <w:rPr>
                <w:sz w:val="20"/>
                <w:szCs w:val="20"/>
                <w:lang w:val="es-419"/>
              </w:rPr>
              <w:t xml:space="preserve"> </w:t>
            </w:r>
            <w:r w:rsidRPr="00756410">
              <w:rPr>
                <w:sz w:val="20"/>
                <w:szCs w:val="20"/>
                <w:lang w:val="es-419"/>
              </w:rPr>
              <w:t>de proyectos y se puede asignar como un rol complementario en IDAM El rol "</w:t>
            </w:r>
            <w:r w:rsidR="00221988" w:rsidRPr="00221988">
              <w:rPr>
                <w:sz w:val="20"/>
                <w:szCs w:val="20"/>
                <w:lang w:val="es-419"/>
              </w:rPr>
              <w:t>Rece</w:t>
            </w:r>
            <w:r w:rsidR="00221988">
              <w:rPr>
                <w:sz w:val="20"/>
                <w:szCs w:val="20"/>
                <w:lang w:val="es-419"/>
              </w:rPr>
              <w:t xml:space="preserve">pción </w:t>
            </w:r>
            <w:r w:rsidRPr="00756410">
              <w:rPr>
                <w:sz w:val="20"/>
                <w:szCs w:val="20"/>
                <w:lang w:val="es-419"/>
              </w:rPr>
              <w:t xml:space="preserve"> de gastos" se puede asignar a otros usuarios de Quantum además de los </w:t>
            </w:r>
            <w:r w:rsidR="00221988">
              <w:rPr>
                <w:sz w:val="20"/>
                <w:szCs w:val="20"/>
                <w:lang w:val="es-419"/>
              </w:rPr>
              <w:t>gerentes</w:t>
            </w:r>
            <w:r w:rsidR="00221988" w:rsidRPr="00756410">
              <w:rPr>
                <w:sz w:val="20"/>
                <w:szCs w:val="20"/>
                <w:lang w:val="es-419"/>
              </w:rPr>
              <w:t xml:space="preserve"> </w:t>
            </w:r>
            <w:r w:rsidRPr="00756410">
              <w:rPr>
                <w:sz w:val="20"/>
                <w:szCs w:val="20"/>
                <w:lang w:val="es-419"/>
              </w:rPr>
              <w:t>de proyectos, incluidos los usuarios generales o el gestor L1-2/SM. IDAM no permitirá que el rol "</w:t>
            </w:r>
            <w:r w:rsidR="00144ABF">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Re</w:t>
            </w:r>
            <w:r w:rsidRPr="00756410">
              <w:rPr>
                <w:sz w:val="20"/>
                <w:szCs w:val="20"/>
                <w:lang w:val="es-419"/>
              </w:rPr>
              <w:t xml:space="preserve">de gastos" se asigne al personal con un perfil de </w:t>
            </w:r>
            <w:r w:rsidR="00144ABF">
              <w:rPr>
                <w:sz w:val="20"/>
                <w:szCs w:val="20"/>
                <w:lang w:val="es-419"/>
              </w:rPr>
              <w:t xml:space="preserve">usuario </w:t>
            </w:r>
            <w:r w:rsidRPr="00756410">
              <w:rPr>
                <w:sz w:val="20"/>
                <w:szCs w:val="20"/>
                <w:lang w:val="es-419"/>
              </w:rPr>
              <w:t xml:space="preserve">de comprador. </w:t>
            </w:r>
            <w:r w:rsidRPr="00756410">
              <w:rPr>
                <w:b/>
                <w:bCs/>
                <w:sz w:val="20"/>
                <w:szCs w:val="20"/>
                <w:lang w:val="es-419"/>
              </w:rPr>
              <w:t>Recuerde:</w:t>
            </w:r>
            <w:r w:rsidRPr="00756410">
              <w:rPr>
                <w:sz w:val="20"/>
                <w:szCs w:val="20"/>
                <w:lang w:val="es-419"/>
              </w:rPr>
              <w:t xml:space="preserve"> Los compradores no pueden recibir bienes, servicios u obras.</w:t>
            </w:r>
          </w:p>
        </w:tc>
      </w:tr>
      <w:tr w:rsidR="000811B5" w:rsidRPr="00773863" w14:paraId="587B640F" w14:textId="77777777" w:rsidTr="008C4953">
        <w:tc>
          <w:tcPr>
            <w:tcW w:w="9895" w:type="dxa"/>
            <w:tcBorders>
              <w:top w:val="single" w:sz="4" w:space="0" w:color="auto"/>
              <w:left w:val="single" w:sz="4" w:space="0" w:color="auto"/>
              <w:bottom w:val="single" w:sz="4" w:space="0" w:color="auto"/>
              <w:right w:val="single" w:sz="4" w:space="0" w:color="auto"/>
            </w:tcBorders>
          </w:tcPr>
          <w:p w14:paraId="3EDA51A8" w14:textId="40EF584E" w:rsidR="000811B5" w:rsidRPr="00756410" w:rsidRDefault="000811B5" w:rsidP="00756410">
            <w:pPr>
              <w:pStyle w:val="pf0"/>
              <w:numPr>
                <w:ilvl w:val="0"/>
                <w:numId w:val="21"/>
              </w:numPr>
              <w:spacing w:after="0" w:afterAutospacing="0"/>
              <w:jc w:val="both"/>
              <w:rPr>
                <w:rFonts w:asciiTheme="minorHAnsi" w:hAnsiTheme="minorHAnsi" w:cstheme="minorBidi"/>
                <w:sz w:val="20"/>
                <w:szCs w:val="20"/>
                <w:lang w:val="es-419"/>
              </w:rPr>
            </w:pPr>
            <w:r w:rsidRPr="00756410">
              <w:rPr>
                <w:rFonts w:asciiTheme="minorHAnsi" w:hAnsiTheme="minorHAnsi" w:cstheme="minorBidi"/>
                <w:b/>
                <w:bCs/>
                <w:sz w:val="20"/>
                <w:szCs w:val="20"/>
                <w:lang w:val="es-419"/>
              </w:rPr>
              <w:t xml:space="preserve">¿Por qué es importante la recepción? </w:t>
            </w:r>
            <w:r w:rsidRPr="00756410">
              <w:rPr>
                <w:rFonts w:asciiTheme="minorHAnsi" w:hAnsiTheme="minorHAnsi" w:cstheme="minorBidi"/>
                <w:sz w:val="20"/>
                <w:szCs w:val="20"/>
                <w:lang w:val="es-419"/>
              </w:rPr>
              <w:t xml:space="preserve">La función de recepción es una función crítica que debe realizarse con cuidado y diligencia, y esto debe tenerse en cuenta al asignar la función de </w:t>
            </w:r>
            <w:r w:rsidR="000763A3">
              <w:rPr>
                <w:rFonts w:asciiTheme="minorHAnsi" w:hAnsiTheme="minorHAnsi" w:cstheme="minorBidi"/>
                <w:sz w:val="20"/>
                <w:szCs w:val="20"/>
                <w:lang w:val="es-419"/>
              </w:rPr>
              <w:t xml:space="preserve">recepción </w:t>
            </w:r>
            <w:r w:rsidRPr="00756410">
              <w:rPr>
                <w:rFonts w:asciiTheme="minorHAnsi" w:hAnsiTheme="minorHAnsi" w:cstheme="minorBidi"/>
                <w:sz w:val="20"/>
                <w:szCs w:val="20"/>
                <w:lang w:val="es-419"/>
              </w:rPr>
              <w:t xml:space="preserve">de gastos. La fecha de recepción juega un papel muy importante en: (i) activar el registro de gastos cuando corresponda, (ii) registro de activos fijos, (iii) título y seguro, (iv) gestión y control y (v) todos los derechos asociados con el </w:t>
            </w:r>
            <w:r w:rsidR="00DA2F89">
              <w:rPr>
                <w:rFonts w:asciiTheme="minorHAnsi" w:hAnsiTheme="minorHAnsi" w:cstheme="minorBidi"/>
                <w:sz w:val="20"/>
                <w:szCs w:val="20"/>
                <w:lang w:val="es-419"/>
              </w:rPr>
              <w:t>item</w:t>
            </w:r>
            <w:r w:rsidRPr="00756410">
              <w:rPr>
                <w:rFonts w:asciiTheme="minorHAnsi" w:hAnsiTheme="minorHAnsi" w:cstheme="minorBidi"/>
                <w:sz w:val="20"/>
                <w:szCs w:val="20"/>
                <w:lang w:val="es-419"/>
              </w:rPr>
              <w:t xml:space="preserve">. </w:t>
            </w:r>
            <w:r w:rsidRPr="00756410">
              <w:rPr>
                <w:rFonts w:asciiTheme="minorHAnsi" w:hAnsiTheme="minorHAnsi" w:cstheme="minorBidi"/>
                <w:b/>
                <w:bCs/>
                <w:color w:val="4472C4" w:themeColor="accent1"/>
                <w:sz w:val="20"/>
                <w:szCs w:val="20"/>
                <w:lang w:val="es-419"/>
              </w:rPr>
              <w:t xml:space="preserve">¡Alerta contable importante! </w:t>
            </w:r>
            <w:r w:rsidRPr="00756410">
              <w:rPr>
                <w:rFonts w:asciiTheme="minorHAnsi" w:hAnsiTheme="minorHAnsi" w:cstheme="minorBidi"/>
                <w:sz w:val="20"/>
                <w:szCs w:val="20"/>
                <w:lang w:val="es-419"/>
              </w:rPr>
              <w:t xml:space="preserve">Si no se hace de manera completa y precisa, la recepción puede afectar significativamente la preparación de los estados contables y financieros del PNUD.  </w:t>
            </w:r>
            <w:r w:rsidR="00B572E2" w:rsidRPr="00756410">
              <w:rPr>
                <w:rStyle w:val="cf01"/>
                <w:rFonts w:asciiTheme="minorHAnsi" w:hAnsiTheme="minorHAnsi" w:cstheme="minorBidi"/>
                <w:sz w:val="20"/>
                <w:szCs w:val="20"/>
                <w:lang w:val="es-419"/>
              </w:rPr>
              <w:t xml:space="preserve">La recepción incorrecta también puede resultar en un pago excesivo o </w:t>
            </w:r>
            <w:r w:rsidR="00B572E2" w:rsidRPr="00756410">
              <w:rPr>
                <w:rStyle w:val="cf01"/>
                <w:rFonts w:asciiTheme="minorHAnsi" w:hAnsiTheme="minorHAnsi" w:cstheme="minorBidi"/>
                <w:sz w:val="20"/>
                <w:szCs w:val="20"/>
                <w:lang w:val="es-419"/>
              </w:rPr>
              <w:lastRenderedPageBreak/>
              <w:t xml:space="preserve">insuficiente </w:t>
            </w:r>
            <w:r w:rsidR="001C4DF3">
              <w:rPr>
                <w:rStyle w:val="cf01"/>
                <w:rFonts w:asciiTheme="minorHAnsi" w:hAnsiTheme="minorHAnsi" w:cstheme="minorBidi"/>
                <w:sz w:val="20"/>
                <w:szCs w:val="20"/>
                <w:lang w:val="es-419"/>
              </w:rPr>
              <w:t>a</w:t>
            </w:r>
            <w:r w:rsidR="001C4DF3" w:rsidRPr="00756410">
              <w:rPr>
                <w:rStyle w:val="cf01"/>
                <w:rFonts w:asciiTheme="minorHAnsi" w:hAnsiTheme="minorHAnsi" w:cstheme="minorBidi"/>
                <w:sz w:val="20"/>
                <w:szCs w:val="20"/>
                <w:lang w:val="es-419"/>
              </w:rPr>
              <w:t xml:space="preserve"> </w:t>
            </w:r>
            <w:r w:rsidR="00B572E2" w:rsidRPr="00756410">
              <w:rPr>
                <w:rStyle w:val="cf01"/>
                <w:rFonts w:asciiTheme="minorHAnsi" w:hAnsiTheme="minorHAnsi" w:cstheme="minorBidi"/>
                <w:sz w:val="20"/>
                <w:szCs w:val="20"/>
                <w:lang w:val="es-419"/>
              </w:rPr>
              <w:t xml:space="preserve">los proveedores por el trabajo que han realizado. </w:t>
            </w:r>
            <w:r w:rsidRPr="00756410">
              <w:rPr>
                <w:rFonts w:asciiTheme="minorHAnsi" w:hAnsiTheme="minorHAnsi" w:cstheme="minorBidi"/>
                <w:sz w:val="20"/>
                <w:szCs w:val="20"/>
                <w:lang w:val="es-419"/>
              </w:rPr>
              <w:t>Los diferentes escenarios y sus instrucciones específicas de recepción se detallan en</w:t>
            </w:r>
            <w:r w:rsidR="00DE6972">
              <w:rPr>
                <w:rFonts w:asciiTheme="minorHAnsi" w:hAnsiTheme="minorHAnsi" w:cstheme="minorBidi"/>
                <w:sz w:val="20"/>
                <w:szCs w:val="20"/>
                <w:lang w:val="es-419"/>
              </w:rPr>
              <w:t xml:space="preserve"> la política</w:t>
            </w:r>
            <w:r w:rsidR="00DE6972">
              <w:rPr>
                <w:rFonts w:asciiTheme="minorHAnsi" w:hAnsiTheme="minorHAnsi" w:cstheme="minorHAnsi"/>
                <w:sz w:val="20"/>
                <w:szCs w:val="20"/>
                <w:lang w:val="es-419"/>
              </w:rPr>
              <w:t xml:space="preserve"> de</w:t>
            </w:r>
            <w:r w:rsidRPr="00756410">
              <w:rPr>
                <w:rFonts w:asciiTheme="minorHAnsi" w:hAnsiTheme="minorHAnsi" w:cstheme="minorHAnsi"/>
                <w:sz w:val="20"/>
                <w:szCs w:val="20"/>
                <w:lang w:val="es-419"/>
              </w:rPr>
              <w:t xml:space="preserve"> </w:t>
            </w:r>
            <w:hyperlink r:id="rId52">
              <w:r w:rsidR="00DE6972" w:rsidRPr="00DE6972">
                <w:rPr>
                  <w:rStyle w:val="Hyperlink"/>
                  <w:rFonts w:asciiTheme="minorHAnsi" w:hAnsiTheme="minorHAnsi" w:cstheme="minorHAnsi"/>
                  <w:sz w:val="20"/>
                  <w:szCs w:val="20"/>
                  <w:lang w:val="es-419"/>
                </w:rPr>
                <w:t>“</w:t>
              </w:r>
              <w:r w:rsidR="00DE6972" w:rsidRPr="00756410">
                <w:rPr>
                  <w:rStyle w:val="Hyperlink"/>
                  <w:rFonts w:asciiTheme="minorHAnsi" w:hAnsiTheme="minorHAnsi" w:cstheme="minorHAnsi"/>
                  <w:i/>
                  <w:iCs/>
                  <w:sz w:val="20"/>
                  <w:szCs w:val="20"/>
                  <w:lang w:val="es-419"/>
                </w:rPr>
                <w:t>R</w:t>
              </w:r>
              <w:r w:rsidR="00DE6972" w:rsidRPr="00756410">
                <w:rPr>
                  <w:rStyle w:val="Hyperlink"/>
                  <w:rFonts w:asciiTheme="minorHAnsi" w:hAnsiTheme="minorHAnsi" w:cstheme="minorHAnsi"/>
                  <w:i/>
                  <w:iCs/>
                  <w:sz w:val="20"/>
                  <w:szCs w:val="20"/>
                  <w:lang w:val="es-ES"/>
                </w:rPr>
                <w:t xml:space="preserve">ecepción de </w:t>
              </w:r>
              <w:r w:rsidRPr="00756410">
                <w:rPr>
                  <w:rStyle w:val="Hyperlink"/>
                  <w:rFonts w:asciiTheme="minorHAnsi" w:hAnsiTheme="minorHAnsi" w:cstheme="minorHAnsi"/>
                  <w:i/>
                  <w:iCs/>
                  <w:sz w:val="20"/>
                  <w:szCs w:val="20"/>
                  <w:lang w:val="es-419"/>
                </w:rPr>
                <w:t>bienes, servicios y obras</w:t>
              </w:r>
              <w:r w:rsidR="00DE6972" w:rsidRPr="00DE6972">
                <w:rPr>
                  <w:rStyle w:val="Hyperlink"/>
                  <w:rFonts w:asciiTheme="minorHAnsi" w:hAnsiTheme="minorHAnsi" w:cstheme="minorHAnsi"/>
                  <w:sz w:val="20"/>
                  <w:szCs w:val="20"/>
                  <w:lang w:val="es-419"/>
                </w:rPr>
                <w:t>”</w:t>
              </w:r>
              <w:r w:rsidRPr="00756410">
                <w:rPr>
                  <w:rStyle w:val="Hyperlink"/>
                  <w:rFonts w:asciiTheme="minorHAnsi" w:hAnsiTheme="minorHAnsi" w:cstheme="minorHAnsi"/>
                  <w:sz w:val="20"/>
                  <w:szCs w:val="20"/>
                  <w:lang w:val="es-419"/>
                </w:rPr>
                <w:t xml:space="preserve"> de</w:t>
              </w:r>
              <w:r w:rsidR="00DE6972" w:rsidRPr="00DE6972">
                <w:rPr>
                  <w:rStyle w:val="Hyperlink"/>
                  <w:rFonts w:asciiTheme="minorHAnsi" w:hAnsiTheme="minorHAnsi" w:cstheme="minorHAnsi"/>
                  <w:sz w:val="20"/>
                  <w:szCs w:val="20"/>
                  <w:lang w:val="es-419"/>
                </w:rPr>
                <w:t>l</w:t>
              </w:r>
              <w:r w:rsidRPr="00756410">
                <w:rPr>
                  <w:rStyle w:val="Hyperlink"/>
                  <w:rFonts w:asciiTheme="minorHAnsi" w:hAnsiTheme="minorHAnsi" w:cstheme="minorHAnsi"/>
                  <w:sz w:val="20"/>
                  <w:szCs w:val="20"/>
                  <w:lang w:val="es-419"/>
                </w:rPr>
                <w:t xml:space="preserve"> POPP</w:t>
              </w:r>
            </w:hyperlink>
            <w:r w:rsidRPr="00756410">
              <w:rPr>
                <w:rFonts w:asciiTheme="minorHAnsi" w:hAnsiTheme="minorHAnsi" w:cstheme="minorBidi"/>
                <w:sz w:val="20"/>
                <w:szCs w:val="20"/>
                <w:lang w:val="es-419"/>
              </w:rPr>
              <w:t>.</w:t>
            </w:r>
          </w:p>
        </w:tc>
      </w:tr>
      <w:tr w:rsidR="000811B5" w:rsidRPr="00773863" w14:paraId="40039C2C" w14:textId="77777777" w:rsidTr="008C4953">
        <w:tc>
          <w:tcPr>
            <w:tcW w:w="9895" w:type="dxa"/>
            <w:tcBorders>
              <w:top w:val="single" w:sz="4" w:space="0" w:color="auto"/>
              <w:left w:val="single" w:sz="4" w:space="0" w:color="auto"/>
              <w:bottom w:val="single" w:sz="4" w:space="0" w:color="auto"/>
              <w:right w:val="single" w:sz="4" w:space="0" w:color="auto"/>
            </w:tcBorders>
          </w:tcPr>
          <w:p w14:paraId="5A4AB0BF" w14:textId="436AB9C1" w:rsidR="000811B5" w:rsidRPr="00DB1CA7" w:rsidRDefault="000811B5" w:rsidP="00756410">
            <w:pPr>
              <w:pStyle w:val="ListParagraph"/>
              <w:numPr>
                <w:ilvl w:val="0"/>
                <w:numId w:val="21"/>
              </w:numPr>
              <w:jc w:val="both"/>
              <w:rPr>
                <w:b/>
                <w:bCs/>
                <w:sz w:val="20"/>
                <w:szCs w:val="20"/>
                <w:lang w:val="es-419"/>
              </w:rPr>
            </w:pPr>
            <w:r w:rsidRPr="00756410">
              <w:rPr>
                <w:b/>
                <w:bCs/>
                <w:sz w:val="20"/>
                <w:szCs w:val="20"/>
                <w:lang w:val="es-419"/>
              </w:rPr>
              <w:lastRenderedPageBreak/>
              <w:t xml:space="preserve">Requisitos especiales </w:t>
            </w:r>
            <w:r w:rsidRPr="00756410">
              <w:rPr>
                <w:b/>
                <w:bCs/>
                <w:sz w:val="20"/>
                <w:szCs w:val="20"/>
                <w:u w:val="single"/>
                <w:lang w:val="es-419"/>
              </w:rPr>
              <w:t>de fin de año para la recepción de obras de</w:t>
            </w:r>
            <w:r w:rsidRPr="00756410">
              <w:rPr>
                <w:b/>
                <w:bCs/>
                <w:sz w:val="20"/>
                <w:szCs w:val="20"/>
                <w:lang w:val="es-419"/>
              </w:rPr>
              <w:t xml:space="preserve"> construcción: </w:t>
            </w:r>
            <w:r w:rsidR="001C4DF3" w:rsidRPr="001C4DF3">
              <w:rPr>
                <w:b/>
                <w:bCs/>
                <w:sz w:val="20"/>
                <w:szCs w:val="20"/>
                <w:lang w:val="es-419"/>
              </w:rPr>
              <w:t xml:space="preserve">Las </w:t>
            </w:r>
            <w:r w:rsidR="001C4DF3" w:rsidRPr="001C4DF3">
              <w:rPr>
                <w:sz w:val="20"/>
                <w:szCs w:val="20"/>
                <w:lang w:val="es-419"/>
              </w:rPr>
              <w:t>obras</w:t>
            </w:r>
            <w:r w:rsidRPr="00756410">
              <w:rPr>
                <w:sz w:val="20"/>
                <w:szCs w:val="20"/>
                <w:lang w:val="es-419"/>
              </w:rPr>
              <w:t xml:space="preserve"> de construcción deben registrarse en la etapa en que el PNUD completa y acepta los hitos del contrato como parte de las actividades regulares de supervisión del proyecto.</w:t>
            </w:r>
            <w:r w:rsidRPr="00756410">
              <w:rPr>
                <w:b/>
                <w:bCs/>
                <w:sz w:val="20"/>
                <w:szCs w:val="20"/>
                <w:lang w:val="es-419"/>
              </w:rPr>
              <w:t xml:space="preserve"> Es de suma importancia </w:t>
            </w:r>
            <w:r w:rsidRPr="00756410">
              <w:rPr>
                <w:sz w:val="20"/>
                <w:szCs w:val="20"/>
                <w:lang w:val="es-419"/>
              </w:rPr>
              <w:t xml:space="preserve">que los gerentes de proyectos ingresen en Quantum la fecha correcta (lo más cerca posible del 31 de diciembre) y los montos por el trabajo completado para garantizar que tanto el desempeño del proveedor como los gastos del PNUD y las responsabilidades acumuladas por los servicios se reflejen correctamente en Quantum. Tales obras de construcción u obras similares suelen ser de naturaleza muy especializada y la aceptación y recepción del PNUD solo debe ser realizada por personal que tenga los conocimientos necesarios sobre construcción </w:t>
            </w:r>
            <w:r w:rsidR="00AC2439">
              <w:rPr>
                <w:sz w:val="20"/>
                <w:szCs w:val="20"/>
                <w:lang w:val="es-419"/>
              </w:rPr>
              <w:t xml:space="preserve">u </w:t>
            </w:r>
            <w:r w:rsidRPr="00756410">
              <w:rPr>
                <w:sz w:val="20"/>
                <w:szCs w:val="20"/>
                <w:lang w:val="es-419"/>
              </w:rPr>
              <w:t xml:space="preserve">obras. Los montos recibidos en Quantum deben basarse en el certificado de progreso o el informe de </w:t>
            </w:r>
            <w:r w:rsidR="006D563A">
              <w:rPr>
                <w:sz w:val="20"/>
                <w:szCs w:val="20"/>
                <w:lang w:val="es-419"/>
              </w:rPr>
              <w:t>inspección del terreno</w:t>
            </w:r>
            <w:r w:rsidRPr="00756410">
              <w:rPr>
                <w:sz w:val="20"/>
                <w:szCs w:val="20"/>
                <w:lang w:val="es-419"/>
              </w:rPr>
              <w:t>, según corresponda.</w:t>
            </w:r>
          </w:p>
        </w:tc>
      </w:tr>
      <w:tr w:rsidR="000811B5" w:rsidRPr="00773863" w14:paraId="12C7286F" w14:textId="77777777" w:rsidTr="008C4953">
        <w:tc>
          <w:tcPr>
            <w:tcW w:w="9895" w:type="dxa"/>
            <w:tcBorders>
              <w:top w:val="single" w:sz="4" w:space="0" w:color="auto"/>
              <w:left w:val="single" w:sz="4" w:space="0" w:color="auto"/>
              <w:bottom w:val="single" w:sz="4" w:space="0" w:color="auto"/>
              <w:right w:val="single" w:sz="4" w:space="0" w:color="auto"/>
            </w:tcBorders>
          </w:tcPr>
          <w:p w14:paraId="7E6B7E21" w14:textId="761556EF" w:rsidR="000811B5" w:rsidRPr="00DB1CA7" w:rsidRDefault="006D563A" w:rsidP="00756410">
            <w:pPr>
              <w:pStyle w:val="ListParagraph"/>
              <w:numPr>
                <w:ilvl w:val="0"/>
                <w:numId w:val="21"/>
              </w:numPr>
              <w:jc w:val="both"/>
              <w:rPr>
                <w:b/>
                <w:bCs/>
                <w:sz w:val="20"/>
                <w:szCs w:val="20"/>
                <w:lang w:val="es-419"/>
              </w:rPr>
            </w:pPr>
            <w:r w:rsidRPr="006D563A">
              <w:rPr>
                <w:b/>
                <w:bCs/>
                <w:sz w:val="20"/>
                <w:szCs w:val="20"/>
                <w:lang w:val="es-419"/>
              </w:rPr>
              <w:t>A efectos</w:t>
            </w:r>
            <w:r w:rsidR="000811B5" w:rsidRPr="00756410">
              <w:rPr>
                <w:b/>
                <w:bCs/>
                <w:sz w:val="20"/>
                <w:szCs w:val="20"/>
                <w:lang w:val="es-419"/>
              </w:rPr>
              <w:t xml:space="preserve"> de </w:t>
            </w:r>
            <w:r w:rsidR="000811B5" w:rsidRPr="00756410">
              <w:rPr>
                <w:b/>
                <w:bCs/>
                <w:sz w:val="20"/>
                <w:szCs w:val="20"/>
                <w:u w:val="single"/>
                <w:lang w:val="es-419"/>
              </w:rPr>
              <w:t>reconocimiento de gastos de fin de año</w:t>
            </w:r>
            <w:r w:rsidR="000811B5" w:rsidRPr="00756410">
              <w:rPr>
                <w:b/>
                <w:bCs/>
                <w:sz w:val="20"/>
                <w:szCs w:val="20"/>
                <w:lang w:val="es-419"/>
              </w:rPr>
              <w:t xml:space="preserve"> de obras de construcción u obras similares:</w:t>
            </w:r>
            <w:r w:rsidR="000811B5" w:rsidRPr="00756410">
              <w:rPr>
                <w:sz w:val="20"/>
                <w:szCs w:val="20"/>
                <w:lang w:val="es-419"/>
              </w:rPr>
              <w:t xml:space="preserve"> en caso de que no se disponga de un certificado de progreso o un informe de </w:t>
            </w:r>
            <w:r>
              <w:rPr>
                <w:sz w:val="20"/>
                <w:szCs w:val="20"/>
                <w:lang w:val="es-419"/>
              </w:rPr>
              <w:t>inspección del terreno</w:t>
            </w:r>
            <w:r w:rsidR="000811B5" w:rsidRPr="00756410">
              <w:rPr>
                <w:sz w:val="20"/>
                <w:szCs w:val="20"/>
                <w:lang w:val="es-419"/>
              </w:rPr>
              <w:t xml:space="preserve"> al 31 de diciembre (es decir, al final del ejercicio financiero del PNUD), el Director del Proyecto aún debe estimar el progreso de las obras terminadas al 31 de diciembre para recibir las obras en Quantum para que los registros financieros sean precisos. El último certificado de progreso disponible o el informe </w:t>
            </w:r>
            <w:r w:rsidR="00DD4391">
              <w:rPr>
                <w:sz w:val="20"/>
                <w:szCs w:val="20"/>
                <w:lang w:val="es-419"/>
              </w:rPr>
              <w:t xml:space="preserve">de inspección </w:t>
            </w:r>
            <w:r w:rsidR="000811B5" w:rsidRPr="00756410">
              <w:rPr>
                <w:sz w:val="20"/>
                <w:szCs w:val="20"/>
                <w:lang w:val="es-419"/>
              </w:rPr>
              <w:t>se puede utilizar como base de la última etapa de finalización para estimar el valor adicional de las obras no recibidas realizadas al 31 de diciembre. Dado que las obras de construcción son de naturaleza especializada, la estimación solo debe ser realizada por personal que tenga el conocimiento necesario de las obras de construcción. Esto normalmente lo hace el ingeniero del sitio y lo confirma el gerente del proyecto según corresponda.</w:t>
            </w:r>
          </w:p>
        </w:tc>
      </w:tr>
      <w:tr w:rsidR="000811B5" w:rsidRPr="00773863" w14:paraId="29DDC841" w14:textId="77777777" w:rsidTr="008C4953">
        <w:tc>
          <w:tcPr>
            <w:tcW w:w="9895" w:type="dxa"/>
            <w:tcBorders>
              <w:top w:val="single" w:sz="4" w:space="0" w:color="auto"/>
              <w:left w:val="single" w:sz="4" w:space="0" w:color="auto"/>
              <w:bottom w:val="single" w:sz="4" w:space="0" w:color="auto"/>
              <w:right w:val="single" w:sz="4" w:space="0" w:color="auto"/>
            </w:tcBorders>
          </w:tcPr>
          <w:p w14:paraId="72686453" w14:textId="5CA3CA90" w:rsidR="000811B5" w:rsidRPr="00756410" w:rsidRDefault="000811B5" w:rsidP="00756410">
            <w:pPr>
              <w:pStyle w:val="ListParagraph"/>
              <w:numPr>
                <w:ilvl w:val="0"/>
                <w:numId w:val="21"/>
              </w:numPr>
              <w:jc w:val="both"/>
              <w:rPr>
                <w:sz w:val="20"/>
                <w:szCs w:val="20"/>
                <w:lang w:val="es-419"/>
              </w:rPr>
            </w:pPr>
            <w:r w:rsidRPr="00756410">
              <w:rPr>
                <w:b/>
                <w:sz w:val="20"/>
                <w:szCs w:val="20"/>
                <w:lang w:val="es-419"/>
              </w:rPr>
              <w:t>Los recibos deben incluir retenciones:</w:t>
            </w:r>
            <w:r w:rsidRPr="00756410">
              <w:rPr>
                <w:sz w:val="20"/>
                <w:szCs w:val="20"/>
                <w:lang w:val="es-419"/>
              </w:rPr>
              <w:t xml:space="preserve"> Es importante tener en cuenta que, aunque se pagará al contratista en un período futuro, los recibos registrados en Quantum y basados en certificados de progreso deben incluir retenciones, ya que se ha alcanzado el </w:t>
            </w:r>
            <w:r w:rsidR="001F27A1" w:rsidRPr="001F27A1">
              <w:rPr>
                <w:sz w:val="20"/>
                <w:szCs w:val="20"/>
                <w:lang w:val="es-419"/>
              </w:rPr>
              <w:t>hito,</w:t>
            </w:r>
            <w:r w:rsidRPr="00756410">
              <w:rPr>
                <w:sz w:val="20"/>
                <w:szCs w:val="20"/>
                <w:lang w:val="es-419"/>
              </w:rPr>
              <w:t xml:space="preserve"> pero los fondos se retienen como una estrategia </w:t>
            </w:r>
            <w:r w:rsidR="001F27A1">
              <w:rPr>
                <w:sz w:val="20"/>
                <w:szCs w:val="20"/>
                <w:lang w:val="es-419"/>
              </w:rPr>
              <w:t>o</w:t>
            </w:r>
            <w:r w:rsidRPr="00756410">
              <w:rPr>
                <w:sz w:val="20"/>
                <w:szCs w:val="20"/>
                <w:lang w:val="es-419"/>
              </w:rPr>
              <w:t xml:space="preserve"> salvaguardia de mitigación de riesgos para que el PNUD cubra cualquier problema potencial que pueda surgir durante el período de responsabilidad del contratista.</w:t>
            </w:r>
          </w:p>
        </w:tc>
      </w:tr>
      <w:tr w:rsidR="003D6AE3" w:rsidRPr="00773863" w14:paraId="3F369EB5" w14:textId="77777777" w:rsidTr="008C4953">
        <w:tc>
          <w:tcPr>
            <w:tcW w:w="989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5E577ED" w14:textId="129EE68F" w:rsidR="003D6AE3" w:rsidRPr="00756410" w:rsidRDefault="001F27A1">
            <w:pPr>
              <w:pStyle w:val="ListParagraph"/>
              <w:numPr>
                <w:ilvl w:val="0"/>
                <w:numId w:val="19"/>
              </w:numPr>
              <w:rPr>
                <w:sz w:val="20"/>
                <w:szCs w:val="20"/>
                <w:lang w:val="es-419"/>
              </w:rPr>
            </w:pPr>
            <w:r w:rsidRPr="00756410">
              <w:rPr>
                <w:b/>
                <w:sz w:val="20"/>
                <w:szCs w:val="20"/>
                <w:lang w:val="es-419"/>
              </w:rPr>
              <w:t>C</w:t>
            </w:r>
            <w:r>
              <w:rPr>
                <w:b/>
                <w:sz w:val="20"/>
                <w:szCs w:val="20"/>
                <w:lang w:val="es-419"/>
              </w:rPr>
              <w:t>ierre de</w:t>
            </w:r>
            <w:r w:rsidRPr="00756410">
              <w:rPr>
                <w:b/>
                <w:sz w:val="20"/>
                <w:szCs w:val="20"/>
                <w:lang w:val="es-419"/>
              </w:rPr>
              <w:t xml:space="preserve"> </w:t>
            </w:r>
            <w:r w:rsidR="00127B50" w:rsidRPr="00756410">
              <w:rPr>
                <w:b/>
                <w:sz w:val="20"/>
                <w:szCs w:val="20"/>
                <w:lang w:val="es-419"/>
              </w:rPr>
              <w:t>proyectos: Cerrar proyectos operativamente</w:t>
            </w:r>
          </w:p>
        </w:tc>
      </w:tr>
      <w:tr w:rsidR="003D6AE3" w:rsidRPr="001549DE" w14:paraId="057DD7E8" w14:textId="77777777" w:rsidTr="008C4953">
        <w:trPr>
          <w:trHeight w:val="2294"/>
        </w:trPr>
        <w:tc>
          <w:tcPr>
            <w:tcW w:w="9895" w:type="dxa"/>
            <w:tcBorders>
              <w:top w:val="single" w:sz="4" w:space="0" w:color="auto"/>
              <w:left w:val="single" w:sz="4" w:space="0" w:color="auto"/>
              <w:bottom w:val="single" w:sz="4" w:space="0" w:color="auto"/>
              <w:right w:val="single" w:sz="4" w:space="0" w:color="auto"/>
            </w:tcBorders>
          </w:tcPr>
          <w:p w14:paraId="3CD9AAE5" w14:textId="703A09E1" w:rsidR="003D6AE3" w:rsidRPr="00DD625F" w:rsidRDefault="00127B50" w:rsidP="00756410">
            <w:pPr>
              <w:pStyle w:val="ListParagraph"/>
              <w:numPr>
                <w:ilvl w:val="0"/>
                <w:numId w:val="27"/>
              </w:numPr>
              <w:jc w:val="both"/>
              <w:rPr>
                <w:sz w:val="20"/>
                <w:szCs w:val="20"/>
              </w:rPr>
            </w:pPr>
            <w:r w:rsidRPr="00756410">
              <w:rPr>
                <w:b/>
                <w:sz w:val="20"/>
                <w:szCs w:val="20"/>
                <w:lang w:val="es-419"/>
              </w:rPr>
              <w:t>Cierre operativo de proyectos:</w:t>
            </w:r>
            <w:r w:rsidRPr="00756410">
              <w:rPr>
                <w:sz w:val="20"/>
                <w:szCs w:val="20"/>
                <w:lang w:val="es-419"/>
              </w:rPr>
              <w:t xml:space="preserve"> El Gerente de Proyecto es responsable de monitorear las actividades del proyecto e </w:t>
            </w:r>
            <w:r w:rsidR="00451F22">
              <w:rPr>
                <w:sz w:val="20"/>
                <w:szCs w:val="20"/>
                <w:lang w:val="es-419"/>
              </w:rPr>
              <w:t>comenzar el proceso de cierre operativo</w:t>
            </w:r>
            <w:r w:rsidRPr="00756410">
              <w:rPr>
                <w:sz w:val="20"/>
                <w:szCs w:val="20"/>
                <w:lang w:val="es-419"/>
              </w:rPr>
              <w:t xml:space="preserve"> de proyectos de acuerdo con POPP </w:t>
            </w:r>
            <w:hyperlink r:id="rId53">
              <w:r w:rsidR="00711E40">
                <w:rPr>
                  <w:rStyle w:val="Hyperlink"/>
                  <w:sz w:val="20"/>
                  <w:szCs w:val="20"/>
                  <w:lang w:val="es-419"/>
                </w:rPr>
                <w:t>Cierre and Transición</w:t>
              </w:r>
            </w:hyperlink>
            <w:r w:rsidRPr="00756410">
              <w:rPr>
                <w:sz w:val="20"/>
                <w:szCs w:val="20"/>
                <w:lang w:val="es-419"/>
              </w:rPr>
              <w:t xml:space="preserve">. BMS/GSSC es responsable del cierre financiero de los proyectos de desarrollo para </w:t>
            </w:r>
            <w:r w:rsidR="00DD625F" w:rsidRPr="00756410">
              <w:rPr>
                <w:b/>
                <w:sz w:val="20"/>
                <w:szCs w:val="20"/>
                <w:lang w:val="es-419"/>
              </w:rPr>
              <w:t>oficinas</w:t>
            </w:r>
            <w:r w:rsidR="00711E40">
              <w:rPr>
                <w:b/>
                <w:sz w:val="20"/>
                <w:szCs w:val="20"/>
                <w:lang w:val="es-419"/>
              </w:rPr>
              <w:t xml:space="preserve"> o </w:t>
            </w:r>
            <w:r w:rsidR="00DD625F" w:rsidRPr="00756410">
              <w:rPr>
                <w:b/>
                <w:sz w:val="20"/>
                <w:szCs w:val="20"/>
                <w:lang w:val="es-419"/>
              </w:rPr>
              <w:t xml:space="preserve">unidades con procesos </w:t>
            </w:r>
            <w:r w:rsidR="00E021C7">
              <w:rPr>
                <w:b/>
                <w:sz w:val="20"/>
                <w:szCs w:val="20"/>
                <w:lang w:val="es-419"/>
              </w:rPr>
              <w:t>centralizados</w:t>
            </w:r>
            <w:r w:rsidR="00DD625F" w:rsidRPr="00756410">
              <w:rPr>
                <w:b/>
                <w:sz w:val="20"/>
                <w:szCs w:val="20"/>
                <w:lang w:val="es-419"/>
              </w:rPr>
              <w:t>; las oficinas son responsables del cierre financiero de sus propios proyectos de gestión</w:t>
            </w:r>
            <w:r w:rsidR="00BE221C">
              <w:rPr>
                <w:b/>
                <w:sz w:val="20"/>
                <w:szCs w:val="20"/>
                <w:lang w:val="es-419"/>
              </w:rPr>
              <w:t xml:space="preserve"> interna</w:t>
            </w:r>
            <w:r w:rsidRPr="00756410">
              <w:rPr>
                <w:sz w:val="20"/>
                <w:szCs w:val="20"/>
                <w:lang w:val="es-419"/>
              </w:rPr>
              <w:t xml:space="preserve">. Las oficinas regionales son responsables de supervisar los cierres oportunos de proyectos por parte de las oficinas </w:t>
            </w:r>
            <w:r w:rsidR="002C26D4">
              <w:rPr>
                <w:sz w:val="20"/>
                <w:szCs w:val="20"/>
                <w:lang w:val="es-419"/>
              </w:rPr>
              <w:t>o</w:t>
            </w:r>
            <w:r w:rsidR="002C26D4" w:rsidRPr="00756410">
              <w:rPr>
                <w:sz w:val="20"/>
                <w:szCs w:val="20"/>
                <w:lang w:val="es-419"/>
              </w:rPr>
              <w:t xml:space="preserve"> </w:t>
            </w:r>
            <w:r w:rsidRPr="00756410">
              <w:rPr>
                <w:sz w:val="20"/>
                <w:szCs w:val="20"/>
                <w:lang w:val="es-419"/>
              </w:rPr>
              <w:t xml:space="preserve">unidades dentro de su región. </w:t>
            </w:r>
            <w:r w:rsidRPr="00756410">
              <w:rPr>
                <w:b/>
                <w:sz w:val="20"/>
                <w:szCs w:val="20"/>
                <w:lang w:val="es-419"/>
              </w:rPr>
              <w:t>Para las oficinas</w:t>
            </w:r>
            <w:r w:rsidR="00930CCC">
              <w:rPr>
                <w:b/>
                <w:sz w:val="20"/>
                <w:szCs w:val="20"/>
                <w:lang w:val="es-419"/>
              </w:rPr>
              <w:t xml:space="preserve"> </w:t>
            </w:r>
            <w:r w:rsidR="002C26D4">
              <w:rPr>
                <w:b/>
                <w:sz w:val="20"/>
                <w:szCs w:val="20"/>
                <w:lang w:val="es-419"/>
              </w:rPr>
              <w:t xml:space="preserve">o </w:t>
            </w:r>
            <w:r w:rsidRPr="00756410">
              <w:rPr>
                <w:b/>
                <w:sz w:val="20"/>
                <w:szCs w:val="20"/>
                <w:lang w:val="es-419"/>
              </w:rPr>
              <w:t>unidades que realizan su proceso de cierre de proyectos directamente</w:t>
            </w:r>
            <w:r w:rsidRPr="00756410">
              <w:rPr>
                <w:sz w:val="20"/>
                <w:szCs w:val="20"/>
                <w:lang w:val="es-419"/>
              </w:rPr>
              <w:t>, el equipo de finanzas de cada oficina</w:t>
            </w:r>
            <w:r w:rsidR="002C26D4">
              <w:rPr>
                <w:sz w:val="20"/>
                <w:szCs w:val="20"/>
                <w:lang w:val="es-419"/>
              </w:rPr>
              <w:t xml:space="preserve"> o </w:t>
            </w:r>
            <w:r w:rsidRPr="00756410">
              <w:rPr>
                <w:sz w:val="20"/>
                <w:szCs w:val="20"/>
                <w:lang w:val="es-419"/>
              </w:rPr>
              <w:t xml:space="preserve">unidad es responsable de revisar los proyectos en curso y coordinar con los gerentes de proyectos para iniciar el cierre financiero. Para obtener más información, consulte POPP </w:t>
            </w:r>
            <w:hyperlink r:id="rId54">
              <w:r w:rsidRPr="00756410">
                <w:rPr>
                  <w:rStyle w:val="Hyperlink"/>
                  <w:sz w:val="20"/>
                  <w:szCs w:val="20"/>
                  <w:lang w:val="es-419"/>
                </w:rPr>
                <w:t>Financial Closure of Development Projects</w:t>
              </w:r>
            </w:hyperlink>
            <w:r w:rsidRPr="00756410">
              <w:rPr>
                <w:sz w:val="20"/>
                <w:szCs w:val="20"/>
                <w:lang w:val="es-419"/>
              </w:rPr>
              <w:t xml:space="preserve"> y Quantum </w:t>
            </w:r>
            <w:r w:rsidR="002F2E23">
              <w:rPr>
                <w:sz w:val="20"/>
                <w:szCs w:val="20"/>
                <w:lang w:val="es-419"/>
              </w:rPr>
              <w:t>“</w:t>
            </w:r>
            <w:r w:rsidRPr="00756410">
              <w:rPr>
                <w:i/>
                <w:iCs/>
                <w:sz w:val="20"/>
                <w:szCs w:val="20"/>
                <w:lang w:val="es-419"/>
              </w:rPr>
              <w:t>Project Closure Workbench</w:t>
            </w:r>
            <w:r w:rsidR="002F2E23">
              <w:rPr>
                <w:sz w:val="20"/>
                <w:szCs w:val="20"/>
                <w:lang w:val="es-419"/>
              </w:rPr>
              <w:t>”</w:t>
            </w:r>
            <w:r w:rsidRPr="00756410">
              <w:rPr>
                <w:sz w:val="20"/>
                <w:szCs w:val="20"/>
                <w:lang w:val="es-419"/>
              </w:rPr>
              <w:t xml:space="preserve"> (Navegación </w:t>
            </w:r>
            <w:r w:rsidR="00045136">
              <w:rPr>
                <w:sz w:val="20"/>
                <w:szCs w:val="20"/>
                <w:lang w:val="es-419"/>
              </w:rPr>
              <w:t>Quantum</w:t>
            </w:r>
            <w:r w:rsidRPr="00756410">
              <w:rPr>
                <w:sz w:val="20"/>
                <w:szCs w:val="20"/>
                <w:lang w:val="es-419"/>
              </w:rPr>
              <w:t xml:space="preserve">: pestaña Proyectos&gt; </w:t>
            </w:r>
            <w:r w:rsidR="00045136" w:rsidRPr="00756410">
              <w:rPr>
                <w:sz w:val="20"/>
                <w:szCs w:val="20"/>
                <w:lang w:val="es-419"/>
              </w:rPr>
              <w:t xml:space="preserve"> </w:t>
            </w:r>
            <w:r w:rsidR="007B3229">
              <w:rPr>
                <w:sz w:val="20"/>
                <w:szCs w:val="20"/>
                <w:lang w:val="es-419"/>
              </w:rPr>
              <w:t>“</w:t>
            </w:r>
            <w:r w:rsidR="00E872BC" w:rsidRPr="00756410">
              <w:rPr>
                <w:i/>
                <w:iCs/>
                <w:sz w:val="20"/>
                <w:szCs w:val="20"/>
                <w:lang w:val="es-419"/>
              </w:rPr>
              <w:t>Project Results and Project Closure Workbench</w:t>
            </w:r>
            <w:r w:rsidR="007B3229" w:rsidRPr="00756410">
              <w:rPr>
                <w:sz w:val="20"/>
                <w:szCs w:val="20"/>
                <w:lang w:val="es-419"/>
              </w:rPr>
              <w:t>”</w:t>
            </w:r>
            <w:r w:rsidR="00E872BC" w:rsidRPr="00756410">
              <w:rPr>
                <w:sz w:val="20"/>
                <w:szCs w:val="20"/>
                <w:lang w:val="es-419"/>
              </w:rPr>
              <w:t xml:space="preserve"> </w:t>
            </w:r>
            <w:r w:rsidRPr="00756410">
              <w:rPr>
                <w:sz w:val="20"/>
                <w:szCs w:val="20"/>
                <w:lang w:val="es-419"/>
              </w:rPr>
              <w:t>&gt;</w:t>
            </w:r>
            <w:r w:rsidR="007B3229">
              <w:rPr>
                <w:sz w:val="20"/>
                <w:szCs w:val="20"/>
                <w:lang w:val="es-419"/>
              </w:rPr>
              <w:t xml:space="preserve"> </w:t>
            </w:r>
            <w:r w:rsidRPr="00756410">
              <w:rPr>
                <w:sz w:val="20"/>
                <w:szCs w:val="20"/>
                <w:lang w:val="es-419"/>
              </w:rPr>
              <w:t xml:space="preserve">Haga clic en el icono </w:t>
            </w:r>
            <w:r w:rsidR="002F2E23">
              <w:rPr>
                <w:sz w:val="20"/>
                <w:szCs w:val="20"/>
                <w:lang w:val="es-419"/>
              </w:rPr>
              <w:t>“</w:t>
            </w:r>
            <w:r w:rsidRPr="00756410">
              <w:rPr>
                <w:i/>
                <w:iCs/>
                <w:sz w:val="20"/>
                <w:szCs w:val="20"/>
                <w:lang w:val="es-419"/>
              </w:rPr>
              <w:t>Project Closure Workbench</w:t>
            </w:r>
            <w:r w:rsidR="002F2E23">
              <w:rPr>
                <w:sz w:val="20"/>
                <w:szCs w:val="20"/>
                <w:lang w:val="es-419"/>
              </w:rPr>
              <w:t>”</w:t>
            </w:r>
            <w:r w:rsidRPr="00756410">
              <w:rPr>
                <w:sz w:val="20"/>
                <w:szCs w:val="20"/>
                <w:lang w:val="es-419"/>
              </w:rPr>
              <w:t xml:space="preserve"> en el campo del navegador del lado izquierdo. Consulte el artículo de </w:t>
            </w:r>
            <w:r w:rsidR="002F2E23">
              <w:rPr>
                <w:sz w:val="20"/>
                <w:szCs w:val="20"/>
                <w:lang w:val="es-419"/>
              </w:rPr>
              <w:t xml:space="preserve">conocimiento de </w:t>
            </w:r>
            <w:r w:rsidRPr="00756410">
              <w:rPr>
                <w:sz w:val="20"/>
                <w:szCs w:val="20"/>
                <w:lang w:val="es-419"/>
              </w:rPr>
              <w:t xml:space="preserve">UNall titulado: </w:t>
            </w:r>
            <w:hyperlink r:id="rId55">
              <w:r w:rsidR="000577F1" w:rsidRPr="00756410">
                <w:rPr>
                  <w:rStyle w:val="Hyperlink"/>
                  <w:sz w:val="20"/>
                  <w:szCs w:val="20"/>
                  <w:lang w:val="es-419"/>
                </w:rPr>
                <w:t xml:space="preserve">¿Cómo accedo a </w:t>
              </w:r>
              <w:r w:rsidR="002F2E23">
                <w:rPr>
                  <w:rStyle w:val="Hyperlink"/>
                  <w:sz w:val="20"/>
                  <w:szCs w:val="20"/>
                  <w:lang w:val="es-419"/>
                </w:rPr>
                <w:t>“</w:t>
              </w:r>
              <w:r w:rsidR="000577F1" w:rsidRPr="00756410">
                <w:rPr>
                  <w:rStyle w:val="Hyperlink"/>
                  <w:i/>
                  <w:iCs/>
                  <w:sz w:val="20"/>
                  <w:szCs w:val="20"/>
                  <w:lang w:val="es-419"/>
                </w:rPr>
                <w:t>Project Closure Workbench</w:t>
              </w:r>
              <w:r w:rsidR="002F2E23">
                <w:rPr>
                  <w:rStyle w:val="Hyperlink"/>
                  <w:sz w:val="20"/>
                  <w:szCs w:val="20"/>
                  <w:lang w:val="es-419"/>
                </w:rPr>
                <w:t>”</w:t>
              </w:r>
              <w:r w:rsidR="000577F1" w:rsidRPr="00756410">
                <w:rPr>
                  <w:rStyle w:val="Hyperlink"/>
                  <w:sz w:val="20"/>
                  <w:szCs w:val="20"/>
                  <w:lang w:val="es-419"/>
                </w:rPr>
                <w:t xml:space="preserve"> en Quantum?</w:t>
              </w:r>
            </w:hyperlink>
            <w:r w:rsidR="000577F1" w:rsidRPr="00756410">
              <w:rPr>
                <w:sz w:val="20"/>
                <w:szCs w:val="20"/>
                <w:lang w:val="es-419"/>
              </w:rPr>
              <w:t xml:space="preserve"> </w:t>
            </w:r>
            <w:r w:rsidR="000577F1" w:rsidRPr="363CA695">
              <w:rPr>
                <w:sz w:val="20"/>
                <w:szCs w:val="20"/>
              </w:rPr>
              <w:t>para más información).</w:t>
            </w:r>
          </w:p>
        </w:tc>
      </w:tr>
      <w:tr w:rsidR="00910A7D" w:rsidRPr="00773863" w14:paraId="7BB516A4" w14:textId="77777777" w:rsidTr="008C4953">
        <w:trPr>
          <w:trHeight w:val="269"/>
        </w:trPr>
        <w:tc>
          <w:tcPr>
            <w:tcW w:w="98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D46F0E" w14:textId="3A086E2E" w:rsidR="00910A7D" w:rsidRPr="00756410" w:rsidRDefault="00910A7D" w:rsidP="00756410">
            <w:pPr>
              <w:jc w:val="both"/>
              <w:rPr>
                <w:b/>
                <w:sz w:val="20"/>
                <w:szCs w:val="20"/>
                <w:lang w:val="es-419"/>
              </w:rPr>
            </w:pPr>
            <w:r w:rsidRPr="00756410">
              <w:rPr>
                <w:b/>
                <w:bCs/>
                <w:sz w:val="20"/>
                <w:szCs w:val="20"/>
                <w:lang w:val="es-419"/>
              </w:rPr>
              <w:t xml:space="preserve">Perfil </w:t>
            </w:r>
            <w:r w:rsidR="002F2E23">
              <w:rPr>
                <w:b/>
                <w:bCs/>
                <w:sz w:val="20"/>
                <w:szCs w:val="20"/>
                <w:lang w:val="es-419"/>
              </w:rPr>
              <w:t>de usuario</w:t>
            </w:r>
            <w:r w:rsidR="002F2E23" w:rsidRPr="00756410">
              <w:rPr>
                <w:b/>
                <w:bCs/>
                <w:sz w:val="20"/>
                <w:szCs w:val="20"/>
                <w:lang w:val="es-419"/>
              </w:rPr>
              <w:t xml:space="preserve"> </w:t>
            </w:r>
            <w:r w:rsidRPr="00756410">
              <w:rPr>
                <w:b/>
                <w:bCs/>
                <w:sz w:val="20"/>
                <w:szCs w:val="20"/>
                <w:lang w:val="es-419"/>
              </w:rPr>
              <w:t xml:space="preserve">de IDAM - Gerente de proyecto </w:t>
            </w:r>
            <w:r w:rsidR="00B7508A">
              <w:rPr>
                <w:b/>
                <w:bCs/>
                <w:sz w:val="20"/>
                <w:szCs w:val="20"/>
                <w:lang w:val="es-419"/>
              </w:rPr>
              <w:t>[</w:t>
            </w:r>
            <w:r w:rsidR="00B7508A" w:rsidRPr="00756410">
              <w:rPr>
                <w:b/>
                <w:bCs/>
                <w:i/>
                <w:iCs/>
                <w:sz w:val="20"/>
                <w:szCs w:val="20"/>
                <w:lang w:val="es-419"/>
              </w:rPr>
              <w:t>Project Manager</w:t>
            </w:r>
            <w:r w:rsidR="00B7508A">
              <w:rPr>
                <w:b/>
                <w:bCs/>
                <w:sz w:val="20"/>
                <w:szCs w:val="20"/>
                <w:lang w:val="es-419"/>
              </w:rPr>
              <w:t xml:space="preserve">] </w:t>
            </w:r>
            <w:r w:rsidRPr="00756410">
              <w:rPr>
                <w:b/>
                <w:bCs/>
                <w:sz w:val="20"/>
                <w:szCs w:val="20"/>
                <w:lang w:val="es-419"/>
              </w:rPr>
              <w:t>(puede asignarse a personal que no s</w:t>
            </w:r>
            <w:r w:rsidR="005737CB">
              <w:rPr>
                <w:b/>
                <w:bCs/>
                <w:sz w:val="20"/>
                <w:szCs w:val="20"/>
                <w:lang w:val="es-419"/>
              </w:rPr>
              <w:t>ea funcionario</w:t>
            </w:r>
            <w:r w:rsidRPr="00756410">
              <w:rPr>
                <w:b/>
                <w:bCs/>
                <w:sz w:val="20"/>
                <w:szCs w:val="20"/>
                <w:lang w:val="es-419"/>
              </w:rPr>
              <w:t>)</w:t>
            </w:r>
          </w:p>
        </w:tc>
      </w:tr>
      <w:tr w:rsidR="00910A7D" w:rsidRPr="00773863" w14:paraId="7C98F13A" w14:textId="77777777" w:rsidTr="008C4953">
        <w:trPr>
          <w:trHeight w:val="530"/>
        </w:trPr>
        <w:tc>
          <w:tcPr>
            <w:tcW w:w="9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C6C06" w14:textId="3ABDFDC0" w:rsidR="00910A7D" w:rsidRPr="00756410" w:rsidRDefault="00910A7D" w:rsidP="00756410">
            <w:pPr>
              <w:jc w:val="both"/>
              <w:rPr>
                <w:b/>
                <w:sz w:val="20"/>
                <w:szCs w:val="20"/>
                <w:lang w:val="es-419"/>
              </w:rPr>
            </w:pPr>
            <w:r w:rsidRPr="00756410">
              <w:rPr>
                <w:b/>
                <w:bCs/>
                <w:sz w:val="20"/>
                <w:szCs w:val="20"/>
                <w:lang w:val="es-419"/>
              </w:rPr>
              <w:t xml:space="preserve">Flexibilidad permitida: </w:t>
            </w:r>
            <w:r w:rsidRPr="00756410">
              <w:rPr>
                <w:sz w:val="20"/>
                <w:szCs w:val="20"/>
                <w:lang w:val="es-419"/>
              </w:rPr>
              <w:t>Como se indica en la sección 2.1, el RR/RR</w:t>
            </w:r>
            <w:r w:rsidR="006E4323">
              <w:rPr>
                <w:sz w:val="20"/>
                <w:szCs w:val="20"/>
                <w:lang w:val="es-419"/>
              </w:rPr>
              <w:t>D</w:t>
            </w:r>
            <w:r w:rsidRPr="00756410">
              <w:rPr>
                <w:sz w:val="20"/>
                <w:szCs w:val="20"/>
                <w:lang w:val="es-419"/>
              </w:rPr>
              <w:t xml:space="preserve">/OM (y el equivalente de la sede) puede tener perfiles de Gerente de Proyecto y </w:t>
            </w:r>
            <w:r w:rsidR="004D3E00">
              <w:rPr>
                <w:sz w:val="20"/>
                <w:szCs w:val="20"/>
                <w:lang w:val="es-419"/>
              </w:rPr>
              <w:t xml:space="preserve"> Autoridad de</w:t>
            </w:r>
            <w:r w:rsidRPr="00756410">
              <w:rPr>
                <w:sz w:val="20"/>
                <w:szCs w:val="20"/>
                <w:lang w:val="es-419"/>
              </w:rPr>
              <w:t xml:space="preserve"> Aprobación siempre que observen la segregación de funciones requerida que se indica a continuación.</w:t>
            </w:r>
          </w:p>
        </w:tc>
      </w:tr>
      <w:tr w:rsidR="00910A7D" w:rsidRPr="00773863" w14:paraId="6345B23D" w14:textId="77777777" w:rsidTr="008C4953">
        <w:trPr>
          <w:trHeight w:val="530"/>
        </w:trPr>
        <w:tc>
          <w:tcPr>
            <w:tcW w:w="98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218DB2" w14:textId="3C4BDCD4" w:rsidR="00910A7D" w:rsidRPr="00756410" w:rsidRDefault="00910A7D" w:rsidP="00756410">
            <w:pPr>
              <w:jc w:val="both"/>
              <w:rPr>
                <w:b/>
                <w:sz w:val="20"/>
                <w:szCs w:val="20"/>
                <w:lang w:val="es-419"/>
              </w:rPr>
            </w:pPr>
            <w:r w:rsidRPr="00756410">
              <w:rPr>
                <w:b/>
                <w:bCs/>
                <w:sz w:val="20"/>
                <w:szCs w:val="20"/>
                <w:lang w:val="es-419"/>
              </w:rPr>
              <w:t xml:space="preserve">Segregación de funciones requerida: </w:t>
            </w:r>
            <w:r w:rsidRPr="00756410">
              <w:rPr>
                <w:sz w:val="20"/>
                <w:szCs w:val="20"/>
                <w:lang w:val="es-419"/>
              </w:rPr>
              <w:t>Los gerentes de proyecto no deben actuar como la segunda o tercera autoridad en las transacciones en las que hayan cumplido el papel de primera autoridad.</w:t>
            </w:r>
          </w:p>
        </w:tc>
      </w:tr>
    </w:tbl>
    <w:p w14:paraId="414B2439" w14:textId="77777777" w:rsidR="00EE312C" w:rsidRPr="00756410" w:rsidRDefault="00EE312C" w:rsidP="00597C21">
      <w:pPr>
        <w:rPr>
          <w:sz w:val="8"/>
          <w:szCs w:val="8"/>
          <w:lang w:val="es-419"/>
        </w:rPr>
      </w:pPr>
    </w:p>
    <w:p w14:paraId="60BA7752" w14:textId="4AFF2F7A" w:rsidR="009F4F88" w:rsidRPr="004B2DF3" w:rsidRDefault="009F4F88">
      <w:pPr>
        <w:pStyle w:val="Heading2"/>
        <w:numPr>
          <w:ilvl w:val="1"/>
          <w:numId w:val="93"/>
        </w:numPr>
        <w:spacing w:after="240"/>
      </w:pPr>
      <w:bookmarkStart w:id="38" w:name="_Toc210052757"/>
      <w:r w:rsidRPr="363CA695">
        <w:lastRenderedPageBreak/>
        <w:t xml:space="preserve">Oficial de </w:t>
      </w:r>
      <w:r w:rsidR="00C104E7">
        <w:t>P</w:t>
      </w:r>
      <w:r w:rsidRPr="363CA695">
        <w:t>rograma</w:t>
      </w:r>
      <w:bookmarkEnd w:id="38"/>
    </w:p>
    <w:p w14:paraId="1AFDA9CE" w14:textId="0EF20B68" w:rsidR="00C663CC" w:rsidRPr="00756410" w:rsidRDefault="00C663CC" w:rsidP="00756410">
      <w:pPr>
        <w:spacing w:line="240" w:lineRule="auto"/>
        <w:jc w:val="both"/>
        <w:rPr>
          <w:lang w:val="es-419"/>
        </w:rPr>
      </w:pPr>
      <w:r w:rsidRPr="00756410">
        <w:rPr>
          <w:lang w:val="es-419"/>
        </w:rPr>
        <w:t>El Oficial de Programa es generalmente responsable de una cartera de proyectos, generalmente proyectos de desarrollo, y generalmente desempeña el papel de garantía</w:t>
      </w:r>
      <w:r w:rsidR="00BD38C7">
        <w:rPr>
          <w:lang w:val="es-419"/>
        </w:rPr>
        <w:t xml:space="preserve"> </w:t>
      </w:r>
      <w:r w:rsidRPr="00756410">
        <w:rPr>
          <w:lang w:val="es-419"/>
        </w:rPr>
        <w:t xml:space="preserve">del proyecto. </w:t>
      </w:r>
      <w:r w:rsidR="00427AC5">
        <w:rPr>
          <w:lang w:val="es-419"/>
        </w:rPr>
        <w:t xml:space="preserve">La </w:t>
      </w:r>
      <w:r w:rsidR="000C304F">
        <w:rPr>
          <w:lang w:val="es-419"/>
        </w:rPr>
        <w:t xml:space="preserve">garantía </w:t>
      </w:r>
      <w:r w:rsidRPr="00756410">
        <w:rPr>
          <w:lang w:val="es-419"/>
        </w:rPr>
        <w:t xml:space="preserve">del proyecto es responsabilidad de cada miembro de la Junta del Proyecto; sin embargo, el PNUD tiene una función de garantía distinta para todos los proyectos del PNUD y lleva a cabo funciones objetivas e independientes de supervisión y </w:t>
      </w:r>
      <w:r w:rsidR="004F1FD7">
        <w:rPr>
          <w:lang w:val="es-419"/>
        </w:rPr>
        <w:t>monitoreo</w:t>
      </w:r>
      <w:r w:rsidR="004F1FD7" w:rsidRPr="00756410">
        <w:rPr>
          <w:lang w:val="es-419"/>
        </w:rPr>
        <w:t xml:space="preserve"> </w:t>
      </w:r>
      <w:r w:rsidRPr="00756410">
        <w:rPr>
          <w:lang w:val="es-419"/>
        </w:rPr>
        <w:t>de proyectos. Un Oficial de Programas o un Oficial de Monitoreo y Evaluación del PNUD generalmente desempeña el papel de garantía de proyectos para proyectos de desarrollo en nombre del PNUD, y puede contar con el apoyo de una</w:t>
      </w:r>
      <w:r w:rsidR="00D40355">
        <w:rPr>
          <w:lang w:val="es-419"/>
        </w:rPr>
        <w:t xml:space="preserve"> </w:t>
      </w:r>
      <w:r w:rsidR="00D40355" w:rsidRPr="48224A22">
        <w:rPr>
          <w:lang w:val="es-419"/>
        </w:rPr>
        <w:t>Unidad de Apoyo al Programa (UAP o PSU</w:t>
      </w:r>
      <w:r w:rsidR="00D40355">
        <w:rPr>
          <w:lang w:val="es-419"/>
        </w:rPr>
        <w:t>/PMSU</w:t>
      </w:r>
      <w:r w:rsidR="00D40355" w:rsidRPr="48224A22">
        <w:rPr>
          <w:lang w:val="es-419"/>
        </w:rPr>
        <w:t xml:space="preserve"> por sus siglas en inglés). </w:t>
      </w:r>
      <w:r w:rsidR="005A325D">
        <w:rPr>
          <w:lang w:val="es-419"/>
        </w:rPr>
        <w:t xml:space="preserve">La </w:t>
      </w:r>
      <w:r w:rsidR="00FF0B19">
        <w:rPr>
          <w:lang w:val="es-419"/>
        </w:rPr>
        <w:t xml:space="preserve">garantía </w:t>
      </w:r>
      <w:r w:rsidRPr="00756410">
        <w:rPr>
          <w:lang w:val="es-419"/>
        </w:rPr>
        <w:t>del proyecto debe ser independiente del gerente del proyecto.</w:t>
      </w:r>
    </w:p>
    <w:p w14:paraId="2DBB4179" w14:textId="42BF494A" w:rsidR="00C663CC" w:rsidRPr="00756410" w:rsidRDefault="00C663CC" w:rsidP="00756410">
      <w:pPr>
        <w:spacing w:line="240" w:lineRule="auto"/>
        <w:jc w:val="both"/>
        <w:rPr>
          <w:sz w:val="20"/>
          <w:szCs w:val="20"/>
          <w:lang w:val="es-419"/>
        </w:rPr>
      </w:pPr>
      <w:r w:rsidRPr="00756410">
        <w:rPr>
          <w:lang w:val="es-419"/>
        </w:rPr>
        <w:t xml:space="preserve">El Oficial de Programas es responsable de garantizar que los proyectos de su cartera se preparen y supervisen de acuerdo con el POPP (consulte </w:t>
      </w:r>
      <w:hyperlink r:id="rId56" w:history="1">
        <w:r w:rsidR="004C4780" w:rsidRPr="00B760C3">
          <w:rPr>
            <w:rStyle w:val="Hyperlink"/>
            <w:lang w:val="es-419"/>
          </w:rPr>
          <w:t>”</w:t>
        </w:r>
        <w:r w:rsidR="004C4780" w:rsidRPr="00B760C3">
          <w:rPr>
            <w:rStyle w:val="Hyperlink"/>
            <w:i/>
            <w:iCs/>
            <w:lang w:val="es-419"/>
          </w:rPr>
          <w:t>G</w:t>
        </w:r>
        <w:r w:rsidR="00FE3211" w:rsidRPr="00B760C3">
          <w:rPr>
            <w:rStyle w:val="Hyperlink"/>
            <w:i/>
            <w:iCs/>
            <w:lang w:val="es-419"/>
          </w:rPr>
          <w:t>estión de programas y proyecto</w:t>
        </w:r>
        <w:r w:rsidR="004C4780" w:rsidRPr="00B760C3">
          <w:rPr>
            <w:rStyle w:val="Hyperlink"/>
            <w:i/>
            <w:iCs/>
            <w:lang w:val="es-419"/>
          </w:rPr>
          <w:t>s</w:t>
        </w:r>
        <w:r w:rsidR="004C4780" w:rsidRPr="00B760C3">
          <w:rPr>
            <w:rStyle w:val="Hyperlink"/>
            <w:lang w:val="es-419"/>
          </w:rPr>
          <w:t>”</w:t>
        </w:r>
        <w:r w:rsidR="00FE3211" w:rsidRPr="00B760C3">
          <w:rPr>
            <w:rStyle w:val="Hyperlink"/>
            <w:lang w:val="es-419"/>
          </w:rPr>
          <w:t xml:space="preserve"> del POPP</w:t>
        </w:r>
      </w:hyperlink>
      <w:r w:rsidR="00FE3211" w:rsidRPr="00756410">
        <w:rPr>
          <w:lang w:val="es-419"/>
        </w:rPr>
        <w:t xml:space="preserve">; y las subsecciones </w:t>
      </w:r>
      <w:hyperlink r:id="rId57">
        <w:r w:rsidR="00AC3446">
          <w:rPr>
            <w:rStyle w:val="Hyperlink"/>
            <w:lang w:val="es-419"/>
          </w:rPr>
          <w:t>”</w:t>
        </w:r>
        <w:r w:rsidR="00AC3446" w:rsidRPr="00756410">
          <w:rPr>
            <w:rStyle w:val="Hyperlink"/>
            <w:i/>
            <w:iCs/>
            <w:lang w:val="es-419"/>
          </w:rPr>
          <w:t>Provisión de supervisión</w:t>
        </w:r>
        <w:r w:rsidR="00AC3446">
          <w:rPr>
            <w:rStyle w:val="Hyperlink"/>
            <w:lang w:val="es-419"/>
          </w:rPr>
          <w:t>”</w:t>
        </w:r>
      </w:hyperlink>
      <w:r w:rsidR="00AC3446" w:rsidRPr="00756410">
        <w:rPr>
          <w:lang w:val="es-ES"/>
        </w:rPr>
        <w:t xml:space="preserve"> </w:t>
      </w:r>
      <w:r w:rsidR="00FE3211" w:rsidRPr="00756410">
        <w:rPr>
          <w:lang w:val="es-419"/>
        </w:rPr>
        <w:t xml:space="preserve">y </w:t>
      </w:r>
      <w:hyperlink r:id="rId58">
        <w:r w:rsidR="004C4780">
          <w:rPr>
            <w:rStyle w:val="Hyperlink"/>
            <w:lang w:val="es-419"/>
          </w:rPr>
          <w:t>”</w:t>
        </w:r>
        <w:r w:rsidR="004C4780" w:rsidRPr="00756410">
          <w:rPr>
            <w:rStyle w:val="Hyperlink"/>
            <w:i/>
            <w:iCs/>
            <w:lang w:val="es-419"/>
          </w:rPr>
          <w:t>S</w:t>
        </w:r>
        <w:r w:rsidR="00FE3211" w:rsidRPr="00756410">
          <w:rPr>
            <w:rStyle w:val="Hyperlink"/>
            <w:i/>
            <w:iCs/>
            <w:lang w:val="es-419"/>
          </w:rPr>
          <w:t>elección de un socio implementado</w:t>
        </w:r>
        <w:r w:rsidR="004C4780" w:rsidRPr="00756410">
          <w:rPr>
            <w:rStyle w:val="Hyperlink"/>
            <w:i/>
            <w:iCs/>
            <w:lang w:val="es-419"/>
          </w:rPr>
          <w:t>r</w:t>
        </w:r>
        <w:r w:rsidR="004C4780">
          <w:rPr>
            <w:rStyle w:val="Hyperlink"/>
            <w:lang w:val="es-419"/>
          </w:rPr>
          <w:t>”</w:t>
        </w:r>
      </w:hyperlink>
      <w:r w:rsidR="00FE3211" w:rsidRPr="00756410">
        <w:rPr>
          <w:lang w:val="es-419"/>
        </w:rPr>
        <w:t xml:space="preserve">) y que todos los proyectos de los que es responsable de supervisar se abran, adjudiquen y cierren operativamente adecuadamente en Quantum siguiendo los documentos de respaldo acordados (p. ej.,  Documento del proyecto, acuerdos de contribución, etc.). Específicamente, los oficiales de programa son responsables de supervisar la planificación del proyecto y la </w:t>
      </w:r>
      <w:r w:rsidR="008C73B7" w:rsidRPr="00756410">
        <w:rPr>
          <w:lang w:val="es-419"/>
        </w:rPr>
        <w:t xml:space="preserve">registro </w:t>
      </w:r>
      <w:r w:rsidR="00FE3211" w:rsidRPr="00756410">
        <w:rPr>
          <w:lang w:val="es-419"/>
        </w:rPr>
        <w:t xml:space="preserve">del presupuesto; monitorear la implementación del proyecto y la documentación de respaldo; garantizar que los acuerdos de contribución se registren oportunamente y que se haga un seguimiento de las contribuciones por cobrar; y garantizar el cierre </w:t>
      </w:r>
      <w:r w:rsidR="003C7716">
        <w:rPr>
          <w:lang w:val="es-419"/>
        </w:rPr>
        <w:t xml:space="preserve">operativo </w:t>
      </w:r>
      <w:r w:rsidR="00FE3211" w:rsidRPr="00756410">
        <w:rPr>
          <w:lang w:val="es-419"/>
        </w:rPr>
        <w:t xml:space="preserve">oportuno del proyecto. Esta responsabilidad se aplica independientemente de </w:t>
      </w:r>
      <w:r w:rsidR="005C152F" w:rsidRPr="00756410">
        <w:rPr>
          <w:lang w:val="es-419"/>
        </w:rPr>
        <w:t>los arreglos</w:t>
      </w:r>
      <w:r w:rsidR="00FE3211" w:rsidRPr="00756410">
        <w:rPr>
          <w:lang w:val="es-419"/>
        </w:rPr>
        <w:t xml:space="preserve"> de ejecución del proyecto. </w:t>
      </w:r>
    </w:p>
    <w:p w14:paraId="03CB8877" w14:textId="2A101B8A" w:rsidR="00C663CC" w:rsidRPr="00756410" w:rsidRDefault="00C663CC" w:rsidP="00756410">
      <w:pPr>
        <w:spacing w:line="240" w:lineRule="auto"/>
        <w:jc w:val="both"/>
        <w:rPr>
          <w:lang w:val="es-419"/>
        </w:rPr>
      </w:pPr>
      <w:r w:rsidRPr="00756410">
        <w:rPr>
          <w:lang w:val="es-419"/>
        </w:rPr>
        <w:t xml:space="preserve">Los oficiales de programa también pueden ser </w:t>
      </w:r>
      <w:r w:rsidR="00747C75" w:rsidRPr="00756410">
        <w:rPr>
          <w:lang w:val="es-419"/>
        </w:rPr>
        <w:t xml:space="preserve">autoridades </w:t>
      </w:r>
      <w:r w:rsidRPr="00756410">
        <w:rPr>
          <w:lang w:val="es-419"/>
        </w:rPr>
        <w:t xml:space="preserve">de aprobación cuando el jefe de la oficina o dependencia tenga la seguridad de que esos </w:t>
      </w:r>
      <w:r w:rsidRPr="00756410">
        <w:rPr>
          <w:b/>
          <w:lang w:val="es-419"/>
        </w:rPr>
        <w:t>funcionarios</w:t>
      </w:r>
      <w:r w:rsidRPr="00756410">
        <w:rPr>
          <w:lang w:val="es-419"/>
        </w:rPr>
        <w:t xml:space="preserve"> tienen un buen conocimiento de las normas de adquisiciones del PNUD y pueden examinar de forma independiente la autoridad ejercida por el </w:t>
      </w:r>
      <w:r w:rsidR="00747C75" w:rsidRPr="00756410">
        <w:rPr>
          <w:lang w:val="es-419"/>
        </w:rPr>
        <w:t xml:space="preserve">gerente </w:t>
      </w:r>
      <w:r w:rsidRPr="00756410">
        <w:rPr>
          <w:lang w:val="es-419"/>
        </w:rPr>
        <w:t xml:space="preserve">del proyecto. Sin embargo, es posible que los oficiales de programa no tengan perfil de </w:t>
      </w:r>
      <w:r w:rsidR="00FE7242" w:rsidRPr="00756410">
        <w:rPr>
          <w:lang w:val="es-419"/>
        </w:rPr>
        <w:t xml:space="preserve">gerente </w:t>
      </w:r>
      <w:r w:rsidRPr="00756410">
        <w:rPr>
          <w:lang w:val="es-419"/>
        </w:rPr>
        <w:t xml:space="preserve">de proyecto y </w:t>
      </w:r>
      <w:r w:rsidR="00FE7242" w:rsidRPr="00756410">
        <w:rPr>
          <w:lang w:val="es-419"/>
        </w:rPr>
        <w:t xml:space="preserve">autoridad </w:t>
      </w:r>
      <w:r w:rsidRPr="00756410">
        <w:rPr>
          <w:lang w:val="es-419"/>
        </w:rPr>
        <w:t>de aprobación.</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1F636E" w:rsidRPr="00773863" w14:paraId="3B216479" w14:textId="3DA65E14" w:rsidTr="363CA695">
        <w:trPr>
          <w:trHeight w:val="332"/>
          <w:tblHeader/>
        </w:trPr>
        <w:tc>
          <w:tcPr>
            <w:tcW w:w="9990" w:type="dxa"/>
            <w:shd w:val="clear" w:color="auto" w:fill="FFF1CC"/>
          </w:tcPr>
          <w:p w14:paraId="38FFDC8A" w14:textId="792DD8DF" w:rsidR="00FE3211" w:rsidRPr="00756410" w:rsidRDefault="00FE3211" w:rsidP="363CA695">
            <w:pPr>
              <w:spacing w:after="0" w:line="240" w:lineRule="auto"/>
              <w:ind w:left="60"/>
              <w:rPr>
                <w:b/>
                <w:sz w:val="20"/>
                <w:szCs w:val="20"/>
                <w:lang w:val="es-ES"/>
              </w:rPr>
            </w:pPr>
            <w:r w:rsidRPr="00756410">
              <w:rPr>
                <w:b/>
                <w:sz w:val="20"/>
                <w:szCs w:val="20"/>
                <w:lang w:val="es-ES"/>
              </w:rPr>
              <w:t>Oficial de programa: Responsabilidades de control interno desempeñadas en cada oficina</w:t>
            </w:r>
            <w:r w:rsidR="00FE7242" w:rsidRPr="00756410">
              <w:rPr>
                <w:b/>
                <w:sz w:val="20"/>
                <w:szCs w:val="20"/>
                <w:lang w:val="es-ES"/>
              </w:rPr>
              <w:t xml:space="preserve">o </w:t>
            </w:r>
            <w:r w:rsidR="00117462" w:rsidRPr="00756410">
              <w:rPr>
                <w:b/>
                <w:sz w:val="20"/>
                <w:szCs w:val="20"/>
                <w:lang w:val="es-ES"/>
              </w:rPr>
              <w:t>unidad</w:t>
            </w:r>
          </w:p>
        </w:tc>
      </w:tr>
      <w:tr w:rsidR="008A4553" w:rsidRPr="00773863" w14:paraId="6A9D1DAB" w14:textId="77777777" w:rsidTr="363CA695">
        <w:trPr>
          <w:trHeight w:val="719"/>
        </w:trPr>
        <w:tc>
          <w:tcPr>
            <w:tcW w:w="9990" w:type="dxa"/>
          </w:tcPr>
          <w:p w14:paraId="1AEF5503" w14:textId="6EE5E71C" w:rsidR="00FE3211" w:rsidRPr="00756410" w:rsidRDefault="00FE3211" w:rsidP="00756410">
            <w:pPr>
              <w:pStyle w:val="ListParagraph"/>
              <w:numPr>
                <w:ilvl w:val="0"/>
                <w:numId w:val="23"/>
              </w:numPr>
              <w:spacing w:after="0" w:line="240" w:lineRule="auto"/>
              <w:jc w:val="both"/>
              <w:rPr>
                <w:sz w:val="20"/>
                <w:szCs w:val="20"/>
                <w:lang w:val="es-419"/>
              </w:rPr>
            </w:pPr>
            <w:r w:rsidRPr="00756410">
              <w:rPr>
                <w:b/>
                <w:sz w:val="20"/>
                <w:szCs w:val="20"/>
                <w:lang w:val="es-419"/>
              </w:rPr>
              <w:t>Planificación:</w:t>
            </w:r>
            <w:r w:rsidRPr="00756410">
              <w:rPr>
                <w:sz w:val="20"/>
                <w:szCs w:val="20"/>
                <w:lang w:val="es-419"/>
              </w:rPr>
              <w:t xml:space="preserve"> Crear una propuesta en Quantum, aunque se puede delegar </w:t>
            </w:r>
            <w:r w:rsidR="00FE7242">
              <w:rPr>
                <w:sz w:val="20"/>
                <w:szCs w:val="20"/>
                <w:lang w:val="es-419"/>
              </w:rPr>
              <w:t>el registro</w:t>
            </w:r>
            <w:r w:rsidRPr="00756410">
              <w:rPr>
                <w:sz w:val="20"/>
                <w:szCs w:val="20"/>
                <w:lang w:val="es-419"/>
              </w:rPr>
              <w:t xml:space="preserve"> de datos; aprobar el plan de trabajo anual del proyecto (es decir, insumos, actividades y productos); garantizar que los proyectos se planifiquen y aprueben de acuerdo con el POPP, incluida la recuperación de costos adecuada; garantizar que se preparen y presenten los planes de adquisición del proyecto.</w:t>
            </w:r>
          </w:p>
        </w:tc>
      </w:tr>
      <w:tr w:rsidR="008A4553" w:rsidRPr="00773863" w14:paraId="6E9B153F" w14:textId="77777777" w:rsidTr="363CA695">
        <w:trPr>
          <w:trHeight w:val="746"/>
        </w:trPr>
        <w:tc>
          <w:tcPr>
            <w:tcW w:w="9990" w:type="dxa"/>
          </w:tcPr>
          <w:p w14:paraId="07089079" w14:textId="206CF052" w:rsidR="00FE3211" w:rsidRPr="00756410" w:rsidRDefault="00FE3211" w:rsidP="00756410">
            <w:pPr>
              <w:pStyle w:val="ListParagraph"/>
              <w:numPr>
                <w:ilvl w:val="0"/>
                <w:numId w:val="23"/>
              </w:numPr>
              <w:spacing w:after="0" w:line="240" w:lineRule="auto"/>
              <w:jc w:val="both"/>
              <w:rPr>
                <w:sz w:val="20"/>
                <w:szCs w:val="20"/>
                <w:lang w:val="es-419"/>
              </w:rPr>
            </w:pPr>
            <w:r w:rsidRPr="00756410">
              <w:rPr>
                <w:b/>
                <w:sz w:val="20"/>
                <w:szCs w:val="20"/>
                <w:lang w:val="es-419"/>
              </w:rPr>
              <w:t>Presupuesto:</w:t>
            </w:r>
            <w:r w:rsidRPr="00756410">
              <w:rPr>
                <w:sz w:val="20"/>
                <w:szCs w:val="20"/>
                <w:lang w:val="es-419"/>
              </w:rPr>
              <w:t xml:space="preserve"> Garantizar que los presupuestos plurianuales se </w:t>
            </w:r>
            <w:r w:rsidR="00865C6E">
              <w:rPr>
                <w:sz w:val="20"/>
                <w:szCs w:val="20"/>
                <w:lang w:val="es-419"/>
              </w:rPr>
              <w:t>registren</w:t>
            </w:r>
            <w:r w:rsidR="00865C6E" w:rsidRPr="00756410">
              <w:rPr>
                <w:sz w:val="20"/>
                <w:szCs w:val="20"/>
                <w:lang w:val="es-419"/>
              </w:rPr>
              <w:t xml:space="preserve"> </w:t>
            </w:r>
            <w:r w:rsidRPr="00756410">
              <w:rPr>
                <w:sz w:val="20"/>
                <w:szCs w:val="20"/>
                <w:lang w:val="es-419"/>
              </w:rPr>
              <w:t xml:space="preserve">en Quantum si el proyecto </w:t>
            </w:r>
            <w:r w:rsidR="00865C6E">
              <w:rPr>
                <w:sz w:val="20"/>
                <w:szCs w:val="20"/>
                <w:lang w:val="es-419"/>
              </w:rPr>
              <w:t>tiene una duración de</w:t>
            </w:r>
            <w:r w:rsidRPr="00756410">
              <w:rPr>
                <w:sz w:val="20"/>
                <w:szCs w:val="20"/>
                <w:lang w:val="es-419"/>
              </w:rPr>
              <w:t xml:space="preserve"> más de un año, sobre la base de los documentos aprobados (por ejemplo, documentos del proyecto, acuerdo de contribuciones, marco de planificación de recursos, presupuesto institucional emitido, etc.) antes de presentarlos al director del programa</w:t>
            </w:r>
            <w:r w:rsidRPr="363CA695">
              <w:rPr>
                <w:rStyle w:val="FootnoteReference"/>
                <w:sz w:val="20"/>
                <w:szCs w:val="20"/>
              </w:rPr>
              <w:footnoteReference w:id="18"/>
            </w:r>
            <w:r w:rsidRPr="00756410">
              <w:rPr>
                <w:sz w:val="20"/>
                <w:szCs w:val="20"/>
                <w:lang w:val="es-419"/>
              </w:rPr>
              <w:t>.</w:t>
            </w:r>
          </w:p>
        </w:tc>
      </w:tr>
      <w:tr w:rsidR="008A4553" w:rsidRPr="00773863" w14:paraId="7A92C2B5" w14:textId="77777777" w:rsidTr="363CA695">
        <w:trPr>
          <w:trHeight w:val="818"/>
        </w:trPr>
        <w:tc>
          <w:tcPr>
            <w:tcW w:w="9990" w:type="dxa"/>
          </w:tcPr>
          <w:p w14:paraId="45AF8BCB" w14:textId="77B40AEC" w:rsidR="00FE3211" w:rsidRPr="00756410" w:rsidRDefault="00FE3211" w:rsidP="00756410">
            <w:pPr>
              <w:pStyle w:val="ListParagraph"/>
              <w:numPr>
                <w:ilvl w:val="0"/>
                <w:numId w:val="23"/>
              </w:numPr>
              <w:spacing w:after="0" w:line="240" w:lineRule="auto"/>
              <w:jc w:val="both"/>
              <w:rPr>
                <w:sz w:val="20"/>
                <w:szCs w:val="20"/>
                <w:lang w:val="es-419"/>
              </w:rPr>
            </w:pPr>
            <w:r w:rsidRPr="00756410">
              <w:rPr>
                <w:b/>
                <w:sz w:val="20"/>
                <w:szCs w:val="20"/>
                <w:lang w:val="es-419"/>
              </w:rPr>
              <w:t>Implementación:</w:t>
            </w:r>
            <w:r w:rsidRPr="00756410">
              <w:rPr>
                <w:sz w:val="20"/>
                <w:szCs w:val="20"/>
                <w:lang w:val="es-419"/>
              </w:rPr>
              <w:t xml:space="preserve"> (i) Monitorear si las actividades, compromisos y gastos del proyecto se alinean con el plan de trabajo anual del proyecto, incluido el progreso</w:t>
            </w:r>
            <w:r w:rsidR="00E22545">
              <w:rPr>
                <w:sz w:val="20"/>
                <w:szCs w:val="20"/>
                <w:lang w:val="es-419"/>
              </w:rPr>
              <w:t xml:space="preserve"> de</w:t>
            </w:r>
            <w:r w:rsidRPr="00756410">
              <w:rPr>
                <w:sz w:val="20"/>
                <w:szCs w:val="20"/>
                <w:lang w:val="es-419"/>
              </w:rPr>
              <w:t xml:space="preserve"> productos y resultados; ii) supervisar los anticipos concedidos a los asociados en la ejecución; iii) </w:t>
            </w:r>
            <w:r w:rsidR="00C01D28">
              <w:rPr>
                <w:sz w:val="20"/>
                <w:szCs w:val="20"/>
                <w:lang w:val="es-419"/>
              </w:rPr>
              <w:t>realizar visitas técnicas a los sitios</w:t>
            </w:r>
            <w:r w:rsidRPr="00756410">
              <w:rPr>
                <w:sz w:val="20"/>
                <w:szCs w:val="20"/>
                <w:lang w:val="es-419"/>
              </w:rPr>
              <w:t xml:space="preserve"> de los proyectos y examinar los informes descriptivos y financieros de los proyectos; y iv) garantizar que los activos del proyecto se mantengan y registren adecuadamente.</w:t>
            </w:r>
          </w:p>
        </w:tc>
      </w:tr>
      <w:tr w:rsidR="00DB72C3" w:rsidRPr="00773863" w14:paraId="21D14D69" w14:textId="77777777" w:rsidTr="008E7257">
        <w:trPr>
          <w:trHeight w:val="548"/>
        </w:trPr>
        <w:tc>
          <w:tcPr>
            <w:tcW w:w="9990" w:type="dxa"/>
          </w:tcPr>
          <w:p w14:paraId="433D4D75" w14:textId="30B8E2FF" w:rsidR="00FE3211" w:rsidRPr="00756410" w:rsidRDefault="00FE3211" w:rsidP="00756410">
            <w:pPr>
              <w:pStyle w:val="ListParagraph"/>
              <w:numPr>
                <w:ilvl w:val="0"/>
                <w:numId w:val="23"/>
              </w:numPr>
              <w:spacing w:after="0" w:line="240" w:lineRule="auto"/>
              <w:jc w:val="both"/>
              <w:rPr>
                <w:b/>
                <w:sz w:val="20"/>
                <w:szCs w:val="20"/>
                <w:lang w:val="es-419"/>
              </w:rPr>
            </w:pPr>
            <w:r w:rsidRPr="00756410">
              <w:rPr>
                <w:b/>
                <w:sz w:val="20"/>
                <w:szCs w:val="20"/>
                <w:lang w:val="es-419"/>
              </w:rPr>
              <w:t>Gestión de ingresos:</w:t>
            </w:r>
            <w:r w:rsidRPr="00756410">
              <w:rPr>
                <w:sz w:val="20"/>
                <w:szCs w:val="20"/>
                <w:lang w:val="es-419"/>
              </w:rPr>
              <w:t xml:space="preserve"> (i) Comunicar</w:t>
            </w:r>
            <w:r w:rsidR="00A81C86">
              <w:rPr>
                <w:sz w:val="20"/>
                <w:szCs w:val="20"/>
                <w:lang w:val="es-419"/>
              </w:rPr>
              <w:t xml:space="preserve"> al personal de finanzas sobre</w:t>
            </w:r>
            <w:r w:rsidRPr="00756410">
              <w:rPr>
                <w:sz w:val="20"/>
                <w:szCs w:val="20"/>
                <w:lang w:val="es-419"/>
              </w:rPr>
              <w:t xml:space="preserve"> el acuerdo firmado, el </w:t>
            </w:r>
            <w:r w:rsidR="0054774F">
              <w:rPr>
                <w:sz w:val="20"/>
                <w:szCs w:val="20"/>
                <w:lang w:val="es-419"/>
              </w:rPr>
              <w:t>plan de cuentas (</w:t>
            </w:r>
            <w:r w:rsidRPr="00756410">
              <w:rPr>
                <w:sz w:val="20"/>
                <w:szCs w:val="20"/>
                <w:lang w:val="es-419"/>
              </w:rPr>
              <w:t>COA</w:t>
            </w:r>
            <w:r w:rsidR="0054774F">
              <w:rPr>
                <w:sz w:val="20"/>
                <w:szCs w:val="20"/>
                <w:lang w:val="es-419"/>
              </w:rPr>
              <w:t xml:space="preserve"> por sus siglas en inglés)</w:t>
            </w:r>
            <w:r w:rsidRPr="00756410">
              <w:rPr>
                <w:sz w:val="20"/>
                <w:szCs w:val="20"/>
                <w:lang w:val="es-419"/>
              </w:rPr>
              <w:t xml:space="preserve"> y otros detalles relevantes </w:t>
            </w:r>
            <w:r w:rsidR="00F818F2">
              <w:rPr>
                <w:sz w:val="20"/>
                <w:szCs w:val="20"/>
                <w:lang w:val="es-419"/>
              </w:rPr>
              <w:t>en</w:t>
            </w:r>
            <w:r w:rsidRPr="00756410">
              <w:rPr>
                <w:sz w:val="20"/>
                <w:szCs w:val="20"/>
                <w:lang w:val="es-419"/>
              </w:rPr>
              <w:t xml:space="preserve"> la </w:t>
            </w:r>
            <w:hyperlink r:id="rId59">
              <w:r w:rsidR="00930068" w:rsidRPr="00756410">
                <w:rPr>
                  <w:rStyle w:val="Hyperlink"/>
                  <w:color w:val="4472C4" w:themeColor="accent1"/>
                  <w:sz w:val="20"/>
                  <w:szCs w:val="20"/>
                  <w:lang w:val="es-419"/>
                </w:rPr>
                <w:t>plataforma de gestión de contratos Quantum+ Unity</w:t>
              </w:r>
            </w:hyperlink>
            <w:r w:rsidR="00930068" w:rsidRPr="00756410">
              <w:rPr>
                <w:sz w:val="20"/>
                <w:szCs w:val="20"/>
                <w:lang w:val="es-419"/>
              </w:rPr>
              <w:t xml:space="preserve"> para garantizar que los acuerdos de contribución firmados (o los documentos del proyecto para la participación del gobierno en los costos) se presenten a BMS/GSSC de manera oportuna; y (ii) garantizar que se cumplan los requisitos de los donantes, incluidos los cronogramas de pago de las contribuciones y las cuentas por cobrar. </w:t>
            </w:r>
            <w:r w:rsidRPr="00756410">
              <w:rPr>
                <w:b/>
                <w:bCs/>
                <w:color w:val="4472C4" w:themeColor="accent1"/>
                <w:sz w:val="20"/>
                <w:szCs w:val="20"/>
                <w:lang w:val="es-419"/>
              </w:rPr>
              <w:t xml:space="preserve">¡Alerta contable importante! </w:t>
            </w:r>
            <w:r w:rsidRPr="00756410">
              <w:rPr>
                <w:b/>
                <w:bCs/>
                <w:sz w:val="20"/>
                <w:szCs w:val="20"/>
                <w:lang w:val="es-419"/>
              </w:rPr>
              <w:t xml:space="preserve">El retraso en la presentación de los acuerdos firmados a BMS/GSSC al final del año puede dar lugar a una incorrección importante de los ingresos del PNUD en los estados financieros y podría dar lugar a una </w:t>
            </w:r>
            <w:r w:rsidR="00ED7BFA">
              <w:rPr>
                <w:b/>
                <w:bCs/>
                <w:sz w:val="20"/>
                <w:szCs w:val="20"/>
                <w:lang w:val="es-419"/>
              </w:rPr>
              <w:t>salvedad de la</w:t>
            </w:r>
            <w:r w:rsidRPr="00756410">
              <w:rPr>
                <w:b/>
                <w:bCs/>
                <w:sz w:val="20"/>
                <w:szCs w:val="20"/>
                <w:lang w:val="es-419"/>
              </w:rPr>
              <w:t xml:space="preserve"> auditoría. </w:t>
            </w:r>
            <w:r w:rsidRPr="00756410">
              <w:rPr>
                <w:sz w:val="20"/>
                <w:szCs w:val="20"/>
                <w:lang w:val="es-419"/>
              </w:rPr>
              <w:t xml:space="preserve">Es </w:t>
            </w:r>
            <w:r w:rsidRPr="00756410">
              <w:rPr>
                <w:sz w:val="20"/>
                <w:szCs w:val="20"/>
                <w:lang w:val="es-419"/>
              </w:rPr>
              <w:lastRenderedPageBreak/>
              <w:t xml:space="preserve">fundamental que los oficiales de programas se aseguren de que los acuerdos firmados se comuniquen al personal de finanzas tan pronto como se firmen. Consulta aquí la </w:t>
            </w:r>
            <w:hyperlink r:id="rId60">
              <w:r w:rsidR="00930068" w:rsidRPr="00756410">
                <w:rPr>
                  <w:rStyle w:val="Hyperlink"/>
                  <w:color w:val="4472C4" w:themeColor="accent1"/>
                  <w:sz w:val="20"/>
                  <w:szCs w:val="20"/>
                  <w:lang w:val="es-419"/>
                </w:rPr>
                <w:t>capacitación sobre la nueva plataforma de gestión de contratos Quantum+ Unity</w:t>
              </w:r>
            </w:hyperlink>
            <w:r w:rsidR="00930068" w:rsidRPr="00756410">
              <w:rPr>
                <w:color w:val="4472C4" w:themeColor="accent1"/>
                <w:sz w:val="20"/>
                <w:szCs w:val="20"/>
                <w:lang w:val="es-419"/>
              </w:rPr>
              <w:t xml:space="preserve">. </w:t>
            </w:r>
          </w:p>
        </w:tc>
      </w:tr>
      <w:tr w:rsidR="00DB72C3" w:rsidRPr="00570C68" w14:paraId="12B67EAF" w14:textId="77777777" w:rsidTr="363CA695">
        <w:trPr>
          <w:trHeight w:val="818"/>
        </w:trPr>
        <w:tc>
          <w:tcPr>
            <w:tcW w:w="9990" w:type="dxa"/>
          </w:tcPr>
          <w:p w14:paraId="33244D4E" w14:textId="30A4E6D8" w:rsidR="00FE3211" w:rsidRPr="00756410" w:rsidRDefault="00FE3211" w:rsidP="00756410">
            <w:pPr>
              <w:pStyle w:val="ListParagraph"/>
              <w:numPr>
                <w:ilvl w:val="0"/>
                <w:numId w:val="23"/>
              </w:numPr>
              <w:spacing w:after="0" w:line="240" w:lineRule="auto"/>
              <w:jc w:val="both"/>
              <w:rPr>
                <w:sz w:val="20"/>
                <w:szCs w:val="20"/>
                <w:lang w:val="es-ES"/>
              </w:rPr>
            </w:pPr>
            <w:r w:rsidRPr="00756410">
              <w:rPr>
                <w:b/>
                <w:sz w:val="20"/>
                <w:szCs w:val="20"/>
                <w:lang w:val="es-419"/>
              </w:rPr>
              <w:lastRenderedPageBreak/>
              <w:t>Cierre:</w:t>
            </w:r>
            <w:r w:rsidRPr="00756410">
              <w:rPr>
                <w:sz w:val="20"/>
                <w:szCs w:val="20"/>
                <w:lang w:val="es-419"/>
              </w:rPr>
              <w:t xml:space="preserve"> Garantizar el cierre operativo adecuado y oportuno de los proyectos en Quantum, de acuerdo con los documentos de respaldo acordados. BMS/GSSC es responsable del cierre financiero de los proyectos. </w:t>
            </w:r>
            <w:r w:rsidR="000D1ED6">
              <w:rPr>
                <w:sz w:val="20"/>
                <w:szCs w:val="20"/>
                <w:lang w:val="es-419"/>
              </w:rPr>
              <w:t xml:space="preserve">Consulte en </w:t>
            </w:r>
            <w:r w:rsidR="000D1ED6" w:rsidRPr="004F3A83">
              <w:rPr>
                <w:sz w:val="20"/>
                <w:szCs w:val="20"/>
                <w:lang w:val="es-419"/>
              </w:rPr>
              <w:t xml:space="preserve">Quantum </w:t>
            </w:r>
            <w:r w:rsidR="000D1ED6">
              <w:rPr>
                <w:sz w:val="20"/>
                <w:szCs w:val="20"/>
                <w:lang w:val="es-419"/>
              </w:rPr>
              <w:t>“</w:t>
            </w:r>
            <w:r w:rsidR="000D1ED6" w:rsidRPr="00756410">
              <w:rPr>
                <w:i/>
                <w:iCs/>
                <w:sz w:val="20"/>
                <w:szCs w:val="20"/>
                <w:lang w:val="es-419"/>
              </w:rPr>
              <w:t>Project Closure Workbench</w:t>
            </w:r>
            <w:r w:rsidR="000D1ED6">
              <w:rPr>
                <w:sz w:val="20"/>
                <w:szCs w:val="20"/>
                <w:lang w:val="es-419"/>
              </w:rPr>
              <w:t>”</w:t>
            </w:r>
            <w:r w:rsidR="000D1ED6" w:rsidRPr="004F3A83">
              <w:rPr>
                <w:sz w:val="20"/>
                <w:szCs w:val="20"/>
                <w:lang w:val="es-419"/>
              </w:rPr>
              <w:t xml:space="preserve"> (Navegación </w:t>
            </w:r>
            <w:r w:rsidR="000D1ED6">
              <w:rPr>
                <w:sz w:val="20"/>
                <w:szCs w:val="20"/>
                <w:lang w:val="es-419"/>
              </w:rPr>
              <w:t>Quantum</w:t>
            </w:r>
            <w:r w:rsidR="000D1ED6" w:rsidRPr="004F3A83">
              <w:rPr>
                <w:sz w:val="20"/>
                <w:szCs w:val="20"/>
                <w:lang w:val="es-419"/>
              </w:rPr>
              <w:t xml:space="preserve">: pestaña Proyectos&gt; </w:t>
            </w:r>
            <w:r w:rsidR="000D1ED6">
              <w:rPr>
                <w:sz w:val="20"/>
                <w:szCs w:val="20"/>
                <w:lang w:val="es-419"/>
              </w:rPr>
              <w:t>“</w:t>
            </w:r>
            <w:r w:rsidR="000D1ED6" w:rsidRPr="00756410">
              <w:rPr>
                <w:i/>
                <w:iCs/>
                <w:sz w:val="20"/>
                <w:szCs w:val="20"/>
                <w:lang w:val="es-419"/>
              </w:rPr>
              <w:t>Project Results and Project Closure Workbench</w:t>
            </w:r>
            <w:r w:rsidR="000D1ED6" w:rsidRPr="004F3A83">
              <w:rPr>
                <w:sz w:val="20"/>
                <w:szCs w:val="20"/>
                <w:lang w:val="es-419"/>
              </w:rPr>
              <w:t>” &gt;</w:t>
            </w:r>
            <w:r w:rsidR="000D1ED6">
              <w:rPr>
                <w:sz w:val="20"/>
                <w:szCs w:val="20"/>
                <w:lang w:val="es-419"/>
              </w:rPr>
              <w:t xml:space="preserve"> </w:t>
            </w:r>
            <w:r w:rsidR="000D1ED6" w:rsidRPr="004F3A83">
              <w:rPr>
                <w:sz w:val="20"/>
                <w:szCs w:val="20"/>
                <w:lang w:val="es-419"/>
              </w:rPr>
              <w:t xml:space="preserve">Haga clic en el icono </w:t>
            </w:r>
            <w:r w:rsidR="000D1ED6">
              <w:rPr>
                <w:sz w:val="20"/>
                <w:szCs w:val="20"/>
                <w:lang w:val="es-419"/>
              </w:rPr>
              <w:t>“</w:t>
            </w:r>
            <w:r w:rsidR="000D1ED6" w:rsidRPr="00756410">
              <w:rPr>
                <w:i/>
                <w:iCs/>
                <w:sz w:val="20"/>
                <w:szCs w:val="20"/>
                <w:lang w:val="es-419"/>
              </w:rPr>
              <w:t>Project Closure Workbench</w:t>
            </w:r>
            <w:r w:rsidR="000D1ED6">
              <w:rPr>
                <w:sz w:val="20"/>
                <w:szCs w:val="20"/>
                <w:lang w:val="es-419"/>
              </w:rPr>
              <w:t>”</w:t>
            </w:r>
            <w:r w:rsidR="000D1ED6" w:rsidRPr="004F3A83">
              <w:rPr>
                <w:sz w:val="20"/>
                <w:szCs w:val="20"/>
                <w:lang w:val="es-419"/>
              </w:rPr>
              <w:t xml:space="preserve"> en el campo del navegador del lado izquierdo. Consulte el artículo de </w:t>
            </w:r>
            <w:r w:rsidR="000D1ED6">
              <w:rPr>
                <w:sz w:val="20"/>
                <w:szCs w:val="20"/>
                <w:lang w:val="es-419"/>
              </w:rPr>
              <w:t xml:space="preserve">conocimiento de </w:t>
            </w:r>
            <w:r w:rsidR="000D1ED6" w:rsidRPr="004F3A83">
              <w:rPr>
                <w:sz w:val="20"/>
                <w:szCs w:val="20"/>
                <w:lang w:val="es-419"/>
              </w:rPr>
              <w:t xml:space="preserve">UNall titulado: </w:t>
            </w:r>
            <w:hyperlink r:id="rId61">
              <w:r w:rsidR="000D1ED6" w:rsidRPr="004F3A83">
                <w:rPr>
                  <w:rStyle w:val="Hyperlink"/>
                  <w:sz w:val="20"/>
                  <w:szCs w:val="20"/>
                  <w:lang w:val="es-419"/>
                </w:rPr>
                <w:t xml:space="preserve">¿Cómo accedo a </w:t>
              </w:r>
              <w:r w:rsidR="000D1ED6">
                <w:rPr>
                  <w:rStyle w:val="Hyperlink"/>
                  <w:sz w:val="20"/>
                  <w:szCs w:val="20"/>
                  <w:lang w:val="es-419"/>
                </w:rPr>
                <w:t>“</w:t>
              </w:r>
              <w:r w:rsidR="000D1ED6" w:rsidRPr="00756410">
                <w:rPr>
                  <w:rStyle w:val="Hyperlink"/>
                  <w:i/>
                  <w:iCs/>
                  <w:sz w:val="20"/>
                  <w:szCs w:val="20"/>
                  <w:lang w:val="es-419"/>
                </w:rPr>
                <w:t>Project Closure Workbench</w:t>
              </w:r>
              <w:r w:rsidR="000D1ED6">
                <w:rPr>
                  <w:rStyle w:val="Hyperlink"/>
                  <w:sz w:val="20"/>
                  <w:szCs w:val="20"/>
                  <w:lang w:val="es-419"/>
                </w:rPr>
                <w:t>”</w:t>
              </w:r>
              <w:r w:rsidR="000D1ED6" w:rsidRPr="004F3A83">
                <w:rPr>
                  <w:rStyle w:val="Hyperlink"/>
                  <w:sz w:val="20"/>
                  <w:szCs w:val="20"/>
                  <w:lang w:val="es-419"/>
                </w:rPr>
                <w:t xml:space="preserve"> en Quantum?</w:t>
              </w:r>
            </w:hyperlink>
            <w:r w:rsidR="000D1ED6" w:rsidRPr="004F3A83">
              <w:rPr>
                <w:sz w:val="20"/>
                <w:szCs w:val="20"/>
                <w:lang w:val="es-419"/>
              </w:rPr>
              <w:t xml:space="preserve"> </w:t>
            </w:r>
            <w:r w:rsidR="000D1ED6" w:rsidRPr="363CA695">
              <w:rPr>
                <w:sz w:val="20"/>
                <w:szCs w:val="20"/>
              </w:rPr>
              <w:t>para más información).</w:t>
            </w:r>
          </w:p>
        </w:tc>
      </w:tr>
      <w:tr w:rsidR="001F636E" w:rsidRPr="00773863" w14:paraId="11BCB120" w14:textId="61E91DB5" w:rsidTr="363CA695">
        <w:trPr>
          <w:trHeight w:val="268"/>
        </w:trPr>
        <w:tc>
          <w:tcPr>
            <w:tcW w:w="9990" w:type="dxa"/>
            <w:shd w:val="clear" w:color="auto" w:fill="E1EED9"/>
          </w:tcPr>
          <w:p w14:paraId="3EDAB425" w14:textId="4138C1BD" w:rsidR="00FE3211" w:rsidRPr="00756410" w:rsidRDefault="00FE3211" w:rsidP="00756410">
            <w:pPr>
              <w:spacing w:after="0" w:line="240" w:lineRule="auto"/>
              <w:ind w:left="60"/>
              <w:jc w:val="both"/>
              <w:rPr>
                <w:b/>
                <w:sz w:val="20"/>
                <w:szCs w:val="20"/>
                <w:lang w:val="es-ES"/>
              </w:rPr>
            </w:pPr>
            <w:r w:rsidRPr="00756410">
              <w:rPr>
                <w:b/>
                <w:sz w:val="20"/>
                <w:szCs w:val="20"/>
                <w:lang w:val="es-ES"/>
              </w:rPr>
              <w:t xml:space="preserve">Perfil de IDAM – Usuario general </w:t>
            </w:r>
            <w:r w:rsidR="009308D5">
              <w:rPr>
                <w:b/>
                <w:sz w:val="20"/>
                <w:szCs w:val="20"/>
                <w:lang w:val="es-ES"/>
              </w:rPr>
              <w:t>[</w:t>
            </w:r>
            <w:r w:rsidR="005A49C9" w:rsidRPr="00756410">
              <w:rPr>
                <w:b/>
                <w:i/>
                <w:iCs/>
                <w:sz w:val="20"/>
                <w:szCs w:val="20"/>
                <w:lang w:val="es-ES"/>
              </w:rPr>
              <w:t>General User</w:t>
            </w:r>
            <w:r w:rsidR="009308D5">
              <w:rPr>
                <w:b/>
                <w:sz w:val="20"/>
                <w:szCs w:val="20"/>
                <w:lang w:val="es-ES"/>
              </w:rPr>
              <w:t>]</w:t>
            </w:r>
          </w:p>
        </w:tc>
      </w:tr>
      <w:tr w:rsidR="008A4553" w:rsidRPr="00773863" w14:paraId="560B1CBE" w14:textId="06A80088" w:rsidTr="363CA695">
        <w:trPr>
          <w:trHeight w:val="268"/>
        </w:trPr>
        <w:tc>
          <w:tcPr>
            <w:tcW w:w="9990" w:type="dxa"/>
            <w:shd w:val="clear" w:color="auto" w:fill="E1EED9"/>
          </w:tcPr>
          <w:p w14:paraId="1669D2F9" w14:textId="0C8A361B" w:rsidR="00FE3211" w:rsidRPr="00756410" w:rsidRDefault="00FE3211" w:rsidP="00756410">
            <w:pPr>
              <w:spacing w:after="0" w:line="240" w:lineRule="auto"/>
              <w:ind w:left="60"/>
              <w:jc w:val="both"/>
              <w:rPr>
                <w:b/>
                <w:sz w:val="20"/>
                <w:szCs w:val="20"/>
                <w:lang w:val="es-419"/>
              </w:rPr>
            </w:pPr>
            <w:r w:rsidRPr="00756410">
              <w:rPr>
                <w:b/>
                <w:sz w:val="20"/>
                <w:szCs w:val="20"/>
                <w:lang w:val="es-419"/>
              </w:rPr>
              <w:t>Segregación de funciones requerida:</w:t>
            </w:r>
            <w:r w:rsidRPr="00756410">
              <w:rPr>
                <w:sz w:val="20"/>
                <w:szCs w:val="20"/>
                <w:lang w:val="es-419"/>
              </w:rPr>
              <w:t xml:space="preserve"> El Oficial de Programa debe ser independiente del Gerente de Proyecto</w:t>
            </w:r>
            <w:r w:rsidR="001B0655" w:rsidRPr="009A7C29">
              <w:rPr>
                <w:rStyle w:val="FootnoteReference"/>
                <w:sz w:val="20"/>
                <w:szCs w:val="20"/>
              </w:rPr>
              <w:footnoteReference w:id="19"/>
            </w:r>
          </w:p>
        </w:tc>
      </w:tr>
    </w:tbl>
    <w:p w14:paraId="32022AFC" w14:textId="77777777" w:rsidR="005200F5" w:rsidRPr="00756410" w:rsidRDefault="005200F5" w:rsidP="005200F5">
      <w:pPr>
        <w:rPr>
          <w:lang w:val="es-419"/>
        </w:rPr>
      </w:pPr>
    </w:p>
    <w:p w14:paraId="41842E73" w14:textId="2EFA5892" w:rsidR="00ED3CA1" w:rsidRPr="00756410" w:rsidRDefault="00ED3CA1">
      <w:pPr>
        <w:pStyle w:val="Heading2"/>
        <w:numPr>
          <w:ilvl w:val="1"/>
          <w:numId w:val="93"/>
        </w:numPr>
        <w:spacing w:after="240"/>
        <w:rPr>
          <w:lang w:val="es-419"/>
        </w:rPr>
      </w:pPr>
      <w:bookmarkStart w:id="39" w:name="_Toc210052758"/>
      <w:r w:rsidRPr="00756410">
        <w:rPr>
          <w:lang w:val="es-419"/>
        </w:rPr>
        <w:t xml:space="preserve">Administrador de </w:t>
      </w:r>
      <w:r w:rsidR="00C104E7" w:rsidRPr="00756410">
        <w:rPr>
          <w:lang w:val="es-419"/>
        </w:rPr>
        <w:t>F</w:t>
      </w:r>
      <w:r w:rsidRPr="00756410">
        <w:rPr>
          <w:lang w:val="es-419"/>
        </w:rPr>
        <w:t xml:space="preserve">ondos </w:t>
      </w:r>
      <w:r w:rsidR="00C104E7" w:rsidRPr="00756410">
        <w:rPr>
          <w:lang w:val="es-419"/>
        </w:rPr>
        <w:t>F</w:t>
      </w:r>
      <w:r w:rsidRPr="00756410">
        <w:rPr>
          <w:lang w:val="es-419"/>
        </w:rPr>
        <w:t>iduciarios</w:t>
      </w:r>
      <w:bookmarkEnd w:id="39"/>
    </w:p>
    <w:tbl>
      <w:tblPr>
        <w:tblStyle w:val="TableGrid"/>
        <w:tblW w:w="0" w:type="auto"/>
        <w:tblLook w:val="04A0" w:firstRow="1" w:lastRow="0" w:firstColumn="1" w:lastColumn="0" w:noHBand="0" w:noVBand="1"/>
      </w:tblPr>
      <w:tblGrid>
        <w:gridCol w:w="9715"/>
      </w:tblGrid>
      <w:tr w:rsidR="004F35CA" w:rsidRPr="00773863" w14:paraId="75E1E138" w14:textId="77777777" w:rsidTr="363CA695">
        <w:tc>
          <w:tcPr>
            <w:tcW w:w="9715" w:type="dxa"/>
          </w:tcPr>
          <w:p w14:paraId="0FE240F0" w14:textId="59E6F043" w:rsidR="004F35CA" w:rsidRPr="00756410" w:rsidRDefault="004F35CA" w:rsidP="363CA695">
            <w:pPr>
              <w:rPr>
                <w:rStyle w:val="Hyperlink"/>
                <w:color w:val="auto"/>
                <w:lang w:val="es-419"/>
              </w:rPr>
            </w:pPr>
            <w:r w:rsidRPr="00756410">
              <w:rPr>
                <w:b/>
                <w:lang w:val="es-419"/>
              </w:rPr>
              <w:t>Todos los nuevos fondos fiduciarios deben ser liquidados por la sede y aprobados por el Administrador Asociado.</w:t>
            </w:r>
            <w:r w:rsidRPr="00756410">
              <w:rPr>
                <w:lang w:val="es-419"/>
              </w:rPr>
              <w:t xml:space="preserve"> Las solicitudes de autorización de los términos de referencia y los acuerdos de contribución deben presentarse a BMS/Oficina de Servicios Legales o cosupport@undp.org</w:t>
            </w:r>
            <w:r w:rsidR="00E44F1B">
              <w:rPr>
                <w:lang w:val="es-419"/>
              </w:rPr>
              <w:t>.</w:t>
            </w:r>
          </w:p>
        </w:tc>
      </w:tr>
    </w:tbl>
    <w:p w14:paraId="3095E827" w14:textId="77777777" w:rsidR="004F35CA" w:rsidRPr="00756410" w:rsidRDefault="004F35CA" w:rsidP="004F35CA">
      <w:pPr>
        <w:rPr>
          <w:sz w:val="8"/>
          <w:szCs w:val="8"/>
          <w:lang w:val="es-419"/>
        </w:rPr>
      </w:pPr>
    </w:p>
    <w:p w14:paraId="07726CEA" w14:textId="0B9C1C63" w:rsidR="004F35CA" w:rsidRPr="00756410" w:rsidRDefault="004F35CA" w:rsidP="00756410">
      <w:pPr>
        <w:spacing w:line="240" w:lineRule="auto"/>
        <w:jc w:val="both"/>
        <w:rPr>
          <w:lang w:val="es-419"/>
        </w:rPr>
      </w:pPr>
      <w:r w:rsidRPr="00756410">
        <w:rPr>
          <w:lang w:val="es-419"/>
        </w:rPr>
        <w:t xml:space="preserve">De conformidad con la regla 108.01 b) de la Reglamentación Financiera Detallada, el Administrador Asociado </w:t>
      </w:r>
      <w:r w:rsidR="00AD3240">
        <w:rPr>
          <w:lang w:val="es-419"/>
        </w:rPr>
        <w:t>tiene autoridad</w:t>
      </w:r>
      <w:r w:rsidRPr="00756410">
        <w:rPr>
          <w:lang w:val="es-419"/>
        </w:rPr>
        <w:t xml:space="preserve"> para establecer fondos fiduciarios y firmar acuerdos de contribución a fondos fiduciarios. El Administrador Asociado podrá delegar además esta autoridad en el Director de la Oficina Regional o Central pertinente o en un Jefe de Oficina/Unidad que, a su vez, podrá nombrar un "Administrador del Fondo Fiduciario" cuando se establezca un fondo fiduciario. </w:t>
      </w:r>
    </w:p>
    <w:p w14:paraId="7C0165BD" w14:textId="228143D4" w:rsidR="004F35CA" w:rsidRPr="00756410" w:rsidRDefault="004F35CA" w:rsidP="00756410">
      <w:pPr>
        <w:spacing w:line="240" w:lineRule="auto"/>
        <w:jc w:val="both"/>
        <w:rPr>
          <w:rStyle w:val="Hyperlink"/>
          <w:lang w:val="es-419"/>
        </w:rPr>
      </w:pPr>
      <w:r w:rsidRPr="00756410">
        <w:rPr>
          <w:lang w:val="es-419"/>
        </w:rPr>
        <w:t>El Administrador del Fondo Fiduciario es responsable de la gestión de los fondos fiduciarios de conformidad con el Reglamento Financiero, la Reglamentación Financiera Detallada, las políticas y los procedimientos del PNUD. La responsabilidad de la gestión de los fondos fiduciarios recae normalmente en el Jefe de la Oficina</w:t>
      </w:r>
      <w:r w:rsidR="004C1148">
        <w:rPr>
          <w:lang w:val="es-419"/>
        </w:rPr>
        <w:t>/Unidad</w:t>
      </w:r>
      <w:r w:rsidRPr="00756410">
        <w:rPr>
          <w:lang w:val="es-419"/>
        </w:rPr>
        <w:t xml:space="preserve">, pero éste puede delegar su autoridad en otro funcionario si comunica esa delegación al Administrador Asociado y al </w:t>
      </w:r>
      <w:r w:rsidR="00372F85">
        <w:rPr>
          <w:lang w:val="es-419"/>
        </w:rPr>
        <w:t>CFO</w:t>
      </w:r>
      <w:r w:rsidRPr="00756410">
        <w:rPr>
          <w:lang w:val="es-419"/>
        </w:rPr>
        <w:t xml:space="preserve">. El Administrador del Fondo Fiduciario sigue siendo responsable de monitorear las autoridades ejercidas. Del mismo modo, si bien el administrador del fondo fiduciario puede delegar tareas al personal bajo su supervisión, el administrador del fondo fiduciario conserva la responsabilidad general. </w:t>
      </w:r>
      <w:r w:rsidRPr="00756410">
        <w:rPr>
          <w:b/>
          <w:lang w:val="es-419"/>
        </w:rPr>
        <w:t xml:space="preserve">Sólo </w:t>
      </w:r>
      <w:r w:rsidR="00015F6A">
        <w:rPr>
          <w:b/>
          <w:lang w:val="es-419"/>
        </w:rPr>
        <w:t>el personal</w:t>
      </w:r>
      <w:r w:rsidR="00015F6A" w:rsidRPr="00756410">
        <w:rPr>
          <w:b/>
          <w:lang w:val="es-419"/>
        </w:rPr>
        <w:t xml:space="preserve"> </w:t>
      </w:r>
      <w:r w:rsidRPr="00756410">
        <w:rPr>
          <w:b/>
          <w:lang w:val="es-419"/>
        </w:rPr>
        <w:t>funcionario del PNUD puede ser designados como administradores de fondos fiduciarios.</w:t>
      </w:r>
      <w:r w:rsidRPr="00756410">
        <w:rPr>
          <w:lang w:val="es-419"/>
        </w:rPr>
        <w:t xml:space="preserve"> Las responsabilidades del Administrador del Fondo Fiduciario se articulan </w:t>
      </w:r>
      <w:r w:rsidR="004C4780">
        <w:rPr>
          <w:lang w:val="es-419"/>
        </w:rPr>
        <w:t>en la</w:t>
      </w:r>
      <w:r w:rsidRPr="00756410">
        <w:rPr>
          <w:lang w:val="es-419"/>
        </w:rPr>
        <w:t xml:space="preserve"> </w:t>
      </w:r>
      <w:hyperlink r:id="rId62">
        <w:r w:rsidR="004C4780">
          <w:rPr>
            <w:rStyle w:val="Hyperlink"/>
            <w:lang w:val="es-419"/>
          </w:rPr>
          <w:t>”</w:t>
        </w:r>
        <w:r w:rsidR="00FC79E7" w:rsidRPr="00756410">
          <w:rPr>
            <w:rStyle w:val="Hyperlink"/>
            <w:i/>
            <w:iCs/>
            <w:lang w:val="es-419"/>
          </w:rPr>
          <w:t>Gestión de Fondos Fiduciario</w:t>
        </w:r>
        <w:r w:rsidR="004C4780" w:rsidRPr="00756410">
          <w:rPr>
            <w:rStyle w:val="Hyperlink"/>
            <w:i/>
            <w:iCs/>
            <w:lang w:val="es-419"/>
          </w:rPr>
          <w:t>s</w:t>
        </w:r>
        <w:r w:rsidR="004C4780">
          <w:rPr>
            <w:rStyle w:val="Hyperlink"/>
            <w:lang w:val="es-419"/>
          </w:rPr>
          <w:t>” del POPP</w:t>
        </w:r>
      </w:hyperlink>
      <w:r w:rsidR="00FE3211" w:rsidRPr="00756410">
        <w:rPr>
          <w:lang w:val="es-419"/>
        </w:rPr>
        <w:t xml:space="preserve"> y el </w:t>
      </w:r>
      <w:hyperlink r:id="rId63">
        <w:r w:rsidR="004C4780">
          <w:rPr>
            <w:rStyle w:val="Hyperlink"/>
            <w:lang w:val="es-419"/>
          </w:rPr>
          <w:t>”</w:t>
        </w:r>
        <w:r w:rsidR="004C4780" w:rsidRPr="00756410">
          <w:rPr>
            <w:rStyle w:val="Hyperlink"/>
            <w:i/>
            <w:iCs/>
            <w:lang w:val="es-419"/>
          </w:rPr>
          <w:t>C</w:t>
        </w:r>
        <w:r w:rsidR="00FE3211" w:rsidRPr="00756410">
          <w:rPr>
            <w:rStyle w:val="Hyperlink"/>
            <w:i/>
            <w:iCs/>
            <w:lang w:val="es-419"/>
          </w:rPr>
          <w:t>ierre Financiero de Fondos Fiduciarios</w:t>
        </w:r>
        <w:r w:rsidR="004C4780">
          <w:rPr>
            <w:rStyle w:val="Hyperlink"/>
            <w:lang w:val="es-419"/>
          </w:rPr>
          <w:t>” del</w:t>
        </w:r>
        <w:r w:rsidR="00FE3211" w:rsidRPr="00756410">
          <w:rPr>
            <w:rStyle w:val="Hyperlink"/>
            <w:lang w:val="es-419"/>
          </w:rPr>
          <w:t xml:space="preserve"> POPP</w:t>
        </w:r>
      </w:hyperlink>
      <w:r w:rsidR="00FE3211" w:rsidRPr="00756410">
        <w:rPr>
          <w:rStyle w:val="Hyperlink"/>
          <w:lang w:val="es-419"/>
        </w:rPr>
        <w:t>.</w:t>
      </w:r>
    </w:p>
    <w:p w14:paraId="0A7993DB" w14:textId="18BDF2EB" w:rsidR="00AA657C" w:rsidRPr="00756410" w:rsidRDefault="004F35CA" w:rsidP="00756410">
      <w:pPr>
        <w:spacing w:line="240" w:lineRule="auto"/>
        <w:jc w:val="both"/>
        <w:rPr>
          <w:lang w:val="es-419"/>
        </w:rPr>
      </w:pPr>
      <w:r w:rsidRPr="00756410">
        <w:rPr>
          <w:lang w:val="es-419"/>
        </w:rPr>
        <w:t>El administrador de fondos es un rol complementario de IDAM que se otorga para facilitar la emisión de ASL bajo fondos fiduciarios, fondos verticales y otras funciones administradas por la sede. Todas las solicitudes de acceso del administrador de fondos de IDAM se enrutan electrónicamente a BMS/OFRM para su aprobación previa.</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FE3211" w:rsidRPr="00773863" w14:paraId="62F186A8" w14:textId="77777777" w:rsidTr="363CA695">
        <w:trPr>
          <w:trHeight w:val="260"/>
        </w:trPr>
        <w:tc>
          <w:tcPr>
            <w:tcW w:w="9895" w:type="dxa"/>
            <w:shd w:val="clear" w:color="auto" w:fill="FFF1CC"/>
          </w:tcPr>
          <w:p w14:paraId="3628D6BC" w14:textId="4A1CF24B" w:rsidR="00FE3211" w:rsidRPr="00756410" w:rsidRDefault="00FE3211" w:rsidP="00253C76">
            <w:pPr>
              <w:spacing w:after="0" w:line="240" w:lineRule="auto"/>
              <w:ind w:left="150"/>
              <w:rPr>
                <w:b/>
                <w:sz w:val="20"/>
                <w:szCs w:val="20"/>
                <w:lang w:val="es-ES"/>
              </w:rPr>
            </w:pPr>
            <w:r w:rsidRPr="00756410">
              <w:rPr>
                <w:b/>
                <w:sz w:val="20"/>
                <w:szCs w:val="20"/>
                <w:lang w:val="es-ES"/>
              </w:rPr>
              <w:lastRenderedPageBreak/>
              <w:t>Administrador del Fondo Fiduciario: Responsabilidades de control interno realizadas dentro de cada oficina</w:t>
            </w:r>
            <w:r w:rsidR="00877E0C" w:rsidRPr="00756410">
              <w:rPr>
                <w:b/>
                <w:sz w:val="20"/>
                <w:szCs w:val="20"/>
                <w:lang w:val="es-ES"/>
              </w:rPr>
              <w:t xml:space="preserve"> o </w:t>
            </w:r>
            <w:r w:rsidRPr="00756410">
              <w:rPr>
                <w:b/>
                <w:sz w:val="20"/>
                <w:szCs w:val="20"/>
                <w:lang w:val="es-ES"/>
              </w:rPr>
              <w:t>unidad</w:t>
            </w:r>
          </w:p>
        </w:tc>
      </w:tr>
      <w:tr w:rsidR="00FE3211" w:rsidRPr="00773863" w14:paraId="65A3FB33" w14:textId="77777777" w:rsidTr="363CA695">
        <w:trPr>
          <w:trHeight w:val="126"/>
        </w:trPr>
        <w:tc>
          <w:tcPr>
            <w:tcW w:w="9895" w:type="dxa"/>
          </w:tcPr>
          <w:p w14:paraId="1910628E" w14:textId="18690885" w:rsidR="00FE3211" w:rsidRPr="00756410" w:rsidRDefault="00FE3211"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Concluye acuerdos de contribución y asegura la recepción oportuna de contribuciones</w:t>
            </w:r>
          </w:p>
        </w:tc>
      </w:tr>
      <w:tr w:rsidR="00FE3211" w:rsidRPr="00773863" w14:paraId="2A06C603" w14:textId="77777777" w:rsidTr="363CA695">
        <w:trPr>
          <w:trHeight w:val="1179"/>
        </w:trPr>
        <w:tc>
          <w:tcPr>
            <w:tcW w:w="9895" w:type="dxa"/>
          </w:tcPr>
          <w:p w14:paraId="7F051A1B" w14:textId="77777777" w:rsidR="00FE3211" w:rsidRPr="006A0D67" w:rsidRDefault="00FE3211">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Administra eficazmente los recursos de los fondos fiduciarios de conformidad con el reglamento, la reglamentación, las políticas y los procedimientos financieros del PNUD, incluido el mantenimiento de un plan de recursos; asegurar la coherencia entre las actividades de los proyectos y el mandato del fondo fiduciario; las asignaciones no se realizan más allá de los recursos disponibles; todas las actividades relacionadas con el fondo fiduciario se registran con precisión; y los informes y el monitoreo son o</w:t>
            </w:r>
            <w:r w:rsidRPr="00756410">
              <w:rPr>
                <w:lang w:val="es-ES"/>
              </w:rPr>
              <w:t>p</w:t>
            </w:r>
            <w:r w:rsidRPr="00756410">
              <w:rPr>
                <w:sz w:val="20"/>
                <w:szCs w:val="20"/>
                <w:lang w:val="es-419"/>
              </w:rPr>
              <w:t>ortunos, precisos y cumplen con el acuerdo del fondo fiduciario.</w:t>
            </w:r>
          </w:p>
        </w:tc>
      </w:tr>
      <w:tr w:rsidR="00FE3211" w:rsidRPr="00773863" w14:paraId="1687A301" w14:textId="77777777" w:rsidTr="363CA695">
        <w:trPr>
          <w:trHeight w:val="261"/>
        </w:trPr>
        <w:tc>
          <w:tcPr>
            <w:tcW w:w="9895" w:type="dxa"/>
          </w:tcPr>
          <w:p w14:paraId="542DD781" w14:textId="670A3BD3" w:rsidR="00FE3211" w:rsidRPr="00756410" w:rsidRDefault="00FE3211" w:rsidP="00756410">
            <w:pPr>
              <w:pStyle w:val="ListParagraph"/>
              <w:widowControl w:val="0"/>
              <w:numPr>
                <w:ilvl w:val="0"/>
                <w:numId w:val="70"/>
              </w:numPr>
              <w:autoSpaceDE w:val="0"/>
              <w:autoSpaceDN w:val="0"/>
              <w:spacing w:after="0" w:line="240" w:lineRule="auto"/>
              <w:ind w:right="110"/>
              <w:jc w:val="both"/>
              <w:rPr>
                <w:sz w:val="20"/>
                <w:szCs w:val="20"/>
                <w:lang w:val="es-419"/>
              </w:rPr>
            </w:pPr>
            <w:r w:rsidRPr="00756410">
              <w:rPr>
                <w:sz w:val="20"/>
                <w:szCs w:val="20"/>
                <w:lang w:val="es-419"/>
              </w:rPr>
              <w:t>Garantiza el cierre oportuno de los fondos fiduciarios, incluidos los fondos inactivos, de conformidad con el POPP</w:t>
            </w:r>
          </w:p>
        </w:tc>
      </w:tr>
      <w:tr w:rsidR="00FE3211" w:rsidRPr="00773863" w14:paraId="0EF448F7" w14:textId="77777777" w:rsidTr="363CA695">
        <w:trPr>
          <w:trHeight w:val="216"/>
        </w:trPr>
        <w:tc>
          <w:tcPr>
            <w:tcW w:w="9895" w:type="dxa"/>
          </w:tcPr>
          <w:p w14:paraId="6C85163B" w14:textId="2873AE97" w:rsidR="00FE3211" w:rsidRPr="00756410" w:rsidRDefault="00FE3211"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Supervisa los proyectos de costos compartidos bajo fondos fiduciarios abiertos controlados en efectivo</w:t>
            </w:r>
          </w:p>
        </w:tc>
      </w:tr>
      <w:tr w:rsidR="00FE3211" w:rsidRPr="00773863" w14:paraId="2AE6F593" w14:textId="77777777" w:rsidTr="363CA695">
        <w:trPr>
          <w:trHeight w:val="298"/>
        </w:trPr>
        <w:tc>
          <w:tcPr>
            <w:tcW w:w="9895" w:type="dxa"/>
            <w:shd w:val="clear" w:color="auto" w:fill="E1EED9"/>
          </w:tcPr>
          <w:p w14:paraId="0018F1AF" w14:textId="7A090B86" w:rsidR="00FE3211" w:rsidRPr="00756410" w:rsidRDefault="00FE3211" w:rsidP="00756410">
            <w:pPr>
              <w:spacing w:after="0" w:line="240" w:lineRule="auto"/>
              <w:ind w:left="90"/>
              <w:jc w:val="both"/>
              <w:rPr>
                <w:b/>
                <w:sz w:val="20"/>
                <w:szCs w:val="20"/>
                <w:lang w:val="es-419"/>
              </w:rPr>
            </w:pPr>
            <w:r w:rsidRPr="00756410">
              <w:rPr>
                <w:b/>
                <w:sz w:val="20"/>
                <w:szCs w:val="20"/>
                <w:lang w:val="es-419"/>
              </w:rPr>
              <w:t>Rol complementario de IDAM - Administrador del fondo</w:t>
            </w:r>
            <w:r w:rsidR="00E072AB">
              <w:rPr>
                <w:b/>
                <w:sz w:val="20"/>
                <w:szCs w:val="20"/>
                <w:lang w:val="es-419"/>
              </w:rPr>
              <w:t xml:space="preserve"> </w:t>
            </w:r>
            <w:r w:rsidR="00E072AB" w:rsidRPr="00756410">
              <w:rPr>
                <w:b/>
                <w:sz w:val="20"/>
                <w:szCs w:val="20"/>
                <w:lang w:val="es-ES"/>
              </w:rPr>
              <w:t>[</w:t>
            </w:r>
            <w:r w:rsidR="00E072AB" w:rsidRPr="00756410">
              <w:rPr>
                <w:b/>
                <w:i/>
                <w:iCs/>
                <w:sz w:val="20"/>
                <w:szCs w:val="20"/>
                <w:lang w:val="es-ES"/>
              </w:rPr>
              <w:t>Fund Manager</w:t>
            </w:r>
            <w:r w:rsidR="00E072AB">
              <w:rPr>
                <w:b/>
                <w:sz w:val="20"/>
                <w:szCs w:val="20"/>
                <w:lang w:val="es-ES"/>
              </w:rPr>
              <w:t>]</w:t>
            </w:r>
            <w:r w:rsidRPr="00756410">
              <w:rPr>
                <w:b/>
                <w:sz w:val="20"/>
                <w:szCs w:val="20"/>
                <w:lang w:val="es-419"/>
              </w:rPr>
              <w:t xml:space="preserve"> (debe ser un </w:t>
            </w:r>
            <w:r w:rsidR="00015F6A">
              <w:rPr>
                <w:b/>
                <w:sz w:val="20"/>
                <w:szCs w:val="20"/>
                <w:lang w:val="es-419"/>
              </w:rPr>
              <w:t>personal funcionario</w:t>
            </w:r>
            <w:r w:rsidRPr="00756410">
              <w:rPr>
                <w:b/>
                <w:sz w:val="20"/>
                <w:szCs w:val="20"/>
                <w:lang w:val="es-419"/>
              </w:rPr>
              <w:t xml:space="preserve"> del PNUD, la asignación del rol en IDAM debe ser aprobada previamente por BMS/OFRM)</w:t>
            </w:r>
          </w:p>
        </w:tc>
      </w:tr>
    </w:tbl>
    <w:p w14:paraId="127D1D14" w14:textId="77777777" w:rsidR="00912565" w:rsidRPr="00756410" w:rsidRDefault="00912565" w:rsidP="00912565">
      <w:pPr>
        <w:pStyle w:val="ListParagraph"/>
        <w:ind w:left="360"/>
        <w:rPr>
          <w:sz w:val="8"/>
          <w:szCs w:val="8"/>
          <w:lang w:val="es-419"/>
        </w:rPr>
      </w:pPr>
    </w:p>
    <w:p w14:paraId="5E88650C" w14:textId="492C1E23" w:rsidR="00B56C73" w:rsidRPr="00756410" w:rsidRDefault="004F35CA" w:rsidP="00756410">
      <w:pPr>
        <w:spacing w:line="240" w:lineRule="auto"/>
        <w:jc w:val="both"/>
        <w:rPr>
          <w:lang w:val="es-419"/>
        </w:rPr>
      </w:pPr>
      <w:r w:rsidRPr="00756410">
        <w:rPr>
          <w:b/>
          <w:lang w:val="es-419"/>
        </w:rPr>
        <w:t xml:space="preserve">Proyectos de participación en la financiación de los gastos </w:t>
      </w:r>
      <w:r w:rsidR="00635519">
        <w:rPr>
          <w:b/>
          <w:lang w:val="es-419"/>
        </w:rPr>
        <w:t>(</w:t>
      </w:r>
      <w:r w:rsidR="006F744F">
        <w:rPr>
          <w:b/>
          <w:lang w:val="es-419"/>
        </w:rPr>
        <w:t>“</w:t>
      </w:r>
      <w:r w:rsidR="006F744F" w:rsidRPr="00756410">
        <w:rPr>
          <w:b/>
          <w:i/>
          <w:iCs/>
          <w:lang w:val="es-419"/>
        </w:rPr>
        <w:t>C</w:t>
      </w:r>
      <w:r w:rsidR="00635519" w:rsidRPr="00756410">
        <w:rPr>
          <w:b/>
          <w:i/>
          <w:iCs/>
          <w:lang w:val="es-419"/>
        </w:rPr>
        <w:t xml:space="preserve">ost </w:t>
      </w:r>
      <w:r w:rsidR="006F744F" w:rsidRPr="00756410">
        <w:rPr>
          <w:b/>
          <w:i/>
          <w:iCs/>
          <w:lang w:val="es-419"/>
        </w:rPr>
        <w:t>-S</w:t>
      </w:r>
      <w:r w:rsidR="00635519" w:rsidRPr="00756410">
        <w:rPr>
          <w:b/>
          <w:i/>
          <w:iCs/>
          <w:lang w:val="es-419"/>
        </w:rPr>
        <w:t>haring</w:t>
      </w:r>
      <w:r w:rsidR="00A06B77">
        <w:rPr>
          <w:b/>
          <w:lang w:val="es-419"/>
        </w:rPr>
        <w:t>”</w:t>
      </w:r>
      <w:r w:rsidR="00635519">
        <w:rPr>
          <w:b/>
          <w:lang w:val="es-419"/>
        </w:rPr>
        <w:t xml:space="preserve"> o</w:t>
      </w:r>
      <w:r w:rsidR="006F744F">
        <w:rPr>
          <w:b/>
          <w:lang w:val="es-419"/>
        </w:rPr>
        <w:t xml:space="preserve"> CS por sus siglas en inglés)</w:t>
      </w:r>
      <w:r w:rsidR="00A06B77">
        <w:rPr>
          <w:b/>
          <w:lang w:val="es-419"/>
        </w:rPr>
        <w:t xml:space="preserve"> </w:t>
      </w:r>
      <w:r w:rsidRPr="00756410">
        <w:rPr>
          <w:b/>
          <w:lang w:val="es-419"/>
        </w:rPr>
        <w:t>en el marco de los fondos fiduciarios abiertos:</w:t>
      </w:r>
      <w:r w:rsidRPr="00756410">
        <w:rPr>
          <w:lang w:val="es-419"/>
        </w:rPr>
        <w:t xml:space="preserve"> En determinadas circunstancias, puede haber proyectos de participación en la financiación de los gastos en el marco de los fondos fiduciarios abiertos (por ejemplo, el FMAM</w:t>
      </w:r>
      <w:r w:rsidR="00BB03F9">
        <w:rPr>
          <w:lang w:val="es-419"/>
        </w:rPr>
        <w:t xml:space="preserve"> (GEF por sus siglas en ingl</w:t>
      </w:r>
      <w:r w:rsidR="00D66E1F">
        <w:rPr>
          <w:lang w:val="es-419"/>
        </w:rPr>
        <w:t>é</w:t>
      </w:r>
      <w:r w:rsidR="00BB03F9">
        <w:rPr>
          <w:lang w:val="es-419"/>
        </w:rPr>
        <w:t>s)</w:t>
      </w:r>
      <w:r w:rsidRPr="00756410">
        <w:rPr>
          <w:lang w:val="es-419"/>
        </w:rPr>
        <w:t xml:space="preserve">, las ventanillas de financiación). Aunque los proyectos de CS bajo fondos fiduciarios abiertos se han creado a través de acuerdos de CS separados, el Administrador del Fondo Fiduciario subyacente todavía tiene la responsabilidad de supervisar la gestión del fondo y los requisitos de presentación de informes cuando dichos proyectos de CS se financian a través de dicho fondo fiduciario. Habida cuenta de la responsabilidad de las Oficinas Regionales en la supervisión del desempeño de las oficinas y </w:t>
      </w:r>
      <w:r w:rsidR="00405807">
        <w:rPr>
          <w:lang w:val="es-419"/>
        </w:rPr>
        <w:t>unidades</w:t>
      </w:r>
      <w:r w:rsidR="00405807" w:rsidRPr="00756410">
        <w:rPr>
          <w:lang w:val="es-419"/>
        </w:rPr>
        <w:t xml:space="preserve"> </w:t>
      </w:r>
      <w:r w:rsidRPr="00756410">
        <w:rPr>
          <w:lang w:val="es-419"/>
        </w:rPr>
        <w:t xml:space="preserve">de sus regiones, los administradores de los fondos fiduciarios </w:t>
      </w:r>
      <w:r w:rsidR="00D42380">
        <w:rPr>
          <w:lang w:val="es-419"/>
        </w:rPr>
        <w:t>deben</w:t>
      </w:r>
      <w:r w:rsidR="00D42380" w:rsidRPr="00756410">
        <w:rPr>
          <w:lang w:val="es-419"/>
        </w:rPr>
        <w:t xml:space="preserve"> </w:t>
      </w:r>
      <w:r w:rsidRPr="00756410">
        <w:rPr>
          <w:lang w:val="es-419"/>
        </w:rPr>
        <w:t>colaborar con las Oficinas Regionales en la determinación y solución de los problemas de ejecución programática y/u operacional relacionados con esos proyectos.</w:t>
      </w:r>
    </w:p>
    <w:tbl>
      <w:tblPr>
        <w:tblW w:w="9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43" w:type="dxa"/>
          <w:right w:w="0" w:type="dxa"/>
        </w:tblCellMar>
        <w:tblLook w:val="01E0" w:firstRow="1" w:lastRow="1" w:firstColumn="1" w:lastColumn="1" w:noHBand="0" w:noVBand="0"/>
      </w:tblPr>
      <w:tblGrid>
        <w:gridCol w:w="4050"/>
        <w:gridCol w:w="5855"/>
      </w:tblGrid>
      <w:tr w:rsidR="00006CE9" w:rsidRPr="00773863" w14:paraId="5E87CBB6" w14:textId="77777777" w:rsidTr="363CA695">
        <w:trPr>
          <w:trHeight w:val="278"/>
          <w:tblHeader/>
        </w:trPr>
        <w:tc>
          <w:tcPr>
            <w:tcW w:w="9905" w:type="dxa"/>
            <w:gridSpan w:val="2"/>
            <w:shd w:val="clear" w:color="auto" w:fill="000000" w:themeFill="text1"/>
          </w:tcPr>
          <w:p w14:paraId="1E9BEAB4" w14:textId="14FFF19B" w:rsidR="00497DE1" w:rsidRPr="00756410" w:rsidRDefault="00497DE1" w:rsidP="363CA695">
            <w:pPr>
              <w:spacing w:after="0" w:line="240" w:lineRule="auto"/>
              <w:ind w:left="150"/>
              <w:rPr>
                <w:b/>
                <w:color w:val="FFFFFF" w:themeColor="background1"/>
                <w:sz w:val="20"/>
                <w:szCs w:val="20"/>
                <w:lang w:val="es-419"/>
              </w:rPr>
            </w:pPr>
            <w:r w:rsidRPr="00756410">
              <w:rPr>
                <w:b/>
                <w:bCs/>
                <w:color w:val="FFFFFF" w:themeColor="background1"/>
                <w:sz w:val="20"/>
                <w:szCs w:val="20"/>
                <w:lang w:val="es-419"/>
              </w:rPr>
              <w:t>¿Por qué es importante monitorear de cerca los ingresos por contribuciones?</w:t>
            </w:r>
          </w:p>
        </w:tc>
      </w:tr>
      <w:tr w:rsidR="00B56C73" w:rsidRPr="00773863" w14:paraId="415B64D5" w14:textId="77777777" w:rsidTr="363CA695">
        <w:trPr>
          <w:trHeight w:val="278"/>
        </w:trPr>
        <w:tc>
          <w:tcPr>
            <w:tcW w:w="9905" w:type="dxa"/>
            <w:gridSpan w:val="2"/>
          </w:tcPr>
          <w:p w14:paraId="21B895E6" w14:textId="4E2C3641" w:rsidR="00B56C73" w:rsidRPr="00756410" w:rsidRDefault="00B56C73" w:rsidP="00756410">
            <w:pPr>
              <w:pStyle w:val="ListParagraph"/>
              <w:widowControl w:val="0"/>
              <w:numPr>
                <w:ilvl w:val="0"/>
                <w:numId w:val="24"/>
              </w:numPr>
              <w:autoSpaceDE w:val="0"/>
              <w:autoSpaceDN w:val="0"/>
              <w:spacing w:after="0" w:line="240" w:lineRule="auto"/>
              <w:ind w:left="360" w:right="95" w:hanging="300"/>
              <w:jc w:val="both"/>
              <w:rPr>
                <w:sz w:val="20"/>
                <w:szCs w:val="20"/>
                <w:lang w:val="es-419"/>
              </w:rPr>
            </w:pPr>
            <w:r w:rsidRPr="00756410">
              <w:rPr>
                <w:b/>
                <w:sz w:val="20"/>
                <w:szCs w:val="20"/>
                <w:lang w:val="es-419"/>
              </w:rPr>
              <w:t>Los estados financieros anuales del PNUD pueden estar mal declarados y potencialmente calificados</w:t>
            </w:r>
            <w:r w:rsidRPr="00756410">
              <w:rPr>
                <w:sz w:val="20"/>
                <w:szCs w:val="20"/>
                <w:lang w:val="es-419"/>
              </w:rPr>
              <w:t xml:space="preserve"> si los ingresos no se registran a tiempo debido a la demora en la presentación de los acuerdos a</w:t>
            </w:r>
            <w:r w:rsidR="00E16FF5">
              <w:rPr>
                <w:sz w:val="20"/>
                <w:szCs w:val="20"/>
                <w:lang w:val="es-419"/>
              </w:rPr>
              <w:t>l</w:t>
            </w:r>
            <w:r w:rsidRPr="00756410">
              <w:rPr>
                <w:sz w:val="20"/>
                <w:szCs w:val="20"/>
                <w:lang w:val="es-419"/>
              </w:rPr>
              <w:t xml:space="preserve"> BMS/GSSC; </w:t>
            </w:r>
            <w:r w:rsidR="00621DFC">
              <w:rPr>
                <w:sz w:val="20"/>
                <w:szCs w:val="20"/>
                <w:lang w:val="es-419"/>
              </w:rPr>
              <w:t xml:space="preserve">los </w:t>
            </w:r>
            <w:r w:rsidRPr="00756410">
              <w:rPr>
                <w:sz w:val="20"/>
                <w:szCs w:val="20"/>
                <w:lang w:val="es-419"/>
              </w:rPr>
              <w:t>eventos de facturas</w:t>
            </w:r>
            <w:r w:rsidR="00621DFC">
              <w:rPr>
                <w:sz w:val="20"/>
                <w:szCs w:val="20"/>
                <w:lang w:val="es-419"/>
              </w:rPr>
              <w:t xml:space="preserve"> se notifican de forma </w:t>
            </w:r>
            <w:r w:rsidR="00621DFC" w:rsidRPr="00914285">
              <w:rPr>
                <w:sz w:val="20"/>
                <w:szCs w:val="20"/>
                <w:lang w:val="es-419"/>
              </w:rPr>
              <w:t xml:space="preserve">tardía </w:t>
            </w:r>
            <w:r w:rsidRPr="00756410">
              <w:rPr>
                <w:sz w:val="20"/>
                <w:szCs w:val="20"/>
                <w:lang w:val="es-419"/>
              </w:rPr>
              <w:t>a</w:t>
            </w:r>
            <w:r w:rsidR="008B5E6B">
              <w:rPr>
                <w:sz w:val="20"/>
                <w:szCs w:val="20"/>
                <w:lang w:val="es-419"/>
              </w:rPr>
              <w:t>l</w:t>
            </w:r>
            <w:r w:rsidRPr="00756410">
              <w:rPr>
                <w:sz w:val="20"/>
                <w:szCs w:val="20"/>
                <w:lang w:val="es-419"/>
              </w:rPr>
              <w:t xml:space="preserve"> BMS/GSSC; </w:t>
            </w:r>
            <w:r w:rsidR="008F757D">
              <w:rPr>
                <w:sz w:val="20"/>
                <w:szCs w:val="20"/>
                <w:lang w:val="es-419"/>
              </w:rPr>
              <w:t xml:space="preserve">los </w:t>
            </w:r>
            <w:r w:rsidRPr="00756410">
              <w:rPr>
                <w:sz w:val="20"/>
                <w:szCs w:val="20"/>
                <w:lang w:val="es-419"/>
              </w:rPr>
              <w:t>servicios prestados a terceros</w:t>
            </w:r>
            <w:r w:rsidR="008F757D">
              <w:rPr>
                <w:sz w:val="20"/>
                <w:szCs w:val="20"/>
                <w:lang w:val="es-419"/>
              </w:rPr>
              <w:t xml:space="preserve"> se facturan de forma</w:t>
            </w:r>
            <w:r w:rsidR="008F757D" w:rsidRPr="00914285">
              <w:rPr>
                <w:sz w:val="20"/>
                <w:szCs w:val="20"/>
                <w:lang w:val="es-419"/>
              </w:rPr>
              <w:t xml:space="preserve"> tardía</w:t>
            </w:r>
            <w:r w:rsidRPr="00756410">
              <w:rPr>
                <w:sz w:val="20"/>
                <w:szCs w:val="20"/>
                <w:lang w:val="es-419"/>
              </w:rPr>
              <w:t xml:space="preserve">; y/o </w:t>
            </w:r>
            <w:r w:rsidR="00233D09">
              <w:rPr>
                <w:sz w:val="20"/>
                <w:szCs w:val="20"/>
                <w:lang w:val="es-419"/>
              </w:rPr>
              <w:t>se incluyen</w:t>
            </w:r>
            <w:r w:rsidRPr="00756410">
              <w:rPr>
                <w:sz w:val="20"/>
                <w:szCs w:val="20"/>
                <w:lang w:val="es-419"/>
              </w:rPr>
              <w:t xml:space="preserve"> de cuentas por cobrar incobrables.</w:t>
            </w:r>
          </w:p>
        </w:tc>
      </w:tr>
      <w:tr w:rsidR="00497DE1" w:rsidRPr="00773863" w14:paraId="00B27778" w14:textId="77777777" w:rsidTr="00756410">
        <w:trPr>
          <w:trHeight w:val="152"/>
        </w:trPr>
        <w:tc>
          <w:tcPr>
            <w:tcW w:w="9905" w:type="dxa"/>
            <w:gridSpan w:val="2"/>
            <w:tcBorders>
              <w:bottom w:val="single" w:sz="4" w:space="0" w:color="auto"/>
            </w:tcBorders>
          </w:tcPr>
          <w:p w14:paraId="20127F83" w14:textId="112A3767" w:rsidR="00497DE1" w:rsidRPr="00756410" w:rsidRDefault="00497DE1" w:rsidP="00756410">
            <w:pPr>
              <w:pStyle w:val="ListParagraph"/>
              <w:widowControl w:val="0"/>
              <w:numPr>
                <w:ilvl w:val="0"/>
                <w:numId w:val="24"/>
              </w:numPr>
              <w:autoSpaceDE w:val="0"/>
              <w:autoSpaceDN w:val="0"/>
              <w:spacing w:after="0" w:line="240" w:lineRule="auto"/>
              <w:ind w:left="360" w:right="95" w:hanging="300"/>
              <w:jc w:val="both"/>
              <w:rPr>
                <w:sz w:val="20"/>
                <w:szCs w:val="20"/>
                <w:lang w:val="es-419"/>
              </w:rPr>
            </w:pPr>
            <w:r w:rsidRPr="00756410">
              <w:rPr>
                <w:b/>
                <w:bCs/>
                <w:sz w:val="20"/>
                <w:szCs w:val="20"/>
                <w:lang w:val="es-419"/>
              </w:rPr>
              <w:t>Retraso en la ejecución del programa y posible pérdida de confianza de los donantes y de ingresos</w:t>
            </w:r>
            <w:r w:rsidRPr="00756410">
              <w:rPr>
                <w:sz w:val="20"/>
                <w:szCs w:val="20"/>
                <w:lang w:val="es-419"/>
              </w:rPr>
              <w:t xml:space="preserve"> si las contribuciones recibidas permanecen en depósitos no aplicados durante períodos prolongados debido a la presentación tardía de los acuerdos de contribución al BMS/GSSC; y</w:t>
            </w:r>
            <w:r w:rsidR="007F60C5">
              <w:rPr>
                <w:sz w:val="20"/>
                <w:szCs w:val="20"/>
                <w:lang w:val="es-419"/>
              </w:rPr>
              <w:t xml:space="preserve"> </w:t>
            </w:r>
            <w:r w:rsidR="007F60C5" w:rsidRPr="00C74C10">
              <w:rPr>
                <w:sz w:val="20"/>
                <w:szCs w:val="20"/>
                <w:lang w:val="es-ES" w:bidi="es-ES"/>
              </w:rPr>
              <w:t xml:space="preserve">si no se hace un seguimiento de las cuentas por </w:t>
            </w:r>
            <w:r w:rsidR="007F60C5">
              <w:rPr>
                <w:sz w:val="20"/>
                <w:szCs w:val="20"/>
                <w:lang w:val="es-ES" w:bidi="es-ES"/>
              </w:rPr>
              <w:t>cobrar</w:t>
            </w:r>
            <w:r w:rsidR="007F60C5" w:rsidRPr="00C74C10">
              <w:rPr>
                <w:sz w:val="20"/>
                <w:szCs w:val="20"/>
                <w:lang w:val="es-ES" w:bidi="es-ES"/>
              </w:rPr>
              <w:t xml:space="preserve"> y estas no se cobran de manera oportuna.</w:t>
            </w:r>
          </w:p>
        </w:tc>
      </w:tr>
      <w:tr w:rsidR="00FF11A9" w:rsidRPr="004E7EF5" w14:paraId="4B997FC5" w14:textId="77777777" w:rsidTr="363CA695">
        <w:trPr>
          <w:trHeight w:val="260"/>
        </w:trPr>
        <w:tc>
          <w:tcPr>
            <w:tcW w:w="990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432CAC4" w14:textId="4610314E" w:rsidR="00FF11A9" w:rsidRPr="004E7EF5" w:rsidRDefault="00FF11A9" w:rsidP="00FF11A9">
            <w:pPr>
              <w:spacing w:after="0"/>
              <w:ind w:left="150"/>
              <w:rPr>
                <w:b/>
                <w:bCs/>
                <w:sz w:val="20"/>
                <w:szCs w:val="20"/>
              </w:rPr>
            </w:pPr>
            <w:r w:rsidRPr="004E7EF5">
              <w:rPr>
                <w:b/>
                <w:bCs/>
                <w:sz w:val="20"/>
                <w:szCs w:val="20"/>
              </w:rPr>
              <w:t>Recursos de orientación</w:t>
            </w:r>
          </w:p>
        </w:tc>
      </w:tr>
      <w:tr w:rsidR="00557E1F" w:rsidRPr="00773863" w14:paraId="0DE1DFE8" w14:textId="77777777" w:rsidTr="363CA695">
        <w:trPr>
          <w:trHeight w:val="168"/>
        </w:trPr>
        <w:tc>
          <w:tcPr>
            <w:tcW w:w="4050" w:type="dxa"/>
            <w:tcBorders>
              <w:top w:val="single" w:sz="4" w:space="0" w:color="auto"/>
              <w:left w:val="single" w:sz="4" w:space="0" w:color="auto"/>
              <w:bottom w:val="single" w:sz="4" w:space="0" w:color="auto"/>
              <w:right w:val="single" w:sz="4" w:space="0" w:color="auto"/>
            </w:tcBorders>
          </w:tcPr>
          <w:p w14:paraId="37E0C1AD" w14:textId="77777777" w:rsidR="00557E1F" w:rsidRPr="004E7EF5" w:rsidRDefault="00557E1F" w:rsidP="00497DE1">
            <w:pPr>
              <w:spacing w:after="0"/>
              <w:ind w:left="150"/>
              <w:rPr>
                <w:b/>
                <w:bCs/>
                <w:sz w:val="20"/>
                <w:szCs w:val="20"/>
              </w:rPr>
            </w:pPr>
            <w:r w:rsidRPr="004E7EF5">
              <w:rPr>
                <w:b/>
                <w:bCs/>
                <w:sz w:val="20"/>
                <w:szCs w:val="20"/>
              </w:rPr>
              <w:t>Políticas y procedimientos:</w:t>
            </w:r>
          </w:p>
          <w:p w14:paraId="4472DF0B" w14:textId="7CFA7DDA" w:rsidR="00557E1F" w:rsidRPr="00B760C3" w:rsidRDefault="00B760C3">
            <w:pPr>
              <w:pStyle w:val="ListParagraph"/>
              <w:numPr>
                <w:ilvl w:val="0"/>
                <w:numId w:val="26"/>
              </w:numPr>
              <w:spacing w:after="0"/>
              <w:ind w:right="180"/>
              <w:rPr>
                <w:rStyle w:val="Hyperlink"/>
                <w:sz w:val="20"/>
                <w:szCs w:val="20"/>
                <w:lang w:val="es-419"/>
              </w:rPr>
            </w:pPr>
            <w:r>
              <w:rPr>
                <w:sz w:val="20"/>
                <w:szCs w:val="20"/>
                <w:lang w:val="es-419"/>
              </w:rPr>
              <w:fldChar w:fldCharType="begin"/>
            </w:r>
            <w:r>
              <w:rPr>
                <w:sz w:val="20"/>
                <w:szCs w:val="20"/>
                <w:lang w:val="es-419"/>
              </w:rPr>
              <w:instrText>HYPERLINK "https://popp.undp.org/es/financial-resources-management/gestion-de-tuberias-e-ingresos"</w:instrText>
            </w:r>
            <w:r>
              <w:rPr>
                <w:sz w:val="20"/>
                <w:szCs w:val="20"/>
                <w:lang w:val="es-419"/>
              </w:rPr>
            </w:r>
            <w:r>
              <w:rPr>
                <w:sz w:val="20"/>
                <w:szCs w:val="20"/>
                <w:lang w:val="es-419"/>
              </w:rPr>
              <w:fldChar w:fldCharType="separate"/>
            </w:r>
            <w:r w:rsidR="00557E1F" w:rsidRPr="00B760C3">
              <w:rPr>
                <w:rStyle w:val="Hyperlink"/>
                <w:sz w:val="20"/>
                <w:szCs w:val="20"/>
                <w:lang w:val="es-419"/>
              </w:rPr>
              <w:t>POPP Pipeline y Gestión de Ingresos</w:t>
            </w:r>
          </w:p>
          <w:p w14:paraId="7F6AA598" w14:textId="03940815" w:rsidR="00557E1F" w:rsidRPr="00B760C3" w:rsidRDefault="00B760C3">
            <w:pPr>
              <w:pStyle w:val="ListParagraph"/>
              <w:numPr>
                <w:ilvl w:val="0"/>
                <w:numId w:val="26"/>
              </w:numPr>
              <w:spacing w:after="0"/>
              <w:ind w:right="180"/>
              <w:rPr>
                <w:rStyle w:val="Hyperlink"/>
                <w:sz w:val="20"/>
                <w:szCs w:val="20"/>
                <w:lang w:val="es-419"/>
              </w:rPr>
            </w:pPr>
            <w:r>
              <w:rPr>
                <w:sz w:val="20"/>
                <w:szCs w:val="20"/>
                <w:lang w:val="es-419"/>
              </w:rPr>
              <w:fldChar w:fldCharType="end"/>
            </w:r>
            <w:r>
              <w:rPr>
                <w:sz w:val="20"/>
                <w:szCs w:val="20"/>
                <w:lang w:val="es-419"/>
              </w:rPr>
              <w:fldChar w:fldCharType="begin"/>
            </w:r>
            <w:r>
              <w:rPr>
                <w:sz w:val="20"/>
                <w:szCs w:val="20"/>
                <w:lang w:val="es-419"/>
              </w:rPr>
              <w:instrText>HYPERLINK "https://popp.undp.org/es/financial-resources-management/planificacion-de-recursos-y-recuperacion-de-costes"</w:instrText>
            </w:r>
            <w:r>
              <w:rPr>
                <w:sz w:val="20"/>
                <w:szCs w:val="20"/>
                <w:lang w:val="es-419"/>
              </w:rPr>
            </w:r>
            <w:r>
              <w:rPr>
                <w:sz w:val="20"/>
                <w:szCs w:val="20"/>
                <w:lang w:val="es-419"/>
              </w:rPr>
              <w:fldChar w:fldCharType="separate"/>
            </w:r>
            <w:r w:rsidR="00557E1F" w:rsidRPr="00B760C3">
              <w:rPr>
                <w:rStyle w:val="Hyperlink"/>
                <w:sz w:val="20"/>
                <w:szCs w:val="20"/>
                <w:lang w:val="es-419"/>
              </w:rPr>
              <w:t>Planificación de recursos y recuperación de costos de POPP</w:t>
            </w:r>
          </w:p>
          <w:p w14:paraId="1EDC9713" w14:textId="256927FA" w:rsidR="00FF11A9" w:rsidRPr="00B760C3" w:rsidRDefault="00B760C3">
            <w:pPr>
              <w:pStyle w:val="ListParagraph"/>
              <w:numPr>
                <w:ilvl w:val="0"/>
                <w:numId w:val="26"/>
              </w:numPr>
              <w:spacing w:after="0"/>
              <w:ind w:right="180"/>
              <w:rPr>
                <w:rStyle w:val="Hyperlink"/>
                <w:sz w:val="20"/>
                <w:szCs w:val="20"/>
                <w:lang w:val="es-419"/>
              </w:rPr>
            </w:pPr>
            <w:r>
              <w:rPr>
                <w:sz w:val="20"/>
                <w:szCs w:val="20"/>
                <w:lang w:val="es-419"/>
              </w:rPr>
              <w:fldChar w:fldCharType="end"/>
            </w:r>
            <w:r>
              <w:rPr>
                <w:sz w:val="20"/>
                <w:szCs w:val="20"/>
                <w:lang w:val="es-419"/>
              </w:rPr>
              <w:fldChar w:fldCharType="begin"/>
            </w:r>
            <w:r>
              <w:rPr>
                <w:sz w:val="20"/>
                <w:szCs w:val="20"/>
                <w:lang w:val="es-419"/>
              </w:rPr>
              <w:instrText>HYPERLINK "https://popp.undp.org/es/pagina-de-politica/establecimiento-y-recaudacion-de-la-tarifa-de-apoyo-general-la-gestion-gms"</w:instrText>
            </w:r>
            <w:r>
              <w:rPr>
                <w:sz w:val="20"/>
                <w:szCs w:val="20"/>
                <w:lang w:val="es-419"/>
              </w:rPr>
            </w:r>
            <w:r>
              <w:rPr>
                <w:sz w:val="20"/>
                <w:szCs w:val="20"/>
                <w:lang w:val="es-419"/>
              </w:rPr>
              <w:fldChar w:fldCharType="separate"/>
            </w:r>
            <w:r w:rsidR="00FF11A9" w:rsidRPr="00B760C3">
              <w:rPr>
                <w:rStyle w:val="Hyperlink"/>
                <w:sz w:val="20"/>
                <w:szCs w:val="20"/>
                <w:lang w:val="es-419"/>
              </w:rPr>
              <w:t>Configuración y cobro de tarifas de GMS</w:t>
            </w:r>
          </w:p>
          <w:p w14:paraId="315B7C27" w14:textId="59F9F6B7" w:rsidR="00F91E58" w:rsidRPr="00756410" w:rsidRDefault="00B760C3">
            <w:pPr>
              <w:pStyle w:val="ListParagraph"/>
              <w:numPr>
                <w:ilvl w:val="0"/>
                <w:numId w:val="26"/>
              </w:numPr>
              <w:spacing w:after="0"/>
              <w:ind w:right="180"/>
              <w:rPr>
                <w:color w:val="4472C4" w:themeColor="accent1"/>
                <w:sz w:val="20"/>
                <w:szCs w:val="20"/>
                <w:lang w:val="es-419"/>
              </w:rPr>
            </w:pPr>
            <w:r>
              <w:rPr>
                <w:sz w:val="20"/>
                <w:szCs w:val="20"/>
                <w:lang w:val="es-419"/>
              </w:rPr>
              <w:fldChar w:fldCharType="end"/>
            </w:r>
            <w:hyperlink r:id="rId64" w:history="1">
              <w:r w:rsidR="00F91E58" w:rsidRPr="00756410">
                <w:rPr>
                  <w:rStyle w:val="Hyperlink"/>
                  <w:color w:val="4472C4" w:themeColor="accent1"/>
                  <w:sz w:val="20"/>
                  <w:szCs w:val="20"/>
                  <w:lang w:val="es-419"/>
                </w:rPr>
                <w:t>Gestión de contratos en Quantum+ Guía del usuario final de UNITY</w:t>
              </w:r>
            </w:hyperlink>
          </w:p>
          <w:p w14:paraId="7013A022" w14:textId="5221EA1C" w:rsidR="00FF11A9" w:rsidRPr="00756410" w:rsidRDefault="00FF11A9">
            <w:pPr>
              <w:pStyle w:val="ListParagraph"/>
              <w:numPr>
                <w:ilvl w:val="0"/>
                <w:numId w:val="26"/>
              </w:numPr>
              <w:spacing w:after="0"/>
              <w:ind w:right="180"/>
              <w:rPr>
                <w:rStyle w:val="Hyperlink"/>
                <w:color w:val="4472C4" w:themeColor="accent1"/>
                <w:sz w:val="20"/>
                <w:szCs w:val="20"/>
                <w:u w:val="none"/>
                <w:lang w:val="es-419"/>
              </w:rPr>
            </w:pPr>
            <w:hyperlink r:id="rId65" w:history="1">
              <w:r w:rsidRPr="00756410">
                <w:rPr>
                  <w:rStyle w:val="Hyperlink"/>
                  <w:color w:val="4472C4" w:themeColor="accent1"/>
                  <w:sz w:val="20"/>
                  <w:szCs w:val="20"/>
                  <w:lang w:val="es-419"/>
                </w:rPr>
                <w:t>SOP de creación de depósitos</w:t>
              </w:r>
            </w:hyperlink>
            <w:r w:rsidRPr="00756410">
              <w:rPr>
                <w:color w:val="4472C4" w:themeColor="accent1"/>
                <w:sz w:val="20"/>
                <w:szCs w:val="20"/>
                <w:lang w:val="es-419"/>
              </w:rPr>
              <w:t xml:space="preserve"> y </w:t>
            </w:r>
            <w:hyperlink r:id="rId66" w:history="1">
              <w:r w:rsidRPr="00756410">
                <w:rPr>
                  <w:rStyle w:val="Hyperlink"/>
                  <w:color w:val="4472C4" w:themeColor="accent1"/>
                  <w:sz w:val="20"/>
                  <w:szCs w:val="20"/>
                  <w:lang w:val="es-419"/>
                </w:rPr>
                <w:t>apéndice</w:t>
              </w:r>
            </w:hyperlink>
          </w:p>
          <w:p w14:paraId="2F19FF7C" w14:textId="14217DFF" w:rsidR="00740C42" w:rsidRPr="00756410" w:rsidRDefault="00740C42">
            <w:pPr>
              <w:pStyle w:val="ListParagraph"/>
              <w:numPr>
                <w:ilvl w:val="0"/>
                <w:numId w:val="26"/>
              </w:numPr>
              <w:spacing w:after="0"/>
              <w:ind w:right="180"/>
              <w:rPr>
                <w:sz w:val="20"/>
                <w:szCs w:val="20"/>
                <w:lang w:val="es-419"/>
              </w:rPr>
            </w:pPr>
            <w:hyperlink r:id="rId67" w:history="1">
              <w:r w:rsidRPr="00756410">
                <w:rPr>
                  <w:rStyle w:val="Hyperlink"/>
                  <w:color w:val="4472C4" w:themeColor="accent1"/>
                  <w:sz w:val="20"/>
                  <w:szCs w:val="20"/>
                  <w:lang w:val="es-419"/>
                </w:rPr>
                <w:t xml:space="preserve">Artículos de conocimiento </w:t>
              </w:r>
              <w:r w:rsidR="00AD570E">
                <w:rPr>
                  <w:rStyle w:val="Hyperlink"/>
                  <w:color w:val="4472C4" w:themeColor="accent1"/>
                  <w:sz w:val="20"/>
                  <w:szCs w:val="20"/>
                  <w:lang w:val="es-419"/>
                </w:rPr>
                <w:t>de Quantum en</w:t>
              </w:r>
              <w:r w:rsidRPr="00756410">
                <w:rPr>
                  <w:rStyle w:val="Hyperlink"/>
                  <w:color w:val="4472C4" w:themeColor="accent1"/>
                  <w:sz w:val="20"/>
                  <w:szCs w:val="20"/>
                  <w:lang w:val="es-419"/>
                </w:rPr>
                <w:t xml:space="preserve"> UNall</w:t>
              </w:r>
            </w:hyperlink>
          </w:p>
        </w:tc>
        <w:tc>
          <w:tcPr>
            <w:tcW w:w="5855" w:type="dxa"/>
            <w:tcBorders>
              <w:top w:val="single" w:sz="4" w:space="0" w:color="auto"/>
              <w:left w:val="single" w:sz="4" w:space="0" w:color="auto"/>
              <w:bottom w:val="single" w:sz="4" w:space="0" w:color="auto"/>
              <w:right w:val="single" w:sz="4" w:space="0" w:color="auto"/>
            </w:tcBorders>
          </w:tcPr>
          <w:p w14:paraId="4438FA53" w14:textId="24C355D1" w:rsidR="00FF11A9" w:rsidRPr="00756410" w:rsidRDefault="00557E1F" w:rsidP="00735C27">
            <w:pPr>
              <w:spacing w:after="0"/>
              <w:ind w:left="120"/>
              <w:rPr>
                <w:sz w:val="20"/>
                <w:szCs w:val="20"/>
                <w:lang w:val="es-419"/>
              </w:rPr>
            </w:pPr>
            <w:r w:rsidRPr="00756410">
              <w:rPr>
                <w:b/>
                <w:bCs/>
                <w:sz w:val="20"/>
                <w:szCs w:val="20"/>
                <w:lang w:val="es-419"/>
              </w:rPr>
              <w:t>Informes útiles:</w:t>
            </w:r>
            <w:r w:rsidR="00FF11A9" w:rsidRPr="00756410">
              <w:rPr>
                <w:sz w:val="20"/>
                <w:szCs w:val="20"/>
                <w:lang w:val="es-419"/>
              </w:rPr>
              <w:t xml:space="preserve"> Se puede acceder a estos informes en Quantum en Otr</w:t>
            </w:r>
            <w:r w:rsidR="00C669E4">
              <w:rPr>
                <w:sz w:val="20"/>
                <w:szCs w:val="20"/>
                <w:lang w:val="es-419"/>
              </w:rPr>
              <w:t>a</w:t>
            </w:r>
            <w:r w:rsidR="00FF11A9" w:rsidRPr="00756410">
              <w:rPr>
                <w:sz w:val="20"/>
                <w:szCs w:val="20"/>
                <w:lang w:val="es-419"/>
              </w:rPr>
              <w:t xml:space="preserve">s &gt; </w:t>
            </w:r>
            <w:r w:rsidR="00C669E4">
              <w:rPr>
                <w:sz w:val="20"/>
                <w:szCs w:val="20"/>
                <w:lang w:val="es-419"/>
              </w:rPr>
              <w:t xml:space="preserve">Centro de </w:t>
            </w:r>
            <w:r w:rsidR="00B413C7">
              <w:rPr>
                <w:sz w:val="20"/>
                <w:szCs w:val="20"/>
                <w:lang w:val="es-419"/>
              </w:rPr>
              <w:t>informes financieros</w:t>
            </w:r>
            <w:r w:rsidR="00FF11A9" w:rsidRPr="00756410">
              <w:rPr>
                <w:sz w:val="20"/>
                <w:szCs w:val="20"/>
                <w:lang w:val="es-419"/>
              </w:rPr>
              <w:t>:</w:t>
            </w:r>
          </w:p>
          <w:p w14:paraId="58E82761" w14:textId="74BFE952" w:rsidR="00FF11A9" w:rsidRPr="00756410" w:rsidRDefault="00FF11A9">
            <w:pPr>
              <w:pStyle w:val="ListParagraph"/>
              <w:numPr>
                <w:ilvl w:val="0"/>
                <w:numId w:val="25"/>
              </w:numPr>
              <w:spacing w:after="0"/>
              <w:rPr>
                <w:sz w:val="20"/>
                <w:szCs w:val="20"/>
                <w:lang w:val="es-ES"/>
              </w:rPr>
            </w:pPr>
            <w:r w:rsidRPr="00756410">
              <w:rPr>
                <w:sz w:val="20"/>
                <w:szCs w:val="20"/>
                <w:lang w:val="es-ES"/>
              </w:rPr>
              <w:t>Eventos pendientes</w:t>
            </w:r>
            <w:r w:rsidR="00A13B50">
              <w:rPr>
                <w:sz w:val="20"/>
                <w:szCs w:val="20"/>
                <w:lang w:val="es-ES"/>
              </w:rPr>
              <w:t xml:space="preserve">: </w:t>
            </w:r>
            <w:r w:rsidR="00A13B50" w:rsidRPr="00B82647">
              <w:rPr>
                <w:i/>
                <w:iCs/>
                <w:sz w:val="20"/>
                <w:szCs w:val="20"/>
              </w:rPr>
              <w:t>Pending Events &gt; UN AR Unbilled Details</w:t>
            </w:r>
            <w:r w:rsidRPr="00756410">
              <w:rPr>
                <w:sz w:val="20"/>
                <w:szCs w:val="20"/>
                <w:lang w:val="es-ES"/>
              </w:rPr>
              <w:t xml:space="preserve"> &gt; </w:t>
            </w:r>
          </w:p>
          <w:p w14:paraId="5D3B9D49" w14:textId="0166EA0D" w:rsidR="00FF11A9" w:rsidRPr="00756410" w:rsidRDefault="00FF11A9" w:rsidP="00434351">
            <w:pPr>
              <w:pStyle w:val="ListParagraph"/>
              <w:numPr>
                <w:ilvl w:val="0"/>
                <w:numId w:val="25"/>
              </w:numPr>
              <w:spacing w:after="0"/>
              <w:rPr>
                <w:i/>
                <w:iCs/>
                <w:sz w:val="20"/>
                <w:szCs w:val="20"/>
                <w:lang w:val="es-ES"/>
              </w:rPr>
            </w:pPr>
            <w:r w:rsidRPr="00756410">
              <w:rPr>
                <w:sz w:val="20"/>
                <w:szCs w:val="20"/>
                <w:lang w:val="es-419"/>
              </w:rPr>
              <w:t>Eventos facturados</w:t>
            </w:r>
            <w:r w:rsidR="00434351">
              <w:rPr>
                <w:sz w:val="20"/>
                <w:szCs w:val="20"/>
                <w:lang w:val="es-419"/>
              </w:rPr>
              <w:t xml:space="preserve">: </w:t>
            </w:r>
            <w:r w:rsidR="00434351" w:rsidRPr="00756410">
              <w:rPr>
                <w:i/>
                <w:iCs/>
                <w:sz w:val="20"/>
                <w:szCs w:val="20"/>
                <w:lang w:val="es-ES"/>
              </w:rPr>
              <w:t>Billed Events &gt; UN Generate AR Invoices Report ​</w:t>
            </w:r>
            <w:r w:rsidR="00684285" w:rsidRPr="00756410">
              <w:rPr>
                <w:i/>
                <w:iCs/>
                <w:sz w:val="20"/>
                <w:szCs w:val="20"/>
                <w:lang w:val="es-ES"/>
              </w:rPr>
              <w:t xml:space="preserve"> (</w:t>
            </w:r>
            <w:r w:rsidRPr="00756410">
              <w:rPr>
                <w:sz w:val="20"/>
                <w:szCs w:val="20"/>
                <w:lang w:val="es-419"/>
              </w:rPr>
              <w:t>Informe de generación de facturas de cuentas por cobrar de la ONU</w:t>
            </w:r>
            <w:r w:rsidR="00684285">
              <w:rPr>
                <w:sz w:val="20"/>
                <w:szCs w:val="20"/>
                <w:lang w:val="es-419"/>
              </w:rPr>
              <w:t>)</w:t>
            </w:r>
          </w:p>
          <w:p w14:paraId="530DECAF" w14:textId="642DA08E" w:rsidR="00FF11A9" w:rsidRPr="00756410" w:rsidRDefault="00FF11A9" w:rsidP="00123E68">
            <w:pPr>
              <w:pStyle w:val="ListParagraph"/>
              <w:numPr>
                <w:ilvl w:val="0"/>
                <w:numId w:val="25"/>
              </w:numPr>
              <w:spacing w:after="0"/>
              <w:rPr>
                <w:sz w:val="20"/>
                <w:szCs w:val="20"/>
                <w:lang w:val="es-ES"/>
              </w:rPr>
            </w:pPr>
            <w:r w:rsidRPr="00756410">
              <w:rPr>
                <w:sz w:val="20"/>
                <w:szCs w:val="20"/>
                <w:lang w:val="es-419"/>
              </w:rPr>
              <w:t>Lista de recibos</w:t>
            </w:r>
            <w:r w:rsidR="00FB3402">
              <w:rPr>
                <w:sz w:val="20"/>
                <w:szCs w:val="20"/>
                <w:lang w:val="es-419"/>
              </w:rPr>
              <w:t>:</w:t>
            </w:r>
            <w:r w:rsidRPr="00756410">
              <w:rPr>
                <w:sz w:val="20"/>
                <w:szCs w:val="20"/>
                <w:lang w:val="es-419"/>
              </w:rPr>
              <w:t xml:space="preserve"> </w:t>
            </w:r>
            <w:r w:rsidR="00123E68" w:rsidRPr="00756410">
              <w:rPr>
                <w:i/>
                <w:iCs/>
                <w:sz w:val="20"/>
                <w:szCs w:val="20"/>
                <w:lang w:val="es-ES"/>
              </w:rPr>
              <w:t>List of Receipts &gt; UN Receipts List Report</w:t>
            </w:r>
            <w:r w:rsidR="00123E68" w:rsidRPr="00756410">
              <w:rPr>
                <w:sz w:val="20"/>
                <w:szCs w:val="20"/>
                <w:lang w:val="es-ES"/>
              </w:rPr>
              <w:t xml:space="preserve"> (</w:t>
            </w:r>
            <w:r w:rsidRPr="00756410">
              <w:rPr>
                <w:sz w:val="20"/>
                <w:szCs w:val="20"/>
                <w:lang w:val="es-419"/>
              </w:rPr>
              <w:t>Informe de la lista de ingresos de la ONU</w:t>
            </w:r>
            <w:r w:rsidR="00123E68">
              <w:rPr>
                <w:sz w:val="20"/>
                <w:szCs w:val="20"/>
                <w:lang w:val="es-419"/>
              </w:rPr>
              <w:t>)</w:t>
            </w:r>
          </w:p>
          <w:p w14:paraId="583DD661" w14:textId="45754B64" w:rsidR="00FF11A9" w:rsidRPr="00756410" w:rsidRDefault="00FF11A9" w:rsidP="005D2A84">
            <w:pPr>
              <w:pStyle w:val="ListParagraph"/>
              <w:numPr>
                <w:ilvl w:val="0"/>
                <w:numId w:val="25"/>
              </w:numPr>
              <w:spacing w:after="0"/>
              <w:rPr>
                <w:i/>
                <w:iCs/>
                <w:sz w:val="20"/>
                <w:szCs w:val="20"/>
                <w:lang w:val="es-ES"/>
              </w:rPr>
            </w:pPr>
            <w:r w:rsidRPr="00756410">
              <w:rPr>
                <w:sz w:val="20"/>
                <w:szCs w:val="20"/>
                <w:lang w:val="es-419"/>
              </w:rPr>
              <w:t>Lista de códigos de donante</w:t>
            </w:r>
            <w:r w:rsidR="005F49ED">
              <w:rPr>
                <w:sz w:val="20"/>
                <w:szCs w:val="20"/>
                <w:lang w:val="es-419"/>
              </w:rPr>
              <w:t xml:space="preserve">: </w:t>
            </w:r>
            <w:r w:rsidR="005F49ED" w:rsidRPr="005521C2">
              <w:rPr>
                <w:i/>
                <w:iCs/>
                <w:sz w:val="20"/>
                <w:szCs w:val="20"/>
                <w:lang w:val="es-ES"/>
              </w:rPr>
              <w:t>Donor Codes List &gt; Customer General Information​</w:t>
            </w:r>
            <w:r w:rsidR="005F49ED">
              <w:rPr>
                <w:i/>
                <w:iCs/>
                <w:sz w:val="20"/>
                <w:szCs w:val="20"/>
                <w:lang w:val="es-ES"/>
              </w:rPr>
              <w:t xml:space="preserve"> (</w:t>
            </w:r>
            <w:r w:rsidRPr="00756410">
              <w:rPr>
                <w:sz w:val="20"/>
                <w:szCs w:val="20"/>
                <w:lang w:val="es-419"/>
              </w:rPr>
              <w:t>información general del cliente</w:t>
            </w:r>
            <w:r w:rsidR="005F49ED" w:rsidRPr="00756410">
              <w:rPr>
                <w:sz w:val="20"/>
                <w:szCs w:val="20"/>
                <w:lang w:val="es-419"/>
              </w:rPr>
              <w:t>)</w:t>
            </w:r>
          </w:p>
          <w:p w14:paraId="57563B27" w14:textId="3FDA1E89" w:rsidR="00FF11A9" w:rsidRPr="00756410" w:rsidRDefault="00FF11A9">
            <w:pPr>
              <w:pStyle w:val="ListParagraph"/>
              <w:numPr>
                <w:ilvl w:val="0"/>
                <w:numId w:val="25"/>
              </w:numPr>
              <w:spacing w:after="0"/>
              <w:rPr>
                <w:sz w:val="20"/>
                <w:szCs w:val="20"/>
                <w:lang w:val="es-ES"/>
              </w:rPr>
            </w:pPr>
            <w:r w:rsidRPr="00756410">
              <w:rPr>
                <w:sz w:val="20"/>
                <w:szCs w:val="20"/>
                <w:lang w:val="es-ES"/>
              </w:rPr>
              <w:t>Informe de detalles del contrato</w:t>
            </w:r>
            <w:r w:rsidR="00971F7D">
              <w:rPr>
                <w:sz w:val="20"/>
                <w:szCs w:val="20"/>
                <w:lang w:val="es-ES"/>
              </w:rPr>
              <w:t xml:space="preserve">: </w:t>
            </w:r>
            <w:r w:rsidR="00971F7D" w:rsidRPr="00756410">
              <w:rPr>
                <w:i/>
                <w:iCs/>
                <w:sz w:val="20"/>
                <w:szCs w:val="20"/>
                <w:lang w:val="es-ES"/>
              </w:rPr>
              <w:t>Contract Details Report &gt; UN PPM Contract Details Report (</w:t>
            </w:r>
            <w:r w:rsidRPr="00756410">
              <w:rPr>
                <w:sz w:val="20"/>
                <w:szCs w:val="20"/>
                <w:lang w:val="es-ES"/>
              </w:rPr>
              <w:t>Informe de detalles del contrato de UN PPM</w:t>
            </w:r>
            <w:r w:rsidR="000711B6">
              <w:rPr>
                <w:sz w:val="20"/>
                <w:szCs w:val="20"/>
                <w:lang w:val="es-ES"/>
              </w:rPr>
              <w:t>)</w:t>
            </w:r>
          </w:p>
          <w:p w14:paraId="136B13C3" w14:textId="27222E11" w:rsidR="00557E1F" w:rsidRPr="00756410" w:rsidRDefault="00FF11A9">
            <w:pPr>
              <w:pStyle w:val="ListParagraph"/>
              <w:numPr>
                <w:ilvl w:val="0"/>
                <w:numId w:val="25"/>
              </w:numPr>
              <w:spacing w:after="0"/>
              <w:rPr>
                <w:sz w:val="20"/>
                <w:szCs w:val="20"/>
                <w:lang w:val="es-419"/>
              </w:rPr>
            </w:pPr>
            <w:hyperlink r:id="rId68" w:history="1">
              <w:r w:rsidRPr="00756410">
                <w:rPr>
                  <w:rStyle w:val="Hyperlink"/>
                  <w:color w:val="4472C4" w:themeColor="accent1"/>
                  <w:sz w:val="20"/>
                  <w:szCs w:val="20"/>
                  <w:lang w:val="es-419"/>
                </w:rPr>
                <w:t>Informe de Contribuciones PNUD Power BI</w:t>
              </w:r>
            </w:hyperlink>
            <w:r w:rsidR="00014C0D" w:rsidRPr="00756410">
              <w:rPr>
                <w:sz w:val="20"/>
                <w:szCs w:val="20"/>
                <w:lang w:val="es-419"/>
              </w:rPr>
              <w:t xml:space="preserve"> (para identificación de depósitos</w:t>
            </w:r>
            <w:r w:rsidR="00A75922" w:rsidRPr="009A7C29">
              <w:rPr>
                <w:rStyle w:val="FootnoteReference"/>
                <w:sz w:val="20"/>
                <w:szCs w:val="20"/>
              </w:rPr>
              <w:footnoteReference w:id="20"/>
            </w:r>
            <w:r w:rsidR="00014C0D" w:rsidRPr="00756410">
              <w:rPr>
                <w:sz w:val="20"/>
                <w:szCs w:val="20"/>
                <w:lang w:val="es-419"/>
              </w:rPr>
              <w:t>)</w:t>
            </w:r>
          </w:p>
        </w:tc>
      </w:tr>
    </w:tbl>
    <w:p w14:paraId="5B295DF4" w14:textId="77777777" w:rsidR="00E60C04" w:rsidRPr="00756410" w:rsidRDefault="00E60C04" w:rsidP="00E60C04">
      <w:pPr>
        <w:rPr>
          <w:lang w:val="es-419"/>
        </w:rPr>
      </w:pPr>
    </w:p>
    <w:p w14:paraId="386469E3" w14:textId="2DD23421" w:rsidR="00E60C04" w:rsidRPr="00756410" w:rsidRDefault="00694AB2">
      <w:pPr>
        <w:pStyle w:val="Heading2"/>
        <w:numPr>
          <w:ilvl w:val="1"/>
          <w:numId w:val="93"/>
        </w:numPr>
        <w:spacing w:after="240"/>
        <w:rPr>
          <w:color w:val="4472C4" w:themeColor="accent1"/>
          <w:lang w:val="es-ES"/>
        </w:rPr>
      </w:pPr>
      <w:bookmarkStart w:id="40" w:name="_Toc210052759"/>
      <w:r w:rsidRPr="00756410">
        <w:rPr>
          <w:color w:val="4472C4" w:themeColor="accent1"/>
          <w:lang w:val="es-ES"/>
        </w:rPr>
        <w:t xml:space="preserve">Representante Residente </w:t>
      </w:r>
      <w:r w:rsidR="00412AB7">
        <w:rPr>
          <w:color w:val="4472C4" w:themeColor="accent1"/>
          <w:lang w:val="es-ES"/>
        </w:rPr>
        <w:t>Auxiliar</w:t>
      </w:r>
      <w:r w:rsidR="00412AB7" w:rsidRPr="00756410">
        <w:rPr>
          <w:color w:val="4472C4" w:themeColor="accent1"/>
          <w:lang w:val="es-ES"/>
        </w:rPr>
        <w:t xml:space="preserve"> </w:t>
      </w:r>
      <w:r w:rsidRPr="00756410">
        <w:rPr>
          <w:color w:val="4472C4" w:themeColor="accent1"/>
          <w:lang w:val="es-ES"/>
        </w:rPr>
        <w:t>– Programas (o equivalente en la Sede)</w:t>
      </w:r>
      <w:bookmarkEnd w:id="40"/>
    </w:p>
    <w:p w14:paraId="6DCB9A00" w14:textId="18CBDAC5" w:rsidR="008F13C4" w:rsidRPr="00756410" w:rsidRDefault="008F13C4" w:rsidP="00756410">
      <w:pPr>
        <w:jc w:val="both"/>
        <w:rPr>
          <w:rFonts w:ascii="Calibri" w:hAnsi="Calibri" w:cs="Calibri"/>
          <w:lang w:val="es-419"/>
        </w:rPr>
      </w:pPr>
      <w:r w:rsidRPr="00756410">
        <w:rPr>
          <w:rFonts w:ascii="Calibri" w:hAnsi="Calibri" w:cs="Calibri"/>
          <w:lang w:val="es-419"/>
        </w:rPr>
        <w:t xml:space="preserve">El Representante Residente </w:t>
      </w:r>
      <w:r w:rsidR="00412AB7">
        <w:rPr>
          <w:rFonts w:ascii="Calibri" w:hAnsi="Calibri" w:cs="Calibri"/>
          <w:lang w:val="es-419"/>
        </w:rPr>
        <w:t>Auxiliar</w:t>
      </w:r>
      <w:r w:rsidR="00412AB7" w:rsidRPr="00756410">
        <w:rPr>
          <w:rFonts w:ascii="Calibri" w:hAnsi="Calibri" w:cs="Calibri"/>
          <w:lang w:val="es-419"/>
        </w:rPr>
        <w:t xml:space="preserve"> </w:t>
      </w:r>
      <w:r w:rsidRPr="00756410">
        <w:rPr>
          <w:rFonts w:ascii="Calibri" w:hAnsi="Calibri" w:cs="Calibri"/>
          <w:lang w:val="es-419"/>
        </w:rPr>
        <w:t>- Programas (RR</w:t>
      </w:r>
      <w:r w:rsidR="00A026F6">
        <w:rPr>
          <w:rFonts w:ascii="Calibri" w:hAnsi="Calibri" w:cs="Calibri"/>
          <w:lang w:val="es-419"/>
        </w:rPr>
        <w:t>A</w:t>
      </w:r>
      <w:r w:rsidRPr="00756410">
        <w:rPr>
          <w:rFonts w:ascii="Calibri" w:hAnsi="Calibri" w:cs="Calibri"/>
          <w:lang w:val="es-419"/>
        </w:rPr>
        <w:t>-P) (o equivalente en la Sede) dirige y supervisa un equipo de Programa y trabaja en estrecha colaboración con el equipo de Operaciones de la oficina/unidad, el personal del Programa en otras agencias de la ONU, el personal del PNUD en la Sede y los Centros Regionales, asesores técnicos y expertos, especialistas externos, funcionarios gubernamentales y socios, donantes y la sociedad civil para implementar con éxito el programa del PNUD.</w:t>
      </w:r>
    </w:p>
    <w:p w14:paraId="36DFE83D" w14:textId="5E005DF7" w:rsidR="00E27E7F" w:rsidRPr="00756410" w:rsidRDefault="00E27E7F" w:rsidP="00756410">
      <w:pPr>
        <w:jc w:val="both"/>
        <w:rPr>
          <w:lang w:val="es-419"/>
        </w:rPr>
      </w:pPr>
      <w:r w:rsidRPr="00756410">
        <w:rPr>
          <w:lang w:val="es-419"/>
        </w:rPr>
        <w:t>Un elemento clave de la función de RR</w:t>
      </w:r>
      <w:r w:rsidR="00A026F6">
        <w:rPr>
          <w:lang w:val="es-419"/>
        </w:rPr>
        <w:t>A</w:t>
      </w:r>
      <w:r w:rsidRPr="00756410">
        <w:rPr>
          <w:lang w:val="es-419"/>
        </w:rPr>
        <w:t xml:space="preserve"> – Programas (o equivalente en la sede), entre otros, es administrar eficazmente el programa de la oficina/unidad y supervisar al equipo del Programa centrándose en la garantía de calidad y la gestión de riesgos del ciclo completo de programación, desde la formulación hasta la implementación. Si bien las oficinas/dependencias del PNUD tienen estructuras organizativas variadas, los programas de </w:t>
      </w:r>
      <w:r w:rsidR="00A026F6">
        <w:rPr>
          <w:lang w:val="es-419"/>
        </w:rPr>
        <w:t>RRA</w:t>
      </w:r>
      <w:r w:rsidR="00A026F6" w:rsidRPr="00756410">
        <w:rPr>
          <w:lang w:val="es-419"/>
        </w:rPr>
        <w:t xml:space="preserve"> </w:t>
      </w:r>
      <w:r w:rsidRPr="00756410">
        <w:rPr>
          <w:lang w:val="es-419"/>
        </w:rPr>
        <w:t>(o equivalentes en la sede) pueden tener normalmente las siguientes responsabilidades clave en lo que respecta a la gestión de los recursos financieros y los controles conexos:</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9A7C29" w:rsidRPr="00773863" w14:paraId="6BEDFC21" w14:textId="77777777" w:rsidTr="00FE1EBB">
        <w:trPr>
          <w:trHeight w:val="260"/>
        </w:trPr>
        <w:tc>
          <w:tcPr>
            <w:tcW w:w="9895" w:type="dxa"/>
            <w:shd w:val="clear" w:color="auto" w:fill="FFF1CC"/>
          </w:tcPr>
          <w:p w14:paraId="0741372A" w14:textId="5BB4C18B" w:rsidR="00694AB2" w:rsidRPr="00756410" w:rsidRDefault="00694AB2" w:rsidP="00FE1EBB">
            <w:pPr>
              <w:spacing w:after="0" w:line="240" w:lineRule="auto"/>
              <w:ind w:left="150"/>
              <w:rPr>
                <w:b/>
                <w:sz w:val="20"/>
                <w:szCs w:val="20"/>
                <w:lang w:val="es-ES"/>
              </w:rPr>
            </w:pPr>
            <w:r w:rsidRPr="00756410">
              <w:rPr>
                <w:b/>
                <w:sz w:val="20"/>
                <w:szCs w:val="20"/>
                <w:lang w:val="es-ES"/>
              </w:rPr>
              <w:t>RR</w:t>
            </w:r>
            <w:r w:rsidR="002D6149">
              <w:rPr>
                <w:b/>
                <w:sz w:val="20"/>
                <w:szCs w:val="20"/>
                <w:lang w:val="es-ES"/>
              </w:rPr>
              <w:t>A</w:t>
            </w:r>
            <w:r w:rsidRPr="00756410">
              <w:rPr>
                <w:b/>
                <w:sz w:val="20"/>
                <w:szCs w:val="20"/>
                <w:lang w:val="es-ES"/>
              </w:rPr>
              <w:t xml:space="preserve"> - Programas: Responsabilidades de control interno que normalmente se realizan dentro de cada oficina</w:t>
            </w:r>
            <w:r w:rsidR="0000736A">
              <w:rPr>
                <w:b/>
                <w:sz w:val="20"/>
                <w:szCs w:val="20"/>
                <w:lang w:val="es-ES"/>
              </w:rPr>
              <w:t xml:space="preserve"> o </w:t>
            </w:r>
            <w:r w:rsidRPr="00756410">
              <w:rPr>
                <w:b/>
                <w:sz w:val="20"/>
                <w:szCs w:val="20"/>
                <w:lang w:val="es-ES"/>
              </w:rPr>
              <w:t>unidad</w:t>
            </w:r>
          </w:p>
        </w:tc>
      </w:tr>
      <w:tr w:rsidR="009A7C29" w:rsidRPr="00773863" w14:paraId="633F94C5" w14:textId="77777777" w:rsidTr="00E27E7F">
        <w:trPr>
          <w:trHeight w:val="488"/>
        </w:trPr>
        <w:tc>
          <w:tcPr>
            <w:tcW w:w="9895" w:type="dxa"/>
          </w:tcPr>
          <w:p w14:paraId="6C71C280" w14:textId="4071CF28" w:rsidR="00694AB2" w:rsidRPr="00756410" w:rsidRDefault="00694AB2"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 xml:space="preserve">Supervisa estratégicamente la planificación, </w:t>
            </w:r>
            <w:r w:rsidR="00034524">
              <w:rPr>
                <w:sz w:val="20"/>
                <w:szCs w:val="20"/>
                <w:lang w:val="es-419"/>
              </w:rPr>
              <w:t>el presupuesto</w:t>
            </w:r>
            <w:r w:rsidRPr="00756410">
              <w:rPr>
                <w:sz w:val="20"/>
                <w:szCs w:val="20"/>
                <w:lang w:val="es-419"/>
              </w:rPr>
              <w:t>, la ejecución y la supervisión del programa, así como el seguimiento de la utilización de los recursos financieros de conformidad con los reglamentos y normas del PNUD.</w:t>
            </w:r>
          </w:p>
        </w:tc>
      </w:tr>
      <w:tr w:rsidR="009A7C29" w:rsidRPr="00773863" w14:paraId="0F81BF29" w14:textId="77777777" w:rsidTr="00FE1EBB">
        <w:trPr>
          <w:trHeight w:val="261"/>
        </w:trPr>
        <w:tc>
          <w:tcPr>
            <w:tcW w:w="9895" w:type="dxa"/>
          </w:tcPr>
          <w:p w14:paraId="193B358A" w14:textId="69250D51" w:rsidR="00694AB2" w:rsidRPr="00756410" w:rsidRDefault="00694AB2" w:rsidP="00756410">
            <w:pPr>
              <w:pStyle w:val="ListParagraph"/>
              <w:widowControl w:val="0"/>
              <w:numPr>
                <w:ilvl w:val="0"/>
                <w:numId w:val="70"/>
              </w:numPr>
              <w:autoSpaceDE w:val="0"/>
              <w:autoSpaceDN w:val="0"/>
              <w:spacing w:after="0" w:line="240" w:lineRule="auto"/>
              <w:ind w:right="110"/>
              <w:jc w:val="both"/>
              <w:rPr>
                <w:sz w:val="20"/>
                <w:szCs w:val="20"/>
                <w:lang w:val="es-419"/>
              </w:rPr>
            </w:pPr>
            <w:r w:rsidRPr="00756410">
              <w:rPr>
                <w:sz w:val="20"/>
                <w:szCs w:val="20"/>
                <w:lang w:val="es-419"/>
              </w:rPr>
              <w:t xml:space="preserve">Supervisa la implementación del programa con los socios implementadores, incluida la garantía del cumplimiento de HACT de la oficina/unidad en estrecha colaboración con </w:t>
            </w:r>
            <w:r w:rsidR="006E4323">
              <w:rPr>
                <w:sz w:val="20"/>
                <w:szCs w:val="20"/>
                <w:lang w:val="es-419"/>
              </w:rPr>
              <w:t>RRD</w:t>
            </w:r>
            <w:r w:rsidRPr="00756410">
              <w:rPr>
                <w:sz w:val="20"/>
                <w:szCs w:val="20"/>
                <w:lang w:val="es-419"/>
              </w:rPr>
              <w:t xml:space="preserve"> – O y los equipos de programas y operaciones.</w:t>
            </w:r>
          </w:p>
        </w:tc>
      </w:tr>
      <w:tr w:rsidR="009A7C29" w:rsidRPr="00773863" w14:paraId="34D9FDB4" w14:textId="77777777" w:rsidTr="00FE1EBB">
        <w:trPr>
          <w:trHeight w:val="216"/>
        </w:trPr>
        <w:tc>
          <w:tcPr>
            <w:tcW w:w="9895" w:type="dxa"/>
          </w:tcPr>
          <w:p w14:paraId="7F8F3B11" w14:textId="4D7CC9D2" w:rsidR="00694AB2" w:rsidRPr="00756410" w:rsidRDefault="00694AB2"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 xml:space="preserve">Realiza un seguimiento de las recomendaciones de auditoría y garantiza la </w:t>
            </w:r>
            <w:r w:rsidR="008E34A1">
              <w:rPr>
                <w:sz w:val="20"/>
                <w:szCs w:val="20"/>
                <w:lang w:val="es-419"/>
              </w:rPr>
              <w:t>implementación</w:t>
            </w:r>
            <w:r w:rsidR="00AE3E2D" w:rsidRPr="00756410">
              <w:rPr>
                <w:sz w:val="20"/>
                <w:szCs w:val="20"/>
                <w:lang w:val="es-419"/>
              </w:rPr>
              <w:t xml:space="preserve"> </w:t>
            </w:r>
            <w:r w:rsidRPr="00756410">
              <w:rPr>
                <w:sz w:val="20"/>
                <w:szCs w:val="20"/>
                <w:lang w:val="es-419"/>
              </w:rPr>
              <w:t>de las respuestas de la administración.</w:t>
            </w:r>
          </w:p>
        </w:tc>
      </w:tr>
      <w:tr w:rsidR="009A7C29" w:rsidRPr="00773863" w14:paraId="6CEE09AF" w14:textId="77777777" w:rsidTr="00FE1EBB">
        <w:trPr>
          <w:trHeight w:val="216"/>
        </w:trPr>
        <w:tc>
          <w:tcPr>
            <w:tcW w:w="9895" w:type="dxa"/>
          </w:tcPr>
          <w:p w14:paraId="4099F237" w14:textId="0EDBAFDB" w:rsidR="00E27E7F" w:rsidRPr="00756410" w:rsidRDefault="00E27E7F"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 xml:space="preserve">Garantiza que se preparen periódicamente informes </w:t>
            </w:r>
            <w:r w:rsidR="007B5709">
              <w:rPr>
                <w:sz w:val="20"/>
                <w:szCs w:val="20"/>
                <w:lang w:val="es-419"/>
              </w:rPr>
              <w:t xml:space="preserve">consolidados </w:t>
            </w:r>
            <w:r w:rsidRPr="00756410">
              <w:rPr>
                <w:sz w:val="20"/>
                <w:szCs w:val="20"/>
                <w:lang w:val="es-419"/>
              </w:rPr>
              <w:t xml:space="preserve">sobre actividades, productos y resultados, incluida la preparación de informes </w:t>
            </w:r>
            <w:r w:rsidR="00BE56C3">
              <w:rPr>
                <w:sz w:val="20"/>
                <w:szCs w:val="20"/>
                <w:lang w:val="es-419"/>
              </w:rPr>
              <w:t>corporativos y para</w:t>
            </w:r>
            <w:r w:rsidR="00BE56C3" w:rsidRPr="00756410">
              <w:rPr>
                <w:sz w:val="20"/>
                <w:szCs w:val="20"/>
                <w:lang w:val="es-419"/>
              </w:rPr>
              <w:t xml:space="preserve"> </w:t>
            </w:r>
            <w:r w:rsidRPr="00756410">
              <w:rPr>
                <w:sz w:val="20"/>
                <w:szCs w:val="20"/>
                <w:lang w:val="es-419"/>
              </w:rPr>
              <w:t>donantes.</w:t>
            </w:r>
          </w:p>
        </w:tc>
      </w:tr>
      <w:tr w:rsidR="009A7C29" w:rsidRPr="00773863" w14:paraId="66434FB6" w14:textId="77777777" w:rsidTr="00FE1EBB">
        <w:trPr>
          <w:trHeight w:val="216"/>
        </w:trPr>
        <w:tc>
          <w:tcPr>
            <w:tcW w:w="9895" w:type="dxa"/>
          </w:tcPr>
          <w:p w14:paraId="226DB847" w14:textId="1C0884B4" w:rsidR="00E27E7F" w:rsidRPr="00756410" w:rsidRDefault="00E27E7F" w:rsidP="00756410">
            <w:pPr>
              <w:pStyle w:val="ListParagraph"/>
              <w:widowControl w:val="0"/>
              <w:numPr>
                <w:ilvl w:val="0"/>
                <w:numId w:val="70"/>
              </w:numPr>
              <w:autoSpaceDE w:val="0"/>
              <w:autoSpaceDN w:val="0"/>
              <w:spacing w:after="0" w:line="240" w:lineRule="auto"/>
              <w:jc w:val="both"/>
              <w:rPr>
                <w:sz w:val="20"/>
                <w:szCs w:val="20"/>
                <w:lang w:val="es-419"/>
              </w:rPr>
            </w:pPr>
            <w:r w:rsidRPr="00756410">
              <w:rPr>
                <w:sz w:val="20"/>
                <w:szCs w:val="20"/>
                <w:lang w:val="es-419"/>
              </w:rPr>
              <w:t>Organiza el sistema de recuperación de costos para los servicios prestados por la oficina/unidad a los proyectos en estrecha colaboración con</w:t>
            </w:r>
            <w:r w:rsidR="00BE56C3">
              <w:rPr>
                <w:sz w:val="20"/>
                <w:szCs w:val="20"/>
                <w:lang w:val="es-419"/>
              </w:rPr>
              <w:t xml:space="preserve"> el</w:t>
            </w:r>
            <w:r w:rsidRPr="00756410">
              <w:rPr>
                <w:sz w:val="20"/>
                <w:szCs w:val="20"/>
                <w:lang w:val="es-419"/>
              </w:rPr>
              <w:t xml:space="preserve"> RRD – Operaciones o Gerente de Operaciones.</w:t>
            </w:r>
          </w:p>
        </w:tc>
      </w:tr>
    </w:tbl>
    <w:p w14:paraId="242751F6" w14:textId="6EFB77A4" w:rsidR="00644627" w:rsidRDefault="6E0EC955" w:rsidP="00644627">
      <w:pPr>
        <w:rPr>
          <w:i/>
          <w:iCs/>
          <w:sz w:val="20"/>
          <w:szCs w:val="20"/>
          <w:lang w:val="es-419"/>
        </w:rPr>
      </w:pPr>
      <w:r w:rsidRPr="00756410">
        <w:rPr>
          <w:i/>
          <w:iCs/>
          <w:sz w:val="20"/>
          <w:szCs w:val="20"/>
          <w:lang w:val="es-419"/>
        </w:rPr>
        <w:t xml:space="preserve">Fuente: </w:t>
      </w:r>
      <w:r w:rsidR="001F7D78">
        <w:rPr>
          <w:i/>
          <w:iCs/>
          <w:sz w:val="20"/>
          <w:szCs w:val="20"/>
          <w:lang w:val="es-419"/>
        </w:rPr>
        <w:t>Elementos f</w:t>
      </w:r>
      <w:r w:rsidRPr="00756410">
        <w:rPr>
          <w:i/>
          <w:iCs/>
          <w:sz w:val="20"/>
          <w:szCs w:val="20"/>
          <w:lang w:val="es-419"/>
        </w:rPr>
        <w:t>inancier</w:t>
      </w:r>
      <w:r w:rsidR="001F7D78">
        <w:rPr>
          <w:i/>
          <w:iCs/>
          <w:sz w:val="20"/>
          <w:szCs w:val="20"/>
          <w:lang w:val="es-419"/>
        </w:rPr>
        <w:t>o</w:t>
      </w:r>
      <w:r w:rsidRPr="00756410">
        <w:rPr>
          <w:i/>
          <w:iCs/>
          <w:sz w:val="20"/>
          <w:szCs w:val="20"/>
          <w:lang w:val="es-419"/>
        </w:rPr>
        <w:t xml:space="preserve">s extraídas de </w:t>
      </w:r>
      <w:hyperlink r:id="rId69">
        <w:r w:rsidRPr="00756410">
          <w:rPr>
            <w:rStyle w:val="Hyperlink"/>
            <w:i/>
            <w:iCs/>
            <w:color w:val="4472C4" w:themeColor="accent1"/>
            <w:sz w:val="20"/>
            <w:szCs w:val="20"/>
            <w:lang w:val="es-419"/>
          </w:rPr>
          <w:t>las descripciones genéricas de puestos de</w:t>
        </w:r>
        <w:r w:rsidR="00532D05">
          <w:rPr>
            <w:rStyle w:val="Hyperlink"/>
            <w:i/>
            <w:iCs/>
            <w:color w:val="4472C4" w:themeColor="accent1"/>
            <w:sz w:val="20"/>
            <w:szCs w:val="20"/>
            <w:lang w:val="es-419"/>
          </w:rPr>
          <w:t xml:space="preserve"> trabajo</w:t>
        </w:r>
      </w:hyperlink>
      <w:r w:rsidR="00532D05">
        <w:rPr>
          <w:i/>
          <w:iCs/>
          <w:sz w:val="20"/>
          <w:szCs w:val="20"/>
          <w:lang w:val="es-419"/>
        </w:rPr>
        <w:t xml:space="preserve"> de</w:t>
      </w:r>
      <w:r w:rsidR="00296B37">
        <w:rPr>
          <w:i/>
          <w:iCs/>
          <w:sz w:val="20"/>
          <w:szCs w:val="20"/>
          <w:lang w:val="es-419"/>
        </w:rPr>
        <w:t xml:space="preserve">sarrolladas por </w:t>
      </w:r>
      <w:r w:rsidR="00532D05">
        <w:rPr>
          <w:i/>
          <w:iCs/>
          <w:sz w:val="20"/>
          <w:szCs w:val="20"/>
          <w:lang w:val="es-419"/>
        </w:rPr>
        <w:t xml:space="preserve">BMS/OHR </w:t>
      </w:r>
      <w:r w:rsidR="00296B37">
        <w:rPr>
          <w:i/>
          <w:iCs/>
          <w:sz w:val="20"/>
          <w:szCs w:val="20"/>
          <w:lang w:val="es-419"/>
        </w:rPr>
        <w:t>en 2023 para las posiciones de</w:t>
      </w:r>
      <w:r w:rsidRPr="00756410">
        <w:rPr>
          <w:i/>
          <w:iCs/>
          <w:sz w:val="20"/>
          <w:szCs w:val="20"/>
          <w:lang w:val="es-419"/>
        </w:rPr>
        <w:t xml:space="preserve"> RR</w:t>
      </w:r>
      <w:r w:rsidR="002D6149">
        <w:rPr>
          <w:i/>
          <w:iCs/>
          <w:sz w:val="20"/>
          <w:szCs w:val="20"/>
          <w:lang w:val="es-419"/>
        </w:rPr>
        <w:t>A</w:t>
      </w:r>
      <w:r w:rsidRPr="00756410">
        <w:rPr>
          <w:i/>
          <w:iCs/>
          <w:sz w:val="20"/>
          <w:szCs w:val="20"/>
          <w:lang w:val="es-419"/>
        </w:rPr>
        <w:t xml:space="preserve"> (Programas) en 2023.</w:t>
      </w:r>
    </w:p>
    <w:p w14:paraId="2DD969B2" w14:textId="155F58BA" w:rsidR="002426B0" w:rsidRDefault="003E4022">
      <w:pPr>
        <w:pStyle w:val="Heading1"/>
        <w:numPr>
          <w:ilvl w:val="0"/>
          <w:numId w:val="93"/>
        </w:numPr>
        <w:spacing w:after="240"/>
      </w:pPr>
      <w:bookmarkStart w:id="41" w:name="_Procure_and_Pay"/>
      <w:bookmarkStart w:id="42" w:name="_Toc210052760"/>
      <w:bookmarkEnd w:id="41"/>
      <w:r>
        <w:t>Adqui</w:t>
      </w:r>
      <w:r w:rsidR="002C0CD2">
        <w:t>sición</w:t>
      </w:r>
      <w:r>
        <w:t xml:space="preserve"> y pag</w:t>
      </w:r>
      <w:r w:rsidR="002C0CD2">
        <w:t>o</w:t>
      </w:r>
      <w:bookmarkEnd w:id="42"/>
    </w:p>
    <w:p w14:paraId="023C33CE" w14:textId="36317957" w:rsidR="00284569" w:rsidRDefault="008540EC" w:rsidP="00FC429C">
      <w:pPr>
        <w:spacing w:line="240" w:lineRule="auto"/>
        <w:jc w:val="both"/>
        <w:rPr>
          <w:lang w:val="es-419"/>
        </w:rPr>
      </w:pPr>
      <w:r w:rsidRPr="00756410">
        <w:rPr>
          <w:lang w:val="es-419"/>
        </w:rPr>
        <w:t>Las secciones de</w:t>
      </w:r>
      <w:r w:rsidR="007066F9">
        <w:rPr>
          <w:lang w:val="es-419"/>
        </w:rPr>
        <w:t>l</w:t>
      </w:r>
      <w:r w:rsidRPr="00756410">
        <w:rPr>
          <w:lang w:val="es-419"/>
        </w:rPr>
        <w:t xml:space="preserve"> POPP</w:t>
      </w:r>
      <w:r w:rsidR="00F212C3">
        <w:rPr>
          <w:lang w:val="es-419"/>
        </w:rPr>
        <w:t xml:space="preserve"> </w:t>
      </w:r>
      <w:hyperlink r:id="rId70" w:history="1">
        <w:r w:rsidR="004C4780" w:rsidRPr="004C4780">
          <w:rPr>
            <w:rStyle w:val="Hyperlink"/>
            <w:lang w:val="es-ES"/>
          </w:rPr>
          <w:t>”</w:t>
        </w:r>
        <w:r w:rsidR="004C4780" w:rsidRPr="00756410">
          <w:rPr>
            <w:rStyle w:val="Hyperlink"/>
            <w:i/>
            <w:iCs/>
            <w:lang w:val="es-ES"/>
          </w:rPr>
          <w:t>G</w:t>
        </w:r>
        <w:r w:rsidR="00F212C3" w:rsidRPr="00756410">
          <w:rPr>
            <w:rStyle w:val="Hyperlink"/>
            <w:i/>
            <w:iCs/>
            <w:lang w:val="es-ES"/>
          </w:rPr>
          <w:t>estión de programas y proyecto</w:t>
        </w:r>
        <w:r w:rsidR="004C4780" w:rsidRPr="00756410">
          <w:rPr>
            <w:rStyle w:val="Hyperlink"/>
            <w:i/>
            <w:iCs/>
            <w:lang w:val="es-ES"/>
          </w:rPr>
          <w:t>s</w:t>
        </w:r>
        <w:r w:rsidR="004C4780">
          <w:rPr>
            <w:rStyle w:val="Hyperlink"/>
            <w:lang w:val="es-ES"/>
          </w:rPr>
          <w:t>”</w:t>
        </w:r>
      </w:hyperlink>
      <w:r w:rsidR="00F212C3" w:rsidRPr="0086630A">
        <w:rPr>
          <w:lang w:val="es-ES"/>
        </w:rPr>
        <w:t xml:space="preserve"> </w:t>
      </w:r>
      <w:hyperlink r:id="rId71" w:history="1">
        <w:r w:rsidR="004C4780">
          <w:rPr>
            <w:rStyle w:val="Hyperlink"/>
            <w:lang w:val="es-ES"/>
          </w:rPr>
          <w:t>”</w:t>
        </w:r>
        <w:r w:rsidR="004C4780" w:rsidRPr="00756410">
          <w:rPr>
            <w:rStyle w:val="Hyperlink"/>
            <w:i/>
            <w:iCs/>
            <w:lang w:val="es-ES"/>
          </w:rPr>
          <w:t>A</w:t>
        </w:r>
        <w:r w:rsidR="00F212C3" w:rsidRPr="00756410">
          <w:rPr>
            <w:rStyle w:val="Hyperlink"/>
            <w:i/>
            <w:iCs/>
            <w:lang w:val="es-ES"/>
          </w:rPr>
          <w:t>dquisicione</w:t>
        </w:r>
        <w:r w:rsidR="004C4780" w:rsidRPr="00756410">
          <w:rPr>
            <w:rStyle w:val="Hyperlink"/>
            <w:i/>
            <w:iCs/>
            <w:lang w:val="es-ES"/>
          </w:rPr>
          <w:t>s</w:t>
        </w:r>
        <w:r w:rsidR="004C4780">
          <w:rPr>
            <w:rStyle w:val="Hyperlink"/>
            <w:lang w:val="es-ES"/>
          </w:rPr>
          <w:t>”</w:t>
        </w:r>
      </w:hyperlink>
      <w:r w:rsidR="00F212C3" w:rsidRPr="0086630A">
        <w:rPr>
          <w:lang w:val="es-ES"/>
        </w:rPr>
        <w:t xml:space="preserve">; y </w:t>
      </w:r>
      <w:hyperlink r:id="rId72" w:history="1">
        <w:r w:rsidR="004C4780">
          <w:rPr>
            <w:rStyle w:val="Hyperlink"/>
            <w:lang w:val="es-ES"/>
          </w:rPr>
          <w:t>”</w:t>
        </w:r>
        <w:r w:rsidR="004C4780" w:rsidRPr="00756410">
          <w:rPr>
            <w:rStyle w:val="Hyperlink"/>
            <w:i/>
            <w:iCs/>
            <w:lang w:val="es-ES"/>
          </w:rPr>
          <w:t>G</w:t>
        </w:r>
        <w:r w:rsidR="00F212C3" w:rsidRPr="00756410">
          <w:rPr>
            <w:rStyle w:val="Hyperlink"/>
            <w:i/>
            <w:iCs/>
            <w:lang w:val="es-ES"/>
          </w:rPr>
          <w:t>estión de recursos financiero</w:t>
        </w:r>
        <w:r w:rsidR="004C4780" w:rsidRPr="00756410">
          <w:rPr>
            <w:rStyle w:val="Hyperlink"/>
            <w:i/>
            <w:iCs/>
            <w:lang w:val="es-ES"/>
          </w:rPr>
          <w:t>s</w:t>
        </w:r>
        <w:r w:rsidR="004C4780">
          <w:rPr>
            <w:rStyle w:val="Hyperlink"/>
            <w:lang w:val="es-ES"/>
          </w:rPr>
          <w:t>”</w:t>
        </w:r>
      </w:hyperlink>
      <w:r w:rsidR="00F212C3" w:rsidRPr="0086630A">
        <w:rPr>
          <w:lang w:val="es-ES"/>
        </w:rPr>
        <w:t xml:space="preserve"> (subsección de </w:t>
      </w:r>
      <w:hyperlink r:id="rId73" w:history="1">
        <w:r w:rsidR="004C4780">
          <w:rPr>
            <w:rStyle w:val="Hyperlink"/>
            <w:lang w:val="es-ES"/>
          </w:rPr>
          <w:t>”</w:t>
        </w:r>
        <w:r w:rsidR="004C4780" w:rsidRPr="00756410">
          <w:rPr>
            <w:rStyle w:val="Hyperlink"/>
            <w:i/>
            <w:iCs/>
            <w:lang w:val="es-ES"/>
          </w:rPr>
          <w:t>G</w:t>
        </w:r>
        <w:r w:rsidR="00F212C3" w:rsidRPr="00756410">
          <w:rPr>
            <w:rStyle w:val="Hyperlink"/>
            <w:i/>
            <w:iCs/>
            <w:lang w:val="es-ES"/>
          </w:rPr>
          <w:t>estión de gasto</w:t>
        </w:r>
        <w:r w:rsidR="004C4780" w:rsidRPr="00756410">
          <w:rPr>
            <w:rStyle w:val="Hyperlink"/>
            <w:i/>
            <w:iCs/>
            <w:lang w:val="es-ES"/>
          </w:rPr>
          <w:t>s</w:t>
        </w:r>
        <w:r w:rsidR="004C4780">
          <w:rPr>
            <w:rStyle w:val="Hyperlink"/>
            <w:lang w:val="es-ES"/>
          </w:rPr>
          <w:t>”</w:t>
        </w:r>
      </w:hyperlink>
      <w:r w:rsidR="00F212C3" w:rsidRPr="0086630A">
        <w:rPr>
          <w:lang w:val="es-ES"/>
        </w:rPr>
        <w:t>)</w:t>
      </w:r>
      <w:r w:rsidRPr="00756410">
        <w:rPr>
          <w:lang w:val="es-419"/>
        </w:rPr>
        <w:t xml:space="preserve"> </w:t>
      </w:r>
      <w:r w:rsidR="004241E3" w:rsidRPr="00756410">
        <w:rPr>
          <w:lang w:val="es-419"/>
        </w:rPr>
        <w:t>articulan de manera integral los roles y responsabilidades de quienes participan en las actividades de Adquisición y Pago, incluidos los Gerentes de Proyectos (primera autoridad), los Compradores, el Mantenimiento de Proveedores y los Aprobadores de Proveedores, los Gerentes de Aprobación (segunda autoridad), los Oficiales de Desembolso (tercera autoridad) y los Signatarios de Cuentas Bancarias.</w:t>
      </w:r>
      <w:r w:rsidR="00F26257">
        <w:rPr>
          <w:lang w:val="es-419"/>
        </w:rPr>
        <w:t xml:space="preserve"> </w:t>
      </w:r>
      <w:r w:rsidR="00284569" w:rsidRPr="00914285">
        <w:rPr>
          <w:lang w:val="es-419"/>
        </w:rPr>
        <w:t xml:space="preserve">Además, se puede encontrar una variedad de artículos de conocimiento </w:t>
      </w:r>
      <w:r w:rsidR="00284569">
        <w:rPr>
          <w:lang w:val="es-419"/>
        </w:rPr>
        <w:t>de Quantum</w:t>
      </w:r>
      <w:r w:rsidR="00284569" w:rsidRPr="00914285">
        <w:rPr>
          <w:lang w:val="es-419"/>
        </w:rPr>
        <w:t xml:space="preserve"> en UNall en</w:t>
      </w:r>
      <w:r w:rsidR="003C36FB">
        <w:rPr>
          <w:lang w:val="es-419"/>
        </w:rPr>
        <w:t xml:space="preserve"> </w:t>
      </w:r>
      <w:hyperlink r:id="rId74" w:history="1">
        <w:r w:rsidR="004C4780">
          <w:rPr>
            <w:rStyle w:val="Hyperlink"/>
            <w:lang w:val="es-ES" w:bidi="es-ES"/>
          </w:rPr>
          <w:t>”</w:t>
        </w:r>
        <w:r w:rsidR="004C4780" w:rsidRPr="00756410">
          <w:rPr>
            <w:rStyle w:val="Hyperlink"/>
            <w:i/>
            <w:iCs/>
            <w:lang w:val="es-ES" w:bidi="es-ES"/>
          </w:rPr>
          <w:t>A</w:t>
        </w:r>
        <w:r w:rsidR="003C36FB" w:rsidRPr="00756410">
          <w:rPr>
            <w:rStyle w:val="Hyperlink"/>
            <w:i/>
            <w:iCs/>
            <w:lang w:val="es-ES" w:bidi="es-ES"/>
          </w:rPr>
          <w:t>dquisiciones y Logístic</w:t>
        </w:r>
        <w:r w:rsidR="004C4780">
          <w:rPr>
            <w:rStyle w:val="Hyperlink"/>
            <w:i/>
            <w:iCs/>
            <w:lang w:val="es-ES" w:bidi="es-ES"/>
          </w:rPr>
          <w:t>a”</w:t>
        </w:r>
      </w:hyperlink>
      <w:r w:rsidR="003C36FB" w:rsidRPr="00700D8A">
        <w:rPr>
          <w:lang w:val="es-ES" w:bidi="es-ES"/>
        </w:rPr>
        <w:t xml:space="preserve"> y </w:t>
      </w:r>
      <w:hyperlink r:id="rId75" w:history="1">
        <w:r w:rsidR="004C4780">
          <w:rPr>
            <w:rStyle w:val="Hyperlink"/>
            <w:lang w:val="es-ES" w:bidi="es-ES"/>
          </w:rPr>
          <w:t>”</w:t>
        </w:r>
        <w:r w:rsidR="004C4780" w:rsidRPr="00756410">
          <w:rPr>
            <w:rStyle w:val="Hyperlink"/>
            <w:i/>
            <w:iCs/>
            <w:lang w:val="es-ES" w:bidi="es-ES"/>
          </w:rPr>
          <w:t>G</w:t>
        </w:r>
        <w:r w:rsidR="003C36FB" w:rsidRPr="00756410">
          <w:rPr>
            <w:rStyle w:val="Hyperlink"/>
            <w:i/>
            <w:iCs/>
            <w:lang w:val="es-ES" w:bidi="es-ES"/>
          </w:rPr>
          <w:t>estión Financier</w:t>
        </w:r>
        <w:r w:rsidR="004C4780" w:rsidRPr="00756410">
          <w:rPr>
            <w:rStyle w:val="Hyperlink"/>
            <w:i/>
            <w:iCs/>
            <w:lang w:val="es-ES" w:bidi="es-ES"/>
          </w:rPr>
          <w:t>a</w:t>
        </w:r>
        <w:r w:rsidR="004C4780">
          <w:rPr>
            <w:rStyle w:val="Hyperlink"/>
            <w:lang w:val="es-ES" w:bidi="es-ES"/>
          </w:rPr>
          <w:t>”</w:t>
        </w:r>
      </w:hyperlink>
      <w:r w:rsidR="003C36FB" w:rsidRPr="00700D8A">
        <w:rPr>
          <w:lang w:val="es-ES" w:bidi="es-ES"/>
        </w:rPr>
        <w:t xml:space="preserve">, así como en el </w:t>
      </w:r>
      <w:hyperlink r:id="rId76" w:history="1">
        <w:r w:rsidR="003C36FB">
          <w:rPr>
            <w:rStyle w:val="Hyperlink"/>
            <w:lang w:val="es-ES" w:bidi="es-ES"/>
          </w:rPr>
          <w:t>siti</w:t>
        </w:r>
        <w:r w:rsidR="003C36FB" w:rsidRPr="00700D8A">
          <w:rPr>
            <w:rStyle w:val="Hyperlink"/>
            <w:lang w:val="es-ES" w:bidi="es-ES"/>
          </w:rPr>
          <w:t xml:space="preserve">o de </w:t>
        </w:r>
        <w:r w:rsidR="00F26257">
          <w:rPr>
            <w:rStyle w:val="Hyperlink"/>
            <w:lang w:val="es-ES" w:bidi="es-ES"/>
          </w:rPr>
          <w:t>Finanzas d</w:t>
        </w:r>
        <w:r w:rsidR="003C36FB" w:rsidRPr="00700D8A">
          <w:rPr>
            <w:rStyle w:val="Hyperlink"/>
            <w:lang w:val="es-ES" w:bidi="es-ES"/>
          </w:rPr>
          <w:t>e</w:t>
        </w:r>
        <w:r w:rsidR="003C36FB">
          <w:rPr>
            <w:rStyle w:val="Hyperlink"/>
            <w:lang w:val="es-ES" w:bidi="es-ES"/>
          </w:rPr>
          <w:t>l BMS/GSS</w:t>
        </w:r>
        <w:r w:rsidR="00F26257">
          <w:rPr>
            <w:rStyle w:val="Hyperlink"/>
            <w:lang w:val="es-ES" w:bidi="es-ES"/>
          </w:rPr>
          <w:t>S en SharePoint</w:t>
        </w:r>
      </w:hyperlink>
      <w:r w:rsidR="003C36FB" w:rsidRPr="00700D8A">
        <w:rPr>
          <w:lang w:val="es-ES" w:bidi="es-ES"/>
        </w:rPr>
        <w:t xml:space="preserve"> y en el </w:t>
      </w:r>
      <w:hyperlink r:id="rId77" w:history="1">
        <w:r w:rsidR="003C36FB" w:rsidRPr="00700D8A">
          <w:rPr>
            <w:rStyle w:val="Hyperlink"/>
            <w:lang w:val="es-ES" w:bidi="es-ES"/>
          </w:rPr>
          <w:t>sitio de SharePoint de Procedimientos Operativos Estándar (SOP</w:t>
        </w:r>
        <w:r w:rsidR="003C36FB">
          <w:rPr>
            <w:rStyle w:val="Hyperlink"/>
            <w:lang w:val="es-ES" w:bidi="es-ES"/>
          </w:rPr>
          <w:t xml:space="preserve"> por sus siglas en inglés</w:t>
        </w:r>
        <w:r w:rsidR="003C36FB" w:rsidRPr="00700D8A">
          <w:rPr>
            <w:rStyle w:val="Hyperlink"/>
            <w:lang w:val="es-ES" w:bidi="es-ES"/>
          </w:rPr>
          <w:t>) d</w:t>
        </w:r>
        <w:r w:rsidR="003C36FB">
          <w:rPr>
            <w:rStyle w:val="Hyperlink"/>
            <w:lang w:val="es-ES" w:bidi="es-ES"/>
          </w:rPr>
          <w:t>e</w:t>
        </w:r>
        <w:r w:rsidR="00F26257">
          <w:rPr>
            <w:rStyle w:val="Hyperlink"/>
            <w:lang w:val="es-ES" w:bidi="es-ES"/>
          </w:rPr>
          <w:t>l</w:t>
        </w:r>
        <w:r w:rsidR="003C36FB">
          <w:rPr>
            <w:rStyle w:val="Hyperlink"/>
            <w:lang w:val="es-ES" w:bidi="es-ES"/>
          </w:rPr>
          <w:t xml:space="preserve"> </w:t>
        </w:r>
        <w:r w:rsidR="003C36FB" w:rsidRPr="00700D8A">
          <w:rPr>
            <w:rStyle w:val="Hyperlink"/>
            <w:lang w:val="es-ES" w:bidi="es-ES"/>
          </w:rPr>
          <w:t>BM</w:t>
        </w:r>
        <w:r w:rsidR="003C36FB">
          <w:rPr>
            <w:rStyle w:val="Hyperlink"/>
            <w:lang w:val="es-ES" w:bidi="es-ES"/>
          </w:rPr>
          <w:t>S/GSSC</w:t>
        </w:r>
      </w:hyperlink>
      <w:r w:rsidR="003C36FB" w:rsidRPr="00700D8A">
        <w:rPr>
          <w:lang w:val="es-ES" w:bidi="es-ES"/>
        </w:rPr>
        <w:t>.</w:t>
      </w:r>
    </w:p>
    <w:p w14:paraId="046917B3" w14:textId="4512D0C6" w:rsidR="00D643BA" w:rsidRPr="00756410" w:rsidRDefault="004241E3" w:rsidP="00756410">
      <w:pPr>
        <w:spacing w:line="240" w:lineRule="auto"/>
        <w:jc w:val="both"/>
        <w:rPr>
          <w:lang w:val="es-419"/>
        </w:rPr>
      </w:pPr>
      <w:r w:rsidRPr="00756410">
        <w:rPr>
          <w:lang w:val="es-419"/>
        </w:rPr>
        <w:lastRenderedPageBreak/>
        <w:t xml:space="preserve">En el Anexo 5 de esta Guía </w:t>
      </w:r>
      <w:hyperlink w:anchor="_Annex_5:_Process" w:history="1">
        <w:r w:rsidRPr="00756410">
          <w:rPr>
            <w:rStyle w:val="Hyperlink"/>
            <w:lang w:val="es-419"/>
          </w:rPr>
          <w:t xml:space="preserve">se incluye una descripción general del proceso de </w:t>
        </w:r>
        <w:r w:rsidR="00484B30">
          <w:rPr>
            <w:rStyle w:val="Hyperlink"/>
            <w:lang w:val="es-419"/>
          </w:rPr>
          <w:t>Adquisición y Pago</w:t>
        </w:r>
        <w:r w:rsidRPr="00756410">
          <w:rPr>
            <w:rStyle w:val="Hyperlink"/>
            <w:lang w:val="es-419"/>
          </w:rPr>
          <w:t>, incluido quién realiza cada paso</w:t>
        </w:r>
      </w:hyperlink>
      <w:r w:rsidRPr="00756410">
        <w:rPr>
          <w:lang w:val="es-419"/>
        </w:rPr>
        <w:t>. Esta sección proporciona una descripción general de las responsabilidades clave de control interno que cumplen los roles de Adquisición y Pago (excepto Gerente de Proyecto, que se describe en la sección 4.1). Tres de estos roles, Gerente de Proyecto, Gerente de Aprobación y Oficial de Desembolsos, ejercen autoridad para las transacciones de adquisiciones, compromisos, gastos y desembolsos del PNUD. Estas tres funciones son especialmente importantes para el control interno y equivalen a las tres órdenes de autoridad establecidas en el Artículo 20.02 del Reglamento Financiero</w:t>
      </w:r>
      <w:r w:rsidR="00B57726" w:rsidRPr="363CA695">
        <w:rPr>
          <w:rStyle w:val="FootnoteReference"/>
        </w:rPr>
        <w:footnoteReference w:id="21"/>
      </w:r>
      <w:r w:rsidR="00520342" w:rsidRPr="00756410">
        <w:rPr>
          <w:lang w:val="es-419"/>
        </w:rPr>
        <w:t xml:space="preserve">. </w:t>
      </w:r>
    </w:p>
    <w:p w14:paraId="5624BD69" w14:textId="0FD5D1BF" w:rsidR="00163C49" w:rsidRPr="00756410" w:rsidRDefault="00163C49">
      <w:pPr>
        <w:pStyle w:val="Heading2"/>
        <w:numPr>
          <w:ilvl w:val="1"/>
          <w:numId w:val="93"/>
        </w:numPr>
        <w:spacing w:after="240"/>
        <w:rPr>
          <w:lang w:val="es-419"/>
        </w:rPr>
      </w:pPr>
      <w:bookmarkStart w:id="43" w:name="_Toc210052761"/>
      <w:r w:rsidRPr="00756410">
        <w:rPr>
          <w:lang w:val="es-419"/>
        </w:rPr>
        <w:t>Comprador de adquisiciones</w:t>
      </w:r>
      <w:bookmarkEnd w:id="43"/>
    </w:p>
    <w:p w14:paraId="1721E1EE" w14:textId="4B499C38" w:rsidR="00C737F2" w:rsidRPr="00756410" w:rsidRDefault="00163C49" w:rsidP="00756410">
      <w:pPr>
        <w:spacing w:line="240" w:lineRule="auto"/>
        <w:jc w:val="both"/>
        <w:rPr>
          <w:lang w:val="es-419"/>
        </w:rPr>
      </w:pPr>
      <w:r w:rsidRPr="00756410">
        <w:rPr>
          <w:lang w:val="es-419"/>
        </w:rPr>
        <w:t>El rol de comprador de adquisiciones se refiere al personal que realiza adquisiciones (incluidas las adquisiciones de contratistas individuales). Deben tener un profundo conocimiento de las políticas de adquisiciones del PNUD.</w:t>
      </w:r>
    </w:p>
    <w:tbl>
      <w:tblPr>
        <w:tblStyle w:val="TableGrid"/>
        <w:tblW w:w="9625" w:type="dxa"/>
        <w:tblCellMar>
          <w:bottom w:w="43" w:type="dxa"/>
        </w:tblCellMar>
        <w:tblLook w:val="04A0" w:firstRow="1" w:lastRow="0" w:firstColumn="1" w:lastColumn="0" w:noHBand="0" w:noVBand="1"/>
      </w:tblPr>
      <w:tblGrid>
        <w:gridCol w:w="9625"/>
      </w:tblGrid>
      <w:tr w:rsidR="00246374" w:rsidRPr="00773863" w14:paraId="4BCF582F" w14:textId="77777777" w:rsidTr="008C4953">
        <w:trPr>
          <w:tblHeader/>
        </w:trPr>
        <w:tc>
          <w:tcPr>
            <w:tcW w:w="96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7C6228" w14:textId="2721DF0F" w:rsidR="00246374" w:rsidRPr="00756410" w:rsidRDefault="00246374" w:rsidP="005A77AA">
            <w:pPr>
              <w:rPr>
                <w:lang w:val="es-ES"/>
              </w:rPr>
            </w:pPr>
            <w:r w:rsidRPr="00756410">
              <w:rPr>
                <w:b/>
                <w:sz w:val="20"/>
                <w:szCs w:val="20"/>
                <w:lang w:val="es-ES"/>
              </w:rPr>
              <w:t>Comprador de adquisiciones: Responsabilidades clave</w:t>
            </w:r>
            <w:r w:rsidR="004718F6">
              <w:rPr>
                <w:b/>
                <w:sz w:val="20"/>
                <w:szCs w:val="20"/>
                <w:lang w:val="es-ES"/>
              </w:rPr>
              <w:t xml:space="preserve"> realizadas </w:t>
            </w:r>
            <w:r w:rsidRPr="00756410">
              <w:rPr>
                <w:b/>
                <w:sz w:val="20"/>
                <w:szCs w:val="20"/>
                <w:lang w:val="es-ES"/>
              </w:rPr>
              <w:t>dentro de cada oficina</w:t>
            </w:r>
            <w:r w:rsidR="0000736A">
              <w:rPr>
                <w:b/>
                <w:sz w:val="20"/>
                <w:szCs w:val="20"/>
                <w:lang w:val="es-ES"/>
              </w:rPr>
              <w:t xml:space="preserve"> o </w:t>
            </w:r>
            <w:r w:rsidRPr="00756410">
              <w:rPr>
                <w:b/>
                <w:sz w:val="20"/>
                <w:szCs w:val="20"/>
                <w:lang w:val="es-ES"/>
              </w:rPr>
              <w:t>unidad</w:t>
            </w:r>
          </w:p>
        </w:tc>
      </w:tr>
      <w:tr w:rsidR="00246374" w:rsidRPr="00773863" w14:paraId="6160DB0B" w14:textId="77777777" w:rsidTr="008C4953">
        <w:tc>
          <w:tcPr>
            <w:tcW w:w="9625" w:type="dxa"/>
            <w:tcBorders>
              <w:top w:val="single" w:sz="4" w:space="0" w:color="auto"/>
              <w:left w:val="single" w:sz="4" w:space="0" w:color="auto"/>
              <w:bottom w:val="single" w:sz="4" w:space="0" w:color="auto"/>
              <w:right w:val="single" w:sz="4" w:space="0" w:color="auto"/>
            </w:tcBorders>
          </w:tcPr>
          <w:p w14:paraId="6C76F137" w14:textId="4BABF60F" w:rsidR="00246374" w:rsidRPr="00756410" w:rsidRDefault="00246374" w:rsidP="00756410">
            <w:pPr>
              <w:pStyle w:val="ListParagraph"/>
              <w:numPr>
                <w:ilvl w:val="0"/>
                <w:numId w:val="75"/>
              </w:numPr>
              <w:jc w:val="both"/>
              <w:rPr>
                <w:sz w:val="20"/>
                <w:szCs w:val="20"/>
                <w:lang w:val="es-419"/>
              </w:rPr>
            </w:pPr>
            <w:r w:rsidRPr="00756410">
              <w:rPr>
                <w:b/>
                <w:sz w:val="20"/>
                <w:szCs w:val="20"/>
                <w:lang w:val="es-419"/>
              </w:rPr>
              <w:t>Lleva a cabo adquisiciones de acuerdo con la</w:t>
            </w:r>
            <w:r w:rsidR="00E85E19">
              <w:rPr>
                <w:b/>
                <w:sz w:val="20"/>
                <w:szCs w:val="20"/>
                <w:lang w:val="es-419"/>
              </w:rPr>
              <w:t xml:space="preserve"> política de</w:t>
            </w:r>
            <w:r w:rsidRPr="00756410">
              <w:rPr>
                <w:b/>
                <w:sz w:val="20"/>
                <w:szCs w:val="20"/>
                <w:lang w:val="es-419"/>
              </w:rPr>
              <w:t xml:space="preserve"> </w:t>
            </w:r>
            <w:hyperlink r:id="rId78" w:history="1">
              <w:r w:rsidR="004C4780">
                <w:rPr>
                  <w:rStyle w:val="Hyperlink"/>
                  <w:bCs/>
                  <w:sz w:val="20"/>
                  <w:szCs w:val="20"/>
                  <w:lang w:val="es-419"/>
                </w:rPr>
                <w:t>”</w:t>
              </w:r>
              <w:r w:rsidR="004C4780" w:rsidRPr="00756410">
                <w:rPr>
                  <w:rStyle w:val="Hyperlink"/>
                  <w:bCs/>
                  <w:i/>
                  <w:iCs/>
                  <w:sz w:val="20"/>
                  <w:szCs w:val="20"/>
                  <w:lang w:val="es-419"/>
                </w:rPr>
                <w:t>A</w:t>
              </w:r>
              <w:r w:rsidRPr="00756410">
                <w:rPr>
                  <w:rStyle w:val="Hyperlink"/>
                  <w:bCs/>
                  <w:i/>
                  <w:iCs/>
                  <w:lang w:val="es-ES"/>
                </w:rPr>
                <w:t>dquisicione</w:t>
              </w:r>
              <w:r w:rsidR="004C4780" w:rsidRPr="00756410">
                <w:rPr>
                  <w:rStyle w:val="Hyperlink"/>
                  <w:bCs/>
                  <w:i/>
                  <w:iCs/>
                  <w:sz w:val="20"/>
                  <w:szCs w:val="20"/>
                  <w:lang w:val="es-419"/>
                </w:rPr>
                <w:t>s</w:t>
              </w:r>
              <w:r w:rsidR="004C4780">
                <w:rPr>
                  <w:rStyle w:val="Hyperlink"/>
                  <w:bCs/>
                  <w:sz w:val="20"/>
                  <w:szCs w:val="20"/>
                  <w:lang w:val="es-419"/>
                </w:rPr>
                <w:t>”</w:t>
              </w:r>
            </w:hyperlink>
            <w:r w:rsidRPr="00E85E19">
              <w:rPr>
                <w:b/>
                <w:sz w:val="20"/>
                <w:szCs w:val="20"/>
                <w:lang w:val="es-419"/>
              </w:rPr>
              <w:t xml:space="preserve"> </w:t>
            </w:r>
            <w:r w:rsidRPr="00756410">
              <w:rPr>
                <w:b/>
                <w:sz w:val="20"/>
                <w:szCs w:val="20"/>
                <w:lang w:val="es-419"/>
              </w:rPr>
              <w:t>de</w:t>
            </w:r>
            <w:r w:rsidR="004C4780" w:rsidRPr="004C4780">
              <w:rPr>
                <w:b/>
                <w:sz w:val="20"/>
                <w:szCs w:val="20"/>
                <w:lang w:val="es-419"/>
              </w:rPr>
              <w:t>l</w:t>
            </w:r>
            <w:r w:rsidRPr="00756410">
              <w:rPr>
                <w:b/>
                <w:sz w:val="20"/>
                <w:szCs w:val="20"/>
                <w:lang w:val="es-419"/>
              </w:rPr>
              <w:t xml:space="preserve"> POPP </w:t>
            </w:r>
            <w:r w:rsidR="00C0793B" w:rsidRPr="00756410">
              <w:rPr>
                <w:lang w:val="es-419"/>
              </w:rPr>
              <w:t>(incluidas las subsecciones sobre</w:t>
            </w:r>
            <w:r w:rsidR="00292CEF" w:rsidRPr="004C4780">
              <w:rPr>
                <w:rStyle w:val="Hyperlink"/>
                <w:color w:val="auto"/>
                <w:sz w:val="20"/>
                <w:szCs w:val="20"/>
                <w:u w:val="none"/>
                <w:lang w:val="es-419"/>
              </w:rPr>
              <w:t xml:space="preserve"> </w:t>
            </w:r>
            <w:hyperlink r:id="rId79" w:history="1">
              <w:r w:rsidR="004C4780" w:rsidRPr="004C4780">
                <w:rPr>
                  <w:rStyle w:val="Hyperlink"/>
                  <w:sz w:val="20"/>
                  <w:szCs w:val="20"/>
                  <w:lang w:val="es-419"/>
                </w:rPr>
                <w:t>”</w:t>
              </w:r>
              <w:r w:rsidR="004C4780" w:rsidRPr="00756410">
                <w:rPr>
                  <w:rStyle w:val="Hyperlink"/>
                  <w:i/>
                  <w:iCs/>
                  <w:sz w:val="20"/>
                  <w:szCs w:val="20"/>
                  <w:lang w:val="es-419"/>
                </w:rPr>
                <w:t>G</w:t>
              </w:r>
              <w:r w:rsidRPr="00756410">
                <w:rPr>
                  <w:rStyle w:val="Hyperlink"/>
                  <w:i/>
                  <w:iCs/>
                  <w:sz w:val="20"/>
                  <w:szCs w:val="20"/>
                  <w:lang w:val="es-419"/>
                </w:rPr>
                <w:t>estión de contrato</w:t>
              </w:r>
              <w:r w:rsidR="004C4780" w:rsidRPr="00756410">
                <w:rPr>
                  <w:rStyle w:val="Hyperlink"/>
                  <w:i/>
                  <w:iCs/>
                  <w:sz w:val="20"/>
                  <w:szCs w:val="20"/>
                  <w:lang w:val="es-419"/>
                </w:rPr>
                <w:t>s</w:t>
              </w:r>
              <w:r w:rsidR="004C4780" w:rsidRPr="004C4780">
                <w:rPr>
                  <w:rStyle w:val="Hyperlink"/>
                  <w:sz w:val="20"/>
                  <w:szCs w:val="20"/>
                  <w:lang w:val="es-419"/>
                </w:rPr>
                <w:t>”</w:t>
              </w:r>
            </w:hyperlink>
            <w:r w:rsidRPr="00756410">
              <w:rPr>
                <w:rStyle w:val="Hyperlink"/>
                <w:color w:val="auto"/>
                <w:sz w:val="20"/>
                <w:szCs w:val="20"/>
                <w:u w:val="none"/>
                <w:lang w:val="es-419"/>
              </w:rPr>
              <w:t xml:space="preserve">; </w:t>
            </w:r>
            <w:hyperlink r:id="rId80" w:history="1">
              <w:r w:rsidR="004C4780">
                <w:rPr>
                  <w:rStyle w:val="Hyperlink"/>
                  <w:sz w:val="20"/>
                  <w:szCs w:val="20"/>
                  <w:lang w:val="es-419"/>
                </w:rPr>
                <w:t>”</w:t>
              </w:r>
              <w:r w:rsidR="004C4780" w:rsidRPr="00756410">
                <w:rPr>
                  <w:rStyle w:val="Hyperlink"/>
                  <w:i/>
                  <w:iCs/>
                  <w:sz w:val="20"/>
                  <w:szCs w:val="20"/>
                  <w:lang w:val="es-419"/>
                </w:rPr>
                <w:t>E</w:t>
              </w:r>
              <w:r w:rsidRPr="00756410">
                <w:rPr>
                  <w:rStyle w:val="Hyperlink"/>
                  <w:i/>
                  <w:iCs/>
                  <w:sz w:val="20"/>
                  <w:szCs w:val="20"/>
                  <w:lang w:val="es-419"/>
                </w:rPr>
                <w:t xml:space="preserve">nvío y </w:t>
              </w:r>
              <w:r w:rsidR="009C4B0A" w:rsidRPr="00756410">
                <w:rPr>
                  <w:rStyle w:val="Hyperlink"/>
                  <w:i/>
                  <w:iCs/>
                  <w:sz w:val="20"/>
                  <w:szCs w:val="20"/>
                  <w:lang w:val="es-419"/>
                </w:rPr>
                <w:t>S</w:t>
              </w:r>
              <w:r w:rsidRPr="00756410">
                <w:rPr>
                  <w:rStyle w:val="Hyperlink"/>
                  <w:i/>
                  <w:iCs/>
                  <w:sz w:val="20"/>
                  <w:szCs w:val="20"/>
                  <w:lang w:val="es-419"/>
                </w:rPr>
                <w:t>egur</w:t>
              </w:r>
              <w:r w:rsidR="004C4780" w:rsidRPr="00756410">
                <w:rPr>
                  <w:rStyle w:val="Hyperlink"/>
                  <w:i/>
                  <w:iCs/>
                  <w:sz w:val="20"/>
                  <w:szCs w:val="20"/>
                  <w:lang w:val="es-419"/>
                </w:rPr>
                <w:t>o</w:t>
              </w:r>
              <w:r w:rsidR="004C4780">
                <w:rPr>
                  <w:rStyle w:val="Hyperlink"/>
                  <w:sz w:val="20"/>
                  <w:szCs w:val="20"/>
                  <w:lang w:val="es-419"/>
                </w:rPr>
                <w:t>”</w:t>
              </w:r>
            </w:hyperlink>
            <w:r w:rsidRPr="00756410">
              <w:rPr>
                <w:rStyle w:val="Hyperlink"/>
                <w:sz w:val="20"/>
                <w:szCs w:val="20"/>
                <w:lang w:val="es-419"/>
              </w:rPr>
              <w:t>;</w:t>
            </w:r>
            <w:r w:rsidRPr="00756410">
              <w:rPr>
                <w:rStyle w:val="Hyperlink"/>
                <w:color w:val="auto"/>
                <w:sz w:val="20"/>
                <w:szCs w:val="20"/>
                <w:lang w:val="es-419"/>
              </w:rPr>
              <w:t xml:space="preserve"> y </w:t>
            </w:r>
            <w:hyperlink r:id="rId81">
              <w:r w:rsidR="004C4780">
                <w:rPr>
                  <w:color w:val="0462C1"/>
                  <w:sz w:val="20"/>
                  <w:szCs w:val="20"/>
                  <w:u w:val="single"/>
                  <w:lang w:val="es-419"/>
                </w:rPr>
                <w:t>”</w:t>
              </w:r>
              <w:r w:rsidR="004C4780" w:rsidRPr="00756410">
                <w:rPr>
                  <w:i/>
                  <w:iCs/>
                  <w:color w:val="0462C1"/>
                  <w:sz w:val="20"/>
                  <w:szCs w:val="20"/>
                  <w:u w:val="single"/>
                  <w:lang w:val="es-ES"/>
                </w:rPr>
                <w:t>P</w:t>
              </w:r>
              <w:r w:rsidRPr="00756410">
                <w:rPr>
                  <w:i/>
                  <w:iCs/>
                  <w:color w:val="0462C1"/>
                  <w:sz w:val="20"/>
                  <w:szCs w:val="20"/>
                  <w:u w:val="single"/>
                  <w:lang w:val="es-419"/>
                </w:rPr>
                <w:t xml:space="preserve">ago e </w:t>
              </w:r>
              <w:r w:rsidR="00D83D56" w:rsidRPr="00756410">
                <w:rPr>
                  <w:i/>
                  <w:iCs/>
                  <w:color w:val="0462C1"/>
                  <w:sz w:val="20"/>
                  <w:szCs w:val="20"/>
                  <w:u w:val="single"/>
                  <w:lang w:val="es-419"/>
                </w:rPr>
                <w:t>I</w:t>
              </w:r>
              <w:r w:rsidRPr="00756410">
                <w:rPr>
                  <w:i/>
                  <w:iCs/>
                  <w:color w:val="0462C1"/>
                  <w:sz w:val="20"/>
                  <w:szCs w:val="20"/>
                  <w:u w:val="single"/>
                  <w:lang w:val="es-419"/>
                </w:rPr>
                <w:t>mpuesto</w:t>
              </w:r>
              <w:r w:rsidR="004C4780" w:rsidRPr="00756410">
                <w:rPr>
                  <w:i/>
                  <w:iCs/>
                  <w:color w:val="0462C1"/>
                  <w:sz w:val="20"/>
                  <w:szCs w:val="20"/>
                  <w:u w:val="single"/>
                  <w:lang w:val="es-419"/>
                </w:rPr>
                <w:t>s</w:t>
              </w:r>
              <w:r w:rsidR="004C4780">
                <w:rPr>
                  <w:color w:val="0462C1"/>
                  <w:sz w:val="20"/>
                  <w:szCs w:val="20"/>
                  <w:u w:val="single"/>
                  <w:lang w:val="es-419"/>
                </w:rPr>
                <w:t>”</w:t>
              </w:r>
            </w:hyperlink>
            <w:r w:rsidRPr="00756410">
              <w:rPr>
                <w:sz w:val="20"/>
                <w:szCs w:val="20"/>
                <w:u w:val="single"/>
                <w:lang w:val="es-419"/>
              </w:rPr>
              <w:t>):</w:t>
            </w:r>
            <w:r w:rsidRPr="00756410">
              <w:rPr>
                <w:sz w:val="20"/>
                <w:szCs w:val="20"/>
                <w:lang w:val="es-419"/>
              </w:rPr>
              <w:t xml:space="preserve"> Después de recibir </w:t>
            </w:r>
            <w:r w:rsidR="00D4036D" w:rsidRPr="004C4780">
              <w:rPr>
                <w:sz w:val="20"/>
                <w:szCs w:val="20"/>
                <w:lang w:val="es-419"/>
              </w:rPr>
              <w:t>u</w:t>
            </w:r>
            <w:r w:rsidR="00D4036D" w:rsidRPr="00756410">
              <w:rPr>
                <w:sz w:val="20"/>
                <w:szCs w:val="20"/>
                <w:lang w:val="es-ES"/>
              </w:rPr>
              <w:t>na</w:t>
            </w:r>
            <w:r w:rsidR="00D4036D" w:rsidRPr="00756410">
              <w:rPr>
                <w:sz w:val="20"/>
                <w:szCs w:val="20"/>
                <w:lang w:val="es-419"/>
              </w:rPr>
              <w:t xml:space="preserve"> </w:t>
            </w:r>
            <w:r w:rsidRPr="00756410">
              <w:rPr>
                <w:sz w:val="20"/>
                <w:szCs w:val="20"/>
                <w:lang w:val="es-419"/>
              </w:rPr>
              <w:t xml:space="preserve">solicitud aprobada, lleva a cabo el proceso de adquisición y contratación, asegurando que el envío del contrato y los términos de pago cumplan con POPP. Obtiene una justificación por escrito del Gerente de Proyecto cuando el proceso de adquisición no </w:t>
            </w:r>
            <w:r w:rsidR="005F2671" w:rsidRPr="004C4780">
              <w:rPr>
                <w:sz w:val="20"/>
                <w:szCs w:val="20"/>
                <w:lang w:val="es-419"/>
              </w:rPr>
              <w:t>es conforme</w:t>
            </w:r>
            <w:r w:rsidR="00387A2D" w:rsidRPr="00756410">
              <w:rPr>
                <w:sz w:val="20"/>
                <w:szCs w:val="20"/>
                <w:lang w:val="es-419"/>
              </w:rPr>
              <w:t xml:space="preserve"> </w:t>
            </w:r>
            <w:r w:rsidRPr="00756410">
              <w:rPr>
                <w:sz w:val="20"/>
                <w:szCs w:val="20"/>
                <w:lang w:val="es-419"/>
              </w:rPr>
              <w:t>con</w:t>
            </w:r>
            <w:r w:rsidR="005F2671" w:rsidRPr="004C4780">
              <w:rPr>
                <w:sz w:val="20"/>
                <w:szCs w:val="20"/>
                <w:lang w:val="es-419"/>
              </w:rPr>
              <w:t xml:space="preserve"> las políticas</w:t>
            </w:r>
            <w:r w:rsidR="00C63FD1" w:rsidRPr="004C4780">
              <w:rPr>
                <w:sz w:val="20"/>
                <w:szCs w:val="20"/>
                <w:lang w:val="es-419"/>
              </w:rPr>
              <w:t xml:space="preserve"> y procedimientos (</w:t>
            </w:r>
            <w:r w:rsidRPr="00756410">
              <w:rPr>
                <w:sz w:val="20"/>
                <w:szCs w:val="20"/>
                <w:lang w:val="es-419"/>
              </w:rPr>
              <w:t>POPP</w:t>
            </w:r>
            <w:r w:rsidR="00C63FD1" w:rsidRPr="004C4780">
              <w:rPr>
                <w:sz w:val="20"/>
                <w:szCs w:val="20"/>
                <w:lang w:val="es-419"/>
              </w:rPr>
              <w:t>)</w:t>
            </w:r>
            <w:r w:rsidR="00193AAB" w:rsidRPr="004C4780">
              <w:rPr>
                <w:sz w:val="20"/>
                <w:szCs w:val="20"/>
                <w:lang w:val="es-419"/>
              </w:rPr>
              <w:t xml:space="preserve"> y</w:t>
            </w:r>
            <w:r w:rsidRPr="00756410">
              <w:rPr>
                <w:sz w:val="20"/>
                <w:szCs w:val="20"/>
                <w:lang w:val="es-419"/>
              </w:rPr>
              <w:t xml:space="preserve"> </w:t>
            </w:r>
            <w:r w:rsidR="00193AAB" w:rsidRPr="004C4780">
              <w:rPr>
                <w:sz w:val="20"/>
                <w:szCs w:val="20"/>
                <w:lang w:val="es-ES" w:bidi="es-ES"/>
              </w:rPr>
              <w:t>comunica la excepción al Gerente de Aprobaci</w:t>
            </w:r>
            <w:r w:rsidR="00E91C78" w:rsidRPr="004C4780">
              <w:rPr>
                <w:sz w:val="20"/>
                <w:szCs w:val="20"/>
                <w:lang w:val="es-ES" w:bidi="es-ES"/>
              </w:rPr>
              <w:t>ón</w:t>
            </w:r>
            <w:r w:rsidR="00193AAB" w:rsidRPr="004C4780">
              <w:rPr>
                <w:sz w:val="20"/>
                <w:szCs w:val="20"/>
                <w:lang w:val="es-ES" w:bidi="es-ES"/>
              </w:rPr>
              <w:t xml:space="preserve"> antes de la aprobación de la orden de compra</w:t>
            </w:r>
            <w:r w:rsidR="00E91C78" w:rsidRPr="004C4780">
              <w:rPr>
                <w:sz w:val="20"/>
                <w:szCs w:val="20"/>
                <w:lang w:val="es-ES" w:bidi="es-ES"/>
              </w:rPr>
              <w:t xml:space="preserve"> (PO).</w:t>
            </w:r>
          </w:p>
        </w:tc>
      </w:tr>
      <w:tr w:rsidR="004241E3" w:rsidRPr="00773863" w14:paraId="1B5E5937" w14:textId="77777777" w:rsidTr="008C4953">
        <w:tc>
          <w:tcPr>
            <w:tcW w:w="9625" w:type="dxa"/>
            <w:tcBorders>
              <w:top w:val="single" w:sz="4" w:space="0" w:color="auto"/>
              <w:left w:val="single" w:sz="4" w:space="0" w:color="auto"/>
              <w:bottom w:val="single" w:sz="4" w:space="0" w:color="auto"/>
              <w:right w:val="single" w:sz="4" w:space="0" w:color="auto"/>
            </w:tcBorders>
          </w:tcPr>
          <w:p w14:paraId="284287BE" w14:textId="6728CD1D"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Facilita el registro de proveedores</w:t>
            </w:r>
            <w:r w:rsidR="00C752C9" w:rsidRPr="00186C1C">
              <w:rPr>
                <w:rStyle w:val="FootnoteReference"/>
                <w:b/>
                <w:bCs/>
                <w:sz w:val="20"/>
                <w:szCs w:val="20"/>
              </w:rPr>
              <w:footnoteReference w:id="22"/>
            </w:r>
            <w:r w:rsidRPr="00756410">
              <w:rPr>
                <w:b/>
                <w:sz w:val="20"/>
                <w:szCs w:val="20"/>
                <w:lang w:val="es-419"/>
              </w:rPr>
              <w:t xml:space="preserve">:  </w:t>
            </w:r>
            <w:r w:rsidR="00186C1C" w:rsidRPr="00186C1C">
              <w:rPr>
                <w:sz w:val="20"/>
                <w:szCs w:val="20"/>
                <w:lang w:val="es-ES"/>
              </w:rPr>
              <w:t xml:space="preserve">Siguiendo las disposiciones de la </w:t>
            </w:r>
            <w:hyperlink r:id="rId82" w:history="1">
              <w:r w:rsidR="00186C1C" w:rsidRPr="00756410">
                <w:rPr>
                  <w:rStyle w:val="Hyperlink"/>
                  <w:sz w:val="20"/>
                  <w:szCs w:val="20"/>
                  <w:lang w:val="es-ES"/>
                </w:rPr>
                <w:t xml:space="preserve">política de </w:t>
              </w:r>
              <w:r w:rsidR="004C4780">
                <w:rPr>
                  <w:rStyle w:val="Hyperlink"/>
                  <w:sz w:val="20"/>
                  <w:szCs w:val="20"/>
                  <w:lang w:val="es-ES"/>
                </w:rPr>
                <w:t>“</w:t>
              </w:r>
              <w:r w:rsidR="004C4780" w:rsidRPr="00756410">
                <w:rPr>
                  <w:rStyle w:val="Hyperlink"/>
                  <w:i/>
                  <w:iCs/>
                  <w:sz w:val="20"/>
                  <w:szCs w:val="20"/>
                  <w:lang w:val="es-ES"/>
                </w:rPr>
                <w:t>G</w:t>
              </w:r>
              <w:r w:rsidR="00186C1C" w:rsidRPr="00756410">
                <w:rPr>
                  <w:rStyle w:val="Hyperlink"/>
                  <w:i/>
                  <w:iCs/>
                  <w:sz w:val="20"/>
                  <w:szCs w:val="20"/>
                  <w:lang w:val="es-ES"/>
                </w:rPr>
                <w:t>estión de proveedore</w:t>
              </w:r>
              <w:r w:rsidR="004C4780" w:rsidRPr="00756410">
                <w:rPr>
                  <w:rStyle w:val="Hyperlink"/>
                  <w:i/>
                  <w:iCs/>
                  <w:sz w:val="20"/>
                  <w:szCs w:val="20"/>
                  <w:lang w:val="es-ES"/>
                </w:rPr>
                <w:t>s</w:t>
              </w:r>
              <w:r w:rsidR="004C4780">
                <w:rPr>
                  <w:rStyle w:val="Hyperlink"/>
                  <w:sz w:val="20"/>
                  <w:szCs w:val="20"/>
                  <w:lang w:val="es-ES"/>
                </w:rPr>
                <w:t>”</w:t>
              </w:r>
            </w:hyperlink>
            <w:r w:rsidR="00186C1C" w:rsidRPr="00186C1C">
              <w:rPr>
                <w:sz w:val="20"/>
                <w:szCs w:val="20"/>
                <w:lang w:val="es-ES"/>
              </w:rPr>
              <w:t>, envía</w:t>
            </w:r>
            <w:r w:rsidRPr="00756410">
              <w:rPr>
                <w:rStyle w:val="Hyperlink"/>
                <w:color w:val="auto"/>
                <w:sz w:val="20"/>
                <w:szCs w:val="20"/>
                <w:u w:val="none"/>
                <w:lang w:val="es-419"/>
              </w:rPr>
              <w:t xml:space="preserve"> </w:t>
            </w:r>
            <w:r w:rsidRPr="00756410">
              <w:rPr>
                <w:sz w:val="20"/>
                <w:szCs w:val="20"/>
                <w:lang w:val="es-419"/>
              </w:rPr>
              <w:t>un enlace de registro del portal de proveedores a los proveedores para registros externos. Medida temporal para el registro interno: El Comprador puede registrar a un proveedor internamente si un proveedor no puede registrarse por sí mismo (consulte la sección 2.1 para obtener más información)</w:t>
            </w:r>
            <w:r w:rsidR="00C67279">
              <w:rPr>
                <w:sz w:val="20"/>
                <w:szCs w:val="20"/>
                <w:lang w:val="es-419"/>
              </w:rPr>
              <w:t>.</w:t>
            </w:r>
          </w:p>
        </w:tc>
      </w:tr>
      <w:tr w:rsidR="004241E3" w:rsidRPr="00773863" w14:paraId="121C98A1" w14:textId="77777777" w:rsidTr="008C4953">
        <w:tc>
          <w:tcPr>
            <w:tcW w:w="9625" w:type="dxa"/>
            <w:tcBorders>
              <w:top w:val="single" w:sz="4" w:space="0" w:color="auto"/>
              <w:left w:val="single" w:sz="4" w:space="0" w:color="auto"/>
              <w:bottom w:val="single" w:sz="4" w:space="0" w:color="auto"/>
              <w:right w:val="single" w:sz="4" w:space="0" w:color="auto"/>
            </w:tcBorders>
          </w:tcPr>
          <w:p w14:paraId="28384786" w14:textId="731A6BDF" w:rsidR="007D6BCD" w:rsidRPr="00756410" w:rsidRDefault="004241E3" w:rsidP="004B22DA">
            <w:pPr>
              <w:pStyle w:val="ListParagraph"/>
              <w:numPr>
                <w:ilvl w:val="0"/>
                <w:numId w:val="75"/>
              </w:numPr>
              <w:rPr>
                <w:b/>
                <w:sz w:val="20"/>
                <w:szCs w:val="20"/>
                <w:lang w:val="es-419"/>
              </w:rPr>
            </w:pPr>
            <w:r w:rsidRPr="00756410">
              <w:rPr>
                <w:b/>
                <w:sz w:val="20"/>
                <w:szCs w:val="20"/>
                <w:lang w:val="es-419"/>
              </w:rPr>
              <w:t xml:space="preserve">Crea </w:t>
            </w:r>
            <w:r w:rsidR="004B22DA">
              <w:rPr>
                <w:b/>
                <w:sz w:val="20"/>
                <w:szCs w:val="20"/>
                <w:lang w:val="es-419"/>
              </w:rPr>
              <w:t>órdenes</w:t>
            </w:r>
            <w:r w:rsidR="007D6BCD" w:rsidRPr="00756410">
              <w:rPr>
                <w:b/>
                <w:sz w:val="20"/>
                <w:szCs w:val="20"/>
                <w:lang w:val="es-419"/>
              </w:rPr>
              <w:t xml:space="preserve"> </w:t>
            </w:r>
            <w:r w:rsidRPr="00756410">
              <w:rPr>
                <w:b/>
                <w:sz w:val="20"/>
                <w:szCs w:val="20"/>
                <w:lang w:val="es-419"/>
              </w:rPr>
              <w:t>de compra</w:t>
            </w:r>
            <w:r w:rsidR="00503AC5" w:rsidRPr="363CA695">
              <w:rPr>
                <w:rStyle w:val="FootnoteReference"/>
                <w:b/>
                <w:bCs/>
                <w:sz w:val="20"/>
                <w:szCs w:val="20"/>
              </w:rPr>
              <w:footnoteReference w:id="23"/>
            </w:r>
            <w:r w:rsidRPr="00756410">
              <w:rPr>
                <w:sz w:val="20"/>
                <w:szCs w:val="20"/>
                <w:lang w:val="es-419"/>
              </w:rPr>
              <w:t xml:space="preserve"> de acuerdo con l</w:t>
            </w:r>
            <w:r w:rsidR="00A01A46">
              <w:rPr>
                <w:sz w:val="20"/>
                <w:szCs w:val="20"/>
                <w:lang w:val="es-419"/>
              </w:rPr>
              <w:t xml:space="preserve">a </w:t>
            </w:r>
            <w:r w:rsidR="004C4780">
              <w:rPr>
                <w:sz w:val="20"/>
                <w:szCs w:val="20"/>
                <w:lang w:val="es-419"/>
              </w:rPr>
              <w:t>política</w:t>
            </w:r>
            <w:r w:rsidR="00A01A46">
              <w:rPr>
                <w:sz w:val="20"/>
                <w:szCs w:val="20"/>
                <w:lang w:val="es-419"/>
              </w:rPr>
              <w:t xml:space="preserve"> de </w:t>
            </w:r>
            <w:hyperlink r:id="rId83" w:history="1">
              <w:r w:rsidR="004C4780">
                <w:rPr>
                  <w:rStyle w:val="Hyperlink"/>
                  <w:sz w:val="20"/>
                  <w:szCs w:val="20"/>
                  <w:lang w:val="es-419"/>
                </w:rPr>
                <w:t>”</w:t>
              </w:r>
              <w:r w:rsidR="004C4780" w:rsidRPr="00756410">
                <w:rPr>
                  <w:rStyle w:val="Hyperlink"/>
                  <w:i/>
                  <w:iCs/>
                  <w:sz w:val="20"/>
                  <w:szCs w:val="20"/>
                  <w:lang w:val="es-ES"/>
                </w:rPr>
                <w:t>Ó</w:t>
              </w:r>
              <w:r w:rsidR="00A01A46" w:rsidRPr="00756410">
                <w:rPr>
                  <w:rStyle w:val="Hyperlink"/>
                  <w:i/>
                  <w:iCs/>
                  <w:lang w:val="es-ES"/>
                </w:rPr>
                <w:t>rdenes de Compr</w:t>
              </w:r>
              <w:r w:rsidR="004C4780" w:rsidRPr="00756410">
                <w:rPr>
                  <w:rStyle w:val="Hyperlink"/>
                  <w:i/>
                  <w:iCs/>
                  <w:sz w:val="20"/>
                  <w:szCs w:val="20"/>
                  <w:lang w:val="es-419"/>
                </w:rPr>
                <w:t>a</w:t>
              </w:r>
              <w:r w:rsidR="004C4780">
                <w:rPr>
                  <w:rStyle w:val="Hyperlink"/>
                  <w:sz w:val="20"/>
                  <w:szCs w:val="20"/>
                  <w:lang w:val="es-419"/>
                </w:rPr>
                <w:t>”</w:t>
              </w:r>
            </w:hyperlink>
            <w:r w:rsidR="00A01A46">
              <w:rPr>
                <w:sz w:val="20"/>
                <w:szCs w:val="20"/>
                <w:lang w:val="es-419"/>
              </w:rPr>
              <w:t xml:space="preserve"> del POPP. </w:t>
            </w:r>
            <w:r w:rsidR="00A01A46" w:rsidRPr="004B22DA" w:rsidDel="00A01A46">
              <w:rPr>
                <w:sz w:val="20"/>
                <w:szCs w:val="20"/>
                <w:lang w:val="es-419"/>
              </w:rPr>
              <w:t xml:space="preserve"> </w:t>
            </w:r>
          </w:p>
        </w:tc>
      </w:tr>
      <w:tr w:rsidR="004241E3" w:rsidRPr="00773863" w14:paraId="186B95D0" w14:textId="77777777" w:rsidTr="008C4953">
        <w:tc>
          <w:tcPr>
            <w:tcW w:w="9625" w:type="dxa"/>
            <w:tcBorders>
              <w:top w:val="single" w:sz="4" w:space="0" w:color="auto"/>
              <w:left w:val="single" w:sz="4" w:space="0" w:color="auto"/>
              <w:bottom w:val="single" w:sz="4" w:space="0" w:color="auto"/>
              <w:right w:val="single" w:sz="4" w:space="0" w:color="auto"/>
            </w:tcBorders>
          </w:tcPr>
          <w:p w14:paraId="1B7952D6" w14:textId="2D47A6A8"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 xml:space="preserve">Realiza comprobaciones de sanciones a proveedores </w:t>
            </w:r>
            <w:r w:rsidRPr="00756410">
              <w:rPr>
                <w:sz w:val="20"/>
                <w:szCs w:val="20"/>
                <w:lang w:val="es-419"/>
              </w:rPr>
              <w:t xml:space="preserve">cada vez que se crea o actualiza un proveedor, y cada vez que se genera una orden de compra o factura </w:t>
            </w:r>
            <w:r w:rsidRPr="00756410">
              <w:rPr>
                <w:i/>
                <w:sz w:val="20"/>
                <w:szCs w:val="20"/>
                <w:lang w:val="es-419"/>
              </w:rPr>
              <w:t>(BMS/GSSC realiza una evaluación mensual de los proveedores existentes en Quantum frente a los proveedores sancionados de Lexis-Nexis/UNGM)</w:t>
            </w:r>
          </w:p>
        </w:tc>
      </w:tr>
      <w:tr w:rsidR="004241E3" w:rsidRPr="00773863" w14:paraId="73F97D99" w14:textId="77777777" w:rsidTr="008C4953">
        <w:tc>
          <w:tcPr>
            <w:tcW w:w="9625" w:type="dxa"/>
            <w:tcBorders>
              <w:top w:val="single" w:sz="4" w:space="0" w:color="auto"/>
              <w:left w:val="single" w:sz="4" w:space="0" w:color="auto"/>
              <w:bottom w:val="single" w:sz="4" w:space="0" w:color="auto"/>
              <w:right w:val="single" w:sz="4" w:space="0" w:color="auto"/>
            </w:tcBorders>
          </w:tcPr>
          <w:p w14:paraId="4D37E282" w14:textId="78265B4E"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Realiza un seguimiento del envío de mercancías:</w:t>
            </w:r>
            <w:r w:rsidRPr="00756410">
              <w:rPr>
                <w:sz w:val="20"/>
                <w:szCs w:val="20"/>
                <w:lang w:val="es-419"/>
              </w:rPr>
              <w:t xml:space="preserve"> Revisa la documentación de respaldo recibida del proveedor y el remitente para verificar que el proveedor haya pasado las mercancías al remitente. Realiza un seguimiento tanto con el proveedor como con el transportista del envío si es necesario y notifica al solicitante y/o al gerente de proyecto sobre el envío, para que el solicitante sepa cuándo esperar la recepción física de la mercancía.</w:t>
            </w:r>
          </w:p>
        </w:tc>
      </w:tr>
      <w:tr w:rsidR="004241E3" w:rsidRPr="00773863" w14:paraId="7A0D93E1" w14:textId="77777777" w:rsidTr="008C4953">
        <w:tc>
          <w:tcPr>
            <w:tcW w:w="9625" w:type="dxa"/>
            <w:tcBorders>
              <w:top w:val="single" w:sz="4" w:space="0" w:color="auto"/>
              <w:left w:val="single" w:sz="4" w:space="0" w:color="auto"/>
              <w:bottom w:val="single" w:sz="4" w:space="0" w:color="auto"/>
              <w:right w:val="single" w:sz="4" w:space="0" w:color="auto"/>
            </w:tcBorders>
          </w:tcPr>
          <w:p w14:paraId="2EFB4EDF" w14:textId="13494079" w:rsidR="004241E3" w:rsidRPr="00756410" w:rsidRDefault="004241E3" w:rsidP="00756410">
            <w:pPr>
              <w:pStyle w:val="ListParagraph"/>
              <w:numPr>
                <w:ilvl w:val="0"/>
                <w:numId w:val="75"/>
              </w:numPr>
              <w:jc w:val="both"/>
              <w:rPr>
                <w:b/>
                <w:sz w:val="20"/>
                <w:szCs w:val="20"/>
                <w:lang w:val="es-419"/>
              </w:rPr>
            </w:pPr>
            <w:r w:rsidRPr="00756410">
              <w:rPr>
                <w:b/>
                <w:sz w:val="20"/>
                <w:szCs w:val="20"/>
                <w:lang w:val="es-419"/>
              </w:rPr>
              <w:t>Puede crear facturas, pero no aprobarlas:</w:t>
            </w:r>
            <w:r w:rsidRPr="00756410">
              <w:rPr>
                <w:sz w:val="20"/>
                <w:szCs w:val="20"/>
                <w:lang w:val="es-419"/>
              </w:rPr>
              <w:t xml:space="preserve"> para adaptarse a los CO más pequeñ</w:t>
            </w:r>
            <w:r w:rsidR="005469EC">
              <w:rPr>
                <w:sz w:val="20"/>
                <w:szCs w:val="20"/>
                <w:lang w:val="es-419"/>
              </w:rPr>
              <w:t>a</w:t>
            </w:r>
            <w:r w:rsidRPr="00756410">
              <w:rPr>
                <w:sz w:val="20"/>
                <w:szCs w:val="20"/>
                <w:lang w:val="es-419"/>
              </w:rPr>
              <w:t>s o par</w:t>
            </w:r>
            <w:r w:rsidR="00B46764">
              <w:rPr>
                <w:sz w:val="20"/>
                <w:szCs w:val="20"/>
                <w:lang w:val="es-419"/>
              </w:rPr>
              <w:t>a</w:t>
            </w:r>
            <w:r w:rsidRPr="00756410">
              <w:rPr>
                <w:sz w:val="20"/>
                <w:szCs w:val="20"/>
                <w:lang w:val="es-419"/>
              </w:rPr>
              <w:t xml:space="preserve"> entornos de gran volumen, los compradores de adquisiciones tienen la capacidad de crear una factura, pero no podrán aprobarla</w:t>
            </w:r>
            <w:r w:rsidRPr="009A7C29">
              <w:rPr>
                <w:rStyle w:val="FootnoteReference"/>
                <w:sz w:val="20"/>
                <w:szCs w:val="20"/>
              </w:rPr>
              <w:footnoteReference w:id="24"/>
            </w:r>
            <w:r w:rsidRPr="00756410">
              <w:rPr>
                <w:sz w:val="20"/>
                <w:szCs w:val="20"/>
                <w:lang w:val="es-419"/>
              </w:rPr>
              <w:t>.</w:t>
            </w:r>
          </w:p>
        </w:tc>
      </w:tr>
      <w:tr w:rsidR="00383DCC" w:rsidRPr="00773863" w14:paraId="1D3D84EC" w14:textId="77777777" w:rsidTr="008C4953">
        <w:tc>
          <w:tcPr>
            <w:tcW w:w="96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D26370" w14:textId="04165974" w:rsidR="00383DCC" w:rsidRPr="00756410" w:rsidRDefault="00383DCC" w:rsidP="00756410">
            <w:pPr>
              <w:jc w:val="both"/>
              <w:rPr>
                <w:b/>
                <w:color w:val="ED7D31" w:themeColor="accent2"/>
                <w:sz w:val="20"/>
                <w:szCs w:val="20"/>
                <w:lang w:val="es-419"/>
              </w:rPr>
            </w:pPr>
            <w:r w:rsidRPr="00756410">
              <w:rPr>
                <w:b/>
                <w:bCs/>
                <w:sz w:val="20"/>
                <w:szCs w:val="20"/>
                <w:lang w:val="es-419"/>
              </w:rPr>
              <w:lastRenderedPageBreak/>
              <w:t>Perfil de</w:t>
            </w:r>
            <w:r w:rsidR="005A2616">
              <w:rPr>
                <w:b/>
                <w:bCs/>
                <w:sz w:val="20"/>
                <w:szCs w:val="20"/>
                <w:lang w:val="es-419"/>
              </w:rPr>
              <w:t xml:space="preserve"> usuario</w:t>
            </w:r>
            <w:r w:rsidRPr="00756410">
              <w:rPr>
                <w:b/>
                <w:bCs/>
                <w:sz w:val="20"/>
                <w:szCs w:val="20"/>
                <w:lang w:val="es-419"/>
              </w:rPr>
              <w:t xml:space="preserve"> de IDAM: Comprador de adquisiciones </w:t>
            </w:r>
            <w:r w:rsidR="005A2616" w:rsidRPr="00756410">
              <w:rPr>
                <w:b/>
                <w:bCs/>
                <w:sz w:val="20"/>
                <w:szCs w:val="20"/>
                <w:lang w:val="es-ES"/>
              </w:rPr>
              <w:t>[</w:t>
            </w:r>
            <w:r w:rsidR="00B7508A" w:rsidRPr="00756410">
              <w:rPr>
                <w:b/>
                <w:bCs/>
                <w:i/>
                <w:iCs/>
                <w:sz w:val="20"/>
                <w:szCs w:val="20"/>
                <w:lang w:val="es-ES"/>
              </w:rPr>
              <w:t>Procurement Buyer</w:t>
            </w:r>
            <w:r w:rsidR="00B7508A">
              <w:rPr>
                <w:b/>
                <w:bCs/>
                <w:sz w:val="20"/>
                <w:szCs w:val="20"/>
                <w:lang w:val="es-ES"/>
              </w:rPr>
              <w:t xml:space="preserve">] </w:t>
            </w:r>
            <w:r w:rsidRPr="00756410">
              <w:rPr>
                <w:b/>
                <w:bCs/>
                <w:sz w:val="20"/>
                <w:szCs w:val="20"/>
                <w:lang w:val="es-419"/>
              </w:rPr>
              <w:t>(puede asignarse a personas que no s</w:t>
            </w:r>
            <w:r w:rsidR="00B7508A">
              <w:rPr>
                <w:b/>
                <w:bCs/>
                <w:sz w:val="20"/>
                <w:szCs w:val="20"/>
                <w:lang w:val="es-419"/>
              </w:rPr>
              <w:t xml:space="preserve">ean </w:t>
            </w:r>
            <w:r w:rsidR="00015F6A">
              <w:rPr>
                <w:b/>
                <w:bCs/>
                <w:sz w:val="20"/>
                <w:szCs w:val="20"/>
                <w:lang w:val="es-419"/>
              </w:rPr>
              <w:t xml:space="preserve">personal </w:t>
            </w:r>
            <w:r w:rsidR="00B7508A">
              <w:rPr>
                <w:b/>
                <w:bCs/>
                <w:sz w:val="20"/>
                <w:szCs w:val="20"/>
                <w:lang w:val="es-419"/>
              </w:rPr>
              <w:t>funcionario)</w:t>
            </w:r>
          </w:p>
        </w:tc>
      </w:tr>
      <w:tr w:rsidR="00383DCC" w:rsidRPr="00773863" w14:paraId="5B9D8B7A" w14:textId="77777777" w:rsidTr="008C4953">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002EF" w14:textId="68726ECF" w:rsidR="00383DCC" w:rsidRPr="00756410" w:rsidRDefault="00383DCC" w:rsidP="00756410">
            <w:pPr>
              <w:jc w:val="both"/>
              <w:rPr>
                <w:b/>
                <w:color w:val="ED7D31" w:themeColor="accent2"/>
                <w:sz w:val="20"/>
                <w:szCs w:val="20"/>
                <w:lang w:val="es-419"/>
              </w:rPr>
            </w:pPr>
            <w:r w:rsidRPr="00756410">
              <w:rPr>
                <w:b/>
                <w:bCs/>
                <w:sz w:val="20"/>
                <w:szCs w:val="20"/>
                <w:lang w:val="es-419"/>
              </w:rPr>
              <w:t xml:space="preserve">Segregación de funciones requerida: </w:t>
            </w:r>
            <w:r w:rsidRPr="00756410">
              <w:rPr>
                <w:sz w:val="20"/>
                <w:szCs w:val="20"/>
                <w:lang w:val="es-419"/>
              </w:rPr>
              <w:t xml:space="preserve">Los compradores no deben: (i) aprobar a los proveedores (teniendo en cuenta las medidas de excepción provisionales descritas en la sección 2.1); (ii) recibir bienes, servicios u obras; o (iii) aprobar facturas para </w:t>
            </w:r>
            <w:r w:rsidR="00EA0739">
              <w:rPr>
                <w:sz w:val="20"/>
                <w:szCs w:val="20"/>
                <w:lang w:val="es-419"/>
              </w:rPr>
              <w:t>su</w:t>
            </w:r>
            <w:r w:rsidR="00EA0739" w:rsidRPr="00756410">
              <w:rPr>
                <w:sz w:val="20"/>
                <w:szCs w:val="20"/>
                <w:lang w:val="es-419"/>
              </w:rPr>
              <w:t xml:space="preserve"> </w:t>
            </w:r>
            <w:r w:rsidRPr="00756410">
              <w:rPr>
                <w:sz w:val="20"/>
                <w:szCs w:val="20"/>
                <w:lang w:val="es-419"/>
              </w:rPr>
              <w:t>pago.</w:t>
            </w:r>
          </w:p>
        </w:tc>
      </w:tr>
    </w:tbl>
    <w:p w14:paraId="5FD230F8" w14:textId="77777777" w:rsidR="00AB203D" w:rsidRPr="00756410" w:rsidRDefault="00AB203D" w:rsidP="005A77AA">
      <w:pPr>
        <w:spacing w:line="240" w:lineRule="auto"/>
        <w:rPr>
          <w:sz w:val="8"/>
          <w:szCs w:val="8"/>
          <w:lang w:val="es-419"/>
        </w:rPr>
      </w:pPr>
    </w:p>
    <w:p w14:paraId="67F67347" w14:textId="77777777" w:rsidR="00BB0E69" w:rsidRPr="00756410" w:rsidRDefault="00BB0E69" w:rsidP="005A77AA">
      <w:pPr>
        <w:spacing w:line="240" w:lineRule="auto"/>
        <w:rPr>
          <w:sz w:val="8"/>
          <w:szCs w:val="8"/>
          <w:lang w:val="es-419"/>
        </w:rPr>
      </w:pPr>
    </w:p>
    <w:p w14:paraId="620DA261" w14:textId="0911F9D5" w:rsidR="00432D9F" w:rsidRPr="00756410" w:rsidRDefault="00432D9F">
      <w:pPr>
        <w:pStyle w:val="Heading2"/>
        <w:numPr>
          <w:ilvl w:val="1"/>
          <w:numId w:val="93"/>
        </w:numPr>
        <w:spacing w:after="240"/>
        <w:rPr>
          <w:lang w:val="es-419"/>
        </w:rPr>
      </w:pPr>
      <w:bookmarkStart w:id="44" w:name="_Toc210052762"/>
      <w:r w:rsidRPr="00756410">
        <w:rPr>
          <w:lang w:val="es-419"/>
        </w:rPr>
        <w:t xml:space="preserve">Mantenimiento de </w:t>
      </w:r>
      <w:r w:rsidR="00C104E7">
        <w:rPr>
          <w:lang w:val="es-419"/>
        </w:rPr>
        <w:t>P</w:t>
      </w:r>
      <w:r w:rsidRPr="00756410">
        <w:rPr>
          <w:lang w:val="es-419"/>
        </w:rPr>
        <w:t>roveedores (aprobador de nivel 1)</w:t>
      </w:r>
      <w:bookmarkEnd w:id="44"/>
    </w:p>
    <w:p w14:paraId="076E03AF" w14:textId="022E1B2E" w:rsidR="00432D9F" w:rsidRPr="00756410" w:rsidRDefault="00484C24" w:rsidP="00756410">
      <w:pPr>
        <w:spacing w:line="240" w:lineRule="auto"/>
        <w:jc w:val="both"/>
        <w:rPr>
          <w:lang w:val="es-419"/>
        </w:rPr>
      </w:pPr>
      <w:r w:rsidRPr="00756410">
        <w:rPr>
          <w:lang w:val="es-419"/>
        </w:rPr>
        <w:t xml:space="preserve">La función complementaria de mantenimiento de proveedores se asigna a </w:t>
      </w:r>
      <w:r w:rsidR="00015F6A">
        <w:rPr>
          <w:lang w:val="es-419"/>
        </w:rPr>
        <w:t xml:space="preserve">personal </w:t>
      </w:r>
      <w:r w:rsidRPr="00756410">
        <w:rPr>
          <w:lang w:val="es-419"/>
        </w:rPr>
        <w:t>funcionario del PNUD para realizar la aprobación de nivel 1 de las solicitudes para agregar nuevos proveedores o actualizar la información de los proveedores existentes. El rol de mantenimiento de proveedores tiene acceso y control sobre los datos bancarios de los proveedores</w:t>
      </w:r>
      <w:r w:rsidR="00637E61" w:rsidRPr="363CA695">
        <w:rPr>
          <w:rStyle w:val="FootnoteReference"/>
        </w:rPr>
        <w:footnoteReference w:id="25"/>
      </w:r>
      <w:r w:rsidR="009D2438" w:rsidRPr="00756410">
        <w:rPr>
          <w:lang w:val="es-419"/>
        </w:rPr>
        <w:t>. Por lo tanto, es un rol muy delicado que debe ser ejecutado por un miembro del personal con diligencia y cuidado, de lo contrario puede resultar en errores de pago y/o posibles pérdidas financieras para la organización (es decir, fraude). No es necesario que esta función sea desempeñada por los RRD/OM; sin embargo, el RR/Jefe de Oficina/Unidad debe considerar estos riesgos al decidir a quién asignar esta función y documentar su justificación.</w:t>
      </w:r>
    </w:p>
    <w:tbl>
      <w:tblPr>
        <w:tblStyle w:val="TableGrid"/>
        <w:tblW w:w="0" w:type="auto"/>
        <w:tblCellMar>
          <w:bottom w:w="43" w:type="dxa"/>
        </w:tblCellMar>
        <w:tblLook w:val="04A0" w:firstRow="1" w:lastRow="0" w:firstColumn="1" w:lastColumn="0" w:noHBand="0" w:noVBand="1"/>
      </w:tblPr>
      <w:tblGrid>
        <w:gridCol w:w="9926"/>
      </w:tblGrid>
      <w:tr w:rsidR="005B3EF5" w:rsidRPr="00773863" w14:paraId="4EF1793F" w14:textId="77777777" w:rsidTr="008C4953">
        <w:trPr>
          <w:tblHeader/>
        </w:trPr>
        <w:tc>
          <w:tcPr>
            <w:tcW w:w="99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13CECD" w14:textId="0C9426DC" w:rsidR="005B3EF5" w:rsidRPr="00756410" w:rsidRDefault="005B3EF5" w:rsidP="00C737F2">
            <w:pPr>
              <w:rPr>
                <w:lang w:val="es-419"/>
              </w:rPr>
            </w:pPr>
            <w:r w:rsidRPr="00756410">
              <w:rPr>
                <w:b/>
                <w:bCs/>
                <w:sz w:val="20"/>
                <w:szCs w:val="20"/>
                <w:lang w:val="es-419"/>
              </w:rPr>
              <w:t xml:space="preserve">Mantenimiento de proveedores (Nivel 1): Responsabilidades clave </w:t>
            </w:r>
            <w:r w:rsidR="00C107CF">
              <w:rPr>
                <w:b/>
                <w:bCs/>
                <w:sz w:val="20"/>
                <w:szCs w:val="20"/>
                <w:lang w:val="es-419"/>
              </w:rPr>
              <w:t>r</w:t>
            </w:r>
            <w:r w:rsidRPr="00756410">
              <w:rPr>
                <w:b/>
                <w:bCs/>
                <w:sz w:val="20"/>
                <w:szCs w:val="20"/>
                <w:lang w:val="es-419"/>
              </w:rPr>
              <w:t>ealizad</w:t>
            </w:r>
            <w:r w:rsidR="00C107CF">
              <w:rPr>
                <w:b/>
                <w:bCs/>
                <w:sz w:val="20"/>
                <w:szCs w:val="20"/>
                <w:lang w:val="es-419"/>
              </w:rPr>
              <w:t>as</w:t>
            </w:r>
            <w:r w:rsidRPr="00756410">
              <w:rPr>
                <w:b/>
                <w:bCs/>
                <w:sz w:val="20"/>
                <w:szCs w:val="20"/>
                <w:lang w:val="es-419"/>
              </w:rPr>
              <w:t xml:space="preserve"> dentro de cada oficina</w:t>
            </w:r>
            <w:r w:rsidR="0000736A">
              <w:rPr>
                <w:b/>
                <w:bCs/>
                <w:sz w:val="20"/>
                <w:szCs w:val="20"/>
                <w:lang w:val="es-419"/>
              </w:rPr>
              <w:t xml:space="preserve"> o </w:t>
            </w:r>
            <w:r w:rsidRPr="00756410">
              <w:rPr>
                <w:b/>
                <w:bCs/>
                <w:sz w:val="20"/>
                <w:szCs w:val="20"/>
                <w:lang w:val="es-419"/>
              </w:rPr>
              <w:t>unidad</w:t>
            </w:r>
          </w:p>
        </w:tc>
      </w:tr>
      <w:tr w:rsidR="005B3EF5" w:rsidRPr="00773863" w14:paraId="493EDED9" w14:textId="77777777" w:rsidTr="008C4953">
        <w:tc>
          <w:tcPr>
            <w:tcW w:w="9926" w:type="dxa"/>
            <w:tcBorders>
              <w:top w:val="single" w:sz="4" w:space="0" w:color="auto"/>
              <w:left w:val="single" w:sz="4" w:space="0" w:color="auto"/>
              <w:bottom w:val="single" w:sz="4" w:space="0" w:color="auto"/>
              <w:right w:val="single" w:sz="4" w:space="0" w:color="auto"/>
            </w:tcBorders>
          </w:tcPr>
          <w:p w14:paraId="20C53995" w14:textId="2AA390C7" w:rsidR="005B3EF5" w:rsidRPr="00756410" w:rsidRDefault="005B3EF5" w:rsidP="00756410">
            <w:pPr>
              <w:pStyle w:val="ListParagraph"/>
              <w:numPr>
                <w:ilvl w:val="0"/>
                <w:numId w:val="103"/>
              </w:numPr>
              <w:jc w:val="both"/>
              <w:rPr>
                <w:sz w:val="20"/>
                <w:szCs w:val="20"/>
                <w:lang w:val="es-419"/>
              </w:rPr>
            </w:pPr>
            <w:r w:rsidRPr="00756410">
              <w:rPr>
                <w:b/>
                <w:bCs/>
                <w:sz w:val="20"/>
                <w:szCs w:val="20"/>
                <w:lang w:val="es-419"/>
              </w:rPr>
              <w:t>Confirma la legitimidad y la integridad de la solicitud de adición/edición del proveedor:</w:t>
            </w:r>
            <w:r w:rsidRPr="00756410">
              <w:rPr>
                <w:sz w:val="20"/>
                <w:szCs w:val="20"/>
                <w:lang w:val="es-419"/>
              </w:rPr>
              <w:t xml:space="preserve"> Con base en su conocimiento del contexto y el negocio de la oficina / unidad del país, valida la legitimidad de la solicitud de adición/edición del proveedor y revisa toda la información y los documentos de respaldo para verificar que estén completos antes de ejecutar la aprobación de Nivel 1 en Quantum. Políticas y orientación relevantes: </w:t>
            </w:r>
            <w:hyperlink r:id="rId84">
              <w:r w:rsidR="00F8188B">
                <w:rPr>
                  <w:rStyle w:val="Hyperlink"/>
                  <w:sz w:val="20"/>
                  <w:szCs w:val="20"/>
                  <w:lang w:val="es-419"/>
                </w:rPr>
                <w:t>”</w:t>
              </w:r>
              <w:r w:rsidR="00F8188B" w:rsidRPr="00756410">
                <w:rPr>
                  <w:rStyle w:val="Hyperlink"/>
                  <w:i/>
                  <w:iCs/>
                  <w:sz w:val="20"/>
                  <w:szCs w:val="20"/>
                  <w:lang w:val="es-419"/>
                </w:rPr>
                <w:t>G</w:t>
              </w:r>
              <w:r w:rsidRPr="00756410">
                <w:rPr>
                  <w:rStyle w:val="Hyperlink"/>
                  <w:i/>
                  <w:iCs/>
                  <w:sz w:val="20"/>
                  <w:szCs w:val="20"/>
                  <w:lang w:val="es-419"/>
                </w:rPr>
                <w:t>estión de proveedores</w:t>
              </w:r>
              <w:r w:rsidR="00F8188B">
                <w:rPr>
                  <w:rStyle w:val="Hyperlink"/>
                  <w:sz w:val="20"/>
                  <w:szCs w:val="20"/>
                  <w:lang w:val="es-419"/>
                </w:rPr>
                <w:t>”</w:t>
              </w:r>
              <w:r w:rsidRPr="00756410">
                <w:rPr>
                  <w:rStyle w:val="Hyperlink"/>
                  <w:sz w:val="20"/>
                  <w:szCs w:val="20"/>
                  <w:lang w:val="es-419"/>
                </w:rPr>
                <w:t xml:space="preserve"> de</w:t>
              </w:r>
              <w:r w:rsidR="00F8188B">
                <w:rPr>
                  <w:rStyle w:val="Hyperlink"/>
                  <w:sz w:val="20"/>
                  <w:szCs w:val="20"/>
                  <w:lang w:val="es-419"/>
                </w:rPr>
                <w:t>l</w:t>
              </w:r>
              <w:r w:rsidRPr="00756410">
                <w:rPr>
                  <w:rStyle w:val="Hyperlink"/>
                  <w:sz w:val="20"/>
                  <w:szCs w:val="20"/>
                  <w:lang w:val="es-419"/>
                </w:rPr>
                <w:t xml:space="preserve"> POPP</w:t>
              </w:r>
            </w:hyperlink>
            <w:r w:rsidRPr="00756410">
              <w:rPr>
                <w:sz w:val="20"/>
                <w:szCs w:val="20"/>
                <w:lang w:val="es-419"/>
              </w:rPr>
              <w:t xml:space="preserve">; y Guías de conocimiento de UNall: </w:t>
            </w:r>
            <w:hyperlink r:id="rId85">
              <w:r w:rsidRPr="00756410">
                <w:rPr>
                  <w:rStyle w:val="Hyperlink"/>
                  <w:sz w:val="20"/>
                  <w:szCs w:val="20"/>
                  <w:lang w:val="es-419"/>
                </w:rPr>
                <w:t>Proveedores en Quantum</w:t>
              </w:r>
            </w:hyperlink>
            <w:r w:rsidRPr="00756410">
              <w:rPr>
                <w:rStyle w:val="Hyperlink"/>
                <w:sz w:val="20"/>
                <w:szCs w:val="20"/>
                <w:lang w:val="es-419"/>
              </w:rPr>
              <w:t xml:space="preserve">; </w:t>
            </w:r>
            <w:hyperlink r:id="rId86">
              <w:r w:rsidRPr="00756410">
                <w:rPr>
                  <w:rStyle w:val="Hyperlink"/>
                  <w:sz w:val="20"/>
                  <w:szCs w:val="20"/>
                  <w:lang w:val="es-419"/>
                </w:rPr>
                <w:t>Sitio de SharePoint de gestión de proveedores de BMS/GSSC</w:t>
              </w:r>
            </w:hyperlink>
            <w:r w:rsidRPr="00756410">
              <w:rPr>
                <w:rStyle w:val="Hyperlink"/>
                <w:color w:val="auto"/>
                <w:sz w:val="20"/>
                <w:szCs w:val="20"/>
                <w:u w:val="none"/>
                <w:lang w:val="es-419"/>
              </w:rPr>
              <w:t xml:space="preserve">; y </w:t>
            </w:r>
            <w:hyperlink r:id="rId87">
              <w:r w:rsidRPr="00756410">
                <w:rPr>
                  <w:rStyle w:val="Hyperlink"/>
                  <w:sz w:val="20"/>
                  <w:szCs w:val="20"/>
                  <w:lang w:val="es-419"/>
                </w:rPr>
                <w:t>Guía de gestión de proveedores de BMS/GSSC: paso a paso</w:t>
              </w:r>
            </w:hyperlink>
            <w:r w:rsidRPr="00756410">
              <w:rPr>
                <w:sz w:val="20"/>
                <w:szCs w:val="20"/>
                <w:lang w:val="es-419"/>
              </w:rPr>
              <w:t>.</w:t>
            </w:r>
          </w:p>
        </w:tc>
      </w:tr>
      <w:tr w:rsidR="005B3EF5" w:rsidRPr="00773863" w14:paraId="43AD199B" w14:textId="77777777" w:rsidTr="008C4953">
        <w:tc>
          <w:tcPr>
            <w:tcW w:w="99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F7FCE2" w14:textId="3E4A09DB" w:rsidR="005B3EF5" w:rsidRPr="00756410" w:rsidRDefault="00133FCD" w:rsidP="00756410">
            <w:pPr>
              <w:jc w:val="both"/>
              <w:rPr>
                <w:lang w:val="es-419"/>
              </w:rPr>
            </w:pPr>
            <w:r>
              <w:rPr>
                <w:b/>
                <w:bCs/>
                <w:sz w:val="20"/>
                <w:szCs w:val="20"/>
                <w:lang w:val="es-419"/>
              </w:rPr>
              <w:t>Rol</w:t>
            </w:r>
            <w:r w:rsidRPr="00756410">
              <w:rPr>
                <w:b/>
                <w:bCs/>
                <w:sz w:val="20"/>
                <w:szCs w:val="20"/>
                <w:lang w:val="es-419"/>
              </w:rPr>
              <w:t xml:space="preserve"> </w:t>
            </w:r>
            <w:r w:rsidR="005B3EF5" w:rsidRPr="00756410">
              <w:rPr>
                <w:b/>
                <w:bCs/>
                <w:sz w:val="20"/>
                <w:szCs w:val="20"/>
                <w:lang w:val="es-419"/>
              </w:rPr>
              <w:t>complementari</w:t>
            </w:r>
            <w:r>
              <w:rPr>
                <w:b/>
                <w:bCs/>
                <w:sz w:val="20"/>
                <w:szCs w:val="20"/>
                <w:lang w:val="es-419"/>
              </w:rPr>
              <w:t>o</w:t>
            </w:r>
            <w:r w:rsidR="005B3EF5" w:rsidRPr="00756410">
              <w:rPr>
                <w:b/>
                <w:bCs/>
                <w:sz w:val="20"/>
                <w:szCs w:val="20"/>
                <w:lang w:val="es-419"/>
              </w:rPr>
              <w:t xml:space="preserve"> de IDAM - Mantenimiento de proveedores</w:t>
            </w:r>
            <w:r w:rsidR="000030BA">
              <w:rPr>
                <w:b/>
                <w:bCs/>
                <w:sz w:val="20"/>
                <w:szCs w:val="20"/>
                <w:lang w:val="es-419"/>
              </w:rPr>
              <w:t xml:space="preserve"> [</w:t>
            </w:r>
            <w:r w:rsidR="000030BA" w:rsidRPr="00756410">
              <w:rPr>
                <w:b/>
                <w:bCs/>
                <w:i/>
                <w:iCs/>
                <w:sz w:val="20"/>
                <w:szCs w:val="20"/>
                <w:lang w:val="es-419"/>
              </w:rPr>
              <w:t>Supplier Maintenance</w:t>
            </w:r>
            <w:r w:rsidR="000030BA">
              <w:rPr>
                <w:b/>
                <w:bCs/>
                <w:sz w:val="20"/>
                <w:szCs w:val="20"/>
                <w:lang w:val="es-419"/>
              </w:rPr>
              <w:t>]</w:t>
            </w:r>
            <w:r w:rsidR="005B3EF5" w:rsidRPr="00756410">
              <w:rPr>
                <w:b/>
                <w:bCs/>
                <w:sz w:val="20"/>
                <w:szCs w:val="20"/>
                <w:lang w:val="es-419"/>
              </w:rPr>
              <w:t xml:space="preserve"> (debe ser un </w:t>
            </w:r>
            <w:r w:rsidR="001D2326">
              <w:rPr>
                <w:b/>
                <w:bCs/>
                <w:sz w:val="20"/>
                <w:szCs w:val="20"/>
                <w:lang w:val="es-419"/>
              </w:rPr>
              <w:t>personal funcionario</w:t>
            </w:r>
            <w:r w:rsidR="005B3EF5" w:rsidRPr="00756410">
              <w:rPr>
                <w:b/>
                <w:bCs/>
                <w:sz w:val="20"/>
                <w:szCs w:val="20"/>
                <w:lang w:val="es-419"/>
              </w:rPr>
              <w:t xml:space="preserve"> del PNUD)</w:t>
            </w:r>
          </w:p>
        </w:tc>
      </w:tr>
      <w:tr w:rsidR="005B3EF5" w:rsidRPr="00773863" w14:paraId="686F1DDF" w14:textId="77777777" w:rsidTr="008C4953">
        <w:tc>
          <w:tcPr>
            <w:tcW w:w="9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C2F4A" w14:textId="09CFCB3F" w:rsidR="005B3EF5" w:rsidRPr="00756410" w:rsidRDefault="005B3EF5" w:rsidP="00756410">
            <w:pPr>
              <w:jc w:val="both"/>
              <w:rPr>
                <w:sz w:val="20"/>
                <w:szCs w:val="20"/>
                <w:lang w:val="es-419"/>
              </w:rPr>
            </w:pPr>
            <w:r w:rsidRPr="00756410">
              <w:rPr>
                <w:b/>
                <w:bCs/>
                <w:sz w:val="20"/>
                <w:szCs w:val="20"/>
                <w:lang w:val="es-419"/>
              </w:rPr>
              <w:t>Segregación de funciones requerida:</w:t>
            </w:r>
            <w:r w:rsidRPr="00756410">
              <w:rPr>
                <w:sz w:val="20"/>
                <w:szCs w:val="20"/>
                <w:lang w:val="es-419"/>
              </w:rPr>
              <w:t xml:space="preserve">  el personal que ocupa un rol de mantenimiento de proveedores no debe crear órdenes de compra o facturas, ni preparar la conciliación bancaria. Cuando solo se designa un </w:t>
            </w:r>
            <w:r w:rsidR="00C342B8">
              <w:rPr>
                <w:sz w:val="20"/>
                <w:szCs w:val="20"/>
                <w:lang w:val="es-419"/>
              </w:rPr>
              <w:t>signatario</w:t>
            </w:r>
            <w:r w:rsidR="00677DE6">
              <w:rPr>
                <w:sz w:val="20"/>
                <w:szCs w:val="20"/>
                <w:lang w:val="es-419"/>
              </w:rPr>
              <w:t xml:space="preserve"> </w:t>
            </w:r>
            <w:r w:rsidRPr="00756410">
              <w:rPr>
                <w:sz w:val="20"/>
                <w:szCs w:val="20"/>
                <w:lang w:val="es-419"/>
              </w:rPr>
              <w:t xml:space="preserve">de cuenta bancaria para una cuenta bancaria, el </w:t>
            </w:r>
            <w:r w:rsidR="008D7291">
              <w:rPr>
                <w:sz w:val="20"/>
                <w:szCs w:val="20"/>
                <w:lang w:val="es-419"/>
              </w:rPr>
              <w:t>signatario</w:t>
            </w:r>
            <w:r w:rsidR="002B6AFE">
              <w:rPr>
                <w:sz w:val="20"/>
                <w:szCs w:val="20"/>
                <w:lang w:val="es-419"/>
              </w:rPr>
              <w:t xml:space="preserve"> </w:t>
            </w:r>
            <w:r w:rsidRPr="00756410">
              <w:rPr>
                <w:sz w:val="20"/>
                <w:szCs w:val="20"/>
                <w:lang w:val="es-419"/>
              </w:rPr>
              <w:t>no puede tener un rol de mantenimiento de proveedores.</w:t>
            </w:r>
          </w:p>
        </w:tc>
      </w:tr>
      <w:tr w:rsidR="005B3EF5" w:rsidRPr="00773863" w14:paraId="04C369F9" w14:textId="77777777" w:rsidTr="008C4953">
        <w:tc>
          <w:tcPr>
            <w:tcW w:w="9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9D4BF" w14:textId="4FEA5CC8" w:rsidR="005B3EF5" w:rsidRPr="00756410" w:rsidRDefault="005B3EF5" w:rsidP="00756410">
            <w:pPr>
              <w:jc w:val="both"/>
              <w:rPr>
                <w:lang w:val="es-419"/>
              </w:rPr>
            </w:pPr>
            <w:r w:rsidRPr="00756410">
              <w:rPr>
                <w:b/>
                <w:bCs/>
                <w:sz w:val="20"/>
                <w:szCs w:val="20"/>
                <w:lang w:val="es-419"/>
              </w:rPr>
              <w:t xml:space="preserve">Límites en el número de roles de mantenimiento de proveedores que se pueden asignar en oficinas/unidades: </w:t>
            </w:r>
            <w:r w:rsidRPr="00756410">
              <w:rPr>
                <w:sz w:val="20"/>
                <w:szCs w:val="20"/>
                <w:lang w:val="es-419"/>
              </w:rPr>
              <w:t xml:space="preserve"> los CO con una entrega anual del año anterior </w:t>
            </w:r>
            <w:r w:rsidRPr="00756410">
              <w:rPr>
                <w:sz w:val="20"/>
                <w:szCs w:val="20"/>
                <w:u w:val="single"/>
                <w:lang w:val="es-419"/>
              </w:rPr>
              <w:t xml:space="preserve">inferior a </w:t>
            </w:r>
            <w:r w:rsidR="004409C6">
              <w:rPr>
                <w:sz w:val="20"/>
                <w:szCs w:val="20"/>
                <w:u w:val="single"/>
                <w:lang w:val="es-419"/>
              </w:rPr>
              <w:t>US</w:t>
            </w:r>
            <w:r w:rsidRPr="00756410">
              <w:rPr>
                <w:sz w:val="20"/>
                <w:szCs w:val="20"/>
                <w:u w:val="single"/>
                <w:lang w:val="es-419"/>
              </w:rPr>
              <w:t>$50 millones</w:t>
            </w:r>
            <w:r w:rsidRPr="00756410">
              <w:rPr>
                <w:sz w:val="20"/>
                <w:szCs w:val="20"/>
                <w:lang w:val="es-419"/>
              </w:rPr>
              <w:t xml:space="preserve"> pueden asignar hasta </w:t>
            </w:r>
            <w:r w:rsidRPr="00756410">
              <w:rPr>
                <w:sz w:val="20"/>
                <w:szCs w:val="20"/>
                <w:u w:val="single"/>
                <w:lang w:val="es-419"/>
              </w:rPr>
              <w:t>dos</w:t>
            </w:r>
            <w:r w:rsidRPr="00756410">
              <w:rPr>
                <w:sz w:val="20"/>
                <w:szCs w:val="20"/>
                <w:lang w:val="es-419"/>
              </w:rPr>
              <w:t xml:space="preserve"> roles de mantenimiento de proveedores, mientras que los CO con una entrega anual del año anterior </w:t>
            </w:r>
            <w:r w:rsidRPr="00756410">
              <w:rPr>
                <w:sz w:val="20"/>
                <w:szCs w:val="20"/>
                <w:u w:val="single"/>
                <w:lang w:val="es-419"/>
              </w:rPr>
              <w:t xml:space="preserve">superior a </w:t>
            </w:r>
            <w:r w:rsidR="004409C6">
              <w:rPr>
                <w:sz w:val="20"/>
                <w:szCs w:val="20"/>
                <w:u w:val="single"/>
                <w:lang w:val="es-419"/>
              </w:rPr>
              <w:t>US</w:t>
            </w:r>
            <w:r w:rsidRPr="00756410">
              <w:rPr>
                <w:sz w:val="20"/>
                <w:szCs w:val="20"/>
                <w:u w:val="single"/>
                <w:lang w:val="es-419"/>
              </w:rPr>
              <w:t>$50 millones</w:t>
            </w:r>
            <w:r w:rsidRPr="00756410">
              <w:rPr>
                <w:sz w:val="20"/>
                <w:szCs w:val="20"/>
                <w:lang w:val="es-419"/>
              </w:rPr>
              <w:t xml:space="preserve"> pueden asignar hasta </w:t>
            </w:r>
            <w:r w:rsidRPr="00756410">
              <w:rPr>
                <w:sz w:val="20"/>
                <w:szCs w:val="20"/>
                <w:u w:val="single"/>
                <w:lang w:val="es-419"/>
              </w:rPr>
              <w:t>tres</w:t>
            </w:r>
            <w:r w:rsidRPr="00756410">
              <w:rPr>
                <w:sz w:val="20"/>
                <w:szCs w:val="20"/>
                <w:lang w:val="es-419"/>
              </w:rPr>
              <w:t xml:space="preserve"> roles. </w:t>
            </w:r>
            <w:r w:rsidRPr="00756410">
              <w:rPr>
                <w:sz w:val="20"/>
                <w:szCs w:val="20"/>
                <w:u w:val="single"/>
                <w:lang w:val="es-419"/>
              </w:rPr>
              <w:t xml:space="preserve">Las oficinas/unidades de la sede central </w:t>
            </w:r>
            <w:r w:rsidRPr="00756410">
              <w:rPr>
                <w:sz w:val="20"/>
                <w:szCs w:val="20"/>
                <w:lang w:val="es-419"/>
              </w:rPr>
              <w:t xml:space="preserve">pueden asignar un máximo de </w:t>
            </w:r>
            <w:r w:rsidRPr="00756410">
              <w:rPr>
                <w:sz w:val="20"/>
                <w:szCs w:val="20"/>
                <w:u w:val="single"/>
                <w:lang w:val="es-419"/>
              </w:rPr>
              <w:t>dos</w:t>
            </w:r>
            <w:r w:rsidRPr="00756410">
              <w:rPr>
                <w:sz w:val="20"/>
                <w:szCs w:val="20"/>
                <w:lang w:val="es-419"/>
              </w:rPr>
              <w:t xml:space="preserve"> roles de mantenimiento de proveedores.</w:t>
            </w:r>
          </w:p>
        </w:tc>
      </w:tr>
    </w:tbl>
    <w:p w14:paraId="6452F63D" w14:textId="77777777" w:rsidR="00C737F2" w:rsidRPr="00756410" w:rsidRDefault="00C737F2" w:rsidP="007E0CED">
      <w:pPr>
        <w:rPr>
          <w:lang w:val="es-419"/>
        </w:rPr>
      </w:pPr>
    </w:p>
    <w:p w14:paraId="5DBD7B9E" w14:textId="27A2E639" w:rsidR="00C737F2" w:rsidRPr="00756410" w:rsidRDefault="00C737F2">
      <w:pPr>
        <w:pStyle w:val="Heading2"/>
        <w:numPr>
          <w:ilvl w:val="1"/>
          <w:numId w:val="93"/>
        </w:numPr>
        <w:spacing w:after="240"/>
        <w:rPr>
          <w:lang w:val="es-ES"/>
        </w:rPr>
      </w:pPr>
      <w:bookmarkStart w:id="45" w:name="_Toc210052763"/>
      <w:r w:rsidRPr="00756410">
        <w:rPr>
          <w:lang w:val="es-ES"/>
        </w:rPr>
        <w:t>Aprobador de proveedores (aprobador de nivel 2)</w:t>
      </w:r>
      <w:bookmarkEnd w:id="45"/>
    </w:p>
    <w:p w14:paraId="0B587233" w14:textId="331CFE14" w:rsidR="006A7B32" w:rsidRPr="00756410" w:rsidRDefault="006A7B32" w:rsidP="00756410">
      <w:pPr>
        <w:spacing w:line="240" w:lineRule="auto"/>
        <w:jc w:val="both"/>
        <w:rPr>
          <w:lang w:val="es-419"/>
        </w:rPr>
      </w:pPr>
      <w:r w:rsidRPr="00756410">
        <w:rPr>
          <w:lang w:val="es-419"/>
        </w:rPr>
        <w:t>El rol complementario de aprobador de proveedores puede ser desempeñado por miembros del personal que realicen la aprobación final de nivel 2 de un proveedor en Quantum. Sólo a</w:t>
      </w:r>
      <w:r w:rsidR="004455C3">
        <w:rPr>
          <w:lang w:val="es-419"/>
        </w:rPr>
        <w:t xml:space="preserve"> personal </w:t>
      </w:r>
      <w:r w:rsidRPr="00756410">
        <w:rPr>
          <w:lang w:val="es-419"/>
        </w:rPr>
        <w:t xml:space="preserve">funcionario del PNUD se les </w:t>
      </w:r>
      <w:r w:rsidRPr="00756410">
        <w:rPr>
          <w:lang w:val="es-419"/>
        </w:rPr>
        <w:lastRenderedPageBreak/>
        <w:t xml:space="preserve">puede asignar la función de aprobador de proveedores. El BMS/GSSC desempeña la función de Aprobador de Proveedores para todas las oficinas/unidades, a menos que el Tesorero, en consulta con el </w:t>
      </w:r>
      <w:r w:rsidR="00244F9C">
        <w:rPr>
          <w:lang w:val="es-419"/>
        </w:rPr>
        <w:t>CFO</w:t>
      </w:r>
      <w:r w:rsidRPr="00756410">
        <w:rPr>
          <w:lang w:val="es-419"/>
        </w:rPr>
        <w:t>, haya concedido una excepción. Consulte la sección 3.3 para obtener más información sobre el proceso para buscar excepciones de ICF.</w:t>
      </w:r>
    </w:p>
    <w:tbl>
      <w:tblPr>
        <w:tblpPr w:leftFromText="180" w:rightFromText="180" w:vertAnchor="text" w:horzAnchor="margin" w:tblpX="-10"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246374" w:rsidRPr="00773863" w14:paraId="17DEE259" w14:textId="77777777" w:rsidTr="363CA695">
        <w:trPr>
          <w:trHeight w:val="264"/>
        </w:trPr>
        <w:tc>
          <w:tcPr>
            <w:tcW w:w="9895" w:type="dxa"/>
            <w:shd w:val="clear" w:color="auto" w:fill="FFF1CC"/>
          </w:tcPr>
          <w:p w14:paraId="05EA30AF" w14:textId="7738D19C" w:rsidR="00246374" w:rsidRPr="00756410" w:rsidRDefault="00246374" w:rsidP="00756410">
            <w:pPr>
              <w:spacing w:after="0" w:line="240" w:lineRule="auto"/>
              <w:jc w:val="both"/>
              <w:rPr>
                <w:b/>
                <w:sz w:val="20"/>
                <w:szCs w:val="20"/>
                <w:lang w:val="es-ES"/>
              </w:rPr>
            </w:pPr>
            <w:r w:rsidRPr="00756410">
              <w:rPr>
                <w:b/>
                <w:sz w:val="20"/>
                <w:szCs w:val="20"/>
                <w:lang w:val="es-ES"/>
              </w:rPr>
              <w:t>Aprobador de proveedores (Nivel 2): Responsabilidades clave: Realizado por BMS/GSSC</w:t>
            </w:r>
          </w:p>
        </w:tc>
      </w:tr>
      <w:tr w:rsidR="00246374" w:rsidRPr="00773863" w14:paraId="33A56501" w14:textId="77777777" w:rsidTr="363CA695">
        <w:trPr>
          <w:trHeight w:val="1209"/>
        </w:trPr>
        <w:tc>
          <w:tcPr>
            <w:tcW w:w="9895" w:type="dxa"/>
          </w:tcPr>
          <w:p w14:paraId="5C9E32CB" w14:textId="54AE47DA" w:rsidR="00246374" w:rsidRPr="00756410" w:rsidRDefault="00246374" w:rsidP="00756410">
            <w:pPr>
              <w:pStyle w:val="ListParagraph"/>
              <w:numPr>
                <w:ilvl w:val="0"/>
                <w:numId w:val="69"/>
              </w:numPr>
              <w:spacing w:after="0" w:line="240" w:lineRule="auto"/>
              <w:jc w:val="both"/>
              <w:rPr>
                <w:sz w:val="20"/>
                <w:szCs w:val="20"/>
                <w:lang w:val="es-419"/>
              </w:rPr>
            </w:pPr>
            <w:r w:rsidRPr="00756410">
              <w:rPr>
                <w:b/>
                <w:bCs/>
                <w:sz w:val="20"/>
                <w:szCs w:val="20"/>
                <w:lang w:val="es-419"/>
              </w:rPr>
              <w:t>Confirma la integridad y precisión de la solicitud de adición/edición del proveedor con respecto a la información ingresada y la documentación:</w:t>
            </w:r>
            <w:r w:rsidRPr="00756410">
              <w:rPr>
                <w:sz w:val="20"/>
                <w:szCs w:val="20"/>
                <w:lang w:val="es-419"/>
              </w:rPr>
              <w:t xml:space="preserve"> Confirma que los datos del proveedor y los documentos de respaldo están completos y son precisos; los datos bancarios del proveedor se han ingresado correctamente en Quantum; y existe una dirección de correo electrónico válida del proveedor. BMS/GSSC también realiza una evaluación mensual de los proveedores existentes en Quantum frente a los proveedores sancionados de Lexis-Nexis/UNGM</w:t>
            </w:r>
            <w:r w:rsidR="00B572E2" w:rsidRPr="00756410">
              <w:rPr>
                <w:i/>
                <w:iCs/>
                <w:sz w:val="20"/>
                <w:szCs w:val="20"/>
                <w:lang w:val="es-419"/>
              </w:rPr>
              <w:t xml:space="preserve">. </w:t>
            </w:r>
            <w:r w:rsidRPr="00756410">
              <w:rPr>
                <w:sz w:val="20"/>
                <w:szCs w:val="20"/>
                <w:lang w:val="es-419"/>
              </w:rPr>
              <w:t xml:space="preserve">Políticas y orientación relevantes: </w:t>
            </w:r>
            <w:hyperlink r:id="rId88">
              <w:r w:rsidR="00156266">
                <w:rPr>
                  <w:rStyle w:val="Hyperlink"/>
                  <w:sz w:val="20"/>
                  <w:szCs w:val="20"/>
                  <w:lang w:val="es-419"/>
                </w:rPr>
                <w:t>”</w:t>
              </w:r>
              <w:r w:rsidR="00156266" w:rsidRPr="00756410">
                <w:rPr>
                  <w:rStyle w:val="Hyperlink"/>
                  <w:i/>
                  <w:iCs/>
                  <w:sz w:val="20"/>
                  <w:szCs w:val="20"/>
                  <w:lang w:val="es-419"/>
                </w:rPr>
                <w:t>G</w:t>
              </w:r>
              <w:r w:rsidRPr="00756410">
                <w:rPr>
                  <w:rStyle w:val="Hyperlink"/>
                  <w:i/>
                  <w:iCs/>
                  <w:sz w:val="20"/>
                  <w:szCs w:val="20"/>
                  <w:lang w:val="es-419"/>
                </w:rPr>
                <w:t>estión de proveedores</w:t>
              </w:r>
              <w:r w:rsidR="00156266">
                <w:rPr>
                  <w:rStyle w:val="Hyperlink"/>
                  <w:sz w:val="20"/>
                  <w:szCs w:val="20"/>
                  <w:lang w:val="es-419"/>
                </w:rPr>
                <w:t>”</w:t>
              </w:r>
              <w:r w:rsidRPr="00756410">
                <w:rPr>
                  <w:rStyle w:val="Hyperlink"/>
                  <w:sz w:val="20"/>
                  <w:szCs w:val="20"/>
                  <w:lang w:val="es-419"/>
                </w:rPr>
                <w:t xml:space="preserve"> de</w:t>
              </w:r>
              <w:r w:rsidR="00156266">
                <w:rPr>
                  <w:rStyle w:val="Hyperlink"/>
                  <w:sz w:val="20"/>
                  <w:szCs w:val="20"/>
                  <w:lang w:val="es-419"/>
                </w:rPr>
                <w:t>l</w:t>
              </w:r>
              <w:r w:rsidRPr="00756410">
                <w:rPr>
                  <w:rStyle w:val="Hyperlink"/>
                  <w:sz w:val="20"/>
                  <w:szCs w:val="20"/>
                  <w:lang w:val="es-419"/>
                </w:rPr>
                <w:t xml:space="preserve"> POPP</w:t>
              </w:r>
            </w:hyperlink>
            <w:r w:rsidRPr="00756410">
              <w:rPr>
                <w:sz w:val="20"/>
                <w:szCs w:val="20"/>
                <w:lang w:val="es-419"/>
              </w:rPr>
              <w:t xml:space="preserve">; y Guías de conocimiento de UNall: </w:t>
            </w:r>
            <w:hyperlink r:id="rId89">
              <w:r w:rsidRPr="00756410">
                <w:rPr>
                  <w:rStyle w:val="Hyperlink"/>
                  <w:sz w:val="20"/>
                  <w:szCs w:val="20"/>
                  <w:lang w:val="es-419"/>
                </w:rPr>
                <w:t xml:space="preserve">Proveedores en </w:t>
              </w:r>
              <w:r w:rsidR="00E618FE">
                <w:rPr>
                  <w:rStyle w:val="Hyperlink"/>
                  <w:sz w:val="20"/>
                  <w:szCs w:val="20"/>
                  <w:lang w:val="es-419"/>
                </w:rPr>
                <w:t>Quantum</w:t>
              </w:r>
              <w:r w:rsidRPr="00756410">
                <w:rPr>
                  <w:rStyle w:val="Hyperlink"/>
                  <w:sz w:val="20"/>
                  <w:szCs w:val="20"/>
                  <w:lang w:val="es-419"/>
                </w:rPr>
                <w:t>;</w:t>
              </w:r>
            </w:hyperlink>
            <w:r w:rsidRPr="00756410">
              <w:rPr>
                <w:rStyle w:val="Hyperlink"/>
                <w:sz w:val="20"/>
                <w:szCs w:val="20"/>
                <w:lang w:val="es-419"/>
              </w:rPr>
              <w:t xml:space="preserve"> y </w:t>
            </w:r>
            <w:hyperlink r:id="rId90">
              <w:r w:rsidRPr="00756410">
                <w:rPr>
                  <w:rStyle w:val="Hyperlink"/>
                  <w:sz w:val="20"/>
                  <w:szCs w:val="20"/>
                  <w:lang w:val="es-419"/>
                </w:rPr>
                <w:t>Guía de gestión de proveedores de BMS / GSSC: Paso a paso</w:t>
              </w:r>
            </w:hyperlink>
            <w:r w:rsidR="00710A1E" w:rsidRPr="00756410">
              <w:rPr>
                <w:sz w:val="20"/>
                <w:szCs w:val="20"/>
                <w:lang w:val="es-419"/>
              </w:rPr>
              <w:t>.</w:t>
            </w:r>
          </w:p>
        </w:tc>
      </w:tr>
      <w:tr w:rsidR="00246374" w:rsidRPr="00773863" w14:paraId="60FB80E5" w14:textId="77777777" w:rsidTr="363CA695">
        <w:trPr>
          <w:trHeight w:val="381"/>
        </w:trPr>
        <w:tc>
          <w:tcPr>
            <w:tcW w:w="9895" w:type="dxa"/>
            <w:shd w:val="clear" w:color="auto" w:fill="E1EED9"/>
          </w:tcPr>
          <w:p w14:paraId="0E123932" w14:textId="5230D1E9" w:rsidR="00246374" w:rsidRPr="00756410" w:rsidRDefault="00246374" w:rsidP="00756410">
            <w:pPr>
              <w:spacing w:after="0" w:line="240" w:lineRule="auto"/>
              <w:jc w:val="both"/>
              <w:rPr>
                <w:b/>
                <w:sz w:val="20"/>
                <w:szCs w:val="20"/>
                <w:lang w:val="es-419"/>
              </w:rPr>
            </w:pPr>
            <w:r w:rsidRPr="00756410">
              <w:rPr>
                <w:b/>
                <w:bCs/>
                <w:sz w:val="20"/>
                <w:szCs w:val="20"/>
                <w:lang w:val="es-419"/>
              </w:rPr>
              <w:t xml:space="preserve">Rol </w:t>
            </w:r>
            <w:r w:rsidR="007D5FE2">
              <w:rPr>
                <w:b/>
                <w:bCs/>
                <w:sz w:val="20"/>
                <w:szCs w:val="20"/>
                <w:lang w:val="es-419"/>
              </w:rPr>
              <w:t>complementario</w:t>
            </w:r>
            <w:r w:rsidR="007D5FE2" w:rsidRPr="00756410">
              <w:rPr>
                <w:b/>
                <w:bCs/>
                <w:sz w:val="20"/>
                <w:szCs w:val="20"/>
                <w:lang w:val="es-419"/>
              </w:rPr>
              <w:t xml:space="preserve"> </w:t>
            </w:r>
            <w:r w:rsidRPr="00756410">
              <w:rPr>
                <w:b/>
                <w:bCs/>
                <w:sz w:val="20"/>
                <w:szCs w:val="20"/>
                <w:lang w:val="es-419"/>
              </w:rPr>
              <w:t>de IDAM - Aprobador de proveedores</w:t>
            </w:r>
            <w:r w:rsidR="00A470E2">
              <w:rPr>
                <w:b/>
                <w:bCs/>
                <w:sz w:val="20"/>
                <w:szCs w:val="20"/>
                <w:lang w:val="es-419"/>
              </w:rPr>
              <w:t xml:space="preserve"> </w:t>
            </w:r>
            <w:r w:rsidR="00A470E2" w:rsidRPr="00756410">
              <w:rPr>
                <w:b/>
                <w:bCs/>
                <w:sz w:val="20"/>
                <w:szCs w:val="20"/>
                <w:lang w:val="es-ES"/>
              </w:rPr>
              <w:t>[</w:t>
            </w:r>
            <w:r w:rsidR="00A470E2" w:rsidRPr="00756410">
              <w:rPr>
                <w:b/>
                <w:bCs/>
                <w:i/>
                <w:iCs/>
                <w:sz w:val="20"/>
                <w:szCs w:val="20"/>
                <w:lang w:val="es-ES"/>
              </w:rPr>
              <w:t>Supplier Approver</w:t>
            </w:r>
            <w:r w:rsidR="00A470E2" w:rsidRPr="00756410">
              <w:rPr>
                <w:b/>
                <w:bCs/>
                <w:sz w:val="20"/>
                <w:szCs w:val="20"/>
                <w:lang w:val="es-ES"/>
              </w:rPr>
              <w:t>]</w:t>
            </w:r>
            <w:r w:rsidRPr="00756410">
              <w:rPr>
                <w:b/>
                <w:bCs/>
                <w:sz w:val="20"/>
                <w:szCs w:val="20"/>
                <w:lang w:val="es-419"/>
              </w:rPr>
              <w:t xml:space="preserve"> (debe ser </w:t>
            </w:r>
            <w:r w:rsidR="004455C3">
              <w:rPr>
                <w:b/>
                <w:bCs/>
                <w:sz w:val="20"/>
                <w:szCs w:val="20"/>
                <w:lang w:val="es-419"/>
              </w:rPr>
              <w:t>personal</w:t>
            </w:r>
            <w:r w:rsidR="004455C3" w:rsidRPr="00756410">
              <w:rPr>
                <w:b/>
                <w:bCs/>
                <w:sz w:val="20"/>
                <w:szCs w:val="20"/>
                <w:lang w:val="es-419"/>
              </w:rPr>
              <w:t xml:space="preserve"> </w:t>
            </w:r>
            <w:r w:rsidR="00DD0DCE">
              <w:rPr>
                <w:b/>
                <w:bCs/>
                <w:sz w:val="20"/>
                <w:szCs w:val="20"/>
                <w:lang w:val="es-419"/>
              </w:rPr>
              <w:t>funcionario d</w:t>
            </w:r>
            <w:r w:rsidRPr="00756410">
              <w:rPr>
                <w:b/>
                <w:bCs/>
                <w:sz w:val="20"/>
                <w:szCs w:val="20"/>
                <w:lang w:val="es-419"/>
              </w:rPr>
              <w:t>el PNUD en BMS/</w:t>
            </w:r>
            <w:r w:rsidR="00DD0DCE">
              <w:rPr>
                <w:b/>
                <w:bCs/>
                <w:sz w:val="20"/>
                <w:szCs w:val="20"/>
                <w:lang w:val="es-419"/>
              </w:rPr>
              <w:t>G</w:t>
            </w:r>
            <w:r w:rsidRPr="00756410">
              <w:rPr>
                <w:b/>
                <w:bCs/>
                <w:sz w:val="20"/>
                <w:szCs w:val="20"/>
                <w:lang w:val="es-419"/>
              </w:rPr>
              <w:t>SSC a menos que el Tesorero, en consulta con el CFO, haya otorgado una excepción)</w:t>
            </w:r>
          </w:p>
        </w:tc>
      </w:tr>
      <w:tr w:rsidR="00246374" w:rsidRPr="00773863" w14:paraId="53192F12" w14:textId="77777777" w:rsidTr="363CA695">
        <w:trPr>
          <w:trHeight w:val="537"/>
        </w:trPr>
        <w:tc>
          <w:tcPr>
            <w:tcW w:w="9895" w:type="dxa"/>
            <w:shd w:val="clear" w:color="auto" w:fill="E7E6E6" w:themeFill="background2"/>
          </w:tcPr>
          <w:p w14:paraId="1FA29086" w14:textId="35F1B215" w:rsidR="00246374" w:rsidRPr="00756410" w:rsidRDefault="00246374" w:rsidP="00756410">
            <w:pPr>
              <w:spacing w:after="0" w:line="240" w:lineRule="auto"/>
              <w:jc w:val="both"/>
              <w:rPr>
                <w:sz w:val="20"/>
                <w:szCs w:val="20"/>
                <w:lang w:val="es-419"/>
              </w:rPr>
            </w:pPr>
            <w:r w:rsidRPr="00756410">
              <w:rPr>
                <w:b/>
                <w:bCs/>
                <w:sz w:val="20"/>
                <w:szCs w:val="20"/>
                <w:lang w:val="es-419"/>
              </w:rPr>
              <w:t>Segregación de funciones requerida:</w:t>
            </w:r>
            <w:r w:rsidRPr="00756410">
              <w:rPr>
                <w:sz w:val="20"/>
                <w:szCs w:val="20"/>
                <w:lang w:val="es-419"/>
              </w:rPr>
              <w:t xml:space="preserve"> los aprobadores de proveedores no deben crear órdenes de compra ni facturas, ni preparar la conciliación bancaria. Cuando solo se designa un firmante de cuenta bancaria para una cuenta bancaria, el firmante no puede ser un Aprobador de proveedores. Quantum permite a los aprobadores de proveedores crear y actualizar proveedores, pero garantiza que los proveedores que </w:t>
            </w:r>
            <w:r w:rsidR="002139D2">
              <w:rPr>
                <w:sz w:val="20"/>
                <w:szCs w:val="20"/>
                <w:lang w:val="es-419"/>
              </w:rPr>
              <w:t xml:space="preserve">se </w:t>
            </w:r>
            <w:r w:rsidRPr="00756410">
              <w:rPr>
                <w:sz w:val="20"/>
                <w:szCs w:val="20"/>
                <w:lang w:val="es-419"/>
              </w:rPr>
              <w:t xml:space="preserve">crean/actualizan </w:t>
            </w:r>
            <w:r w:rsidR="006B74CB">
              <w:rPr>
                <w:sz w:val="20"/>
                <w:szCs w:val="20"/>
                <w:lang w:val="es-419"/>
              </w:rPr>
              <w:t>sean</w:t>
            </w:r>
            <w:r w:rsidR="006B74CB" w:rsidRPr="00756410">
              <w:rPr>
                <w:sz w:val="20"/>
                <w:szCs w:val="20"/>
                <w:lang w:val="es-419"/>
              </w:rPr>
              <w:t xml:space="preserve"> </w:t>
            </w:r>
            <w:r w:rsidRPr="00756410">
              <w:rPr>
                <w:sz w:val="20"/>
                <w:szCs w:val="20"/>
                <w:lang w:val="es-419"/>
              </w:rPr>
              <w:t>aprobados por un aprobador de proveedores diferente.</w:t>
            </w:r>
          </w:p>
        </w:tc>
      </w:tr>
    </w:tbl>
    <w:p w14:paraId="4B884E4A" w14:textId="77777777" w:rsidR="007E7DEC" w:rsidRPr="00756410" w:rsidRDefault="007E7DEC" w:rsidP="007E7DEC">
      <w:pPr>
        <w:rPr>
          <w:lang w:val="es-419"/>
        </w:rPr>
      </w:pPr>
    </w:p>
    <w:p w14:paraId="535B568B" w14:textId="1449B2B0" w:rsidR="00C45717" w:rsidRPr="00756410" w:rsidRDefault="00362D45">
      <w:pPr>
        <w:pStyle w:val="Heading2"/>
        <w:numPr>
          <w:ilvl w:val="1"/>
          <w:numId w:val="93"/>
        </w:numPr>
        <w:spacing w:after="240"/>
        <w:rPr>
          <w:lang w:val="es-ES"/>
        </w:rPr>
      </w:pPr>
      <w:bookmarkStart w:id="46" w:name="_Toc210052764"/>
      <w:r w:rsidRPr="00756410">
        <w:rPr>
          <w:lang w:val="es-ES"/>
        </w:rPr>
        <w:t xml:space="preserve">Gerente de </w:t>
      </w:r>
      <w:r w:rsidR="004216FC">
        <w:rPr>
          <w:lang w:val="es-ES"/>
        </w:rPr>
        <w:t>A</w:t>
      </w:r>
      <w:r w:rsidRPr="00756410">
        <w:rPr>
          <w:lang w:val="es-ES"/>
        </w:rPr>
        <w:t>probación (segunda autoridad, oficial verificador)</w:t>
      </w:r>
      <w:bookmarkEnd w:id="46"/>
    </w:p>
    <w:p w14:paraId="57894F2D" w14:textId="2EBCFCB3" w:rsidR="00E247E2" w:rsidRPr="00756410" w:rsidRDefault="00EA306F" w:rsidP="00756410">
      <w:pPr>
        <w:spacing w:line="240" w:lineRule="auto"/>
        <w:jc w:val="both"/>
        <w:rPr>
          <w:sz w:val="20"/>
          <w:szCs w:val="20"/>
          <w:lang w:val="es-419"/>
        </w:rPr>
      </w:pPr>
      <w:r w:rsidRPr="00756410">
        <w:rPr>
          <w:lang w:val="es-419"/>
        </w:rPr>
        <w:t xml:space="preserve">Los </w:t>
      </w:r>
      <w:r w:rsidR="00077E5B">
        <w:rPr>
          <w:lang w:val="es-419"/>
        </w:rPr>
        <w:t xml:space="preserve">Gerentes </w:t>
      </w:r>
      <w:r w:rsidRPr="00756410">
        <w:rPr>
          <w:lang w:val="es-419"/>
        </w:rPr>
        <w:t>de aprobación (segunda autoridad, oficial verificador) verifican que los pagos y otras transacciones financieras puedan realizarse en nombre del PNUD. Los gerentes de aprobación son designados formalmente por el Jefe de Oficina/Unidad (y por BMS/GSSC para los procesos de cuentas por pagar agrupad</w:t>
      </w:r>
      <w:r w:rsidR="00B7583D" w:rsidRPr="00C342B8">
        <w:rPr>
          <w:lang w:val="es-419"/>
        </w:rPr>
        <w:t>o</w:t>
      </w:r>
      <w:r w:rsidRPr="00756410">
        <w:rPr>
          <w:lang w:val="es-419"/>
        </w:rPr>
        <w:t>s</w:t>
      </w:r>
      <w:r w:rsidR="00B7583D" w:rsidRPr="00C342B8">
        <w:rPr>
          <w:lang w:val="es-419"/>
        </w:rPr>
        <w:t xml:space="preserve"> </w:t>
      </w:r>
      <w:r w:rsidR="006A0D67" w:rsidRPr="00756410">
        <w:rPr>
          <w:lang w:val="es-419"/>
        </w:rPr>
        <w:t>(</w:t>
      </w:r>
      <w:r w:rsidR="00380E06" w:rsidRPr="00756410">
        <w:rPr>
          <w:i/>
          <w:iCs/>
          <w:lang w:val="es-419"/>
        </w:rPr>
        <w:t>clustered</w:t>
      </w:r>
      <w:r w:rsidR="006A0D67" w:rsidRPr="00756410">
        <w:rPr>
          <w:lang w:val="es-419"/>
        </w:rPr>
        <w:t>)</w:t>
      </w:r>
      <w:r w:rsidRPr="00756410">
        <w:rPr>
          <w:lang w:val="es-419"/>
        </w:rPr>
        <w:t xml:space="preserve"> en nombre del </w:t>
      </w:r>
      <w:r w:rsidR="00B7583D" w:rsidRPr="00C342B8">
        <w:rPr>
          <w:lang w:val="es-419"/>
        </w:rPr>
        <w:t>CFO</w:t>
      </w:r>
      <w:r w:rsidRPr="00756410">
        <w:rPr>
          <w:lang w:val="es-419"/>
        </w:rPr>
        <w:t xml:space="preserve"> del PNUD y deben ser miembros del personal </w:t>
      </w:r>
      <w:r w:rsidR="008255EC" w:rsidRPr="00C342B8">
        <w:rPr>
          <w:lang w:val="es-419"/>
        </w:rPr>
        <w:t>f</w:t>
      </w:r>
      <w:r w:rsidR="004455C3" w:rsidRPr="00C342B8">
        <w:rPr>
          <w:lang w:val="es-419"/>
        </w:rPr>
        <w:t xml:space="preserve">uncionario </w:t>
      </w:r>
      <w:r w:rsidRPr="00756410">
        <w:rPr>
          <w:lang w:val="es-419"/>
        </w:rPr>
        <w:t xml:space="preserve">del PNUD. La segunda autoridad no se puede delegar más, según la regla 122.01 de la regla Financiera Detallada. </w:t>
      </w:r>
      <w:r w:rsidR="004D1C23" w:rsidRPr="00756410">
        <w:rPr>
          <w:b/>
          <w:lang w:val="es-419"/>
        </w:rPr>
        <w:t>Cualquier excepción debe ser aprobada por el CFO, caso por caso, sobre la base de una justificación completa y la aplicación de los controles apropiados por parte de la oficina / unidad respectiva</w:t>
      </w:r>
      <w:r w:rsidR="004D1C23" w:rsidRPr="00756410">
        <w:rPr>
          <w:lang w:val="es-419"/>
        </w:rPr>
        <w:t>. La designación como Gerente de Aprobación por el Jefe de la Oficina autoriza al personal a celebrar contratos en nombre del PNUD, aprobando y firmando órdenes de compra de bienes y servicios (incluidos los C</w:t>
      </w:r>
      <w:r w:rsidR="005F3681">
        <w:rPr>
          <w:lang w:val="es-419"/>
        </w:rPr>
        <w:t>ontratistas Individuales</w:t>
      </w:r>
      <w:r w:rsidR="004D1C23" w:rsidRPr="00756410">
        <w:rPr>
          <w:lang w:val="es-419"/>
        </w:rPr>
        <w:t>), autorizaciones de viaje y contratos de obras. La designación del Jefe de Oficina/Unidad debe describir con precisión las responsabilidades y las facultades de un Gerente de Aprobación, como la autoridad para aprobar órdenes de compra, pagos que no sean de órdenes de compra y pagos anticipados hasta ciertos umbrales (consulte a continuación los umbrales establecidos corporativamente para el Gerente Senior, e</w:t>
      </w:r>
      <w:r w:rsidR="00EB75AA">
        <w:rPr>
          <w:lang w:val="es-419"/>
        </w:rPr>
        <w:t xml:space="preserve">l </w:t>
      </w:r>
      <w:r w:rsidR="004D1C23" w:rsidRPr="00756410">
        <w:rPr>
          <w:lang w:val="es-419"/>
        </w:rPr>
        <w:t xml:space="preserve">Gerente </w:t>
      </w:r>
      <w:r w:rsidR="00EB75AA">
        <w:rPr>
          <w:lang w:val="es-419"/>
        </w:rPr>
        <w:t xml:space="preserve">de Nivel 2 </w:t>
      </w:r>
      <w:r w:rsidR="004D1C23" w:rsidRPr="00756410">
        <w:rPr>
          <w:lang w:val="es-419"/>
        </w:rPr>
        <w:t xml:space="preserve">y </w:t>
      </w:r>
      <w:r w:rsidR="00EB75AA">
        <w:rPr>
          <w:lang w:val="es-419"/>
        </w:rPr>
        <w:t xml:space="preserve">el Gerente de </w:t>
      </w:r>
      <w:r w:rsidR="004D1C23" w:rsidRPr="00756410">
        <w:rPr>
          <w:lang w:val="es-419"/>
        </w:rPr>
        <w:t>Nivel).</w:t>
      </w:r>
    </w:p>
    <w:p w14:paraId="7E69C5DA" w14:textId="637C6725" w:rsidR="000B5103" w:rsidRPr="00756410" w:rsidRDefault="00726D02" w:rsidP="00756410">
      <w:pPr>
        <w:spacing w:line="240" w:lineRule="auto"/>
        <w:jc w:val="both"/>
        <w:rPr>
          <w:lang w:val="es-419"/>
        </w:rPr>
      </w:pPr>
      <w:r w:rsidRPr="00756410">
        <w:rPr>
          <w:lang w:val="es-419"/>
        </w:rPr>
        <w:t>El rol de Gerente de Aprobación se compone de dos funciones: Parte A y Parte B, como se muestra en la tabla siguiente.</w:t>
      </w:r>
    </w:p>
    <w:tbl>
      <w:tblPr>
        <w:tblStyle w:val="TableGrid"/>
        <w:tblW w:w="9715" w:type="dxa"/>
        <w:tblCellMar>
          <w:bottom w:w="43" w:type="dxa"/>
        </w:tblCellMar>
        <w:tblLook w:val="04A0" w:firstRow="1" w:lastRow="0" w:firstColumn="1" w:lastColumn="0" w:noHBand="0" w:noVBand="1"/>
      </w:tblPr>
      <w:tblGrid>
        <w:gridCol w:w="4585"/>
        <w:gridCol w:w="5130"/>
      </w:tblGrid>
      <w:tr w:rsidR="000E683A" w:rsidRPr="00773863" w14:paraId="325D64C2" w14:textId="77777777" w:rsidTr="008C4953">
        <w:trPr>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002060"/>
          </w:tcPr>
          <w:p w14:paraId="33CF4A2D" w14:textId="71A46DFC" w:rsidR="000E683A" w:rsidRPr="00756410" w:rsidRDefault="000E683A" w:rsidP="000E683A">
            <w:pPr>
              <w:jc w:val="center"/>
              <w:rPr>
                <w:b/>
                <w:sz w:val="20"/>
                <w:szCs w:val="20"/>
                <w:lang w:val="es-ES"/>
              </w:rPr>
            </w:pPr>
            <w:r w:rsidRPr="00756410">
              <w:rPr>
                <w:b/>
                <w:sz w:val="20"/>
                <w:szCs w:val="20"/>
                <w:lang w:val="es-ES"/>
              </w:rPr>
              <w:t>Aprobación de funciones de gerente (segunda autoridad, oficial verificador)</w:t>
            </w:r>
          </w:p>
        </w:tc>
      </w:tr>
      <w:tr w:rsidR="000B5103" w:rsidRPr="00773863" w14:paraId="1FC4848C" w14:textId="77777777" w:rsidTr="008C4953">
        <w:trPr>
          <w:trHeight w:val="521"/>
          <w:tblHeader/>
        </w:trPr>
        <w:tc>
          <w:tcPr>
            <w:tcW w:w="4585" w:type="dxa"/>
            <w:tcBorders>
              <w:top w:val="single" w:sz="4" w:space="0" w:color="auto"/>
              <w:left w:val="single" w:sz="4" w:space="0" w:color="auto"/>
              <w:bottom w:val="single" w:sz="4" w:space="0" w:color="auto"/>
              <w:right w:val="single" w:sz="4" w:space="0" w:color="auto"/>
            </w:tcBorders>
            <w:shd w:val="clear" w:color="auto" w:fill="70AD47" w:themeFill="accent6"/>
          </w:tcPr>
          <w:p w14:paraId="43EF3A19" w14:textId="17935993" w:rsidR="000B5103" w:rsidRPr="00756410" w:rsidRDefault="000E683A" w:rsidP="00756410">
            <w:pPr>
              <w:jc w:val="both"/>
              <w:rPr>
                <w:b/>
                <w:color w:val="FFFFFF" w:themeColor="background1"/>
                <w:sz w:val="20"/>
                <w:szCs w:val="20"/>
                <w:lang w:val="es-419"/>
              </w:rPr>
            </w:pPr>
            <w:r w:rsidRPr="00756410">
              <w:rPr>
                <w:b/>
                <w:bCs/>
                <w:color w:val="FFFFFF" w:themeColor="background1"/>
                <w:sz w:val="20"/>
                <w:szCs w:val="20"/>
                <w:lang w:val="es-419"/>
              </w:rPr>
              <w:t xml:space="preserve">Función - Parte A: Realiza una revisión independiente de la autoridad ejercida por el Gerente de Proyecto (primera autoridad, </w:t>
            </w:r>
            <w:r w:rsidR="00DB0432" w:rsidRPr="00756410">
              <w:rPr>
                <w:b/>
                <w:bCs/>
                <w:color w:val="FFFFFF" w:themeColor="background1"/>
                <w:sz w:val="20"/>
                <w:szCs w:val="20"/>
                <w:lang w:val="es-419"/>
              </w:rPr>
              <w:t>personal autorizado para contraer compromisos</w:t>
            </w:r>
            <w:r w:rsidRPr="00756410">
              <w:rPr>
                <w:b/>
                <w:bCs/>
                <w:color w:val="FFFFFF" w:themeColor="background1"/>
                <w:sz w:val="20"/>
                <w:szCs w:val="20"/>
                <w:lang w:val="es-419"/>
              </w:rPr>
              <w:t>)</w:t>
            </w:r>
          </w:p>
        </w:tc>
        <w:tc>
          <w:tcPr>
            <w:tcW w:w="5130" w:type="dxa"/>
            <w:tcBorders>
              <w:top w:val="single" w:sz="4" w:space="0" w:color="auto"/>
              <w:left w:val="single" w:sz="4" w:space="0" w:color="auto"/>
              <w:bottom w:val="single" w:sz="4" w:space="0" w:color="auto"/>
              <w:right w:val="single" w:sz="4" w:space="0" w:color="auto"/>
            </w:tcBorders>
            <w:shd w:val="clear" w:color="auto" w:fill="0070C0"/>
          </w:tcPr>
          <w:p w14:paraId="4B949FD5" w14:textId="4931E863" w:rsidR="000B5103" w:rsidRPr="00756410" w:rsidRDefault="000E683A" w:rsidP="000E683A">
            <w:pPr>
              <w:rPr>
                <w:b/>
                <w:color w:val="FFFFFF" w:themeColor="background1"/>
                <w:sz w:val="20"/>
                <w:szCs w:val="20"/>
                <w:lang w:val="es-419"/>
              </w:rPr>
            </w:pPr>
            <w:r w:rsidRPr="00756410">
              <w:rPr>
                <w:b/>
                <w:bCs/>
                <w:color w:val="FFFFFF" w:themeColor="background1"/>
                <w:sz w:val="20"/>
                <w:szCs w:val="20"/>
                <w:lang w:val="es-419"/>
              </w:rPr>
              <w:t>Función - Parte B: Verifica que se puedan realizar los pagos</w:t>
            </w:r>
          </w:p>
        </w:tc>
      </w:tr>
      <w:tr w:rsidR="003F3D6B" w:rsidRPr="003F3D6B" w14:paraId="56FD08CF" w14:textId="77777777" w:rsidTr="008C4953">
        <w:trPr>
          <w:tblHeader/>
        </w:trPr>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9BB29A" w14:textId="77777777" w:rsidR="003F3D6B" w:rsidRPr="009A7C29" w:rsidRDefault="003F3D6B" w:rsidP="000B5103">
            <w:pPr>
              <w:rPr>
                <w:rFonts w:cstheme="minorHAnsi"/>
                <w:b/>
                <w:bCs/>
                <w:i/>
                <w:iCs/>
                <w:sz w:val="20"/>
                <w:szCs w:val="20"/>
              </w:rPr>
            </w:pPr>
            <w:r w:rsidRPr="009A7C29">
              <w:rPr>
                <w:b/>
                <w:bCs/>
                <w:i/>
                <w:iCs/>
                <w:sz w:val="20"/>
                <w:szCs w:val="20"/>
              </w:rPr>
              <w:t>Acciones realizadas:</w:t>
            </w:r>
          </w:p>
        </w:tc>
        <w:tc>
          <w:tcPr>
            <w:tcW w:w="51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A646F6" w14:textId="0D0610B3" w:rsidR="003F3D6B" w:rsidRPr="009A7C29" w:rsidRDefault="003F3D6B" w:rsidP="000B5103">
            <w:pPr>
              <w:rPr>
                <w:b/>
                <w:i/>
                <w:sz w:val="20"/>
                <w:szCs w:val="20"/>
              </w:rPr>
            </w:pPr>
            <w:r w:rsidRPr="009A7C29">
              <w:rPr>
                <w:b/>
                <w:bCs/>
                <w:i/>
                <w:iCs/>
                <w:sz w:val="20"/>
                <w:szCs w:val="20"/>
              </w:rPr>
              <w:t>Acciones realizadas:</w:t>
            </w:r>
          </w:p>
        </w:tc>
      </w:tr>
      <w:tr w:rsidR="00246374" w:rsidRPr="00773863" w14:paraId="2BA58FDC"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25209A" w14:textId="0AE01CB2" w:rsidR="00246374" w:rsidRPr="00756410" w:rsidRDefault="00246374">
            <w:pPr>
              <w:pStyle w:val="ListParagraph"/>
              <w:numPr>
                <w:ilvl w:val="0"/>
                <w:numId w:val="76"/>
              </w:numPr>
              <w:rPr>
                <w:sz w:val="20"/>
                <w:szCs w:val="20"/>
                <w:lang w:val="es-ES"/>
              </w:rPr>
            </w:pPr>
            <w:r w:rsidRPr="00756410">
              <w:rPr>
                <w:sz w:val="20"/>
                <w:szCs w:val="20"/>
                <w:lang w:val="es-ES"/>
              </w:rPr>
              <w:t xml:space="preserve">Antes de aprobar órdenes de compra o </w:t>
            </w:r>
            <w:r w:rsidR="00FB66F5" w:rsidRPr="00C342B8">
              <w:rPr>
                <w:sz w:val="20"/>
                <w:szCs w:val="20"/>
                <w:lang w:val="es-ES"/>
              </w:rPr>
              <w:t>autorizar</w:t>
            </w:r>
            <w:r w:rsidR="00FB66F5" w:rsidRPr="00756410">
              <w:rPr>
                <w:sz w:val="20"/>
                <w:szCs w:val="20"/>
                <w:lang w:val="es-ES"/>
              </w:rPr>
              <w:t xml:space="preserve"> </w:t>
            </w:r>
            <w:r w:rsidRPr="00756410">
              <w:rPr>
                <w:sz w:val="20"/>
                <w:szCs w:val="20"/>
                <w:lang w:val="es-ES"/>
              </w:rPr>
              <w:t>facturas y anticipos que no sean órdenes de compra, confirma que:</w:t>
            </w:r>
          </w:p>
          <w:p w14:paraId="3BDF67F7" w14:textId="17BE4E2B" w:rsidR="00717FBB" w:rsidRPr="00C342B8" w:rsidRDefault="00246374" w:rsidP="00717FBB">
            <w:pPr>
              <w:pStyle w:val="ListParagraph"/>
              <w:numPr>
                <w:ilvl w:val="1"/>
                <w:numId w:val="76"/>
              </w:numPr>
              <w:rPr>
                <w:sz w:val="20"/>
                <w:szCs w:val="20"/>
                <w:lang w:val="es-ES"/>
              </w:rPr>
            </w:pPr>
            <w:r w:rsidRPr="00756410">
              <w:rPr>
                <w:sz w:val="20"/>
                <w:szCs w:val="20"/>
                <w:lang w:val="es-419"/>
              </w:rPr>
              <w:lastRenderedPageBreak/>
              <w:t xml:space="preserve">Se han seguido las políticas y procedimientos aplicables (por ejemplo, </w:t>
            </w:r>
            <w:hyperlink r:id="rId91" w:history="1">
              <w:r w:rsidR="00717FBB" w:rsidRPr="00756410">
                <w:rPr>
                  <w:rStyle w:val="Hyperlink"/>
                  <w:sz w:val="20"/>
                  <w:szCs w:val="20"/>
                  <w:lang w:val="es-ES"/>
                </w:rPr>
                <w:t xml:space="preserve">política de </w:t>
              </w:r>
              <w:r w:rsidR="00156266" w:rsidRPr="00C342B8">
                <w:rPr>
                  <w:rStyle w:val="Hyperlink"/>
                  <w:sz w:val="20"/>
                  <w:szCs w:val="20"/>
                  <w:lang w:val="es-ES"/>
                </w:rPr>
                <w:t>“</w:t>
              </w:r>
              <w:r w:rsidR="00156266" w:rsidRPr="00756410">
                <w:rPr>
                  <w:rStyle w:val="Hyperlink"/>
                  <w:i/>
                  <w:iCs/>
                  <w:sz w:val="20"/>
                  <w:szCs w:val="20"/>
                  <w:lang w:val="es-ES"/>
                </w:rPr>
                <w:t>A</w:t>
              </w:r>
              <w:r w:rsidR="00717FBB" w:rsidRPr="00756410">
                <w:rPr>
                  <w:rStyle w:val="Hyperlink"/>
                  <w:i/>
                  <w:iCs/>
                  <w:sz w:val="20"/>
                  <w:szCs w:val="20"/>
                  <w:lang w:val="es-ES"/>
                </w:rPr>
                <w:t>dquisicione</w:t>
              </w:r>
              <w:r w:rsidR="00156266" w:rsidRPr="00756410">
                <w:rPr>
                  <w:rStyle w:val="Hyperlink"/>
                  <w:i/>
                  <w:iCs/>
                  <w:sz w:val="20"/>
                  <w:szCs w:val="20"/>
                  <w:lang w:val="es-ES"/>
                </w:rPr>
                <w:t>s</w:t>
              </w:r>
              <w:r w:rsidR="00156266" w:rsidRPr="00C342B8">
                <w:rPr>
                  <w:rStyle w:val="Hyperlink"/>
                  <w:sz w:val="20"/>
                  <w:szCs w:val="20"/>
                  <w:lang w:val="es-ES"/>
                </w:rPr>
                <w:t>”</w:t>
              </w:r>
            </w:hyperlink>
            <w:r w:rsidR="00717FBB" w:rsidRPr="00C342B8">
              <w:rPr>
                <w:sz w:val="20"/>
                <w:szCs w:val="20"/>
                <w:lang w:val="es-ES"/>
              </w:rPr>
              <w:t xml:space="preserve">, la </w:t>
            </w:r>
            <w:hyperlink r:id="rId92" w:history="1">
              <w:r w:rsidR="00717FBB" w:rsidRPr="00756410">
                <w:rPr>
                  <w:rStyle w:val="Hyperlink"/>
                  <w:sz w:val="20"/>
                  <w:szCs w:val="20"/>
                  <w:lang w:val="es-ES"/>
                </w:rPr>
                <w:t xml:space="preserve">política de </w:t>
              </w:r>
              <w:r w:rsidR="00156266" w:rsidRPr="00C342B8">
                <w:rPr>
                  <w:rStyle w:val="Hyperlink"/>
                  <w:sz w:val="20"/>
                  <w:szCs w:val="20"/>
                  <w:lang w:val="es-ES"/>
                </w:rPr>
                <w:t>“</w:t>
              </w:r>
              <w:r w:rsidR="00717FBB" w:rsidRPr="00756410">
                <w:rPr>
                  <w:rStyle w:val="Hyperlink"/>
                  <w:i/>
                  <w:iCs/>
                  <w:sz w:val="20"/>
                  <w:szCs w:val="20"/>
                  <w:lang w:val="es-ES"/>
                </w:rPr>
                <w:t>Órdenes de Compr</w:t>
              </w:r>
              <w:r w:rsidR="00156266" w:rsidRPr="00756410">
                <w:rPr>
                  <w:rStyle w:val="Hyperlink"/>
                  <w:i/>
                  <w:iCs/>
                  <w:sz w:val="20"/>
                  <w:szCs w:val="20"/>
                  <w:lang w:val="es-ES"/>
                </w:rPr>
                <w:t>a</w:t>
              </w:r>
              <w:r w:rsidR="00156266" w:rsidRPr="00C342B8">
                <w:rPr>
                  <w:rStyle w:val="Hyperlink"/>
                  <w:sz w:val="20"/>
                  <w:szCs w:val="20"/>
                  <w:lang w:val="es-ES"/>
                </w:rPr>
                <w:t>”</w:t>
              </w:r>
            </w:hyperlink>
            <w:r w:rsidR="00717FBB" w:rsidRPr="00C342B8">
              <w:rPr>
                <w:sz w:val="20"/>
                <w:szCs w:val="20"/>
                <w:lang w:val="es-ES"/>
              </w:rPr>
              <w:t xml:space="preserve"> y la </w:t>
            </w:r>
            <w:hyperlink r:id="rId93" w:history="1">
              <w:r w:rsidR="00717FBB" w:rsidRPr="00756410">
                <w:rPr>
                  <w:rStyle w:val="Hyperlink"/>
                  <w:sz w:val="20"/>
                  <w:szCs w:val="20"/>
                  <w:lang w:val="es-ES"/>
                </w:rPr>
                <w:t xml:space="preserve">política de </w:t>
              </w:r>
              <w:r w:rsidR="00156266" w:rsidRPr="00C342B8">
                <w:rPr>
                  <w:rStyle w:val="Hyperlink"/>
                  <w:sz w:val="20"/>
                  <w:szCs w:val="20"/>
                  <w:lang w:val="es-ES"/>
                </w:rPr>
                <w:t>“</w:t>
              </w:r>
              <w:r w:rsidR="00156266" w:rsidRPr="00756410">
                <w:rPr>
                  <w:rStyle w:val="Hyperlink"/>
                  <w:i/>
                  <w:iCs/>
                  <w:sz w:val="20"/>
                  <w:szCs w:val="20"/>
                  <w:lang w:val="es-ES"/>
                </w:rPr>
                <w:t>P</w:t>
              </w:r>
              <w:r w:rsidR="00717FBB" w:rsidRPr="00756410">
                <w:rPr>
                  <w:rStyle w:val="Hyperlink"/>
                  <w:i/>
                  <w:iCs/>
                  <w:sz w:val="20"/>
                  <w:szCs w:val="20"/>
                  <w:lang w:val="es-ES"/>
                </w:rPr>
                <w:t>agos anticipado</w:t>
              </w:r>
              <w:r w:rsidR="00156266" w:rsidRPr="00C342B8">
                <w:rPr>
                  <w:rStyle w:val="Hyperlink"/>
                  <w:i/>
                  <w:iCs/>
                  <w:sz w:val="20"/>
                  <w:szCs w:val="20"/>
                  <w:lang w:val="es-ES"/>
                </w:rPr>
                <w:t>s”</w:t>
              </w:r>
            </w:hyperlink>
            <w:r w:rsidR="00717FBB" w:rsidRPr="00C342B8">
              <w:rPr>
                <w:sz w:val="20"/>
                <w:szCs w:val="20"/>
                <w:lang w:val="es-ES"/>
              </w:rPr>
              <w:t>).</w:t>
            </w:r>
          </w:p>
          <w:p w14:paraId="0F575B8E" w14:textId="2F4D87C7" w:rsidR="00246374" w:rsidRPr="00756410" w:rsidRDefault="00246374">
            <w:pPr>
              <w:pStyle w:val="ListParagraph"/>
              <w:numPr>
                <w:ilvl w:val="1"/>
                <w:numId w:val="76"/>
              </w:numPr>
              <w:rPr>
                <w:sz w:val="20"/>
                <w:szCs w:val="20"/>
                <w:lang w:val="es-419"/>
              </w:rPr>
            </w:pPr>
            <w:r w:rsidRPr="00756410">
              <w:rPr>
                <w:sz w:val="20"/>
                <w:szCs w:val="20"/>
                <w:lang w:val="es-419"/>
              </w:rPr>
              <w:t>Se ha solicitado y recibido una revisión y recomendación de ACP o RACP antes de aprobar las órdenes de compra que exceden el umbral de aprobación de la oficina/unidad.</w:t>
            </w:r>
          </w:p>
          <w:p w14:paraId="3B98E1B7" w14:textId="349593A7" w:rsidR="002B5DAF" w:rsidRPr="00756410" w:rsidRDefault="002B5DAF">
            <w:pPr>
              <w:pStyle w:val="ListParagraph"/>
              <w:numPr>
                <w:ilvl w:val="1"/>
                <w:numId w:val="76"/>
              </w:numPr>
              <w:rPr>
                <w:sz w:val="20"/>
                <w:szCs w:val="20"/>
                <w:lang w:val="es-419"/>
              </w:rPr>
            </w:pPr>
            <w:r w:rsidRPr="00756410">
              <w:rPr>
                <w:sz w:val="20"/>
                <w:szCs w:val="20"/>
                <w:lang w:val="es-419"/>
              </w:rPr>
              <w:t xml:space="preserve">Se ha solicitado </w:t>
            </w:r>
            <w:r w:rsidR="00AF7295" w:rsidRPr="00C342B8">
              <w:rPr>
                <w:sz w:val="20"/>
                <w:szCs w:val="20"/>
                <w:lang w:val="es-419"/>
              </w:rPr>
              <w:t>revisi</w:t>
            </w:r>
            <w:r w:rsidR="00AF7295" w:rsidRPr="00C342B8">
              <w:rPr>
                <w:sz w:val="20"/>
                <w:szCs w:val="20"/>
                <w:lang w:val="es-ES"/>
              </w:rPr>
              <w:t xml:space="preserve">ón </w:t>
            </w:r>
            <w:r w:rsidRPr="00756410">
              <w:rPr>
                <w:sz w:val="20"/>
                <w:szCs w:val="20"/>
                <w:lang w:val="es-419"/>
              </w:rPr>
              <w:t xml:space="preserve">y </w:t>
            </w:r>
            <w:r w:rsidR="00752BDE" w:rsidRPr="00C342B8">
              <w:rPr>
                <w:sz w:val="20"/>
                <w:szCs w:val="20"/>
                <w:lang w:val="es-419"/>
              </w:rPr>
              <w:t>se ha recibido</w:t>
            </w:r>
            <w:r w:rsidR="006A7D4A" w:rsidRPr="00C342B8">
              <w:rPr>
                <w:sz w:val="20"/>
                <w:szCs w:val="20"/>
                <w:lang w:val="es-419"/>
              </w:rPr>
              <w:t xml:space="preserve"> </w:t>
            </w:r>
            <w:r w:rsidRPr="00756410">
              <w:rPr>
                <w:sz w:val="20"/>
                <w:szCs w:val="20"/>
                <w:lang w:val="es-419"/>
              </w:rPr>
              <w:t>la recomendación del CAP, cuando procede.</w:t>
            </w:r>
          </w:p>
          <w:p w14:paraId="64A19AF2" w14:textId="33B0DACF" w:rsidR="00246374" w:rsidRPr="00756410" w:rsidRDefault="00246374">
            <w:pPr>
              <w:pStyle w:val="ListParagraph"/>
              <w:numPr>
                <w:ilvl w:val="1"/>
                <w:numId w:val="76"/>
              </w:numPr>
              <w:rPr>
                <w:sz w:val="20"/>
                <w:szCs w:val="20"/>
                <w:lang w:val="es-419"/>
              </w:rPr>
            </w:pPr>
            <w:r w:rsidRPr="00756410">
              <w:rPr>
                <w:sz w:val="20"/>
                <w:szCs w:val="20"/>
                <w:lang w:val="es-419"/>
              </w:rPr>
              <w:t>La documentación de respaldo es válida, completa y precisa.</w:t>
            </w:r>
          </w:p>
          <w:p w14:paraId="42484654" w14:textId="77777777" w:rsidR="00246374" w:rsidRPr="00756410" w:rsidRDefault="00246374" w:rsidP="00595753">
            <w:pPr>
              <w:rPr>
                <w:sz w:val="20"/>
                <w:szCs w:val="20"/>
                <w:lang w:val="es-419"/>
              </w:rPr>
            </w:pPr>
          </w:p>
          <w:p w14:paraId="07B14114" w14:textId="08532145" w:rsidR="002E01A5" w:rsidRPr="00756410" w:rsidRDefault="00246374" w:rsidP="00756410">
            <w:pPr>
              <w:jc w:val="both"/>
              <w:rPr>
                <w:sz w:val="20"/>
                <w:szCs w:val="20"/>
                <w:lang w:val="es-419"/>
              </w:rPr>
            </w:pPr>
            <w:r w:rsidRPr="00756410">
              <w:rPr>
                <w:b/>
                <w:sz w:val="20"/>
                <w:szCs w:val="20"/>
                <w:lang w:val="es-419"/>
              </w:rPr>
              <w:t xml:space="preserve">Habilidades técnicas requeridas: </w:t>
            </w:r>
            <w:r w:rsidRPr="00756410">
              <w:rPr>
                <w:sz w:val="20"/>
                <w:szCs w:val="20"/>
                <w:lang w:val="es-419"/>
              </w:rPr>
              <w:t xml:space="preserve">Sólidos conocimientos </w:t>
            </w:r>
            <w:r w:rsidR="006C63EF" w:rsidRPr="00C342B8">
              <w:rPr>
                <w:sz w:val="20"/>
                <w:szCs w:val="20"/>
                <w:lang w:val="es-ES"/>
              </w:rPr>
              <w:t xml:space="preserve">de las Políticas y Procedimientos de </w:t>
            </w:r>
            <w:hyperlink r:id="rId94" w:history="1">
              <w:r w:rsidR="00156266" w:rsidRPr="00C342B8">
                <w:rPr>
                  <w:rStyle w:val="Hyperlink"/>
                  <w:i/>
                  <w:iCs/>
                  <w:sz w:val="20"/>
                  <w:szCs w:val="20"/>
                  <w:lang w:val="es-ES"/>
                </w:rPr>
                <w:t>”</w:t>
              </w:r>
              <w:r w:rsidR="00156266" w:rsidRPr="00756410">
                <w:rPr>
                  <w:rStyle w:val="Hyperlink"/>
                  <w:i/>
                  <w:iCs/>
                  <w:lang w:val="es-ES"/>
                </w:rPr>
                <w:t>A</w:t>
              </w:r>
              <w:r w:rsidR="006C63EF" w:rsidRPr="00756410">
                <w:rPr>
                  <w:rStyle w:val="Hyperlink"/>
                  <w:i/>
                  <w:iCs/>
                  <w:sz w:val="20"/>
                  <w:szCs w:val="20"/>
                  <w:lang w:val="es-ES"/>
                </w:rPr>
                <w:t>dquisicione</w:t>
              </w:r>
              <w:r w:rsidR="00156266" w:rsidRPr="00C342B8">
                <w:rPr>
                  <w:rStyle w:val="Hyperlink"/>
                  <w:i/>
                  <w:iCs/>
                  <w:sz w:val="20"/>
                  <w:szCs w:val="20"/>
                  <w:lang w:val="es-ES"/>
                </w:rPr>
                <w:t>s” del POPP</w:t>
              </w:r>
            </w:hyperlink>
            <w:r w:rsidR="006C63EF" w:rsidRPr="00C342B8">
              <w:rPr>
                <w:sz w:val="20"/>
                <w:szCs w:val="20"/>
                <w:lang w:val="es-ES"/>
              </w:rPr>
              <w:t>.</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64245" w14:textId="22D93EDD" w:rsidR="00246374" w:rsidRPr="00756410" w:rsidRDefault="00246374" w:rsidP="00756410">
            <w:pPr>
              <w:pStyle w:val="ListParagraph"/>
              <w:numPr>
                <w:ilvl w:val="0"/>
                <w:numId w:val="78"/>
              </w:numPr>
              <w:jc w:val="both"/>
              <w:rPr>
                <w:sz w:val="20"/>
                <w:szCs w:val="20"/>
                <w:lang w:val="es-419"/>
              </w:rPr>
            </w:pPr>
            <w:r w:rsidRPr="00756410">
              <w:rPr>
                <w:sz w:val="20"/>
                <w:szCs w:val="20"/>
                <w:lang w:val="es-419"/>
              </w:rPr>
              <w:lastRenderedPageBreak/>
              <w:t xml:space="preserve">Antes de aprobar una factura para el pago en Quantum, confirma que: </w:t>
            </w:r>
          </w:p>
          <w:p w14:paraId="26BDADD5" w14:textId="77777777" w:rsidR="00246374" w:rsidRPr="00756410" w:rsidRDefault="00246374" w:rsidP="00756410">
            <w:pPr>
              <w:pStyle w:val="ListParagraph"/>
              <w:numPr>
                <w:ilvl w:val="0"/>
                <w:numId w:val="77"/>
              </w:numPr>
              <w:jc w:val="both"/>
              <w:rPr>
                <w:sz w:val="20"/>
                <w:szCs w:val="20"/>
                <w:lang w:val="es-ES"/>
              </w:rPr>
            </w:pPr>
            <w:r w:rsidRPr="00756410">
              <w:rPr>
                <w:sz w:val="20"/>
                <w:szCs w:val="20"/>
                <w:lang w:val="es-ES"/>
              </w:rPr>
              <w:t>No se ha realizado un pago anteriormente.</w:t>
            </w:r>
          </w:p>
          <w:p w14:paraId="580A9E04" w14:textId="4D3DAA63" w:rsidR="00246374" w:rsidRPr="00756410" w:rsidRDefault="00246374" w:rsidP="00756410">
            <w:pPr>
              <w:pStyle w:val="ListParagraph"/>
              <w:numPr>
                <w:ilvl w:val="0"/>
                <w:numId w:val="77"/>
              </w:numPr>
              <w:jc w:val="both"/>
              <w:rPr>
                <w:sz w:val="20"/>
                <w:szCs w:val="20"/>
                <w:lang w:val="es-419"/>
              </w:rPr>
            </w:pPr>
            <w:r w:rsidRPr="00756410">
              <w:rPr>
                <w:sz w:val="20"/>
                <w:szCs w:val="20"/>
                <w:lang w:val="es-419"/>
              </w:rPr>
              <w:lastRenderedPageBreak/>
              <w:t>La solicitud de pago (es decir, la factura) está respaldada por documentos que indican que los bienes o servicios por los que se reclama el pago se han recibido o prestado de acuerdo con los términos del contrato y el compromiso relacionado.</w:t>
            </w:r>
          </w:p>
          <w:p w14:paraId="05643AB9" w14:textId="2AB5ECE4" w:rsidR="00246374" w:rsidRPr="00756410" w:rsidRDefault="00246374" w:rsidP="00756410">
            <w:pPr>
              <w:pStyle w:val="ListParagraph"/>
              <w:numPr>
                <w:ilvl w:val="0"/>
                <w:numId w:val="77"/>
              </w:numPr>
              <w:jc w:val="both"/>
              <w:rPr>
                <w:sz w:val="20"/>
                <w:szCs w:val="20"/>
                <w:lang w:val="es-419"/>
              </w:rPr>
            </w:pPr>
            <w:r w:rsidRPr="00756410">
              <w:rPr>
                <w:sz w:val="20"/>
                <w:szCs w:val="20"/>
                <w:lang w:val="es-419"/>
              </w:rPr>
              <w:t xml:space="preserve">El pago se realiza contra un compromiso registrado de recursos contraído por </w:t>
            </w:r>
            <w:r w:rsidR="002C0B3F" w:rsidRPr="00C342B8">
              <w:rPr>
                <w:sz w:val="20"/>
                <w:szCs w:val="20"/>
                <w:lang w:val="es-419"/>
              </w:rPr>
              <w:t>el</w:t>
            </w:r>
            <w:r w:rsidR="002C0B3F" w:rsidRPr="00756410">
              <w:rPr>
                <w:sz w:val="20"/>
                <w:szCs w:val="20"/>
                <w:lang w:val="es-419"/>
              </w:rPr>
              <w:t xml:space="preserve"> </w:t>
            </w:r>
            <w:r w:rsidR="002C0B3F" w:rsidRPr="00C342B8">
              <w:rPr>
                <w:sz w:val="20"/>
                <w:szCs w:val="20"/>
                <w:lang w:val="es-419"/>
              </w:rPr>
              <w:t>personal autorizado para contraer compromisos</w:t>
            </w:r>
            <w:r w:rsidRPr="00756410">
              <w:rPr>
                <w:sz w:val="20"/>
                <w:szCs w:val="20"/>
                <w:lang w:val="es-419"/>
              </w:rPr>
              <w:t>.</w:t>
            </w:r>
          </w:p>
          <w:p w14:paraId="0595EFB8" w14:textId="4028AD2B" w:rsidR="00246374" w:rsidRPr="00756410" w:rsidRDefault="00246374" w:rsidP="00756410">
            <w:pPr>
              <w:pStyle w:val="ListParagraph"/>
              <w:numPr>
                <w:ilvl w:val="0"/>
                <w:numId w:val="77"/>
              </w:numPr>
              <w:jc w:val="both"/>
              <w:rPr>
                <w:sz w:val="20"/>
                <w:szCs w:val="20"/>
                <w:lang w:val="es-419"/>
              </w:rPr>
            </w:pPr>
            <w:r w:rsidRPr="00756410">
              <w:rPr>
                <w:sz w:val="20"/>
                <w:szCs w:val="20"/>
                <w:lang w:val="es-419"/>
              </w:rPr>
              <w:t>No hay otra información disponible que impida el pago.</w:t>
            </w:r>
          </w:p>
          <w:p w14:paraId="641A23F5" w14:textId="09D4AF3D" w:rsidR="00246374" w:rsidRPr="00756410" w:rsidRDefault="00246374" w:rsidP="00756410">
            <w:pPr>
              <w:pStyle w:val="ListParagraph"/>
              <w:numPr>
                <w:ilvl w:val="0"/>
                <w:numId w:val="7"/>
              </w:numPr>
              <w:jc w:val="both"/>
              <w:rPr>
                <w:sz w:val="20"/>
                <w:szCs w:val="20"/>
                <w:lang w:val="es-419"/>
              </w:rPr>
            </w:pPr>
            <w:r w:rsidRPr="00756410">
              <w:rPr>
                <w:sz w:val="20"/>
                <w:szCs w:val="20"/>
                <w:lang w:val="es-419"/>
              </w:rPr>
              <w:t xml:space="preserve">En el caso de las facturas que no sean de orden de compra, la documentación que respalda la factura ha sido firmada por </w:t>
            </w:r>
            <w:r w:rsidR="002C0B3F" w:rsidRPr="00C342B8">
              <w:rPr>
                <w:sz w:val="20"/>
                <w:szCs w:val="20"/>
                <w:lang w:val="es-419"/>
              </w:rPr>
              <w:t xml:space="preserve">el personal autorizado para contraer compromisos </w:t>
            </w:r>
            <w:r w:rsidRPr="00756410">
              <w:rPr>
                <w:sz w:val="20"/>
                <w:szCs w:val="20"/>
                <w:lang w:val="es-419"/>
              </w:rPr>
              <w:t>antes de que el pago pueda ser aprobado por un funcionario verificador.</w:t>
            </w:r>
          </w:p>
          <w:p w14:paraId="361A57C2" w14:textId="7EE0F8DD" w:rsidR="00246374" w:rsidRPr="00756410" w:rsidRDefault="00246374" w:rsidP="00756410">
            <w:pPr>
              <w:pStyle w:val="ListParagraph"/>
              <w:numPr>
                <w:ilvl w:val="0"/>
                <w:numId w:val="7"/>
              </w:numPr>
              <w:jc w:val="both"/>
              <w:rPr>
                <w:sz w:val="20"/>
                <w:szCs w:val="20"/>
                <w:lang w:val="es-419"/>
              </w:rPr>
            </w:pPr>
            <w:r w:rsidRPr="00756410">
              <w:rPr>
                <w:sz w:val="20"/>
                <w:szCs w:val="20"/>
                <w:lang w:val="es-419"/>
              </w:rPr>
              <w:t xml:space="preserve">Para las facturas de órdenes de compra, identifica las excepciones de </w:t>
            </w:r>
            <w:r w:rsidR="005E089C" w:rsidRPr="00756410">
              <w:rPr>
                <w:sz w:val="20"/>
                <w:szCs w:val="20"/>
                <w:lang w:val="es-419"/>
              </w:rPr>
              <w:t xml:space="preserve">conciliación de tres </w:t>
            </w:r>
            <w:r w:rsidRPr="00756410">
              <w:rPr>
                <w:sz w:val="20"/>
                <w:szCs w:val="20"/>
                <w:lang w:val="es-419"/>
              </w:rPr>
              <w:t xml:space="preserve">vías y facilita </w:t>
            </w:r>
            <w:r w:rsidR="00F272D8" w:rsidRPr="00756410">
              <w:rPr>
                <w:sz w:val="20"/>
                <w:szCs w:val="20"/>
                <w:lang w:val="es-419"/>
              </w:rPr>
              <w:t xml:space="preserve">su </w:t>
            </w:r>
            <w:r w:rsidRPr="00756410">
              <w:rPr>
                <w:sz w:val="20"/>
                <w:szCs w:val="20"/>
                <w:lang w:val="es-419"/>
              </w:rPr>
              <w:t>resolución.</w:t>
            </w:r>
          </w:p>
        </w:tc>
      </w:tr>
      <w:tr w:rsidR="00246374" w:rsidRPr="00773863" w14:paraId="37EE70A6"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038FE1" w14:textId="17B84314" w:rsidR="00246374" w:rsidRPr="00756410" w:rsidRDefault="00246374" w:rsidP="00CF7D17">
            <w:pPr>
              <w:pStyle w:val="ListParagraph"/>
              <w:numPr>
                <w:ilvl w:val="0"/>
                <w:numId w:val="78"/>
              </w:numPr>
              <w:rPr>
                <w:sz w:val="20"/>
                <w:szCs w:val="20"/>
                <w:lang w:val="es-419"/>
              </w:rPr>
            </w:pPr>
            <w:r w:rsidRPr="00756410">
              <w:rPr>
                <w:sz w:val="20"/>
                <w:szCs w:val="20"/>
                <w:lang w:val="es-419"/>
              </w:rPr>
              <w:lastRenderedPageBreak/>
              <w:t xml:space="preserve">Aprueba anulaciones de excepciones de </w:t>
            </w:r>
            <w:r w:rsidR="007B7AA0" w:rsidRPr="00756410">
              <w:rPr>
                <w:sz w:val="20"/>
                <w:szCs w:val="20"/>
                <w:lang w:val="es-419"/>
              </w:rPr>
              <w:t xml:space="preserve">conciliación de tres </w:t>
            </w:r>
            <w:r w:rsidRPr="00756410">
              <w:rPr>
                <w:sz w:val="20"/>
                <w:szCs w:val="20"/>
                <w:lang w:val="es-419"/>
              </w:rPr>
              <w:t xml:space="preserve">vías </w:t>
            </w:r>
          </w:p>
          <w:p w14:paraId="6AC5FC26" w14:textId="0989AB6A" w:rsidR="002E01A5" w:rsidRPr="00756410" w:rsidRDefault="002E01A5" w:rsidP="002E01A5">
            <w:pPr>
              <w:pStyle w:val="ListParagraph"/>
              <w:ind w:left="360"/>
              <w:rPr>
                <w:sz w:val="20"/>
                <w:szCs w:val="20"/>
                <w:lang w:val="es-419"/>
              </w:rPr>
            </w:pPr>
          </w:p>
        </w:tc>
        <w:tc>
          <w:tcPr>
            <w:tcW w:w="5130" w:type="dxa"/>
            <w:vMerge/>
            <w:tcBorders>
              <w:top w:val="single" w:sz="4" w:space="0" w:color="auto"/>
              <w:left w:val="single" w:sz="4" w:space="0" w:color="auto"/>
              <w:bottom w:val="single" w:sz="4" w:space="0" w:color="auto"/>
              <w:right w:val="single" w:sz="4" w:space="0" w:color="auto"/>
            </w:tcBorders>
          </w:tcPr>
          <w:p w14:paraId="48672475" w14:textId="52F344FD" w:rsidR="00246374" w:rsidRPr="00756410" w:rsidRDefault="00246374" w:rsidP="000B5103">
            <w:pPr>
              <w:rPr>
                <w:rFonts w:cstheme="minorHAnsi"/>
                <w:color w:val="ED7D31" w:themeColor="accent2"/>
                <w:sz w:val="20"/>
                <w:szCs w:val="20"/>
                <w:lang w:val="es-419"/>
              </w:rPr>
            </w:pPr>
          </w:p>
        </w:tc>
      </w:tr>
      <w:tr w:rsidR="00246374" w:rsidRPr="00773863" w14:paraId="3E397D9A"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27869D" w14:textId="12F2156F" w:rsidR="005424BE" w:rsidRPr="00175488" w:rsidRDefault="005424BE" w:rsidP="00756410">
            <w:pPr>
              <w:pStyle w:val="ListParagraph"/>
              <w:numPr>
                <w:ilvl w:val="0"/>
                <w:numId w:val="78"/>
              </w:numPr>
              <w:jc w:val="both"/>
              <w:rPr>
                <w:sz w:val="20"/>
                <w:szCs w:val="20"/>
                <w:lang w:val="es-ES"/>
              </w:rPr>
            </w:pPr>
            <w:r w:rsidRPr="00563CF5">
              <w:rPr>
                <w:sz w:val="20"/>
                <w:szCs w:val="20"/>
                <w:lang w:val="es-ES"/>
              </w:rPr>
              <w:t>Aprueba facturas con importe n</w:t>
            </w:r>
            <w:r>
              <w:rPr>
                <w:sz w:val="20"/>
                <w:szCs w:val="20"/>
                <w:lang w:val="es-ES"/>
              </w:rPr>
              <w:t>ulo</w:t>
            </w:r>
            <w:r w:rsidR="00602B6E">
              <w:rPr>
                <w:sz w:val="20"/>
                <w:szCs w:val="20"/>
                <w:lang w:val="es-ES"/>
              </w:rPr>
              <w:t>/de cero dólares</w:t>
            </w:r>
            <w:r>
              <w:rPr>
                <w:sz w:val="20"/>
                <w:szCs w:val="20"/>
                <w:lang w:val="es-ES"/>
              </w:rPr>
              <w:t xml:space="preserve"> (ZDIs por sus siglas en inglés) en Quantum. </w:t>
            </w:r>
          </w:p>
          <w:p w14:paraId="0C4C9F46" w14:textId="6A9FD23F" w:rsidR="006C1282" w:rsidRPr="00756410" w:rsidRDefault="00A562A8" w:rsidP="00756410">
            <w:pPr>
              <w:pStyle w:val="ListParagraph"/>
              <w:numPr>
                <w:ilvl w:val="0"/>
                <w:numId w:val="78"/>
              </w:numPr>
              <w:jc w:val="both"/>
              <w:rPr>
                <w:sz w:val="20"/>
                <w:szCs w:val="20"/>
                <w:lang w:val="es-419"/>
              </w:rPr>
            </w:pPr>
            <w:r w:rsidRPr="006F4670">
              <w:rPr>
                <w:sz w:val="20"/>
                <w:szCs w:val="20"/>
                <w:lang w:val="es-ES"/>
              </w:rPr>
              <w:t>Aprueba las partidas in</w:t>
            </w:r>
            <w:r>
              <w:rPr>
                <w:sz w:val="20"/>
                <w:szCs w:val="20"/>
                <w:lang w:val="es-ES"/>
              </w:rPr>
              <w:t>d</w:t>
            </w:r>
            <w:r w:rsidRPr="006F4670">
              <w:rPr>
                <w:sz w:val="20"/>
                <w:szCs w:val="20"/>
                <w:lang w:val="es-ES"/>
              </w:rPr>
              <w:t xml:space="preserve">ividuales en el libro mayor </w:t>
            </w:r>
            <w:r w:rsidR="00177C5D">
              <w:rPr>
                <w:sz w:val="20"/>
                <w:szCs w:val="20"/>
                <w:lang w:val="es-ES"/>
              </w:rPr>
              <w:t xml:space="preserve">(GLJE por sus siglas en inglés) </w:t>
            </w:r>
            <w:r w:rsidR="006C1282" w:rsidRPr="00756410">
              <w:rPr>
                <w:sz w:val="20"/>
                <w:szCs w:val="20"/>
                <w:lang w:val="es-419"/>
              </w:rPr>
              <w:t>(nota: es posible que durante el año fiscal 2025, las aprobaciones de GLJE se limiten solo a BMS/OFRM, BMS/GSSC, MPTFO y VNU</w:t>
            </w:r>
            <w:r w:rsidR="008B1605">
              <w:rPr>
                <w:rStyle w:val="FootnoteReference"/>
                <w:sz w:val="20"/>
                <w:szCs w:val="20"/>
              </w:rPr>
              <w:footnoteReference w:id="26"/>
            </w:r>
            <w:r w:rsidR="00944D11" w:rsidRPr="00756410">
              <w:rPr>
                <w:sz w:val="20"/>
                <w:szCs w:val="20"/>
                <w:lang w:val="es-419"/>
              </w:rPr>
              <w:t>)</w:t>
            </w:r>
          </w:p>
        </w:tc>
        <w:tc>
          <w:tcPr>
            <w:tcW w:w="5130" w:type="dxa"/>
            <w:vMerge/>
            <w:tcBorders>
              <w:top w:val="single" w:sz="4" w:space="0" w:color="auto"/>
              <w:left w:val="single" w:sz="4" w:space="0" w:color="auto"/>
              <w:bottom w:val="single" w:sz="4" w:space="0" w:color="auto"/>
              <w:right w:val="single" w:sz="4" w:space="0" w:color="auto"/>
            </w:tcBorders>
          </w:tcPr>
          <w:p w14:paraId="7286F387" w14:textId="77777777" w:rsidR="00246374" w:rsidRPr="00756410" w:rsidRDefault="00246374" w:rsidP="000B5103">
            <w:pPr>
              <w:rPr>
                <w:rFonts w:cstheme="minorHAnsi"/>
                <w:color w:val="ED7D31" w:themeColor="accent2"/>
                <w:sz w:val="20"/>
                <w:szCs w:val="20"/>
                <w:lang w:val="es-419"/>
              </w:rPr>
            </w:pPr>
          </w:p>
        </w:tc>
      </w:tr>
      <w:tr w:rsidR="000E683A" w:rsidRPr="00773863" w14:paraId="27163DC7" w14:textId="77777777" w:rsidTr="008C4953">
        <w:tc>
          <w:tcPr>
            <w:tcW w:w="45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6DDF27" w14:textId="1FA25B67" w:rsidR="00E247E2" w:rsidRPr="00756410" w:rsidRDefault="24938658" w:rsidP="00756410">
            <w:pPr>
              <w:jc w:val="both"/>
              <w:rPr>
                <w:sz w:val="20"/>
                <w:szCs w:val="20"/>
                <w:lang w:val="es-419"/>
              </w:rPr>
            </w:pPr>
            <w:r w:rsidRPr="00756410">
              <w:rPr>
                <w:b/>
                <w:bCs/>
                <w:sz w:val="20"/>
                <w:szCs w:val="20"/>
                <w:lang w:val="es-419"/>
              </w:rPr>
              <w:t>Realizado por:</w:t>
            </w:r>
            <w:r w:rsidRPr="00756410">
              <w:rPr>
                <w:sz w:val="20"/>
                <w:szCs w:val="20"/>
                <w:lang w:val="es-419"/>
              </w:rPr>
              <w:t xml:space="preserve"> Gerentes de aprobación en cada oficina/unidad. Los gerentes de aprobación deben incluir, como mínimo, el RR, uno o más de los RR</w:t>
            </w:r>
            <w:r w:rsidR="00BE56C3">
              <w:rPr>
                <w:sz w:val="20"/>
                <w:szCs w:val="20"/>
                <w:lang w:val="es-419"/>
              </w:rPr>
              <w:t>D</w:t>
            </w:r>
            <w:r w:rsidRPr="00756410">
              <w:rPr>
                <w:sz w:val="20"/>
                <w:szCs w:val="20"/>
                <w:lang w:val="es-419"/>
              </w:rPr>
              <w:t xml:space="preserve"> y el </w:t>
            </w:r>
            <w:r w:rsidR="00D44700">
              <w:rPr>
                <w:sz w:val="20"/>
                <w:szCs w:val="20"/>
                <w:lang w:val="es-419"/>
              </w:rPr>
              <w:t>G</w:t>
            </w:r>
            <w:r w:rsidRPr="00756410">
              <w:rPr>
                <w:sz w:val="20"/>
                <w:szCs w:val="20"/>
                <w:lang w:val="es-419"/>
              </w:rPr>
              <w:t xml:space="preserve">erente de </w:t>
            </w:r>
            <w:r w:rsidR="00D44700">
              <w:rPr>
                <w:sz w:val="20"/>
                <w:szCs w:val="20"/>
                <w:lang w:val="es-419"/>
              </w:rPr>
              <w:t>O</w:t>
            </w:r>
            <w:r w:rsidRPr="00756410">
              <w:rPr>
                <w:sz w:val="20"/>
                <w:szCs w:val="20"/>
                <w:lang w:val="es-419"/>
              </w:rPr>
              <w:t xml:space="preserve">peraciones (o equivalentes </w:t>
            </w:r>
            <w:r w:rsidR="00D44700">
              <w:rPr>
                <w:sz w:val="20"/>
                <w:szCs w:val="20"/>
                <w:lang w:val="es-419"/>
              </w:rPr>
              <w:t>de</w:t>
            </w:r>
            <w:r w:rsidRPr="00756410">
              <w:rPr>
                <w:sz w:val="20"/>
                <w:szCs w:val="20"/>
                <w:lang w:val="es-419"/>
              </w:rPr>
              <w:t xml:space="preserve"> la sede). El Jefe de Oficina/Unidad también puede nombrar Oficiales de Programas como Gerentes </w:t>
            </w:r>
            <w:r w:rsidR="00713782">
              <w:rPr>
                <w:sz w:val="20"/>
                <w:szCs w:val="20"/>
                <w:lang w:val="es-419"/>
              </w:rPr>
              <w:t>de Aprobación</w:t>
            </w:r>
            <w:r w:rsidR="00713782" w:rsidRPr="00756410">
              <w:rPr>
                <w:sz w:val="20"/>
                <w:szCs w:val="20"/>
                <w:lang w:val="es-419"/>
              </w:rPr>
              <w:t xml:space="preserve"> </w:t>
            </w:r>
            <w:r w:rsidRPr="00756410">
              <w:rPr>
                <w:sz w:val="20"/>
                <w:szCs w:val="20"/>
                <w:lang w:val="es-419"/>
              </w:rPr>
              <w:t>para revisar independientemente la autoridad ejercida por el Gerente de Proyecto. En tales casos, los oficiales de programas deben tener un sólido conocimiento de la</w:t>
            </w:r>
            <w:r w:rsidR="009D5685">
              <w:rPr>
                <w:sz w:val="20"/>
                <w:szCs w:val="20"/>
                <w:lang w:val="es-419"/>
              </w:rPr>
              <w:t xml:space="preserve"> </w:t>
            </w:r>
            <w:hyperlink r:id="rId95" w:history="1">
              <w:r w:rsidR="009D5685" w:rsidRPr="009D5685">
                <w:rPr>
                  <w:rStyle w:val="Hyperlink"/>
                  <w:sz w:val="20"/>
                  <w:szCs w:val="20"/>
                  <w:lang w:val="es-419"/>
                </w:rPr>
                <w:t>política de</w:t>
              </w:r>
              <w:r w:rsidRPr="00756410">
                <w:rPr>
                  <w:rStyle w:val="Hyperlink"/>
                  <w:lang w:val="es-419"/>
                </w:rPr>
                <w:t xml:space="preserve"> </w:t>
              </w:r>
              <w:r w:rsidR="007B61F6">
                <w:rPr>
                  <w:rStyle w:val="Hyperlink"/>
                  <w:sz w:val="20"/>
                  <w:szCs w:val="20"/>
                  <w:lang w:val="es-419"/>
                </w:rPr>
                <w:t>“</w:t>
              </w:r>
              <w:r w:rsidR="007B61F6" w:rsidRPr="00756410">
                <w:rPr>
                  <w:rStyle w:val="Hyperlink"/>
                  <w:i/>
                  <w:iCs/>
                  <w:sz w:val="20"/>
                  <w:szCs w:val="20"/>
                  <w:lang w:val="es-419"/>
                </w:rPr>
                <w:t>A</w:t>
              </w:r>
              <w:r w:rsidRPr="00756410">
                <w:rPr>
                  <w:rStyle w:val="Hyperlink"/>
                  <w:i/>
                  <w:iCs/>
                  <w:lang w:val="es-419"/>
                </w:rPr>
                <w:t>dquisicione</w:t>
              </w:r>
              <w:r w:rsidR="007B61F6" w:rsidRPr="00756410">
                <w:rPr>
                  <w:rStyle w:val="Hyperlink"/>
                  <w:i/>
                  <w:iCs/>
                  <w:sz w:val="20"/>
                  <w:szCs w:val="20"/>
                  <w:lang w:val="es-419"/>
                </w:rPr>
                <w:t>s</w:t>
              </w:r>
              <w:r w:rsidR="007B61F6">
                <w:rPr>
                  <w:rStyle w:val="Hyperlink"/>
                  <w:sz w:val="20"/>
                  <w:szCs w:val="20"/>
                  <w:lang w:val="es-419"/>
                </w:rPr>
                <w:t>”</w:t>
              </w:r>
            </w:hyperlink>
            <w:r w:rsidRPr="00756410">
              <w:rPr>
                <w:sz w:val="20"/>
                <w:szCs w:val="20"/>
                <w:lang w:val="es-419"/>
              </w:rPr>
              <w:t xml:space="preserve"> del PNUD </w:t>
            </w:r>
            <w:hyperlink r:id="rId96">
              <w:r w:rsidR="00E24AE8" w:rsidRPr="00773863">
                <w:rPr>
                  <w:rStyle w:val="Hyperlink"/>
                  <w:lang w:val="es-419"/>
                </w:rPr>
                <w:t>https://popp.undp.org/es/adquisiciones</w:t>
              </w:r>
            </w:hyperlink>
            <w:r w:rsidR="00E247E2" w:rsidRPr="00756410">
              <w:rPr>
                <w:sz w:val="20"/>
                <w:szCs w:val="20"/>
                <w:lang w:val="es-419"/>
              </w:rPr>
              <w:t>y el apoyo del RR y el RR</w:t>
            </w:r>
            <w:r w:rsidR="002D6149">
              <w:rPr>
                <w:sz w:val="20"/>
                <w:szCs w:val="20"/>
                <w:lang w:val="es-419"/>
              </w:rPr>
              <w:t>A</w:t>
            </w:r>
            <w:r w:rsidR="00E247E2" w:rsidRPr="00756410">
              <w:rPr>
                <w:sz w:val="20"/>
                <w:szCs w:val="20"/>
                <w:lang w:val="es-419"/>
              </w:rPr>
              <w:t xml:space="preserve"> (P) en el ejercicio de las tareas de supervisión del proyecto.</w:t>
            </w:r>
          </w:p>
        </w:tc>
        <w:tc>
          <w:tcPr>
            <w:tcW w:w="51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16C87E" w14:textId="5195BF2A" w:rsidR="000E683A" w:rsidRPr="00756410" w:rsidRDefault="00595753" w:rsidP="00756410">
            <w:pPr>
              <w:jc w:val="both"/>
              <w:rPr>
                <w:color w:val="ED7D31" w:themeColor="accent2"/>
                <w:sz w:val="20"/>
                <w:szCs w:val="20"/>
                <w:lang w:val="es-419"/>
              </w:rPr>
            </w:pPr>
            <w:r w:rsidRPr="00756410">
              <w:rPr>
                <w:b/>
                <w:sz w:val="20"/>
                <w:szCs w:val="20"/>
                <w:lang w:val="es-419"/>
              </w:rPr>
              <w:t>Realizado por:</w:t>
            </w:r>
            <w:r w:rsidRPr="00756410">
              <w:rPr>
                <w:sz w:val="20"/>
                <w:szCs w:val="20"/>
                <w:lang w:val="es-419"/>
              </w:rPr>
              <w:t xml:space="preserve"> </w:t>
            </w:r>
            <w:r w:rsidR="006765E2">
              <w:rPr>
                <w:sz w:val="20"/>
                <w:szCs w:val="20"/>
                <w:lang w:val="es-419"/>
              </w:rPr>
              <w:t>Gerente de Aprobac</w:t>
            </w:r>
            <w:r w:rsidR="006765E2" w:rsidRPr="00756410">
              <w:rPr>
                <w:sz w:val="20"/>
                <w:szCs w:val="20"/>
                <w:lang w:val="es-ES"/>
              </w:rPr>
              <w:t>i</w:t>
            </w:r>
            <w:r w:rsidR="006765E2">
              <w:rPr>
                <w:sz w:val="20"/>
                <w:szCs w:val="20"/>
                <w:lang w:val="es-ES"/>
              </w:rPr>
              <w:t xml:space="preserve">ón en </w:t>
            </w:r>
            <w:r w:rsidR="006765E2">
              <w:rPr>
                <w:sz w:val="20"/>
                <w:szCs w:val="20"/>
                <w:lang w:val="es-419"/>
              </w:rPr>
              <w:t>el</w:t>
            </w:r>
            <w:r w:rsidRPr="00756410">
              <w:rPr>
                <w:sz w:val="20"/>
                <w:szCs w:val="20"/>
                <w:lang w:val="es-419"/>
              </w:rPr>
              <w:t xml:space="preserve"> BMS/GSSC para oficinas</w:t>
            </w:r>
            <w:r w:rsidR="006765E2">
              <w:rPr>
                <w:sz w:val="20"/>
                <w:szCs w:val="20"/>
                <w:lang w:val="es-419"/>
              </w:rPr>
              <w:t>/</w:t>
            </w:r>
            <w:r w:rsidRPr="00756410">
              <w:rPr>
                <w:sz w:val="20"/>
                <w:szCs w:val="20"/>
                <w:lang w:val="es-419"/>
              </w:rPr>
              <w:t>unidades con procesos agrupados</w:t>
            </w:r>
            <w:r w:rsidR="006A0D67">
              <w:rPr>
                <w:sz w:val="20"/>
                <w:szCs w:val="20"/>
                <w:lang w:val="es-419"/>
              </w:rPr>
              <w:t xml:space="preserve"> (</w:t>
            </w:r>
            <w:r w:rsidR="006A0D67" w:rsidRPr="00756410">
              <w:rPr>
                <w:i/>
                <w:iCs/>
                <w:sz w:val="20"/>
                <w:szCs w:val="20"/>
                <w:lang w:val="es-419"/>
              </w:rPr>
              <w:t>clustered</w:t>
            </w:r>
            <w:r w:rsidR="006A0D67">
              <w:rPr>
                <w:i/>
                <w:iCs/>
                <w:sz w:val="20"/>
                <w:szCs w:val="20"/>
                <w:lang w:val="es-419"/>
              </w:rPr>
              <w:t>)</w:t>
            </w:r>
            <w:r w:rsidRPr="00756410">
              <w:rPr>
                <w:sz w:val="20"/>
                <w:szCs w:val="20"/>
                <w:lang w:val="es-419"/>
              </w:rPr>
              <w:t xml:space="preserve"> de cuentas por pagar; </w:t>
            </w:r>
            <w:r w:rsidR="006765E2">
              <w:rPr>
                <w:sz w:val="20"/>
                <w:szCs w:val="20"/>
                <w:lang w:val="es-419"/>
              </w:rPr>
              <w:t>Gerente de Aprobación</w:t>
            </w:r>
            <w:r w:rsidRPr="00756410">
              <w:rPr>
                <w:sz w:val="20"/>
                <w:szCs w:val="20"/>
                <w:lang w:val="es-419"/>
              </w:rPr>
              <w:t xml:space="preserve"> dentro de una oficina/unidad para aquell</w:t>
            </w:r>
            <w:r w:rsidR="006765E2">
              <w:rPr>
                <w:sz w:val="20"/>
                <w:szCs w:val="20"/>
                <w:lang w:val="es-419"/>
              </w:rPr>
              <w:t>a</w:t>
            </w:r>
            <w:r w:rsidRPr="00756410">
              <w:rPr>
                <w:sz w:val="20"/>
                <w:szCs w:val="20"/>
                <w:lang w:val="es-419"/>
              </w:rPr>
              <w:t>s que no tienen procesos de cuentas por pagar agrupados</w:t>
            </w:r>
            <w:r w:rsidR="006A0D67">
              <w:rPr>
                <w:sz w:val="20"/>
                <w:szCs w:val="20"/>
                <w:lang w:val="es-419"/>
              </w:rPr>
              <w:t xml:space="preserve"> (</w:t>
            </w:r>
            <w:r w:rsidR="0091356F" w:rsidRPr="00756410">
              <w:rPr>
                <w:i/>
                <w:iCs/>
                <w:sz w:val="20"/>
                <w:szCs w:val="20"/>
                <w:lang w:val="es-419"/>
              </w:rPr>
              <w:t>clustered</w:t>
            </w:r>
            <w:r w:rsidR="0091356F">
              <w:rPr>
                <w:sz w:val="20"/>
                <w:szCs w:val="20"/>
                <w:lang w:val="es-419"/>
              </w:rPr>
              <w:t>)</w:t>
            </w:r>
          </w:p>
        </w:tc>
      </w:tr>
      <w:tr w:rsidR="003F3D6B" w:rsidRPr="00473113" w14:paraId="131A7260"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E86FEA" w14:textId="64588CED" w:rsidR="003F3D6B" w:rsidRPr="00756410" w:rsidRDefault="009D5685" w:rsidP="000B5103">
            <w:pPr>
              <w:rPr>
                <w:rFonts w:cstheme="minorHAnsi"/>
                <w:color w:val="ED7D31" w:themeColor="accent2"/>
                <w:sz w:val="20"/>
                <w:szCs w:val="20"/>
                <w:lang w:val="es-ES"/>
              </w:rPr>
            </w:pPr>
            <w:r w:rsidRPr="00756410">
              <w:rPr>
                <w:b/>
                <w:bCs/>
                <w:sz w:val="20"/>
                <w:szCs w:val="20"/>
                <w:lang w:val="es-ES"/>
              </w:rPr>
              <w:lastRenderedPageBreak/>
              <w:t>Perfil de Usuario de IDAM</w:t>
            </w:r>
            <w:r w:rsidR="003F3D6B" w:rsidRPr="00756410">
              <w:rPr>
                <w:b/>
                <w:bCs/>
                <w:sz w:val="20"/>
                <w:szCs w:val="20"/>
                <w:lang w:val="es-ES"/>
              </w:rPr>
              <w:t>: Gerente Nivel 1</w:t>
            </w:r>
            <w:r w:rsidRPr="00756410">
              <w:rPr>
                <w:b/>
                <w:bCs/>
                <w:sz w:val="20"/>
                <w:szCs w:val="20"/>
                <w:lang w:val="es-ES"/>
              </w:rPr>
              <w:t xml:space="preserve"> (</w:t>
            </w:r>
            <w:r w:rsidRPr="00756410">
              <w:rPr>
                <w:b/>
                <w:bCs/>
                <w:i/>
                <w:iCs/>
                <w:sz w:val="20"/>
                <w:szCs w:val="20"/>
                <w:lang w:val="es-ES"/>
              </w:rPr>
              <w:t>Manager Level 1</w:t>
            </w:r>
            <w:r w:rsidRPr="00756410">
              <w:rPr>
                <w:b/>
                <w:bCs/>
                <w:sz w:val="20"/>
                <w:szCs w:val="20"/>
                <w:lang w:val="es-ES"/>
              </w:rPr>
              <w:t>)</w:t>
            </w:r>
            <w:r w:rsidR="003F3D6B" w:rsidRPr="00756410">
              <w:rPr>
                <w:b/>
                <w:bCs/>
                <w:sz w:val="20"/>
                <w:szCs w:val="20"/>
                <w:lang w:val="es-ES"/>
              </w:rPr>
              <w:t>, Gerente Nivel 2</w:t>
            </w:r>
            <w:r>
              <w:rPr>
                <w:b/>
                <w:bCs/>
                <w:sz w:val="20"/>
                <w:szCs w:val="20"/>
                <w:lang w:val="es-ES"/>
              </w:rPr>
              <w:t xml:space="preserve"> (</w:t>
            </w:r>
            <w:r w:rsidRPr="00756410">
              <w:rPr>
                <w:b/>
                <w:bCs/>
                <w:i/>
                <w:iCs/>
                <w:sz w:val="20"/>
                <w:szCs w:val="20"/>
                <w:lang w:val="es-ES"/>
              </w:rPr>
              <w:t>Manager Level 2</w:t>
            </w:r>
            <w:r>
              <w:rPr>
                <w:b/>
                <w:bCs/>
                <w:sz w:val="20"/>
                <w:szCs w:val="20"/>
                <w:lang w:val="es-ES"/>
              </w:rPr>
              <w:t>)</w:t>
            </w:r>
            <w:r w:rsidR="003F3D6B" w:rsidRPr="00756410">
              <w:rPr>
                <w:b/>
                <w:bCs/>
                <w:sz w:val="20"/>
                <w:szCs w:val="20"/>
                <w:lang w:val="es-ES"/>
              </w:rPr>
              <w:t>, Gerente Senior</w:t>
            </w:r>
            <w:r>
              <w:rPr>
                <w:b/>
                <w:bCs/>
                <w:sz w:val="20"/>
                <w:szCs w:val="20"/>
                <w:lang w:val="es-ES"/>
              </w:rPr>
              <w:t xml:space="preserve"> (</w:t>
            </w:r>
            <w:r w:rsidRPr="00756410">
              <w:rPr>
                <w:b/>
                <w:bCs/>
                <w:i/>
                <w:iCs/>
                <w:sz w:val="20"/>
                <w:szCs w:val="20"/>
                <w:lang w:val="es-ES"/>
              </w:rPr>
              <w:t>Senior Manager</w:t>
            </w:r>
            <w:r>
              <w:rPr>
                <w:b/>
                <w:bCs/>
                <w:sz w:val="20"/>
                <w:szCs w:val="20"/>
                <w:lang w:val="es-ES"/>
              </w:rPr>
              <w:t>)</w:t>
            </w:r>
          </w:p>
        </w:tc>
      </w:tr>
      <w:tr w:rsidR="002E4DC3" w:rsidRPr="00773863" w14:paraId="5AAD4DA6" w14:textId="77777777" w:rsidTr="008C4953">
        <w:tc>
          <w:tcPr>
            <w:tcW w:w="97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647CD" w14:textId="342356B6" w:rsidR="002E4DC3" w:rsidRPr="00756410" w:rsidRDefault="002E4DC3" w:rsidP="363CA695">
            <w:pPr>
              <w:rPr>
                <w:b/>
                <w:sz w:val="20"/>
                <w:szCs w:val="20"/>
                <w:lang w:val="es-419"/>
              </w:rPr>
            </w:pPr>
            <w:r w:rsidRPr="00756410">
              <w:rPr>
                <w:b/>
                <w:bCs/>
                <w:sz w:val="20"/>
                <w:szCs w:val="20"/>
                <w:lang w:val="es-419"/>
              </w:rPr>
              <w:t xml:space="preserve">Flexibilidad permitida: </w:t>
            </w:r>
            <w:r w:rsidRPr="00756410">
              <w:rPr>
                <w:sz w:val="20"/>
                <w:szCs w:val="20"/>
                <w:lang w:val="es-419"/>
              </w:rPr>
              <w:t>Como se indica en la sección 2.1, el RR/RR</w:t>
            </w:r>
            <w:r w:rsidR="00BE56C3">
              <w:rPr>
                <w:sz w:val="20"/>
                <w:szCs w:val="20"/>
                <w:lang w:val="es-419"/>
              </w:rPr>
              <w:t>D</w:t>
            </w:r>
            <w:r w:rsidRPr="00756410">
              <w:rPr>
                <w:sz w:val="20"/>
                <w:szCs w:val="20"/>
                <w:lang w:val="es-419"/>
              </w:rPr>
              <w:t>/OM (y el equivalente de la sede) puede tener perfiles de Gerente de Aprobación y Gerente de Proyecto siempre que observen la segregación de funciones requerida que se indica a continuación.</w:t>
            </w:r>
          </w:p>
        </w:tc>
      </w:tr>
      <w:tr w:rsidR="00EF101F" w:rsidRPr="00773863" w14:paraId="2A07F15B" w14:textId="77777777" w:rsidTr="008C4953">
        <w:tc>
          <w:tcPr>
            <w:tcW w:w="9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1FC47" w14:textId="1AF21054" w:rsidR="002028BA" w:rsidRPr="00756410" w:rsidRDefault="00EF101F" w:rsidP="363CA695">
            <w:pPr>
              <w:rPr>
                <w:sz w:val="20"/>
                <w:szCs w:val="20"/>
                <w:lang w:val="es-419"/>
              </w:rPr>
            </w:pPr>
            <w:r w:rsidRPr="00756410">
              <w:rPr>
                <w:b/>
                <w:bCs/>
                <w:sz w:val="20"/>
                <w:szCs w:val="20"/>
                <w:lang w:val="es-419"/>
              </w:rPr>
              <w:t>Segregación de funciones requerida:</w:t>
            </w:r>
            <w:r w:rsidRPr="00756410">
              <w:rPr>
                <w:sz w:val="20"/>
                <w:szCs w:val="20"/>
                <w:lang w:val="es-419"/>
              </w:rPr>
              <w:t xml:space="preserve"> El Gerente de Aprobación (segunda autoridad, oficial verificador) no debe desempeñar el rol de Gerente de Proyecto (primera autoridad, </w:t>
            </w:r>
            <w:r w:rsidR="002957E9">
              <w:rPr>
                <w:sz w:val="20"/>
                <w:szCs w:val="20"/>
                <w:lang w:val="es-419"/>
              </w:rPr>
              <w:t>personal</w:t>
            </w:r>
            <w:r w:rsidR="002957E9" w:rsidRPr="00914285">
              <w:rPr>
                <w:sz w:val="20"/>
                <w:szCs w:val="20"/>
                <w:lang w:val="es-419"/>
              </w:rPr>
              <w:t xml:space="preserve"> autorizado para </w:t>
            </w:r>
            <w:r w:rsidR="002957E9">
              <w:rPr>
                <w:sz w:val="20"/>
                <w:szCs w:val="20"/>
                <w:lang w:val="es-419"/>
              </w:rPr>
              <w:t>contraer compromisos</w:t>
            </w:r>
            <w:r w:rsidRPr="00756410">
              <w:rPr>
                <w:sz w:val="20"/>
                <w:szCs w:val="20"/>
                <w:lang w:val="es-419"/>
              </w:rPr>
              <w:t>) o el Oficial de Desembolso (tercera autoridad, oficial de desembolso) en la misma transacción. Adicionalmente, no deben actuar como Gerente de Aprobación de transacciones con cargo a sus propios proyectos (desarrollo o gestión), ya que esto representa un conflicto de intereses.</w:t>
            </w:r>
          </w:p>
        </w:tc>
      </w:tr>
    </w:tbl>
    <w:p w14:paraId="3904C845" w14:textId="77777777" w:rsidR="007653FF" w:rsidRPr="00756410" w:rsidRDefault="007653FF" w:rsidP="007653FF">
      <w:pPr>
        <w:spacing w:after="0" w:line="240" w:lineRule="auto"/>
        <w:rPr>
          <w:lang w:val="es-419"/>
        </w:rPr>
      </w:pPr>
    </w:p>
    <w:p w14:paraId="7B24B3FD" w14:textId="6B093443" w:rsidR="00323043" w:rsidRPr="00756410" w:rsidRDefault="00323043" w:rsidP="00756410">
      <w:pPr>
        <w:spacing w:line="240" w:lineRule="auto"/>
        <w:jc w:val="both"/>
        <w:rPr>
          <w:color w:val="FF0000"/>
          <w:lang w:val="es-419"/>
        </w:rPr>
      </w:pPr>
      <w:r w:rsidRPr="00756410">
        <w:rPr>
          <w:b/>
          <w:bCs/>
          <w:lang w:val="es-419"/>
        </w:rPr>
        <w:t>Procesamiento de transacciones de emergencia en oficinas/unidades con procesos agrupados</w:t>
      </w:r>
      <w:r w:rsidR="0091356F">
        <w:rPr>
          <w:b/>
          <w:bCs/>
          <w:lang w:val="es-419"/>
        </w:rPr>
        <w:t xml:space="preserve"> (</w:t>
      </w:r>
      <w:r w:rsidR="0091356F">
        <w:rPr>
          <w:b/>
          <w:bCs/>
          <w:i/>
          <w:iCs/>
          <w:lang w:val="es-419"/>
        </w:rPr>
        <w:t>clustered</w:t>
      </w:r>
      <w:r w:rsidR="0091356F">
        <w:rPr>
          <w:b/>
          <w:bCs/>
          <w:lang w:val="es-419"/>
        </w:rPr>
        <w:t>)</w:t>
      </w:r>
      <w:r w:rsidRPr="00756410">
        <w:rPr>
          <w:b/>
          <w:bCs/>
          <w:lang w:val="es-419"/>
        </w:rPr>
        <w:t xml:space="preserve"> de cuentas por pagar:</w:t>
      </w:r>
      <w:r w:rsidRPr="00756410">
        <w:rPr>
          <w:lang w:val="es-419"/>
        </w:rPr>
        <w:t xml:space="preserve"> El Jefe de Oficina/Unidad debe designar gerentes de aprobación que estén autorizados para ejecutar la Parte B de la función de la segunda autoridad (es decir, verificar que se puedan realizar pagos) para pagos que no sean órdenes de compra y pagos anticipados en situaciones de emergencia en las que BMS/GSSC no pueda procesar una transacción a tiempo. En este caso, deben seguirse los procedimientos para el procesamiento de las operaciones de emergencia, tal como se describe en el </w:t>
      </w:r>
      <w:hyperlink r:id="rId97">
        <w:r w:rsidR="00B91264">
          <w:rPr>
            <w:rStyle w:val="Hyperlink"/>
            <w:lang w:val="es-419"/>
          </w:rPr>
          <w:t>SOP</w:t>
        </w:r>
        <w:r w:rsidR="51098210" w:rsidRPr="00756410">
          <w:rPr>
            <w:rStyle w:val="Hyperlink"/>
            <w:lang w:val="es-419"/>
          </w:rPr>
          <w:t xml:space="preserve"> del </w:t>
        </w:r>
        <w:r w:rsidR="00B91264">
          <w:rPr>
            <w:rStyle w:val="Hyperlink"/>
            <w:lang w:val="es-419"/>
          </w:rPr>
          <w:t>BMS/</w:t>
        </w:r>
        <w:r w:rsidR="51098210" w:rsidRPr="00756410">
          <w:rPr>
            <w:rStyle w:val="Hyperlink"/>
            <w:lang w:val="es-419"/>
          </w:rPr>
          <w:t>GSSC sobre operaciones financieras de emergenci</w:t>
        </w:r>
        <w:r w:rsidR="00434C96">
          <w:rPr>
            <w:rStyle w:val="Hyperlink"/>
            <w:lang w:val="es-419"/>
          </w:rPr>
          <w:t>a (en inglés)</w:t>
        </w:r>
      </w:hyperlink>
      <w:r w:rsidR="00434C96" w:rsidRPr="00756410">
        <w:rPr>
          <w:lang w:val="es-ES"/>
        </w:rPr>
        <w:t>.</w:t>
      </w:r>
    </w:p>
    <w:tbl>
      <w:tblPr>
        <w:tblStyle w:val="TableGrid"/>
        <w:tblW w:w="0" w:type="auto"/>
        <w:tblCellMar>
          <w:bottom w:w="43" w:type="dxa"/>
        </w:tblCellMar>
        <w:tblLook w:val="04A0" w:firstRow="1" w:lastRow="0" w:firstColumn="1" w:lastColumn="0" w:noHBand="0" w:noVBand="1"/>
      </w:tblPr>
      <w:tblGrid>
        <w:gridCol w:w="1615"/>
        <w:gridCol w:w="8100"/>
      </w:tblGrid>
      <w:tr w:rsidR="000F7705" w:rsidRPr="00773863" w14:paraId="084A8D89" w14:textId="77777777" w:rsidTr="008C4953">
        <w:trPr>
          <w:trHeight w:val="20"/>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002060"/>
          </w:tcPr>
          <w:p w14:paraId="3DABF108" w14:textId="21F69E8F" w:rsidR="000F7705" w:rsidRPr="00756410" w:rsidRDefault="000F7705" w:rsidP="000F7705">
            <w:pPr>
              <w:rPr>
                <w:lang w:val="es-419"/>
              </w:rPr>
            </w:pPr>
            <w:r w:rsidRPr="00756410">
              <w:rPr>
                <w:b/>
                <w:bCs/>
                <w:sz w:val="20"/>
                <w:szCs w:val="20"/>
                <w:lang w:val="es-419"/>
              </w:rPr>
              <w:t>Umbrales de aprobación de Quantum</w:t>
            </w:r>
          </w:p>
        </w:tc>
      </w:tr>
      <w:tr w:rsidR="000F7705" w:rsidRPr="00773863" w14:paraId="5B903E18"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tcPr>
          <w:p w14:paraId="0C816870" w14:textId="5B26EBFE" w:rsidR="000F7705" w:rsidRPr="00756410" w:rsidRDefault="000F7705" w:rsidP="000F7705">
            <w:pPr>
              <w:spacing w:line="259" w:lineRule="auto"/>
              <w:rPr>
                <w:b/>
                <w:sz w:val="20"/>
                <w:szCs w:val="20"/>
                <w:lang w:val="es-419"/>
              </w:rPr>
            </w:pPr>
            <w:r w:rsidRPr="00756410">
              <w:rPr>
                <w:b/>
                <w:bCs/>
                <w:sz w:val="20"/>
                <w:szCs w:val="20"/>
                <w:lang w:val="es-419"/>
              </w:rPr>
              <w:t xml:space="preserve">(deben ser </w:t>
            </w:r>
            <w:r w:rsidR="003B6B29">
              <w:rPr>
                <w:b/>
                <w:bCs/>
                <w:sz w:val="20"/>
                <w:szCs w:val="20"/>
                <w:lang w:val="es-419"/>
              </w:rPr>
              <w:t xml:space="preserve">personal </w:t>
            </w:r>
            <w:r w:rsidRPr="00756410">
              <w:rPr>
                <w:b/>
                <w:bCs/>
                <w:sz w:val="20"/>
                <w:szCs w:val="20"/>
                <w:lang w:val="es-419"/>
              </w:rPr>
              <w:t>funcionario del PNUD a nivel nacional o internacional)</w:t>
            </w:r>
          </w:p>
        </w:tc>
      </w:tr>
      <w:tr w:rsidR="000F7705" w:rsidRPr="00773863" w14:paraId="5A956347" w14:textId="77777777" w:rsidTr="008C4953">
        <w:trPr>
          <w:trHeight w:val="20"/>
        </w:trPr>
        <w:tc>
          <w:tcPr>
            <w:tcW w:w="1615" w:type="dxa"/>
            <w:tcBorders>
              <w:top w:val="single" w:sz="4" w:space="0" w:color="auto"/>
              <w:left w:val="single" w:sz="4" w:space="0" w:color="auto"/>
              <w:bottom w:val="single" w:sz="4" w:space="0" w:color="auto"/>
              <w:right w:val="single" w:sz="4" w:space="0" w:color="auto"/>
            </w:tcBorders>
          </w:tcPr>
          <w:p w14:paraId="2F247B24" w14:textId="32FE2D79" w:rsidR="000F7705" w:rsidRDefault="000F7705" w:rsidP="002426B0">
            <w:r w:rsidRPr="00620244">
              <w:rPr>
                <w:sz w:val="20"/>
                <w:szCs w:val="20"/>
              </w:rPr>
              <w:t>Gerente Nivel 1</w:t>
            </w:r>
          </w:p>
        </w:tc>
        <w:tc>
          <w:tcPr>
            <w:tcW w:w="8100" w:type="dxa"/>
            <w:tcBorders>
              <w:top w:val="single" w:sz="4" w:space="0" w:color="auto"/>
              <w:left w:val="single" w:sz="4" w:space="0" w:color="auto"/>
              <w:bottom w:val="single" w:sz="4" w:space="0" w:color="auto"/>
              <w:right w:val="single" w:sz="4" w:space="0" w:color="auto"/>
            </w:tcBorders>
          </w:tcPr>
          <w:p w14:paraId="2594DAAA" w14:textId="30E0469A" w:rsidR="000F7705" w:rsidRPr="00756410" w:rsidRDefault="000F7705" w:rsidP="00756410">
            <w:pPr>
              <w:jc w:val="both"/>
              <w:rPr>
                <w:sz w:val="20"/>
                <w:szCs w:val="20"/>
                <w:lang w:val="es-419"/>
              </w:rPr>
            </w:pPr>
            <w:r w:rsidRPr="00756410">
              <w:rPr>
                <w:sz w:val="20"/>
                <w:szCs w:val="20"/>
                <w:lang w:val="es-419"/>
              </w:rPr>
              <w:t xml:space="preserve">Hasta US$10,000. </w:t>
            </w:r>
            <w:r w:rsidRPr="00756410">
              <w:rPr>
                <w:b/>
                <w:bCs/>
                <w:sz w:val="20"/>
                <w:szCs w:val="20"/>
                <w:lang w:val="es-419"/>
              </w:rPr>
              <w:t>Flexibilidad permitida</w:t>
            </w:r>
            <w:r w:rsidR="00DD625F" w:rsidRPr="00756410">
              <w:rPr>
                <w:sz w:val="20"/>
                <w:szCs w:val="20"/>
                <w:lang w:val="es-419"/>
              </w:rPr>
              <w:t>: Para ampliar el personal capaz de realizar aprobaciones de segunda autoridad, Gerente</w:t>
            </w:r>
            <w:r w:rsidR="00E22308">
              <w:rPr>
                <w:sz w:val="20"/>
                <w:szCs w:val="20"/>
                <w:lang w:val="es-419"/>
              </w:rPr>
              <w:t xml:space="preserve"> de Nivel 1</w:t>
            </w:r>
            <w:r w:rsidR="00DD625F" w:rsidRPr="00756410">
              <w:rPr>
                <w:sz w:val="20"/>
                <w:szCs w:val="20"/>
                <w:lang w:val="es-419"/>
              </w:rPr>
              <w:t xml:space="preserve"> puede delegarse a miembros del personal</w:t>
            </w:r>
            <w:r w:rsidR="0039539B">
              <w:rPr>
                <w:sz w:val="20"/>
                <w:szCs w:val="20"/>
                <w:lang w:val="es-419"/>
              </w:rPr>
              <w:t xml:space="preserve"> de nivel</w:t>
            </w:r>
            <w:r w:rsidR="00DD625F" w:rsidRPr="00756410">
              <w:rPr>
                <w:sz w:val="20"/>
                <w:szCs w:val="20"/>
                <w:lang w:val="es-419"/>
              </w:rPr>
              <w:t xml:space="preserve"> GS7 en grandes oficinas/unidades.</w:t>
            </w:r>
          </w:p>
        </w:tc>
      </w:tr>
      <w:tr w:rsidR="000F7705" w:rsidRPr="00773863" w14:paraId="4E0BE2B9" w14:textId="77777777" w:rsidTr="008C4953">
        <w:trPr>
          <w:trHeight w:val="20"/>
        </w:trPr>
        <w:tc>
          <w:tcPr>
            <w:tcW w:w="1615" w:type="dxa"/>
            <w:tcBorders>
              <w:top w:val="single" w:sz="4" w:space="0" w:color="auto"/>
              <w:left w:val="single" w:sz="4" w:space="0" w:color="auto"/>
              <w:bottom w:val="single" w:sz="4" w:space="0" w:color="auto"/>
              <w:right w:val="single" w:sz="4" w:space="0" w:color="auto"/>
            </w:tcBorders>
          </w:tcPr>
          <w:p w14:paraId="300E8B7D" w14:textId="25A6E3EB" w:rsidR="000F7705" w:rsidRDefault="000F7705" w:rsidP="002426B0">
            <w:r w:rsidRPr="00620244">
              <w:rPr>
                <w:sz w:val="20"/>
                <w:szCs w:val="20"/>
              </w:rPr>
              <w:t>Gerente Nivel 2</w:t>
            </w:r>
          </w:p>
        </w:tc>
        <w:tc>
          <w:tcPr>
            <w:tcW w:w="8100" w:type="dxa"/>
            <w:tcBorders>
              <w:top w:val="single" w:sz="4" w:space="0" w:color="auto"/>
              <w:left w:val="single" w:sz="4" w:space="0" w:color="auto"/>
              <w:bottom w:val="single" w:sz="4" w:space="0" w:color="auto"/>
              <w:right w:val="single" w:sz="4" w:space="0" w:color="auto"/>
            </w:tcBorders>
          </w:tcPr>
          <w:p w14:paraId="3909F514" w14:textId="2E1AD43D" w:rsidR="000F7705" w:rsidRPr="00756410" w:rsidRDefault="000F7705" w:rsidP="00756410">
            <w:pPr>
              <w:jc w:val="both"/>
              <w:rPr>
                <w:sz w:val="20"/>
                <w:szCs w:val="20"/>
                <w:lang w:val="es-419"/>
              </w:rPr>
            </w:pPr>
            <w:r w:rsidRPr="00756410">
              <w:rPr>
                <w:sz w:val="20"/>
                <w:szCs w:val="20"/>
                <w:lang w:val="es-419"/>
              </w:rPr>
              <w:t xml:space="preserve">Hasta US$50,000. </w:t>
            </w:r>
            <w:r w:rsidR="6C4D218D" w:rsidRPr="00756410">
              <w:rPr>
                <w:b/>
                <w:bCs/>
                <w:sz w:val="20"/>
                <w:szCs w:val="20"/>
                <w:lang w:val="es-419"/>
              </w:rPr>
              <w:t xml:space="preserve">Flexibilidad permitida: </w:t>
            </w:r>
            <w:r w:rsidR="6C4D218D" w:rsidRPr="00756410">
              <w:rPr>
                <w:sz w:val="20"/>
                <w:szCs w:val="20"/>
                <w:lang w:val="es-419"/>
              </w:rPr>
              <w:t>Para ampliar el personal de BMS/GSSC capaz de desempeñar la Parte B de la función de Gerente de Aprobación (como se describe en la tabla anterior): Gerente</w:t>
            </w:r>
            <w:r w:rsidR="00E22308">
              <w:rPr>
                <w:sz w:val="20"/>
                <w:szCs w:val="20"/>
                <w:lang w:val="es-419"/>
              </w:rPr>
              <w:t xml:space="preserve"> de Nivel 2</w:t>
            </w:r>
            <w:r w:rsidR="6C4D218D" w:rsidRPr="00756410">
              <w:rPr>
                <w:sz w:val="20"/>
                <w:szCs w:val="20"/>
                <w:lang w:val="es-419"/>
              </w:rPr>
              <w:t xml:space="preserve"> puede delegarse a miembros del personal </w:t>
            </w:r>
            <w:r w:rsidR="0039539B">
              <w:rPr>
                <w:sz w:val="20"/>
                <w:szCs w:val="20"/>
                <w:lang w:val="es-419"/>
              </w:rPr>
              <w:t>de nivel</w:t>
            </w:r>
            <w:r w:rsidR="6C4D218D" w:rsidRPr="00756410">
              <w:rPr>
                <w:sz w:val="20"/>
                <w:szCs w:val="20"/>
                <w:lang w:val="es-419"/>
              </w:rPr>
              <w:t xml:space="preserve"> GS7 y GS6</w:t>
            </w:r>
            <w:r w:rsidR="0039539B">
              <w:rPr>
                <w:sz w:val="20"/>
                <w:szCs w:val="20"/>
                <w:lang w:val="es-419"/>
              </w:rPr>
              <w:t xml:space="preserve"> en el BMS/GSSC</w:t>
            </w:r>
            <w:r w:rsidR="6C4D218D" w:rsidRPr="00756410">
              <w:rPr>
                <w:sz w:val="20"/>
                <w:szCs w:val="20"/>
                <w:lang w:val="es-419"/>
              </w:rPr>
              <w:t>.</w:t>
            </w:r>
          </w:p>
        </w:tc>
      </w:tr>
      <w:tr w:rsidR="000F7705" w:rsidRPr="00773863" w14:paraId="22569D73" w14:textId="77777777" w:rsidTr="008C4953">
        <w:trPr>
          <w:trHeight w:val="20"/>
        </w:trPr>
        <w:tc>
          <w:tcPr>
            <w:tcW w:w="1615" w:type="dxa"/>
            <w:tcBorders>
              <w:top w:val="single" w:sz="4" w:space="0" w:color="auto"/>
              <w:left w:val="single" w:sz="4" w:space="0" w:color="auto"/>
              <w:bottom w:val="single" w:sz="4" w:space="0" w:color="auto"/>
              <w:right w:val="single" w:sz="4" w:space="0" w:color="auto"/>
            </w:tcBorders>
          </w:tcPr>
          <w:p w14:paraId="3905A09C" w14:textId="50C6FC49" w:rsidR="000F7705" w:rsidRDefault="000F7705" w:rsidP="00947222">
            <w:r w:rsidRPr="00620244">
              <w:rPr>
                <w:sz w:val="20"/>
                <w:szCs w:val="20"/>
              </w:rPr>
              <w:t>Gerente Senior</w:t>
            </w:r>
          </w:p>
        </w:tc>
        <w:tc>
          <w:tcPr>
            <w:tcW w:w="8100" w:type="dxa"/>
            <w:tcBorders>
              <w:top w:val="single" w:sz="4" w:space="0" w:color="auto"/>
              <w:left w:val="single" w:sz="4" w:space="0" w:color="auto"/>
              <w:bottom w:val="single" w:sz="4" w:space="0" w:color="auto"/>
              <w:right w:val="single" w:sz="4" w:space="0" w:color="auto"/>
            </w:tcBorders>
          </w:tcPr>
          <w:p w14:paraId="27EF4C80" w14:textId="5280CF60" w:rsidR="000F7705" w:rsidRPr="00756410" w:rsidRDefault="000F7705" w:rsidP="00756410">
            <w:pPr>
              <w:jc w:val="both"/>
              <w:rPr>
                <w:lang w:val="es-419"/>
              </w:rPr>
            </w:pPr>
            <w:r w:rsidRPr="00756410">
              <w:rPr>
                <w:sz w:val="20"/>
                <w:szCs w:val="20"/>
                <w:lang w:val="es-419"/>
              </w:rPr>
              <w:t xml:space="preserve">No hay límite de aprobación Quantum, pero debe seguir los límites de autoridad prescritos por </w:t>
            </w:r>
            <w:r w:rsidR="00F25401" w:rsidRPr="0077198B">
              <w:rPr>
                <w:sz w:val="20"/>
                <w:szCs w:val="20"/>
                <w:lang w:val="es-419"/>
              </w:rPr>
              <w:t xml:space="preserve">el </w:t>
            </w:r>
            <w:r w:rsidRPr="00756410">
              <w:rPr>
                <w:sz w:val="20"/>
                <w:szCs w:val="20"/>
                <w:lang w:val="es-419"/>
              </w:rPr>
              <w:t>CPO en</w:t>
            </w:r>
            <w:r w:rsidR="00F25401" w:rsidRPr="0077198B">
              <w:rPr>
                <w:sz w:val="20"/>
                <w:szCs w:val="20"/>
                <w:lang w:val="es-419"/>
              </w:rPr>
              <w:t xml:space="preserve"> </w:t>
            </w:r>
            <w:r w:rsidR="0077198B" w:rsidRPr="0077198B">
              <w:rPr>
                <w:sz w:val="20"/>
                <w:szCs w:val="20"/>
                <w:lang w:val="es-419"/>
              </w:rPr>
              <w:t xml:space="preserve">la </w:t>
            </w:r>
            <w:hyperlink r:id="rId98" w:history="1">
              <w:r w:rsidR="0077198B" w:rsidRPr="00756410">
                <w:rPr>
                  <w:rStyle w:val="Hyperlink"/>
                  <w:sz w:val="20"/>
                  <w:szCs w:val="20"/>
                  <w:lang w:val="es-ES"/>
                </w:rPr>
                <w:t xml:space="preserve">política de </w:t>
              </w:r>
              <w:r w:rsidR="007B61F6">
                <w:rPr>
                  <w:rStyle w:val="Hyperlink"/>
                  <w:sz w:val="20"/>
                  <w:szCs w:val="20"/>
                  <w:lang w:val="es-ES"/>
                </w:rPr>
                <w:t>“</w:t>
              </w:r>
              <w:r w:rsidR="0077198B" w:rsidRPr="00756410">
                <w:rPr>
                  <w:rStyle w:val="Hyperlink"/>
                  <w:i/>
                  <w:iCs/>
                  <w:sz w:val="20"/>
                  <w:szCs w:val="20"/>
                  <w:lang w:val="es-ES"/>
                </w:rPr>
                <w:t>Autoridad en Materia de Adquisiciones y Aumento de la Autoridad Delegada en Materia de Adquisicione</w:t>
              </w:r>
              <w:r w:rsidR="007B61F6" w:rsidRPr="00756410">
                <w:rPr>
                  <w:rStyle w:val="Hyperlink"/>
                  <w:i/>
                  <w:iCs/>
                  <w:sz w:val="20"/>
                  <w:szCs w:val="20"/>
                  <w:lang w:val="es-ES"/>
                </w:rPr>
                <w:t>s</w:t>
              </w:r>
              <w:r w:rsidR="007B61F6">
                <w:rPr>
                  <w:rStyle w:val="Hyperlink"/>
                  <w:lang w:val="es-ES"/>
                </w:rPr>
                <w:t>” del POPP</w:t>
              </w:r>
            </w:hyperlink>
            <w:r w:rsidR="0077198B" w:rsidRPr="0077198B">
              <w:rPr>
                <w:sz w:val="20"/>
                <w:szCs w:val="20"/>
                <w:lang w:val="es-419"/>
              </w:rPr>
              <w:t xml:space="preserve"> así como cualqui</w:t>
            </w:r>
            <w:r w:rsidR="000B35C4" w:rsidRPr="00756410">
              <w:rPr>
                <w:sz w:val="20"/>
                <w:szCs w:val="20"/>
                <w:lang w:val="es-419"/>
              </w:rPr>
              <w:t xml:space="preserve">er umbral establecido por el Jefe de Oficina/Unidad. Garantizar que la aprobación de ACP, RACP o CPO se otorgue antes de aprobar las órdenes de compra en Quantum cuando el valor en dólares exceda los límites de la </w:t>
            </w:r>
            <w:hyperlink r:id="rId99" w:history="1">
              <w:r w:rsidR="000B35C4" w:rsidRPr="00847DD5">
                <w:rPr>
                  <w:rStyle w:val="Hyperlink"/>
                  <w:sz w:val="20"/>
                  <w:szCs w:val="20"/>
                  <w:lang w:val="es-419"/>
                </w:rPr>
                <w:t>autoridad de adquisición delegada</w:t>
              </w:r>
            </w:hyperlink>
            <w:r w:rsidR="000B35C4" w:rsidRPr="00756410">
              <w:rPr>
                <w:sz w:val="20"/>
                <w:szCs w:val="20"/>
                <w:lang w:val="es-419"/>
              </w:rPr>
              <w:t>.</w:t>
            </w:r>
          </w:p>
        </w:tc>
      </w:tr>
      <w:tr w:rsidR="000F7705" w:rsidRPr="00773863" w14:paraId="0A8A96B9"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tcPr>
          <w:p w14:paraId="71CAC23D" w14:textId="41746462" w:rsidR="000F7705" w:rsidRPr="00756410" w:rsidRDefault="000F7705" w:rsidP="003055F4">
            <w:pPr>
              <w:rPr>
                <w:sz w:val="20"/>
                <w:szCs w:val="20"/>
                <w:lang w:val="es-419"/>
              </w:rPr>
            </w:pPr>
            <w:r w:rsidRPr="00756410">
              <w:rPr>
                <w:b/>
                <w:bCs/>
                <w:sz w:val="20"/>
                <w:szCs w:val="20"/>
                <w:u w:val="single"/>
                <w:lang w:val="es-419"/>
              </w:rPr>
              <w:t>Exclusiones:</w:t>
            </w:r>
            <w:r w:rsidRPr="00756410">
              <w:rPr>
                <w:sz w:val="20"/>
                <w:szCs w:val="20"/>
                <w:lang w:val="es-419"/>
              </w:rPr>
              <w:t xml:space="preserve"> Los umbrales anteriores de Gerente de Aprobación no se aplican a pagos como anticipos de modalidad de implementación nacional (NIM), apoyo presupuestario directo, </w:t>
            </w:r>
            <w:r w:rsidR="00687697" w:rsidRPr="003404BC">
              <w:rPr>
                <w:sz w:val="20"/>
                <w:szCs w:val="20"/>
                <w:lang w:val="es-ES"/>
              </w:rPr>
              <w:t>pagos en virtud de un</w:t>
            </w:r>
            <w:r w:rsidR="00FA7F38">
              <w:rPr>
                <w:sz w:val="20"/>
                <w:szCs w:val="20"/>
                <w:lang w:val="es-ES"/>
              </w:rPr>
              <w:t xml:space="preserve">a carta de acuerdo </w:t>
            </w:r>
            <w:r w:rsidR="00687697">
              <w:rPr>
                <w:sz w:val="20"/>
                <w:szCs w:val="20"/>
                <w:lang w:val="es-ES"/>
              </w:rPr>
              <w:t>(LOA, por sus siglas en inglés)</w:t>
            </w:r>
            <w:r w:rsidR="00687697" w:rsidRPr="003404BC">
              <w:rPr>
                <w:sz w:val="20"/>
                <w:szCs w:val="20"/>
                <w:lang w:val="es-ES"/>
              </w:rPr>
              <w:t xml:space="preserve">, los memorandos de entendimiento </w:t>
            </w:r>
            <w:r w:rsidR="00687697">
              <w:rPr>
                <w:sz w:val="20"/>
                <w:szCs w:val="20"/>
                <w:lang w:val="es-ES"/>
              </w:rPr>
              <w:t>(MOU, por sus siglas en inglés)</w:t>
            </w:r>
            <w:r w:rsidR="00687697" w:rsidRPr="003404BC">
              <w:rPr>
                <w:sz w:val="20"/>
                <w:szCs w:val="20"/>
                <w:lang w:val="es-ES"/>
              </w:rPr>
              <w:t xml:space="preserve"> y memorandos de acuerdo</w:t>
            </w:r>
            <w:r w:rsidR="00687697">
              <w:rPr>
                <w:sz w:val="20"/>
                <w:szCs w:val="20"/>
                <w:lang w:val="es-ES"/>
              </w:rPr>
              <w:t xml:space="preserve"> (MOA, por sus siglas en inglés)</w:t>
            </w:r>
            <w:r w:rsidRPr="00756410">
              <w:rPr>
                <w:sz w:val="20"/>
                <w:szCs w:val="20"/>
                <w:lang w:val="es-419"/>
              </w:rPr>
              <w:t xml:space="preserve"> y pequeñas subvenciones emitidas a socios implementadores que no se relacionan con adquisiciones. Estas aprobaciones deben ser realizadas por el Jefe de Oficina/Unidad, o RRD, en función de los acuerdos subyacentes.</w:t>
            </w:r>
          </w:p>
        </w:tc>
      </w:tr>
      <w:tr w:rsidR="000F7705" w:rsidRPr="00773863" w14:paraId="443F9A52" w14:textId="77777777" w:rsidTr="008C4953">
        <w:trPr>
          <w:trHeight w:val="20"/>
        </w:trPr>
        <w:tc>
          <w:tcPr>
            <w:tcW w:w="9715" w:type="dxa"/>
            <w:gridSpan w:val="2"/>
            <w:tcBorders>
              <w:top w:val="single" w:sz="4" w:space="0" w:color="auto"/>
              <w:left w:val="single" w:sz="4" w:space="0" w:color="auto"/>
              <w:bottom w:val="single" w:sz="4" w:space="0" w:color="auto"/>
              <w:right w:val="single" w:sz="4" w:space="0" w:color="auto"/>
            </w:tcBorders>
          </w:tcPr>
          <w:p w14:paraId="7CD2A3A8" w14:textId="4DFE8382" w:rsidR="000F7705" w:rsidRPr="00DB1CA7" w:rsidRDefault="000F7705" w:rsidP="00756410">
            <w:pPr>
              <w:jc w:val="both"/>
              <w:rPr>
                <w:b/>
                <w:bCs/>
                <w:sz w:val="20"/>
                <w:szCs w:val="20"/>
                <w:u w:val="single"/>
                <w:lang w:val="es-419"/>
              </w:rPr>
            </w:pPr>
            <w:r w:rsidRPr="00756410">
              <w:rPr>
                <w:b/>
                <w:bCs/>
                <w:sz w:val="20"/>
                <w:szCs w:val="20"/>
                <w:u w:val="single"/>
                <w:lang w:val="es-419"/>
              </w:rPr>
              <w:t>Excepción:</w:t>
            </w:r>
            <w:r w:rsidRPr="00756410">
              <w:rPr>
                <w:sz w:val="20"/>
                <w:szCs w:val="20"/>
                <w:lang w:val="es-419"/>
              </w:rPr>
              <w:t xml:space="preserve"> Como segunda autoridad, los Gerentes de Aprobación deben ser independientes del Gerente de Proyecto (primera autoridad) y del Oficial de Desembolso (tercera autoridad). Por lo tanto, en raras circunstancias, cuando un miembro del personal es tanto un Gerente de Proyecto como un Gerente de Aprobación, no debe aprobar órdenes de compra y pagos que no sean de órdenes de compra [o facturas prepagadas] para sus propios proyectos. </w:t>
            </w:r>
            <w:r w:rsidRPr="00756410">
              <w:rPr>
                <w:b/>
                <w:bCs/>
                <w:sz w:val="20"/>
                <w:szCs w:val="20"/>
                <w:lang w:val="es-419"/>
              </w:rPr>
              <w:t>Hay una posible excepción: cuando el Gerente de Proyecto es también el Jefe de Oficina/Unidad.</w:t>
            </w:r>
            <w:r w:rsidRPr="00756410">
              <w:rPr>
                <w:sz w:val="20"/>
                <w:szCs w:val="20"/>
                <w:lang w:val="es-419"/>
              </w:rPr>
              <w:t xml:space="preserve"> En esta situación, </w:t>
            </w:r>
            <w:r w:rsidR="00BF56A2">
              <w:rPr>
                <w:sz w:val="20"/>
                <w:szCs w:val="20"/>
                <w:lang w:val="es-419"/>
              </w:rPr>
              <w:t xml:space="preserve">no sería </w:t>
            </w:r>
            <w:r w:rsidRPr="00756410">
              <w:rPr>
                <w:sz w:val="20"/>
                <w:szCs w:val="20"/>
                <w:lang w:val="es-419"/>
              </w:rPr>
              <w:lastRenderedPageBreak/>
              <w:t xml:space="preserve">realista esperar que un Gerente de Aprobación, que </w:t>
            </w:r>
            <w:r w:rsidR="00AC2EB0">
              <w:rPr>
                <w:sz w:val="20"/>
                <w:szCs w:val="20"/>
                <w:lang w:val="es-419"/>
              </w:rPr>
              <w:t>re</w:t>
            </w:r>
            <w:r w:rsidR="00B26526">
              <w:rPr>
                <w:sz w:val="20"/>
                <w:szCs w:val="20"/>
                <w:lang w:val="es-419"/>
              </w:rPr>
              <w:t>sponde ante el</w:t>
            </w:r>
            <w:r w:rsidRPr="00756410">
              <w:rPr>
                <w:sz w:val="20"/>
                <w:szCs w:val="20"/>
                <w:lang w:val="es-419"/>
              </w:rPr>
              <w:t xml:space="preserve"> Jefe de la Oficina/Unidad, </w:t>
            </w:r>
            <w:r w:rsidR="00E62C64">
              <w:rPr>
                <w:sz w:val="20"/>
                <w:szCs w:val="20"/>
                <w:lang w:val="es-419"/>
              </w:rPr>
              <w:t>actuase</w:t>
            </w:r>
            <w:r w:rsidR="00E62C64" w:rsidRPr="00756410">
              <w:rPr>
                <w:sz w:val="20"/>
                <w:szCs w:val="20"/>
                <w:lang w:val="es-419"/>
              </w:rPr>
              <w:t xml:space="preserve"> </w:t>
            </w:r>
            <w:r w:rsidRPr="00756410">
              <w:rPr>
                <w:sz w:val="20"/>
                <w:szCs w:val="20"/>
                <w:lang w:val="es-419"/>
              </w:rPr>
              <w:t>como un control independiente de las acciones del Jefe de la Oficina/Unidad, dada su relación fiduciaria. En tales casos, las oficinas o dependencias deben considerar qué controles compensatorios podrían ser apropiados, como los exámenes periódicos a posteriori basados en el riesgo de las transacciones materiales en el proyecto pertinente por parte del centro regional u otra oficina o dependencia.</w:t>
            </w:r>
          </w:p>
        </w:tc>
      </w:tr>
    </w:tbl>
    <w:p w14:paraId="4FDFE146" w14:textId="77777777" w:rsidR="00C45717" w:rsidRPr="00756410" w:rsidRDefault="00C45717" w:rsidP="002426B0">
      <w:pPr>
        <w:rPr>
          <w:sz w:val="8"/>
          <w:szCs w:val="8"/>
          <w:lang w:val="es-419"/>
        </w:rPr>
      </w:pPr>
    </w:p>
    <w:p w14:paraId="5E2AD55D" w14:textId="377C9B11" w:rsidR="006409FA" w:rsidRPr="00756410" w:rsidRDefault="006409FA" w:rsidP="006409FA">
      <w:pPr>
        <w:rPr>
          <w:lang w:val="es-419"/>
        </w:rPr>
      </w:pPr>
      <w:r w:rsidRPr="00756410">
        <w:rPr>
          <w:lang w:val="es-419"/>
        </w:rPr>
        <w:t>Las responsabilidades de control interno del "Gerente de aprobación - Parte A" incluyen:</w:t>
      </w:r>
    </w:p>
    <w:tbl>
      <w:tblPr>
        <w:tblStyle w:val="TableGrid"/>
        <w:tblW w:w="0" w:type="auto"/>
        <w:tblCellMar>
          <w:left w:w="72" w:type="dxa"/>
          <w:bottom w:w="43" w:type="dxa"/>
          <w:right w:w="72" w:type="dxa"/>
        </w:tblCellMar>
        <w:tblLook w:val="04A0" w:firstRow="1" w:lastRow="0" w:firstColumn="1" w:lastColumn="0" w:noHBand="0" w:noVBand="1"/>
      </w:tblPr>
      <w:tblGrid>
        <w:gridCol w:w="9715"/>
      </w:tblGrid>
      <w:tr w:rsidR="007C7560" w:rsidRPr="00773863" w14:paraId="6CCFF881" w14:textId="77777777" w:rsidTr="008C4953">
        <w:trPr>
          <w:tblHeader/>
        </w:trPr>
        <w:tc>
          <w:tcPr>
            <w:tcW w:w="9715" w:type="dxa"/>
            <w:tcBorders>
              <w:top w:val="single" w:sz="4" w:space="0" w:color="auto"/>
              <w:left w:val="single" w:sz="4" w:space="0" w:color="auto"/>
              <w:bottom w:val="single" w:sz="4" w:space="0" w:color="auto"/>
              <w:right w:val="single" w:sz="4" w:space="0" w:color="auto"/>
            </w:tcBorders>
            <w:shd w:val="clear" w:color="auto" w:fill="000000" w:themeFill="text1"/>
          </w:tcPr>
          <w:p w14:paraId="232E98BA" w14:textId="49C6B910" w:rsidR="007C7560" w:rsidRPr="00756410" w:rsidRDefault="007C7560" w:rsidP="004579F9">
            <w:pPr>
              <w:rPr>
                <w:b/>
                <w:sz w:val="20"/>
                <w:szCs w:val="20"/>
                <w:lang w:val="es-ES"/>
              </w:rPr>
            </w:pPr>
            <w:r w:rsidRPr="00756410">
              <w:rPr>
                <w:b/>
                <w:sz w:val="20"/>
                <w:szCs w:val="20"/>
                <w:lang w:val="es-ES"/>
              </w:rPr>
              <w:t>Gerente de aprobación - Parte A: Responsabilidades de control interno</w:t>
            </w:r>
          </w:p>
        </w:tc>
      </w:tr>
      <w:tr w:rsidR="007C7560" w:rsidRPr="00773863" w14:paraId="28DE596A" w14:textId="77777777" w:rsidTr="008C4953">
        <w:trPr>
          <w:trHeight w:val="1961"/>
        </w:trPr>
        <w:tc>
          <w:tcPr>
            <w:tcW w:w="9715" w:type="dxa"/>
            <w:tcBorders>
              <w:top w:val="single" w:sz="4" w:space="0" w:color="auto"/>
              <w:left w:val="single" w:sz="4" w:space="0" w:color="auto"/>
              <w:bottom w:val="single" w:sz="4" w:space="0" w:color="auto"/>
              <w:right w:val="single" w:sz="4" w:space="0" w:color="auto"/>
            </w:tcBorders>
          </w:tcPr>
          <w:p w14:paraId="017D4F79" w14:textId="799E6098" w:rsidR="007C7560" w:rsidRPr="00756410" w:rsidRDefault="007C7560" w:rsidP="00756410">
            <w:pPr>
              <w:pStyle w:val="ListParagraph"/>
              <w:numPr>
                <w:ilvl w:val="0"/>
                <w:numId w:val="79"/>
              </w:numPr>
              <w:jc w:val="both"/>
              <w:rPr>
                <w:sz w:val="20"/>
                <w:szCs w:val="20"/>
                <w:lang w:val="es-419"/>
              </w:rPr>
            </w:pPr>
            <w:r w:rsidRPr="00756410">
              <w:rPr>
                <w:b/>
                <w:bCs/>
                <w:sz w:val="20"/>
                <w:szCs w:val="20"/>
                <w:lang w:val="es-419"/>
              </w:rPr>
              <w:t xml:space="preserve">Aprueba las órdenes de compra: </w:t>
            </w:r>
            <w:r w:rsidR="000E63C1" w:rsidRPr="00756410">
              <w:rPr>
                <w:sz w:val="20"/>
                <w:szCs w:val="20"/>
                <w:lang w:val="es-419"/>
              </w:rPr>
              <w:t>después de realizar los pasos de revisión descritos en la</w:t>
            </w:r>
            <w:r w:rsidR="00A35860">
              <w:rPr>
                <w:sz w:val="20"/>
                <w:szCs w:val="20"/>
                <w:lang w:val="es-419"/>
              </w:rPr>
              <w:t xml:space="preserve"> política</w:t>
            </w:r>
            <w:r w:rsidR="00601FAF">
              <w:rPr>
                <w:sz w:val="20"/>
                <w:szCs w:val="20"/>
                <w:lang w:val="es-419"/>
              </w:rPr>
              <w:t xml:space="preserve"> sobre</w:t>
            </w:r>
            <w:r w:rsidR="000E63C1" w:rsidRPr="00756410">
              <w:rPr>
                <w:sz w:val="20"/>
                <w:szCs w:val="20"/>
                <w:lang w:val="es-419"/>
              </w:rPr>
              <w:t xml:space="preserve"> </w:t>
            </w:r>
            <w:hyperlink r:id="rId100">
              <w:r w:rsidR="007B61F6">
                <w:rPr>
                  <w:rStyle w:val="Hyperlink"/>
                  <w:sz w:val="20"/>
                  <w:szCs w:val="20"/>
                  <w:lang w:val="es-419"/>
                </w:rPr>
                <w:t>”</w:t>
              </w:r>
              <w:r w:rsidR="007B61F6" w:rsidRPr="00756410">
                <w:rPr>
                  <w:rStyle w:val="Hyperlink"/>
                  <w:i/>
                  <w:iCs/>
                  <w:sz w:val="20"/>
                  <w:szCs w:val="20"/>
                  <w:lang w:val="es-ES"/>
                </w:rPr>
                <w:t>Ó</w:t>
              </w:r>
              <w:r w:rsidRPr="00756410">
                <w:rPr>
                  <w:rStyle w:val="Hyperlink"/>
                  <w:i/>
                  <w:iCs/>
                  <w:sz w:val="20"/>
                  <w:szCs w:val="20"/>
                  <w:lang w:val="es-419"/>
                </w:rPr>
                <w:t>rdenes de compra</w:t>
              </w:r>
              <w:r w:rsidR="007B61F6">
                <w:rPr>
                  <w:rStyle w:val="Hyperlink"/>
                  <w:sz w:val="20"/>
                  <w:szCs w:val="20"/>
                  <w:lang w:val="es-419"/>
                </w:rPr>
                <w:t>”</w:t>
              </w:r>
              <w:r w:rsidRPr="00756410">
                <w:rPr>
                  <w:rStyle w:val="Hyperlink"/>
                  <w:sz w:val="20"/>
                  <w:szCs w:val="20"/>
                  <w:lang w:val="es-419"/>
                </w:rPr>
                <w:t xml:space="preserve"> de</w:t>
              </w:r>
              <w:r w:rsidR="00601FAF">
                <w:rPr>
                  <w:rStyle w:val="Hyperlink"/>
                  <w:sz w:val="20"/>
                  <w:szCs w:val="20"/>
                  <w:lang w:val="es-419"/>
                </w:rPr>
                <w:t>l</w:t>
              </w:r>
              <w:r w:rsidRPr="00756410">
                <w:rPr>
                  <w:rStyle w:val="Hyperlink"/>
                  <w:sz w:val="20"/>
                  <w:szCs w:val="20"/>
                  <w:lang w:val="es-419"/>
                </w:rPr>
                <w:t xml:space="preserve"> POPP (compromisos, mantenimiento y cierre).</w:t>
              </w:r>
            </w:hyperlink>
            <w:r w:rsidRPr="00756410">
              <w:rPr>
                <w:sz w:val="20"/>
                <w:szCs w:val="20"/>
                <w:lang w:val="es-419"/>
              </w:rPr>
              <w:t xml:space="preserve"> El funcionario que aprueba la orden de compra en Quantum está comprometiendo al PNUD y es responsable del cumplimiento de los procedimientos del PNUD. Por lo tanto, el PNUD no requiere una firma separada en la orden de compra impresa. Sin embargo, la mayoría de los proveedores requieren una orden de compra firmada como prueba de que el PNUD ha autorizado el compromiso, por lo que el miembro del personal que aprobó la orden de compra en Quantum también debe firmar la orden de compra, el contrato de servicios u obras. </w:t>
            </w:r>
            <w:r w:rsidRPr="00756410">
              <w:rPr>
                <w:i/>
                <w:iCs/>
                <w:sz w:val="20"/>
                <w:szCs w:val="20"/>
                <w:lang w:val="es-419"/>
              </w:rPr>
              <w:t>(Nota: En cualquier caso, la responsabilidad sigue siendo del miembro del personal que aprobó la orden de compra en Quantum).</w:t>
            </w:r>
            <w:r w:rsidRPr="00756410">
              <w:rPr>
                <w:sz w:val="20"/>
                <w:szCs w:val="20"/>
                <w:lang w:val="es-419"/>
              </w:rPr>
              <w:t xml:space="preserve"> Las copias deben archivarse de forma segura. No se requiere firma si el Proveedor puede aceptar una orden de compra electrónica enviada por Quantum.</w:t>
            </w:r>
          </w:p>
        </w:tc>
      </w:tr>
      <w:tr w:rsidR="007C7560" w:rsidRPr="00773863" w14:paraId="7F6C770B" w14:textId="77777777" w:rsidTr="008C4953">
        <w:trPr>
          <w:trHeight w:val="413"/>
        </w:trPr>
        <w:tc>
          <w:tcPr>
            <w:tcW w:w="9715" w:type="dxa"/>
            <w:tcBorders>
              <w:top w:val="single" w:sz="4" w:space="0" w:color="auto"/>
              <w:left w:val="single" w:sz="4" w:space="0" w:color="auto"/>
              <w:bottom w:val="single" w:sz="4" w:space="0" w:color="auto"/>
              <w:right w:val="single" w:sz="4" w:space="0" w:color="auto"/>
            </w:tcBorders>
          </w:tcPr>
          <w:p w14:paraId="7518F04D" w14:textId="4F2DE99D" w:rsidR="007C7560" w:rsidRPr="00756410" w:rsidRDefault="007C7560">
            <w:pPr>
              <w:pStyle w:val="ListParagraph"/>
              <w:numPr>
                <w:ilvl w:val="0"/>
                <w:numId w:val="79"/>
              </w:numPr>
              <w:rPr>
                <w:sz w:val="20"/>
                <w:szCs w:val="20"/>
                <w:lang w:val="es-419"/>
              </w:rPr>
            </w:pPr>
            <w:r w:rsidRPr="00756410">
              <w:rPr>
                <w:b/>
                <w:bCs/>
                <w:sz w:val="20"/>
                <w:szCs w:val="20"/>
                <w:lang w:val="es-419"/>
              </w:rPr>
              <w:t xml:space="preserve">Aprueba anulaciones de excepciones de </w:t>
            </w:r>
            <w:r w:rsidR="004A33CB" w:rsidRPr="00756410">
              <w:rPr>
                <w:b/>
                <w:bCs/>
                <w:sz w:val="20"/>
                <w:szCs w:val="20"/>
                <w:lang w:val="es-419"/>
              </w:rPr>
              <w:t xml:space="preserve">conciliación de tres </w:t>
            </w:r>
            <w:r w:rsidRPr="00756410">
              <w:rPr>
                <w:b/>
                <w:bCs/>
                <w:sz w:val="20"/>
                <w:szCs w:val="20"/>
                <w:lang w:val="es-419"/>
              </w:rPr>
              <w:t>vías:</w:t>
            </w:r>
            <w:r w:rsidRPr="00756410">
              <w:rPr>
                <w:sz w:val="20"/>
                <w:szCs w:val="20"/>
                <w:lang w:val="es-419"/>
              </w:rPr>
              <w:t xml:space="preserve"> </w:t>
            </w:r>
            <w:r w:rsidR="00DB5001" w:rsidRPr="00882620">
              <w:rPr>
                <w:sz w:val="20"/>
                <w:szCs w:val="20"/>
                <w:lang w:val="es-419"/>
              </w:rPr>
              <w:t>aquellas que le sean comunicadas por e</w:t>
            </w:r>
            <w:r w:rsidRPr="00756410">
              <w:rPr>
                <w:sz w:val="20"/>
                <w:szCs w:val="20"/>
                <w:lang w:val="es-419"/>
              </w:rPr>
              <w:t>l equipo de finanzas de la oficina/unidad (</w:t>
            </w:r>
            <w:r w:rsidR="00DB5001" w:rsidRPr="00882620">
              <w:rPr>
                <w:sz w:val="20"/>
                <w:szCs w:val="20"/>
                <w:lang w:val="es-419"/>
              </w:rPr>
              <w:t xml:space="preserve">o </w:t>
            </w:r>
            <w:r w:rsidRPr="00756410">
              <w:rPr>
                <w:sz w:val="20"/>
                <w:szCs w:val="20"/>
                <w:lang w:val="es-419"/>
              </w:rPr>
              <w:t>incluso a través de BMS/GSSC para procesos de AP agrupados</w:t>
            </w:r>
            <w:r w:rsidR="0091356F" w:rsidRPr="00882620">
              <w:rPr>
                <w:sz w:val="20"/>
                <w:szCs w:val="20"/>
                <w:lang w:val="es-419"/>
              </w:rPr>
              <w:t xml:space="preserve"> (</w:t>
            </w:r>
            <w:r w:rsidR="0091356F" w:rsidRPr="00756410">
              <w:rPr>
                <w:i/>
                <w:iCs/>
                <w:sz w:val="20"/>
                <w:szCs w:val="20"/>
                <w:lang w:val="es-419"/>
              </w:rPr>
              <w:t>clustered</w:t>
            </w:r>
            <w:r w:rsidR="0091356F" w:rsidRPr="00882620">
              <w:rPr>
                <w:sz w:val="20"/>
                <w:szCs w:val="20"/>
                <w:lang w:val="es-419"/>
              </w:rPr>
              <w:t>)</w:t>
            </w:r>
            <w:r w:rsidR="00B91264" w:rsidRPr="00882620">
              <w:rPr>
                <w:sz w:val="20"/>
                <w:szCs w:val="20"/>
                <w:lang w:val="es-419"/>
              </w:rPr>
              <w:t>)</w:t>
            </w:r>
            <w:r w:rsidRPr="00756410">
              <w:rPr>
                <w:sz w:val="20"/>
                <w:szCs w:val="20"/>
                <w:lang w:val="es-419"/>
              </w:rPr>
              <w:t>.</w:t>
            </w:r>
          </w:p>
        </w:tc>
      </w:tr>
      <w:tr w:rsidR="007C7560" w:rsidRPr="00773863" w14:paraId="5CEF6EEF" w14:textId="77777777" w:rsidTr="008C4953">
        <w:trPr>
          <w:trHeight w:val="1520"/>
        </w:trPr>
        <w:tc>
          <w:tcPr>
            <w:tcW w:w="9715" w:type="dxa"/>
            <w:tcBorders>
              <w:top w:val="single" w:sz="4" w:space="0" w:color="auto"/>
              <w:left w:val="single" w:sz="4" w:space="0" w:color="auto"/>
              <w:bottom w:val="single" w:sz="4" w:space="0" w:color="auto"/>
              <w:right w:val="single" w:sz="4" w:space="0" w:color="auto"/>
            </w:tcBorders>
          </w:tcPr>
          <w:p w14:paraId="7F1FD0C9" w14:textId="4EFBC46C" w:rsidR="007C7560" w:rsidRPr="00756410" w:rsidRDefault="00BE7B03">
            <w:pPr>
              <w:pStyle w:val="TableParagraph"/>
              <w:numPr>
                <w:ilvl w:val="0"/>
                <w:numId w:val="79"/>
              </w:numPr>
              <w:ind w:right="120"/>
              <w:jc w:val="both"/>
              <w:rPr>
                <w:b/>
                <w:i/>
                <w:sz w:val="20"/>
                <w:szCs w:val="20"/>
                <w:lang w:val="es-419"/>
              </w:rPr>
            </w:pPr>
            <w:r w:rsidRPr="00756410">
              <w:rPr>
                <w:b/>
                <w:bCs/>
                <w:sz w:val="20"/>
                <w:szCs w:val="20"/>
                <w:lang w:val="es-419"/>
              </w:rPr>
              <w:t xml:space="preserve">Aprueba facturas que no son de orden de compra: </w:t>
            </w:r>
            <w:r w:rsidR="000E63C1" w:rsidRPr="00756410">
              <w:rPr>
                <w:sz w:val="20"/>
                <w:szCs w:val="20"/>
                <w:lang w:val="es-419"/>
              </w:rPr>
              <w:t xml:space="preserve">aprueba facturas que no son de orden de compra de acuerdo con </w:t>
            </w:r>
            <w:r w:rsidR="00D52C6A">
              <w:rPr>
                <w:sz w:val="20"/>
                <w:szCs w:val="20"/>
                <w:lang w:val="es-419"/>
              </w:rPr>
              <w:t xml:space="preserve">la política de </w:t>
            </w:r>
            <w:hyperlink r:id="rId101">
              <w:r w:rsidR="007B61F6">
                <w:rPr>
                  <w:color w:val="0462C1"/>
                  <w:sz w:val="20"/>
                  <w:szCs w:val="20"/>
                  <w:u w:val="single"/>
                  <w:lang w:val="es-419"/>
                </w:rPr>
                <w:t>“</w:t>
              </w:r>
              <w:r w:rsidR="007B61F6" w:rsidRPr="00756410">
                <w:rPr>
                  <w:i/>
                  <w:iCs/>
                  <w:color w:val="0462C1"/>
                  <w:sz w:val="20"/>
                  <w:szCs w:val="20"/>
                  <w:u w:val="single"/>
                  <w:lang w:val="es-419"/>
                </w:rPr>
                <w:t>C</w:t>
              </w:r>
              <w:r w:rsidRPr="00756410">
                <w:rPr>
                  <w:i/>
                  <w:iCs/>
                  <w:color w:val="0462C1"/>
                  <w:sz w:val="20"/>
                  <w:szCs w:val="20"/>
                  <w:u w:val="single"/>
                  <w:lang w:val="es-419"/>
                </w:rPr>
                <w:t>uentas por pagar</w:t>
              </w:r>
              <w:r w:rsidR="007B61F6">
                <w:rPr>
                  <w:color w:val="0462C1"/>
                  <w:sz w:val="20"/>
                  <w:szCs w:val="20"/>
                  <w:u w:val="single"/>
                  <w:lang w:val="es-419"/>
                </w:rPr>
                <w:t>”</w:t>
              </w:r>
              <w:r w:rsidRPr="00756410">
                <w:rPr>
                  <w:color w:val="0462C1"/>
                  <w:sz w:val="20"/>
                  <w:szCs w:val="20"/>
                  <w:u w:val="single"/>
                  <w:lang w:val="es-419"/>
                </w:rPr>
                <w:t xml:space="preserve"> de</w:t>
              </w:r>
              <w:r w:rsidR="00D52C6A">
                <w:rPr>
                  <w:color w:val="0462C1"/>
                  <w:sz w:val="20"/>
                  <w:szCs w:val="20"/>
                  <w:u w:val="single"/>
                  <w:lang w:val="es-419"/>
                </w:rPr>
                <w:t>l</w:t>
              </w:r>
              <w:r w:rsidRPr="00756410">
                <w:rPr>
                  <w:color w:val="0462C1"/>
                  <w:sz w:val="20"/>
                  <w:szCs w:val="20"/>
                  <w:u w:val="single"/>
                  <w:lang w:val="es-419"/>
                </w:rPr>
                <w:t xml:space="preserve"> POPP</w:t>
              </w:r>
              <w:r w:rsidRPr="00756410">
                <w:rPr>
                  <w:sz w:val="20"/>
                  <w:szCs w:val="20"/>
                  <w:lang w:val="es-419"/>
                </w:rPr>
                <w:t>.</w:t>
              </w:r>
            </w:hyperlink>
            <w:r w:rsidRPr="00756410">
              <w:rPr>
                <w:sz w:val="20"/>
                <w:szCs w:val="20"/>
                <w:lang w:val="es-419"/>
              </w:rPr>
              <w:t xml:space="preserve"> El Gerente de Aprobación debe revisar la documentación de respaldo en forma electrónica o impresa, y asegurarse de que el Gerente de Proyecto (como primera autoridad) haya confirmado la recepción de los bienes y/o servicios. La lista de documentos varía según la naturaleza de la transacción y la evaluación del riesgo involucrado por parte del Gerente de Aprobación. Para las oficinas/unidades con procesos de cuentas por pagar no agrupados</w:t>
            </w:r>
            <w:r w:rsidR="0091356F">
              <w:rPr>
                <w:sz w:val="20"/>
                <w:szCs w:val="20"/>
                <w:lang w:val="es-419"/>
              </w:rPr>
              <w:t xml:space="preserve"> (</w:t>
            </w:r>
            <w:r w:rsidR="0091356F">
              <w:rPr>
                <w:i/>
                <w:iCs/>
                <w:sz w:val="20"/>
                <w:szCs w:val="20"/>
                <w:lang w:val="es-419"/>
              </w:rPr>
              <w:t>non-clustered)</w:t>
            </w:r>
            <w:r w:rsidRPr="00756410">
              <w:rPr>
                <w:sz w:val="20"/>
                <w:szCs w:val="20"/>
                <w:lang w:val="es-419"/>
              </w:rPr>
              <w:t>, el Jefe de la Oficina/Unidad debe proporcionar alguna orientación sobre la evaluación de riesgos. Para oficinas/unidades con procesos de Cuentas por Pagar agrupados</w:t>
            </w:r>
            <w:r w:rsidR="0091356F">
              <w:rPr>
                <w:sz w:val="20"/>
                <w:szCs w:val="20"/>
                <w:lang w:val="es-419"/>
              </w:rPr>
              <w:t xml:space="preserve"> (</w:t>
            </w:r>
            <w:r w:rsidR="0091356F">
              <w:rPr>
                <w:i/>
                <w:iCs/>
                <w:sz w:val="20"/>
                <w:szCs w:val="20"/>
                <w:lang w:val="es-419"/>
              </w:rPr>
              <w:t>clustered)</w:t>
            </w:r>
            <w:r w:rsidRPr="00756410">
              <w:rPr>
                <w:sz w:val="20"/>
                <w:szCs w:val="20"/>
                <w:lang w:val="es-419"/>
              </w:rPr>
              <w:t xml:space="preserve">, </w:t>
            </w:r>
            <w:r w:rsidR="009972E0" w:rsidRPr="00662CFD">
              <w:rPr>
                <w:sz w:val="20"/>
                <w:szCs w:val="20"/>
                <w:lang w:val="es-ES" w:bidi="es-ES"/>
              </w:rPr>
              <w:t xml:space="preserve">se siguen los </w:t>
            </w:r>
            <w:hyperlink r:id="rId102" w:history="1">
              <w:r w:rsidR="009972E0" w:rsidRPr="00662CFD">
                <w:rPr>
                  <w:color w:val="0462C1"/>
                  <w:sz w:val="20"/>
                  <w:szCs w:val="20"/>
                  <w:u w:val="single"/>
                  <w:lang w:val="es-ES" w:bidi="es-ES"/>
                </w:rPr>
                <w:t xml:space="preserve">procedimientos operativos estándar del </w:t>
              </w:r>
              <w:r w:rsidR="009972E0">
                <w:rPr>
                  <w:color w:val="0462C1"/>
                  <w:sz w:val="20"/>
                  <w:szCs w:val="20"/>
                  <w:u w:val="single"/>
                  <w:lang w:val="es-ES" w:bidi="es-ES"/>
                </w:rPr>
                <w:t>BMS/GSSC</w:t>
              </w:r>
              <w:r w:rsidR="009972E0" w:rsidRPr="00662CFD">
                <w:rPr>
                  <w:color w:val="0462C1"/>
                  <w:sz w:val="20"/>
                  <w:szCs w:val="20"/>
                  <w:u w:val="single"/>
                  <w:lang w:val="es-ES" w:bidi="es-ES"/>
                </w:rPr>
                <w:t xml:space="preserve"> para el procesamiento de las cuentas por pagar</w:t>
              </w:r>
            </w:hyperlink>
            <w:r w:rsidR="009972E0" w:rsidRPr="00662CFD">
              <w:rPr>
                <w:sz w:val="20"/>
                <w:szCs w:val="20"/>
                <w:lang w:val="es-ES" w:bidi="es-ES"/>
              </w:rPr>
              <w:t>.</w:t>
            </w:r>
          </w:p>
        </w:tc>
      </w:tr>
      <w:tr w:rsidR="007C7560" w:rsidRPr="00773863" w14:paraId="122E7136" w14:textId="77777777" w:rsidTr="008C4953">
        <w:tc>
          <w:tcPr>
            <w:tcW w:w="9715" w:type="dxa"/>
            <w:tcBorders>
              <w:top w:val="single" w:sz="4" w:space="0" w:color="auto"/>
              <w:left w:val="single" w:sz="4" w:space="0" w:color="auto"/>
              <w:bottom w:val="single" w:sz="4" w:space="0" w:color="auto"/>
              <w:right w:val="single" w:sz="4" w:space="0" w:color="auto"/>
            </w:tcBorders>
          </w:tcPr>
          <w:p w14:paraId="687FBD10" w14:textId="0F32197F" w:rsidR="007C7560" w:rsidRPr="00756410" w:rsidRDefault="000E63C1" w:rsidP="00D970C5">
            <w:pPr>
              <w:pStyle w:val="ListParagraph"/>
              <w:numPr>
                <w:ilvl w:val="0"/>
                <w:numId w:val="79"/>
              </w:numPr>
              <w:rPr>
                <w:sz w:val="20"/>
                <w:szCs w:val="20"/>
                <w:lang w:val="es-419"/>
              </w:rPr>
            </w:pPr>
            <w:r w:rsidRPr="00756410">
              <w:rPr>
                <w:b/>
                <w:bCs/>
                <w:sz w:val="20"/>
                <w:szCs w:val="20"/>
                <w:lang w:val="es-419"/>
              </w:rPr>
              <w:t>Aprueba facturas de prepago:</w:t>
            </w:r>
            <w:r w:rsidRPr="00756410">
              <w:rPr>
                <w:sz w:val="20"/>
                <w:szCs w:val="20"/>
                <w:lang w:val="es-419"/>
              </w:rPr>
              <w:t xml:space="preserve"> garantiza que el anticipo se haya creado con precisión, sea apropiado en función de la documentación de respaldo y cumpla con</w:t>
            </w:r>
            <w:r w:rsidR="00202B3C">
              <w:rPr>
                <w:sz w:val="20"/>
                <w:szCs w:val="20"/>
                <w:lang w:val="es-419"/>
              </w:rPr>
              <w:t xml:space="preserve"> la </w:t>
            </w:r>
            <w:hyperlink r:id="rId103" w:history="1">
              <w:r w:rsidR="00202B3C" w:rsidRPr="00756410">
                <w:rPr>
                  <w:rStyle w:val="Hyperlink"/>
                  <w:lang w:val="es-ES"/>
                </w:rPr>
                <w:t xml:space="preserve">política de </w:t>
              </w:r>
              <w:r w:rsidR="007B61F6">
                <w:rPr>
                  <w:rStyle w:val="Hyperlink"/>
                  <w:sz w:val="20"/>
                  <w:szCs w:val="20"/>
                  <w:lang w:val="es-419"/>
                </w:rPr>
                <w:t>“</w:t>
              </w:r>
              <w:r w:rsidR="007B61F6" w:rsidRPr="00756410">
                <w:rPr>
                  <w:rStyle w:val="Hyperlink"/>
                  <w:i/>
                  <w:iCs/>
                  <w:sz w:val="20"/>
                  <w:szCs w:val="20"/>
                  <w:lang w:val="es-419"/>
                </w:rPr>
                <w:t>P</w:t>
              </w:r>
              <w:r w:rsidR="00202B3C" w:rsidRPr="00756410">
                <w:rPr>
                  <w:rStyle w:val="Hyperlink"/>
                  <w:i/>
                  <w:iCs/>
                  <w:lang w:val="es-ES"/>
                </w:rPr>
                <w:t>agos anticipado</w:t>
              </w:r>
              <w:r w:rsidR="00202B3C" w:rsidRPr="00756410">
                <w:rPr>
                  <w:rStyle w:val="Hyperlink"/>
                  <w:lang w:val="es-ES"/>
                </w:rPr>
                <w:t>s</w:t>
              </w:r>
              <w:r w:rsidR="007B61F6">
                <w:rPr>
                  <w:rStyle w:val="Hyperlink"/>
                  <w:sz w:val="20"/>
                  <w:szCs w:val="20"/>
                  <w:lang w:val="es-419"/>
                </w:rPr>
                <w:t xml:space="preserve">” </w:t>
              </w:r>
              <w:r w:rsidR="00202B3C" w:rsidRPr="00756410">
                <w:rPr>
                  <w:rStyle w:val="Hyperlink"/>
                  <w:lang w:val="es-ES"/>
                </w:rPr>
                <w:t>del POPP</w:t>
              </w:r>
            </w:hyperlink>
            <w:r w:rsidRPr="00756410">
              <w:rPr>
                <w:sz w:val="20"/>
                <w:szCs w:val="20"/>
                <w:lang w:val="es-419"/>
              </w:rPr>
              <w:t>. Para oficinas/unidades con procesos de Cuentas por Pagar agrupados</w:t>
            </w:r>
            <w:r w:rsidR="0091356F" w:rsidRPr="00D970C5">
              <w:rPr>
                <w:sz w:val="20"/>
                <w:szCs w:val="20"/>
                <w:lang w:val="es-419"/>
              </w:rPr>
              <w:t xml:space="preserve"> (</w:t>
            </w:r>
            <w:r w:rsidR="0091356F" w:rsidRPr="00D970C5">
              <w:rPr>
                <w:i/>
                <w:iCs/>
                <w:sz w:val="20"/>
                <w:szCs w:val="20"/>
                <w:lang w:val="es-419"/>
              </w:rPr>
              <w:t>clustered</w:t>
            </w:r>
            <w:r w:rsidR="0091356F" w:rsidRPr="00756410">
              <w:rPr>
                <w:sz w:val="20"/>
                <w:szCs w:val="20"/>
                <w:lang w:val="es-419"/>
              </w:rPr>
              <w:t>)</w:t>
            </w:r>
            <w:r w:rsidRPr="00756410">
              <w:rPr>
                <w:sz w:val="20"/>
                <w:szCs w:val="20"/>
                <w:lang w:val="es-419"/>
              </w:rPr>
              <w:t xml:space="preserve">, </w:t>
            </w:r>
            <w:r w:rsidR="00D970C5" w:rsidRPr="00D970C5">
              <w:rPr>
                <w:sz w:val="20"/>
                <w:szCs w:val="20"/>
                <w:lang w:val="es-419"/>
              </w:rPr>
              <w:t xml:space="preserve">se sigue el </w:t>
            </w:r>
            <w:hyperlink r:id="rId104" w:history="1">
              <w:r w:rsidR="00D970C5" w:rsidRPr="00756410">
                <w:rPr>
                  <w:rStyle w:val="Hyperlink"/>
                  <w:sz w:val="20"/>
                  <w:szCs w:val="20"/>
                  <w:lang w:val="es-ES"/>
                </w:rPr>
                <w:t>procedimiento operativo estándar del CMS de la BMS para el procesamiento de las cuentas por pagar (en inglés)</w:t>
              </w:r>
            </w:hyperlink>
            <w:r w:rsidR="00D970C5" w:rsidRPr="00D970C5">
              <w:rPr>
                <w:sz w:val="20"/>
                <w:szCs w:val="20"/>
                <w:lang w:val="es-ES"/>
              </w:rPr>
              <w:t>.</w:t>
            </w:r>
          </w:p>
        </w:tc>
      </w:tr>
      <w:tr w:rsidR="00311836" w:rsidRPr="00773863" w14:paraId="543D56D0" w14:textId="77777777" w:rsidTr="008C4953">
        <w:tc>
          <w:tcPr>
            <w:tcW w:w="9715" w:type="dxa"/>
            <w:tcBorders>
              <w:top w:val="single" w:sz="4" w:space="0" w:color="auto"/>
              <w:left w:val="single" w:sz="4" w:space="0" w:color="auto"/>
              <w:bottom w:val="single" w:sz="4" w:space="0" w:color="auto"/>
              <w:right w:val="single" w:sz="4" w:space="0" w:color="auto"/>
            </w:tcBorders>
          </w:tcPr>
          <w:p w14:paraId="4922B9C3" w14:textId="610DE1C4" w:rsidR="00311836" w:rsidRPr="00756410" w:rsidRDefault="00311836" w:rsidP="00756410">
            <w:pPr>
              <w:pStyle w:val="ListParagraph"/>
              <w:numPr>
                <w:ilvl w:val="0"/>
                <w:numId w:val="79"/>
              </w:numPr>
              <w:jc w:val="both"/>
              <w:rPr>
                <w:sz w:val="20"/>
                <w:szCs w:val="20"/>
                <w:lang w:val="es-419"/>
              </w:rPr>
            </w:pPr>
            <w:bookmarkStart w:id="47" w:name="_Hlk188265035"/>
            <w:r w:rsidRPr="00756410">
              <w:rPr>
                <w:b/>
                <w:bCs/>
                <w:sz w:val="20"/>
                <w:szCs w:val="20"/>
                <w:lang w:val="es-419"/>
              </w:rPr>
              <w:t>Aprueba ZDI:</w:t>
            </w:r>
            <w:r w:rsidRPr="00756410">
              <w:rPr>
                <w:sz w:val="20"/>
                <w:szCs w:val="20"/>
                <w:lang w:val="es-419"/>
              </w:rPr>
              <w:t xml:space="preserve"> Las facturas </w:t>
            </w:r>
            <w:r w:rsidR="00D970C5">
              <w:rPr>
                <w:sz w:val="20"/>
                <w:szCs w:val="20"/>
                <w:lang w:val="es-419"/>
              </w:rPr>
              <w:t xml:space="preserve">con importe nulo/de </w:t>
            </w:r>
            <w:r w:rsidRPr="00756410">
              <w:rPr>
                <w:sz w:val="20"/>
                <w:szCs w:val="20"/>
                <w:lang w:val="es-419"/>
              </w:rPr>
              <w:t>cero dólares (ZDI</w:t>
            </w:r>
            <w:r w:rsidR="00D970C5">
              <w:rPr>
                <w:sz w:val="20"/>
                <w:szCs w:val="20"/>
                <w:lang w:val="es-419"/>
              </w:rPr>
              <w:t xml:space="preserve"> por sus siglas en inglés</w:t>
            </w:r>
            <w:r w:rsidRPr="00756410">
              <w:rPr>
                <w:sz w:val="20"/>
                <w:szCs w:val="20"/>
                <w:lang w:val="es-419"/>
              </w:rPr>
              <w:t xml:space="preserve">) se pueden utilizar, </w:t>
            </w:r>
            <w:r w:rsidR="00247806">
              <w:rPr>
                <w:sz w:val="20"/>
                <w:szCs w:val="20"/>
                <w:lang w:val="es-419"/>
              </w:rPr>
              <w:t>con sujeción</w:t>
            </w:r>
            <w:r w:rsidR="00247806" w:rsidRPr="00756410">
              <w:rPr>
                <w:sz w:val="20"/>
                <w:szCs w:val="20"/>
                <w:lang w:val="es-419"/>
              </w:rPr>
              <w:t xml:space="preserve"> </w:t>
            </w:r>
            <w:r w:rsidRPr="00756410">
              <w:rPr>
                <w:sz w:val="20"/>
                <w:szCs w:val="20"/>
                <w:lang w:val="es-419"/>
              </w:rPr>
              <w:t xml:space="preserve">a ciertos criterios, para </w:t>
            </w:r>
            <w:r w:rsidR="007970C0">
              <w:rPr>
                <w:sz w:val="20"/>
                <w:szCs w:val="20"/>
                <w:lang w:val="es-419"/>
              </w:rPr>
              <w:t xml:space="preserve">facilitar los </w:t>
            </w:r>
            <w:r w:rsidRPr="00756410">
              <w:rPr>
                <w:sz w:val="20"/>
                <w:szCs w:val="20"/>
                <w:lang w:val="es-419"/>
              </w:rPr>
              <w:t xml:space="preserve">ajustes de gastos entre proyectos en Quantum sin necesidad de </w:t>
            </w:r>
            <w:r w:rsidR="003B08D4">
              <w:rPr>
                <w:sz w:val="20"/>
                <w:szCs w:val="20"/>
                <w:lang w:val="es-419"/>
              </w:rPr>
              <w:t>crear partidas individuales en el libro mayor (</w:t>
            </w:r>
            <w:r w:rsidRPr="00756410">
              <w:rPr>
                <w:sz w:val="20"/>
                <w:szCs w:val="20"/>
                <w:lang w:val="es-419"/>
              </w:rPr>
              <w:t>GLJE</w:t>
            </w:r>
            <w:r w:rsidR="003B08D4">
              <w:rPr>
                <w:sz w:val="20"/>
                <w:szCs w:val="20"/>
                <w:lang w:val="es-419"/>
              </w:rPr>
              <w:t xml:space="preserve"> por sus siglas en inglés)</w:t>
            </w:r>
            <w:r w:rsidRPr="00756410">
              <w:rPr>
                <w:sz w:val="20"/>
                <w:szCs w:val="20"/>
                <w:lang w:val="es-419"/>
              </w:rPr>
              <w:t>. Consulte la capacitación que cubre la</w:t>
            </w:r>
            <w:bookmarkEnd w:id="47"/>
            <w:r>
              <w:fldChar w:fldCharType="begin"/>
            </w:r>
            <w:r w:rsidR="001C2486" w:rsidRPr="00756410">
              <w:rPr>
                <w:lang w:val="es-ES"/>
              </w:rPr>
              <w:instrText xml:space="preserve">HYPERLINK "https://web.microsoftstream.com/video/e3ef574c-fe50-45e9-a9e6-cc39c0bec550?channelId=c1b407c8-ae9e-41ad-b619-726765e0aa9a" \h </w:instrText>
            </w:r>
            <w:r>
              <w:fldChar w:fldCharType="separate"/>
            </w:r>
            <w:r w:rsidRPr="00756410">
              <w:rPr>
                <w:rStyle w:val="Hyperlink"/>
                <w:sz w:val="20"/>
                <w:szCs w:val="20"/>
                <w:lang w:val="es-419"/>
              </w:rPr>
              <w:t xml:space="preserve"> factura de cero dólares</w:t>
            </w:r>
            <w:r>
              <w:fldChar w:fldCharType="end"/>
            </w:r>
            <w:r w:rsidRPr="00756410">
              <w:rPr>
                <w:sz w:val="20"/>
                <w:szCs w:val="20"/>
                <w:lang w:val="es-419"/>
              </w:rPr>
              <w:t xml:space="preserve">. </w:t>
            </w:r>
          </w:p>
        </w:tc>
      </w:tr>
      <w:tr w:rsidR="007C7560" w:rsidRPr="00773863" w14:paraId="5553DE36" w14:textId="77777777" w:rsidTr="008C4953">
        <w:trPr>
          <w:trHeight w:val="513"/>
        </w:trPr>
        <w:tc>
          <w:tcPr>
            <w:tcW w:w="9715" w:type="dxa"/>
            <w:tcBorders>
              <w:top w:val="single" w:sz="4" w:space="0" w:color="auto"/>
              <w:left w:val="single" w:sz="4" w:space="0" w:color="auto"/>
              <w:bottom w:val="single" w:sz="4" w:space="0" w:color="auto"/>
              <w:right w:val="single" w:sz="4" w:space="0" w:color="auto"/>
            </w:tcBorders>
          </w:tcPr>
          <w:p w14:paraId="1AB9E835" w14:textId="6C9B04E0" w:rsidR="007C7560" w:rsidRPr="00756410" w:rsidRDefault="220725CF" w:rsidP="00756410">
            <w:pPr>
              <w:pStyle w:val="ListParagraph"/>
              <w:numPr>
                <w:ilvl w:val="0"/>
                <w:numId w:val="79"/>
              </w:numPr>
              <w:jc w:val="both"/>
              <w:rPr>
                <w:sz w:val="20"/>
                <w:szCs w:val="20"/>
                <w:lang w:val="es-419"/>
              </w:rPr>
            </w:pPr>
            <w:r w:rsidRPr="00756410">
              <w:rPr>
                <w:b/>
                <w:bCs/>
                <w:sz w:val="20"/>
                <w:szCs w:val="20"/>
                <w:lang w:val="es-419"/>
              </w:rPr>
              <w:t xml:space="preserve">Aprueba GLJE </w:t>
            </w:r>
            <w:r w:rsidRPr="00756410">
              <w:rPr>
                <w:sz w:val="20"/>
                <w:szCs w:val="20"/>
                <w:lang w:val="es-419"/>
              </w:rPr>
              <w:t>(nota: es posible que durante el año fiscal 2025, las aprobaciones de GLJE se limiten solo a BMS/OFRM, BMS/GSSC y MPTFO):</w:t>
            </w:r>
            <w:r w:rsidRPr="00756410">
              <w:rPr>
                <w:b/>
                <w:bCs/>
                <w:sz w:val="20"/>
                <w:szCs w:val="20"/>
                <w:lang w:val="es-419"/>
              </w:rPr>
              <w:t xml:space="preserve"> </w:t>
            </w:r>
            <w:r w:rsidR="006409FA" w:rsidRPr="00756410">
              <w:rPr>
                <w:sz w:val="20"/>
                <w:szCs w:val="20"/>
                <w:lang w:val="es-419"/>
              </w:rPr>
              <w:t xml:space="preserve">Dado que los GLJE se publican directamente en el </w:t>
            </w:r>
            <w:r w:rsidR="00F30166">
              <w:rPr>
                <w:sz w:val="20"/>
                <w:szCs w:val="20"/>
                <w:lang w:val="es-419"/>
              </w:rPr>
              <w:t>libro mayor (</w:t>
            </w:r>
            <w:r w:rsidR="006409FA" w:rsidRPr="00756410">
              <w:rPr>
                <w:sz w:val="20"/>
                <w:szCs w:val="20"/>
                <w:lang w:val="es-419"/>
              </w:rPr>
              <w:t>GL</w:t>
            </w:r>
            <w:r w:rsidR="00F30166">
              <w:rPr>
                <w:sz w:val="20"/>
                <w:szCs w:val="20"/>
                <w:lang w:val="es-419"/>
              </w:rPr>
              <w:t xml:space="preserve"> por sus siglas en inglés)</w:t>
            </w:r>
            <w:r w:rsidR="006409FA" w:rsidRPr="00756410">
              <w:rPr>
                <w:sz w:val="20"/>
                <w:szCs w:val="20"/>
                <w:lang w:val="es-419"/>
              </w:rPr>
              <w:t xml:space="preserve"> sin los controles y equilibrios incorporados normalmente dentro de los submódulos </w:t>
            </w:r>
            <w:r w:rsidR="00321345">
              <w:rPr>
                <w:sz w:val="20"/>
                <w:szCs w:val="20"/>
                <w:lang w:val="es-419"/>
              </w:rPr>
              <w:t>de Quantum</w:t>
            </w:r>
            <w:r w:rsidR="006409FA" w:rsidRPr="00756410">
              <w:rPr>
                <w:sz w:val="20"/>
                <w:szCs w:val="20"/>
                <w:lang w:val="es-419"/>
              </w:rPr>
              <w:t>, es fundamental que los GLJE sean preparados y aprobados por personal capacitado. Además, dado que los GLJE no afectan los saldos de los proyectos ni los informes, las oficinas mencionadas solo los utilizan para ajustes financieros corporativos. Para cumplir con sus responsabilidades de manera efectiva, los aprobadores de GLJE dentro de esas oficinas deben ser un Gerente Senior o Gerente Nivel 2 en finanzas con conocimiento y comprensión de los principios y conceptos contables clave. A dicho personal se le puede asignar el rol complementario de IDAM de 'Aprobador GLJE'</w:t>
            </w:r>
            <w:r w:rsidR="0049517E">
              <w:rPr>
                <w:sz w:val="20"/>
                <w:szCs w:val="20"/>
                <w:lang w:val="es-419"/>
              </w:rPr>
              <w:t xml:space="preserve"> (“</w:t>
            </w:r>
            <w:r w:rsidR="0049517E" w:rsidRPr="00756410">
              <w:rPr>
                <w:i/>
                <w:iCs/>
                <w:sz w:val="20"/>
                <w:szCs w:val="20"/>
                <w:lang w:val="es-419"/>
              </w:rPr>
              <w:t>GLJE Approver</w:t>
            </w:r>
            <w:r w:rsidR="0049517E">
              <w:rPr>
                <w:sz w:val="20"/>
                <w:szCs w:val="20"/>
                <w:lang w:val="es-419"/>
              </w:rPr>
              <w:t>”)</w:t>
            </w:r>
            <w:r w:rsidR="006409FA" w:rsidRPr="00756410">
              <w:rPr>
                <w:sz w:val="20"/>
                <w:szCs w:val="20"/>
                <w:lang w:val="es-419"/>
              </w:rPr>
              <w:t>. Los Gerentes de Aprobación revisan, aprueban y publican GLJE dentro de sus umbrales autorizados de Gerente de Aprobación. Los GLJE no deben ser aprobados por la misma persona que creó o editó el GLJE (Quantum lo impide). Todos los GLJE deben estar respaldados por la documentación adecuada que evidencie claramente la necesidad y la precisión del GLJE. Estos documentos justificativos deben conservarse de conformidad con las orientaciones que figuran en la sección 2.10 de la presente Guía.</w:t>
            </w:r>
          </w:p>
        </w:tc>
      </w:tr>
    </w:tbl>
    <w:p w14:paraId="56D771BD" w14:textId="77777777" w:rsidR="007C7560" w:rsidRPr="00756410" w:rsidRDefault="007C7560" w:rsidP="002426B0">
      <w:pPr>
        <w:rPr>
          <w:sz w:val="8"/>
          <w:szCs w:val="8"/>
          <w:lang w:val="es-419"/>
        </w:rPr>
      </w:pPr>
    </w:p>
    <w:p w14:paraId="0718615A" w14:textId="16D0C0DD" w:rsidR="00466178" w:rsidRPr="00756410" w:rsidRDefault="006409FA" w:rsidP="00756410">
      <w:pPr>
        <w:spacing w:line="240" w:lineRule="auto"/>
        <w:jc w:val="both"/>
        <w:rPr>
          <w:u w:val="single"/>
          <w:lang w:val="es-419"/>
        </w:rPr>
      </w:pPr>
      <w:r w:rsidRPr="00756410">
        <w:rPr>
          <w:lang w:val="es-419"/>
        </w:rPr>
        <w:lastRenderedPageBreak/>
        <w:t>Las responsabilidades de control interno de los Gerentes de Aprobación que realizan la 'Parte – B (verificar que se puedan realizar los pagos)' se describen en la tabla anterior titulada 'Funciones de Gerente de Aprobación (segunda autoridad, oficial verificador)'. Para las oficinas/unidades con procesos agrupados</w:t>
      </w:r>
      <w:r w:rsidR="0091356F">
        <w:rPr>
          <w:lang w:val="es-419"/>
        </w:rPr>
        <w:t xml:space="preserve"> (</w:t>
      </w:r>
      <w:r w:rsidR="0091356F">
        <w:rPr>
          <w:i/>
          <w:iCs/>
          <w:lang w:val="es-419"/>
        </w:rPr>
        <w:t>clustered</w:t>
      </w:r>
      <w:r w:rsidR="0091356F">
        <w:rPr>
          <w:lang w:val="es-419"/>
        </w:rPr>
        <w:t>)</w:t>
      </w:r>
      <w:r w:rsidRPr="00756410">
        <w:rPr>
          <w:lang w:val="es-419"/>
        </w:rPr>
        <w:t xml:space="preserve"> de Cuentas por Pagar donde BMS/GSSC cumple esta función, las responsabilidades de BMS/GSSC se detallan con más detalle en </w:t>
      </w:r>
      <w:hyperlink r:id="rId105">
        <w:r w:rsidRPr="00756410">
          <w:rPr>
            <w:rStyle w:val="Hyperlink"/>
            <w:color w:val="4472C4" w:themeColor="accent1"/>
            <w:lang w:val="es-419"/>
          </w:rPr>
          <w:t>el SOP de BMS/GSSC para el Procesamiento de Cuentas por Paga</w:t>
        </w:r>
        <w:r w:rsidR="008F3D52">
          <w:rPr>
            <w:rStyle w:val="Hyperlink"/>
            <w:color w:val="4472C4" w:themeColor="accent1"/>
            <w:lang w:val="es-419"/>
          </w:rPr>
          <w:t>r.</w:t>
        </w:r>
      </w:hyperlink>
    </w:p>
    <w:p w14:paraId="7B0BFFB9" w14:textId="131C2DBE" w:rsidR="006409FA" w:rsidRPr="00756410" w:rsidRDefault="00466178" w:rsidP="002028BA">
      <w:pPr>
        <w:spacing w:line="240" w:lineRule="auto"/>
        <w:rPr>
          <w:lang w:val="es-419"/>
        </w:rPr>
      </w:pPr>
      <w:r w:rsidRPr="00756410">
        <w:rPr>
          <w:lang w:val="es-419"/>
        </w:rPr>
        <w:t xml:space="preserve">Para las oficinas/unidades que no tienen </w:t>
      </w:r>
      <w:r w:rsidR="008F3D52">
        <w:rPr>
          <w:lang w:val="es-419"/>
        </w:rPr>
        <w:t>el</w:t>
      </w:r>
      <w:r w:rsidR="008F3D52" w:rsidRPr="00756410">
        <w:rPr>
          <w:lang w:val="es-419"/>
        </w:rPr>
        <w:t xml:space="preserve"> </w:t>
      </w:r>
      <w:r w:rsidRPr="00756410">
        <w:rPr>
          <w:lang w:val="es-419"/>
        </w:rPr>
        <w:t>proceso de cuentas por pagar agrupad</w:t>
      </w:r>
      <w:r w:rsidR="008F3D52">
        <w:rPr>
          <w:lang w:val="es-419"/>
        </w:rPr>
        <w:t>o (</w:t>
      </w:r>
      <w:r w:rsidR="008F3D52" w:rsidRPr="00F55998">
        <w:rPr>
          <w:i/>
          <w:iCs/>
          <w:lang w:val="es-419"/>
        </w:rPr>
        <w:t>clustered</w:t>
      </w:r>
      <w:r w:rsidR="008F3D52">
        <w:rPr>
          <w:lang w:val="es-419"/>
        </w:rPr>
        <w:t>)</w:t>
      </w:r>
      <w:r w:rsidRPr="00756410">
        <w:rPr>
          <w:lang w:val="es-419"/>
        </w:rPr>
        <w:t>, el Gerente de Aprobación en la oficina/unidad cumple con las funciones de la Parte A y la Parte B.</w:t>
      </w:r>
    </w:p>
    <w:p w14:paraId="2CA413EA" w14:textId="597EBBB8" w:rsidR="005D2478" w:rsidRPr="00756410" w:rsidRDefault="005D2478">
      <w:pPr>
        <w:pStyle w:val="Heading2"/>
        <w:numPr>
          <w:ilvl w:val="1"/>
          <w:numId w:val="93"/>
        </w:numPr>
        <w:spacing w:after="240"/>
        <w:rPr>
          <w:lang w:val="es-ES"/>
        </w:rPr>
      </w:pPr>
      <w:bookmarkStart w:id="48" w:name="_Toc210052765"/>
      <w:r w:rsidRPr="00756410">
        <w:rPr>
          <w:lang w:val="es-ES"/>
        </w:rPr>
        <w:t>Oficial de Desembolso (tercera autoridad)</w:t>
      </w:r>
      <w:bookmarkEnd w:id="48"/>
    </w:p>
    <w:p w14:paraId="72D25305" w14:textId="54A2FB44" w:rsidR="005D2478" w:rsidRPr="00756410" w:rsidRDefault="005D2478" w:rsidP="00756410">
      <w:pPr>
        <w:spacing w:after="240"/>
        <w:jc w:val="both"/>
        <w:rPr>
          <w:lang w:val="es-419"/>
        </w:rPr>
      </w:pPr>
      <w:r w:rsidRPr="00756410">
        <w:rPr>
          <w:lang w:val="es-419"/>
        </w:rPr>
        <w:t xml:space="preserve">La tercera autoridad, denominada en este documento como el "oficial de desembolsos", autoriza los desembolsos pendientes y cumple el papel de signatario del banco. Esta autoridad equivale al "oficial de desembolsos" en el párrafo 20.02 b) del Reglamento Financiero. La tercera autoridad, con excepción del </w:t>
      </w:r>
      <w:r w:rsidR="00D81969">
        <w:rPr>
          <w:lang w:val="es-419"/>
        </w:rPr>
        <w:t>Signatario Bancario</w:t>
      </w:r>
      <w:r w:rsidRPr="00756410">
        <w:rPr>
          <w:lang w:val="es-419"/>
        </w:rPr>
        <w:t xml:space="preserve">, debe estar separada de la primera o de la segunda autoridad y debe ser ejercida por un </w:t>
      </w:r>
      <w:r w:rsidR="0042481B">
        <w:rPr>
          <w:lang w:val="es-419"/>
        </w:rPr>
        <w:t xml:space="preserve">personal </w:t>
      </w:r>
      <w:r w:rsidRPr="00756410">
        <w:rPr>
          <w:lang w:val="es-419"/>
        </w:rPr>
        <w:t xml:space="preserve">funcionario del PNUD. </w:t>
      </w:r>
      <w:r w:rsidRPr="00756410">
        <w:rPr>
          <w:b/>
          <w:lang w:val="es-419"/>
        </w:rPr>
        <w:t xml:space="preserve">Cualquier excepción a este requisito debe ser aprobada por el Tesorero, con copia al </w:t>
      </w:r>
      <w:r w:rsidR="00D75CDB">
        <w:rPr>
          <w:b/>
          <w:lang w:val="es-419"/>
        </w:rPr>
        <w:t>CFO</w:t>
      </w:r>
      <w:r w:rsidRPr="00756410">
        <w:rPr>
          <w:b/>
          <w:lang w:val="es-419"/>
        </w:rPr>
        <w:t>, caso por caso y basada en la justificación completa y la aplicación de los controles adicionales apropiados por parte de la oficina / unidad respectiva.</w:t>
      </w:r>
      <w:r w:rsidRPr="00756410">
        <w:rPr>
          <w:lang w:val="es-419"/>
        </w:rPr>
        <w:t xml:space="preserve"> Para obtener una guía más detallada sobre cómo realizar desembolsos, consulte los </w:t>
      </w:r>
      <w:hyperlink r:id="rId106">
        <w:r w:rsidR="00735CE4">
          <w:rPr>
            <w:rStyle w:val="Hyperlink"/>
            <w:lang w:val="es-419"/>
          </w:rPr>
          <w:t>Fondos de desembolso del POPP (realización de pagos).</w:t>
        </w:r>
      </w:hyperlink>
    </w:p>
    <w:p w14:paraId="33AE5E2F" w14:textId="42761B0C" w:rsidR="00466178" w:rsidRPr="00756410" w:rsidRDefault="00466178" w:rsidP="363CA695">
      <w:pPr>
        <w:spacing w:line="240" w:lineRule="auto"/>
        <w:rPr>
          <w:lang w:val="es-419"/>
        </w:rPr>
      </w:pPr>
      <w:r w:rsidRPr="00756410">
        <w:rPr>
          <w:lang w:val="es-419"/>
        </w:rPr>
        <w:t xml:space="preserve">El rol del Oficial de Desembolso se compone de dos funciones: </w:t>
      </w:r>
    </w:p>
    <w:tbl>
      <w:tblPr>
        <w:tblStyle w:val="TableGrid"/>
        <w:tblW w:w="10075" w:type="dxa"/>
        <w:tblCellMar>
          <w:left w:w="72" w:type="dxa"/>
          <w:bottom w:w="43" w:type="dxa"/>
          <w:right w:w="72" w:type="dxa"/>
        </w:tblCellMar>
        <w:tblLook w:val="04A0" w:firstRow="1" w:lastRow="0" w:firstColumn="1" w:lastColumn="0" w:noHBand="0" w:noVBand="1"/>
      </w:tblPr>
      <w:tblGrid>
        <w:gridCol w:w="4135"/>
        <w:gridCol w:w="5940"/>
      </w:tblGrid>
      <w:tr w:rsidR="005D2478" w:rsidRPr="00773863" w14:paraId="54444495" w14:textId="77777777" w:rsidTr="008C4953">
        <w:trPr>
          <w:tblHeader/>
        </w:trPr>
        <w:tc>
          <w:tcPr>
            <w:tcW w:w="1007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9C7E260" w14:textId="314B5545" w:rsidR="005D2478" w:rsidRPr="00756410" w:rsidRDefault="005D2478" w:rsidP="00466178">
            <w:pPr>
              <w:jc w:val="center"/>
              <w:rPr>
                <w:b/>
                <w:sz w:val="20"/>
                <w:szCs w:val="20"/>
                <w:lang w:val="es-419"/>
              </w:rPr>
            </w:pPr>
            <w:r w:rsidRPr="00756410">
              <w:rPr>
                <w:b/>
                <w:sz w:val="20"/>
                <w:szCs w:val="20"/>
                <w:lang w:val="es-419"/>
              </w:rPr>
              <w:t>Oficial de desembolsos (tercera autoridad): debe ser u</w:t>
            </w:r>
            <w:r w:rsidR="00801D9E">
              <w:rPr>
                <w:b/>
                <w:sz w:val="20"/>
                <w:szCs w:val="20"/>
                <w:lang w:val="es-419"/>
              </w:rPr>
              <w:t>n personal funcionario</w:t>
            </w:r>
            <w:r w:rsidRPr="00756410">
              <w:rPr>
                <w:b/>
                <w:sz w:val="20"/>
                <w:szCs w:val="20"/>
                <w:lang w:val="es-419"/>
              </w:rPr>
              <w:t xml:space="preserve"> del PNUD</w:t>
            </w:r>
          </w:p>
        </w:tc>
      </w:tr>
      <w:tr w:rsidR="005D2478" w:rsidRPr="00473113" w14:paraId="4DF3141B" w14:textId="77777777" w:rsidTr="008C4953">
        <w:trPr>
          <w:tblHeader/>
        </w:trPr>
        <w:tc>
          <w:tcPr>
            <w:tcW w:w="4135" w:type="dxa"/>
            <w:tcBorders>
              <w:top w:val="single" w:sz="4" w:space="0" w:color="auto"/>
              <w:left w:val="single" w:sz="4" w:space="0" w:color="auto"/>
              <w:bottom w:val="single" w:sz="4" w:space="0" w:color="auto"/>
              <w:right w:val="single" w:sz="4" w:space="0" w:color="auto"/>
            </w:tcBorders>
            <w:shd w:val="clear" w:color="auto" w:fill="70AD47" w:themeFill="accent6"/>
          </w:tcPr>
          <w:p w14:paraId="5A07DB73" w14:textId="77777777" w:rsidR="005D2478" w:rsidRPr="00756410" w:rsidRDefault="005D2478" w:rsidP="00466178">
            <w:pPr>
              <w:rPr>
                <w:b/>
                <w:color w:val="FFFFFF" w:themeColor="background1"/>
                <w:sz w:val="20"/>
                <w:szCs w:val="20"/>
                <w:lang w:val="es-ES"/>
              </w:rPr>
            </w:pPr>
            <w:r w:rsidRPr="00756410">
              <w:rPr>
                <w:b/>
                <w:color w:val="FFFFFF" w:themeColor="background1"/>
                <w:sz w:val="20"/>
                <w:szCs w:val="20"/>
                <w:lang w:val="es-ES"/>
              </w:rPr>
              <w:t>Parte A: Autoriza desembolsos pendientes</w:t>
            </w:r>
          </w:p>
        </w:tc>
        <w:tc>
          <w:tcPr>
            <w:tcW w:w="5940" w:type="dxa"/>
            <w:tcBorders>
              <w:top w:val="single" w:sz="4" w:space="0" w:color="auto"/>
              <w:left w:val="single" w:sz="4" w:space="0" w:color="auto"/>
              <w:bottom w:val="single" w:sz="4" w:space="0" w:color="auto"/>
              <w:right w:val="single" w:sz="4" w:space="0" w:color="auto"/>
            </w:tcBorders>
            <w:shd w:val="clear" w:color="auto" w:fill="002060"/>
          </w:tcPr>
          <w:p w14:paraId="7A7AA404" w14:textId="77777777" w:rsidR="005D2478" w:rsidRPr="00756410" w:rsidRDefault="005D2478" w:rsidP="00466178">
            <w:pPr>
              <w:rPr>
                <w:b/>
                <w:color w:val="FFFFFF" w:themeColor="background1"/>
                <w:sz w:val="20"/>
                <w:szCs w:val="20"/>
                <w:lang w:val="es-ES"/>
              </w:rPr>
            </w:pPr>
            <w:r w:rsidRPr="00756410">
              <w:rPr>
                <w:b/>
                <w:color w:val="FFFFFF" w:themeColor="background1"/>
                <w:sz w:val="20"/>
                <w:szCs w:val="20"/>
                <w:lang w:val="es-ES"/>
              </w:rPr>
              <w:t>Parte B: Actúa como signatario bancario</w:t>
            </w:r>
          </w:p>
        </w:tc>
      </w:tr>
      <w:tr w:rsidR="005D2478" w:rsidRPr="00773863" w14:paraId="50F65E85" w14:textId="77777777" w:rsidTr="008C4953">
        <w:trPr>
          <w:trHeight w:val="1583"/>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5723F5" w14:textId="32130B9D" w:rsidR="005D2478" w:rsidRPr="00756410" w:rsidRDefault="63D95759" w:rsidP="00756410">
            <w:pPr>
              <w:jc w:val="both"/>
              <w:rPr>
                <w:sz w:val="20"/>
                <w:szCs w:val="20"/>
                <w:lang w:val="es-419"/>
              </w:rPr>
            </w:pPr>
            <w:r w:rsidRPr="00756410">
              <w:rPr>
                <w:b/>
                <w:sz w:val="20"/>
                <w:szCs w:val="20"/>
                <w:lang w:val="es-419"/>
              </w:rPr>
              <w:t>Función:</w:t>
            </w:r>
            <w:r w:rsidRPr="00756410">
              <w:rPr>
                <w:sz w:val="20"/>
                <w:szCs w:val="20"/>
                <w:lang w:val="es-419"/>
              </w:rPr>
              <w:t xml:space="preserve"> Autoriza los desembolsos pendientes al: (i) garantizar fondos suficientes en la cuenta bancaria correspondiente; y (ii) revisar la </w:t>
            </w:r>
            <w:r w:rsidR="00271E43">
              <w:rPr>
                <w:sz w:val="20"/>
                <w:szCs w:val="20"/>
                <w:lang w:val="es-419"/>
              </w:rPr>
              <w:t>divisa</w:t>
            </w:r>
            <w:r w:rsidR="00271E43" w:rsidRPr="00756410">
              <w:rPr>
                <w:sz w:val="20"/>
                <w:szCs w:val="20"/>
                <w:lang w:val="es-419"/>
              </w:rPr>
              <w:t xml:space="preserve"> </w:t>
            </w:r>
            <w:r w:rsidRPr="00756410">
              <w:rPr>
                <w:sz w:val="20"/>
                <w:szCs w:val="20"/>
                <w:lang w:val="es-419"/>
              </w:rPr>
              <w:t>de la moneda y el monto entre el comprobante aprobado y la instrucción de desembolso al banco/cheque cuando se prepara manualmente.</w:t>
            </w:r>
          </w:p>
        </w:tc>
        <w:tc>
          <w:tcPr>
            <w:tcW w:w="59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0B20CF" w14:textId="7A269381" w:rsidR="005D2478" w:rsidRPr="00756410" w:rsidRDefault="005D2478" w:rsidP="00756410">
            <w:pPr>
              <w:jc w:val="both"/>
              <w:rPr>
                <w:sz w:val="20"/>
                <w:szCs w:val="20"/>
                <w:lang w:val="es-419"/>
              </w:rPr>
            </w:pPr>
            <w:r w:rsidRPr="00756410">
              <w:rPr>
                <w:b/>
                <w:sz w:val="20"/>
                <w:szCs w:val="20"/>
                <w:lang w:val="es-419"/>
              </w:rPr>
              <w:t>Función:</w:t>
            </w:r>
            <w:r w:rsidRPr="00756410">
              <w:rPr>
                <w:sz w:val="20"/>
                <w:szCs w:val="20"/>
                <w:lang w:val="es-419"/>
              </w:rPr>
              <w:t xml:space="preserve"> Ejerce la función de signatario bancario en relación con el método de pago, incluyendo: (i) Firmar cheques;( ii) Firmar la carta de transmisión al banco para las interfaces EFT locales; y (iii) Aprobar electrónicamente el pago a través del software del banco local. Esta función se ejerce fuera de Quantum tras la aprobación de un desembolso en Quantum, lo que garantiza la diligencia debida completa.</w:t>
            </w:r>
          </w:p>
        </w:tc>
      </w:tr>
      <w:tr w:rsidR="005A588B" w:rsidRPr="00773863" w14:paraId="39EE8111" w14:textId="77777777" w:rsidTr="008C4953">
        <w:trPr>
          <w:trHeight w:val="701"/>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F92518" w14:textId="1FB14DD2" w:rsidR="00466178" w:rsidRPr="00756410" w:rsidRDefault="005A588B" w:rsidP="00466178">
            <w:pPr>
              <w:rPr>
                <w:sz w:val="20"/>
                <w:szCs w:val="20"/>
                <w:lang w:val="es-419"/>
              </w:rPr>
            </w:pPr>
            <w:r w:rsidRPr="00756410">
              <w:rPr>
                <w:b/>
                <w:bCs/>
                <w:sz w:val="20"/>
                <w:szCs w:val="20"/>
                <w:lang w:val="es-419"/>
              </w:rPr>
              <w:t>Acciones realizadas:</w:t>
            </w:r>
            <w:r w:rsidRPr="00756410">
              <w:rPr>
                <w:sz w:val="20"/>
                <w:szCs w:val="20"/>
                <w:lang w:val="es-419"/>
              </w:rPr>
              <w:t xml:space="preserve"> autoriza todos los desembolsos pendientes, </w:t>
            </w:r>
            <w:r w:rsidR="00074E88">
              <w:rPr>
                <w:sz w:val="20"/>
                <w:szCs w:val="20"/>
                <w:lang w:val="es-419"/>
              </w:rPr>
              <w:t xml:space="preserve">lo </w:t>
            </w:r>
            <w:r w:rsidR="00084D2D">
              <w:rPr>
                <w:sz w:val="20"/>
                <w:szCs w:val="20"/>
                <w:lang w:val="es-419"/>
              </w:rPr>
              <w:t>que</w:t>
            </w:r>
            <w:r w:rsidR="00074E88">
              <w:rPr>
                <w:sz w:val="20"/>
                <w:szCs w:val="20"/>
                <w:lang w:val="es-419"/>
              </w:rPr>
              <w:t xml:space="preserve"> </w:t>
            </w:r>
            <w:r w:rsidR="00AF3551">
              <w:rPr>
                <w:sz w:val="20"/>
                <w:szCs w:val="20"/>
                <w:lang w:val="es-419"/>
              </w:rPr>
              <w:t>incluye</w:t>
            </w:r>
            <w:r w:rsidRPr="00756410">
              <w:rPr>
                <w:sz w:val="20"/>
                <w:szCs w:val="20"/>
                <w:lang w:val="es-419"/>
              </w:rPr>
              <w:t>:</w:t>
            </w:r>
          </w:p>
          <w:p w14:paraId="365719B2" w14:textId="77777777" w:rsidR="005A588B" w:rsidRPr="00756410" w:rsidRDefault="005A588B" w:rsidP="47B743A0">
            <w:pPr>
              <w:pStyle w:val="ListParagraph"/>
              <w:widowControl w:val="0"/>
              <w:numPr>
                <w:ilvl w:val="0"/>
                <w:numId w:val="71"/>
              </w:numPr>
              <w:autoSpaceDE w:val="0"/>
              <w:autoSpaceDN w:val="0"/>
              <w:rPr>
                <w:sz w:val="20"/>
                <w:szCs w:val="20"/>
                <w:lang w:val="es-ES"/>
              </w:rPr>
            </w:pPr>
            <w:r w:rsidRPr="00756410">
              <w:rPr>
                <w:sz w:val="20"/>
                <w:szCs w:val="20"/>
                <w:lang w:val="es-ES"/>
              </w:rPr>
              <w:t>Revisión de pagos contra documentos de respaldo</w:t>
            </w:r>
          </w:p>
          <w:p w14:paraId="46819B34" w14:textId="6C6B6B13" w:rsidR="005A588B" w:rsidRPr="00756410" w:rsidRDefault="005A588B">
            <w:pPr>
              <w:pStyle w:val="ListParagraph"/>
              <w:widowControl w:val="0"/>
              <w:numPr>
                <w:ilvl w:val="0"/>
                <w:numId w:val="71"/>
              </w:numPr>
              <w:autoSpaceDE w:val="0"/>
              <w:autoSpaceDN w:val="0"/>
              <w:rPr>
                <w:sz w:val="20"/>
                <w:szCs w:val="20"/>
                <w:lang w:val="es-419"/>
              </w:rPr>
            </w:pPr>
            <w:r w:rsidRPr="00756410">
              <w:rPr>
                <w:sz w:val="20"/>
                <w:szCs w:val="20"/>
                <w:lang w:val="es-419"/>
              </w:rPr>
              <w:t>ejecutar la solicitud de proceso de pago (PPR)</w:t>
            </w:r>
          </w:p>
          <w:p w14:paraId="752BF60D" w14:textId="24075043" w:rsidR="005A588B" w:rsidRPr="00756410" w:rsidRDefault="005A588B" w:rsidP="068E6479">
            <w:pPr>
              <w:pStyle w:val="ListParagraph"/>
              <w:widowControl w:val="0"/>
              <w:numPr>
                <w:ilvl w:val="0"/>
                <w:numId w:val="71"/>
              </w:numPr>
              <w:autoSpaceDE w:val="0"/>
              <w:autoSpaceDN w:val="0"/>
              <w:rPr>
                <w:sz w:val="20"/>
                <w:szCs w:val="20"/>
                <w:lang w:val="es-419"/>
              </w:rPr>
            </w:pPr>
            <w:r w:rsidRPr="00756410">
              <w:rPr>
                <w:sz w:val="20"/>
                <w:szCs w:val="20"/>
                <w:lang w:val="es-419"/>
              </w:rPr>
              <w:t>Comprobación de la disponibilidad de fondos</w:t>
            </w:r>
          </w:p>
          <w:p w14:paraId="7048A147" w14:textId="58F53B13" w:rsidR="003855C3" w:rsidRDefault="003855C3" w:rsidP="003855C3">
            <w:pPr>
              <w:pStyle w:val="ListParagraph"/>
              <w:widowControl w:val="0"/>
              <w:numPr>
                <w:ilvl w:val="0"/>
                <w:numId w:val="71"/>
              </w:numPr>
              <w:autoSpaceDE w:val="0"/>
              <w:autoSpaceDN w:val="0"/>
              <w:contextualSpacing w:val="0"/>
              <w:rPr>
                <w:sz w:val="20"/>
                <w:szCs w:val="20"/>
                <w:lang w:val="es-419"/>
              </w:rPr>
            </w:pPr>
            <w:r w:rsidRPr="00406582">
              <w:rPr>
                <w:sz w:val="20"/>
                <w:szCs w:val="20"/>
                <w:lang w:val="es-ES"/>
              </w:rPr>
              <w:t>aprobar la solicitud de procesamiento de pago (PRP</w:t>
            </w:r>
            <w:r>
              <w:rPr>
                <w:sz w:val="20"/>
                <w:szCs w:val="20"/>
                <w:lang w:val="es-419"/>
              </w:rPr>
              <w:t>)</w:t>
            </w:r>
          </w:p>
          <w:p w14:paraId="0F30E117" w14:textId="424BC81C" w:rsidR="005A588B" w:rsidRPr="00756410" w:rsidRDefault="005A588B" w:rsidP="00756410">
            <w:pPr>
              <w:pStyle w:val="ListParagraph"/>
              <w:widowControl w:val="0"/>
              <w:numPr>
                <w:ilvl w:val="0"/>
                <w:numId w:val="71"/>
              </w:numPr>
              <w:autoSpaceDE w:val="0"/>
              <w:autoSpaceDN w:val="0"/>
              <w:contextualSpacing w:val="0"/>
              <w:rPr>
                <w:sz w:val="20"/>
                <w:szCs w:val="20"/>
                <w:lang w:val="es-419"/>
              </w:rPr>
            </w:pPr>
            <w:r w:rsidRPr="00756410">
              <w:rPr>
                <w:sz w:val="20"/>
                <w:szCs w:val="20"/>
                <w:lang w:val="es-419"/>
              </w:rPr>
              <w:t xml:space="preserve">Cargar archivos de pago en el portal en línea </w:t>
            </w:r>
            <w:r w:rsidRPr="00756410">
              <w:rPr>
                <w:sz w:val="20"/>
                <w:szCs w:val="20"/>
                <w:lang w:val="es-419"/>
              </w:rPr>
              <w:lastRenderedPageBreak/>
              <w:t xml:space="preserve">de los bancos, dependiendo de las regulaciones bancarias en línea del país. </w:t>
            </w:r>
          </w:p>
        </w:tc>
        <w:tc>
          <w:tcPr>
            <w:tcW w:w="59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E4A56" w14:textId="2A9D5537" w:rsidR="00466178" w:rsidRPr="00756410" w:rsidRDefault="005A588B" w:rsidP="00756410">
            <w:pPr>
              <w:jc w:val="both"/>
              <w:rPr>
                <w:sz w:val="20"/>
                <w:szCs w:val="20"/>
                <w:lang w:val="es-419"/>
              </w:rPr>
            </w:pPr>
            <w:r w:rsidRPr="00756410">
              <w:rPr>
                <w:b/>
                <w:bCs/>
                <w:sz w:val="20"/>
                <w:szCs w:val="20"/>
                <w:lang w:val="es-419"/>
              </w:rPr>
              <w:lastRenderedPageBreak/>
              <w:t>Acciones realizadas:</w:t>
            </w:r>
            <w:r w:rsidRPr="00756410">
              <w:rPr>
                <w:sz w:val="20"/>
                <w:szCs w:val="20"/>
                <w:lang w:val="es-419"/>
              </w:rPr>
              <w:t xml:space="preserve"> desempeña el papel de signatario bancario para todos los bancos </w:t>
            </w:r>
            <w:r w:rsidR="004C45AD">
              <w:rPr>
                <w:sz w:val="20"/>
                <w:szCs w:val="20"/>
                <w:lang w:val="es-419"/>
              </w:rPr>
              <w:t xml:space="preserve">locales de oficina de país </w:t>
            </w:r>
            <w:r w:rsidRPr="00756410">
              <w:rPr>
                <w:sz w:val="20"/>
                <w:szCs w:val="20"/>
                <w:lang w:val="es-419"/>
              </w:rPr>
              <w:t xml:space="preserve">en función de los archivos de pago preparados y cargados por BMS/GSSC, </w:t>
            </w:r>
            <w:r w:rsidR="00084D2D">
              <w:rPr>
                <w:sz w:val="20"/>
                <w:szCs w:val="20"/>
                <w:lang w:val="es-419"/>
              </w:rPr>
              <w:t>lo que</w:t>
            </w:r>
            <w:r w:rsidR="00084D2D" w:rsidRPr="00756410">
              <w:rPr>
                <w:sz w:val="20"/>
                <w:szCs w:val="20"/>
                <w:lang w:val="es-419"/>
              </w:rPr>
              <w:t xml:space="preserve"> </w:t>
            </w:r>
            <w:r w:rsidRPr="00756410">
              <w:rPr>
                <w:sz w:val="20"/>
                <w:szCs w:val="20"/>
                <w:lang w:val="es-419"/>
              </w:rPr>
              <w:t>incluye:</w:t>
            </w:r>
          </w:p>
          <w:p w14:paraId="0E51BE04" w14:textId="70DAF90B" w:rsidR="005A588B" w:rsidRPr="00756410" w:rsidRDefault="005A588B">
            <w:pPr>
              <w:pStyle w:val="ListParagraph"/>
              <w:widowControl w:val="0"/>
              <w:numPr>
                <w:ilvl w:val="0"/>
                <w:numId w:val="72"/>
              </w:numPr>
              <w:autoSpaceDE w:val="0"/>
              <w:autoSpaceDN w:val="0"/>
              <w:contextualSpacing w:val="0"/>
              <w:rPr>
                <w:sz w:val="20"/>
                <w:szCs w:val="20"/>
                <w:lang w:val="es-ES"/>
              </w:rPr>
            </w:pPr>
            <w:r w:rsidRPr="00756410">
              <w:rPr>
                <w:sz w:val="20"/>
                <w:szCs w:val="20"/>
                <w:lang w:val="es-ES"/>
              </w:rPr>
              <w:t>revis</w:t>
            </w:r>
            <w:r w:rsidR="00084D2D" w:rsidRPr="00756410">
              <w:rPr>
                <w:sz w:val="20"/>
                <w:szCs w:val="20"/>
                <w:lang w:val="es-ES"/>
              </w:rPr>
              <w:t>ión</w:t>
            </w:r>
            <w:r w:rsidRPr="00756410">
              <w:rPr>
                <w:sz w:val="20"/>
                <w:szCs w:val="20"/>
                <w:lang w:val="es-ES"/>
              </w:rPr>
              <w:t xml:space="preserve"> y firma</w:t>
            </w:r>
            <w:r w:rsidR="00084D2D" w:rsidRPr="00756410">
              <w:rPr>
                <w:sz w:val="20"/>
                <w:szCs w:val="20"/>
                <w:lang w:val="es-ES"/>
              </w:rPr>
              <w:t xml:space="preserve"> d</w:t>
            </w:r>
            <w:r w:rsidRPr="00756410">
              <w:rPr>
                <w:sz w:val="20"/>
                <w:szCs w:val="20"/>
                <w:lang w:val="es-ES"/>
              </w:rPr>
              <w:t xml:space="preserve"> cheques.</w:t>
            </w:r>
          </w:p>
          <w:p w14:paraId="70F35792" w14:textId="1B910193" w:rsidR="005A588B" w:rsidRPr="00756410" w:rsidRDefault="005A588B" w:rsidP="068E6479">
            <w:pPr>
              <w:pStyle w:val="ListParagraph"/>
              <w:widowControl w:val="0"/>
              <w:numPr>
                <w:ilvl w:val="0"/>
                <w:numId w:val="72"/>
              </w:numPr>
              <w:autoSpaceDE w:val="0"/>
              <w:autoSpaceDN w:val="0"/>
              <w:rPr>
                <w:sz w:val="20"/>
                <w:szCs w:val="20"/>
                <w:lang w:val="es-419"/>
              </w:rPr>
            </w:pPr>
            <w:r w:rsidRPr="00756410">
              <w:rPr>
                <w:sz w:val="20"/>
                <w:szCs w:val="20"/>
                <w:lang w:val="es-419"/>
              </w:rPr>
              <w:t>revis</w:t>
            </w:r>
            <w:r w:rsidR="00084D2D">
              <w:rPr>
                <w:sz w:val="20"/>
                <w:szCs w:val="20"/>
                <w:lang w:val="es-419"/>
              </w:rPr>
              <w:t>ión</w:t>
            </w:r>
            <w:r w:rsidRPr="00756410">
              <w:rPr>
                <w:sz w:val="20"/>
                <w:szCs w:val="20"/>
                <w:lang w:val="es-419"/>
              </w:rPr>
              <w:t xml:space="preserve"> y firma </w:t>
            </w:r>
            <w:r w:rsidR="00084D2D">
              <w:rPr>
                <w:sz w:val="20"/>
                <w:szCs w:val="20"/>
                <w:lang w:val="es-419"/>
              </w:rPr>
              <w:t xml:space="preserve">de </w:t>
            </w:r>
            <w:r w:rsidRPr="00756410">
              <w:rPr>
                <w:sz w:val="20"/>
                <w:szCs w:val="20"/>
                <w:lang w:val="es-419"/>
              </w:rPr>
              <w:t>la carta de transmisión al banco para las interfaces EFT locales; y/o</w:t>
            </w:r>
          </w:p>
          <w:p w14:paraId="42737E1D" w14:textId="7409A057" w:rsidR="005A588B" w:rsidRPr="00756410" w:rsidRDefault="00984A11" w:rsidP="068E6479">
            <w:pPr>
              <w:pStyle w:val="ListParagraph"/>
              <w:widowControl w:val="0"/>
              <w:numPr>
                <w:ilvl w:val="0"/>
                <w:numId w:val="72"/>
              </w:numPr>
              <w:autoSpaceDE w:val="0"/>
              <w:autoSpaceDN w:val="0"/>
              <w:rPr>
                <w:sz w:val="20"/>
                <w:szCs w:val="20"/>
                <w:lang w:val="es-419"/>
              </w:rPr>
            </w:pPr>
            <w:r>
              <w:rPr>
                <w:sz w:val="20"/>
                <w:szCs w:val="20"/>
                <w:lang w:val="es-419"/>
              </w:rPr>
              <w:t>realización de la aprobación</w:t>
            </w:r>
            <w:r w:rsidR="005A588B" w:rsidRPr="00756410">
              <w:rPr>
                <w:sz w:val="20"/>
                <w:szCs w:val="20"/>
                <w:lang w:val="es-419"/>
              </w:rPr>
              <w:t xml:space="preserve"> </w:t>
            </w:r>
            <w:r w:rsidR="00E2260E">
              <w:rPr>
                <w:sz w:val="20"/>
                <w:szCs w:val="20"/>
                <w:lang w:val="es-419"/>
              </w:rPr>
              <w:t>electrónica de</w:t>
            </w:r>
            <w:r w:rsidR="005A588B" w:rsidRPr="00756410">
              <w:rPr>
                <w:sz w:val="20"/>
                <w:szCs w:val="20"/>
                <w:lang w:val="es-419"/>
              </w:rPr>
              <w:t>l pago a través del software del banco local.</w:t>
            </w:r>
          </w:p>
          <w:p w14:paraId="6137EF91" w14:textId="49D4EB22" w:rsidR="003E14AB" w:rsidRPr="00756410" w:rsidRDefault="005A588B" w:rsidP="363CA695">
            <w:pPr>
              <w:widowControl w:val="0"/>
              <w:autoSpaceDE w:val="0"/>
              <w:autoSpaceDN w:val="0"/>
              <w:rPr>
                <w:sz w:val="20"/>
                <w:szCs w:val="20"/>
                <w:lang w:val="es-419"/>
              </w:rPr>
            </w:pPr>
            <w:r w:rsidRPr="00756410">
              <w:rPr>
                <w:b/>
                <w:color w:val="4472C4" w:themeColor="accent1"/>
                <w:sz w:val="20"/>
                <w:szCs w:val="20"/>
                <w:lang w:val="es-419"/>
              </w:rPr>
              <w:br/>
              <w:t xml:space="preserve">Nota: </w:t>
            </w:r>
            <w:r w:rsidR="00600D5B">
              <w:rPr>
                <w:sz w:val="20"/>
                <w:szCs w:val="20"/>
                <w:lang w:val="es-419"/>
              </w:rPr>
              <w:t xml:space="preserve">La </w:t>
            </w:r>
            <w:r w:rsidR="004C45AD">
              <w:rPr>
                <w:sz w:val="20"/>
                <w:szCs w:val="20"/>
                <w:lang w:val="es-419"/>
              </w:rPr>
              <w:t>oficina de país</w:t>
            </w:r>
            <w:r w:rsidRPr="00756410">
              <w:rPr>
                <w:sz w:val="20"/>
                <w:szCs w:val="20"/>
                <w:lang w:val="es-419"/>
              </w:rPr>
              <w:t xml:space="preserve"> no tiene acceso para cargar, alterar o modificar </w:t>
            </w:r>
            <w:r w:rsidR="0037195D">
              <w:rPr>
                <w:sz w:val="20"/>
                <w:szCs w:val="20"/>
                <w:lang w:val="es-419"/>
              </w:rPr>
              <w:t>ninguna</w:t>
            </w:r>
            <w:r w:rsidR="004961D4">
              <w:rPr>
                <w:sz w:val="20"/>
                <w:szCs w:val="20"/>
                <w:lang w:val="es-419"/>
              </w:rPr>
              <w:t xml:space="preserve">  </w:t>
            </w:r>
            <w:r w:rsidRPr="00756410">
              <w:rPr>
                <w:sz w:val="20"/>
                <w:szCs w:val="20"/>
                <w:lang w:val="es-419"/>
              </w:rPr>
              <w:t>información de pago preparada por BMS/GSSC</w:t>
            </w:r>
            <w:r w:rsidR="00966B46" w:rsidRPr="363CA695">
              <w:rPr>
                <w:rStyle w:val="FootnoteReference"/>
                <w:sz w:val="20"/>
                <w:szCs w:val="20"/>
              </w:rPr>
              <w:footnoteReference w:id="27"/>
            </w:r>
            <w:r w:rsidR="00966B46" w:rsidRPr="00756410">
              <w:rPr>
                <w:sz w:val="20"/>
                <w:szCs w:val="20"/>
                <w:lang w:val="es-419"/>
              </w:rPr>
              <w:t xml:space="preserve">, pero puede </w:t>
            </w:r>
            <w:r w:rsidR="00966B46" w:rsidRPr="00756410">
              <w:rPr>
                <w:sz w:val="20"/>
                <w:szCs w:val="20"/>
                <w:lang w:val="es-419"/>
              </w:rPr>
              <w:lastRenderedPageBreak/>
              <w:t>rechazar un pago para que BMS/GSSC lo reelabore. En algunos casos, l</w:t>
            </w:r>
            <w:r w:rsidR="004961D4">
              <w:rPr>
                <w:sz w:val="20"/>
                <w:szCs w:val="20"/>
                <w:lang w:val="es-419"/>
              </w:rPr>
              <w:t>a</w:t>
            </w:r>
            <w:r w:rsidR="00966B46" w:rsidRPr="00756410">
              <w:rPr>
                <w:sz w:val="20"/>
                <w:szCs w:val="20"/>
                <w:lang w:val="es-419"/>
              </w:rPr>
              <w:t xml:space="preserve">s </w:t>
            </w:r>
            <w:r w:rsidR="004C45AD">
              <w:rPr>
                <w:sz w:val="20"/>
                <w:szCs w:val="20"/>
                <w:lang w:val="es-419"/>
              </w:rPr>
              <w:t xml:space="preserve">oficinas de país </w:t>
            </w:r>
            <w:r w:rsidR="00966B46" w:rsidRPr="00756410">
              <w:rPr>
                <w:sz w:val="20"/>
                <w:szCs w:val="20"/>
                <w:lang w:val="es-419"/>
              </w:rPr>
              <w:t xml:space="preserve">solicitan a BMS/GSSC que apruebe electrónicamente los pagos a través del software del banco local. </w:t>
            </w:r>
          </w:p>
        </w:tc>
      </w:tr>
      <w:tr w:rsidR="005D2478" w:rsidRPr="00773863" w14:paraId="0EAE6CD8" w14:textId="77777777" w:rsidTr="008C4953">
        <w:trPr>
          <w:trHeight w:val="458"/>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EB9458" w14:textId="44DBC372" w:rsidR="005D2478" w:rsidRPr="00756410" w:rsidRDefault="005D2478" w:rsidP="00466178">
            <w:pPr>
              <w:rPr>
                <w:sz w:val="20"/>
                <w:szCs w:val="20"/>
                <w:lang w:val="es-419"/>
              </w:rPr>
            </w:pPr>
            <w:r w:rsidRPr="00756410">
              <w:rPr>
                <w:b/>
                <w:sz w:val="20"/>
                <w:szCs w:val="20"/>
                <w:lang w:val="es-419"/>
              </w:rPr>
              <w:lastRenderedPageBreak/>
              <w:t>Realizado por:</w:t>
            </w:r>
            <w:r w:rsidRPr="00756410">
              <w:rPr>
                <w:sz w:val="20"/>
                <w:szCs w:val="20"/>
                <w:lang w:val="es-419"/>
              </w:rPr>
              <w:t xml:space="preserve"> BMS/GSSC (para CO) y BMS/OFRM/Tesorería (para unidades de la sede) y VNU.</w:t>
            </w:r>
          </w:p>
        </w:tc>
        <w:tc>
          <w:tcPr>
            <w:tcW w:w="59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A6BD06" w14:textId="17564BD0" w:rsidR="005D2478" w:rsidRPr="00756410" w:rsidRDefault="005D2478" w:rsidP="363CA695">
            <w:pPr>
              <w:rPr>
                <w:sz w:val="20"/>
                <w:szCs w:val="20"/>
                <w:lang w:val="es-419"/>
              </w:rPr>
            </w:pPr>
            <w:r w:rsidRPr="00756410">
              <w:rPr>
                <w:b/>
                <w:sz w:val="20"/>
                <w:szCs w:val="20"/>
                <w:lang w:val="es-419"/>
              </w:rPr>
              <w:t xml:space="preserve">Realizado por: </w:t>
            </w:r>
            <w:r w:rsidR="00466178" w:rsidRPr="00756410">
              <w:rPr>
                <w:sz w:val="20"/>
                <w:szCs w:val="20"/>
                <w:lang w:val="es-419"/>
              </w:rPr>
              <w:t xml:space="preserve">Oficial de desembolso designado por el Jefe de la Oficina/Unidad (solo para </w:t>
            </w:r>
            <w:r w:rsidR="004C45AD">
              <w:rPr>
                <w:sz w:val="20"/>
                <w:szCs w:val="20"/>
                <w:lang w:val="es-419"/>
              </w:rPr>
              <w:t xml:space="preserve">oficinas de país </w:t>
            </w:r>
            <w:r w:rsidR="00466178" w:rsidRPr="00756410">
              <w:rPr>
                <w:sz w:val="20"/>
                <w:szCs w:val="20"/>
                <w:lang w:val="es-419"/>
              </w:rPr>
              <w:t xml:space="preserve">y </w:t>
            </w:r>
            <w:r w:rsidR="00AA30CF" w:rsidRPr="3937432E">
              <w:rPr>
                <w:sz w:val="20"/>
                <w:szCs w:val="20"/>
                <w:lang w:val="es-419"/>
              </w:rPr>
              <w:t>unidades de la sede fuera de Nueva York</w:t>
            </w:r>
            <w:r w:rsidR="00466178" w:rsidRPr="00756410">
              <w:rPr>
                <w:sz w:val="20"/>
                <w:szCs w:val="20"/>
                <w:lang w:val="es-419"/>
              </w:rPr>
              <w:t>)</w:t>
            </w:r>
          </w:p>
        </w:tc>
      </w:tr>
      <w:tr w:rsidR="005D2478" w:rsidRPr="00773863" w14:paraId="54F42B0A" w14:textId="77777777" w:rsidTr="008C4953">
        <w:trPr>
          <w:trHeight w:val="188"/>
        </w:trPr>
        <w:tc>
          <w:tcPr>
            <w:tcW w:w="41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924FE4" w14:textId="4AF4FBF4" w:rsidR="005D2478" w:rsidRPr="00756410" w:rsidRDefault="007575EC" w:rsidP="363CA695">
            <w:pPr>
              <w:pStyle w:val="pf0"/>
              <w:rPr>
                <w:rFonts w:ascii="Arial" w:hAnsi="Arial" w:cs="Arial"/>
                <w:sz w:val="20"/>
                <w:szCs w:val="20"/>
                <w:lang w:val="es-419"/>
              </w:rPr>
            </w:pPr>
            <w:r>
              <w:rPr>
                <w:rFonts w:asciiTheme="minorHAnsi" w:hAnsiTheme="minorHAnsi" w:cstheme="minorBidi"/>
                <w:b/>
                <w:bCs/>
                <w:sz w:val="20"/>
                <w:szCs w:val="20"/>
                <w:lang w:val="es-419"/>
              </w:rPr>
              <w:t>Roles</w:t>
            </w:r>
            <w:r w:rsidRPr="00406582">
              <w:rPr>
                <w:rFonts w:asciiTheme="minorHAnsi" w:hAnsiTheme="minorHAnsi" w:cstheme="minorBidi"/>
                <w:b/>
                <w:bCs/>
                <w:sz w:val="20"/>
                <w:szCs w:val="20"/>
                <w:lang w:val="es-419"/>
              </w:rPr>
              <w:t xml:space="preserve"> complementari</w:t>
            </w:r>
            <w:r>
              <w:rPr>
                <w:rFonts w:asciiTheme="minorHAnsi" w:hAnsiTheme="minorHAnsi" w:cstheme="minorBidi"/>
                <w:b/>
                <w:bCs/>
                <w:sz w:val="20"/>
                <w:szCs w:val="20"/>
                <w:lang w:val="es-419"/>
              </w:rPr>
              <w:t>os</w:t>
            </w:r>
            <w:r w:rsidR="000C139A" w:rsidRPr="00756410">
              <w:rPr>
                <w:rFonts w:asciiTheme="minorHAnsi" w:hAnsiTheme="minorHAnsi" w:cstheme="minorBidi"/>
                <w:b/>
                <w:bCs/>
                <w:sz w:val="20"/>
                <w:szCs w:val="20"/>
                <w:lang w:val="es-419"/>
              </w:rPr>
              <w:t xml:space="preserve"> de IDAM: </w:t>
            </w:r>
            <w:bookmarkStart w:id="49" w:name="_Hlk188267275"/>
            <w:r w:rsidR="000C139A" w:rsidRPr="00756410">
              <w:rPr>
                <w:rStyle w:val="cf01"/>
                <w:rFonts w:asciiTheme="minorHAnsi" w:hAnsiTheme="minorHAnsi" w:cstheme="minorBidi"/>
                <w:sz w:val="20"/>
                <w:szCs w:val="20"/>
                <w:lang w:val="es-419"/>
              </w:rPr>
              <w:t>Supervisor de Pagos de Cuentas por Pagar PNUD (adm)</w:t>
            </w:r>
            <w:r w:rsidR="00406582" w:rsidRPr="00406582">
              <w:rPr>
                <w:rStyle w:val="cf01"/>
                <w:rFonts w:asciiTheme="minorHAnsi" w:hAnsiTheme="minorHAnsi" w:cstheme="minorBidi"/>
                <w:sz w:val="20"/>
                <w:szCs w:val="20"/>
                <w:lang w:val="es-419"/>
              </w:rPr>
              <w:t xml:space="preserve"> </w:t>
            </w:r>
            <w:r w:rsidR="00406582" w:rsidRPr="00756410">
              <w:rPr>
                <w:rStyle w:val="cf01"/>
                <w:sz w:val="20"/>
                <w:szCs w:val="20"/>
                <w:lang w:val="es-419"/>
              </w:rPr>
              <w:t>(</w:t>
            </w:r>
            <w:r w:rsidR="00406582" w:rsidRPr="00756410">
              <w:rPr>
                <w:rFonts w:ascii="Segoe UI" w:hAnsi="Segoe UI" w:cs="Segoe UI"/>
                <w:i/>
                <w:iCs/>
                <w:sz w:val="20"/>
                <w:szCs w:val="20"/>
                <w:lang w:val="es-ES"/>
              </w:rPr>
              <w:t>Accounts Payable Payment Supervisor UNDP (adm)</w:t>
            </w:r>
            <w:r w:rsidR="00406582" w:rsidRPr="00756410">
              <w:rPr>
                <w:rFonts w:ascii="Segoe UI" w:hAnsi="Segoe UI" w:cs="Segoe UI"/>
                <w:sz w:val="20"/>
                <w:szCs w:val="20"/>
                <w:lang w:val="es-ES"/>
              </w:rPr>
              <w:t>)</w:t>
            </w:r>
            <w:r w:rsidR="000C139A" w:rsidRPr="00756410">
              <w:rPr>
                <w:rStyle w:val="cf01"/>
                <w:rFonts w:asciiTheme="minorHAnsi" w:hAnsiTheme="minorHAnsi" w:cstheme="minorBidi"/>
                <w:sz w:val="20"/>
                <w:szCs w:val="20"/>
                <w:lang w:val="es-419"/>
              </w:rPr>
              <w:t xml:space="preserve"> o Supervisor de Pagos de Cuentas por Pagar GSSC (adm)</w:t>
            </w:r>
            <w:bookmarkEnd w:id="49"/>
            <w:r w:rsidR="00406582" w:rsidRPr="00406582">
              <w:rPr>
                <w:rStyle w:val="cf01"/>
                <w:rFonts w:asciiTheme="minorHAnsi" w:hAnsiTheme="minorHAnsi" w:cstheme="minorBidi"/>
                <w:sz w:val="20"/>
                <w:szCs w:val="20"/>
                <w:lang w:val="es-419"/>
              </w:rPr>
              <w:t xml:space="preserve"> </w:t>
            </w:r>
            <w:r w:rsidR="00406582" w:rsidRPr="00756410">
              <w:rPr>
                <w:rStyle w:val="cf01"/>
                <w:sz w:val="20"/>
                <w:szCs w:val="20"/>
                <w:lang w:val="es-419"/>
              </w:rPr>
              <w:t>(</w:t>
            </w:r>
            <w:r w:rsidR="00406582" w:rsidRPr="00756410">
              <w:rPr>
                <w:rFonts w:ascii="Segoe UI" w:hAnsi="Segoe UI" w:cs="Segoe UI"/>
                <w:i/>
                <w:iCs/>
                <w:sz w:val="20"/>
                <w:szCs w:val="20"/>
                <w:lang w:val="es-ES"/>
              </w:rPr>
              <w:t>Accounts Payable Payment Supervisor GSSC (adm)</w:t>
            </w:r>
            <w:r w:rsidR="00406582" w:rsidRPr="00756410">
              <w:rPr>
                <w:rFonts w:ascii="Segoe UI" w:hAnsi="Segoe UI" w:cs="Segoe UI"/>
                <w:sz w:val="20"/>
                <w:szCs w:val="20"/>
                <w:lang w:val="es-ES"/>
              </w:rPr>
              <w:t>)</w:t>
            </w:r>
          </w:p>
        </w:tc>
        <w:tc>
          <w:tcPr>
            <w:tcW w:w="59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0FCB3A" w14:textId="52974943" w:rsidR="005D2478" w:rsidRPr="00756410" w:rsidRDefault="006B79D7" w:rsidP="00466178">
            <w:pPr>
              <w:rPr>
                <w:b/>
                <w:sz w:val="20"/>
                <w:szCs w:val="20"/>
                <w:lang w:val="es-419"/>
              </w:rPr>
            </w:pPr>
            <w:r>
              <w:rPr>
                <w:b/>
                <w:sz w:val="20"/>
                <w:szCs w:val="20"/>
                <w:lang w:val="es-419"/>
              </w:rPr>
              <w:t>Rol</w:t>
            </w:r>
            <w:r w:rsidRPr="00756410">
              <w:rPr>
                <w:b/>
                <w:sz w:val="20"/>
                <w:szCs w:val="20"/>
                <w:lang w:val="es-419"/>
              </w:rPr>
              <w:t xml:space="preserve"> complementari</w:t>
            </w:r>
            <w:r>
              <w:rPr>
                <w:b/>
                <w:sz w:val="20"/>
                <w:szCs w:val="20"/>
                <w:lang w:val="es-419"/>
              </w:rPr>
              <w:t>o</w:t>
            </w:r>
            <w:r w:rsidRPr="00756410">
              <w:rPr>
                <w:b/>
                <w:sz w:val="20"/>
                <w:szCs w:val="20"/>
                <w:lang w:val="es-419"/>
              </w:rPr>
              <w:t xml:space="preserve"> </w:t>
            </w:r>
            <w:r w:rsidR="005D2478" w:rsidRPr="00756410">
              <w:rPr>
                <w:b/>
                <w:sz w:val="20"/>
                <w:szCs w:val="20"/>
                <w:lang w:val="es-419"/>
              </w:rPr>
              <w:t>de IDAM: Descarga de archivos UFF de la ONU y signatario del banco</w:t>
            </w:r>
            <w:r w:rsidR="006C5D68">
              <w:rPr>
                <w:b/>
                <w:sz w:val="20"/>
                <w:szCs w:val="20"/>
                <w:lang w:val="es-419"/>
              </w:rPr>
              <w:t xml:space="preserve"> (</w:t>
            </w:r>
            <w:r w:rsidR="006C5D68" w:rsidRPr="00756410">
              <w:rPr>
                <w:b/>
                <w:bCs/>
                <w:i/>
                <w:iCs/>
                <w:sz w:val="20"/>
                <w:szCs w:val="20"/>
                <w:lang w:val="es-ES"/>
              </w:rPr>
              <w:t>UN UFF File Download and Bank Signatory</w:t>
            </w:r>
            <w:r w:rsidR="006C5D68" w:rsidRPr="00756410">
              <w:rPr>
                <w:b/>
                <w:bCs/>
                <w:sz w:val="20"/>
                <w:szCs w:val="20"/>
                <w:lang w:val="es-ES"/>
              </w:rPr>
              <w:t>).</w:t>
            </w:r>
          </w:p>
        </w:tc>
      </w:tr>
      <w:tr w:rsidR="005D2478" w:rsidRPr="00773863" w14:paraId="1CB82EDD" w14:textId="77777777" w:rsidTr="008C4953">
        <w:trPr>
          <w:trHeight w:val="431"/>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3F699" w14:textId="10E262BD" w:rsidR="005D2478" w:rsidRPr="00756410" w:rsidRDefault="005D2478" w:rsidP="00756410">
            <w:pPr>
              <w:jc w:val="both"/>
              <w:rPr>
                <w:sz w:val="20"/>
                <w:szCs w:val="20"/>
                <w:lang w:val="es-419"/>
              </w:rPr>
            </w:pPr>
            <w:r w:rsidRPr="00756410">
              <w:rPr>
                <w:b/>
                <w:sz w:val="20"/>
                <w:szCs w:val="20"/>
                <w:lang w:val="es-419"/>
              </w:rPr>
              <w:t xml:space="preserve">Segregación de funciones requerida: </w:t>
            </w:r>
            <w:r w:rsidRPr="00756410">
              <w:rPr>
                <w:bCs/>
                <w:sz w:val="20"/>
                <w:szCs w:val="20"/>
                <w:lang w:val="es-419"/>
              </w:rPr>
              <w:t>La tercera</w:t>
            </w:r>
            <w:r w:rsidRPr="00756410">
              <w:rPr>
                <w:sz w:val="20"/>
                <w:szCs w:val="20"/>
                <w:lang w:val="es-419"/>
              </w:rPr>
              <w:t xml:space="preserve"> autoridad debe estar separada de la primera o segunda autoridad (excepción de</w:t>
            </w:r>
            <w:r w:rsidR="00547F1C">
              <w:rPr>
                <w:sz w:val="20"/>
                <w:szCs w:val="20"/>
                <w:lang w:val="es-419"/>
              </w:rPr>
              <w:t xml:space="preserve"> Signatario Bancario</w:t>
            </w:r>
            <w:r w:rsidRPr="00756410">
              <w:rPr>
                <w:sz w:val="20"/>
                <w:szCs w:val="20"/>
                <w:lang w:val="es-419"/>
              </w:rPr>
              <w:t xml:space="preserve">). En todos los casos, debe haber una separación de funciones entre la primera, segunda y tercera autoridad para la misma transacción. </w:t>
            </w:r>
          </w:p>
        </w:tc>
      </w:tr>
    </w:tbl>
    <w:p w14:paraId="60EAA19C" w14:textId="77777777" w:rsidR="005D2478" w:rsidRPr="00756410" w:rsidRDefault="005D2478" w:rsidP="005D2478">
      <w:pPr>
        <w:rPr>
          <w:sz w:val="8"/>
          <w:szCs w:val="8"/>
          <w:lang w:val="es-419"/>
        </w:rPr>
      </w:pPr>
    </w:p>
    <w:p w14:paraId="2446C8E5" w14:textId="54355585" w:rsidR="005D2478" w:rsidRPr="00756410" w:rsidRDefault="005D2478" w:rsidP="00756410">
      <w:pPr>
        <w:spacing w:line="240" w:lineRule="auto"/>
        <w:ind w:right="36"/>
        <w:jc w:val="both"/>
        <w:rPr>
          <w:i/>
          <w:lang w:val="es-419"/>
        </w:rPr>
      </w:pPr>
      <w:r w:rsidRPr="00756410">
        <w:rPr>
          <w:b/>
          <w:lang w:val="es-419"/>
        </w:rPr>
        <w:t>Procesamiento de transacciones de emergencia en oficinas/unidades con procesos de desembolso agrupados</w:t>
      </w:r>
      <w:r w:rsidR="0091356F">
        <w:rPr>
          <w:b/>
          <w:lang w:val="es-419"/>
        </w:rPr>
        <w:t xml:space="preserve"> (</w:t>
      </w:r>
      <w:r w:rsidR="0091356F">
        <w:rPr>
          <w:b/>
          <w:i/>
          <w:iCs/>
          <w:lang w:val="es-419"/>
        </w:rPr>
        <w:t>clustered</w:t>
      </w:r>
      <w:r w:rsidR="0091356F">
        <w:rPr>
          <w:b/>
          <w:lang w:val="es-419"/>
        </w:rPr>
        <w:t>)</w:t>
      </w:r>
      <w:r w:rsidRPr="00756410">
        <w:rPr>
          <w:b/>
          <w:lang w:val="es-419"/>
        </w:rPr>
        <w:t xml:space="preserve">: </w:t>
      </w:r>
      <w:r w:rsidRPr="00756410">
        <w:rPr>
          <w:shd w:val="clear" w:color="auto" w:fill="F9F8F8"/>
          <w:lang w:val="es-419"/>
        </w:rPr>
        <w:t>El Jefe de la Oficina/Unidad Solicitante debe designar Oficial</w:t>
      </w:r>
      <w:r w:rsidR="006C5D68">
        <w:rPr>
          <w:shd w:val="clear" w:color="auto" w:fill="F9F8F8"/>
          <w:lang w:val="es-419"/>
        </w:rPr>
        <w:t>es</w:t>
      </w:r>
      <w:r w:rsidRPr="00756410">
        <w:rPr>
          <w:shd w:val="clear" w:color="auto" w:fill="F9F8F8"/>
          <w:lang w:val="es-419"/>
        </w:rPr>
        <w:t xml:space="preserve"> de Desembolso para cumplir con todo el rol de la tercera autoridad (autorizar desembolsos pendientes, liberar EFT y/o firmar excepcionalmente cheques manuales) en situaciones de emergencia en </w:t>
      </w:r>
      <w:r w:rsidRPr="00756410">
        <w:rPr>
          <w:lang w:val="es-419"/>
        </w:rPr>
        <w:t xml:space="preserve">las que el BMS/GSSC no pueda procesar una transacción a tiempo. En este caso, deben seguirse los procedimientos para el procesamiento de las operaciones de emergencia, tal como se describe en el </w:t>
      </w:r>
      <w:hyperlink r:id="rId107" w:history="1">
        <w:r w:rsidR="00BC38F5">
          <w:rPr>
            <w:rStyle w:val="Hyperlink"/>
            <w:lang w:val="es-419"/>
          </w:rPr>
          <w:t>SOP</w:t>
        </w:r>
        <w:r w:rsidR="007F673A" w:rsidRPr="00756410">
          <w:rPr>
            <w:rStyle w:val="Hyperlink"/>
            <w:lang w:val="es-419"/>
          </w:rPr>
          <w:t xml:space="preserve"> del GSSC sobre operaciones financieras de emergenci</w:t>
        </w:r>
        <w:r w:rsidR="0029617A">
          <w:rPr>
            <w:rStyle w:val="Hyperlink"/>
            <w:lang w:val="es-419"/>
          </w:rPr>
          <w:t>a.</w:t>
        </w:r>
      </w:hyperlink>
      <w:r w:rsidR="007F673A" w:rsidRPr="00756410">
        <w:rPr>
          <w:color w:val="ED7D31" w:themeColor="accent2"/>
          <w:lang w:val="es-419"/>
        </w:rPr>
        <w:t xml:space="preserve"> </w:t>
      </w:r>
      <w:r w:rsidRPr="00756410">
        <w:rPr>
          <w:i/>
          <w:lang w:val="es-419"/>
        </w:rPr>
        <w:t>(Nota: El programa informático del PNUD para la preparación de cheques debe utilizarse para la preparación de cheques, a menos que la emisión de cheques sea una emergencia (por ejemplo, en condiciones en las que no es posible ejecutar el ciclo de pago).</w:t>
      </w:r>
    </w:p>
    <w:p w14:paraId="7063505C" w14:textId="6CC58923" w:rsidR="005D2478" w:rsidRPr="00756410" w:rsidRDefault="005D2478">
      <w:pPr>
        <w:pStyle w:val="Heading2"/>
        <w:numPr>
          <w:ilvl w:val="1"/>
          <w:numId w:val="93"/>
        </w:numPr>
        <w:spacing w:after="240"/>
        <w:rPr>
          <w:lang w:val="es-419"/>
        </w:rPr>
      </w:pPr>
      <w:bookmarkStart w:id="50" w:name="_Toc210052766"/>
      <w:r w:rsidRPr="00756410">
        <w:rPr>
          <w:lang w:val="es-419"/>
        </w:rPr>
        <w:t>Gestión de cuentas bancarias y firmantes de cuentas bancarias</w:t>
      </w:r>
      <w:bookmarkEnd w:id="50"/>
    </w:p>
    <w:p w14:paraId="2D890341" w14:textId="37B4B0FC" w:rsidR="005D2478" w:rsidRPr="00756410" w:rsidRDefault="001F08D4" w:rsidP="00756410">
      <w:pPr>
        <w:spacing w:line="240" w:lineRule="auto"/>
        <w:jc w:val="both"/>
        <w:rPr>
          <w:rStyle w:val="Hyperlink"/>
          <w:lang w:val="es-419"/>
        </w:rPr>
      </w:pPr>
      <w:r w:rsidRPr="00756410">
        <w:rPr>
          <w:lang w:val="es-419"/>
        </w:rPr>
        <w:t xml:space="preserve">En virtud de los informes financieros del PNUD, sólo el Tesorero está facultado para abrir y cerrar cuentas bancarias del PNUD. Por lo tanto, todas las oficinas/unidades deben obtener la aprobación previa del Tesorero para abrir o cerrar una cuenta bancaria y consultar con el Tesorero para abrir o cerrar una cuenta bancaria en caso de emergencias locales. Consulte </w:t>
      </w:r>
      <w:r w:rsidR="007579F4">
        <w:rPr>
          <w:lang w:val="es-419"/>
        </w:rPr>
        <w:t xml:space="preserve">la política de </w:t>
      </w:r>
      <w:hyperlink r:id="rId108">
        <w:r w:rsidR="00236D9E">
          <w:rPr>
            <w:rStyle w:val="Hyperlink"/>
            <w:lang w:val="es-419"/>
          </w:rPr>
          <w:t>”</w:t>
        </w:r>
        <w:r w:rsidR="00236D9E" w:rsidRPr="00756410">
          <w:rPr>
            <w:rStyle w:val="Hyperlink"/>
            <w:i/>
            <w:iCs/>
            <w:lang w:val="es-419"/>
          </w:rPr>
          <w:t>A</w:t>
        </w:r>
        <w:r w:rsidR="005D2478" w:rsidRPr="00756410">
          <w:rPr>
            <w:rStyle w:val="Hyperlink"/>
            <w:i/>
            <w:iCs/>
            <w:lang w:val="es-419"/>
          </w:rPr>
          <w:t>pertura y cierre de cuentas bancarias</w:t>
        </w:r>
        <w:r w:rsidR="00236D9E">
          <w:rPr>
            <w:rStyle w:val="Hyperlink"/>
            <w:lang w:val="es-419"/>
          </w:rPr>
          <w:t>”</w:t>
        </w:r>
        <w:r w:rsidR="007579F4">
          <w:rPr>
            <w:rStyle w:val="Hyperlink"/>
            <w:lang w:val="es-419"/>
          </w:rPr>
          <w:t xml:space="preserve"> en POPP</w:t>
        </w:r>
        <w:r w:rsidR="005D2478" w:rsidRPr="00756410">
          <w:rPr>
            <w:rStyle w:val="Hyperlink"/>
            <w:lang w:val="es-419"/>
          </w:rPr>
          <w:t>.</w:t>
        </w:r>
      </w:hyperlink>
    </w:p>
    <w:p w14:paraId="71B287DF" w14:textId="263C40F1" w:rsidR="005D2478" w:rsidRPr="00756410" w:rsidRDefault="005D2478" w:rsidP="00756410">
      <w:pPr>
        <w:spacing w:line="240" w:lineRule="auto"/>
        <w:jc w:val="both"/>
        <w:rPr>
          <w:lang w:val="es-419"/>
        </w:rPr>
      </w:pPr>
      <w:r w:rsidRPr="00756410">
        <w:rPr>
          <w:lang w:val="es-419"/>
        </w:rPr>
        <w:t xml:space="preserve">Si bien sólo el Tesorero puede abrir y cerrar cuentas bancarias del PNUD y designar a los signatarios iniciales para que gestionen las cuentas bancarias del PNUD, el RR </w:t>
      </w:r>
      <w:r w:rsidR="00533986">
        <w:rPr>
          <w:lang w:val="es-419"/>
        </w:rPr>
        <w:t xml:space="preserve">tiene delegada por </w:t>
      </w:r>
      <w:r w:rsidRPr="00756410">
        <w:rPr>
          <w:lang w:val="es-419"/>
        </w:rPr>
        <w:t xml:space="preserve">el Tesorero la autoridad para designar a </w:t>
      </w:r>
      <w:r w:rsidRPr="00756410">
        <w:rPr>
          <w:u w:val="single"/>
          <w:lang w:val="es-419"/>
        </w:rPr>
        <w:t>los funcionarios</w:t>
      </w:r>
      <w:r w:rsidR="00533986" w:rsidRPr="00756410">
        <w:rPr>
          <w:lang w:val="es-419"/>
        </w:rPr>
        <w:t xml:space="preserve"> (</w:t>
      </w:r>
      <w:r w:rsidRPr="00756410">
        <w:rPr>
          <w:lang w:val="es-419"/>
        </w:rPr>
        <w:t xml:space="preserve">incluido el personal </w:t>
      </w:r>
      <w:r w:rsidR="0064483C">
        <w:rPr>
          <w:lang w:val="es-419"/>
        </w:rPr>
        <w:t xml:space="preserve">funcionario </w:t>
      </w:r>
      <w:r w:rsidRPr="00756410">
        <w:rPr>
          <w:lang w:val="es-419"/>
        </w:rPr>
        <w:t>local</w:t>
      </w:r>
      <w:r w:rsidR="0064483C">
        <w:rPr>
          <w:lang w:val="es-419"/>
        </w:rPr>
        <w:t>)</w:t>
      </w:r>
      <w:r w:rsidRPr="00756410">
        <w:rPr>
          <w:lang w:val="es-419"/>
        </w:rPr>
        <w:t xml:space="preserve">, para que formen parte del panel de signatarios de las cuentas bancarias locales del PNUD. El número de firmantes de cuentas bancarias debe mantenerse al mínimo, pero debe haber una cobertura adecuada durante las ausencias de la oficina/unidad. Para obtener más orientación, consulte </w:t>
      </w:r>
      <w:hyperlink r:id="rId109">
        <w:r w:rsidR="00D94E87">
          <w:rPr>
            <w:rStyle w:val="Hyperlink"/>
            <w:lang w:val="es-419"/>
          </w:rPr>
          <w:t>”</w:t>
        </w:r>
        <w:r w:rsidR="00D94E87" w:rsidRPr="00756410">
          <w:rPr>
            <w:rStyle w:val="Hyperlink"/>
            <w:i/>
            <w:iCs/>
            <w:lang w:val="es-419"/>
          </w:rPr>
          <w:t>Designación y r</w:t>
        </w:r>
        <w:r w:rsidRPr="00756410">
          <w:rPr>
            <w:rStyle w:val="Hyperlink"/>
            <w:i/>
            <w:iCs/>
            <w:lang w:val="es-419"/>
          </w:rPr>
          <w:t>esponsabilidades de los signatario</w:t>
        </w:r>
        <w:r w:rsidR="00D94E87" w:rsidRPr="00756410">
          <w:rPr>
            <w:rStyle w:val="Hyperlink"/>
            <w:i/>
            <w:iCs/>
            <w:lang w:val="es-419"/>
          </w:rPr>
          <w:t>s</w:t>
        </w:r>
        <w:r w:rsidR="00D94E87">
          <w:rPr>
            <w:rStyle w:val="Hyperlink"/>
            <w:lang w:val="es-419"/>
          </w:rPr>
          <w:t>”</w:t>
        </w:r>
      </w:hyperlink>
      <w:r w:rsidR="00D94E87" w:rsidRPr="00756410">
        <w:rPr>
          <w:lang w:val="es-ES"/>
        </w:rPr>
        <w:t xml:space="preserve"> del POPP</w:t>
      </w:r>
      <w:r w:rsidRPr="00756410">
        <w:rPr>
          <w:lang w:val="es-419"/>
        </w:rPr>
        <w:t>.</w:t>
      </w:r>
    </w:p>
    <w:p w14:paraId="2718D6DB" w14:textId="382763DE" w:rsidR="005D2478" w:rsidRPr="00756410" w:rsidRDefault="005D2478" w:rsidP="00756410">
      <w:pPr>
        <w:spacing w:line="240" w:lineRule="auto"/>
        <w:jc w:val="both"/>
        <w:rPr>
          <w:lang w:val="es-419"/>
        </w:rPr>
      </w:pPr>
      <w:r w:rsidRPr="00756410">
        <w:rPr>
          <w:lang w:val="es-419"/>
        </w:rPr>
        <w:t xml:space="preserve">Solo </w:t>
      </w:r>
      <w:r w:rsidR="009C7C1D">
        <w:rPr>
          <w:lang w:val="es-419"/>
        </w:rPr>
        <w:t>el personal funcionario</w:t>
      </w:r>
      <w:r w:rsidRPr="00756410">
        <w:rPr>
          <w:lang w:val="es-419"/>
        </w:rPr>
        <w:t xml:space="preserve"> del PNUD puede ser designado signatario de cuentas bancarias y, una vez nombrados por el RR, no pueden delega</w:t>
      </w:r>
      <w:r w:rsidR="009C7C1D">
        <w:rPr>
          <w:lang w:val="es-419"/>
        </w:rPr>
        <w:t>r esta función</w:t>
      </w:r>
      <w:r w:rsidR="00A644F8">
        <w:rPr>
          <w:lang w:val="es-419"/>
        </w:rPr>
        <w:t xml:space="preserve"> a otr</w:t>
      </w:r>
      <w:r w:rsidR="00965E30">
        <w:rPr>
          <w:lang w:val="es-419"/>
        </w:rPr>
        <w:t>o funcionario</w:t>
      </w:r>
      <w:r w:rsidRPr="00756410">
        <w:rPr>
          <w:lang w:val="es-419"/>
        </w:rPr>
        <w:t>. Para garantizar controles adecuados, los signatarios de cuentas bancarias deben tener en cuenta lo siguiente:</w:t>
      </w:r>
    </w:p>
    <w:p w14:paraId="7EF74FB2" w14:textId="5E2F2F91"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t>Se deben observar todos los procesos y responsabilidades para administrar cuentas bancarias locales, incluidas las reglas relacionadas con depósitos, retiros, distribuciones o transferencias bancarias de fondos.</w:t>
      </w:r>
    </w:p>
    <w:p w14:paraId="70B94C15" w14:textId="6828B62F"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lastRenderedPageBreak/>
        <w:t>Los cheques en blanco no utilizados deben guardarse en una caja fuerte de oficina/unidad y solo puede</w:t>
      </w:r>
      <w:r w:rsidR="007C59B4">
        <w:rPr>
          <w:lang w:val="es-419"/>
        </w:rPr>
        <w:t>n</w:t>
      </w:r>
      <w:r w:rsidRPr="00756410">
        <w:rPr>
          <w:lang w:val="es-419"/>
        </w:rPr>
        <w:t xml:space="preserve"> acceder a ellos el personal que está autorizado para preparar cheques pero que no tiene autoridad para firmar</w:t>
      </w:r>
      <w:r w:rsidR="007C59B4">
        <w:rPr>
          <w:lang w:val="es-419"/>
        </w:rPr>
        <w:t>los</w:t>
      </w:r>
      <w:r w:rsidRPr="00756410">
        <w:rPr>
          <w:lang w:val="es-419"/>
        </w:rPr>
        <w:t>.</w:t>
      </w:r>
    </w:p>
    <w:p w14:paraId="0FA8BB8A" w14:textId="00DF21CE"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t>A menos que se autorice otra cosa, ningún funcionario debe firmar cheques de los que él mismo sea beneficiario.</w:t>
      </w:r>
    </w:p>
    <w:p w14:paraId="572F64FD" w14:textId="119F8E49" w:rsidR="005D2478" w:rsidRPr="00756410" w:rsidRDefault="005D2478" w:rsidP="00756410">
      <w:pPr>
        <w:pStyle w:val="ListParagraph"/>
        <w:widowControl w:val="0"/>
        <w:numPr>
          <w:ilvl w:val="0"/>
          <w:numId w:val="73"/>
        </w:numPr>
        <w:autoSpaceDE w:val="0"/>
        <w:autoSpaceDN w:val="0"/>
        <w:spacing w:after="0" w:line="240" w:lineRule="auto"/>
        <w:jc w:val="both"/>
        <w:rPr>
          <w:lang w:val="es-419"/>
        </w:rPr>
      </w:pPr>
      <w:r w:rsidRPr="00756410">
        <w:rPr>
          <w:lang w:val="es-419"/>
        </w:rPr>
        <w:t>Está prohibido firmar cheques en blanco.</w:t>
      </w:r>
    </w:p>
    <w:p w14:paraId="50421F2B" w14:textId="30FB989F" w:rsidR="005D2478" w:rsidRPr="00756410" w:rsidRDefault="005D2478" w:rsidP="00756410">
      <w:pPr>
        <w:pStyle w:val="ListParagraph"/>
        <w:widowControl w:val="0"/>
        <w:numPr>
          <w:ilvl w:val="0"/>
          <w:numId w:val="73"/>
        </w:numPr>
        <w:autoSpaceDE w:val="0"/>
        <w:autoSpaceDN w:val="0"/>
        <w:spacing w:line="240" w:lineRule="auto"/>
        <w:jc w:val="both"/>
        <w:rPr>
          <w:lang w:val="es-419"/>
        </w:rPr>
      </w:pPr>
      <w:r w:rsidRPr="00756410">
        <w:rPr>
          <w:lang w:val="es-419"/>
        </w:rPr>
        <w:t>Los signatarios que hayan cambiado de lugar de destino deben ser eliminados rápidamente del panel de signatarios del banco.</w:t>
      </w:r>
    </w:p>
    <w:p w14:paraId="4DA29356" w14:textId="5A2F1496" w:rsidR="005D2478" w:rsidRPr="00E06F45" w:rsidRDefault="63D95759" w:rsidP="00756410">
      <w:pPr>
        <w:spacing w:line="240" w:lineRule="auto"/>
        <w:jc w:val="both"/>
      </w:pPr>
      <w:r w:rsidRPr="00756410">
        <w:rPr>
          <w:b/>
          <w:bCs/>
          <w:lang w:val="es-419"/>
        </w:rPr>
        <w:t>Gestión de signatarios bancarios en IDAM:</w:t>
      </w:r>
      <w:r w:rsidRPr="00756410">
        <w:rPr>
          <w:lang w:val="es-419"/>
        </w:rPr>
        <w:t xml:space="preserve"> Los signatarios bancarios se gestionan a través de la Aplicación de Gestión de Signatarios Bancarios, que sirve como repositorio centralizado para los signatarios bancarios de aproximadamente 500 cuentas bancarias administradas por el PNUD, y facilita la gestión integral de los procesos de signatarios, agilizando los flujos de trabajo desde el inicio hasta la aprobación final y la firma por parte de BMS/OFRM/Tesorería. </w:t>
      </w:r>
      <w:r>
        <w:t xml:space="preserve">La aplicación de gestión de signatarios </w:t>
      </w:r>
      <w:r w:rsidR="005F6ECE">
        <w:t xml:space="preserve">bancarios </w:t>
      </w:r>
      <w:r>
        <w:t xml:space="preserve">de IDAM: </w:t>
      </w:r>
    </w:p>
    <w:p w14:paraId="46DD37EA" w14:textId="07316155" w:rsidR="005D2478" w:rsidRPr="00756410" w:rsidRDefault="005D2478" w:rsidP="00756410">
      <w:pPr>
        <w:pStyle w:val="ListParagraph"/>
        <w:numPr>
          <w:ilvl w:val="0"/>
          <w:numId w:val="74"/>
        </w:numPr>
        <w:spacing w:line="240" w:lineRule="auto"/>
        <w:ind w:left="360" w:hanging="360"/>
        <w:jc w:val="both"/>
        <w:rPr>
          <w:lang w:val="es-419"/>
        </w:rPr>
      </w:pPr>
      <w:r w:rsidRPr="00756410">
        <w:rPr>
          <w:lang w:val="es-419"/>
        </w:rPr>
        <w:t>Garantiza automáticamente que los requisitos de segregación de funciones del ICF para los signatarios bancarios se apliquen en la etapa de asignación de roles.</w:t>
      </w:r>
    </w:p>
    <w:p w14:paraId="2FB58964" w14:textId="39C40C83" w:rsidR="005D2478" w:rsidRPr="00756410" w:rsidRDefault="005D2478" w:rsidP="00756410">
      <w:pPr>
        <w:pStyle w:val="ListParagraph"/>
        <w:numPr>
          <w:ilvl w:val="0"/>
          <w:numId w:val="74"/>
        </w:numPr>
        <w:spacing w:line="240" w:lineRule="auto"/>
        <w:ind w:left="360" w:hanging="360"/>
        <w:jc w:val="both"/>
        <w:rPr>
          <w:lang w:val="es-419"/>
        </w:rPr>
      </w:pPr>
      <w:r w:rsidRPr="00756410">
        <w:rPr>
          <w:lang w:val="es-419"/>
        </w:rPr>
        <w:t>Integra las actividades de mantenimiento de los signatarios bancarios dentro de los procesos de aprovisionamiento y desaprovisionamiento de roles de IDAM para mejorar la visibilidad y el control, particularmente cuando los signatarios hacen la transición entre funciones o abandonan la organización.</w:t>
      </w:r>
    </w:p>
    <w:p w14:paraId="446BA2CA" w14:textId="5B35AFA2" w:rsidR="005D2478" w:rsidRPr="00756410" w:rsidRDefault="005D2478">
      <w:pPr>
        <w:pStyle w:val="ListParagraph"/>
        <w:numPr>
          <w:ilvl w:val="0"/>
          <w:numId w:val="74"/>
        </w:numPr>
        <w:spacing w:line="240" w:lineRule="auto"/>
        <w:ind w:left="360" w:hanging="360"/>
        <w:rPr>
          <w:lang w:val="es-419"/>
        </w:rPr>
      </w:pPr>
      <w:r w:rsidRPr="00756410">
        <w:rPr>
          <w:lang w:val="es-419"/>
        </w:rPr>
        <w:t>Proporciona informes para mejorar el seguimiento de las solicitudes pendientes y completadas.</w:t>
      </w:r>
    </w:p>
    <w:p w14:paraId="4ACA70EF" w14:textId="4C558C9C" w:rsidR="008E2319" w:rsidRPr="00756410" w:rsidRDefault="005D2478" w:rsidP="00756410">
      <w:pPr>
        <w:pStyle w:val="ListParagraph"/>
        <w:numPr>
          <w:ilvl w:val="0"/>
          <w:numId w:val="74"/>
        </w:numPr>
        <w:spacing w:line="240" w:lineRule="auto"/>
        <w:ind w:left="360" w:hanging="360"/>
        <w:jc w:val="both"/>
        <w:rPr>
          <w:lang w:val="es-419"/>
        </w:rPr>
      </w:pPr>
      <w:r w:rsidRPr="00756410">
        <w:rPr>
          <w:lang w:val="es-419"/>
        </w:rPr>
        <w:t xml:space="preserve">Proporciona un repositorio centralizado para documentos de respaldo y asignaciones de tareas dentro de IDAM, lo que mejora la gestión de documentos y proporciona registros de auditoría completos. </w:t>
      </w:r>
      <w:r w:rsidR="22BA74D6" w:rsidRPr="00756410">
        <w:rPr>
          <w:lang w:val="es-419"/>
        </w:rPr>
        <w:t xml:space="preserve">Puede encontrar más información en el enlace de </w:t>
      </w:r>
      <w:r w:rsidR="22BA74D6" w:rsidRPr="00756410">
        <w:rPr>
          <w:i/>
          <w:iCs/>
          <w:lang w:val="es-419"/>
        </w:rPr>
        <w:t>Collaboration Toolbox</w:t>
      </w:r>
      <w:r w:rsidR="22BA74D6" w:rsidRPr="00756410">
        <w:rPr>
          <w:lang w:val="es-419"/>
        </w:rPr>
        <w:t xml:space="preserve"> (</w:t>
      </w:r>
      <w:hyperlink r:id="rId110">
        <w:r w:rsidR="22BA74D6" w:rsidRPr="00756410">
          <w:rPr>
            <w:rStyle w:val="Hyperlink"/>
            <w:color w:val="4472C4" w:themeColor="accent1"/>
            <w:lang w:val="es-419"/>
          </w:rPr>
          <w:t>Seminario web para signatarios del banco</w:t>
        </w:r>
      </w:hyperlink>
      <w:r w:rsidR="22BA74D6" w:rsidRPr="00756410">
        <w:rPr>
          <w:lang w:val="es-419"/>
        </w:rPr>
        <w:t xml:space="preserve">) </w:t>
      </w:r>
      <w:r w:rsidR="005F4968">
        <w:rPr>
          <w:lang w:val="es-419"/>
        </w:rPr>
        <w:t>que contiene</w:t>
      </w:r>
      <w:r w:rsidR="22BA74D6" w:rsidRPr="00756410">
        <w:rPr>
          <w:lang w:val="es-419"/>
        </w:rPr>
        <w:t xml:space="preserve"> grabaciones de seminarios web, presentaciones, guías de usuario y materiales de referencia.</w:t>
      </w:r>
    </w:p>
    <w:p w14:paraId="0FBD683D" w14:textId="09000C53" w:rsidR="00414E96" w:rsidRDefault="00414E96">
      <w:pPr>
        <w:pStyle w:val="Heading1"/>
        <w:numPr>
          <w:ilvl w:val="0"/>
          <w:numId w:val="92"/>
        </w:numPr>
        <w:spacing w:after="240"/>
      </w:pPr>
      <w:bookmarkStart w:id="51" w:name="_Toc210052767"/>
      <w:bookmarkStart w:id="52" w:name="_Toc134134763"/>
      <w:r>
        <w:t>Viaj</w:t>
      </w:r>
      <w:r w:rsidR="00CC485B">
        <w:t>es</w:t>
      </w:r>
      <w:r>
        <w:t xml:space="preserve"> </w:t>
      </w:r>
      <w:bookmarkEnd w:id="51"/>
    </w:p>
    <w:bookmarkEnd w:id="52"/>
    <w:p w14:paraId="0D0B715A" w14:textId="43BC2EC8" w:rsidR="00D7043E" w:rsidRPr="00756410" w:rsidRDefault="00414E96" w:rsidP="00D7043E">
      <w:pPr>
        <w:jc w:val="both"/>
        <w:rPr>
          <w:lang w:val="es-419"/>
        </w:rPr>
      </w:pPr>
      <w:r w:rsidRPr="00756410">
        <w:rPr>
          <w:lang w:val="es-419"/>
        </w:rPr>
        <w:t xml:space="preserve">Todas las personas que viajen en misión oficial organizada y que deba ser pagada por el PNUD deben presentar una solicitud de viaje en UNall para obtener la aprobación para incurrir en gastos de viaje y realizar viajes. </w:t>
      </w:r>
      <w:r w:rsidR="00E96304">
        <w:rPr>
          <w:lang w:val="es-419"/>
        </w:rPr>
        <w:t>Las dietas (DSA por sus siglas en inglés)</w:t>
      </w:r>
      <w:r w:rsidRPr="00756410">
        <w:rPr>
          <w:lang w:val="es-419"/>
        </w:rPr>
        <w:t xml:space="preserve">, la orden de compra y las facturas creadas en base a la solicitud de viaje aprobada en UNall se procesan y aprueban en Quantum. Se puede encontrar más información en </w:t>
      </w:r>
      <w:bookmarkStart w:id="53" w:name="_Hlk134126047"/>
      <w:bookmarkEnd w:id="53"/>
      <w:r w:rsidR="00E96304">
        <w:rPr>
          <w:lang w:val="es-419"/>
        </w:rPr>
        <w:t xml:space="preserve">la política de </w:t>
      </w:r>
      <w:hyperlink r:id="rId111">
        <w:r w:rsidR="000F257E">
          <w:rPr>
            <w:rStyle w:val="Hyperlink"/>
            <w:lang w:val="es-419"/>
          </w:rPr>
          <w:t>”</w:t>
        </w:r>
        <w:r w:rsidR="000F257E" w:rsidRPr="00756410">
          <w:rPr>
            <w:rStyle w:val="Hyperlink"/>
            <w:i/>
            <w:iCs/>
            <w:lang w:val="es-419"/>
          </w:rPr>
          <w:t>Viajes de Servicio”</w:t>
        </w:r>
        <w:r w:rsidR="000F257E">
          <w:rPr>
            <w:rStyle w:val="Hyperlink"/>
            <w:lang w:val="es-419"/>
          </w:rPr>
          <w:t xml:space="preserve"> del POPP</w:t>
        </w:r>
      </w:hyperlink>
      <w:r w:rsidRPr="00756410">
        <w:rPr>
          <w:lang w:val="es-419"/>
        </w:rPr>
        <w:t xml:space="preserve"> y en </w:t>
      </w:r>
      <w:r w:rsidR="00D7043E">
        <w:rPr>
          <w:lang w:val="es-419"/>
        </w:rPr>
        <w:t xml:space="preserve">los </w:t>
      </w:r>
      <w:hyperlink r:id="rId112" w:history="1">
        <w:r w:rsidR="00D7043E" w:rsidRPr="00756410">
          <w:rPr>
            <w:rStyle w:val="Hyperlink"/>
            <w:lang w:val="es-419"/>
          </w:rPr>
          <w:t>Artículos de conocimiento de UNall sobre viajes y gastos</w:t>
        </w:r>
        <w:r w:rsidR="00D7043E" w:rsidRPr="00D7043E">
          <w:rPr>
            <w:rStyle w:val="Hyperlink"/>
            <w:lang w:val="es-419"/>
          </w:rPr>
          <w:t xml:space="preserve"> (en inglés)</w:t>
        </w:r>
      </w:hyperlink>
      <w:r w:rsidR="00D7043E">
        <w:rPr>
          <w:lang w:val="es-419"/>
        </w:rPr>
        <w:t>.</w:t>
      </w:r>
    </w:p>
    <w:p w14:paraId="787D7212" w14:textId="41126FA7" w:rsidR="00531B4A" w:rsidRDefault="0066569B" w:rsidP="00531B4A">
      <w:pPr>
        <w:spacing w:line="240" w:lineRule="auto"/>
        <w:ind w:hanging="90"/>
        <w:rPr>
          <w:color w:val="000000"/>
          <w:sz w:val="27"/>
          <w:szCs w:val="27"/>
        </w:rPr>
      </w:pPr>
      <w:r w:rsidRPr="004175D9">
        <w:rPr>
          <w:noProof/>
        </w:rPr>
        <w:lastRenderedPageBreak/>
        <w:drawing>
          <wp:inline distT="0" distB="0" distL="0" distR="0" wp14:anchorId="53EABC59" wp14:editId="371FBAA0">
            <wp:extent cx="6175375" cy="3486150"/>
            <wp:effectExtent l="0" t="0" r="0" b="0"/>
            <wp:docPr id="808747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47947" name=""/>
                    <pic:cNvPicPr/>
                  </pic:nvPicPr>
                  <pic:blipFill>
                    <a:blip r:embed="rId113"/>
                    <a:stretch>
                      <a:fillRect/>
                    </a:stretch>
                  </pic:blipFill>
                  <pic:spPr>
                    <a:xfrm>
                      <a:off x="0" y="0"/>
                      <a:ext cx="6185461" cy="3491844"/>
                    </a:xfrm>
                    <a:prstGeom prst="rect">
                      <a:avLst/>
                    </a:prstGeom>
                  </pic:spPr>
                </pic:pic>
              </a:graphicData>
            </a:graphic>
          </wp:inline>
        </w:drawing>
      </w:r>
    </w:p>
    <w:p w14:paraId="334D5B72" w14:textId="638253BE" w:rsidR="00134413" w:rsidRPr="00756410" w:rsidRDefault="007A1AA4" w:rsidP="00756410">
      <w:pPr>
        <w:jc w:val="both"/>
        <w:rPr>
          <w:lang w:val="es-419"/>
        </w:rPr>
      </w:pPr>
      <w:r w:rsidRPr="00756410">
        <w:rPr>
          <w:lang w:val="es-419"/>
        </w:rPr>
        <w:t>La Solicitud se procesa en UNall, y la transacción financiera (</w:t>
      </w:r>
      <w:r w:rsidR="00D7043E">
        <w:rPr>
          <w:lang w:val="es-419"/>
        </w:rPr>
        <w:t>Orden de Compra (</w:t>
      </w:r>
      <w:r w:rsidRPr="00756410">
        <w:rPr>
          <w:lang w:val="es-419"/>
        </w:rPr>
        <w:t>PO</w:t>
      </w:r>
      <w:r w:rsidR="00D7043E">
        <w:rPr>
          <w:lang w:val="es-419"/>
        </w:rPr>
        <w:t>)</w:t>
      </w:r>
      <w:r w:rsidRPr="00756410">
        <w:rPr>
          <w:lang w:val="es-419"/>
        </w:rPr>
        <w:t xml:space="preserve"> y/o factura) es aprobada en Quantum por el Gerente de Aprobación (Gerente L1-2 o Gerente Senior). La solicitud de viaje se considera "aprobada" cuando el gerente de aprobación ha aprobado la factura y/o orden de compra asociada en Quantum.  El Procesador de Viajes desempeña una función de cumplimiento descrita en </w:t>
      </w:r>
      <w:r w:rsidR="00D7043E">
        <w:rPr>
          <w:lang w:val="es-419"/>
        </w:rPr>
        <w:t>la política “</w:t>
      </w:r>
      <w:hyperlink r:id="rId114">
        <w:r w:rsidR="53A20359" w:rsidRPr="00756410">
          <w:rPr>
            <w:rStyle w:val="Hyperlink"/>
            <w:i/>
            <w:iCs/>
            <w:lang w:val="es-419"/>
          </w:rPr>
          <w:t>Autorizando Viajes Oficiales de Negocio</w:t>
        </w:r>
        <w:r w:rsidR="0061339C" w:rsidRPr="00756410">
          <w:rPr>
            <w:rStyle w:val="Hyperlink"/>
            <w:i/>
            <w:iCs/>
            <w:lang w:val="es-419"/>
          </w:rPr>
          <w:t>s”</w:t>
        </w:r>
        <w:r w:rsidR="0061339C" w:rsidRPr="0061339C">
          <w:rPr>
            <w:rStyle w:val="Hyperlink"/>
            <w:lang w:val="es-419"/>
          </w:rPr>
          <w:t xml:space="preserve"> del POPP</w:t>
        </w:r>
      </w:hyperlink>
      <w:r w:rsidR="240F43C2" w:rsidRPr="00756410">
        <w:rPr>
          <w:lang w:val="es-419"/>
        </w:rPr>
        <w:t>.</w:t>
      </w:r>
      <w:r w:rsidR="00A55AF7" w:rsidRPr="00756410">
        <w:rPr>
          <w:lang w:val="es-419"/>
        </w:rPr>
        <w:t>  Si se utiliza el plan de viaje de UNall para procesar una solicitud de viaje, la aprobación del supervisor se asociará con la solicitud de viaje si se identifica como el aprobador del plan.</w:t>
      </w:r>
    </w:p>
    <w:tbl>
      <w:tblPr>
        <w:tblStyle w:val="TableGrid"/>
        <w:tblW w:w="9900" w:type="dxa"/>
        <w:tblInd w:w="-95" w:type="dxa"/>
        <w:tblCellMar>
          <w:bottom w:w="43" w:type="dxa"/>
        </w:tblCellMar>
        <w:tblLook w:val="04A0" w:firstRow="1" w:lastRow="0" w:firstColumn="1" w:lastColumn="0" w:noHBand="0" w:noVBand="1"/>
      </w:tblPr>
      <w:tblGrid>
        <w:gridCol w:w="3870"/>
        <w:gridCol w:w="6030"/>
      </w:tblGrid>
      <w:tr w:rsidR="00E37249" w14:paraId="6CD8920E" w14:textId="77777777" w:rsidTr="008C4953">
        <w:trPr>
          <w:tblHeader/>
        </w:trPr>
        <w:tc>
          <w:tcPr>
            <w:tcW w:w="3870" w:type="dxa"/>
            <w:tcBorders>
              <w:top w:val="single" w:sz="4" w:space="0" w:color="auto"/>
              <w:left w:val="single" w:sz="4" w:space="0" w:color="auto"/>
              <w:bottom w:val="single" w:sz="4" w:space="0" w:color="auto"/>
              <w:right w:val="single" w:sz="4" w:space="0" w:color="auto"/>
            </w:tcBorders>
            <w:shd w:val="clear" w:color="auto" w:fill="002060"/>
          </w:tcPr>
          <w:p w14:paraId="5A49DE70" w14:textId="50FF6535" w:rsidR="00414E96" w:rsidRPr="00756410" w:rsidRDefault="008064E9" w:rsidP="00CF32EB">
            <w:pPr>
              <w:rPr>
                <w:b/>
                <w:sz w:val="20"/>
                <w:szCs w:val="20"/>
                <w:lang w:val="es-419"/>
              </w:rPr>
            </w:pPr>
            <w:r w:rsidRPr="00756410">
              <w:rPr>
                <w:b/>
                <w:sz w:val="20"/>
                <w:szCs w:val="20"/>
                <w:lang w:val="es-419"/>
              </w:rPr>
              <w:t>Rol de proceso de viaje</w:t>
            </w:r>
          </w:p>
        </w:tc>
        <w:tc>
          <w:tcPr>
            <w:tcW w:w="6030" w:type="dxa"/>
            <w:tcBorders>
              <w:top w:val="single" w:sz="4" w:space="0" w:color="auto"/>
              <w:left w:val="single" w:sz="4" w:space="0" w:color="auto"/>
              <w:bottom w:val="single" w:sz="4" w:space="0" w:color="auto"/>
              <w:right w:val="single" w:sz="4" w:space="0" w:color="auto"/>
            </w:tcBorders>
            <w:shd w:val="clear" w:color="auto" w:fill="002060"/>
          </w:tcPr>
          <w:p w14:paraId="5EE75C9B" w14:textId="77777777" w:rsidR="00414E96" w:rsidRPr="00756410" w:rsidRDefault="00414E96" w:rsidP="00CF32EB">
            <w:pPr>
              <w:rPr>
                <w:b/>
                <w:bCs/>
                <w:sz w:val="20"/>
                <w:szCs w:val="20"/>
                <w:lang w:val="es-419"/>
              </w:rPr>
            </w:pPr>
            <w:r w:rsidRPr="00756410">
              <w:rPr>
                <w:b/>
                <w:bCs/>
                <w:sz w:val="20"/>
                <w:szCs w:val="20"/>
                <w:lang w:val="es-419"/>
              </w:rPr>
              <w:t>Responsabilidades de control interno</w:t>
            </w:r>
          </w:p>
        </w:tc>
      </w:tr>
      <w:tr w:rsidR="00414E96" w:rsidRPr="00773863" w14:paraId="5ED3B2CD" w14:textId="77777777" w:rsidTr="008C4953">
        <w:tc>
          <w:tcPr>
            <w:tcW w:w="3870" w:type="dxa"/>
            <w:tcBorders>
              <w:top w:val="single" w:sz="4" w:space="0" w:color="auto"/>
              <w:left w:val="single" w:sz="4" w:space="0" w:color="auto"/>
              <w:bottom w:val="single" w:sz="4" w:space="0" w:color="auto"/>
              <w:right w:val="single" w:sz="4" w:space="0" w:color="auto"/>
            </w:tcBorders>
          </w:tcPr>
          <w:p w14:paraId="4B680491" w14:textId="1F570FB5" w:rsidR="00414E96" w:rsidRPr="00756410" w:rsidRDefault="00414E96" w:rsidP="00CF32EB">
            <w:pPr>
              <w:rPr>
                <w:sz w:val="20"/>
                <w:szCs w:val="20"/>
                <w:lang w:val="es-419"/>
              </w:rPr>
            </w:pPr>
            <w:r w:rsidRPr="00756410">
              <w:rPr>
                <w:b/>
                <w:sz w:val="20"/>
                <w:szCs w:val="20"/>
                <w:lang w:val="es-419"/>
              </w:rPr>
              <w:t>Viajero:</w:t>
            </w:r>
            <w:r w:rsidRPr="00756410">
              <w:rPr>
                <w:sz w:val="20"/>
                <w:szCs w:val="20"/>
                <w:lang w:val="es-419"/>
              </w:rPr>
              <w:t xml:space="preserve"> puede crear/actualizar su propia solicitud de viaje y reclamo de viaje </w:t>
            </w:r>
          </w:p>
        </w:tc>
        <w:tc>
          <w:tcPr>
            <w:tcW w:w="6030" w:type="dxa"/>
            <w:tcBorders>
              <w:top w:val="single" w:sz="4" w:space="0" w:color="auto"/>
              <w:left w:val="single" w:sz="4" w:space="0" w:color="auto"/>
              <w:bottom w:val="single" w:sz="4" w:space="0" w:color="auto"/>
              <w:right w:val="single" w:sz="4" w:space="0" w:color="auto"/>
            </w:tcBorders>
          </w:tcPr>
          <w:p w14:paraId="708414A7" w14:textId="4A48F056"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Se asegura de que el supervisor apruebe el viaje antes de iniciar la solicitud.</w:t>
            </w:r>
          </w:p>
          <w:p w14:paraId="16192CAD" w14:textId="6799F64F"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Crea y envía solicitudes de viaje y reclamos de viaje en UNall</w:t>
            </w:r>
          </w:p>
        </w:tc>
      </w:tr>
      <w:tr w:rsidR="00414E96" w:rsidRPr="00773863" w14:paraId="6F5B961A" w14:textId="77777777" w:rsidTr="008C4953">
        <w:tc>
          <w:tcPr>
            <w:tcW w:w="3870" w:type="dxa"/>
            <w:tcBorders>
              <w:top w:val="single" w:sz="4" w:space="0" w:color="auto"/>
              <w:left w:val="single" w:sz="4" w:space="0" w:color="auto"/>
              <w:bottom w:val="single" w:sz="4" w:space="0" w:color="auto"/>
              <w:right w:val="single" w:sz="4" w:space="0" w:color="auto"/>
            </w:tcBorders>
          </w:tcPr>
          <w:p w14:paraId="7A7F4706" w14:textId="797FD2A9" w:rsidR="00414E96" w:rsidRPr="00756410" w:rsidRDefault="00414E96" w:rsidP="00756410">
            <w:pPr>
              <w:jc w:val="both"/>
              <w:rPr>
                <w:sz w:val="20"/>
                <w:szCs w:val="20"/>
                <w:lang w:val="es-419"/>
              </w:rPr>
            </w:pPr>
            <w:r w:rsidRPr="00756410">
              <w:rPr>
                <w:b/>
                <w:sz w:val="20"/>
                <w:szCs w:val="20"/>
                <w:lang w:val="es-419"/>
              </w:rPr>
              <w:t>Organizador de viajes</w:t>
            </w:r>
            <w:r w:rsidR="00D119E6">
              <w:rPr>
                <w:b/>
                <w:sz w:val="20"/>
                <w:szCs w:val="20"/>
                <w:lang w:val="es-419"/>
              </w:rPr>
              <w:t xml:space="preserve"> [</w:t>
            </w:r>
            <w:r w:rsidR="00D119E6" w:rsidRPr="00756410">
              <w:rPr>
                <w:b/>
                <w:i/>
                <w:iCs/>
                <w:sz w:val="20"/>
                <w:szCs w:val="20"/>
                <w:lang w:val="es-419"/>
              </w:rPr>
              <w:t>Travel Arranger</w:t>
            </w:r>
            <w:r w:rsidR="00D119E6">
              <w:rPr>
                <w:b/>
                <w:sz w:val="20"/>
                <w:szCs w:val="20"/>
                <w:lang w:val="es-419"/>
              </w:rPr>
              <w:t>]</w:t>
            </w:r>
            <w:r w:rsidRPr="00756410">
              <w:rPr>
                <w:b/>
                <w:sz w:val="20"/>
                <w:szCs w:val="20"/>
                <w:lang w:val="es-419"/>
              </w:rPr>
              <w:t>:</w:t>
            </w:r>
            <w:r w:rsidRPr="00756410">
              <w:rPr>
                <w:sz w:val="20"/>
                <w:szCs w:val="20"/>
                <w:lang w:val="es-419"/>
              </w:rPr>
              <w:t xml:space="preserve"> puede crear/actualizar su propia solicitud de viaje y reclamo de viaje</w:t>
            </w:r>
          </w:p>
        </w:tc>
        <w:tc>
          <w:tcPr>
            <w:tcW w:w="6030" w:type="dxa"/>
            <w:tcBorders>
              <w:top w:val="single" w:sz="4" w:space="0" w:color="auto"/>
              <w:left w:val="single" w:sz="4" w:space="0" w:color="auto"/>
              <w:bottom w:val="single" w:sz="4" w:space="0" w:color="auto"/>
              <w:right w:val="single" w:sz="4" w:space="0" w:color="auto"/>
            </w:tcBorders>
          </w:tcPr>
          <w:p w14:paraId="7FD4A83D" w14:textId="3AD1A893" w:rsidR="00414E96" w:rsidRPr="00756410" w:rsidRDefault="00414E96">
            <w:pPr>
              <w:pStyle w:val="ListParagraph"/>
              <w:widowControl w:val="0"/>
              <w:numPr>
                <w:ilvl w:val="0"/>
                <w:numId w:val="30"/>
              </w:numPr>
              <w:autoSpaceDE w:val="0"/>
              <w:autoSpaceDN w:val="0"/>
              <w:ind w:left="250" w:hanging="250"/>
              <w:rPr>
                <w:sz w:val="20"/>
                <w:szCs w:val="20"/>
                <w:lang w:val="es-419"/>
              </w:rPr>
            </w:pPr>
            <w:r w:rsidRPr="00756410">
              <w:rPr>
                <w:sz w:val="20"/>
                <w:szCs w:val="20"/>
                <w:lang w:val="es-419"/>
              </w:rPr>
              <w:t>Se asegura de que el supervisor apruebe el viaje antes de iniciar la solicitud.</w:t>
            </w:r>
          </w:p>
          <w:p w14:paraId="1C471E21" w14:textId="63E4CA9D" w:rsidR="00414E96" w:rsidRPr="00756410" w:rsidRDefault="00414E96">
            <w:pPr>
              <w:pStyle w:val="ListParagraph"/>
              <w:widowControl w:val="0"/>
              <w:numPr>
                <w:ilvl w:val="0"/>
                <w:numId w:val="30"/>
              </w:numPr>
              <w:autoSpaceDE w:val="0"/>
              <w:autoSpaceDN w:val="0"/>
              <w:ind w:left="250" w:hanging="250"/>
              <w:rPr>
                <w:sz w:val="20"/>
                <w:szCs w:val="20"/>
                <w:lang w:val="es-419"/>
              </w:rPr>
            </w:pPr>
            <w:r w:rsidRPr="00756410">
              <w:rPr>
                <w:sz w:val="20"/>
                <w:szCs w:val="20"/>
                <w:lang w:val="es-419"/>
              </w:rPr>
              <w:t>Crea y envía solicitudes de viaje y reclamos de viaje en UNall</w:t>
            </w:r>
          </w:p>
        </w:tc>
      </w:tr>
      <w:tr w:rsidR="00414E96" w:rsidRPr="00773863" w14:paraId="5EC5823F" w14:textId="77777777" w:rsidTr="008C4953">
        <w:tc>
          <w:tcPr>
            <w:tcW w:w="3870" w:type="dxa"/>
            <w:tcBorders>
              <w:top w:val="single" w:sz="4" w:space="0" w:color="auto"/>
              <w:left w:val="single" w:sz="4" w:space="0" w:color="auto"/>
              <w:bottom w:val="single" w:sz="4" w:space="0" w:color="auto"/>
              <w:right w:val="single" w:sz="4" w:space="0" w:color="auto"/>
            </w:tcBorders>
          </w:tcPr>
          <w:p w14:paraId="279A538A" w14:textId="5FA1F595" w:rsidR="00414E96" w:rsidRPr="00756410" w:rsidRDefault="00414E96" w:rsidP="00756410">
            <w:pPr>
              <w:jc w:val="both"/>
              <w:rPr>
                <w:sz w:val="20"/>
                <w:szCs w:val="20"/>
                <w:lang w:val="es-419"/>
              </w:rPr>
            </w:pPr>
            <w:r w:rsidRPr="00756410">
              <w:rPr>
                <w:b/>
                <w:sz w:val="20"/>
                <w:szCs w:val="20"/>
                <w:lang w:val="es-419"/>
              </w:rPr>
              <w:t>Procesador de viajes</w:t>
            </w:r>
            <w:r w:rsidR="00D119E6">
              <w:rPr>
                <w:b/>
                <w:sz w:val="20"/>
                <w:szCs w:val="20"/>
                <w:lang w:val="es-419"/>
              </w:rPr>
              <w:t xml:space="preserve"> [</w:t>
            </w:r>
            <w:r w:rsidR="00D119E6">
              <w:rPr>
                <w:b/>
                <w:i/>
                <w:iCs/>
                <w:sz w:val="20"/>
                <w:szCs w:val="20"/>
                <w:lang w:val="es-419"/>
              </w:rPr>
              <w:t>Travel Processor</w:t>
            </w:r>
            <w:r w:rsidR="00D119E6" w:rsidRPr="00756410">
              <w:rPr>
                <w:b/>
                <w:sz w:val="20"/>
                <w:szCs w:val="20"/>
                <w:lang w:val="es-419"/>
              </w:rPr>
              <w:t>]</w:t>
            </w:r>
            <w:r w:rsidRPr="00756410">
              <w:rPr>
                <w:b/>
                <w:sz w:val="20"/>
                <w:szCs w:val="20"/>
                <w:lang w:val="es-419"/>
              </w:rPr>
              <w:t>:</w:t>
            </w:r>
            <w:r w:rsidRPr="00756410">
              <w:rPr>
                <w:sz w:val="20"/>
                <w:szCs w:val="20"/>
                <w:lang w:val="es-419"/>
              </w:rPr>
              <w:t xml:space="preserve"> procesa las solicitudes de viaje y las reclamaciones de viaje para su unidad operativa. También pueden crear y actualizar perfiles, planes, solicitudes y reclamos.</w:t>
            </w:r>
          </w:p>
        </w:tc>
        <w:tc>
          <w:tcPr>
            <w:tcW w:w="6030" w:type="dxa"/>
            <w:tcBorders>
              <w:top w:val="single" w:sz="4" w:space="0" w:color="auto"/>
              <w:left w:val="single" w:sz="4" w:space="0" w:color="auto"/>
              <w:bottom w:val="single" w:sz="4" w:space="0" w:color="auto"/>
              <w:right w:val="single" w:sz="4" w:space="0" w:color="auto"/>
            </w:tcBorders>
          </w:tcPr>
          <w:p w14:paraId="6683A4C8" w14:textId="55D9F0B3" w:rsidR="00414E96" w:rsidRPr="00756410" w:rsidRDefault="00414E96">
            <w:pPr>
              <w:pStyle w:val="ListParagraph"/>
              <w:widowControl w:val="0"/>
              <w:numPr>
                <w:ilvl w:val="0"/>
                <w:numId w:val="30"/>
              </w:numPr>
              <w:autoSpaceDE w:val="0"/>
              <w:autoSpaceDN w:val="0"/>
              <w:ind w:left="250" w:hanging="250"/>
              <w:rPr>
                <w:sz w:val="20"/>
                <w:szCs w:val="20"/>
                <w:lang w:val="es-419"/>
              </w:rPr>
            </w:pPr>
            <w:r w:rsidRPr="00756410">
              <w:rPr>
                <w:sz w:val="20"/>
                <w:szCs w:val="20"/>
                <w:lang w:val="es-419"/>
              </w:rPr>
              <w:t xml:space="preserve">Realiza una verificación de cumplimiento de la solicitud de viaje asegurándose de que cumpla con la política de viajes de servicio de POPP, que haya suficiente presupuesto disponible y que el </w:t>
            </w:r>
            <w:r w:rsidR="0054774F">
              <w:rPr>
                <w:sz w:val="20"/>
                <w:szCs w:val="20"/>
                <w:lang w:val="es-419"/>
              </w:rPr>
              <w:t>plan de cuentas (</w:t>
            </w:r>
            <w:r w:rsidRPr="00756410">
              <w:rPr>
                <w:sz w:val="20"/>
                <w:szCs w:val="20"/>
                <w:lang w:val="es-419"/>
              </w:rPr>
              <w:t>COA</w:t>
            </w:r>
            <w:r w:rsidR="0054774F">
              <w:rPr>
                <w:sz w:val="20"/>
                <w:szCs w:val="20"/>
                <w:lang w:val="es-419"/>
              </w:rPr>
              <w:t xml:space="preserve"> por sus siglas en inglés)</w:t>
            </w:r>
            <w:r w:rsidRPr="00756410">
              <w:rPr>
                <w:sz w:val="20"/>
                <w:szCs w:val="20"/>
                <w:lang w:val="es-419"/>
              </w:rPr>
              <w:t xml:space="preserve"> sea correcto.</w:t>
            </w:r>
          </w:p>
          <w:p w14:paraId="635569B7" w14:textId="5C412787" w:rsidR="00414E96" w:rsidRPr="00756410" w:rsidRDefault="00917A7A">
            <w:pPr>
              <w:pStyle w:val="ListParagraph"/>
              <w:widowControl w:val="0"/>
              <w:numPr>
                <w:ilvl w:val="0"/>
                <w:numId w:val="30"/>
              </w:numPr>
              <w:autoSpaceDE w:val="0"/>
              <w:autoSpaceDN w:val="0"/>
              <w:ind w:left="250" w:hanging="250"/>
              <w:rPr>
                <w:sz w:val="20"/>
                <w:szCs w:val="20"/>
                <w:lang w:val="es-419"/>
              </w:rPr>
            </w:pPr>
            <w:r>
              <w:rPr>
                <w:sz w:val="20"/>
                <w:szCs w:val="20"/>
                <w:lang w:val="es-419"/>
              </w:rPr>
              <w:t>V</w:t>
            </w:r>
            <w:r w:rsidR="00414E96" w:rsidRPr="00756410">
              <w:rPr>
                <w:sz w:val="20"/>
                <w:szCs w:val="20"/>
                <w:lang w:val="es-419"/>
              </w:rPr>
              <w:t xml:space="preserve">erifica </w:t>
            </w:r>
            <w:r>
              <w:rPr>
                <w:sz w:val="20"/>
                <w:szCs w:val="20"/>
                <w:lang w:val="es-419"/>
              </w:rPr>
              <w:t>el</w:t>
            </w:r>
            <w:r w:rsidRPr="00756410">
              <w:rPr>
                <w:sz w:val="20"/>
                <w:szCs w:val="20"/>
                <w:lang w:val="es-419"/>
              </w:rPr>
              <w:t xml:space="preserve"> </w:t>
            </w:r>
            <w:r w:rsidR="00414E96" w:rsidRPr="00756410">
              <w:rPr>
                <w:sz w:val="20"/>
                <w:szCs w:val="20"/>
                <w:lang w:val="es-419"/>
              </w:rPr>
              <w:t xml:space="preserve">cumplimiento </w:t>
            </w:r>
            <w:r>
              <w:rPr>
                <w:sz w:val="20"/>
                <w:szCs w:val="20"/>
                <w:lang w:val="es-419"/>
              </w:rPr>
              <w:t>de l</w:t>
            </w:r>
            <w:r w:rsidR="00AE3B2B">
              <w:rPr>
                <w:sz w:val="20"/>
                <w:szCs w:val="20"/>
                <w:lang w:val="es-419"/>
              </w:rPr>
              <w:t>as Reclamaciones de Viaje (“</w:t>
            </w:r>
            <w:r w:rsidR="00414E96" w:rsidRPr="00756410">
              <w:rPr>
                <w:i/>
                <w:iCs/>
                <w:sz w:val="20"/>
                <w:szCs w:val="20"/>
                <w:lang w:val="es-419"/>
              </w:rPr>
              <w:t>Travel Claim</w:t>
            </w:r>
            <w:r w:rsidR="00AE3B2B">
              <w:rPr>
                <w:sz w:val="20"/>
                <w:szCs w:val="20"/>
                <w:lang w:val="es-419"/>
              </w:rPr>
              <w:t>” en inglés)</w:t>
            </w:r>
            <w:r w:rsidR="00414E96" w:rsidRPr="00756410">
              <w:rPr>
                <w:sz w:val="20"/>
                <w:szCs w:val="20"/>
                <w:lang w:val="es-419"/>
              </w:rPr>
              <w:t xml:space="preserve"> para garantizar que sea</w:t>
            </w:r>
            <w:r>
              <w:rPr>
                <w:sz w:val="20"/>
                <w:szCs w:val="20"/>
                <w:lang w:val="es-419"/>
              </w:rPr>
              <w:t>n</w:t>
            </w:r>
            <w:r w:rsidR="00414E96" w:rsidRPr="00756410">
              <w:rPr>
                <w:sz w:val="20"/>
                <w:szCs w:val="20"/>
                <w:lang w:val="es-419"/>
              </w:rPr>
              <w:t xml:space="preserve"> complet</w:t>
            </w:r>
            <w:r w:rsidR="00AE3B2B">
              <w:rPr>
                <w:sz w:val="20"/>
                <w:szCs w:val="20"/>
                <w:lang w:val="es-419"/>
              </w:rPr>
              <w:t>as</w:t>
            </w:r>
            <w:r w:rsidR="00414E96" w:rsidRPr="00756410">
              <w:rPr>
                <w:sz w:val="20"/>
                <w:szCs w:val="20"/>
                <w:lang w:val="es-419"/>
              </w:rPr>
              <w:t>, precis</w:t>
            </w:r>
            <w:r w:rsidR="00AE3B2B">
              <w:rPr>
                <w:sz w:val="20"/>
                <w:szCs w:val="20"/>
                <w:lang w:val="es-419"/>
              </w:rPr>
              <w:t>as</w:t>
            </w:r>
            <w:r w:rsidR="00414E96" w:rsidRPr="00756410">
              <w:rPr>
                <w:sz w:val="20"/>
                <w:szCs w:val="20"/>
                <w:lang w:val="es-419"/>
              </w:rPr>
              <w:t xml:space="preserve"> y </w:t>
            </w:r>
            <w:r w:rsidR="00AE3B2B">
              <w:rPr>
                <w:sz w:val="20"/>
                <w:szCs w:val="20"/>
                <w:lang w:val="es-419"/>
              </w:rPr>
              <w:t xml:space="preserve">que </w:t>
            </w:r>
            <w:r w:rsidR="00414E96" w:rsidRPr="00756410">
              <w:rPr>
                <w:sz w:val="20"/>
                <w:szCs w:val="20"/>
                <w:lang w:val="es-419"/>
              </w:rPr>
              <w:t>cumpl</w:t>
            </w:r>
            <w:r w:rsidR="00AE3B2B">
              <w:rPr>
                <w:sz w:val="20"/>
                <w:szCs w:val="20"/>
                <w:lang w:val="es-419"/>
              </w:rPr>
              <w:t>en</w:t>
            </w:r>
            <w:r w:rsidR="00414E96" w:rsidRPr="00756410">
              <w:rPr>
                <w:sz w:val="20"/>
                <w:szCs w:val="20"/>
                <w:lang w:val="es-419"/>
              </w:rPr>
              <w:t xml:space="preserve"> con la política</w:t>
            </w:r>
            <w:r w:rsidR="000C139A" w:rsidRPr="00E06F45">
              <w:rPr>
                <w:rStyle w:val="FootnoteReference"/>
                <w:sz w:val="20"/>
                <w:szCs w:val="20"/>
              </w:rPr>
              <w:footnoteReference w:id="28"/>
            </w:r>
            <w:r w:rsidR="00414E96" w:rsidRPr="00756410">
              <w:rPr>
                <w:sz w:val="20"/>
                <w:szCs w:val="20"/>
                <w:lang w:val="es-419"/>
              </w:rPr>
              <w:t>.</w:t>
            </w:r>
          </w:p>
        </w:tc>
      </w:tr>
      <w:tr w:rsidR="00414E96" w:rsidRPr="00773863" w14:paraId="75C95B00" w14:textId="77777777" w:rsidTr="008C4953">
        <w:tc>
          <w:tcPr>
            <w:tcW w:w="3870" w:type="dxa"/>
            <w:tcBorders>
              <w:top w:val="single" w:sz="4" w:space="0" w:color="auto"/>
              <w:left w:val="single" w:sz="4" w:space="0" w:color="auto"/>
              <w:bottom w:val="single" w:sz="4" w:space="0" w:color="auto"/>
              <w:right w:val="single" w:sz="4" w:space="0" w:color="auto"/>
            </w:tcBorders>
          </w:tcPr>
          <w:p w14:paraId="36D753CC" w14:textId="4A965F20" w:rsidR="00414E96" w:rsidRPr="00756410" w:rsidRDefault="00414E96" w:rsidP="00756410">
            <w:pPr>
              <w:jc w:val="both"/>
              <w:rPr>
                <w:sz w:val="20"/>
                <w:szCs w:val="20"/>
                <w:lang w:val="es-419"/>
              </w:rPr>
            </w:pPr>
            <w:r w:rsidRPr="00756410">
              <w:rPr>
                <w:b/>
                <w:sz w:val="20"/>
                <w:szCs w:val="20"/>
                <w:lang w:val="es-419"/>
              </w:rPr>
              <w:t>Gerente de aprobación (Gerente Nivel 1, 2 o Gerente Senior):</w:t>
            </w:r>
            <w:r w:rsidRPr="00756410">
              <w:rPr>
                <w:sz w:val="20"/>
                <w:szCs w:val="20"/>
                <w:lang w:val="es-419"/>
              </w:rPr>
              <w:t xml:space="preserve"> propietario del presupuesto </w:t>
            </w:r>
            <w:r w:rsidRPr="00756410">
              <w:rPr>
                <w:sz w:val="20"/>
                <w:szCs w:val="20"/>
                <w:lang w:val="es-419"/>
              </w:rPr>
              <w:lastRenderedPageBreak/>
              <w:t xml:space="preserve">que aprueba </w:t>
            </w:r>
            <w:r w:rsidR="00D119E6" w:rsidRPr="00401FAB">
              <w:rPr>
                <w:sz w:val="20"/>
                <w:szCs w:val="20"/>
                <w:lang w:val="es-419"/>
              </w:rPr>
              <w:t>las dietas (DSA por sus siglas en ingl</w:t>
            </w:r>
            <w:r w:rsidR="00D119E6" w:rsidRPr="00756410">
              <w:rPr>
                <w:sz w:val="20"/>
                <w:szCs w:val="20"/>
                <w:lang w:val="es-419"/>
              </w:rPr>
              <w:t>és)</w:t>
            </w:r>
            <w:r w:rsidRPr="00756410">
              <w:rPr>
                <w:sz w:val="20"/>
                <w:szCs w:val="20"/>
                <w:lang w:val="es-419"/>
              </w:rPr>
              <w:t>, la orden de compra y la factura generada en Quantum para la solicitud de viaje y la reclamación de viaje relacionada.</w:t>
            </w:r>
          </w:p>
          <w:p w14:paraId="5A2292E3" w14:textId="301F4C7E" w:rsidR="00D05B28" w:rsidRPr="00756410" w:rsidRDefault="00D05B28" w:rsidP="00CF32EB">
            <w:pPr>
              <w:rPr>
                <w:sz w:val="20"/>
                <w:szCs w:val="20"/>
                <w:lang w:val="es-419"/>
              </w:rPr>
            </w:pPr>
          </w:p>
        </w:tc>
        <w:tc>
          <w:tcPr>
            <w:tcW w:w="6030" w:type="dxa"/>
            <w:tcBorders>
              <w:top w:val="single" w:sz="4" w:space="0" w:color="auto"/>
              <w:left w:val="single" w:sz="4" w:space="0" w:color="auto"/>
              <w:bottom w:val="single" w:sz="4" w:space="0" w:color="auto"/>
              <w:right w:val="single" w:sz="4" w:space="0" w:color="auto"/>
            </w:tcBorders>
          </w:tcPr>
          <w:p w14:paraId="7B69ECCC" w14:textId="40F46E84" w:rsidR="00414E96" w:rsidRPr="00756410" w:rsidRDefault="00414E96" w:rsidP="00756410">
            <w:pPr>
              <w:pStyle w:val="ListParagraph"/>
              <w:widowControl w:val="0"/>
              <w:numPr>
                <w:ilvl w:val="0"/>
                <w:numId w:val="30"/>
              </w:numPr>
              <w:autoSpaceDE w:val="0"/>
              <w:autoSpaceDN w:val="0"/>
              <w:ind w:left="250" w:hanging="250"/>
              <w:jc w:val="both"/>
              <w:rPr>
                <w:rFonts w:ascii="Calibri" w:hAnsi="Calibri" w:cs="Calibri"/>
                <w:sz w:val="20"/>
                <w:szCs w:val="20"/>
                <w:lang w:val="es-419"/>
              </w:rPr>
            </w:pPr>
            <w:r w:rsidRPr="00756410">
              <w:rPr>
                <w:sz w:val="20"/>
                <w:szCs w:val="20"/>
                <w:lang w:val="es-419"/>
              </w:rPr>
              <w:lastRenderedPageBreak/>
              <w:t>Asegura que la solicitud de viaje sea válida como oficial y autorizada.</w:t>
            </w:r>
          </w:p>
          <w:p w14:paraId="29AE4240" w14:textId="64A4AA37"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 xml:space="preserve">Garantiza que el requisito de viaje se base en la hora de llegada más </w:t>
            </w:r>
            <w:r w:rsidRPr="00756410">
              <w:rPr>
                <w:sz w:val="20"/>
                <w:szCs w:val="20"/>
                <w:lang w:val="es-419"/>
              </w:rPr>
              <w:lastRenderedPageBreak/>
              <w:t xml:space="preserve">tardía posible y la hora de salida más temprana posible. </w:t>
            </w:r>
          </w:p>
          <w:p w14:paraId="1D3059B5" w14:textId="05CC3CD9" w:rsidR="00414E96" w:rsidRPr="00756410" w:rsidRDefault="00D50D32" w:rsidP="00756410">
            <w:pPr>
              <w:pStyle w:val="ListParagraph"/>
              <w:widowControl w:val="0"/>
              <w:numPr>
                <w:ilvl w:val="0"/>
                <w:numId w:val="30"/>
              </w:numPr>
              <w:autoSpaceDE w:val="0"/>
              <w:autoSpaceDN w:val="0"/>
              <w:ind w:left="250" w:hanging="250"/>
              <w:jc w:val="both"/>
              <w:rPr>
                <w:b/>
                <w:sz w:val="20"/>
                <w:szCs w:val="20"/>
                <w:u w:val="single"/>
                <w:lang w:val="es-419"/>
              </w:rPr>
            </w:pPr>
            <w:r w:rsidRPr="00756410">
              <w:rPr>
                <w:b/>
                <w:sz w:val="20"/>
                <w:szCs w:val="20"/>
                <w:u w:val="single"/>
                <w:lang w:val="es-419"/>
              </w:rPr>
              <w:t xml:space="preserve">El personal directivo superior aprueba que las delegaciones de dos o más funcionarios con una función sustantiva similar, por </w:t>
            </w:r>
            <w:r w:rsidR="007D6E90" w:rsidRPr="00401FAB">
              <w:rPr>
                <w:b/>
                <w:sz w:val="20"/>
                <w:szCs w:val="20"/>
                <w:u w:val="single"/>
                <w:lang w:val="es-419"/>
              </w:rPr>
              <w:t>Buro</w:t>
            </w:r>
            <w:r w:rsidRPr="00756410">
              <w:rPr>
                <w:b/>
                <w:sz w:val="20"/>
                <w:szCs w:val="20"/>
                <w:u w:val="single"/>
                <w:lang w:val="es-419"/>
              </w:rPr>
              <w:t xml:space="preserve">, participen en las reuniones de las Naciones Unidas. </w:t>
            </w:r>
          </w:p>
          <w:p w14:paraId="62EE4107" w14:textId="0C9E6CE0"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Certifica que no existen medios alternativos que sean factibles para cumplir con los objetivos del viaje propuesto</w:t>
            </w:r>
            <w:r w:rsidR="009744B1" w:rsidRPr="00756410">
              <w:rPr>
                <w:rStyle w:val="FootnoteReference"/>
                <w:sz w:val="20"/>
                <w:szCs w:val="20"/>
                <w:lang w:val="es-419"/>
              </w:rPr>
              <w:footnoteReference w:id="29"/>
            </w:r>
            <w:r w:rsidRPr="00756410">
              <w:rPr>
                <w:sz w:val="20"/>
                <w:szCs w:val="20"/>
                <w:lang w:val="es-419"/>
              </w:rPr>
              <w:t xml:space="preserve">. </w:t>
            </w:r>
          </w:p>
          <w:p w14:paraId="6941A64C" w14:textId="1B4DDFB9"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 xml:space="preserve">Responsable de controlar el nivel de viaje de acuerdo con el presupuesto y los objetivos de ecologización. </w:t>
            </w:r>
          </w:p>
          <w:p w14:paraId="44BA2A5B" w14:textId="07470BBB" w:rsidR="00212EC7" w:rsidRPr="00756410" w:rsidRDefault="00414E96" w:rsidP="00756410">
            <w:pPr>
              <w:pStyle w:val="ListParagraph"/>
              <w:widowControl w:val="0"/>
              <w:numPr>
                <w:ilvl w:val="0"/>
                <w:numId w:val="30"/>
              </w:numPr>
              <w:autoSpaceDE w:val="0"/>
              <w:autoSpaceDN w:val="0"/>
              <w:ind w:left="250" w:hanging="250"/>
              <w:jc w:val="both"/>
              <w:rPr>
                <w:rFonts w:ascii="Calibri" w:hAnsi="Calibri" w:cs="Calibri"/>
                <w:sz w:val="20"/>
                <w:szCs w:val="20"/>
                <w:lang w:val="es-419"/>
              </w:rPr>
            </w:pPr>
            <w:r w:rsidRPr="00756410">
              <w:rPr>
                <w:rFonts w:cstheme="minorHAnsi"/>
                <w:sz w:val="20"/>
                <w:szCs w:val="20"/>
                <w:lang w:val="es-419"/>
              </w:rPr>
              <w:t>Confirma el uso de</w:t>
            </w:r>
            <w:r w:rsidR="00C221F1" w:rsidRPr="00756410">
              <w:rPr>
                <w:rFonts w:cstheme="minorHAnsi"/>
                <w:sz w:val="20"/>
                <w:szCs w:val="20"/>
                <w:lang w:val="es-419"/>
              </w:rPr>
              <w:t xml:space="preserve"> los planes de cuentas (</w:t>
            </w:r>
            <w:r w:rsidRPr="00756410">
              <w:rPr>
                <w:rFonts w:cstheme="minorHAnsi"/>
                <w:sz w:val="20"/>
                <w:szCs w:val="20"/>
                <w:lang w:val="es-419"/>
              </w:rPr>
              <w:t>COA</w:t>
            </w:r>
            <w:r w:rsidR="00C221F1" w:rsidRPr="00756410">
              <w:rPr>
                <w:rFonts w:cstheme="minorHAnsi"/>
                <w:sz w:val="20"/>
                <w:szCs w:val="20"/>
                <w:lang w:val="es-419"/>
              </w:rPr>
              <w:t xml:space="preserve"> por sus siglas en inglés).</w:t>
            </w:r>
          </w:p>
          <w:p w14:paraId="048ECFDF" w14:textId="68B6CD7A" w:rsidR="00414E96" w:rsidRPr="00756410" w:rsidRDefault="00414E96" w:rsidP="00756410">
            <w:pPr>
              <w:pStyle w:val="ListParagraph"/>
              <w:widowControl w:val="0"/>
              <w:numPr>
                <w:ilvl w:val="0"/>
                <w:numId w:val="30"/>
              </w:numPr>
              <w:autoSpaceDE w:val="0"/>
              <w:autoSpaceDN w:val="0"/>
              <w:ind w:left="250" w:hanging="250"/>
              <w:jc w:val="both"/>
              <w:rPr>
                <w:rFonts w:ascii="Calibri" w:hAnsi="Calibri" w:cs="Calibri"/>
                <w:sz w:val="20"/>
                <w:szCs w:val="20"/>
                <w:lang w:val="es-419"/>
              </w:rPr>
            </w:pPr>
            <w:r w:rsidRPr="00756410">
              <w:rPr>
                <w:sz w:val="20"/>
                <w:szCs w:val="20"/>
                <w:lang w:val="es-419"/>
              </w:rPr>
              <w:t>Aprueba la Reclamación de Viaje en Quantum, incluida la factura relacionada con una reclamación si el viajero tiene un saldo adeudado.</w:t>
            </w:r>
          </w:p>
        </w:tc>
      </w:tr>
      <w:tr w:rsidR="00414E96" w:rsidRPr="00773863" w14:paraId="13AB24AB" w14:textId="77777777" w:rsidTr="008C4953">
        <w:tc>
          <w:tcPr>
            <w:tcW w:w="3870" w:type="dxa"/>
            <w:tcBorders>
              <w:top w:val="single" w:sz="4" w:space="0" w:color="auto"/>
              <w:left w:val="single" w:sz="4" w:space="0" w:color="auto"/>
              <w:bottom w:val="single" w:sz="4" w:space="0" w:color="auto"/>
              <w:right w:val="single" w:sz="4" w:space="0" w:color="auto"/>
            </w:tcBorders>
          </w:tcPr>
          <w:p w14:paraId="48B509A8" w14:textId="77777777" w:rsidR="00414E96" w:rsidRPr="00E06F45" w:rsidRDefault="00414E96" w:rsidP="00CF32EB">
            <w:pPr>
              <w:rPr>
                <w:b/>
                <w:bCs/>
                <w:sz w:val="20"/>
                <w:szCs w:val="20"/>
              </w:rPr>
            </w:pPr>
            <w:r w:rsidRPr="00E06F45">
              <w:rPr>
                <w:b/>
                <w:bCs/>
                <w:sz w:val="20"/>
                <w:szCs w:val="20"/>
              </w:rPr>
              <w:lastRenderedPageBreak/>
              <w:t>BMS/GSSC</w:t>
            </w:r>
          </w:p>
        </w:tc>
        <w:tc>
          <w:tcPr>
            <w:tcW w:w="6030" w:type="dxa"/>
            <w:tcBorders>
              <w:top w:val="single" w:sz="4" w:space="0" w:color="auto"/>
              <w:left w:val="single" w:sz="4" w:space="0" w:color="auto"/>
              <w:bottom w:val="single" w:sz="4" w:space="0" w:color="auto"/>
              <w:right w:val="single" w:sz="4" w:space="0" w:color="auto"/>
            </w:tcBorders>
          </w:tcPr>
          <w:p w14:paraId="64405935" w14:textId="4D9DE5B9" w:rsidR="00414E96" w:rsidRPr="00756410" w:rsidRDefault="00414E96" w:rsidP="00756410">
            <w:pPr>
              <w:pStyle w:val="ListParagraph"/>
              <w:widowControl w:val="0"/>
              <w:numPr>
                <w:ilvl w:val="0"/>
                <w:numId w:val="30"/>
              </w:numPr>
              <w:autoSpaceDE w:val="0"/>
              <w:autoSpaceDN w:val="0"/>
              <w:ind w:left="250" w:hanging="250"/>
              <w:jc w:val="both"/>
              <w:rPr>
                <w:sz w:val="20"/>
                <w:szCs w:val="20"/>
                <w:lang w:val="es-419"/>
              </w:rPr>
            </w:pPr>
            <w:r w:rsidRPr="00756410">
              <w:rPr>
                <w:sz w:val="20"/>
                <w:szCs w:val="20"/>
                <w:lang w:val="es-419"/>
              </w:rPr>
              <w:t xml:space="preserve">Procesa las transacciones de </w:t>
            </w:r>
            <w:r w:rsidR="0037195D">
              <w:rPr>
                <w:sz w:val="20"/>
                <w:szCs w:val="20"/>
                <w:lang w:val="es-419"/>
              </w:rPr>
              <w:t>reclamación</w:t>
            </w:r>
            <w:r w:rsidR="0037195D" w:rsidRPr="00756410">
              <w:rPr>
                <w:sz w:val="20"/>
                <w:szCs w:val="20"/>
                <w:lang w:val="es-419"/>
              </w:rPr>
              <w:t xml:space="preserve"> </w:t>
            </w:r>
            <w:r w:rsidRPr="00756410">
              <w:rPr>
                <w:sz w:val="20"/>
                <w:szCs w:val="20"/>
                <w:lang w:val="es-419"/>
              </w:rPr>
              <w:t xml:space="preserve">de viaje en Quantum (factura de AP, nota de crédito de AP, solicitud de reembolso de AP, según corresponda) si &gt; </w:t>
            </w:r>
            <w:r w:rsidR="004409C6">
              <w:rPr>
                <w:sz w:val="20"/>
                <w:szCs w:val="20"/>
                <w:lang w:val="es-419"/>
              </w:rPr>
              <w:t>US</w:t>
            </w:r>
            <w:r w:rsidRPr="00756410">
              <w:rPr>
                <w:sz w:val="20"/>
                <w:szCs w:val="20"/>
                <w:lang w:val="es-419"/>
              </w:rPr>
              <w:t xml:space="preserve">$5,000 (lo cual </w:t>
            </w:r>
            <w:r w:rsidR="007420A6">
              <w:rPr>
                <w:sz w:val="20"/>
                <w:szCs w:val="20"/>
                <w:lang w:val="es-419"/>
              </w:rPr>
              <w:t>no es habitual</w:t>
            </w:r>
            <w:r w:rsidRPr="00756410">
              <w:rPr>
                <w:sz w:val="20"/>
                <w:szCs w:val="20"/>
                <w:lang w:val="es-419"/>
              </w:rPr>
              <w:t>).</w:t>
            </w:r>
          </w:p>
        </w:tc>
      </w:tr>
      <w:tr w:rsidR="00FC6582" w:rsidRPr="00773863" w14:paraId="4E91B30C" w14:textId="77777777" w:rsidTr="008C4953">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A6281" w14:textId="6B750E1C" w:rsidR="00414E96" w:rsidRPr="00756410" w:rsidRDefault="00414E96" w:rsidP="00CF32EB">
            <w:pPr>
              <w:rPr>
                <w:sz w:val="20"/>
                <w:szCs w:val="20"/>
                <w:lang w:val="es-419"/>
              </w:rPr>
            </w:pPr>
            <w:r w:rsidRPr="00756410">
              <w:rPr>
                <w:b/>
                <w:sz w:val="20"/>
                <w:szCs w:val="20"/>
                <w:lang w:val="es-419"/>
              </w:rPr>
              <w:t>Segregación obligatoria de funciones:</w:t>
            </w:r>
            <w:r w:rsidRPr="00756410">
              <w:rPr>
                <w:sz w:val="20"/>
                <w:szCs w:val="20"/>
                <w:lang w:val="es-419"/>
              </w:rPr>
              <w:t xml:space="preserve"> En ningún caso un funcionario autorizará o tramitará su propio viaje. Los roles de Procesador de viajes y Gerente de aprobación deben ser desempeñados por una persona diferente. UNall tiene un control de segregación de funciones incorporado que evita que un procesador de viajes procese su propia solicitud de viaje.</w:t>
            </w:r>
          </w:p>
        </w:tc>
      </w:tr>
    </w:tbl>
    <w:p w14:paraId="1D0CF578" w14:textId="36B27304" w:rsidR="008064E9" w:rsidRPr="00756410" w:rsidRDefault="008064E9" w:rsidP="48224A22">
      <w:pPr>
        <w:rPr>
          <w:b/>
          <w:bCs/>
          <w:sz w:val="8"/>
          <w:szCs w:val="8"/>
          <w:lang w:val="es-419"/>
        </w:rPr>
      </w:pPr>
    </w:p>
    <w:p w14:paraId="2FB6D7FD" w14:textId="3A94F25C" w:rsidR="005A354E" w:rsidRPr="00756410" w:rsidRDefault="00414E96" w:rsidP="00756410">
      <w:pPr>
        <w:spacing w:line="240" w:lineRule="auto"/>
        <w:jc w:val="both"/>
        <w:rPr>
          <w:lang w:val="es-419"/>
        </w:rPr>
      </w:pPr>
      <w:r w:rsidRPr="00756410">
        <w:rPr>
          <w:b/>
          <w:bCs/>
          <w:lang w:val="es-419"/>
        </w:rPr>
        <w:t xml:space="preserve">Pago y conciliación de </w:t>
      </w:r>
      <w:r w:rsidR="00FD4BE4">
        <w:rPr>
          <w:b/>
          <w:bCs/>
          <w:lang w:val="es-419"/>
        </w:rPr>
        <w:t>boletos</w:t>
      </w:r>
      <w:r w:rsidRPr="00756410">
        <w:rPr>
          <w:b/>
          <w:bCs/>
          <w:lang w:val="es-419"/>
        </w:rPr>
        <w:t xml:space="preserve">: </w:t>
      </w:r>
      <w:r w:rsidR="005A354E" w:rsidRPr="00756410">
        <w:rPr>
          <w:lang w:val="es-419"/>
        </w:rPr>
        <w:t xml:space="preserve">Las oficinas/unidades deben hacer arreglos para que su proveedor de agentes de viajes envíe facturas de </w:t>
      </w:r>
      <w:r w:rsidR="00FD4BE4">
        <w:rPr>
          <w:lang w:val="es-419"/>
        </w:rPr>
        <w:t xml:space="preserve">boletos </w:t>
      </w:r>
      <w:r w:rsidR="005A354E" w:rsidRPr="00756410">
        <w:rPr>
          <w:lang w:val="es-419"/>
        </w:rPr>
        <w:t xml:space="preserve">de viaje a través del Portal de proveedores de Quantum (recomendado). Alternativamente, la oficina/unidad puede ingresar la factura en Quantum directamente si el proveedor de la agencia de viajes no puede usar el Portal de proveedores de Quantum. Una vez que se ha creado la factura en Quantum, se envía al procesador de viajes de la oficina/unidad para su revisión y luego a BMS/GSSC para su aprobación si &gt; </w:t>
      </w:r>
      <w:r w:rsidR="004409C6">
        <w:rPr>
          <w:lang w:val="es-419"/>
        </w:rPr>
        <w:t>US</w:t>
      </w:r>
      <w:r w:rsidR="005A354E" w:rsidRPr="00756410">
        <w:rPr>
          <w:lang w:val="es-419"/>
        </w:rPr>
        <w:t xml:space="preserve">$5,000. BMS/GSSC también realiza revisiones de muestra en facturas de </w:t>
      </w:r>
      <w:r w:rsidR="00FD4BE4">
        <w:rPr>
          <w:lang w:val="es-419"/>
        </w:rPr>
        <w:t xml:space="preserve">boletos </w:t>
      </w:r>
      <w:r w:rsidR="005A354E" w:rsidRPr="00756410">
        <w:rPr>
          <w:lang w:val="es-419"/>
        </w:rPr>
        <w:t xml:space="preserve">de viaje por debajo de </w:t>
      </w:r>
      <w:r w:rsidR="004409C6">
        <w:rPr>
          <w:lang w:val="es-419"/>
        </w:rPr>
        <w:t>US</w:t>
      </w:r>
      <w:r w:rsidR="005A354E" w:rsidRPr="00756410">
        <w:rPr>
          <w:lang w:val="es-419"/>
        </w:rPr>
        <w:t>$5,000 antes del desembolso.</w:t>
      </w:r>
    </w:p>
    <w:p w14:paraId="7E5524C0" w14:textId="0ED24963" w:rsidR="005A354E" w:rsidRPr="00756410" w:rsidRDefault="00E60C57" w:rsidP="00756410">
      <w:pPr>
        <w:spacing w:line="240" w:lineRule="auto"/>
        <w:jc w:val="both"/>
        <w:rPr>
          <w:lang w:val="es-419"/>
        </w:rPr>
      </w:pPr>
      <w:r w:rsidRPr="00756410">
        <w:rPr>
          <w:lang w:val="es-419"/>
        </w:rPr>
        <w:t xml:space="preserve">Alternativamente, cuando los volúmenes son grandes, BMS/GSSC puede realizar la conciliación de </w:t>
      </w:r>
      <w:r w:rsidR="00FD4BE4">
        <w:rPr>
          <w:lang w:val="es-419"/>
        </w:rPr>
        <w:t xml:space="preserve">boletos </w:t>
      </w:r>
      <w:r w:rsidRPr="00756410">
        <w:rPr>
          <w:lang w:val="es-419"/>
        </w:rPr>
        <w:t>con</w:t>
      </w:r>
      <w:r w:rsidR="00CF3868">
        <w:rPr>
          <w:lang w:val="es-419"/>
        </w:rPr>
        <w:t>tra la orden de compra de</w:t>
      </w:r>
      <w:r w:rsidRPr="00756410">
        <w:rPr>
          <w:lang w:val="es-419"/>
        </w:rPr>
        <w:t xml:space="preserve"> Quantum y procesar los pagos para oficinas/unidades. </w:t>
      </w:r>
      <w:r w:rsidR="00301996" w:rsidRPr="00756410">
        <w:rPr>
          <w:rFonts w:ascii="Calibri" w:hAnsi="Calibri" w:cs="Calibri"/>
          <w:lang w:val="es-419"/>
        </w:rPr>
        <w:t xml:space="preserve">En este caso, la oficina/unidad envía una solicitud a través de UNall que contiene información de órdenes de compra y facturas en PDF de proveedores de agencias de viajes. BMS/GSSC revisa y verifica la solicitud con las facturas en PDF y la orden de compra en Quantum antes de cargar </w:t>
      </w:r>
      <w:r w:rsidR="001858FD">
        <w:rPr>
          <w:rFonts w:ascii="Calibri" w:hAnsi="Calibri" w:cs="Calibri"/>
          <w:lang w:val="es-419"/>
        </w:rPr>
        <w:t xml:space="preserve">en bloque </w:t>
      </w:r>
      <w:r w:rsidR="00301996" w:rsidRPr="00756410">
        <w:rPr>
          <w:rFonts w:ascii="Calibri" w:hAnsi="Calibri" w:cs="Calibri"/>
          <w:lang w:val="es-419"/>
        </w:rPr>
        <w:t>la hoja de cálculo en Quantum para crear y aprobar facturas en Quantum. BMS/GSSC cierra el caso de UNall e informa a la oficina/unidad de las cargas exitosas.</w:t>
      </w:r>
    </w:p>
    <w:p w14:paraId="36309B3A" w14:textId="3456194E" w:rsidR="009D7BAE" w:rsidRPr="00756410" w:rsidRDefault="00301996" w:rsidP="00756410">
      <w:pPr>
        <w:spacing w:line="240" w:lineRule="auto"/>
        <w:jc w:val="both"/>
        <w:rPr>
          <w:color w:val="ED7D31" w:themeColor="accent2"/>
          <w:lang w:val="es-419"/>
        </w:rPr>
      </w:pPr>
      <w:r w:rsidRPr="00756410">
        <w:rPr>
          <w:lang w:val="es-419"/>
        </w:rPr>
        <w:t xml:space="preserve">BMS/GSSC ejecuta el ciclo de pago para generar el pago del viajero después de que la factura de viaje haya sido aprobada en Quantum. Los reembolsos de viaje son registrados y liquidados por BMS / GSSC tras la confirmación de la recuperación a través de la nómina o un depósito. Consulte el SOP de BMS/GSSC sobre conciliación de </w:t>
      </w:r>
      <w:r w:rsidRPr="00756410">
        <w:rPr>
          <w:lang w:val="es-419"/>
        </w:rPr>
        <w:lastRenderedPageBreak/>
        <w:t>viajes (</w:t>
      </w:r>
      <w:r w:rsidR="008E04D7">
        <w:rPr>
          <w:lang w:val="es-419"/>
        </w:rPr>
        <w:t xml:space="preserve">disponible </w:t>
      </w:r>
      <w:r w:rsidRPr="00756410">
        <w:rPr>
          <w:lang w:val="es-419"/>
        </w:rPr>
        <w:t xml:space="preserve">próximamente) y el </w:t>
      </w:r>
      <w:bookmarkStart w:id="54" w:name="_Toc134134767"/>
      <w:r w:rsidR="004E76F2">
        <w:fldChar w:fldCharType="begin"/>
      </w:r>
      <w:r w:rsidR="00705076" w:rsidRPr="00756410">
        <w:rPr>
          <w:lang w:val="es-ES"/>
        </w:rPr>
        <w:instrText>HYPERLINK "https://undp.service-now.com/unall?id=kb_article_view&amp;sys_kb_id=a73e746d979a26103573f04ef053af08&amp;table=kb_knowledge&amp;searchTerm=accounts%20payable"</w:instrText>
      </w:r>
      <w:r w:rsidR="004E76F2">
        <w:fldChar w:fldCharType="separate"/>
      </w:r>
      <w:r w:rsidR="004E76F2" w:rsidRPr="00756410">
        <w:rPr>
          <w:rStyle w:val="Hyperlink"/>
          <w:lang w:val="es-419"/>
        </w:rPr>
        <w:t>SOP de BMS/GSSC sobre procesamiento de facturas de cuentas por pagar</w:t>
      </w:r>
      <w:r w:rsidR="004E76F2">
        <w:fldChar w:fldCharType="end"/>
      </w:r>
      <w:r w:rsidR="004E76F2" w:rsidRPr="00756410">
        <w:rPr>
          <w:color w:val="ED7D31" w:themeColor="accent2"/>
          <w:lang w:val="es-419"/>
        </w:rPr>
        <w:t xml:space="preserve"> </w:t>
      </w:r>
      <w:r w:rsidR="009D7BAE" w:rsidRPr="00756410">
        <w:rPr>
          <w:lang w:val="es-419"/>
        </w:rPr>
        <w:t>para obtener más información.</w:t>
      </w:r>
    </w:p>
    <w:p w14:paraId="7DB5AD9C" w14:textId="5AC78787" w:rsidR="00212EC7" w:rsidRPr="00756410" w:rsidRDefault="00212EC7" w:rsidP="00756410">
      <w:pPr>
        <w:jc w:val="both"/>
        <w:rPr>
          <w:lang w:val="es-419"/>
        </w:rPr>
      </w:pPr>
      <w:r w:rsidRPr="00756410">
        <w:rPr>
          <w:lang w:val="es-419"/>
        </w:rPr>
        <w:t xml:space="preserve">BMS/General Operations maneja la conciliación de </w:t>
      </w:r>
      <w:r w:rsidR="00FD4BE4">
        <w:rPr>
          <w:lang w:val="es-419"/>
        </w:rPr>
        <w:t xml:space="preserve">boletos </w:t>
      </w:r>
      <w:r w:rsidRPr="00756410">
        <w:rPr>
          <w:lang w:val="es-419"/>
        </w:rPr>
        <w:t xml:space="preserve">y el pago de </w:t>
      </w:r>
      <w:r w:rsidR="00FD4BE4">
        <w:rPr>
          <w:lang w:val="es-419"/>
        </w:rPr>
        <w:t xml:space="preserve">boletos </w:t>
      </w:r>
      <w:r w:rsidRPr="00756410">
        <w:rPr>
          <w:lang w:val="es-419"/>
        </w:rPr>
        <w:t xml:space="preserve">emitidos a través de American Express GBT, </w:t>
      </w:r>
      <w:r w:rsidR="00106F95">
        <w:rPr>
          <w:lang w:val="es-419"/>
        </w:rPr>
        <w:t>empresa con la que hay un acuerdo</w:t>
      </w:r>
      <w:r w:rsidR="000D3ED9">
        <w:rPr>
          <w:lang w:val="es-419"/>
        </w:rPr>
        <w:t xml:space="preserve"> a largo plazo (L</w:t>
      </w:r>
      <w:r w:rsidRPr="00756410">
        <w:rPr>
          <w:lang w:val="es-419"/>
        </w:rPr>
        <w:t xml:space="preserve">TA </w:t>
      </w:r>
      <w:r w:rsidR="000D3ED9">
        <w:rPr>
          <w:lang w:val="es-419"/>
        </w:rPr>
        <w:t xml:space="preserve">por sus siglas en inglés) </w:t>
      </w:r>
      <w:r w:rsidR="00106F95">
        <w:rPr>
          <w:lang w:val="es-419"/>
        </w:rPr>
        <w:t>en la se</w:t>
      </w:r>
      <w:r w:rsidRPr="00756410">
        <w:rPr>
          <w:lang w:val="es-419"/>
        </w:rPr>
        <w:t xml:space="preserve">de para servicios de viaje. La aprobación de facturas de órdenes de compra no se aplica a los </w:t>
      </w:r>
      <w:r w:rsidR="00FD4BE4">
        <w:rPr>
          <w:lang w:val="es-419"/>
        </w:rPr>
        <w:t xml:space="preserve">boletos </w:t>
      </w:r>
      <w:r w:rsidRPr="00756410">
        <w:rPr>
          <w:lang w:val="es-419"/>
        </w:rPr>
        <w:t>emitidos por la sede.</w:t>
      </w:r>
    </w:p>
    <w:p w14:paraId="3614764C" w14:textId="33644770" w:rsidR="008E2319" w:rsidRPr="00756410" w:rsidRDefault="008E2319">
      <w:pPr>
        <w:pStyle w:val="Heading1"/>
        <w:numPr>
          <w:ilvl w:val="0"/>
          <w:numId w:val="92"/>
        </w:numPr>
        <w:spacing w:after="240"/>
        <w:rPr>
          <w:lang w:val="es-ES"/>
        </w:rPr>
      </w:pPr>
      <w:bookmarkStart w:id="55" w:name="_Toc210052768"/>
      <w:r w:rsidRPr="00756410">
        <w:rPr>
          <w:lang w:val="es-ES"/>
        </w:rPr>
        <w:t>Funciones de control interno de gestión de activos e inventario</w:t>
      </w:r>
      <w:bookmarkEnd w:id="54"/>
      <w:bookmarkEnd w:id="55"/>
    </w:p>
    <w:p w14:paraId="27179D3A" w14:textId="40019B0C" w:rsidR="008E2319" w:rsidRPr="00756410" w:rsidRDefault="008E2319" w:rsidP="00756410">
      <w:pPr>
        <w:spacing w:line="240" w:lineRule="auto"/>
        <w:jc w:val="both"/>
        <w:rPr>
          <w:lang w:val="es-ES"/>
        </w:rPr>
      </w:pPr>
      <w:r w:rsidRPr="00756410">
        <w:rPr>
          <w:lang w:val="es-419"/>
        </w:rPr>
        <w:t xml:space="preserve">Las secciones </w:t>
      </w:r>
      <w:hyperlink r:id="rId115">
        <w:r w:rsidR="00687DE6" w:rsidRPr="00082B9B">
          <w:rPr>
            <w:rStyle w:val="Hyperlink"/>
            <w:lang w:val="es-419"/>
          </w:rPr>
          <w:t>”G</w:t>
        </w:r>
        <w:r w:rsidRPr="00756410">
          <w:rPr>
            <w:rStyle w:val="Hyperlink"/>
            <w:lang w:val="es-419"/>
          </w:rPr>
          <w:t>estión de activo</w:t>
        </w:r>
        <w:r w:rsidR="00687DE6" w:rsidRPr="00082B9B">
          <w:rPr>
            <w:rStyle w:val="Hyperlink"/>
            <w:lang w:val="es-419"/>
          </w:rPr>
          <w:t>s”</w:t>
        </w:r>
        <w:r w:rsidRPr="00756410">
          <w:rPr>
            <w:rStyle w:val="Hyperlink"/>
            <w:u w:val="none"/>
            <w:lang w:val="es-419"/>
          </w:rPr>
          <w:t xml:space="preserve"> </w:t>
        </w:r>
      </w:hyperlink>
      <w:r w:rsidRPr="00756410">
        <w:rPr>
          <w:lang w:val="es-419"/>
        </w:rPr>
        <w:t xml:space="preserve">y </w:t>
      </w:r>
      <w:hyperlink r:id="rId116">
        <w:r w:rsidR="00687DE6" w:rsidRPr="00082B9B">
          <w:rPr>
            <w:rStyle w:val="Hyperlink"/>
            <w:lang w:val="es-419"/>
          </w:rPr>
          <w:t>”</w:t>
        </w:r>
        <w:r w:rsidR="00687DE6" w:rsidRPr="00756410">
          <w:rPr>
            <w:rStyle w:val="Hyperlink"/>
            <w:i/>
            <w:iCs/>
            <w:lang w:val="es-419"/>
          </w:rPr>
          <w:t>G</w:t>
        </w:r>
        <w:r w:rsidRPr="00756410">
          <w:rPr>
            <w:rStyle w:val="Hyperlink"/>
            <w:i/>
            <w:iCs/>
            <w:lang w:val="es-419"/>
          </w:rPr>
          <w:t>estión de inventari</w:t>
        </w:r>
        <w:r w:rsidR="00687DE6" w:rsidRPr="00756410">
          <w:rPr>
            <w:rStyle w:val="Hyperlink"/>
            <w:i/>
            <w:iCs/>
            <w:lang w:val="es-419"/>
          </w:rPr>
          <w:t>o</w:t>
        </w:r>
        <w:r w:rsidR="00687DE6" w:rsidRPr="00082B9B">
          <w:rPr>
            <w:rStyle w:val="Hyperlink"/>
            <w:lang w:val="es-419"/>
          </w:rPr>
          <w:t>”</w:t>
        </w:r>
      </w:hyperlink>
      <w:r w:rsidR="00B86962" w:rsidRPr="00756410">
        <w:rPr>
          <w:lang w:val="es-ES"/>
        </w:rPr>
        <w:t xml:space="preserve"> del POPP </w:t>
      </w:r>
      <w:r w:rsidRPr="00756410">
        <w:rPr>
          <w:lang w:val="es-419"/>
        </w:rPr>
        <w:t xml:space="preserve">describen las funciones y responsabilidades de las personas involucradas en la gestión de activos e inventario, incluido el </w:t>
      </w:r>
      <w:r w:rsidR="00CB6E03" w:rsidRPr="00756410">
        <w:rPr>
          <w:lang w:val="es-419"/>
        </w:rPr>
        <w:t>Administrador de Activos (</w:t>
      </w:r>
      <w:r w:rsidR="00CB6E03" w:rsidRPr="00756410">
        <w:rPr>
          <w:i/>
          <w:iCs/>
          <w:lang w:val="es-419"/>
        </w:rPr>
        <w:t>Asset Manager</w:t>
      </w:r>
      <w:r w:rsidR="00CB6E03" w:rsidRPr="00756410">
        <w:rPr>
          <w:lang w:val="es-419"/>
        </w:rPr>
        <w:t>), Punto Focal de Activos (</w:t>
      </w:r>
      <w:r w:rsidR="00CB6E03" w:rsidRPr="00756410">
        <w:rPr>
          <w:i/>
          <w:iCs/>
          <w:lang w:val="es-419"/>
        </w:rPr>
        <w:t>Asset Focal Point</w:t>
      </w:r>
      <w:r w:rsidR="00CB6E03" w:rsidRPr="00756410">
        <w:rPr>
          <w:lang w:val="es-419"/>
        </w:rPr>
        <w:t>)</w:t>
      </w:r>
      <w:r w:rsidR="00E3799C" w:rsidRPr="00756410">
        <w:rPr>
          <w:lang w:val="es-419"/>
        </w:rPr>
        <w:t>,</w:t>
      </w:r>
      <w:r w:rsidR="00CB6E03" w:rsidRPr="00756410">
        <w:rPr>
          <w:lang w:val="es-419"/>
        </w:rPr>
        <w:t xml:space="preserve"> Coordinador de Verificación Física de Activos Fijos (</w:t>
      </w:r>
      <w:r w:rsidR="00E21B90">
        <w:rPr>
          <w:lang w:val="es-419"/>
        </w:rPr>
        <w:t xml:space="preserve">Fixed </w:t>
      </w:r>
      <w:r w:rsidR="00CB6E03" w:rsidRPr="00756410">
        <w:rPr>
          <w:i/>
          <w:iCs/>
          <w:lang w:val="es-ES"/>
        </w:rPr>
        <w:t>Asset Physical Verification Coordinator</w:t>
      </w:r>
      <w:r w:rsidR="00CB6E03" w:rsidRPr="00756410">
        <w:rPr>
          <w:lang w:val="es-ES"/>
        </w:rPr>
        <w:t>)</w:t>
      </w:r>
      <w:r w:rsidR="00A91F4F" w:rsidRPr="00756410">
        <w:rPr>
          <w:lang w:val="es-ES"/>
        </w:rPr>
        <w:t xml:space="preserve">, </w:t>
      </w:r>
      <w:r w:rsidR="00FF3E53" w:rsidRPr="00756410">
        <w:rPr>
          <w:lang w:val="es-ES"/>
        </w:rPr>
        <w:t>Administrador de Inventario</w:t>
      </w:r>
      <w:r w:rsidR="008447A3">
        <w:rPr>
          <w:lang w:val="es-ES"/>
        </w:rPr>
        <w:t>s</w:t>
      </w:r>
      <w:r w:rsidR="00FF3E53" w:rsidRPr="00756410">
        <w:rPr>
          <w:lang w:val="es-ES"/>
        </w:rPr>
        <w:t xml:space="preserve"> (</w:t>
      </w:r>
      <w:r w:rsidR="00FF3E53" w:rsidRPr="00756410">
        <w:rPr>
          <w:i/>
          <w:iCs/>
          <w:lang w:val="es-ES"/>
        </w:rPr>
        <w:t>Inventory Manager</w:t>
      </w:r>
      <w:r w:rsidR="00FF3E53" w:rsidRPr="00756410">
        <w:rPr>
          <w:lang w:val="es-ES"/>
        </w:rPr>
        <w:t xml:space="preserve">), </w:t>
      </w:r>
      <w:r w:rsidR="00C72798" w:rsidRPr="00756410">
        <w:rPr>
          <w:lang w:val="es-ES"/>
        </w:rPr>
        <w:t>Punto Focal de Inventario (</w:t>
      </w:r>
      <w:r w:rsidR="00C72798" w:rsidRPr="00756410">
        <w:rPr>
          <w:i/>
          <w:iCs/>
          <w:lang w:val="es-ES"/>
        </w:rPr>
        <w:t>Inventory Focal Point</w:t>
      </w:r>
      <w:r w:rsidR="00C72798" w:rsidRPr="00756410">
        <w:rPr>
          <w:lang w:val="es-ES"/>
        </w:rPr>
        <w:t>)</w:t>
      </w:r>
      <w:r w:rsidR="00E3799C" w:rsidRPr="00756410">
        <w:rPr>
          <w:lang w:val="es-ES"/>
        </w:rPr>
        <w:t xml:space="preserve"> y el Coordinador del Recuento Físico de Inventarios (</w:t>
      </w:r>
      <w:r w:rsidR="00082B9B" w:rsidRPr="00756410">
        <w:rPr>
          <w:i/>
          <w:iCs/>
          <w:lang w:val="es-ES"/>
        </w:rPr>
        <w:t>Inventory Physical Count Coordinator</w:t>
      </w:r>
      <w:r w:rsidR="00082B9B" w:rsidRPr="00756410">
        <w:rPr>
          <w:lang w:val="es-ES"/>
        </w:rPr>
        <w:t>)</w:t>
      </w:r>
      <w:r w:rsidR="00082B9B">
        <w:rPr>
          <w:lang w:val="es-ES"/>
        </w:rPr>
        <w:t xml:space="preserve">. </w:t>
      </w:r>
      <w:r w:rsidRPr="00756410">
        <w:rPr>
          <w:lang w:val="es-419"/>
        </w:rPr>
        <w:t xml:space="preserve">En esta sección de la Guía se ofrece una visión general de las principales responsabilidades de control interno que cumplen estas funciones. Además, se puede encontrar una variedad de artículos de conocimiento </w:t>
      </w:r>
      <w:r w:rsidR="00321345">
        <w:rPr>
          <w:lang w:val="es-419"/>
        </w:rPr>
        <w:t>de Quantum</w:t>
      </w:r>
      <w:r w:rsidR="00321345" w:rsidRPr="00756410">
        <w:rPr>
          <w:lang w:val="es-419"/>
        </w:rPr>
        <w:t xml:space="preserve"> </w:t>
      </w:r>
      <w:r w:rsidRPr="00756410">
        <w:rPr>
          <w:lang w:val="es-419"/>
        </w:rPr>
        <w:t xml:space="preserve">en UNall </w:t>
      </w:r>
      <w:r w:rsidR="00347567">
        <w:rPr>
          <w:lang w:val="es-419"/>
        </w:rPr>
        <w:t xml:space="preserve">sobre </w:t>
      </w:r>
      <w:hyperlink r:id="rId117">
        <w:r w:rsidR="00347567">
          <w:rPr>
            <w:rStyle w:val="Hyperlink"/>
            <w:lang w:val="es-419"/>
          </w:rPr>
          <w:t>Gestión de activos (en inglés)</w:t>
        </w:r>
      </w:hyperlink>
      <w:r w:rsidR="03D39E58" w:rsidRPr="00756410">
        <w:rPr>
          <w:lang w:val="es-419"/>
        </w:rPr>
        <w:t xml:space="preserve">, el </w:t>
      </w:r>
      <w:hyperlink r:id="rId118">
        <w:r w:rsidR="03D39E58" w:rsidRPr="00756410">
          <w:rPr>
            <w:rStyle w:val="Hyperlink"/>
            <w:lang w:val="es-419"/>
          </w:rPr>
          <w:t>sitio de SharePoint de BMS/GSSC Finance Services</w:t>
        </w:r>
      </w:hyperlink>
      <w:r w:rsidR="03D39E58" w:rsidRPr="00756410">
        <w:rPr>
          <w:lang w:val="es-419"/>
        </w:rPr>
        <w:t xml:space="preserve"> y el </w:t>
      </w:r>
      <w:hyperlink r:id="rId119">
        <w:r w:rsidR="03D39E58" w:rsidRPr="00756410">
          <w:rPr>
            <w:rStyle w:val="Hyperlink"/>
            <w:lang w:val="es-419"/>
          </w:rPr>
          <w:t>sitio de SharePoint de BMS/GSSC SOP</w:t>
        </w:r>
      </w:hyperlink>
      <w:r w:rsidR="03D39E58" w:rsidRPr="00756410">
        <w:rPr>
          <w:lang w:val="es-419"/>
        </w:rPr>
        <w:t>.</w:t>
      </w:r>
    </w:p>
    <w:p w14:paraId="65D5BBA1" w14:textId="4DCB6DA8" w:rsidR="008E2319" w:rsidRPr="00756410" w:rsidRDefault="008E2319" w:rsidP="00756410">
      <w:pPr>
        <w:spacing w:line="240" w:lineRule="auto"/>
        <w:jc w:val="both"/>
        <w:rPr>
          <w:color w:val="ED7D31" w:themeColor="accent2"/>
          <w:lang w:val="es-419"/>
        </w:rPr>
      </w:pPr>
      <w:r w:rsidRPr="00756410">
        <w:rPr>
          <w:lang w:val="es-419"/>
        </w:rPr>
        <w:t xml:space="preserve">El BMS/GSSC registra las transacciones de activos fijos y los asientos contables conexos en Quantum sobre la base de las solicitudes de servicio presentadas por todas las oficinas y dependencias del PNUD. Esto incluye el procesamiento de adiciones de activos, enajenaciones, ajustes, transferencias, deterioros, recategorizaciones y registro y contabilidad de arrendamientos, así como los ajustes que puedan ser necesarios después de verificaciones periódicas de activos físicos. Las solicitudes de transacciones de activos deben enviarse utilizando la ruta del menú de </w:t>
      </w:r>
      <w:r w:rsidRPr="00756410">
        <w:rPr>
          <w:i/>
          <w:iCs/>
          <w:lang w:val="es-419"/>
        </w:rPr>
        <w:t>UNall Finance</w:t>
      </w:r>
      <w:r w:rsidRPr="00756410">
        <w:rPr>
          <w:lang w:val="es-419"/>
        </w:rPr>
        <w:t xml:space="preserve"> -&gt; </w:t>
      </w:r>
      <w:r w:rsidRPr="00756410">
        <w:rPr>
          <w:i/>
          <w:iCs/>
          <w:lang w:val="es-419"/>
        </w:rPr>
        <w:t>Asset Management</w:t>
      </w:r>
      <w:r w:rsidRPr="00756410">
        <w:rPr>
          <w:lang w:val="es-419"/>
        </w:rPr>
        <w:t>.</w:t>
      </w:r>
    </w:p>
    <w:p w14:paraId="2C875165" w14:textId="7924F522" w:rsidR="008E2319" w:rsidRPr="00756410" w:rsidRDefault="008E2319" w:rsidP="00756410">
      <w:pPr>
        <w:spacing w:line="240" w:lineRule="auto"/>
        <w:jc w:val="both"/>
        <w:rPr>
          <w:lang w:val="es-419"/>
        </w:rPr>
      </w:pPr>
      <w:r w:rsidRPr="00756410">
        <w:rPr>
          <w:lang w:val="es-419"/>
        </w:rPr>
        <w:t xml:space="preserve">El BMS/GSSC también realiza todas las transacciones de contabilidad de inventario en Quantum sobre la base de los informes de control de inventario y las certificaciones de inventario adjuntas revisadas por el </w:t>
      </w:r>
      <w:r w:rsidR="00740EC1">
        <w:rPr>
          <w:lang w:val="es-419"/>
        </w:rPr>
        <w:t>Administrador</w:t>
      </w:r>
      <w:r w:rsidR="00740EC1" w:rsidRPr="00756410">
        <w:rPr>
          <w:lang w:val="es-419"/>
        </w:rPr>
        <w:t xml:space="preserve"> </w:t>
      </w:r>
      <w:r w:rsidRPr="00756410">
        <w:rPr>
          <w:lang w:val="es-419"/>
        </w:rPr>
        <w:t>de Inventario</w:t>
      </w:r>
      <w:r w:rsidR="008447A3">
        <w:rPr>
          <w:lang w:val="es-419"/>
        </w:rPr>
        <w:t>s</w:t>
      </w:r>
      <w:r w:rsidRPr="00756410">
        <w:rPr>
          <w:lang w:val="es-419"/>
        </w:rPr>
        <w:t xml:space="preserve">, firmadas por el Jefe de la Oficina/Unidad y presentadas por el </w:t>
      </w:r>
      <w:r w:rsidR="00740EC1">
        <w:rPr>
          <w:lang w:val="es-419"/>
        </w:rPr>
        <w:t>Punto Focal de</w:t>
      </w:r>
      <w:r w:rsidRPr="00756410">
        <w:rPr>
          <w:lang w:val="es-419"/>
        </w:rPr>
        <w:t xml:space="preserve"> Inventario. El BMS/GSSC: i) examina la exactitud de los informes de control de inventario presentados por las oficinas y dependencias; ii) se asegur</w:t>
      </w:r>
      <w:r w:rsidR="00740EC1">
        <w:rPr>
          <w:lang w:val="es-419"/>
        </w:rPr>
        <w:t>a</w:t>
      </w:r>
      <w:r w:rsidRPr="00756410">
        <w:rPr>
          <w:lang w:val="es-419"/>
        </w:rPr>
        <w:t xml:space="preserve"> de que los saldos sean certificados por el Jefe de la Oficina/Unidad; y (iii) registra un asiento en el diario contable para reconocer el saldo de inventarios.</w:t>
      </w:r>
    </w:p>
    <w:p w14:paraId="3C73DD4D" w14:textId="50A06020" w:rsidR="008E2319" w:rsidRPr="00756410" w:rsidRDefault="00CD6A3D">
      <w:pPr>
        <w:pStyle w:val="Heading2"/>
        <w:numPr>
          <w:ilvl w:val="1"/>
          <w:numId w:val="92"/>
        </w:numPr>
        <w:spacing w:after="240"/>
        <w:ind w:left="360"/>
        <w:rPr>
          <w:lang w:val="es-419"/>
        </w:rPr>
      </w:pPr>
      <w:bookmarkStart w:id="56" w:name="7.1_Asset_Manager"/>
      <w:bookmarkStart w:id="57" w:name="_Toc134134768"/>
      <w:bookmarkStart w:id="58" w:name="_Toc210052769"/>
      <w:bookmarkEnd w:id="56"/>
      <w:r w:rsidRPr="00756410">
        <w:rPr>
          <w:lang w:val="es-419"/>
        </w:rPr>
        <w:t xml:space="preserve">Administrador </w:t>
      </w:r>
      <w:r w:rsidR="008E2319" w:rsidRPr="00756410">
        <w:rPr>
          <w:lang w:val="es-419"/>
        </w:rPr>
        <w:t xml:space="preserve">de </w:t>
      </w:r>
      <w:r w:rsidR="00D30B42" w:rsidRPr="00756410">
        <w:rPr>
          <w:lang w:val="es-419"/>
        </w:rPr>
        <w:t>A</w:t>
      </w:r>
      <w:r w:rsidR="008E2319" w:rsidRPr="00756410">
        <w:rPr>
          <w:lang w:val="es-419"/>
        </w:rPr>
        <w:t>ctivos</w:t>
      </w:r>
      <w:bookmarkEnd w:id="57"/>
      <w:bookmarkEnd w:id="58"/>
    </w:p>
    <w:p w14:paraId="75E6F8B7" w14:textId="12CC6DF4" w:rsidR="008E2319" w:rsidRPr="00756410" w:rsidRDefault="008E2319" w:rsidP="00756410">
      <w:pPr>
        <w:spacing w:line="240" w:lineRule="auto"/>
        <w:jc w:val="both"/>
        <w:rPr>
          <w:color w:val="ED7D31" w:themeColor="accent2"/>
          <w:lang w:val="es-419"/>
        </w:rPr>
      </w:pPr>
      <w:r w:rsidRPr="00756410">
        <w:rPr>
          <w:lang w:val="es-419"/>
        </w:rPr>
        <w:t xml:space="preserve">El rol de </w:t>
      </w:r>
      <w:r w:rsidR="00D30B42">
        <w:rPr>
          <w:lang w:val="es-419"/>
        </w:rPr>
        <w:t>A</w:t>
      </w:r>
      <w:r w:rsidRPr="00756410">
        <w:rPr>
          <w:lang w:val="es-419"/>
        </w:rPr>
        <w:t xml:space="preserve">dministrador de </w:t>
      </w:r>
      <w:r w:rsidR="00D30B42">
        <w:rPr>
          <w:lang w:val="es-419"/>
        </w:rPr>
        <w:t>A</w:t>
      </w:r>
      <w:r w:rsidRPr="00756410">
        <w:rPr>
          <w:lang w:val="es-419"/>
        </w:rPr>
        <w:t xml:space="preserve">ctivos, </w:t>
      </w:r>
      <w:r w:rsidRPr="00756410">
        <w:rPr>
          <w:b/>
          <w:lang w:val="es-419"/>
        </w:rPr>
        <w:t>normalmente ocupado por el gerente de operaciones (o el equivalente de la oficina / unidad de la sede),</w:t>
      </w:r>
      <w:r w:rsidRPr="00756410">
        <w:rPr>
          <w:lang w:val="es-419"/>
        </w:rPr>
        <w:t xml:space="preserve"> es responsable de la administración general de los activos. Esta persona se asegura de que se lleven a cabo acciones de monitoreo, notificación y seguimiento, si es necesario, para los activos, y autoriza las transacciones de activos para su procesamiento por el BMS/GSSC. No existe un perfil de</w:t>
      </w:r>
      <w:r w:rsidR="001E6EED">
        <w:rPr>
          <w:lang w:val="es-419"/>
        </w:rPr>
        <w:t xml:space="preserve"> usuario de</w:t>
      </w:r>
      <w:r w:rsidRPr="00756410">
        <w:rPr>
          <w:lang w:val="es-419"/>
        </w:rPr>
        <w:t xml:space="preserve"> IDAM ni un rol complementario para el </w:t>
      </w:r>
      <w:r w:rsidR="001E6EED">
        <w:rPr>
          <w:lang w:val="es-419"/>
        </w:rPr>
        <w:t>Ad</w:t>
      </w:r>
      <w:r w:rsidRPr="00756410">
        <w:rPr>
          <w:lang w:val="es-419"/>
        </w:rPr>
        <w:t xml:space="preserve">ministrador de </w:t>
      </w:r>
      <w:r w:rsidR="001E6EED">
        <w:rPr>
          <w:lang w:val="es-419"/>
        </w:rPr>
        <w:t>A</w:t>
      </w:r>
      <w:r w:rsidRPr="00756410">
        <w:rPr>
          <w:lang w:val="es-419"/>
        </w:rPr>
        <w:t>ctivos, ya que las transacciones de activos se realizan en el ERP por BMS/GSSC en función de las solicitudes de servicio aprobadas de las oficinas / unidades.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3C2B04" w:rsidRPr="00773863" w14:paraId="4F7C51DB" w14:textId="77777777" w:rsidTr="0007005B">
        <w:trPr>
          <w:trHeight w:val="296"/>
        </w:trPr>
        <w:tc>
          <w:tcPr>
            <w:tcW w:w="9810" w:type="dxa"/>
            <w:shd w:val="clear" w:color="auto" w:fill="FFF1CC"/>
          </w:tcPr>
          <w:p w14:paraId="15C55C8D" w14:textId="47A2EE80" w:rsidR="008E2319" w:rsidRPr="00756410" w:rsidRDefault="008E2319" w:rsidP="008E2319">
            <w:pPr>
              <w:spacing w:after="0"/>
              <w:ind w:left="90" w:right="85"/>
              <w:rPr>
                <w:b/>
                <w:sz w:val="20"/>
                <w:szCs w:val="20"/>
                <w:lang w:val="es-ES"/>
              </w:rPr>
            </w:pPr>
            <w:r w:rsidRPr="00756410">
              <w:rPr>
                <w:b/>
                <w:sz w:val="20"/>
                <w:szCs w:val="20"/>
                <w:lang w:val="es-ES"/>
              </w:rPr>
              <w:t>Administrador de activos: Responsabilidades de control interno realizadas dentro de cada oficina</w:t>
            </w:r>
            <w:r w:rsidR="0000736A">
              <w:rPr>
                <w:b/>
                <w:sz w:val="20"/>
                <w:szCs w:val="20"/>
                <w:lang w:val="es-ES"/>
              </w:rPr>
              <w:t xml:space="preserve"> o </w:t>
            </w:r>
            <w:r w:rsidRPr="00756410">
              <w:rPr>
                <w:b/>
                <w:sz w:val="20"/>
                <w:szCs w:val="20"/>
                <w:lang w:val="es-ES"/>
              </w:rPr>
              <w:t>unidad</w:t>
            </w:r>
          </w:p>
        </w:tc>
      </w:tr>
      <w:tr w:rsidR="001F636E" w:rsidRPr="00773863" w14:paraId="63B13960" w14:textId="77777777" w:rsidTr="0007005B">
        <w:trPr>
          <w:trHeight w:val="566"/>
        </w:trPr>
        <w:tc>
          <w:tcPr>
            <w:tcW w:w="9810" w:type="dxa"/>
          </w:tcPr>
          <w:p w14:paraId="6F5D2715" w14:textId="10A7AAA7" w:rsidR="008E2319" w:rsidRPr="00756410" w:rsidRDefault="008E2319" w:rsidP="00756410">
            <w:pPr>
              <w:pStyle w:val="ListParagraph"/>
              <w:widowControl w:val="0"/>
              <w:numPr>
                <w:ilvl w:val="0"/>
                <w:numId w:val="68"/>
              </w:numPr>
              <w:autoSpaceDE w:val="0"/>
              <w:autoSpaceDN w:val="0"/>
              <w:spacing w:after="0" w:line="240" w:lineRule="auto"/>
              <w:ind w:right="85"/>
              <w:jc w:val="both"/>
              <w:rPr>
                <w:sz w:val="20"/>
                <w:szCs w:val="20"/>
                <w:lang w:val="es-419"/>
              </w:rPr>
            </w:pPr>
            <w:r w:rsidRPr="00756410">
              <w:rPr>
                <w:sz w:val="20"/>
                <w:szCs w:val="20"/>
                <w:lang w:val="es-419"/>
              </w:rPr>
              <w:t>Lleva a cabo la administración general de activos, el monitoreo y la presentación de informes, incluida la revisión de las cartas de certificación de activos de mitad y fin de año antes de la firma por parte del Jefe de Oficina/Unidad y su posterior presentación a BMS/Operaciones Generales.</w:t>
            </w:r>
          </w:p>
        </w:tc>
      </w:tr>
      <w:tr w:rsidR="001F636E" w:rsidRPr="00773863" w14:paraId="28938D14" w14:textId="77777777" w:rsidTr="0007005B">
        <w:trPr>
          <w:trHeight w:val="143"/>
        </w:trPr>
        <w:tc>
          <w:tcPr>
            <w:tcW w:w="9810" w:type="dxa"/>
          </w:tcPr>
          <w:p w14:paraId="20F315AF" w14:textId="50A47B91" w:rsidR="008E2319" w:rsidRPr="00756410" w:rsidRDefault="001658B2" w:rsidP="068E6479">
            <w:pPr>
              <w:pStyle w:val="ListParagraph"/>
              <w:widowControl w:val="0"/>
              <w:numPr>
                <w:ilvl w:val="0"/>
                <w:numId w:val="68"/>
              </w:numPr>
              <w:autoSpaceDE w:val="0"/>
              <w:autoSpaceDN w:val="0"/>
              <w:spacing w:after="0" w:line="240" w:lineRule="auto"/>
              <w:ind w:right="85"/>
              <w:rPr>
                <w:sz w:val="20"/>
                <w:szCs w:val="20"/>
                <w:lang w:val="es-419"/>
              </w:rPr>
            </w:pPr>
            <w:r>
              <w:rPr>
                <w:sz w:val="20"/>
                <w:szCs w:val="20"/>
                <w:lang w:val="es-419"/>
              </w:rPr>
              <w:t>Salvaguarda</w:t>
            </w:r>
            <w:r w:rsidRPr="00756410">
              <w:rPr>
                <w:sz w:val="20"/>
                <w:szCs w:val="20"/>
                <w:lang w:val="es-419"/>
              </w:rPr>
              <w:t xml:space="preserve"> </w:t>
            </w:r>
            <w:r w:rsidR="008E2319" w:rsidRPr="00756410">
              <w:rPr>
                <w:sz w:val="20"/>
                <w:szCs w:val="20"/>
                <w:lang w:val="es-419"/>
              </w:rPr>
              <w:t>físicamente los activos de gestión.</w:t>
            </w:r>
          </w:p>
        </w:tc>
      </w:tr>
      <w:tr w:rsidR="001F636E" w:rsidRPr="00773863" w14:paraId="44AE4D81" w14:textId="77777777" w:rsidTr="0007005B">
        <w:trPr>
          <w:trHeight w:val="170"/>
        </w:trPr>
        <w:tc>
          <w:tcPr>
            <w:tcW w:w="9810" w:type="dxa"/>
          </w:tcPr>
          <w:p w14:paraId="3F97FC13" w14:textId="4C39D407" w:rsidR="008E2319" w:rsidRPr="00756410" w:rsidRDefault="008E2319" w:rsidP="068E6479">
            <w:pPr>
              <w:pStyle w:val="ListParagraph"/>
              <w:widowControl w:val="0"/>
              <w:numPr>
                <w:ilvl w:val="0"/>
                <w:numId w:val="68"/>
              </w:numPr>
              <w:autoSpaceDE w:val="0"/>
              <w:autoSpaceDN w:val="0"/>
              <w:spacing w:after="0" w:line="240" w:lineRule="auto"/>
              <w:ind w:right="85"/>
              <w:rPr>
                <w:sz w:val="20"/>
                <w:szCs w:val="20"/>
                <w:lang w:val="es-419"/>
              </w:rPr>
            </w:pPr>
            <w:r w:rsidRPr="00756410">
              <w:rPr>
                <w:sz w:val="20"/>
                <w:szCs w:val="20"/>
                <w:lang w:val="es-419"/>
              </w:rPr>
              <w:t>Autoriza todas las solicitudes de servicio de transacciones de activos para su presentación a BMS/GSSC.</w:t>
            </w:r>
          </w:p>
        </w:tc>
      </w:tr>
      <w:tr w:rsidR="008A4553" w:rsidRPr="00773863" w14:paraId="48E79284" w14:textId="77777777" w:rsidTr="0007005B">
        <w:trPr>
          <w:trHeight w:val="467"/>
        </w:trPr>
        <w:tc>
          <w:tcPr>
            <w:tcW w:w="9810" w:type="dxa"/>
            <w:shd w:val="clear" w:color="auto" w:fill="D9D9D9" w:themeFill="background1" w:themeFillShade="D9"/>
          </w:tcPr>
          <w:p w14:paraId="6DE01737" w14:textId="1DFDAC3B" w:rsidR="00E21B90" w:rsidRPr="00756410" w:rsidRDefault="008E2319" w:rsidP="00E21B90">
            <w:pPr>
              <w:spacing w:after="0" w:line="240" w:lineRule="auto"/>
              <w:ind w:left="90" w:right="85"/>
              <w:rPr>
                <w:sz w:val="20"/>
                <w:szCs w:val="20"/>
                <w:lang w:val="es-419"/>
              </w:rPr>
            </w:pPr>
            <w:r w:rsidRPr="00756410">
              <w:rPr>
                <w:b/>
                <w:sz w:val="20"/>
                <w:szCs w:val="20"/>
                <w:lang w:val="es-419"/>
              </w:rPr>
              <w:lastRenderedPageBreak/>
              <w:t>Segregación de funciones requerida:</w:t>
            </w:r>
            <w:r w:rsidRPr="00756410">
              <w:rPr>
                <w:sz w:val="20"/>
                <w:szCs w:val="20"/>
                <w:lang w:val="es-419"/>
              </w:rPr>
              <w:t xml:space="preserve"> Los </w:t>
            </w:r>
            <w:r w:rsidR="007A6432">
              <w:rPr>
                <w:sz w:val="20"/>
                <w:szCs w:val="20"/>
                <w:lang w:val="es-419"/>
              </w:rPr>
              <w:t>A</w:t>
            </w:r>
            <w:r w:rsidRPr="00756410">
              <w:rPr>
                <w:sz w:val="20"/>
                <w:szCs w:val="20"/>
                <w:lang w:val="es-419"/>
              </w:rPr>
              <w:t xml:space="preserve">dministradores de </w:t>
            </w:r>
            <w:r w:rsidR="007A6432">
              <w:rPr>
                <w:sz w:val="20"/>
                <w:szCs w:val="20"/>
                <w:lang w:val="es-419"/>
              </w:rPr>
              <w:t>A</w:t>
            </w:r>
            <w:r w:rsidRPr="00756410">
              <w:rPr>
                <w:sz w:val="20"/>
                <w:szCs w:val="20"/>
                <w:lang w:val="es-419"/>
              </w:rPr>
              <w:t>ctivos no deben realizar las funciones del Coordinador de Verificación Física de Activos Fijos.</w:t>
            </w:r>
          </w:p>
        </w:tc>
      </w:tr>
    </w:tbl>
    <w:p w14:paraId="76EC9D67" w14:textId="77777777" w:rsidR="008E2319" w:rsidRPr="00756410" w:rsidRDefault="008E2319" w:rsidP="008E2319">
      <w:pPr>
        <w:rPr>
          <w:sz w:val="8"/>
          <w:szCs w:val="8"/>
          <w:lang w:val="es-419"/>
        </w:rPr>
      </w:pPr>
    </w:p>
    <w:p w14:paraId="6E5F753F" w14:textId="4E955412" w:rsidR="008E2319" w:rsidRDefault="008E2319">
      <w:pPr>
        <w:pStyle w:val="Heading2"/>
        <w:numPr>
          <w:ilvl w:val="1"/>
          <w:numId w:val="92"/>
        </w:numPr>
        <w:spacing w:after="240"/>
        <w:ind w:left="360"/>
      </w:pPr>
      <w:bookmarkStart w:id="59" w:name="_Toc134134769"/>
      <w:bookmarkStart w:id="60" w:name="_Toc210052770"/>
      <w:r w:rsidRPr="0030148B">
        <w:t xml:space="preserve">Punto </w:t>
      </w:r>
      <w:r w:rsidR="006C2594">
        <w:t>Fo</w:t>
      </w:r>
      <w:r w:rsidRPr="0030148B">
        <w:t xml:space="preserve">cal de </w:t>
      </w:r>
      <w:r w:rsidR="006C2594">
        <w:t>A</w:t>
      </w:r>
      <w:r w:rsidRPr="0030148B">
        <w:t>ctivos</w:t>
      </w:r>
      <w:bookmarkEnd w:id="59"/>
      <w:bookmarkEnd w:id="60"/>
    </w:p>
    <w:p w14:paraId="321DC774" w14:textId="1105018F" w:rsidR="008E2319" w:rsidRPr="00756410" w:rsidRDefault="008E2319" w:rsidP="00756410">
      <w:pPr>
        <w:spacing w:line="240" w:lineRule="auto"/>
        <w:jc w:val="both"/>
        <w:rPr>
          <w:lang w:val="es-419"/>
        </w:rPr>
      </w:pPr>
      <w:r w:rsidRPr="00756410">
        <w:rPr>
          <w:lang w:val="es-419"/>
        </w:rPr>
        <w:t xml:space="preserve">La función de Punto Focal de Activos se refiere a la persona designada por el Jefe de Oficina/Unidad para realizar la gestión diaria de los activos de acuerdo con la </w:t>
      </w:r>
      <w:r w:rsidR="006C2594">
        <w:rPr>
          <w:lang w:val="es-419"/>
        </w:rPr>
        <w:t xml:space="preserve">política de </w:t>
      </w:r>
      <w:hyperlink r:id="rId120" w:history="1">
        <w:r w:rsidR="006C2594" w:rsidRPr="00E24AE8">
          <w:rPr>
            <w:rStyle w:val="Hyperlink"/>
            <w:lang w:val="es-419"/>
          </w:rPr>
          <w:t>“</w:t>
        </w:r>
        <w:r w:rsidRPr="00E24AE8">
          <w:rPr>
            <w:rStyle w:val="Hyperlink"/>
            <w:i/>
            <w:iCs/>
            <w:lang w:val="es-419"/>
          </w:rPr>
          <w:t>Gestión de Activos</w:t>
        </w:r>
        <w:r w:rsidR="006C2594" w:rsidRPr="00E24AE8">
          <w:rPr>
            <w:rStyle w:val="Hyperlink"/>
            <w:lang w:val="es-419"/>
          </w:rPr>
          <w:t>”</w:t>
        </w:r>
      </w:hyperlink>
      <w:r w:rsidR="006C2594" w:rsidRPr="00756410">
        <w:rPr>
          <w:lang w:val="es-ES"/>
        </w:rPr>
        <w:t xml:space="preserve"> del POPP </w:t>
      </w:r>
      <w:r w:rsidRPr="00756410">
        <w:rPr>
          <w:lang w:val="es-419"/>
        </w:rPr>
        <w:t>y las instrucciones periódicas de cierre financiero emitidas por BMS. Por razones prácticas, las unidades con personal ubicado en varios pisos o edificios deben designar más de un Punto Focal de Activos.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3C2B04" w:rsidRPr="00773863" w14:paraId="59F9A05B" w14:textId="77777777" w:rsidTr="31435811">
        <w:trPr>
          <w:trHeight w:val="161"/>
          <w:tblHeader/>
        </w:trPr>
        <w:tc>
          <w:tcPr>
            <w:tcW w:w="9810" w:type="dxa"/>
            <w:shd w:val="clear" w:color="auto" w:fill="FFF1CC"/>
          </w:tcPr>
          <w:p w14:paraId="3BC6F033" w14:textId="2F961436" w:rsidR="008E2319" w:rsidRPr="00756410" w:rsidRDefault="008E2319" w:rsidP="008E2319">
            <w:pPr>
              <w:spacing w:after="0"/>
              <w:ind w:left="85"/>
              <w:rPr>
                <w:b/>
                <w:sz w:val="20"/>
                <w:szCs w:val="20"/>
                <w:lang w:val="es-ES"/>
              </w:rPr>
            </w:pPr>
            <w:r w:rsidRPr="00756410">
              <w:rPr>
                <w:b/>
                <w:sz w:val="20"/>
                <w:szCs w:val="20"/>
                <w:lang w:val="es-ES"/>
              </w:rPr>
              <w:t xml:space="preserve">Punto </w:t>
            </w:r>
            <w:r w:rsidR="006C2594">
              <w:rPr>
                <w:b/>
                <w:sz w:val="20"/>
                <w:szCs w:val="20"/>
                <w:lang w:val="es-ES"/>
              </w:rPr>
              <w:t>F</w:t>
            </w:r>
            <w:r w:rsidRPr="00756410">
              <w:rPr>
                <w:b/>
                <w:sz w:val="20"/>
                <w:szCs w:val="20"/>
                <w:lang w:val="es-ES"/>
              </w:rPr>
              <w:t xml:space="preserve">ocal de </w:t>
            </w:r>
            <w:r w:rsidR="006C2594">
              <w:rPr>
                <w:b/>
                <w:sz w:val="20"/>
                <w:szCs w:val="20"/>
                <w:lang w:val="es-ES"/>
              </w:rPr>
              <w:t>A</w:t>
            </w:r>
            <w:r w:rsidRPr="00756410">
              <w:rPr>
                <w:b/>
                <w:sz w:val="20"/>
                <w:szCs w:val="20"/>
                <w:lang w:val="es-ES"/>
              </w:rPr>
              <w:t>ctivos: Responsabilidades de control interno realizadas dentro de cada oficina</w:t>
            </w:r>
            <w:r w:rsidR="0000736A">
              <w:rPr>
                <w:b/>
                <w:sz w:val="20"/>
                <w:szCs w:val="20"/>
                <w:lang w:val="es-ES"/>
              </w:rPr>
              <w:t xml:space="preserve"> o </w:t>
            </w:r>
            <w:r w:rsidRPr="00756410">
              <w:rPr>
                <w:b/>
                <w:sz w:val="20"/>
                <w:szCs w:val="20"/>
                <w:lang w:val="es-ES"/>
              </w:rPr>
              <w:t>unidad</w:t>
            </w:r>
          </w:p>
        </w:tc>
      </w:tr>
      <w:tr w:rsidR="001F636E" w:rsidRPr="00773863" w14:paraId="314C8120" w14:textId="77777777" w:rsidTr="7087F675">
        <w:trPr>
          <w:trHeight w:val="701"/>
        </w:trPr>
        <w:tc>
          <w:tcPr>
            <w:tcW w:w="9810" w:type="dxa"/>
          </w:tcPr>
          <w:p w14:paraId="53EB1899" w14:textId="77777777" w:rsidR="008E2319" w:rsidRPr="001D31F4" w:rsidRDefault="008E2319" w:rsidP="00756410">
            <w:pPr>
              <w:pStyle w:val="ListParagraph"/>
              <w:widowControl w:val="0"/>
              <w:numPr>
                <w:ilvl w:val="0"/>
                <w:numId w:val="67"/>
              </w:numPr>
              <w:autoSpaceDE w:val="0"/>
              <w:autoSpaceDN w:val="0"/>
              <w:spacing w:after="0" w:line="240" w:lineRule="auto"/>
              <w:ind w:right="85"/>
              <w:jc w:val="both"/>
              <w:rPr>
                <w:sz w:val="20"/>
                <w:szCs w:val="20"/>
                <w:lang w:val="es-419"/>
              </w:rPr>
            </w:pPr>
            <w:r w:rsidRPr="00756410">
              <w:rPr>
                <w:sz w:val="20"/>
                <w:szCs w:val="20"/>
                <w:lang w:val="es-419"/>
              </w:rPr>
              <w:t>Lleva a cabo la gestión diaria de los activos de la oficina/unidad, incluyendo: garantizar (i) que las adquisiciones de activos se identifiquen y registren adecuadamente; ii) los activos estén protegidos físicamente y sus movimientos estén controlados y supervisados; y iii) las transacciones de activos se comunican sin demora al BMS/GSSC para su procesamiento.</w:t>
            </w:r>
          </w:p>
        </w:tc>
      </w:tr>
      <w:tr w:rsidR="00FC6582" w:rsidRPr="00773863" w14:paraId="7D96296F" w14:textId="77777777" w:rsidTr="7087F675">
        <w:trPr>
          <w:trHeight w:val="629"/>
        </w:trPr>
        <w:tc>
          <w:tcPr>
            <w:tcW w:w="9810" w:type="dxa"/>
          </w:tcPr>
          <w:p w14:paraId="7D1B95BF" w14:textId="77777777" w:rsidR="008E2319" w:rsidRPr="001D31F4" w:rsidRDefault="008E2319" w:rsidP="00756410">
            <w:pPr>
              <w:pStyle w:val="ListParagraph"/>
              <w:widowControl w:val="0"/>
              <w:numPr>
                <w:ilvl w:val="0"/>
                <w:numId w:val="67"/>
              </w:numPr>
              <w:autoSpaceDE w:val="0"/>
              <w:autoSpaceDN w:val="0"/>
              <w:spacing w:after="0" w:line="240" w:lineRule="auto"/>
              <w:ind w:right="85"/>
              <w:jc w:val="both"/>
              <w:rPr>
                <w:sz w:val="20"/>
                <w:szCs w:val="20"/>
                <w:lang w:val="es-419"/>
              </w:rPr>
            </w:pPr>
            <w:r w:rsidRPr="00756410">
              <w:rPr>
                <w:sz w:val="20"/>
                <w:szCs w:val="20"/>
                <w:lang w:val="es-419"/>
              </w:rPr>
              <w:t xml:space="preserve">En el caso de las oficinas/unidades de la sede, los Puntos Focales de Activos también deben informar al BMS/Operaciones Generales de la recepción de los activos para asegurarse de que se etiquetan y escanean en Quantum con la orden de compra correspondiente. Esta acción es vital para las verificaciones físicas de mitad y fin de año y la conciliación de los activos de la sede. </w:t>
            </w:r>
          </w:p>
        </w:tc>
      </w:tr>
      <w:tr w:rsidR="008A4553" w:rsidRPr="00773863" w14:paraId="698F129D" w14:textId="77777777" w:rsidTr="31435811">
        <w:trPr>
          <w:trHeight w:val="476"/>
        </w:trPr>
        <w:tc>
          <w:tcPr>
            <w:tcW w:w="9810" w:type="dxa"/>
            <w:shd w:val="clear" w:color="auto" w:fill="D9D9D9" w:themeFill="background1" w:themeFillShade="D9"/>
          </w:tcPr>
          <w:p w14:paraId="04C08A87" w14:textId="0CA0C353" w:rsidR="008E2319" w:rsidRPr="00756410" w:rsidRDefault="008E2319" w:rsidP="00756410">
            <w:pPr>
              <w:spacing w:after="0" w:line="240" w:lineRule="auto"/>
              <w:ind w:left="85" w:right="85"/>
              <w:jc w:val="both"/>
              <w:rPr>
                <w:sz w:val="20"/>
                <w:szCs w:val="20"/>
                <w:lang w:val="es-419"/>
              </w:rPr>
            </w:pPr>
            <w:r w:rsidRPr="00756410">
              <w:rPr>
                <w:b/>
                <w:sz w:val="20"/>
                <w:szCs w:val="20"/>
                <w:lang w:val="es-419"/>
              </w:rPr>
              <w:t>Segregación de funciones requerida:</w:t>
            </w:r>
            <w:r w:rsidRPr="00756410">
              <w:rPr>
                <w:sz w:val="20"/>
                <w:szCs w:val="20"/>
                <w:lang w:val="es-419"/>
              </w:rPr>
              <w:t xml:space="preserve"> el Punto Focal de Activos no debe ser el Coordinador de Verificación Física de Activos y no debe formar parte del equipo de verificación física de activos.</w:t>
            </w:r>
          </w:p>
        </w:tc>
      </w:tr>
      <w:tr w:rsidR="008A4553" w:rsidRPr="00773863" w14:paraId="52494B3D" w14:textId="77777777" w:rsidTr="31435811">
        <w:trPr>
          <w:trHeight w:val="386"/>
        </w:trPr>
        <w:tc>
          <w:tcPr>
            <w:tcW w:w="9810" w:type="dxa"/>
            <w:shd w:val="clear" w:color="auto" w:fill="BFBFBF" w:themeFill="background1" w:themeFillShade="BF"/>
          </w:tcPr>
          <w:p w14:paraId="30CA0C5E" w14:textId="2B922ABE" w:rsidR="008E2319" w:rsidRPr="00756410" w:rsidRDefault="008E2319" w:rsidP="00756410">
            <w:pPr>
              <w:spacing w:after="0" w:line="240" w:lineRule="auto"/>
              <w:ind w:left="85" w:right="85"/>
              <w:jc w:val="both"/>
              <w:rPr>
                <w:sz w:val="20"/>
                <w:szCs w:val="20"/>
                <w:lang w:val="es-419"/>
              </w:rPr>
            </w:pPr>
            <w:r w:rsidRPr="00756410">
              <w:rPr>
                <w:b/>
                <w:sz w:val="20"/>
                <w:szCs w:val="20"/>
                <w:lang w:val="es-419"/>
              </w:rPr>
              <w:t xml:space="preserve">Conocimientos técnicos requeridos: </w:t>
            </w:r>
            <w:r w:rsidRPr="00756410">
              <w:rPr>
                <w:sz w:val="20"/>
                <w:szCs w:val="20"/>
                <w:lang w:val="es-419"/>
              </w:rPr>
              <w:t xml:space="preserve">el Punto Focal de Activos debe tener conocimientos del módulo de Activos Fijos </w:t>
            </w:r>
            <w:r w:rsidR="00510ACF">
              <w:rPr>
                <w:sz w:val="20"/>
                <w:szCs w:val="20"/>
                <w:lang w:val="es-419"/>
              </w:rPr>
              <w:t>en Quantum</w:t>
            </w:r>
            <w:r w:rsidRPr="00756410">
              <w:rPr>
                <w:sz w:val="20"/>
                <w:szCs w:val="20"/>
                <w:lang w:val="es-419"/>
              </w:rPr>
              <w:t>, las plataformas de presentación de solicitudes de servicio BMS/GSSC y los procedimientos de control interno.</w:t>
            </w:r>
          </w:p>
        </w:tc>
      </w:tr>
    </w:tbl>
    <w:p w14:paraId="60D83BE0" w14:textId="77777777" w:rsidR="008E2319" w:rsidRPr="00756410" w:rsidRDefault="008E2319" w:rsidP="008E2319">
      <w:pPr>
        <w:rPr>
          <w:sz w:val="8"/>
          <w:szCs w:val="8"/>
          <w:lang w:val="es-419"/>
        </w:rPr>
      </w:pPr>
    </w:p>
    <w:p w14:paraId="11853D84" w14:textId="3D219F14" w:rsidR="008E2319" w:rsidRPr="00756410" w:rsidRDefault="008E2319">
      <w:pPr>
        <w:pStyle w:val="Heading2"/>
        <w:numPr>
          <w:ilvl w:val="1"/>
          <w:numId w:val="92"/>
        </w:numPr>
        <w:spacing w:after="240"/>
        <w:ind w:left="360"/>
        <w:rPr>
          <w:lang w:val="es-419"/>
        </w:rPr>
      </w:pPr>
      <w:bookmarkStart w:id="61" w:name="7.3_Fixed_Asset_Physical_Verification_Co"/>
      <w:bookmarkStart w:id="62" w:name="_Toc134134770"/>
      <w:bookmarkStart w:id="63" w:name="_Toc210052771"/>
      <w:bookmarkEnd w:id="61"/>
      <w:r w:rsidRPr="00756410">
        <w:rPr>
          <w:lang w:val="es-419"/>
        </w:rPr>
        <w:t>Coordinador de Verificación Física de Activos Fijos</w:t>
      </w:r>
      <w:bookmarkEnd w:id="62"/>
      <w:bookmarkEnd w:id="63"/>
    </w:p>
    <w:p w14:paraId="6DFC7D29" w14:textId="2D3E26AF" w:rsidR="008E2319" w:rsidRPr="00756410" w:rsidRDefault="008E2319" w:rsidP="0007005B">
      <w:pPr>
        <w:spacing w:line="240" w:lineRule="auto"/>
        <w:rPr>
          <w:lang w:val="es-419"/>
        </w:rPr>
      </w:pPr>
      <w:r w:rsidRPr="00756410">
        <w:rPr>
          <w:lang w:val="es-419"/>
        </w:rPr>
        <w:t>La función de Coordinador de Verificación Física de Activos Fijos se refiere a la persona designada por el Jefe de Oficina/Unidad a través del Gerente de Operaciones (o su equivalente en la Sede) para coordinar el proceso de verificación de la existencia física de los activos de gestión y de proyectos sobre los cuales el PNUD mantiene el control físico.</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3C2B04" w:rsidRPr="00773863" w14:paraId="2097EC6F" w14:textId="77777777" w:rsidTr="31435811">
        <w:trPr>
          <w:trHeight w:val="89"/>
          <w:tblHeader/>
        </w:trPr>
        <w:tc>
          <w:tcPr>
            <w:tcW w:w="9810" w:type="dxa"/>
            <w:shd w:val="clear" w:color="auto" w:fill="FFF1CC"/>
          </w:tcPr>
          <w:p w14:paraId="4D49BB01" w14:textId="6847A831" w:rsidR="008E2319" w:rsidRPr="00756410" w:rsidRDefault="008E2319" w:rsidP="008E2319">
            <w:pPr>
              <w:spacing w:after="0"/>
              <w:rPr>
                <w:b/>
                <w:sz w:val="20"/>
                <w:szCs w:val="20"/>
                <w:lang w:val="es-ES"/>
              </w:rPr>
            </w:pPr>
            <w:r w:rsidRPr="00756410">
              <w:rPr>
                <w:b/>
                <w:sz w:val="20"/>
                <w:szCs w:val="20"/>
                <w:lang w:val="es-ES"/>
              </w:rPr>
              <w:t>Coordinador de Verificación Física de Activos Fijos: Responsabilidades de Control Interno realizadas dentro de cada oficina</w:t>
            </w:r>
            <w:r w:rsidR="0000736A">
              <w:rPr>
                <w:b/>
                <w:sz w:val="20"/>
                <w:szCs w:val="20"/>
                <w:lang w:val="es-ES"/>
              </w:rPr>
              <w:t xml:space="preserve"> o  </w:t>
            </w:r>
            <w:r w:rsidRPr="00756410">
              <w:rPr>
                <w:b/>
                <w:sz w:val="20"/>
                <w:szCs w:val="20"/>
                <w:lang w:val="es-ES"/>
              </w:rPr>
              <w:t>unidad</w:t>
            </w:r>
          </w:p>
        </w:tc>
      </w:tr>
      <w:tr w:rsidR="001F636E" w:rsidRPr="00773863" w14:paraId="245772C0" w14:textId="77777777" w:rsidTr="7087F675">
        <w:trPr>
          <w:trHeight w:val="1088"/>
        </w:trPr>
        <w:tc>
          <w:tcPr>
            <w:tcW w:w="9810" w:type="dxa"/>
          </w:tcPr>
          <w:p w14:paraId="264CBD5E" w14:textId="200C427C" w:rsidR="008E2319" w:rsidRPr="001D31F4" w:rsidRDefault="008E2319" w:rsidP="00756410">
            <w:pPr>
              <w:pStyle w:val="ListParagraph"/>
              <w:widowControl w:val="0"/>
              <w:numPr>
                <w:ilvl w:val="0"/>
                <w:numId w:val="66"/>
              </w:numPr>
              <w:autoSpaceDE w:val="0"/>
              <w:autoSpaceDN w:val="0"/>
              <w:spacing w:after="0" w:line="240" w:lineRule="auto"/>
              <w:jc w:val="both"/>
              <w:rPr>
                <w:sz w:val="20"/>
                <w:szCs w:val="20"/>
                <w:lang w:val="es-419"/>
              </w:rPr>
            </w:pPr>
            <w:r w:rsidRPr="00756410">
              <w:rPr>
                <w:sz w:val="20"/>
                <w:szCs w:val="20"/>
                <w:lang w:val="es-419"/>
              </w:rPr>
              <w:t>Coordina el proceso para verificar la existencia física de los activos de gestión y proyectos sobre los cuales el PNUD mantiene el control físico, incluyendo: (i) establecer un equipo para llevar a cabo la verificación física de los activos dos veces al año (es decir, a fin</w:t>
            </w:r>
            <w:r w:rsidR="00776423">
              <w:rPr>
                <w:sz w:val="20"/>
                <w:szCs w:val="20"/>
                <w:lang w:val="es-419"/>
              </w:rPr>
              <w:t>al</w:t>
            </w:r>
            <w:r w:rsidRPr="00756410">
              <w:rPr>
                <w:sz w:val="20"/>
                <w:szCs w:val="20"/>
                <w:lang w:val="es-419"/>
              </w:rPr>
              <w:t>es de junio y fin</w:t>
            </w:r>
            <w:r w:rsidR="00776423">
              <w:rPr>
                <w:sz w:val="20"/>
                <w:szCs w:val="20"/>
                <w:lang w:val="es-419"/>
              </w:rPr>
              <w:t>al</w:t>
            </w:r>
            <w:r w:rsidRPr="00756410">
              <w:rPr>
                <w:sz w:val="20"/>
                <w:szCs w:val="20"/>
                <w:lang w:val="es-419"/>
              </w:rPr>
              <w:t xml:space="preserve">es de diciembre); y ii) utilizar la lista de activos del registro de activos de Quantum durante la verificación, conciliar los recuentos de activos con los registros de activos con la asistencia del </w:t>
            </w:r>
            <w:r w:rsidR="00776423">
              <w:rPr>
                <w:sz w:val="20"/>
                <w:szCs w:val="20"/>
                <w:lang w:val="es-419"/>
              </w:rPr>
              <w:t xml:space="preserve">Punto Focal </w:t>
            </w:r>
            <w:r w:rsidRPr="00756410">
              <w:rPr>
                <w:sz w:val="20"/>
                <w:szCs w:val="20"/>
                <w:lang w:val="es-419"/>
              </w:rPr>
              <w:t xml:space="preserve">de Activos, y este último comunicará cualquier ajuste o deterioro a la BMS/GSSC. </w:t>
            </w:r>
          </w:p>
        </w:tc>
      </w:tr>
      <w:tr w:rsidR="008A4553" w:rsidRPr="00773863" w14:paraId="48DD637F" w14:textId="77777777" w:rsidTr="31435811">
        <w:trPr>
          <w:trHeight w:val="288"/>
        </w:trPr>
        <w:tc>
          <w:tcPr>
            <w:tcW w:w="9810" w:type="dxa"/>
            <w:shd w:val="clear" w:color="auto" w:fill="D9D9D9" w:themeFill="background1" w:themeFillShade="D9"/>
          </w:tcPr>
          <w:p w14:paraId="49D9F01D" w14:textId="24F7E505" w:rsidR="008E2319" w:rsidRPr="00756410" w:rsidRDefault="008E2319" w:rsidP="00756410">
            <w:pPr>
              <w:spacing w:after="0" w:line="240" w:lineRule="auto"/>
              <w:jc w:val="both"/>
              <w:rPr>
                <w:sz w:val="20"/>
                <w:szCs w:val="20"/>
                <w:lang w:val="es-419"/>
              </w:rPr>
            </w:pPr>
            <w:r w:rsidRPr="00756410">
              <w:rPr>
                <w:b/>
                <w:sz w:val="20"/>
                <w:szCs w:val="20"/>
                <w:lang w:val="es-419"/>
              </w:rPr>
              <w:t>Segregación de funciones requerida:</w:t>
            </w:r>
            <w:r w:rsidRPr="00756410">
              <w:rPr>
                <w:sz w:val="20"/>
                <w:szCs w:val="20"/>
                <w:lang w:val="es-419"/>
              </w:rPr>
              <w:t xml:space="preserve"> El Punto Focal de Activos y el Administrador de Activos no deben ser el Coordinador de Verificación Física de Activos Fijos, ni deben participar en el equipo de verificación física de activos.</w:t>
            </w:r>
          </w:p>
        </w:tc>
      </w:tr>
      <w:tr w:rsidR="008A4553" w:rsidRPr="00773863" w14:paraId="3907DE9C" w14:textId="77777777" w:rsidTr="31435811">
        <w:trPr>
          <w:trHeight w:val="395"/>
        </w:trPr>
        <w:tc>
          <w:tcPr>
            <w:tcW w:w="9810" w:type="dxa"/>
            <w:shd w:val="clear" w:color="auto" w:fill="BFBFBF" w:themeFill="background1" w:themeFillShade="BF"/>
          </w:tcPr>
          <w:p w14:paraId="703EEC9B" w14:textId="77777777" w:rsidR="008E2319" w:rsidRPr="00756410" w:rsidRDefault="008E2319" w:rsidP="00756410">
            <w:pPr>
              <w:spacing w:after="0" w:line="240" w:lineRule="auto"/>
              <w:jc w:val="both"/>
              <w:rPr>
                <w:sz w:val="20"/>
                <w:szCs w:val="20"/>
                <w:lang w:val="es-419"/>
              </w:rPr>
            </w:pPr>
            <w:r w:rsidRPr="00756410">
              <w:rPr>
                <w:b/>
                <w:sz w:val="20"/>
                <w:szCs w:val="20"/>
                <w:lang w:val="es-419"/>
              </w:rPr>
              <w:t>Conocimientos técnicos requeridos:</w:t>
            </w:r>
            <w:r w:rsidRPr="00756410">
              <w:rPr>
                <w:sz w:val="20"/>
                <w:szCs w:val="20"/>
                <w:lang w:val="es-419"/>
              </w:rPr>
              <w:t xml:space="preserve"> El Coordinador de Verificación Física de Activos Fijos debe tener algunos conocimientos financieros o contables.</w:t>
            </w:r>
          </w:p>
        </w:tc>
      </w:tr>
    </w:tbl>
    <w:p w14:paraId="7DF3DA83" w14:textId="77777777" w:rsidR="008E2319" w:rsidRPr="00756410" w:rsidRDefault="008E2319" w:rsidP="008E2319">
      <w:pPr>
        <w:rPr>
          <w:sz w:val="8"/>
          <w:szCs w:val="8"/>
          <w:lang w:val="es-419"/>
        </w:rPr>
      </w:pPr>
    </w:p>
    <w:p w14:paraId="61CC73A0" w14:textId="0FCCB1BE" w:rsidR="008E2319" w:rsidRPr="00561802" w:rsidRDefault="00D31370">
      <w:pPr>
        <w:pStyle w:val="Heading2"/>
        <w:numPr>
          <w:ilvl w:val="1"/>
          <w:numId w:val="92"/>
        </w:numPr>
        <w:spacing w:after="240"/>
        <w:ind w:left="360"/>
      </w:pPr>
      <w:bookmarkStart w:id="64" w:name="7.4_Inventory_Manager"/>
      <w:bookmarkStart w:id="65" w:name="_Toc134134771"/>
      <w:bookmarkStart w:id="66" w:name="_Toc210052772"/>
      <w:bookmarkEnd w:id="64"/>
      <w:r>
        <w:t>Administrador</w:t>
      </w:r>
      <w:r w:rsidRPr="00561802">
        <w:t xml:space="preserve"> </w:t>
      </w:r>
      <w:r w:rsidR="008E2319" w:rsidRPr="00561802">
        <w:t xml:space="preserve">de </w:t>
      </w:r>
      <w:r w:rsidR="008447A3">
        <w:t>I</w:t>
      </w:r>
      <w:r w:rsidR="008E2319" w:rsidRPr="00561802">
        <w:t>nventario</w:t>
      </w:r>
      <w:bookmarkEnd w:id="65"/>
      <w:bookmarkEnd w:id="66"/>
      <w:r w:rsidR="008447A3">
        <w:t>s</w:t>
      </w:r>
    </w:p>
    <w:p w14:paraId="77ECD4E8" w14:textId="13D1683C" w:rsidR="008E2319" w:rsidRPr="00756410" w:rsidRDefault="008E2319" w:rsidP="00756410">
      <w:pPr>
        <w:spacing w:line="240" w:lineRule="auto"/>
        <w:jc w:val="both"/>
        <w:rPr>
          <w:color w:val="ED7D31" w:themeColor="accent2"/>
          <w:lang w:val="es-419"/>
        </w:rPr>
      </w:pPr>
      <w:r w:rsidRPr="00756410">
        <w:rPr>
          <w:lang w:val="es-419"/>
        </w:rPr>
        <w:t xml:space="preserve">El </w:t>
      </w:r>
      <w:r w:rsidR="00D31370">
        <w:rPr>
          <w:lang w:val="es-419"/>
        </w:rPr>
        <w:t>Administrador</w:t>
      </w:r>
      <w:r w:rsidR="00D31370" w:rsidRPr="00756410">
        <w:rPr>
          <w:lang w:val="es-419"/>
        </w:rPr>
        <w:t xml:space="preserve"> </w:t>
      </w:r>
      <w:r w:rsidRPr="00756410">
        <w:rPr>
          <w:lang w:val="es-419"/>
        </w:rPr>
        <w:t>de Inventario</w:t>
      </w:r>
      <w:r w:rsidR="008447A3">
        <w:rPr>
          <w:lang w:val="es-419"/>
        </w:rPr>
        <w:t>s</w:t>
      </w:r>
      <w:r w:rsidRPr="00756410">
        <w:rPr>
          <w:lang w:val="es-419"/>
        </w:rPr>
        <w:t xml:space="preserve">, </w:t>
      </w:r>
      <w:r w:rsidR="00D53BC8">
        <w:rPr>
          <w:b/>
          <w:lang w:val="es-419"/>
        </w:rPr>
        <w:t xml:space="preserve">un rol que normalmente desempeña </w:t>
      </w:r>
      <w:r w:rsidRPr="00756410">
        <w:rPr>
          <w:b/>
          <w:lang w:val="es-419"/>
        </w:rPr>
        <w:t>el Gerente de Operaciones (o la oficina central</w:t>
      </w:r>
      <w:r w:rsidR="00D53BC8">
        <w:rPr>
          <w:b/>
          <w:lang w:val="es-419"/>
        </w:rPr>
        <w:t>/</w:t>
      </w:r>
      <w:r w:rsidRPr="00756410">
        <w:rPr>
          <w:b/>
          <w:lang w:val="es-419"/>
        </w:rPr>
        <w:t>unidad equivalente),</w:t>
      </w:r>
      <w:r w:rsidRPr="00756410">
        <w:rPr>
          <w:lang w:val="es-419"/>
        </w:rPr>
        <w:t xml:space="preserve"> es responsable de la coordinación general del recuento físico periódico del inventario, la valoración, la presentación de informes y la certificación para fines de informes financieros de acuerdo con </w:t>
      </w:r>
      <w:r w:rsidR="00C9569A">
        <w:rPr>
          <w:lang w:val="es-419"/>
        </w:rPr>
        <w:t>la política de “</w:t>
      </w:r>
      <w:hyperlink r:id="rId121">
        <w:r w:rsidRPr="00756410">
          <w:rPr>
            <w:rStyle w:val="Hyperlink"/>
            <w:i/>
            <w:iCs/>
            <w:lang w:val="es-419"/>
          </w:rPr>
          <w:t>Gestión de Inventario</w:t>
        </w:r>
        <w:r w:rsidR="00C9569A" w:rsidRPr="00756410">
          <w:rPr>
            <w:rStyle w:val="Hyperlink"/>
            <w:i/>
            <w:iCs/>
            <w:lang w:val="es-419"/>
          </w:rPr>
          <w:t>s</w:t>
        </w:r>
        <w:r w:rsidR="00C9569A">
          <w:rPr>
            <w:rStyle w:val="Hyperlink"/>
            <w:lang w:val="es-419"/>
          </w:rPr>
          <w:t>” del</w:t>
        </w:r>
        <w:r w:rsidRPr="00756410">
          <w:rPr>
            <w:rStyle w:val="Hyperlink"/>
            <w:lang w:val="es-419"/>
          </w:rPr>
          <w:t xml:space="preserve"> POPP</w:t>
        </w:r>
      </w:hyperlink>
      <w:r w:rsidRPr="00756410">
        <w:rPr>
          <w:lang w:val="es-419"/>
        </w:rPr>
        <w:t xml:space="preserve"> y las instrucciones y notas de orientación sobre </w:t>
      </w:r>
      <w:r w:rsidRPr="00756410">
        <w:rPr>
          <w:lang w:val="es-419"/>
        </w:rPr>
        <w:lastRenderedPageBreak/>
        <w:t>recuentos de inventario y certificaciones para el final del período emitidas por BMS</w:t>
      </w:r>
      <w:r w:rsidR="006E6C74">
        <w:rPr>
          <w:lang w:val="es-419"/>
        </w:rPr>
        <w:t>/</w:t>
      </w:r>
      <w:r w:rsidRPr="00756410">
        <w:rPr>
          <w:lang w:val="es-419"/>
        </w:rPr>
        <w:t>OFRM</w:t>
      </w:r>
      <w:r w:rsidR="006E6C74">
        <w:rPr>
          <w:lang w:val="es-419"/>
        </w:rPr>
        <w:t>/</w:t>
      </w:r>
      <w:r w:rsidRPr="00756410">
        <w:rPr>
          <w:lang w:val="es-419"/>
        </w:rPr>
        <w:t xml:space="preserve">CFRA. No existe un perfil </w:t>
      </w:r>
      <w:r w:rsidR="006E6C74">
        <w:rPr>
          <w:lang w:val="es-419"/>
        </w:rPr>
        <w:t>de usuario</w:t>
      </w:r>
      <w:r w:rsidR="006E6C74" w:rsidRPr="00756410">
        <w:rPr>
          <w:lang w:val="es-419"/>
        </w:rPr>
        <w:t xml:space="preserve"> </w:t>
      </w:r>
      <w:r w:rsidRPr="00756410">
        <w:rPr>
          <w:lang w:val="es-419"/>
        </w:rPr>
        <w:t xml:space="preserve">de IDAM ni un rol complementario para el </w:t>
      </w:r>
      <w:r w:rsidR="006E6C74">
        <w:rPr>
          <w:lang w:val="es-419"/>
        </w:rPr>
        <w:t>Administrador</w:t>
      </w:r>
      <w:r w:rsidR="006E6C74" w:rsidRPr="00756410">
        <w:rPr>
          <w:lang w:val="es-419"/>
        </w:rPr>
        <w:t xml:space="preserve"> </w:t>
      </w:r>
      <w:r w:rsidRPr="00756410">
        <w:rPr>
          <w:lang w:val="es-419"/>
        </w:rPr>
        <w:t>de Inventario</w:t>
      </w:r>
      <w:r w:rsidR="008447A3">
        <w:rPr>
          <w:lang w:val="es-419"/>
        </w:rPr>
        <w:t>s</w:t>
      </w:r>
      <w:r w:rsidRPr="00756410">
        <w:rPr>
          <w:lang w:val="es-419"/>
        </w:rPr>
        <w:t>, ya que las transacciones de inventario se realizan en el ERP por BMS/GSSC en función de las solicitudes de servicio aprobadas de las oficinas/unidades.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B01ACD" w:rsidRPr="00773863" w14:paraId="37E9CAE1" w14:textId="77777777" w:rsidTr="31435811">
        <w:trPr>
          <w:trHeight w:val="188"/>
          <w:tblHeader/>
        </w:trPr>
        <w:tc>
          <w:tcPr>
            <w:tcW w:w="9900" w:type="dxa"/>
            <w:shd w:val="clear" w:color="auto" w:fill="FFF1CC"/>
          </w:tcPr>
          <w:p w14:paraId="3DE5E75E" w14:textId="6AFB6967" w:rsidR="008E2319" w:rsidRPr="00756410" w:rsidRDefault="006E6C74" w:rsidP="008E2319">
            <w:pPr>
              <w:spacing w:after="0"/>
              <w:rPr>
                <w:b/>
                <w:sz w:val="20"/>
                <w:szCs w:val="20"/>
                <w:lang w:val="es-ES"/>
              </w:rPr>
            </w:pPr>
            <w:r>
              <w:rPr>
                <w:b/>
                <w:sz w:val="20"/>
                <w:szCs w:val="20"/>
                <w:lang w:val="es-ES"/>
              </w:rPr>
              <w:t>Administrador</w:t>
            </w:r>
            <w:r w:rsidRPr="00756410">
              <w:rPr>
                <w:b/>
                <w:sz w:val="20"/>
                <w:szCs w:val="20"/>
                <w:lang w:val="es-ES"/>
              </w:rPr>
              <w:t xml:space="preserve"> </w:t>
            </w:r>
            <w:r w:rsidR="008E2319" w:rsidRPr="00756410">
              <w:rPr>
                <w:b/>
                <w:sz w:val="20"/>
                <w:szCs w:val="20"/>
                <w:lang w:val="es-ES"/>
              </w:rPr>
              <w:t>de inventario</w:t>
            </w:r>
            <w:r w:rsidR="008447A3">
              <w:rPr>
                <w:b/>
                <w:sz w:val="20"/>
                <w:szCs w:val="20"/>
                <w:lang w:val="es-ES"/>
              </w:rPr>
              <w:t>s</w:t>
            </w:r>
            <w:r w:rsidR="008E2319" w:rsidRPr="00756410">
              <w:rPr>
                <w:b/>
                <w:sz w:val="20"/>
                <w:szCs w:val="20"/>
                <w:lang w:val="es-ES"/>
              </w:rPr>
              <w:t>: Responsabilidades de control interno realizadas dentro de cada oficina</w:t>
            </w:r>
            <w:r w:rsidR="0000736A">
              <w:rPr>
                <w:b/>
                <w:sz w:val="20"/>
                <w:szCs w:val="20"/>
                <w:lang w:val="es-ES"/>
              </w:rPr>
              <w:t xml:space="preserve"> o </w:t>
            </w:r>
            <w:r w:rsidR="008E2319" w:rsidRPr="00756410">
              <w:rPr>
                <w:b/>
                <w:sz w:val="20"/>
                <w:szCs w:val="20"/>
                <w:lang w:val="es-ES"/>
              </w:rPr>
              <w:t>unidad</w:t>
            </w:r>
          </w:p>
        </w:tc>
      </w:tr>
      <w:tr w:rsidR="003C2B04" w:rsidRPr="00773863" w14:paraId="19BE5807" w14:textId="77777777" w:rsidTr="31435811">
        <w:trPr>
          <w:trHeight w:val="260"/>
        </w:trPr>
        <w:tc>
          <w:tcPr>
            <w:tcW w:w="9900" w:type="dxa"/>
          </w:tcPr>
          <w:p w14:paraId="69099816" w14:textId="4A077D51" w:rsidR="008E2319" w:rsidRPr="001D31F4" w:rsidRDefault="008E2319" w:rsidP="00756410">
            <w:pPr>
              <w:pStyle w:val="ListParagraph"/>
              <w:widowControl w:val="0"/>
              <w:numPr>
                <w:ilvl w:val="0"/>
                <w:numId w:val="65"/>
              </w:numPr>
              <w:autoSpaceDE w:val="0"/>
              <w:autoSpaceDN w:val="0"/>
              <w:spacing w:after="0" w:line="240" w:lineRule="auto"/>
              <w:ind w:right="20"/>
              <w:jc w:val="both"/>
              <w:rPr>
                <w:sz w:val="20"/>
                <w:szCs w:val="20"/>
                <w:lang w:val="es-419"/>
              </w:rPr>
            </w:pPr>
            <w:r w:rsidRPr="00756410">
              <w:rPr>
                <w:sz w:val="20"/>
                <w:szCs w:val="20"/>
                <w:lang w:val="es-419"/>
              </w:rPr>
              <w:t xml:space="preserve">Realiza la coordinación general del </w:t>
            </w:r>
            <w:r w:rsidR="00CD4D36">
              <w:rPr>
                <w:sz w:val="20"/>
                <w:szCs w:val="20"/>
                <w:lang w:val="es-419"/>
              </w:rPr>
              <w:t>recuento</w:t>
            </w:r>
            <w:r w:rsidR="00CD4D36" w:rsidRPr="00756410">
              <w:rPr>
                <w:sz w:val="20"/>
                <w:szCs w:val="20"/>
                <w:lang w:val="es-419"/>
              </w:rPr>
              <w:t xml:space="preserve"> </w:t>
            </w:r>
            <w:r w:rsidRPr="00756410">
              <w:rPr>
                <w:sz w:val="20"/>
                <w:szCs w:val="20"/>
                <w:lang w:val="es-419"/>
              </w:rPr>
              <w:t>físico periódico del inventario, la valoración, los informes y la certificación para fines de informes financieros, y la aprobación de los ajustes del saldo de inventario, que incluyen: (i) revisión y presentación de informes de control de inventario y certificaciones de inventario a través del Jefe de Oficina/Unidad a BMS/OFRM/CFRA; ii) garantizar que las valoraciones de las existencias se calculen correctamente; y iii) examinar los informes de inventario antes de presentarlos a BMS/GSSC y aprobar todos los ajustes de los saldos de los registros de inventario.</w:t>
            </w:r>
          </w:p>
        </w:tc>
      </w:tr>
    </w:tbl>
    <w:p w14:paraId="3643CEF3" w14:textId="77777777" w:rsidR="008E2319" w:rsidRPr="00756410" w:rsidRDefault="008E2319" w:rsidP="008E2319">
      <w:pPr>
        <w:rPr>
          <w:sz w:val="8"/>
          <w:szCs w:val="8"/>
          <w:lang w:val="es-419"/>
        </w:rPr>
      </w:pPr>
    </w:p>
    <w:p w14:paraId="626701EA" w14:textId="1497FCB8" w:rsidR="008E2319" w:rsidRPr="00756410" w:rsidRDefault="008E2319">
      <w:pPr>
        <w:pStyle w:val="Heading2"/>
        <w:numPr>
          <w:ilvl w:val="1"/>
          <w:numId w:val="92"/>
        </w:numPr>
        <w:spacing w:after="240"/>
        <w:ind w:left="360"/>
        <w:rPr>
          <w:lang w:val="es-419"/>
        </w:rPr>
      </w:pPr>
      <w:bookmarkStart w:id="67" w:name="_Toc134042995"/>
      <w:bookmarkStart w:id="68" w:name="_Toc134042996"/>
      <w:bookmarkStart w:id="69" w:name="7.5_Inventory_Focal_Point"/>
      <w:bookmarkStart w:id="70" w:name="_Toc134134772"/>
      <w:bookmarkStart w:id="71" w:name="_Toc210052773"/>
      <w:bookmarkEnd w:id="67"/>
      <w:bookmarkEnd w:id="68"/>
      <w:bookmarkEnd w:id="69"/>
      <w:r w:rsidRPr="00756410">
        <w:rPr>
          <w:lang w:val="es-419"/>
        </w:rPr>
        <w:t xml:space="preserve">Punto </w:t>
      </w:r>
      <w:r w:rsidR="00555526" w:rsidRPr="00756410">
        <w:rPr>
          <w:lang w:val="es-419"/>
        </w:rPr>
        <w:t>F</w:t>
      </w:r>
      <w:r w:rsidRPr="00756410">
        <w:rPr>
          <w:lang w:val="es-419"/>
        </w:rPr>
        <w:t xml:space="preserve">ocal de </w:t>
      </w:r>
      <w:r w:rsidR="00555526" w:rsidRPr="00756410">
        <w:rPr>
          <w:lang w:val="es-419"/>
        </w:rPr>
        <w:t>In</w:t>
      </w:r>
      <w:r w:rsidRPr="00756410">
        <w:rPr>
          <w:lang w:val="es-419"/>
        </w:rPr>
        <w:t>ventario</w:t>
      </w:r>
      <w:bookmarkEnd w:id="70"/>
      <w:bookmarkEnd w:id="71"/>
    </w:p>
    <w:p w14:paraId="269A99BF" w14:textId="691A3380" w:rsidR="008E2319" w:rsidRPr="00756410" w:rsidRDefault="008E2319" w:rsidP="00756410">
      <w:pPr>
        <w:spacing w:line="240" w:lineRule="auto"/>
        <w:jc w:val="both"/>
        <w:rPr>
          <w:lang w:val="es-419"/>
        </w:rPr>
      </w:pPr>
      <w:r w:rsidRPr="00756410">
        <w:rPr>
          <w:lang w:val="es-419"/>
        </w:rPr>
        <w:t xml:space="preserve">La función de </w:t>
      </w:r>
      <w:r w:rsidR="00555526">
        <w:rPr>
          <w:lang w:val="es-419"/>
        </w:rPr>
        <w:t xml:space="preserve">Punto Focal de </w:t>
      </w:r>
      <w:r w:rsidRPr="00756410">
        <w:rPr>
          <w:lang w:val="es-419"/>
        </w:rPr>
        <w:t>Inventario se refiere a la persona encargada de la gestión cotidiana de los artículos de inventario bajo el control del PNUD que se encuentran en diversos lugares de almacenamiento del PNUD. Por razones prácticas, las unidades de la sede central o l</w:t>
      </w:r>
      <w:r w:rsidR="00066E6C">
        <w:rPr>
          <w:lang w:val="es-419"/>
        </w:rPr>
        <w:t xml:space="preserve">as </w:t>
      </w:r>
      <w:r w:rsidR="004C45AD">
        <w:rPr>
          <w:lang w:val="es-419"/>
        </w:rPr>
        <w:t>oficinas de país</w:t>
      </w:r>
      <w:r w:rsidRPr="00756410">
        <w:rPr>
          <w:lang w:val="es-419"/>
        </w:rPr>
        <w:t xml:space="preserve"> que almacenan artículos de inventario en múltiples ubicaciones pueden designar más de un Punto Focal de Inventario.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B01ACD" w:rsidRPr="00773863" w14:paraId="335AC000" w14:textId="77777777" w:rsidTr="41D73977">
        <w:trPr>
          <w:trHeight w:val="269"/>
          <w:tblHeader/>
        </w:trPr>
        <w:tc>
          <w:tcPr>
            <w:tcW w:w="9900" w:type="dxa"/>
            <w:shd w:val="clear" w:color="auto" w:fill="FFF1CC"/>
          </w:tcPr>
          <w:p w14:paraId="37D2F701" w14:textId="2624F4BB" w:rsidR="008E2319" w:rsidRPr="00756410" w:rsidRDefault="00066E6C" w:rsidP="008E2319">
            <w:pPr>
              <w:spacing w:after="0"/>
              <w:rPr>
                <w:b/>
                <w:sz w:val="20"/>
                <w:szCs w:val="20"/>
                <w:lang w:val="es-ES"/>
              </w:rPr>
            </w:pPr>
            <w:r>
              <w:rPr>
                <w:b/>
                <w:sz w:val="20"/>
                <w:szCs w:val="20"/>
                <w:lang w:val="es-ES"/>
              </w:rPr>
              <w:t xml:space="preserve">Punto Focal </w:t>
            </w:r>
            <w:r w:rsidR="008E2319" w:rsidRPr="00756410">
              <w:rPr>
                <w:b/>
                <w:sz w:val="20"/>
                <w:szCs w:val="20"/>
                <w:lang w:val="es-ES"/>
              </w:rPr>
              <w:t>de inventario: Responsabilidades de control interno realizadas dentro de cada oficina</w:t>
            </w:r>
            <w:r w:rsidR="0000736A">
              <w:rPr>
                <w:b/>
                <w:sz w:val="20"/>
                <w:szCs w:val="20"/>
                <w:lang w:val="es-ES"/>
              </w:rPr>
              <w:t xml:space="preserve"> o </w:t>
            </w:r>
            <w:r w:rsidR="008E2319" w:rsidRPr="00756410">
              <w:rPr>
                <w:b/>
                <w:sz w:val="20"/>
                <w:szCs w:val="20"/>
                <w:lang w:val="es-ES"/>
              </w:rPr>
              <w:t>unidad</w:t>
            </w:r>
          </w:p>
        </w:tc>
      </w:tr>
      <w:tr w:rsidR="003C2B04" w:rsidRPr="00773863" w14:paraId="65AD65B4" w14:textId="77777777" w:rsidTr="41D73977">
        <w:trPr>
          <w:trHeight w:val="98"/>
        </w:trPr>
        <w:tc>
          <w:tcPr>
            <w:tcW w:w="9900" w:type="dxa"/>
          </w:tcPr>
          <w:p w14:paraId="3B848349" w14:textId="72CD6486"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Realiza la gestión diaria de los artículos de inventario bajo el control del PNUD que se mantienen en los lugares de almacenamiento del PNUD.</w:t>
            </w:r>
          </w:p>
        </w:tc>
      </w:tr>
      <w:tr w:rsidR="003C2B04" w:rsidRPr="00773863" w14:paraId="176EE7C5" w14:textId="77777777" w:rsidTr="41D73977">
        <w:trPr>
          <w:trHeight w:val="413"/>
        </w:trPr>
        <w:tc>
          <w:tcPr>
            <w:tcW w:w="9900" w:type="dxa"/>
          </w:tcPr>
          <w:p w14:paraId="48239098" w14:textId="30ADC311"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Garantiza que se lleve a cabo una planificación adecuada y se movilicen los recursos para llevar a cabo recuentos físicos de inventario trimestrales.</w:t>
            </w:r>
          </w:p>
        </w:tc>
      </w:tr>
      <w:tr w:rsidR="003C2B04" w:rsidRPr="00773863" w14:paraId="5EFD9A35" w14:textId="77777777" w:rsidTr="41D73977">
        <w:trPr>
          <w:trHeight w:val="503"/>
        </w:trPr>
        <w:tc>
          <w:tcPr>
            <w:tcW w:w="9900" w:type="dxa"/>
          </w:tcPr>
          <w:p w14:paraId="14BE2E29" w14:textId="2809B9C9"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Garantiza que el inventario en los lugares de almacenamiento que son propiedad del PNUD y/o están controlados por él se contabiliza adecuadamente de acuerdo con la</w:t>
            </w:r>
            <w:r w:rsidR="00B00AA5" w:rsidRPr="00B00AA5">
              <w:rPr>
                <w:sz w:val="20"/>
                <w:szCs w:val="20"/>
                <w:lang w:val="es-419"/>
              </w:rPr>
              <w:t xml:space="preserve"> </w:t>
            </w:r>
            <w:r w:rsidR="00B00AA5" w:rsidRPr="00756410">
              <w:rPr>
                <w:sz w:val="20"/>
                <w:szCs w:val="20"/>
                <w:lang w:val="es-419"/>
              </w:rPr>
              <w:t>política de “</w:t>
            </w:r>
            <w:hyperlink r:id="rId122">
              <w:r w:rsidR="00B00AA5" w:rsidRPr="00756410">
                <w:rPr>
                  <w:rStyle w:val="Hyperlink"/>
                  <w:i/>
                  <w:iCs/>
                  <w:sz w:val="20"/>
                  <w:szCs w:val="20"/>
                  <w:lang w:val="es-419"/>
                </w:rPr>
                <w:t>Gestión de Inventarios</w:t>
              </w:r>
              <w:r w:rsidR="00B00AA5" w:rsidRPr="00756410">
                <w:rPr>
                  <w:rStyle w:val="Hyperlink"/>
                  <w:sz w:val="20"/>
                  <w:szCs w:val="20"/>
                  <w:lang w:val="es-419"/>
                </w:rPr>
                <w:t>” del POPP</w:t>
              </w:r>
            </w:hyperlink>
            <w:r w:rsidR="00B00AA5" w:rsidRPr="00B00AA5">
              <w:rPr>
                <w:sz w:val="20"/>
                <w:szCs w:val="20"/>
                <w:lang w:val="es-419"/>
              </w:rPr>
              <w:t>.</w:t>
            </w:r>
          </w:p>
        </w:tc>
      </w:tr>
      <w:tr w:rsidR="003C2B04" w:rsidRPr="00773863" w14:paraId="405BD330" w14:textId="77777777" w:rsidTr="41D73977">
        <w:trPr>
          <w:trHeight w:val="395"/>
        </w:trPr>
        <w:tc>
          <w:tcPr>
            <w:tcW w:w="9900" w:type="dxa"/>
          </w:tcPr>
          <w:p w14:paraId="4211CFC0" w14:textId="68E574A9" w:rsidR="008E2319" w:rsidRPr="00756410" w:rsidRDefault="008E2319" w:rsidP="00756410">
            <w:pPr>
              <w:pStyle w:val="ListParagraph"/>
              <w:widowControl w:val="0"/>
              <w:numPr>
                <w:ilvl w:val="0"/>
                <w:numId w:val="64"/>
              </w:numPr>
              <w:autoSpaceDE w:val="0"/>
              <w:autoSpaceDN w:val="0"/>
              <w:spacing w:after="0" w:line="240" w:lineRule="auto"/>
              <w:jc w:val="both"/>
              <w:rPr>
                <w:sz w:val="20"/>
                <w:szCs w:val="20"/>
                <w:lang w:val="es-419"/>
              </w:rPr>
            </w:pPr>
            <w:r w:rsidRPr="00756410">
              <w:rPr>
                <w:sz w:val="20"/>
                <w:szCs w:val="20"/>
                <w:lang w:val="es-419"/>
              </w:rPr>
              <w:t xml:space="preserve">En los casos en que los artículos de inventario se mantengan en almacenes de terceros, </w:t>
            </w:r>
            <w:r w:rsidR="00B00AA5">
              <w:rPr>
                <w:sz w:val="20"/>
                <w:szCs w:val="20"/>
                <w:lang w:val="es-419"/>
              </w:rPr>
              <w:t xml:space="preserve">es </w:t>
            </w:r>
            <w:r w:rsidRPr="00756410">
              <w:rPr>
                <w:sz w:val="20"/>
                <w:szCs w:val="20"/>
                <w:lang w:val="es-419"/>
              </w:rPr>
              <w:t>responsable de coordinar con el tercero para garantizar que las políticas y los procedimientos de control del PNUD se apliquen a estos artículos de inventario.</w:t>
            </w:r>
          </w:p>
        </w:tc>
      </w:tr>
      <w:tr w:rsidR="001F636E" w:rsidRPr="00773863" w14:paraId="2C42AF8F" w14:textId="77777777" w:rsidTr="41D73977">
        <w:trPr>
          <w:trHeight w:val="125"/>
        </w:trPr>
        <w:tc>
          <w:tcPr>
            <w:tcW w:w="9900" w:type="dxa"/>
            <w:shd w:val="clear" w:color="auto" w:fill="D9D9D9" w:themeFill="background1" w:themeFillShade="D9"/>
          </w:tcPr>
          <w:p w14:paraId="1DC1BB7F" w14:textId="1829265E" w:rsidR="008E2319" w:rsidRPr="00756410" w:rsidRDefault="008E2319" w:rsidP="00756410">
            <w:pPr>
              <w:spacing w:after="0" w:line="240" w:lineRule="auto"/>
              <w:jc w:val="both"/>
              <w:rPr>
                <w:sz w:val="20"/>
                <w:szCs w:val="20"/>
                <w:lang w:val="es-419"/>
              </w:rPr>
            </w:pPr>
            <w:r w:rsidRPr="00756410">
              <w:rPr>
                <w:b/>
                <w:bCs/>
                <w:sz w:val="20"/>
                <w:szCs w:val="20"/>
                <w:lang w:val="es-419"/>
              </w:rPr>
              <w:t xml:space="preserve">Segregación de funciones requerida: </w:t>
            </w:r>
            <w:r w:rsidR="0007005B" w:rsidRPr="00756410">
              <w:rPr>
                <w:sz w:val="20"/>
                <w:szCs w:val="20"/>
                <w:lang w:val="es-419"/>
              </w:rPr>
              <w:t xml:space="preserve">El Punto Focal de Inventario no debe ser el </w:t>
            </w:r>
            <w:r w:rsidR="001A45D8" w:rsidRPr="00756410">
              <w:rPr>
                <w:sz w:val="20"/>
                <w:szCs w:val="20"/>
                <w:lang w:val="es-ES"/>
              </w:rPr>
              <w:t>Coordinador del Recuento Físico de Inventarios</w:t>
            </w:r>
            <w:r w:rsidR="0007005B" w:rsidRPr="00756410">
              <w:rPr>
                <w:sz w:val="20"/>
                <w:szCs w:val="20"/>
                <w:lang w:val="es-419"/>
              </w:rPr>
              <w:t>.</w:t>
            </w:r>
          </w:p>
        </w:tc>
      </w:tr>
      <w:tr w:rsidR="001F636E" w:rsidRPr="00773863" w14:paraId="186CB7EE" w14:textId="77777777" w:rsidTr="41D73977">
        <w:trPr>
          <w:trHeight w:val="368"/>
        </w:trPr>
        <w:tc>
          <w:tcPr>
            <w:tcW w:w="9900" w:type="dxa"/>
            <w:shd w:val="clear" w:color="auto" w:fill="BFBFBF" w:themeFill="background1" w:themeFillShade="BF"/>
          </w:tcPr>
          <w:p w14:paraId="1555D22D" w14:textId="77777777" w:rsidR="008E2319" w:rsidRPr="00756410" w:rsidRDefault="008E2319" w:rsidP="00756410">
            <w:pPr>
              <w:spacing w:after="0" w:line="240" w:lineRule="auto"/>
              <w:jc w:val="both"/>
              <w:rPr>
                <w:b/>
                <w:sz w:val="20"/>
                <w:szCs w:val="20"/>
                <w:lang w:val="es-419"/>
              </w:rPr>
            </w:pPr>
            <w:r w:rsidRPr="00756410">
              <w:rPr>
                <w:b/>
                <w:bCs/>
                <w:sz w:val="20"/>
                <w:szCs w:val="20"/>
                <w:lang w:val="es-419"/>
              </w:rPr>
              <w:t xml:space="preserve">Conocimientos técnicos requeridos: </w:t>
            </w:r>
            <w:r w:rsidRPr="00756410">
              <w:rPr>
                <w:sz w:val="20"/>
                <w:szCs w:val="20"/>
                <w:lang w:val="es-419"/>
              </w:rPr>
              <w:t>El Punto Focal de Inventario debe ser una persona con conocimientos de Quantum, procedimientos de control interno y contabilidad.</w:t>
            </w:r>
          </w:p>
        </w:tc>
      </w:tr>
    </w:tbl>
    <w:p w14:paraId="1DD8E60D" w14:textId="77777777" w:rsidR="008E2319" w:rsidRPr="00756410" w:rsidRDefault="008E2319" w:rsidP="008E2319">
      <w:pPr>
        <w:rPr>
          <w:sz w:val="8"/>
          <w:szCs w:val="8"/>
          <w:lang w:val="es-419"/>
        </w:rPr>
      </w:pPr>
    </w:p>
    <w:p w14:paraId="24FE4A3B" w14:textId="4D53ACB2" w:rsidR="008E2319" w:rsidRPr="00756410" w:rsidRDefault="008E2319">
      <w:pPr>
        <w:pStyle w:val="Heading2"/>
        <w:numPr>
          <w:ilvl w:val="1"/>
          <w:numId w:val="92"/>
        </w:numPr>
        <w:spacing w:after="240"/>
        <w:ind w:left="360"/>
        <w:rPr>
          <w:lang w:val="es-ES"/>
        </w:rPr>
      </w:pPr>
      <w:bookmarkStart w:id="72" w:name="_Toc134134773"/>
      <w:bookmarkStart w:id="73" w:name="_Toc210052774"/>
      <w:r w:rsidRPr="00756410">
        <w:rPr>
          <w:lang w:val="es-ES"/>
        </w:rPr>
        <w:t>Coordinador de</w:t>
      </w:r>
      <w:r w:rsidR="006B7075">
        <w:rPr>
          <w:lang w:val="es-ES"/>
        </w:rPr>
        <w:t xml:space="preserve">l </w:t>
      </w:r>
      <w:r w:rsidR="00AA2B24">
        <w:rPr>
          <w:lang w:val="es-ES"/>
        </w:rPr>
        <w:t>R</w:t>
      </w:r>
      <w:r w:rsidR="006B7075">
        <w:rPr>
          <w:lang w:val="es-ES"/>
        </w:rPr>
        <w:t>ecuento</w:t>
      </w:r>
      <w:r w:rsidRPr="00756410">
        <w:rPr>
          <w:lang w:val="es-ES"/>
        </w:rPr>
        <w:t xml:space="preserve"> </w:t>
      </w:r>
      <w:r w:rsidR="00AA2B24">
        <w:rPr>
          <w:lang w:val="es-ES"/>
        </w:rPr>
        <w:t>F</w:t>
      </w:r>
      <w:r w:rsidRPr="00756410">
        <w:rPr>
          <w:lang w:val="es-ES"/>
        </w:rPr>
        <w:t xml:space="preserve">ísico de </w:t>
      </w:r>
      <w:r w:rsidR="00AA2B24">
        <w:rPr>
          <w:lang w:val="es-ES"/>
        </w:rPr>
        <w:t>I</w:t>
      </w:r>
      <w:r w:rsidRPr="00756410">
        <w:rPr>
          <w:lang w:val="es-ES"/>
        </w:rPr>
        <w:t>nventario</w:t>
      </w:r>
      <w:bookmarkEnd w:id="72"/>
      <w:bookmarkEnd w:id="73"/>
      <w:r w:rsidR="006B7075">
        <w:rPr>
          <w:lang w:val="es-ES"/>
        </w:rPr>
        <w:t>s</w:t>
      </w:r>
    </w:p>
    <w:p w14:paraId="23DFCBC6" w14:textId="58641F77" w:rsidR="008E2319" w:rsidRPr="00756410" w:rsidRDefault="008E2319" w:rsidP="00756410">
      <w:pPr>
        <w:spacing w:line="240" w:lineRule="auto"/>
        <w:jc w:val="both"/>
        <w:rPr>
          <w:lang w:val="es-419"/>
        </w:rPr>
      </w:pPr>
      <w:r w:rsidRPr="00756410">
        <w:rPr>
          <w:lang w:val="es-419"/>
        </w:rPr>
        <w:t>El Coordinador de</w:t>
      </w:r>
      <w:r w:rsidR="00AA2B24">
        <w:rPr>
          <w:lang w:val="es-419"/>
        </w:rPr>
        <w:t>l Recuento F</w:t>
      </w:r>
      <w:r w:rsidR="00AA2B24">
        <w:rPr>
          <w:lang w:val="es-ES"/>
        </w:rPr>
        <w:t>ísico d</w:t>
      </w:r>
      <w:r w:rsidRPr="00756410">
        <w:rPr>
          <w:lang w:val="es-419"/>
        </w:rPr>
        <w:t xml:space="preserve">e Inventario es la persona designada por el Jefe de Oficina/Unidad a través del Gerente de Operaciones (o el equivalente de la Sede) para coordinar el proceso de </w:t>
      </w:r>
      <w:r w:rsidR="00AA2B24">
        <w:rPr>
          <w:lang w:val="es-419"/>
        </w:rPr>
        <w:t>recuento</w:t>
      </w:r>
      <w:r w:rsidR="00AA2B24" w:rsidRPr="00756410">
        <w:rPr>
          <w:lang w:val="es-419"/>
        </w:rPr>
        <w:t xml:space="preserve"> </w:t>
      </w:r>
      <w:r w:rsidRPr="00756410">
        <w:rPr>
          <w:lang w:val="es-419"/>
        </w:rPr>
        <w:t>físico de todos los artículos de inventario calificados que controla el PNUD.</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B01ACD" w:rsidRPr="00773863" w14:paraId="5E2292B6" w14:textId="77777777" w:rsidTr="41D73977">
        <w:trPr>
          <w:trHeight w:val="314"/>
          <w:tblHeader/>
        </w:trPr>
        <w:tc>
          <w:tcPr>
            <w:tcW w:w="9900" w:type="dxa"/>
            <w:shd w:val="clear" w:color="auto" w:fill="FFF1CC"/>
          </w:tcPr>
          <w:p w14:paraId="1F74C7D2" w14:textId="23D02DF0" w:rsidR="008E2319" w:rsidRPr="00756410" w:rsidRDefault="008E2319" w:rsidP="00480BE9">
            <w:pPr>
              <w:spacing w:after="0" w:line="240" w:lineRule="auto"/>
              <w:rPr>
                <w:b/>
                <w:sz w:val="20"/>
                <w:szCs w:val="20"/>
                <w:lang w:val="es-ES"/>
              </w:rPr>
            </w:pPr>
            <w:r w:rsidRPr="00756410">
              <w:rPr>
                <w:b/>
                <w:sz w:val="20"/>
                <w:szCs w:val="20"/>
                <w:lang w:val="es-ES"/>
              </w:rPr>
              <w:t xml:space="preserve">Coordinador </w:t>
            </w:r>
            <w:r w:rsidR="00AA2B24">
              <w:rPr>
                <w:b/>
                <w:sz w:val="20"/>
                <w:szCs w:val="20"/>
                <w:lang w:val="es-ES"/>
              </w:rPr>
              <w:t xml:space="preserve">del Recuento Físico de Inventarios: </w:t>
            </w:r>
            <w:r w:rsidRPr="00756410">
              <w:rPr>
                <w:b/>
                <w:sz w:val="20"/>
                <w:szCs w:val="20"/>
                <w:lang w:val="es-ES"/>
              </w:rPr>
              <w:t>Responsabilidades de control interno realizadas dentro de cada oficin</w:t>
            </w:r>
            <w:r w:rsidR="0000736A">
              <w:rPr>
                <w:b/>
                <w:sz w:val="20"/>
                <w:szCs w:val="20"/>
                <w:lang w:val="es-ES"/>
              </w:rPr>
              <w:t xml:space="preserve">a o  </w:t>
            </w:r>
            <w:r w:rsidRPr="00756410">
              <w:rPr>
                <w:b/>
                <w:sz w:val="20"/>
                <w:szCs w:val="20"/>
                <w:lang w:val="es-ES"/>
              </w:rPr>
              <w:t>unidad</w:t>
            </w:r>
          </w:p>
        </w:tc>
      </w:tr>
      <w:tr w:rsidR="003C2B04" w:rsidRPr="00773863" w14:paraId="4D66C9FB" w14:textId="77777777" w:rsidTr="41D73977">
        <w:trPr>
          <w:trHeight w:val="539"/>
        </w:trPr>
        <w:tc>
          <w:tcPr>
            <w:tcW w:w="9900" w:type="dxa"/>
          </w:tcPr>
          <w:p w14:paraId="6F633EA2" w14:textId="548AFBAC" w:rsidR="008E2319" w:rsidRPr="00756410" w:rsidRDefault="008E2319" w:rsidP="00756410">
            <w:pPr>
              <w:pStyle w:val="ListParagraph"/>
              <w:widowControl w:val="0"/>
              <w:numPr>
                <w:ilvl w:val="0"/>
                <w:numId w:val="63"/>
              </w:numPr>
              <w:autoSpaceDE w:val="0"/>
              <w:autoSpaceDN w:val="0"/>
              <w:spacing w:after="0" w:line="240" w:lineRule="auto"/>
              <w:jc w:val="both"/>
              <w:rPr>
                <w:sz w:val="20"/>
                <w:szCs w:val="20"/>
                <w:lang w:val="es-419"/>
              </w:rPr>
            </w:pPr>
            <w:r w:rsidRPr="00756410">
              <w:rPr>
                <w:sz w:val="20"/>
                <w:szCs w:val="20"/>
                <w:lang w:val="es-419"/>
              </w:rPr>
              <w:t>Coordina el proceso trimestral de recuento físico de todos los artículos de inventario calificados que controla el PNUD, incluido el establecimiento de un equipo para realizar el recuento físico de los artículos de inventario calificados trimestralmente, utilizando las fichas de inventario y los registros disponibles en cada ubicación de almacenamiento de propiedad del PNUD y/o controlada.</w:t>
            </w:r>
          </w:p>
        </w:tc>
      </w:tr>
      <w:tr w:rsidR="00C27124" w:rsidRPr="00773863" w14:paraId="1B1FAD18" w14:textId="77777777" w:rsidTr="41D73977">
        <w:trPr>
          <w:trHeight w:val="728"/>
        </w:trPr>
        <w:tc>
          <w:tcPr>
            <w:tcW w:w="9900" w:type="dxa"/>
            <w:shd w:val="clear" w:color="auto" w:fill="D9D9D9" w:themeFill="background1" w:themeFillShade="D9"/>
          </w:tcPr>
          <w:p w14:paraId="7B5F8935" w14:textId="244CAC99" w:rsidR="008E2319" w:rsidRPr="00756410" w:rsidRDefault="008E2319" w:rsidP="00756410">
            <w:pPr>
              <w:spacing w:after="0" w:line="240" w:lineRule="auto"/>
              <w:jc w:val="both"/>
              <w:rPr>
                <w:sz w:val="20"/>
                <w:szCs w:val="20"/>
                <w:lang w:val="es-419"/>
              </w:rPr>
            </w:pPr>
            <w:r w:rsidRPr="00756410">
              <w:rPr>
                <w:b/>
                <w:bCs/>
                <w:sz w:val="20"/>
                <w:szCs w:val="20"/>
                <w:lang w:val="es-419"/>
              </w:rPr>
              <w:t>Segregación de funciones requerida:</w:t>
            </w:r>
            <w:r w:rsidRPr="00756410">
              <w:rPr>
                <w:sz w:val="20"/>
                <w:szCs w:val="20"/>
                <w:lang w:val="es-419"/>
              </w:rPr>
              <w:t xml:space="preserve"> El Punto Focal de Inventario no debe ser el Coordinador de</w:t>
            </w:r>
            <w:r w:rsidR="00AA2B24">
              <w:rPr>
                <w:sz w:val="20"/>
                <w:szCs w:val="20"/>
                <w:lang w:val="es-419"/>
              </w:rPr>
              <w:t>l Recuen</w:t>
            </w:r>
            <w:r w:rsidRPr="00756410">
              <w:rPr>
                <w:sz w:val="20"/>
                <w:szCs w:val="20"/>
                <w:lang w:val="es-419"/>
              </w:rPr>
              <w:t>to Físico de Inventario</w:t>
            </w:r>
            <w:r w:rsidR="00AA2B24">
              <w:rPr>
                <w:sz w:val="20"/>
                <w:szCs w:val="20"/>
                <w:lang w:val="es-419"/>
              </w:rPr>
              <w:t>s</w:t>
            </w:r>
            <w:r w:rsidRPr="00756410">
              <w:rPr>
                <w:sz w:val="20"/>
                <w:szCs w:val="20"/>
                <w:lang w:val="es-419"/>
              </w:rPr>
              <w:t xml:space="preserve"> ni ser parte del equipo de </w:t>
            </w:r>
            <w:r w:rsidR="00AA2B24">
              <w:rPr>
                <w:sz w:val="20"/>
                <w:szCs w:val="20"/>
                <w:lang w:val="es-419"/>
              </w:rPr>
              <w:t>recuento</w:t>
            </w:r>
            <w:r w:rsidR="00AA2B24" w:rsidRPr="00756410">
              <w:rPr>
                <w:sz w:val="20"/>
                <w:szCs w:val="20"/>
                <w:lang w:val="es-419"/>
              </w:rPr>
              <w:t xml:space="preserve"> </w:t>
            </w:r>
            <w:r w:rsidRPr="00756410">
              <w:rPr>
                <w:sz w:val="20"/>
                <w:szCs w:val="20"/>
                <w:lang w:val="es-419"/>
              </w:rPr>
              <w:t xml:space="preserve">físico. Además, el Coordinador </w:t>
            </w:r>
            <w:r w:rsidR="00AA2B24">
              <w:rPr>
                <w:sz w:val="20"/>
                <w:szCs w:val="20"/>
                <w:lang w:val="es-419"/>
              </w:rPr>
              <w:t>del Recuento</w:t>
            </w:r>
            <w:r w:rsidRPr="00756410">
              <w:rPr>
                <w:sz w:val="20"/>
                <w:szCs w:val="20"/>
                <w:lang w:val="es-419"/>
              </w:rPr>
              <w:t xml:space="preserve"> Físico de Inventario</w:t>
            </w:r>
            <w:r w:rsidR="00AA2B24">
              <w:rPr>
                <w:sz w:val="20"/>
                <w:szCs w:val="20"/>
                <w:lang w:val="es-419"/>
              </w:rPr>
              <w:t>s</w:t>
            </w:r>
            <w:r w:rsidRPr="00756410">
              <w:rPr>
                <w:sz w:val="20"/>
                <w:szCs w:val="20"/>
                <w:lang w:val="es-419"/>
              </w:rPr>
              <w:t xml:space="preserve"> no debe mantener registros de inventario ni ser responsable de la protección y contabilidad diaria de los artículos de inventario.</w:t>
            </w:r>
          </w:p>
        </w:tc>
      </w:tr>
    </w:tbl>
    <w:p w14:paraId="62788337" w14:textId="77777777" w:rsidR="00EB724F" w:rsidRPr="00756410" w:rsidRDefault="00EB724F" w:rsidP="00EB724F">
      <w:pPr>
        <w:rPr>
          <w:sz w:val="8"/>
          <w:szCs w:val="8"/>
          <w:lang w:val="es-419"/>
        </w:rPr>
      </w:pPr>
      <w:bookmarkStart w:id="74" w:name="_Toc134134778"/>
    </w:p>
    <w:p w14:paraId="344D648B" w14:textId="67BBD5AD" w:rsidR="00EB724F" w:rsidRDefault="007936B7">
      <w:pPr>
        <w:pStyle w:val="Heading1"/>
        <w:numPr>
          <w:ilvl w:val="0"/>
          <w:numId w:val="92"/>
        </w:numPr>
        <w:spacing w:after="240"/>
      </w:pPr>
      <w:bookmarkStart w:id="75" w:name="_Human_Resources"/>
      <w:bookmarkStart w:id="76" w:name="_Toc210052775"/>
      <w:bookmarkEnd w:id="75"/>
      <w:r w:rsidRPr="00976542">
        <w:lastRenderedPageBreak/>
        <w:t xml:space="preserve">Recursos humanos </w:t>
      </w:r>
      <w:bookmarkEnd w:id="76"/>
    </w:p>
    <w:p w14:paraId="6E7B166D" w14:textId="39F9BFC7" w:rsidR="00720EB9" w:rsidRPr="00756410" w:rsidRDefault="006F1180" w:rsidP="00756410">
      <w:pPr>
        <w:spacing w:line="240" w:lineRule="auto"/>
        <w:jc w:val="both"/>
        <w:rPr>
          <w:lang w:val="es-419"/>
        </w:rPr>
      </w:pPr>
      <w:r w:rsidRPr="00756410">
        <w:rPr>
          <w:lang w:val="es-419"/>
        </w:rPr>
        <w:t>La</w:t>
      </w:r>
      <w:r w:rsidRPr="00756410">
        <w:rPr>
          <w:lang w:val="es-ES"/>
        </w:rPr>
        <w:t xml:space="preserve"> política de</w:t>
      </w:r>
      <w:r w:rsidRPr="00756410">
        <w:rPr>
          <w:lang w:val="es-419"/>
        </w:rPr>
        <w:t xml:space="preserve"> </w:t>
      </w:r>
      <w:hyperlink r:id="rId123" w:history="1">
        <w:r>
          <w:rPr>
            <w:rStyle w:val="Hyperlink"/>
            <w:lang w:val="es-419"/>
          </w:rPr>
          <w:t>”</w:t>
        </w:r>
        <w:r w:rsidRPr="00756410">
          <w:rPr>
            <w:rStyle w:val="Hyperlink"/>
            <w:i/>
            <w:iCs/>
            <w:lang w:val="es-419"/>
          </w:rPr>
          <w:t>Gestión de recursos humanos</w:t>
        </w:r>
        <w:r>
          <w:rPr>
            <w:rStyle w:val="Hyperlink"/>
            <w:lang w:val="es-419"/>
          </w:rPr>
          <w:t>”</w:t>
        </w:r>
      </w:hyperlink>
      <w:r w:rsidRPr="00756410">
        <w:rPr>
          <w:lang w:val="es-419"/>
        </w:rPr>
        <w:t xml:space="preserve"> de</w:t>
      </w:r>
      <w:r>
        <w:rPr>
          <w:lang w:val="es-419"/>
        </w:rPr>
        <w:t>l</w:t>
      </w:r>
      <w:r w:rsidRPr="00756410">
        <w:rPr>
          <w:lang w:val="es-419"/>
        </w:rPr>
        <w:t xml:space="preserve"> POPP </w:t>
      </w:r>
      <w:r w:rsidR="00CB77E1" w:rsidRPr="00756410">
        <w:rPr>
          <w:lang w:val="es-419"/>
        </w:rPr>
        <w:t xml:space="preserve">establece las políticas y procedimientos relacionados con los recursos humanos. Además, se puede encontrar una variedad de artículos de conocimiento </w:t>
      </w:r>
      <w:r w:rsidR="00510ACF">
        <w:rPr>
          <w:lang w:val="es-419"/>
        </w:rPr>
        <w:t>de Quantum</w:t>
      </w:r>
      <w:r w:rsidR="00510ACF" w:rsidRPr="00756410">
        <w:rPr>
          <w:lang w:val="es-419"/>
        </w:rPr>
        <w:t xml:space="preserve"> </w:t>
      </w:r>
      <w:r w:rsidR="00CB77E1" w:rsidRPr="00756410">
        <w:rPr>
          <w:lang w:val="es-419"/>
        </w:rPr>
        <w:t xml:space="preserve">en </w:t>
      </w:r>
      <w:r w:rsidR="00207ADE">
        <w:rPr>
          <w:lang w:val="es-419"/>
        </w:rPr>
        <w:t xml:space="preserve">la sección de </w:t>
      </w:r>
      <w:hyperlink r:id="rId124" w:history="1">
        <w:r w:rsidR="00207ADE" w:rsidRPr="00207ADE">
          <w:rPr>
            <w:rStyle w:val="Hyperlink"/>
            <w:lang w:val="es-419"/>
          </w:rPr>
          <w:t>Recursos Humanos</w:t>
        </w:r>
      </w:hyperlink>
      <w:r w:rsidR="00207ADE">
        <w:rPr>
          <w:lang w:val="es-419"/>
        </w:rPr>
        <w:t xml:space="preserve"> de </w:t>
      </w:r>
      <w:r w:rsidR="00CB77E1" w:rsidRPr="00756410">
        <w:rPr>
          <w:lang w:val="es-419"/>
        </w:rPr>
        <w:t xml:space="preserve">UNall </w:t>
      </w:r>
      <w:r w:rsidR="00207ADE">
        <w:rPr>
          <w:lang w:val="es-419"/>
        </w:rPr>
        <w:t>(en inglés)</w:t>
      </w:r>
      <w:r w:rsidR="007A0963" w:rsidRPr="00756410">
        <w:rPr>
          <w:lang w:val="es-419"/>
        </w:rPr>
        <w:t>.</w:t>
      </w:r>
    </w:p>
    <w:p w14:paraId="00EFFA72" w14:textId="653FF724" w:rsidR="00CB77E1" w:rsidRPr="00756410" w:rsidRDefault="00CB77E1" w:rsidP="00756410">
      <w:pPr>
        <w:spacing w:line="240" w:lineRule="auto"/>
        <w:jc w:val="both"/>
        <w:rPr>
          <w:lang w:val="es-419"/>
        </w:rPr>
      </w:pPr>
      <w:r w:rsidRPr="00756410">
        <w:rPr>
          <w:lang w:val="es-419"/>
        </w:rPr>
        <w:t xml:space="preserve">Esta sección de la Guía proporciona una descripción general de los siguientes perfiles </w:t>
      </w:r>
      <w:r w:rsidR="00207ADE">
        <w:rPr>
          <w:lang w:val="es-419"/>
        </w:rPr>
        <w:t>de usuario</w:t>
      </w:r>
      <w:r w:rsidR="00207ADE" w:rsidRPr="00756410">
        <w:rPr>
          <w:lang w:val="es-419"/>
        </w:rPr>
        <w:t xml:space="preserve"> </w:t>
      </w:r>
      <w:r w:rsidR="00E56C13">
        <w:rPr>
          <w:lang w:val="es-419"/>
        </w:rPr>
        <w:t>de Recursos Humanos (HR) en</w:t>
      </w:r>
      <w:r w:rsidRPr="00756410">
        <w:rPr>
          <w:lang w:val="es-419"/>
        </w:rPr>
        <w:t xml:space="preserve"> IDAM que entran en el alcance del ICF: </w:t>
      </w:r>
    </w:p>
    <w:p w14:paraId="4C5249A9" w14:textId="2AE59806" w:rsidR="00CB77E1" w:rsidRPr="00756410" w:rsidRDefault="00CB77E1" w:rsidP="00756410">
      <w:pPr>
        <w:pStyle w:val="ListParagraph"/>
        <w:widowControl w:val="0"/>
        <w:numPr>
          <w:ilvl w:val="0"/>
          <w:numId w:val="32"/>
        </w:numPr>
        <w:autoSpaceDE w:val="0"/>
        <w:autoSpaceDN w:val="0"/>
        <w:spacing w:after="0" w:line="240" w:lineRule="auto"/>
        <w:jc w:val="both"/>
        <w:rPr>
          <w:lang w:val="es-419"/>
        </w:rPr>
      </w:pPr>
      <w:r w:rsidRPr="00756410">
        <w:rPr>
          <w:lang w:val="es-419"/>
        </w:rPr>
        <w:t xml:space="preserve">Administrador de recursos humanos </w:t>
      </w:r>
      <w:r w:rsidR="00070871" w:rsidRPr="00756410">
        <w:rPr>
          <w:lang w:val="es-ES"/>
        </w:rPr>
        <w:t>[</w:t>
      </w:r>
      <w:r w:rsidR="00591A8C" w:rsidRPr="00756410">
        <w:rPr>
          <w:i/>
          <w:iCs/>
          <w:lang w:val="es-ES"/>
        </w:rPr>
        <w:t>HR Administrator</w:t>
      </w:r>
      <w:r w:rsidR="00591A8C">
        <w:rPr>
          <w:lang w:val="es-ES"/>
        </w:rPr>
        <w:t xml:space="preserve">] </w:t>
      </w:r>
      <w:r w:rsidRPr="00756410">
        <w:rPr>
          <w:lang w:val="es-419"/>
        </w:rPr>
        <w:t xml:space="preserve">(en ubicaciones de BMS/GSSC y </w:t>
      </w:r>
      <w:r w:rsidR="00070871">
        <w:rPr>
          <w:lang w:val="es-419"/>
        </w:rPr>
        <w:t>en la Sede/</w:t>
      </w:r>
      <w:r w:rsidRPr="00756410">
        <w:rPr>
          <w:lang w:val="es-419"/>
        </w:rPr>
        <w:t>HQ)</w:t>
      </w:r>
    </w:p>
    <w:p w14:paraId="0BE0AC5B" w14:textId="0D9ED0CF" w:rsidR="00CB77E1" w:rsidRPr="00756410" w:rsidRDefault="00CB77E1" w:rsidP="00756410">
      <w:pPr>
        <w:pStyle w:val="ListParagraph"/>
        <w:widowControl w:val="0"/>
        <w:numPr>
          <w:ilvl w:val="0"/>
          <w:numId w:val="32"/>
        </w:numPr>
        <w:autoSpaceDE w:val="0"/>
        <w:autoSpaceDN w:val="0"/>
        <w:spacing w:after="0" w:line="240" w:lineRule="auto"/>
        <w:jc w:val="both"/>
        <w:rPr>
          <w:lang w:val="es-419"/>
        </w:rPr>
      </w:pPr>
      <w:r w:rsidRPr="00756410">
        <w:rPr>
          <w:lang w:val="es-419"/>
        </w:rPr>
        <w:t xml:space="preserve">Administrador de nómina global </w:t>
      </w:r>
      <w:r w:rsidR="00591A8C">
        <w:rPr>
          <w:lang w:val="es-419"/>
        </w:rPr>
        <w:t>[</w:t>
      </w:r>
      <w:r w:rsidR="00591A8C" w:rsidRPr="00756410">
        <w:rPr>
          <w:i/>
          <w:iCs/>
          <w:lang w:val="es-419"/>
        </w:rPr>
        <w:t>Global Payroll Administrator</w:t>
      </w:r>
      <w:r w:rsidR="00591A8C">
        <w:rPr>
          <w:lang w:val="es-419"/>
        </w:rPr>
        <w:t xml:space="preserve">] </w:t>
      </w:r>
      <w:r w:rsidRPr="00756410">
        <w:rPr>
          <w:lang w:val="es-419"/>
        </w:rPr>
        <w:t xml:space="preserve">(en BMS/GSSC y </w:t>
      </w:r>
      <w:r w:rsidR="006510E3" w:rsidRPr="00756410">
        <w:rPr>
          <w:lang w:val="es-419"/>
        </w:rPr>
        <w:t>unidades de la sede fuera de Nueva York</w:t>
      </w:r>
      <w:r w:rsidR="00591A8C">
        <w:rPr>
          <w:lang w:val="es-419"/>
        </w:rPr>
        <w:t xml:space="preserve"> [</w:t>
      </w:r>
      <w:r w:rsidR="00E92143">
        <w:rPr>
          <w:lang w:val="es-419"/>
        </w:rPr>
        <w:t>“</w:t>
      </w:r>
      <w:r w:rsidR="00591A8C" w:rsidRPr="00756410">
        <w:rPr>
          <w:i/>
          <w:iCs/>
          <w:lang w:val="es-419"/>
        </w:rPr>
        <w:t>Outposted HQ locations</w:t>
      </w:r>
      <w:r w:rsidR="00E92143">
        <w:rPr>
          <w:i/>
          <w:iCs/>
          <w:lang w:val="es-419"/>
        </w:rPr>
        <w:t>”</w:t>
      </w:r>
      <w:r w:rsidR="00591A8C">
        <w:rPr>
          <w:lang w:val="es-419"/>
        </w:rPr>
        <w:t>]</w:t>
      </w:r>
      <w:r w:rsidRPr="00756410">
        <w:rPr>
          <w:lang w:val="es-419"/>
        </w:rPr>
        <w:t>)</w:t>
      </w:r>
    </w:p>
    <w:p w14:paraId="4540D3A9" w14:textId="168EBE0F" w:rsidR="00CB77E1" w:rsidRPr="00756410" w:rsidRDefault="00CB77E1" w:rsidP="00756410">
      <w:pPr>
        <w:pStyle w:val="ListParagraph"/>
        <w:widowControl w:val="0"/>
        <w:numPr>
          <w:ilvl w:val="0"/>
          <w:numId w:val="32"/>
        </w:numPr>
        <w:autoSpaceDE w:val="0"/>
        <w:autoSpaceDN w:val="0"/>
        <w:spacing w:after="0" w:line="240" w:lineRule="auto"/>
        <w:jc w:val="both"/>
        <w:rPr>
          <w:lang w:val="es-419"/>
        </w:rPr>
      </w:pPr>
      <w:r w:rsidRPr="00756410">
        <w:rPr>
          <w:lang w:val="es-419"/>
        </w:rPr>
        <w:t xml:space="preserve">Oficial de Desembolso </w:t>
      </w:r>
      <w:r w:rsidR="00591A8C">
        <w:rPr>
          <w:lang w:val="es-419"/>
        </w:rPr>
        <w:t>–</w:t>
      </w:r>
      <w:r w:rsidRPr="00756410">
        <w:rPr>
          <w:lang w:val="es-419"/>
        </w:rPr>
        <w:t xml:space="preserve"> Nómina</w:t>
      </w:r>
      <w:r w:rsidR="00591A8C">
        <w:rPr>
          <w:lang w:val="es-419"/>
        </w:rPr>
        <w:t xml:space="preserve"> [</w:t>
      </w:r>
      <w:r w:rsidR="00591A8C" w:rsidRPr="00756410">
        <w:rPr>
          <w:i/>
          <w:iCs/>
          <w:lang w:val="es-419"/>
        </w:rPr>
        <w:t>Disbursing Officer – Payroll</w:t>
      </w:r>
      <w:r w:rsidR="00591A8C">
        <w:rPr>
          <w:lang w:val="es-419"/>
        </w:rPr>
        <w:t>]</w:t>
      </w:r>
      <w:r w:rsidRPr="00756410">
        <w:rPr>
          <w:lang w:val="es-419"/>
        </w:rPr>
        <w:t xml:space="preserve"> (en BMS / GSSC y </w:t>
      </w:r>
      <w:r w:rsidR="006510E3" w:rsidRPr="00756410">
        <w:rPr>
          <w:lang w:val="es-419"/>
        </w:rPr>
        <w:t>unidades de la sede fuera de Nueva York</w:t>
      </w:r>
      <w:r w:rsidR="00591A8C">
        <w:rPr>
          <w:lang w:val="es-419"/>
        </w:rPr>
        <w:t xml:space="preserve"> </w:t>
      </w:r>
      <w:r w:rsidR="00E92143">
        <w:rPr>
          <w:lang w:val="es-419"/>
        </w:rPr>
        <w:t>[“</w:t>
      </w:r>
      <w:r w:rsidR="00591A8C" w:rsidRPr="00914285">
        <w:rPr>
          <w:i/>
          <w:iCs/>
          <w:lang w:val="es-419"/>
        </w:rPr>
        <w:t>Outposted HQ locations</w:t>
      </w:r>
      <w:r w:rsidR="00E92143">
        <w:rPr>
          <w:i/>
          <w:iCs/>
          <w:lang w:val="es-419"/>
        </w:rPr>
        <w:t>”]</w:t>
      </w:r>
      <w:r w:rsidRPr="00756410">
        <w:rPr>
          <w:lang w:val="es-419"/>
        </w:rPr>
        <w:t>)</w:t>
      </w:r>
    </w:p>
    <w:p w14:paraId="488033CD" w14:textId="7D1E0D9A" w:rsidR="00CB77E1" w:rsidRPr="00773863" w:rsidRDefault="00CB77E1" w:rsidP="4877069F">
      <w:pPr>
        <w:pStyle w:val="ListParagraph"/>
        <w:widowControl w:val="0"/>
        <w:numPr>
          <w:ilvl w:val="0"/>
          <w:numId w:val="32"/>
        </w:numPr>
        <w:autoSpaceDE w:val="0"/>
        <w:autoSpaceDN w:val="0"/>
        <w:spacing w:line="240" w:lineRule="auto"/>
        <w:jc w:val="both"/>
        <w:rPr>
          <w:lang w:val="es-419"/>
        </w:rPr>
      </w:pPr>
      <w:r w:rsidRPr="00773863">
        <w:rPr>
          <w:lang w:val="es-419"/>
        </w:rPr>
        <w:t xml:space="preserve">Varios perfiles de administración de puestos (incluidos perfiles en oficinas/unidades, oficinas, BMS/GSSC y </w:t>
      </w:r>
      <w:r w:rsidR="008756A1" w:rsidRPr="00773863">
        <w:rPr>
          <w:lang w:val="es-419"/>
        </w:rPr>
        <w:t>unidades de la sede fuera de Nueva York</w:t>
      </w:r>
      <w:r w:rsidR="00591A8C" w:rsidRPr="00773863">
        <w:rPr>
          <w:lang w:val="es-419"/>
        </w:rPr>
        <w:t xml:space="preserve"> </w:t>
      </w:r>
      <w:r w:rsidR="00E92143" w:rsidRPr="00773863">
        <w:rPr>
          <w:lang w:val="es-419"/>
        </w:rPr>
        <w:t>[“</w:t>
      </w:r>
      <w:r w:rsidR="00591A8C" w:rsidRPr="00773863">
        <w:rPr>
          <w:i/>
          <w:iCs/>
          <w:lang w:val="es-419"/>
        </w:rPr>
        <w:t>Outposted HQ locations</w:t>
      </w:r>
      <w:r w:rsidR="00E92143" w:rsidRPr="00773863">
        <w:rPr>
          <w:i/>
          <w:iCs/>
          <w:lang w:val="es-419"/>
        </w:rPr>
        <w:t>”]</w:t>
      </w:r>
      <w:r w:rsidR="00591A8C" w:rsidRPr="00773863">
        <w:rPr>
          <w:lang w:val="es-419"/>
        </w:rPr>
        <w:t xml:space="preserve"> </w:t>
      </w:r>
      <w:r w:rsidRPr="00773863">
        <w:rPr>
          <w:lang w:val="es-419"/>
        </w:rPr>
        <w:t>)</w:t>
      </w:r>
    </w:p>
    <w:p w14:paraId="5C7BFF33" w14:textId="04FCCA14" w:rsidR="00903BED" w:rsidRPr="00756410" w:rsidRDefault="00903BED" w:rsidP="00756410">
      <w:pPr>
        <w:spacing w:line="240" w:lineRule="auto"/>
        <w:jc w:val="both"/>
        <w:rPr>
          <w:lang w:val="es-419"/>
        </w:rPr>
      </w:pPr>
      <w:r w:rsidRPr="00756410">
        <w:rPr>
          <w:lang w:val="es-419"/>
        </w:rPr>
        <w:t xml:space="preserve">Todos los demás perfiles </w:t>
      </w:r>
      <w:r w:rsidR="00E56C13">
        <w:rPr>
          <w:lang w:val="es-419"/>
        </w:rPr>
        <w:t xml:space="preserve">de usuario </w:t>
      </w:r>
      <w:r w:rsidRPr="00756410">
        <w:rPr>
          <w:lang w:val="es-419"/>
        </w:rPr>
        <w:t xml:space="preserve">y roles de recursos humanos no entran en el alcance del ICF, ya que no implican el compromiso, la verificación o el desembolso de fondos. </w:t>
      </w:r>
    </w:p>
    <w:p w14:paraId="742CC676" w14:textId="094F948B" w:rsidR="009D421C" w:rsidRPr="00756410" w:rsidRDefault="0064313F" w:rsidP="00756410">
      <w:pPr>
        <w:spacing w:line="240" w:lineRule="auto"/>
        <w:jc w:val="both"/>
        <w:rPr>
          <w:color w:val="ED7D31" w:themeColor="accent2"/>
          <w:lang w:val="es-419"/>
        </w:rPr>
      </w:pPr>
      <w:r w:rsidRPr="00756410">
        <w:rPr>
          <w:lang w:val="es-419"/>
        </w:rPr>
        <w:t xml:space="preserve">Esta sección de la Guía también ofrece una visión general de las funciones desempeñadas por los </w:t>
      </w:r>
      <w:r w:rsidR="00EA51EA">
        <w:rPr>
          <w:lang w:val="es-419"/>
        </w:rPr>
        <w:t>Puntos Focales/Coordinadores Locales</w:t>
      </w:r>
      <w:r w:rsidRPr="00756410">
        <w:rPr>
          <w:lang w:val="es-419"/>
        </w:rPr>
        <w:t xml:space="preserve"> de Recursos Humanos (en oficinas/unidades). Este papel no entra en el ámbito de aplicación de la ICF. Los Puntos Focales Locales de RRHH (en oficinas/unidades) pueden tener varios perfiles de RRHH para cumplir con diferentes acciones de RRHH. Consulte el </w:t>
      </w:r>
      <w:hyperlink w:anchor="_Annex_2:_Overview" w:history="1">
        <w:r w:rsidR="00CB77E1" w:rsidRPr="00756410">
          <w:rPr>
            <w:rStyle w:val="Hyperlink"/>
            <w:lang w:val="es-419"/>
          </w:rPr>
          <w:t>Anexo 2</w:t>
        </w:r>
      </w:hyperlink>
      <w:r w:rsidR="00CB77E1" w:rsidRPr="00756410">
        <w:rPr>
          <w:color w:val="ED7D31" w:themeColor="accent2"/>
          <w:lang w:val="es-419"/>
        </w:rPr>
        <w:t xml:space="preserve"> </w:t>
      </w:r>
      <w:r w:rsidR="00CB77E1" w:rsidRPr="00756410">
        <w:rPr>
          <w:lang w:val="es-419"/>
        </w:rPr>
        <w:t xml:space="preserve">para obtener una lista completa de los perfiles </w:t>
      </w:r>
      <w:r w:rsidR="00E56C13">
        <w:rPr>
          <w:lang w:val="es-419"/>
        </w:rPr>
        <w:t>de usuario de Recursos Humanos (HR)</w:t>
      </w:r>
      <w:r w:rsidR="00E56C13" w:rsidRPr="00756410">
        <w:rPr>
          <w:lang w:val="es-419"/>
        </w:rPr>
        <w:t xml:space="preserve"> </w:t>
      </w:r>
      <w:r w:rsidR="00CB77E1" w:rsidRPr="00756410">
        <w:rPr>
          <w:lang w:val="es-419"/>
        </w:rPr>
        <w:t>de IDAM y su propósito, incluido si pueden asignarse al personal</w:t>
      </w:r>
      <w:r w:rsidR="00383CDB">
        <w:rPr>
          <w:lang w:val="es-419"/>
        </w:rPr>
        <w:t xml:space="preserve"> funcionario (“</w:t>
      </w:r>
      <w:r w:rsidR="00383CDB" w:rsidRPr="00756410">
        <w:rPr>
          <w:i/>
          <w:iCs/>
          <w:lang w:val="es-419"/>
        </w:rPr>
        <w:t>Staff</w:t>
      </w:r>
      <w:r w:rsidR="00383CDB">
        <w:rPr>
          <w:lang w:val="es-419"/>
        </w:rPr>
        <w:t>”) o a personal no funcionario (“</w:t>
      </w:r>
      <w:r w:rsidR="00383CDB" w:rsidRPr="00756410">
        <w:rPr>
          <w:i/>
          <w:iCs/>
          <w:lang w:val="es-419"/>
        </w:rPr>
        <w:t>non-staff</w:t>
      </w:r>
      <w:r w:rsidR="00383CDB">
        <w:rPr>
          <w:lang w:val="es-419"/>
        </w:rPr>
        <w:t>”)</w:t>
      </w:r>
      <w:r w:rsidR="00CB77E1" w:rsidRPr="00756410">
        <w:rPr>
          <w:lang w:val="es-419"/>
        </w:rPr>
        <w:t>.</w:t>
      </w:r>
    </w:p>
    <w:p w14:paraId="7EA79C64" w14:textId="4D0250D7" w:rsidR="00CB77E1" w:rsidRDefault="00ED4582">
      <w:pPr>
        <w:pStyle w:val="Heading2"/>
        <w:numPr>
          <w:ilvl w:val="1"/>
          <w:numId w:val="92"/>
        </w:numPr>
        <w:spacing w:after="240"/>
        <w:ind w:left="360"/>
      </w:pPr>
      <w:bookmarkStart w:id="77" w:name="_Toc210052776"/>
      <w:r>
        <w:t xml:space="preserve">Punto </w:t>
      </w:r>
      <w:r w:rsidR="00E83444">
        <w:t>F</w:t>
      </w:r>
      <w:r>
        <w:t>ocal de RRHH</w:t>
      </w:r>
      <w:bookmarkEnd w:id="77"/>
    </w:p>
    <w:p w14:paraId="18BE8323" w14:textId="3A012E15" w:rsidR="00CB77E1" w:rsidRPr="00756410" w:rsidRDefault="00C3389C" w:rsidP="00756410">
      <w:pPr>
        <w:spacing w:line="240" w:lineRule="auto"/>
        <w:jc w:val="both"/>
        <w:rPr>
          <w:lang w:val="es-419"/>
        </w:rPr>
      </w:pPr>
      <w:r w:rsidRPr="00756410">
        <w:rPr>
          <w:lang w:val="es-419"/>
        </w:rPr>
        <w:t xml:space="preserve">Las unidades de RRHH de </w:t>
      </w:r>
      <w:r w:rsidR="00E83444">
        <w:rPr>
          <w:lang w:val="es-419"/>
        </w:rPr>
        <w:t xml:space="preserve">las </w:t>
      </w:r>
      <w:r w:rsidR="0018645E">
        <w:rPr>
          <w:lang w:val="es-419"/>
        </w:rPr>
        <w:t xml:space="preserve">oficinas de país </w:t>
      </w:r>
      <w:r w:rsidRPr="00756410">
        <w:rPr>
          <w:lang w:val="es-419"/>
        </w:rPr>
        <w:t>apoyan a la dirección de</w:t>
      </w:r>
      <w:r w:rsidR="00E83444">
        <w:rPr>
          <w:lang w:val="es-419"/>
        </w:rPr>
        <w:t xml:space="preserve"> la</w:t>
      </w:r>
      <w:r w:rsidRPr="00756410">
        <w:rPr>
          <w:lang w:val="es-419"/>
        </w:rPr>
        <w:t xml:space="preserve"> </w:t>
      </w:r>
      <w:r w:rsidR="0018645E">
        <w:rPr>
          <w:lang w:val="es-419"/>
        </w:rPr>
        <w:t>oficina de país</w:t>
      </w:r>
      <w:r w:rsidR="0018645E" w:rsidRPr="0018645E" w:rsidDel="0018645E">
        <w:rPr>
          <w:lang w:val="es-419"/>
        </w:rPr>
        <w:t xml:space="preserve"> </w:t>
      </w:r>
      <w:r w:rsidRPr="00756410">
        <w:rPr>
          <w:lang w:val="es-419"/>
        </w:rPr>
        <w:t xml:space="preserve">para garantizar que la oficina/unidad cuente con personal de alta calidad y comprometido que reciba la orientación, la retroalimentación y el desarrollo que necesitan para contribuir plenamente a la agenda de </w:t>
      </w:r>
      <w:r w:rsidR="00E83444">
        <w:rPr>
          <w:lang w:val="es-419"/>
        </w:rPr>
        <w:t xml:space="preserve">la </w:t>
      </w:r>
      <w:r w:rsidR="0018645E">
        <w:rPr>
          <w:lang w:val="es-419"/>
        </w:rPr>
        <w:t>oficinas de país</w:t>
      </w:r>
      <w:r w:rsidR="0018645E" w:rsidRPr="0018645E" w:rsidDel="0018645E">
        <w:rPr>
          <w:lang w:val="es-419"/>
        </w:rPr>
        <w:t xml:space="preserve"> </w:t>
      </w:r>
      <w:r w:rsidRPr="00756410">
        <w:rPr>
          <w:lang w:val="es-419"/>
        </w:rPr>
        <w:t xml:space="preserve">y a los Objetivos de Desarrollo Sostenible. </w:t>
      </w:r>
      <w:r w:rsidR="00E83444">
        <w:rPr>
          <w:lang w:val="es-419"/>
        </w:rPr>
        <w:t>Como parte de su</w:t>
      </w:r>
      <w:r w:rsidR="00845014">
        <w:rPr>
          <w:lang w:val="es-419"/>
        </w:rPr>
        <w:t xml:space="preserve"> rol g</w:t>
      </w:r>
      <w:r w:rsidRPr="00756410">
        <w:rPr>
          <w:lang w:val="es-419"/>
        </w:rPr>
        <w:t>arantiza</w:t>
      </w:r>
      <w:r w:rsidR="00845014">
        <w:rPr>
          <w:lang w:val="es-419"/>
        </w:rPr>
        <w:t>n</w:t>
      </w:r>
      <w:r w:rsidRPr="00756410">
        <w:rPr>
          <w:lang w:val="es-419"/>
        </w:rPr>
        <w:t>: (i) la implementación efectiva de estrategias, políticas y procesos de recursos humanos y un sistema de gestión de recursos humanos que funcione bien; ii) la gestión eficaz de los servicios de recursos humanos, incluida la contratación, la dotación de personal y las prestaciones; (iii)</w:t>
      </w:r>
      <w:r w:rsidR="00845014">
        <w:rPr>
          <w:lang w:val="es-419"/>
        </w:rPr>
        <w:t xml:space="preserve"> la</w:t>
      </w:r>
      <w:r w:rsidRPr="00756410">
        <w:rPr>
          <w:lang w:val="es-419"/>
        </w:rPr>
        <w:t xml:space="preserve"> gestión adecuada del desempeño del personal, gestión del talento y desarrollo de carrera; y iv) la facilitación de la creación y el intercambio de conocimientos en la </w:t>
      </w:r>
      <w:r w:rsidR="00845014">
        <w:rPr>
          <w:lang w:val="es-419"/>
        </w:rPr>
        <w:t>CO</w:t>
      </w:r>
      <w:r w:rsidRPr="00756410">
        <w:rPr>
          <w:lang w:val="es-419"/>
        </w:rPr>
        <w:t>. Con respecto a la prestación de servicios de recursos humanos, los Puntos Focales de Recursos Humanos pueden tener las siguientes responsabilidades clave:</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C27124" w:rsidRPr="00773863" w14:paraId="3164B885" w14:textId="7A432C4B" w:rsidTr="363CA695">
        <w:trPr>
          <w:trHeight w:val="233"/>
          <w:tblHeader/>
        </w:trPr>
        <w:tc>
          <w:tcPr>
            <w:tcW w:w="9990" w:type="dxa"/>
            <w:shd w:val="clear" w:color="auto" w:fill="FFF1CC"/>
          </w:tcPr>
          <w:p w14:paraId="7BE8E9F8" w14:textId="03B9C321" w:rsidR="003F72B1" w:rsidRPr="00756410" w:rsidRDefault="003F72B1" w:rsidP="00C3389C">
            <w:pPr>
              <w:spacing w:after="0"/>
              <w:rPr>
                <w:b/>
                <w:color w:val="ED7D31" w:themeColor="accent2"/>
                <w:sz w:val="20"/>
                <w:szCs w:val="20"/>
                <w:lang w:val="es-419"/>
              </w:rPr>
            </w:pPr>
            <w:r w:rsidRPr="00756410">
              <w:rPr>
                <w:b/>
                <w:bCs/>
                <w:sz w:val="20"/>
                <w:szCs w:val="20"/>
                <w:lang w:val="es-419"/>
              </w:rPr>
              <w:t xml:space="preserve">Puntos focales de recursos humanos: Funciones realizadas en </w:t>
            </w:r>
            <w:r w:rsidR="00A421E5" w:rsidRPr="00A421E5">
              <w:rPr>
                <w:b/>
                <w:bCs/>
                <w:sz w:val="20"/>
                <w:szCs w:val="20"/>
                <w:lang w:val="es-419"/>
              </w:rPr>
              <w:t>cada oficina</w:t>
            </w:r>
            <w:r w:rsidR="00A421E5" w:rsidRPr="00756410">
              <w:rPr>
                <w:b/>
                <w:bCs/>
                <w:sz w:val="20"/>
                <w:szCs w:val="20"/>
                <w:lang w:val="es-419"/>
              </w:rPr>
              <w:t xml:space="preserve"> de país</w:t>
            </w:r>
            <w:r w:rsidR="00A421E5" w:rsidRPr="00A421E5" w:rsidDel="00A421E5">
              <w:rPr>
                <w:b/>
                <w:bCs/>
                <w:sz w:val="20"/>
                <w:szCs w:val="20"/>
                <w:lang w:val="es-419"/>
              </w:rPr>
              <w:t xml:space="preserve"> </w:t>
            </w:r>
            <w:r w:rsidRPr="00756410">
              <w:rPr>
                <w:b/>
                <w:bCs/>
                <w:sz w:val="20"/>
                <w:szCs w:val="20"/>
                <w:lang w:val="es-419"/>
              </w:rPr>
              <w:t xml:space="preserve">y </w:t>
            </w:r>
            <w:r w:rsidR="00D66013" w:rsidRPr="00756410">
              <w:rPr>
                <w:b/>
                <w:bCs/>
                <w:sz w:val="20"/>
                <w:szCs w:val="20"/>
                <w:lang w:val="es-419"/>
              </w:rPr>
              <w:t>unida</w:t>
            </w:r>
            <w:r w:rsidR="00A421E5">
              <w:rPr>
                <w:b/>
                <w:bCs/>
                <w:sz w:val="20"/>
                <w:szCs w:val="20"/>
                <w:lang w:val="es-419"/>
              </w:rPr>
              <w:t>d</w:t>
            </w:r>
            <w:r w:rsidR="00D66013" w:rsidRPr="00756410">
              <w:rPr>
                <w:b/>
                <w:bCs/>
                <w:sz w:val="20"/>
                <w:szCs w:val="20"/>
                <w:lang w:val="es-419"/>
              </w:rPr>
              <w:t xml:space="preserve"> de la sede fuera de Nueva York</w:t>
            </w:r>
          </w:p>
        </w:tc>
      </w:tr>
      <w:tr w:rsidR="00BD3938" w:rsidRPr="00773863" w14:paraId="3D1F8CA8" w14:textId="76E5FA81" w:rsidTr="363CA695">
        <w:trPr>
          <w:trHeight w:val="1214"/>
        </w:trPr>
        <w:tc>
          <w:tcPr>
            <w:tcW w:w="9990" w:type="dxa"/>
          </w:tcPr>
          <w:p w14:paraId="5248F59F" w14:textId="5FF05EEC" w:rsidR="005D0826" w:rsidRPr="00756410" w:rsidRDefault="003F72B1" w:rsidP="00756410">
            <w:pPr>
              <w:pStyle w:val="ListParagraph"/>
              <w:widowControl w:val="0"/>
              <w:numPr>
                <w:ilvl w:val="0"/>
                <w:numId w:val="62"/>
              </w:numPr>
              <w:autoSpaceDE w:val="0"/>
              <w:autoSpaceDN w:val="0"/>
              <w:spacing w:after="0" w:line="240" w:lineRule="auto"/>
              <w:jc w:val="both"/>
              <w:rPr>
                <w:b/>
                <w:sz w:val="20"/>
                <w:szCs w:val="20"/>
                <w:lang w:val="es-419"/>
              </w:rPr>
            </w:pPr>
            <w:r w:rsidRPr="00756410">
              <w:rPr>
                <w:b/>
                <w:bCs/>
                <w:sz w:val="20"/>
                <w:szCs w:val="20"/>
                <w:lang w:val="es-419"/>
              </w:rPr>
              <w:t>Gestionar las contrataciones en coordinación con</w:t>
            </w:r>
            <w:r w:rsidR="00D52A7A">
              <w:rPr>
                <w:b/>
                <w:bCs/>
                <w:sz w:val="20"/>
                <w:szCs w:val="20"/>
                <w:lang w:val="es-419"/>
              </w:rPr>
              <w:t xml:space="preserve"> el</w:t>
            </w:r>
            <w:r w:rsidRPr="00756410">
              <w:rPr>
                <w:b/>
                <w:bCs/>
                <w:sz w:val="20"/>
                <w:szCs w:val="20"/>
                <w:lang w:val="es-419"/>
              </w:rPr>
              <w:t xml:space="preserve"> BMS/GSSC y los gerentes de contratación: </w:t>
            </w:r>
            <w:r w:rsidRPr="00756410">
              <w:rPr>
                <w:sz w:val="20"/>
                <w:szCs w:val="20"/>
                <w:lang w:val="es-419"/>
              </w:rPr>
              <w:t xml:space="preserve">incluida la actualización de las descripciones de puestos, garantizar la clasificación adecuada de los puestos, preparar anuncios de vacantes, seleccionar candidatos, organizar y presidir paneles de entrevistas, diseñar estrategias de contratación y establecer un sistema de supervisión de la contratación, presentar casos de revisión de cumplimiento y gestionar las listas locales según las acciones delegadas a </w:t>
            </w:r>
            <w:r w:rsidR="001E7035">
              <w:rPr>
                <w:sz w:val="20"/>
                <w:szCs w:val="20"/>
                <w:lang w:val="es-419"/>
              </w:rPr>
              <w:t xml:space="preserve">la </w:t>
            </w:r>
            <w:r w:rsidRPr="00756410">
              <w:rPr>
                <w:sz w:val="20"/>
                <w:szCs w:val="20"/>
                <w:lang w:val="es-419"/>
              </w:rPr>
              <w:t>CO. Supervisar la contratación en el marco de los proyectos del PNUD y facilitar reclutamiento a solicitud de agencias asociadas.</w:t>
            </w:r>
          </w:p>
          <w:p w14:paraId="00078FAD" w14:textId="3BBFDB4F" w:rsidR="00903BED" w:rsidRPr="00756410" w:rsidRDefault="00903BED" w:rsidP="00756410">
            <w:pPr>
              <w:pStyle w:val="ListParagraph"/>
              <w:widowControl w:val="0"/>
              <w:numPr>
                <w:ilvl w:val="0"/>
                <w:numId w:val="62"/>
              </w:numPr>
              <w:autoSpaceDE w:val="0"/>
              <w:autoSpaceDN w:val="0"/>
              <w:spacing w:after="0" w:line="240" w:lineRule="auto"/>
              <w:jc w:val="both"/>
              <w:rPr>
                <w:b/>
                <w:color w:val="ED7D31" w:themeColor="accent2"/>
                <w:sz w:val="20"/>
                <w:szCs w:val="20"/>
                <w:lang w:val="es-419"/>
              </w:rPr>
            </w:pPr>
            <w:r w:rsidRPr="00756410">
              <w:rPr>
                <w:rStyle w:val="cf01"/>
                <w:rFonts w:asciiTheme="minorHAnsi" w:hAnsiTheme="minorHAnsi" w:cstheme="minorBidi"/>
                <w:sz w:val="20"/>
                <w:szCs w:val="20"/>
                <w:lang w:val="es-419"/>
              </w:rPr>
              <w:t xml:space="preserve">En el caso de las contrataciones realizadas por el BMS/GSSC, todos los pasos mencionados anteriormente, desde la preparación de la vacante en adelante, son gestionados por el BMS/GSSC y no por el </w:t>
            </w:r>
            <w:r w:rsidR="005D0826">
              <w:rPr>
                <w:rStyle w:val="cf01"/>
                <w:rFonts w:asciiTheme="minorHAnsi" w:hAnsiTheme="minorHAnsi" w:cstheme="minorBidi"/>
                <w:sz w:val="20"/>
                <w:szCs w:val="20"/>
                <w:lang w:val="es-419"/>
              </w:rPr>
              <w:t>Punto Focal</w:t>
            </w:r>
            <w:r w:rsidR="005D0826" w:rsidRPr="00756410">
              <w:rPr>
                <w:rStyle w:val="cf01"/>
                <w:rFonts w:asciiTheme="minorHAnsi" w:hAnsiTheme="minorHAnsi" w:cstheme="minorBidi"/>
                <w:sz w:val="20"/>
                <w:szCs w:val="20"/>
                <w:lang w:val="es-419"/>
              </w:rPr>
              <w:t xml:space="preserve"> </w:t>
            </w:r>
            <w:r w:rsidRPr="00756410">
              <w:rPr>
                <w:rStyle w:val="cf01"/>
                <w:rFonts w:asciiTheme="minorHAnsi" w:hAnsiTheme="minorHAnsi" w:cstheme="minorBidi"/>
                <w:sz w:val="20"/>
                <w:szCs w:val="20"/>
                <w:lang w:val="es-419"/>
              </w:rPr>
              <w:t>de Recursos Humanos de</w:t>
            </w:r>
            <w:r w:rsidR="005D0826">
              <w:rPr>
                <w:rStyle w:val="cf01"/>
                <w:rFonts w:asciiTheme="minorHAnsi" w:hAnsiTheme="minorHAnsi" w:cstheme="minorBidi"/>
                <w:sz w:val="20"/>
                <w:szCs w:val="20"/>
                <w:lang w:val="es-419"/>
              </w:rPr>
              <w:t xml:space="preserve"> la</w:t>
            </w:r>
            <w:r w:rsidRPr="00756410">
              <w:rPr>
                <w:rStyle w:val="cf01"/>
                <w:rFonts w:asciiTheme="minorHAnsi" w:hAnsiTheme="minorHAnsi" w:cstheme="minorBidi"/>
                <w:sz w:val="20"/>
                <w:szCs w:val="20"/>
                <w:lang w:val="es-419"/>
              </w:rPr>
              <w:t xml:space="preserve"> CO, incluido el acceso a las solicitudes (desde la preparación de</w:t>
            </w:r>
            <w:r w:rsidR="008D0692">
              <w:rPr>
                <w:rStyle w:val="cf01"/>
                <w:rFonts w:asciiTheme="minorHAnsi" w:hAnsiTheme="minorHAnsi" w:cstheme="minorBidi"/>
                <w:sz w:val="20"/>
                <w:szCs w:val="20"/>
                <w:lang w:val="es-419"/>
              </w:rPr>
              <w:t>l anuncio de la vacante-AV (VA por sus siglas en ingl</w:t>
            </w:r>
            <w:r w:rsidR="008D0692">
              <w:rPr>
                <w:rStyle w:val="cf01"/>
                <w:rFonts w:asciiTheme="minorHAnsi" w:hAnsiTheme="minorHAnsi" w:cstheme="minorBidi"/>
                <w:sz w:val="20"/>
                <w:szCs w:val="20"/>
                <w:lang w:val="es-ES"/>
              </w:rPr>
              <w:t>é</w:t>
            </w:r>
            <w:r w:rsidR="008D0692">
              <w:rPr>
                <w:rStyle w:val="cf01"/>
                <w:rFonts w:asciiTheme="minorHAnsi" w:hAnsiTheme="minorHAnsi" w:cstheme="minorBidi"/>
                <w:sz w:val="20"/>
                <w:szCs w:val="20"/>
                <w:lang w:val="es-419"/>
              </w:rPr>
              <w:t xml:space="preserve">s) </w:t>
            </w:r>
            <w:r w:rsidRPr="00756410">
              <w:rPr>
                <w:rStyle w:val="cf01"/>
                <w:rFonts w:asciiTheme="minorHAnsi" w:hAnsiTheme="minorHAnsi" w:cstheme="minorBidi"/>
                <w:sz w:val="20"/>
                <w:szCs w:val="20"/>
                <w:lang w:val="es-419"/>
              </w:rPr>
              <w:t>hasta la revisión del cumplimiento).</w:t>
            </w:r>
          </w:p>
        </w:tc>
      </w:tr>
      <w:tr w:rsidR="00B01ACD" w:rsidRPr="00773863" w14:paraId="56D5BD69" w14:textId="69C0E940" w:rsidTr="00713782">
        <w:trPr>
          <w:trHeight w:val="710"/>
        </w:trPr>
        <w:tc>
          <w:tcPr>
            <w:tcW w:w="9990" w:type="dxa"/>
          </w:tcPr>
          <w:p w14:paraId="37DD64FC" w14:textId="10F5BE06" w:rsidR="003F72B1" w:rsidRPr="00DB1CA7" w:rsidRDefault="003F72B1" w:rsidP="00756410">
            <w:pPr>
              <w:pStyle w:val="ListParagraph"/>
              <w:numPr>
                <w:ilvl w:val="0"/>
                <w:numId w:val="62"/>
              </w:numPr>
              <w:spacing w:after="0"/>
              <w:jc w:val="both"/>
              <w:rPr>
                <w:b/>
                <w:bCs/>
                <w:sz w:val="20"/>
                <w:szCs w:val="20"/>
                <w:lang w:val="es-419"/>
              </w:rPr>
            </w:pPr>
            <w:r w:rsidRPr="00756410">
              <w:rPr>
                <w:b/>
                <w:bCs/>
                <w:sz w:val="20"/>
                <w:szCs w:val="20"/>
                <w:lang w:val="es-419"/>
              </w:rPr>
              <w:lastRenderedPageBreak/>
              <w:t xml:space="preserve">Supervisar los servicios agrupados </w:t>
            </w:r>
            <w:r w:rsidR="0091356F">
              <w:rPr>
                <w:b/>
                <w:bCs/>
                <w:sz w:val="20"/>
                <w:szCs w:val="20"/>
                <w:lang w:val="es-419"/>
              </w:rPr>
              <w:t>(</w:t>
            </w:r>
            <w:r w:rsidR="0091356F" w:rsidRPr="00756410">
              <w:rPr>
                <w:b/>
                <w:bCs/>
                <w:i/>
                <w:iCs/>
                <w:sz w:val="20"/>
                <w:szCs w:val="20"/>
                <w:lang w:val="es-419"/>
              </w:rPr>
              <w:t>clustered</w:t>
            </w:r>
            <w:r w:rsidR="0091356F">
              <w:rPr>
                <w:b/>
                <w:bCs/>
                <w:sz w:val="20"/>
                <w:szCs w:val="20"/>
                <w:lang w:val="es-419"/>
              </w:rPr>
              <w:t xml:space="preserve">) </w:t>
            </w:r>
            <w:r w:rsidRPr="00756410">
              <w:rPr>
                <w:b/>
                <w:bCs/>
                <w:sz w:val="20"/>
                <w:szCs w:val="20"/>
                <w:lang w:val="es-419"/>
              </w:rPr>
              <w:t>de RRHH para el CO</w:t>
            </w:r>
            <w:r w:rsidRPr="00756410">
              <w:rPr>
                <w:sz w:val="20"/>
                <w:szCs w:val="20"/>
                <w:lang w:val="es-419"/>
              </w:rPr>
              <w:t>: incluida la facilitación: i) de las acciones relacionadas con la gestión de contratos, la nómina y las separaciones en coordinación con el BMS/GSSC de conformidad con la delegación de autoridad otorgada a</w:t>
            </w:r>
            <w:r w:rsidR="008D3AD7">
              <w:rPr>
                <w:sz w:val="20"/>
                <w:szCs w:val="20"/>
                <w:lang w:val="es-419"/>
              </w:rPr>
              <w:t xml:space="preserve"> la</w:t>
            </w:r>
            <w:r w:rsidRPr="00756410">
              <w:rPr>
                <w:sz w:val="20"/>
                <w:szCs w:val="20"/>
                <w:lang w:val="es-419"/>
              </w:rPr>
              <w:t xml:space="preserve"> CO; la presentación de solicitudes de servicios relacionados con los RRHH autorizadas por el Jefe de la Oficina/Unidad (cuando sea necesario) para que el BMS/GSSC actúe en su caso, incluidas las relativas a las contrataciones, eventos de vida, vencimiento / extensiones de contratos, eventos de la organización, separaciones y gestión de puestos, junto con certificaciones de disponibilidad de fondos (cuando corresponda) y documentación de respaldo completa y precisa; y (ii) gestión de casos, incluida la escalada de casos según sea necesario.</w:t>
            </w:r>
          </w:p>
        </w:tc>
      </w:tr>
      <w:tr w:rsidR="003C2B04" w:rsidRPr="00773863" w14:paraId="2F6C2276" w14:textId="18613E01" w:rsidTr="363CA695">
        <w:trPr>
          <w:trHeight w:val="620"/>
        </w:trPr>
        <w:tc>
          <w:tcPr>
            <w:tcW w:w="9990" w:type="dxa"/>
          </w:tcPr>
          <w:p w14:paraId="60D03AC9" w14:textId="7974D503" w:rsidR="003F72B1" w:rsidRPr="00756410" w:rsidRDefault="003F72B1" w:rsidP="00756410">
            <w:pPr>
              <w:pStyle w:val="ListParagraph"/>
              <w:widowControl w:val="0"/>
              <w:numPr>
                <w:ilvl w:val="0"/>
                <w:numId w:val="62"/>
              </w:numPr>
              <w:autoSpaceDE w:val="0"/>
              <w:autoSpaceDN w:val="0"/>
              <w:spacing w:after="0" w:line="240" w:lineRule="auto"/>
              <w:jc w:val="both"/>
              <w:rPr>
                <w:sz w:val="20"/>
                <w:szCs w:val="20"/>
                <w:lang w:val="es-419"/>
              </w:rPr>
            </w:pPr>
            <w:r w:rsidRPr="00756410">
              <w:rPr>
                <w:b/>
                <w:bCs/>
                <w:sz w:val="20"/>
                <w:szCs w:val="20"/>
                <w:lang w:val="es-419"/>
              </w:rPr>
              <w:t>Facilitar la gestión de contratos:</w:t>
            </w:r>
            <w:r w:rsidRPr="00756410">
              <w:rPr>
                <w:sz w:val="20"/>
                <w:szCs w:val="20"/>
                <w:lang w:val="es-419"/>
              </w:rPr>
              <w:t xml:space="preserve"> incluyendo: (i) asesorar a la gerencia de</w:t>
            </w:r>
            <w:r w:rsidR="00D52A7A">
              <w:rPr>
                <w:sz w:val="20"/>
                <w:szCs w:val="20"/>
                <w:lang w:val="es-419"/>
              </w:rPr>
              <w:t xml:space="preserve"> la</w:t>
            </w:r>
            <w:r w:rsidRPr="00756410">
              <w:rPr>
                <w:sz w:val="20"/>
                <w:szCs w:val="20"/>
                <w:lang w:val="es-419"/>
              </w:rPr>
              <w:t xml:space="preserve"> </w:t>
            </w:r>
            <w:r w:rsidR="00A421E5" w:rsidRPr="00756410">
              <w:rPr>
                <w:sz w:val="20"/>
                <w:szCs w:val="20"/>
                <w:lang w:val="es-419"/>
              </w:rPr>
              <w:t>oficina de país</w:t>
            </w:r>
            <w:r w:rsidR="00A421E5" w:rsidRPr="00A421E5" w:rsidDel="00A421E5">
              <w:rPr>
                <w:sz w:val="20"/>
                <w:szCs w:val="20"/>
                <w:lang w:val="es-419"/>
              </w:rPr>
              <w:t xml:space="preserve"> </w:t>
            </w:r>
            <w:r w:rsidRPr="00756410">
              <w:rPr>
                <w:sz w:val="20"/>
                <w:szCs w:val="20"/>
                <w:lang w:val="es-419"/>
              </w:rPr>
              <w:t xml:space="preserve">sobre las modalidades de contrato y las pautas contractuales relacionadas con el cumplimiento del personal; y (ii) garantizar que todas las acciones contractuales de personal nacional e internacional se tomen de manera oportuna, en estrecha consulta con los supervisores / gerencia y coordinación con </w:t>
            </w:r>
            <w:r w:rsidR="00D52A7A">
              <w:rPr>
                <w:sz w:val="20"/>
                <w:szCs w:val="20"/>
                <w:lang w:val="es-419"/>
              </w:rPr>
              <w:t xml:space="preserve">el </w:t>
            </w:r>
            <w:r w:rsidRPr="00756410">
              <w:rPr>
                <w:sz w:val="20"/>
                <w:szCs w:val="20"/>
                <w:lang w:val="es-419"/>
              </w:rPr>
              <w:t>BMS/GSSC.</w:t>
            </w:r>
          </w:p>
        </w:tc>
      </w:tr>
      <w:tr w:rsidR="00BD3938" w:rsidRPr="00773863" w14:paraId="6C75CB2A" w14:textId="0AF66CB5" w:rsidTr="363CA695">
        <w:trPr>
          <w:trHeight w:val="584"/>
        </w:trPr>
        <w:tc>
          <w:tcPr>
            <w:tcW w:w="9990" w:type="dxa"/>
          </w:tcPr>
          <w:p w14:paraId="6272E2DB" w14:textId="121CCB4E" w:rsidR="003F72B1" w:rsidRPr="00756410" w:rsidRDefault="00903BED" w:rsidP="00756410">
            <w:pPr>
              <w:pStyle w:val="ListParagraph"/>
              <w:widowControl w:val="0"/>
              <w:numPr>
                <w:ilvl w:val="0"/>
                <w:numId w:val="62"/>
              </w:numPr>
              <w:autoSpaceDE w:val="0"/>
              <w:autoSpaceDN w:val="0"/>
              <w:spacing w:after="0" w:line="240" w:lineRule="auto"/>
              <w:jc w:val="both"/>
              <w:rPr>
                <w:sz w:val="20"/>
                <w:szCs w:val="20"/>
                <w:lang w:val="es-419"/>
              </w:rPr>
            </w:pPr>
            <w:r w:rsidRPr="00756410">
              <w:rPr>
                <w:b/>
                <w:bCs/>
                <w:sz w:val="20"/>
                <w:szCs w:val="20"/>
                <w:lang w:val="es-419"/>
              </w:rPr>
              <w:t xml:space="preserve">Facilitar los derechos y la financiación de puestos: </w:t>
            </w:r>
            <w:r w:rsidRPr="00756410">
              <w:rPr>
                <w:sz w:val="20"/>
                <w:szCs w:val="20"/>
                <w:lang w:val="es-419"/>
              </w:rPr>
              <w:t xml:space="preserve">Facilitar los derechos del personal internacional y local y la financiación de puestos delegados a la </w:t>
            </w:r>
            <w:r w:rsidR="002E424C">
              <w:rPr>
                <w:sz w:val="20"/>
                <w:szCs w:val="20"/>
                <w:lang w:val="es-419"/>
              </w:rPr>
              <w:t>Unidad</w:t>
            </w:r>
            <w:r w:rsidR="002E424C" w:rsidRPr="00756410">
              <w:rPr>
                <w:sz w:val="20"/>
                <w:szCs w:val="20"/>
                <w:lang w:val="es-419"/>
              </w:rPr>
              <w:t xml:space="preserve"> </w:t>
            </w:r>
            <w:r w:rsidRPr="00756410">
              <w:rPr>
                <w:sz w:val="20"/>
                <w:szCs w:val="20"/>
                <w:lang w:val="es-419"/>
              </w:rPr>
              <w:t>de Recursos Humanos, en consulta con los responsables del presupuesto. Mantener una estrecha comunicación con los coordinadores del BMS/GSSC en relación con la correcta administración de los derechos y prestaciones del personal.</w:t>
            </w:r>
          </w:p>
        </w:tc>
      </w:tr>
      <w:tr w:rsidR="00BD3938" w:rsidRPr="00773863" w14:paraId="6150B19D" w14:textId="0115C517" w:rsidTr="363CA695">
        <w:trPr>
          <w:trHeight w:val="432"/>
        </w:trPr>
        <w:tc>
          <w:tcPr>
            <w:tcW w:w="9990" w:type="dxa"/>
          </w:tcPr>
          <w:p w14:paraId="7E0001C4" w14:textId="43507B5D" w:rsidR="003F72B1" w:rsidRPr="00756410" w:rsidRDefault="003F72B1" w:rsidP="00756410">
            <w:pPr>
              <w:pStyle w:val="ListParagraph"/>
              <w:widowControl w:val="0"/>
              <w:numPr>
                <w:ilvl w:val="0"/>
                <w:numId w:val="62"/>
              </w:numPr>
              <w:autoSpaceDE w:val="0"/>
              <w:autoSpaceDN w:val="0"/>
              <w:spacing w:after="0" w:line="240" w:lineRule="auto"/>
              <w:jc w:val="both"/>
              <w:rPr>
                <w:sz w:val="20"/>
                <w:szCs w:val="20"/>
                <w:lang w:val="es-419"/>
              </w:rPr>
            </w:pPr>
            <w:r w:rsidRPr="00756410">
              <w:rPr>
                <w:b/>
                <w:bCs/>
                <w:sz w:val="20"/>
                <w:szCs w:val="20"/>
                <w:lang w:val="es-419"/>
              </w:rPr>
              <w:t>Desempeñar funciones de Gerente de Recursos Humanos en Quantum</w:t>
            </w:r>
            <w:r w:rsidR="00BC6C2E" w:rsidRPr="00756410">
              <w:rPr>
                <w:sz w:val="20"/>
                <w:szCs w:val="20"/>
                <w:lang w:val="es-419"/>
              </w:rPr>
              <w:t xml:space="preserve">, incluida la validación de los cargos de recuperación de costos por los servicios de recursos humanos prestados por el PNUD a otras agencias. </w:t>
            </w:r>
          </w:p>
        </w:tc>
      </w:tr>
      <w:tr w:rsidR="00FC6582" w:rsidRPr="00773863" w14:paraId="6B509225" w14:textId="3C4D63D9" w:rsidTr="363CA695">
        <w:trPr>
          <w:trHeight w:val="20"/>
        </w:trPr>
        <w:tc>
          <w:tcPr>
            <w:tcW w:w="9990" w:type="dxa"/>
            <w:shd w:val="clear" w:color="auto" w:fill="E2EFD9" w:themeFill="accent6" w:themeFillTint="33"/>
          </w:tcPr>
          <w:p w14:paraId="6FBAC626" w14:textId="0128D7C1" w:rsidR="003F72B1" w:rsidRPr="00756410" w:rsidRDefault="00801D9E" w:rsidP="00C3389C">
            <w:pPr>
              <w:spacing w:after="0"/>
              <w:rPr>
                <w:b/>
                <w:color w:val="ED7D31" w:themeColor="accent2"/>
                <w:sz w:val="20"/>
                <w:szCs w:val="20"/>
                <w:lang w:val="es-419"/>
              </w:rPr>
            </w:pPr>
            <w:r>
              <w:rPr>
                <w:b/>
                <w:bCs/>
                <w:sz w:val="20"/>
                <w:szCs w:val="20"/>
                <w:lang w:val="es-419"/>
              </w:rPr>
              <w:t xml:space="preserve">Perfil de </w:t>
            </w:r>
            <w:r w:rsidR="00283DCD">
              <w:rPr>
                <w:b/>
                <w:bCs/>
                <w:sz w:val="20"/>
                <w:szCs w:val="20"/>
                <w:lang w:val="es-419"/>
              </w:rPr>
              <w:t>usuario de r</w:t>
            </w:r>
            <w:r>
              <w:rPr>
                <w:b/>
                <w:bCs/>
                <w:sz w:val="20"/>
                <w:szCs w:val="20"/>
                <w:lang w:val="es-419"/>
              </w:rPr>
              <w:t>ecursos hu</w:t>
            </w:r>
            <w:r w:rsidR="00283DCD">
              <w:rPr>
                <w:b/>
                <w:bCs/>
                <w:sz w:val="20"/>
                <w:szCs w:val="20"/>
                <w:lang w:val="es-419"/>
              </w:rPr>
              <w:t xml:space="preserve">manos (HR) en </w:t>
            </w:r>
            <w:r w:rsidR="003F72B1" w:rsidRPr="00756410">
              <w:rPr>
                <w:b/>
                <w:bCs/>
                <w:sz w:val="20"/>
                <w:szCs w:val="20"/>
                <w:lang w:val="es-419"/>
              </w:rPr>
              <w:t xml:space="preserve">IDAM: Varios, consulte </w:t>
            </w:r>
            <w:hyperlink w:anchor="_Annex_2:_Overview" w:history="1">
              <w:r w:rsidR="003F72B1" w:rsidRPr="00756410">
                <w:rPr>
                  <w:rStyle w:val="Hyperlink"/>
                  <w:b/>
                  <w:bCs/>
                  <w:sz w:val="20"/>
                  <w:szCs w:val="20"/>
                  <w:u w:val="none"/>
                  <w:lang w:val="es-419"/>
                </w:rPr>
                <w:t xml:space="preserve"> </w:t>
              </w:r>
              <w:r w:rsidR="003F72B1" w:rsidRPr="00756410">
                <w:rPr>
                  <w:rStyle w:val="Hyperlink"/>
                  <w:b/>
                  <w:bCs/>
                  <w:sz w:val="20"/>
                  <w:szCs w:val="20"/>
                  <w:lang w:val="es-419"/>
                </w:rPr>
                <w:t>el Anexo 2</w:t>
              </w:r>
            </w:hyperlink>
            <w:r w:rsidR="003F72B1" w:rsidRPr="00756410">
              <w:rPr>
                <w:b/>
                <w:bCs/>
                <w:color w:val="ED7D31" w:themeColor="accent2"/>
                <w:sz w:val="20"/>
                <w:szCs w:val="20"/>
                <w:lang w:val="es-419"/>
              </w:rPr>
              <w:t xml:space="preserve"> </w:t>
            </w:r>
            <w:r w:rsidR="003F72B1" w:rsidRPr="00756410">
              <w:rPr>
                <w:b/>
                <w:bCs/>
                <w:sz w:val="20"/>
                <w:szCs w:val="20"/>
                <w:lang w:val="es-419"/>
              </w:rPr>
              <w:t>para obtener descripciones detalladas de los perfiles de</w:t>
            </w:r>
            <w:r w:rsidR="00E56C13">
              <w:rPr>
                <w:b/>
                <w:bCs/>
                <w:sz w:val="20"/>
                <w:szCs w:val="20"/>
                <w:lang w:val="es-419"/>
              </w:rPr>
              <w:t xml:space="preserve"> recursos humanos (HR) de</w:t>
            </w:r>
            <w:r w:rsidR="003F72B1" w:rsidRPr="00756410">
              <w:rPr>
                <w:b/>
                <w:bCs/>
                <w:sz w:val="20"/>
                <w:szCs w:val="20"/>
                <w:lang w:val="es-419"/>
              </w:rPr>
              <w:t xml:space="preserve"> IDAM y su propósito.</w:t>
            </w:r>
          </w:p>
        </w:tc>
      </w:tr>
    </w:tbl>
    <w:p w14:paraId="273FA978" w14:textId="67A73575" w:rsidR="00C3389C" w:rsidRDefault="17958795" w:rsidP="00CB77E1">
      <w:pPr>
        <w:rPr>
          <w:i/>
          <w:iCs/>
          <w:sz w:val="20"/>
          <w:szCs w:val="20"/>
          <w:lang w:val="es-419"/>
        </w:rPr>
      </w:pPr>
      <w:r w:rsidRPr="00756410">
        <w:rPr>
          <w:i/>
          <w:iCs/>
          <w:sz w:val="20"/>
          <w:szCs w:val="20"/>
          <w:lang w:val="es-419"/>
        </w:rPr>
        <w:t xml:space="preserve">Fuente: Facetas financieras extraídas de </w:t>
      </w:r>
      <w:hyperlink r:id="rId125">
        <w:r w:rsidRPr="00756410">
          <w:rPr>
            <w:rStyle w:val="Hyperlink"/>
            <w:i/>
            <w:iCs/>
            <w:color w:val="4472C4" w:themeColor="accent1"/>
            <w:sz w:val="20"/>
            <w:szCs w:val="20"/>
            <w:lang w:val="es-419"/>
          </w:rPr>
          <w:t>las descripciones genéricas de puestos de trabajo</w:t>
        </w:r>
      </w:hyperlink>
      <w:r w:rsidR="00532D05">
        <w:rPr>
          <w:i/>
          <w:iCs/>
          <w:sz w:val="20"/>
          <w:szCs w:val="20"/>
          <w:lang w:val="es-419"/>
        </w:rPr>
        <w:t xml:space="preserve"> </w:t>
      </w:r>
      <w:r w:rsidRPr="00756410">
        <w:rPr>
          <w:i/>
          <w:iCs/>
          <w:sz w:val="20"/>
          <w:szCs w:val="20"/>
          <w:lang w:val="es-419"/>
        </w:rPr>
        <w:t>desarrolladas</w:t>
      </w:r>
      <w:r w:rsidR="00532D05">
        <w:rPr>
          <w:i/>
          <w:iCs/>
          <w:sz w:val="20"/>
          <w:szCs w:val="20"/>
          <w:lang w:val="es-419"/>
        </w:rPr>
        <w:t xml:space="preserve"> por BMS/OHR en 2023 </w:t>
      </w:r>
      <w:r w:rsidRPr="00756410">
        <w:rPr>
          <w:i/>
          <w:iCs/>
          <w:sz w:val="20"/>
          <w:szCs w:val="20"/>
          <w:lang w:val="es-419"/>
        </w:rPr>
        <w:t xml:space="preserve">para </w:t>
      </w:r>
      <w:r w:rsidR="00296B37">
        <w:rPr>
          <w:i/>
          <w:iCs/>
          <w:sz w:val="20"/>
          <w:szCs w:val="20"/>
          <w:lang w:val="es-419"/>
        </w:rPr>
        <w:t>las posiciones de E</w:t>
      </w:r>
      <w:r w:rsidRPr="00756410">
        <w:rPr>
          <w:i/>
          <w:iCs/>
          <w:sz w:val="20"/>
          <w:szCs w:val="20"/>
          <w:lang w:val="es-419"/>
        </w:rPr>
        <w:t xml:space="preserve">specialistas en </w:t>
      </w:r>
      <w:r w:rsidR="00296B37">
        <w:rPr>
          <w:i/>
          <w:iCs/>
          <w:sz w:val="20"/>
          <w:szCs w:val="20"/>
          <w:lang w:val="es-419"/>
        </w:rPr>
        <w:t>R</w:t>
      </w:r>
      <w:r w:rsidRPr="00756410">
        <w:rPr>
          <w:i/>
          <w:iCs/>
          <w:sz w:val="20"/>
          <w:szCs w:val="20"/>
          <w:lang w:val="es-419"/>
        </w:rPr>
        <w:t xml:space="preserve">ecursos </w:t>
      </w:r>
      <w:r w:rsidR="00296B37">
        <w:rPr>
          <w:i/>
          <w:iCs/>
          <w:sz w:val="20"/>
          <w:szCs w:val="20"/>
          <w:lang w:val="es-419"/>
        </w:rPr>
        <w:t>H</w:t>
      </w:r>
      <w:r w:rsidRPr="00756410">
        <w:rPr>
          <w:i/>
          <w:iCs/>
          <w:sz w:val="20"/>
          <w:szCs w:val="20"/>
          <w:lang w:val="es-419"/>
        </w:rPr>
        <w:t>umanos.</w:t>
      </w:r>
    </w:p>
    <w:p w14:paraId="3E9C73E2" w14:textId="04FC9F62" w:rsidR="007936B7" w:rsidRPr="00756410" w:rsidRDefault="00CB77E1">
      <w:pPr>
        <w:pStyle w:val="Heading2"/>
        <w:numPr>
          <w:ilvl w:val="1"/>
          <w:numId w:val="92"/>
        </w:numPr>
        <w:spacing w:after="240"/>
        <w:ind w:left="360"/>
        <w:rPr>
          <w:lang w:val="es-ES"/>
        </w:rPr>
      </w:pPr>
      <w:bookmarkStart w:id="78" w:name="_Toc210052777"/>
      <w:r w:rsidRPr="00756410">
        <w:rPr>
          <w:lang w:val="es-ES"/>
        </w:rPr>
        <w:t xml:space="preserve">Administrador de RRHH (primera autoridad, </w:t>
      </w:r>
      <w:r w:rsidR="009E4DD1">
        <w:rPr>
          <w:lang w:val="es-ES"/>
        </w:rPr>
        <w:t>personal</w:t>
      </w:r>
      <w:r w:rsidR="0078649A" w:rsidRPr="00756410">
        <w:rPr>
          <w:lang w:val="es-ES"/>
        </w:rPr>
        <w:t xml:space="preserve"> autorizado para </w:t>
      </w:r>
      <w:r w:rsidR="009E4DD1">
        <w:rPr>
          <w:lang w:val="es-ES"/>
        </w:rPr>
        <w:t>contraer compromisos</w:t>
      </w:r>
      <w:r w:rsidRPr="00756410">
        <w:rPr>
          <w:lang w:val="es-ES"/>
        </w:rPr>
        <w:t>)</w:t>
      </w:r>
      <w:bookmarkEnd w:id="74"/>
      <w:bookmarkEnd w:id="78"/>
    </w:p>
    <w:p w14:paraId="21942763" w14:textId="244D89A2" w:rsidR="007936B7" w:rsidRPr="00756410" w:rsidRDefault="007936B7" w:rsidP="00756410">
      <w:pPr>
        <w:spacing w:line="240" w:lineRule="auto"/>
        <w:jc w:val="both"/>
        <w:rPr>
          <w:lang w:val="es-419"/>
        </w:rPr>
      </w:pPr>
      <w:r w:rsidRPr="00756410">
        <w:rPr>
          <w:lang w:val="es-419"/>
        </w:rPr>
        <w:t xml:space="preserve">El rol de </w:t>
      </w:r>
      <w:r w:rsidR="00131E45">
        <w:rPr>
          <w:lang w:val="es-419"/>
        </w:rPr>
        <w:t>A</w:t>
      </w:r>
      <w:r w:rsidRPr="00756410">
        <w:rPr>
          <w:lang w:val="es-419"/>
        </w:rPr>
        <w:t>dministrador de recursos humanos se refiere a los miembros del personal que son responsables de la administración de recursos humanos, incluidos los procesos de contratación, eventos de vida, administración de contratos, eventos de la organización y separaciones. Esta función la desempeña</w:t>
      </w:r>
      <w:r w:rsidR="00131E45">
        <w:rPr>
          <w:lang w:val="es-419"/>
        </w:rPr>
        <w:t xml:space="preserve"> el </w:t>
      </w:r>
      <w:r w:rsidRPr="00756410">
        <w:rPr>
          <w:lang w:val="es-419"/>
        </w:rPr>
        <w:t xml:space="preserve">BMS/GSSC para todas las oficinas/dependencias del PNUD, excepto las </w:t>
      </w:r>
      <w:r w:rsidR="008762A9" w:rsidRPr="00756410">
        <w:rPr>
          <w:lang w:val="es-419"/>
        </w:rPr>
        <w:t>unidades de la sede fuera de Nueva York</w:t>
      </w:r>
      <w:r w:rsidR="00280134">
        <w:rPr>
          <w:lang w:val="es-419"/>
        </w:rPr>
        <w:t xml:space="preserve"> (“</w:t>
      </w:r>
      <w:r w:rsidR="00280134" w:rsidRPr="00756410">
        <w:rPr>
          <w:i/>
          <w:iCs/>
          <w:lang w:val="es-419"/>
        </w:rPr>
        <w:t>Outposted HQ locations</w:t>
      </w:r>
      <w:r w:rsidR="00280134">
        <w:rPr>
          <w:lang w:val="es-419"/>
        </w:rPr>
        <w:t>”)</w:t>
      </w:r>
      <w:r w:rsidR="008762A9" w:rsidRPr="00756410">
        <w:rPr>
          <w:lang w:val="es-419"/>
        </w:rPr>
        <w:t>,</w:t>
      </w:r>
      <w:r w:rsidR="008762A9" w:rsidRPr="008762A9" w:rsidDel="008762A9">
        <w:rPr>
          <w:lang w:val="es-419"/>
        </w:rPr>
        <w:t xml:space="preserve"> </w:t>
      </w:r>
      <w:r w:rsidRPr="00756410">
        <w:rPr>
          <w:lang w:val="es-419"/>
        </w:rPr>
        <w:t>que desempeñan estas funciones para su propia nómina local</w:t>
      </w:r>
      <w:r w:rsidRPr="008762A9">
        <w:rPr>
          <w:vertAlign w:val="superscript"/>
        </w:rPr>
        <w:footnoteReference w:id="30"/>
      </w:r>
      <w:r w:rsidRPr="00756410">
        <w:rPr>
          <w:lang w:val="es-419"/>
        </w:rPr>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C27124" w:rsidRPr="00773863" w14:paraId="327FD6CE" w14:textId="77777777" w:rsidTr="363CA695">
        <w:trPr>
          <w:trHeight w:val="611"/>
          <w:tblHeader/>
        </w:trPr>
        <w:tc>
          <w:tcPr>
            <w:tcW w:w="9900" w:type="dxa"/>
            <w:shd w:val="clear" w:color="auto" w:fill="FFF1CC"/>
          </w:tcPr>
          <w:p w14:paraId="57ECCCF6" w14:textId="3BF98779" w:rsidR="007936B7" w:rsidRPr="00756410" w:rsidRDefault="007936B7" w:rsidP="00AD02A4">
            <w:pPr>
              <w:spacing w:after="0" w:line="240" w:lineRule="auto"/>
              <w:rPr>
                <w:b/>
                <w:sz w:val="20"/>
                <w:szCs w:val="20"/>
                <w:lang w:val="es-419"/>
              </w:rPr>
            </w:pPr>
            <w:r w:rsidRPr="00756410">
              <w:rPr>
                <w:b/>
                <w:bCs/>
                <w:sz w:val="20"/>
                <w:szCs w:val="20"/>
                <w:lang w:val="es-419"/>
              </w:rPr>
              <w:t xml:space="preserve">Administrador de recursos humanos (primera autoridad, </w:t>
            </w:r>
            <w:r w:rsidR="007579EA">
              <w:rPr>
                <w:b/>
                <w:bCs/>
                <w:sz w:val="20"/>
                <w:szCs w:val="20"/>
                <w:lang w:val="es-419"/>
              </w:rPr>
              <w:t>personal</w:t>
            </w:r>
            <w:r w:rsidR="005C65E5" w:rsidRPr="00914285">
              <w:rPr>
                <w:b/>
                <w:bCs/>
                <w:sz w:val="20"/>
                <w:szCs w:val="20"/>
                <w:lang w:val="es-419"/>
              </w:rPr>
              <w:t xml:space="preserve"> autorizado para </w:t>
            </w:r>
            <w:r w:rsidR="007579EA">
              <w:rPr>
                <w:b/>
                <w:bCs/>
                <w:sz w:val="20"/>
                <w:szCs w:val="20"/>
                <w:lang w:val="es-419"/>
              </w:rPr>
              <w:t>contraer compromisos</w:t>
            </w:r>
            <w:r w:rsidRPr="00756410">
              <w:rPr>
                <w:b/>
                <w:bCs/>
                <w:sz w:val="20"/>
                <w:szCs w:val="20"/>
                <w:lang w:val="es-419"/>
              </w:rPr>
              <w:t xml:space="preserve">): Responsabilidades de control interno desempeñadas por </w:t>
            </w:r>
            <w:r w:rsidR="00280134">
              <w:rPr>
                <w:b/>
                <w:bCs/>
                <w:sz w:val="20"/>
                <w:szCs w:val="20"/>
                <w:lang w:val="es-419"/>
              </w:rPr>
              <w:t xml:space="preserve">el </w:t>
            </w:r>
            <w:r w:rsidRPr="00756410">
              <w:rPr>
                <w:b/>
                <w:bCs/>
                <w:sz w:val="20"/>
                <w:szCs w:val="20"/>
                <w:lang w:val="es-419"/>
              </w:rPr>
              <w:t xml:space="preserve">BMS/GSSC para todos los funcionarios y titulares de contratos de PSA para todas las oficinas y unidades del PNUD, excepto las </w:t>
            </w:r>
            <w:r w:rsidR="000A6C5C" w:rsidRPr="00756410">
              <w:rPr>
                <w:b/>
                <w:bCs/>
                <w:sz w:val="20"/>
                <w:szCs w:val="20"/>
                <w:lang w:val="es-419"/>
              </w:rPr>
              <w:t>unidades de la sede fuera de Nueva York</w:t>
            </w:r>
            <w:r w:rsidR="000A6C5C" w:rsidRPr="008762A9" w:rsidDel="000A6C5C">
              <w:rPr>
                <w:b/>
                <w:bCs/>
                <w:sz w:val="20"/>
                <w:szCs w:val="20"/>
                <w:lang w:val="es-419"/>
              </w:rPr>
              <w:t xml:space="preserve"> </w:t>
            </w:r>
            <w:r w:rsidRPr="00756410">
              <w:rPr>
                <w:b/>
                <w:bCs/>
                <w:sz w:val="20"/>
                <w:szCs w:val="20"/>
                <w:lang w:val="es-419"/>
              </w:rPr>
              <w:t xml:space="preserve">que </w:t>
            </w:r>
            <w:r w:rsidR="00F1287E">
              <w:rPr>
                <w:b/>
                <w:bCs/>
                <w:sz w:val="20"/>
                <w:szCs w:val="20"/>
                <w:lang w:val="es-419"/>
              </w:rPr>
              <w:t>desempeñan estas funciones para</w:t>
            </w:r>
            <w:r w:rsidR="00F1287E" w:rsidRPr="00756410">
              <w:rPr>
                <w:b/>
                <w:bCs/>
                <w:sz w:val="20"/>
                <w:szCs w:val="20"/>
                <w:lang w:val="es-419"/>
              </w:rPr>
              <w:t xml:space="preserve"> </w:t>
            </w:r>
            <w:r w:rsidRPr="00756410">
              <w:rPr>
                <w:b/>
                <w:bCs/>
                <w:sz w:val="20"/>
                <w:szCs w:val="20"/>
                <w:lang w:val="es-419"/>
              </w:rPr>
              <w:t>su propia nómina local</w:t>
            </w:r>
          </w:p>
        </w:tc>
      </w:tr>
      <w:tr w:rsidR="00BD3938" w:rsidRPr="00773863" w14:paraId="25DE5D3E" w14:textId="77777777" w:rsidTr="0004107A">
        <w:trPr>
          <w:trHeight w:val="449"/>
        </w:trPr>
        <w:tc>
          <w:tcPr>
            <w:tcW w:w="9900" w:type="dxa"/>
          </w:tcPr>
          <w:p w14:paraId="6D6063B7" w14:textId="084DA221" w:rsidR="007936B7" w:rsidRPr="00756410" w:rsidRDefault="007936B7" w:rsidP="00756410">
            <w:pPr>
              <w:pStyle w:val="ListParagraph"/>
              <w:numPr>
                <w:ilvl w:val="0"/>
                <w:numId w:val="100"/>
              </w:numPr>
              <w:spacing w:after="0" w:line="240" w:lineRule="auto"/>
              <w:jc w:val="both"/>
              <w:rPr>
                <w:sz w:val="20"/>
                <w:szCs w:val="20"/>
                <w:lang w:val="es-419"/>
              </w:rPr>
            </w:pPr>
            <w:r w:rsidRPr="00756410">
              <w:rPr>
                <w:b/>
                <w:bCs/>
                <w:sz w:val="20"/>
                <w:szCs w:val="20"/>
                <w:lang w:val="es-419"/>
              </w:rPr>
              <w:t xml:space="preserve">Administra y certifica las prestaciones y derechos del personal: </w:t>
            </w:r>
            <w:r w:rsidR="00146B83" w:rsidRPr="00756410">
              <w:rPr>
                <w:sz w:val="20"/>
                <w:szCs w:val="20"/>
                <w:lang w:val="es-419"/>
              </w:rPr>
              <w:t xml:space="preserve">Dentro del marco establecido de sueldos y otros derechos y de conformidad con el Estatuto y Reglamento del Personal de las Naciones Unidas, el Administrador de Recursos Humanos concede derechos que dan lugar a gastos con cargo a los recursos del proyecto sin la aprobación explícita a nivel transaccional por parte del </w:t>
            </w:r>
            <w:r w:rsidR="00F52A7D">
              <w:rPr>
                <w:sz w:val="20"/>
                <w:szCs w:val="20"/>
                <w:lang w:val="es-419"/>
              </w:rPr>
              <w:t>Gerente</w:t>
            </w:r>
            <w:r w:rsidR="00F52A7D" w:rsidRPr="00756410">
              <w:rPr>
                <w:sz w:val="20"/>
                <w:szCs w:val="20"/>
                <w:lang w:val="es-419"/>
              </w:rPr>
              <w:t xml:space="preserve"> </w:t>
            </w:r>
            <w:r w:rsidR="00146B83" w:rsidRPr="00756410">
              <w:rPr>
                <w:sz w:val="20"/>
                <w:szCs w:val="20"/>
                <w:lang w:val="es-419"/>
              </w:rPr>
              <w:t xml:space="preserve">del Proyecto (primera autoridad, </w:t>
            </w:r>
            <w:r w:rsidR="007579EA">
              <w:rPr>
                <w:sz w:val="20"/>
                <w:szCs w:val="20"/>
                <w:lang w:val="es-419"/>
              </w:rPr>
              <w:t>personal</w:t>
            </w:r>
            <w:r w:rsidR="005C65E5" w:rsidRPr="00756410">
              <w:rPr>
                <w:sz w:val="20"/>
                <w:szCs w:val="20"/>
                <w:lang w:val="es-419"/>
              </w:rPr>
              <w:t xml:space="preserve"> autorizado para </w:t>
            </w:r>
            <w:r w:rsidR="007579EA">
              <w:rPr>
                <w:sz w:val="20"/>
                <w:szCs w:val="20"/>
                <w:lang w:val="es-419"/>
              </w:rPr>
              <w:t>contraer compromisos</w:t>
            </w:r>
            <w:r w:rsidR="00146B83" w:rsidRPr="00756410">
              <w:rPr>
                <w:sz w:val="20"/>
                <w:szCs w:val="20"/>
                <w:lang w:val="es-419"/>
              </w:rPr>
              <w:t>). A este respecto, el Administrador de Recursos Humanos tiene la responsabilidad primordial de gestionar y certificar las prestaciones y los derechos del personal y actúa como primera autoridad para las transacciones de prestaciones y derechos. Esta autoridad equivale al "</w:t>
            </w:r>
            <w:r w:rsidR="009E4DD1">
              <w:rPr>
                <w:sz w:val="20"/>
                <w:szCs w:val="20"/>
                <w:lang w:val="es-419"/>
              </w:rPr>
              <w:t>personal</w:t>
            </w:r>
            <w:r w:rsidR="005C65E5" w:rsidRPr="00756410">
              <w:rPr>
                <w:sz w:val="20"/>
                <w:szCs w:val="20"/>
                <w:lang w:val="es-419"/>
              </w:rPr>
              <w:t xml:space="preserve"> autorizado para </w:t>
            </w:r>
            <w:r w:rsidR="00231540">
              <w:rPr>
                <w:sz w:val="20"/>
                <w:szCs w:val="20"/>
                <w:lang w:val="es-419"/>
              </w:rPr>
              <w:t>contraer</w:t>
            </w:r>
            <w:r w:rsidR="009E4DD1">
              <w:rPr>
                <w:sz w:val="20"/>
                <w:szCs w:val="20"/>
                <w:lang w:val="es-419"/>
              </w:rPr>
              <w:t xml:space="preserve"> compromisos</w:t>
            </w:r>
            <w:r w:rsidR="00146B83" w:rsidRPr="00756410">
              <w:rPr>
                <w:sz w:val="20"/>
                <w:szCs w:val="20"/>
                <w:lang w:val="es-419"/>
              </w:rPr>
              <w:t xml:space="preserve">" en el párrafo 20.02 a) del Reglamento Financiero del PNUD. Algunos ejemplos son todas las concesiones de derechos y prestaciones, como la prestación por familiares a cargo, la movilidad y las condiciones de </w:t>
            </w:r>
            <w:r w:rsidR="00146B83" w:rsidRPr="00756410">
              <w:rPr>
                <w:sz w:val="20"/>
                <w:szCs w:val="20"/>
                <w:lang w:val="es-419"/>
              </w:rPr>
              <w:lastRenderedPageBreak/>
              <w:t xml:space="preserve">vida difíciles, la participación en el fondo de pensiones y el seguro médico. Los </w:t>
            </w:r>
            <w:r w:rsidR="0096168D">
              <w:rPr>
                <w:sz w:val="20"/>
                <w:szCs w:val="20"/>
                <w:lang w:val="es-419"/>
              </w:rPr>
              <w:t>G</w:t>
            </w:r>
            <w:r w:rsidR="00146B83" w:rsidRPr="00756410">
              <w:rPr>
                <w:sz w:val="20"/>
                <w:szCs w:val="20"/>
                <w:lang w:val="es-419"/>
              </w:rPr>
              <w:t xml:space="preserve">erentes de </w:t>
            </w:r>
            <w:r w:rsidR="0096168D">
              <w:rPr>
                <w:sz w:val="20"/>
                <w:szCs w:val="20"/>
                <w:lang w:val="es-419"/>
              </w:rPr>
              <w:t>P</w:t>
            </w:r>
            <w:r w:rsidR="00146B83" w:rsidRPr="00756410">
              <w:rPr>
                <w:sz w:val="20"/>
                <w:szCs w:val="20"/>
                <w:lang w:val="es-419"/>
              </w:rPr>
              <w:t>royectos deben asegurarse de que los fondos siempre se reserven para estos costos para evitar déficits en los proyectos.</w:t>
            </w:r>
          </w:p>
        </w:tc>
      </w:tr>
      <w:tr w:rsidR="00BD3938" w:rsidRPr="00773863" w14:paraId="7FF5518C" w14:textId="77777777" w:rsidTr="363CA695">
        <w:trPr>
          <w:trHeight w:val="1728"/>
        </w:trPr>
        <w:tc>
          <w:tcPr>
            <w:tcW w:w="9900" w:type="dxa"/>
          </w:tcPr>
          <w:p w14:paraId="32CB1178" w14:textId="5FCCFE21" w:rsidR="009009DE" w:rsidRPr="00756410" w:rsidRDefault="007936B7" w:rsidP="00756410">
            <w:pPr>
              <w:pStyle w:val="ListParagraph"/>
              <w:widowControl w:val="0"/>
              <w:numPr>
                <w:ilvl w:val="0"/>
                <w:numId w:val="61"/>
              </w:numPr>
              <w:autoSpaceDE w:val="0"/>
              <w:autoSpaceDN w:val="0"/>
              <w:spacing w:after="0" w:line="240" w:lineRule="auto"/>
              <w:jc w:val="both"/>
              <w:rPr>
                <w:sz w:val="20"/>
                <w:szCs w:val="20"/>
                <w:lang w:val="es-419"/>
              </w:rPr>
            </w:pPr>
            <w:r w:rsidRPr="00756410">
              <w:rPr>
                <w:b/>
                <w:bCs/>
                <w:sz w:val="20"/>
                <w:szCs w:val="20"/>
                <w:lang w:val="es-419"/>
              </w:rPr>
              <w:lastRenderedPageBreak/>
              <w:t>Administra las contrataciones</w:t>
            </w:r>
            <w:r w:rsidRPr="00756410">
              <w:rPr>
                <w:sz w:val="20"/>
                <w:szCs w:val="20"/>
                <w:lang w:val="es-419"/>
              </w:rPr>
              <w:t xml:space="preserve">: (incluidas las nuevas contrataciones, recontrataciones, jubilados, cambios de contrato, transferencias/adscripciones/préstamos no reembolsables de otra organización de las Naciones Unidas), asegurándose de que: (i) el contrato cumpla con los procedimientos del PNUD y, si corresponde, </w:t>
            </w:r>
            <w:r w:rsidR="003F3124">
              <w:rPr>
                <w:sz w:val="20"/>
                <w:szCs w:val="20"/>
                <w:lang w:val="es-419"/>
              </w:rPr>
              <w:t>planteando</w:t>
            </w:r>
            <w:r w:rsidR="003F3124" w:rsidRPr="00756410">
              <w:rPr>
                <w:sz w:val="20"/>
                <w:szCs w:val="20"/>
                <w:lang w:val="es-419"/>
              </w:rPr>
              <w:t xml:space="preserve"> </w:t>
            </w:r>
            <w:r w:rsidRPr="00756410">
              <w:rPr>
                <w:sz w:val="20"/>
                <w:szCs w:val="20"/>
                <w:lang w:val="es-419"/>
              </w:rPr>
              <w:t xml:space="preserve">cualquier inquietud al Gerente de Operaciones (o equivalente de la Sede) o al Jefe de la Oficina / Unidad antes de tomar medidas en Quantum; y (ii) esté presente la documentación de respaldo mínima requerida para las contrataciones,  según lo prescrito por </w:t>
            </w:r>
            <w:r w:rsidR="003F3124">
              <w:rPr>
                <w:sz w:val="20"/>
                <w:szCs w:val="20"/>
                <w:lang w:val="es-419"/>
              </w:rPr>
              <w:t>la política del POPP</w:t>
            </w:r>
            <w:r w:rsidRPr="00756410">
              <w:rPr>
                <w:sz w:val="20"/>
                <w:szCs w:val="20"/>
                <w:lang w:val="es-419"/>
              </w:rPr>
              <w:t xml:space="preserve"> y </w:t>
            </w:r>
            <w:r w:rsidR="003F3124">
              <w:rPr>
                <w:sz w:val="20"/>
                <w:szCs w:val="20"/>
                <w:lang w:val="es-419"/>
              </w:rPr>
              <w:t>el SOP asociado del</w:t>
            </w:r>
            <w:r w:rsidRPr="00756410">
              <w:rPr>
                <w:sz w:val="20"/>
                <w:szCs w:val="20"/>
                <w:lang w:val="es-419"/>
              </w:rPr>
              <w:t xml:space="preserve"> BMS/GSSC. BMS/GSSC agrega nuevas contrataciones en Quantum </w:t>
            </w:r>
            <w:r w:rsidR="00AF5509">
              <w:rPr>
                <w:sz w:val="20"/>
                <w:szCs w:val="20"/>
                <w:lang w:val="es-419"/>
              </w:rPr>
              <w:t>(“</w:t>
            </w:r>
            <w:r w:rsidR="00AF5509" w:rsidRPr="00756410">
              <w:rPr>
                <w:i/>
                <w:iCs/>
                <w:sz w:val="20"/>
                <w:szCs w:val="20"/>
                <w:lang w:val="es-419"/>
              </w:rPr>
              <w:t>adds new hires</w:t>
            </w:r>
            <w:r w:rsidR="00AF5509">
              <w:rPr>
                <w:sz w:val="20"/>
                <w:szCs w:val="20"/>
                <w:lang w:val="es-419"/>
              </w:rPr>
              <w:t xml:space="preserve">”) </w:t>
            </w:r>
            <w:r w:rsidRPr="00756410">
              <w:rPr>
                <w:sz w:val="20"/>
                <w:szCs w:val="20"/>
                <w:lang w:val="es-419"/>
              </w:rPr>
              <w:t xml:space="preserve">una vez que se ha finalizado el proceso de reclutamiento y se ha seleccionado al candidato seleccionado. </w:t>
            </w:r>
          </w:p>
          <w:p w14:paraId="04FE3D19" w14:textId="77777777" w:rsidR="009009DE" w:rsidRPr="00756410" w:rsidRDefault="009009DE" w:rsidP="00756410">
            <w:pPr>
              <w:pStyle w:val="ListParagraph"/>
              <w:widowControl w:val="0"/>
              <w:autoSpaceDE w:val="0"/>
              <w:autoSpaceDN w:val="0"/>
              <w:spacing w:after="0" w:line="240" w:lineRule="auto"/>
              <w:ind w:left="360"/>
              <w:jc w:val="both"/>
              <w:rPr>
                <w:rStyle w:val="cf01"/>
                <w:rFonts w:asciiTheme="minorHAnsi" w:hAnsiTheme="minorHAnsi" w:cstheme="minorBidi"/>
                <w:sz w:val="20"/>
                <w:szCs w:val="20"/>
                <w:lang w:val="es-419"/>
              </w:rPr>
            </w:pPr>
          </w:p>
          <w:p w14:paraId="5EABCD71" w14:textId="563E0F81" w:rsidR="007936B7" w:rsidRPr="00756410" w:rsidRDefault="009009DE" w:rsidP="00756410">
            <w:pPr>
              <w:widowControl w:val="0"/>
              <w:autoSpaceDE w:val="0"/>
              <w:autoSpaceDN w:val="0"/>
              <w:spacing w:after="0" w:line="240" w:lineRule="auto"/>
              <w:ind w:left="360"/>
              <w:jc w:val="both"/>
              <w:rPr>
                <w:sz w:val="20"/>
                <w:szCs w:val="20"/>
                <w:lang w:val="es-419"/>
              </w:rPr>
            </w:pPr>
            <w:r w:rsidRPr="00756410">
              <w:rPr>
                <w:b/>
                <w:bCs/>
                <w:sz w:val="20"/>
                <w:szCs w:val="20"/>
                <w:lang w:val="es-419"/>
              </w:rPr>
              <w:t>Nota</w:t>
            </w:r>
            <w:r w:rsidRPr="00756410">
              <w:rPr>
                <w:rStyle w:val="cf01"/>
                <w:rFonts w:asciiTheme="minorHAnsi" w:hAnsiTheme="minorHAnsi" w:cstheme="minorBidi"/>
                <w:sz w:val="20"/>
                <w:szCs w:val="20"/>
                <w:lang w:val="es-419"/>
              </w:rPr>
              <w:t>: En el caso de las contrataciones realizadas por el BMS/GSSC en nombre de oficinas/dependencias con procesos agrupados</w:t>
            </w:r>
            <w:r w:rsidR="00394D7A">
              <w:rPr>
                <w:rStyle w:val="cf01"/>
                <w:rFonts w:asciiTheme="minorHAnsi" w:hAnsiTheme="minorHAnsi" w:cstheme="minorBidi"/>
                <w:sz w:val="20"/>
                <w:szCs w:val="20"/>
                <w:lang w:val="es-419"/>
              </w:rPr>
              <w:t xml:space="preserve"> </w:t>
            </w:r>
            <w:r w:rsidR="00394D7A" w:rsidRPr="00756410">
              <w:rPr>
                <w:rStyle w:val="cf01"/>
                <w:rFonts w:asciiTheme="minorHAnsi" w:hAnsiTheme="minorHAnsi" w:cstheme="minorHAnsi"/>
                <w:sz w:val="20"/>
                <w:szCs w:val="20"/>
                <w:lang w:val="es-ES"/>
              </w:rPr>
              <w:t>(</w:t>
            </w:r>
            <w:r w:rsidR="00394D7A" w:rsidRPr="00756410">
              <w:rPr>
                <w:rStyle w:val="cf01"/>
                <w:rFonts w:asciiTheme="minorHAnsi" w:hAnsiTheme="minorHAnsi" w:cstheme="minorHAnsi"/>
                <w:i/>
                <w:iCs/>
                <w:sz w:val="20"/>
                <w:szCs w:val="20"/>
                <w:lang w:val="es-ES"/>
              </w:rPr>
              <w:t>clustered</w:t>
            </w:r>
            <w:r w:rsidR="00394D7A" w:rsidRPr="00756410">
              <w:rPr>
                <w:rStyle w:val="cf01"/>
                <w:rFonts w:asciiTheme="minorHAnsi" w:hAnsiTheme="minorHAnsi" w:cstheme="minorHAnsi"/>
                <w:sz w:val="20"/>
                <w:szCs w:val="20"/>
                <w:lang w:val="es-ES"/>
              </w:rPr>
              <w:t>)</w:t>
            </w:r>
            <w:r w:rsidRPr="00756410">
              <w:rPr>
                <w:rStyle w:val="cf01"/>
                <w:rFonts w:asciiTheme="minorHAnsi" w:hAnsiTheme="minorHAnsi" w:cstheme="minorBidi"/>
                <w:sz w:val="20"/>
                <w:szCs w:val="20"/>
                <w:lang w:val="es-419"/>
              </w:rPr>
              <w:t xml:space="preserve"> (puestos </w:t>
            </w:r>
            <w:r w:rsidR="00F272D8">
              <w:rPr>
                <w:rStyle w:val="cf01"/>
                <w:rFonts w:asciiTheme="minorHAnsi" w:hAnsiTheme="minorHAnsi" w:cstheme="minorBidi"/>
                <w:sz w:val="20"/>
                <w:szCs w:val="20"/>
                <w:lang w:val="es-419"/>
              </w:rPr>
              <w:t>internacionales</w:t>
            </w:r>
            <w:r w:rsidRPr="00756410">
              <w:rPr>
                <w:rStyle w:val="cf01"/>
                <w:rFonts w:asciiTheme="minorHAnsi" w:hAnsiTheme="minorHAnsi" w:cstheme="minorBidi"/>
                <w:sz w:val="20"/>
                <w:szCs w:val="20"/>
                <w:lang w:val="es-419"/>
              </w:rPr>
              <w:t>, excepto rotativos y/o P4+ en las oficinas regionales), la solicitud de contratación es presentada por el respectivo equipo de servicio del BMS/GSSC, no por la oficina/unidad. La oficina/unidad solo presenta las solicitudes de contratación delegadas en ellas o en casos de contratación directa.</w:t>
            </w:r>
          </w:p>
        </w:tc>
      </w:tr>
      <w:tr w:rsidR="00BD3938" w:rsidRPr="00773863" w14:paraId="03A3101E" w14:textId="77777777" w:rsidTr="363CA695">
        <w:trPr>
          <w:trHeight w:val="864"/>
        </w:trPr>
        <w:tc>
          <w:tcPr>
            <w:tcW w:w="9900" w:type="dxa"/>
          </w:tcPr>
          <w:p w14:paraId="4377E240" w14:textId="25E5A7B3" w:rsidR="007936B7" w:rsidRPr="00DB1CA7" w:rsidRDefault="007936B7" w:rsidP="00756410">
            <w:pPr>
              <w:pStyle w:val="ListParagraph"/>
              <w:widowControl w:val="0"/>
              <w:numPr>
                <w:ilvl w:val="0"/>
                <w:numId w:val="61"/>
              </w:numPr>
              <w:autoSpaceDE w:val="0"/>
              <w:autoSpaceDN w:val="0"/>
              <w:spacing w:after="0" w:line="240" w:lineRule="auto"/>
              <w:jc w:val="both"/>
              <w:rPr>
                <w:b/>
                <w:bCs/>
                <w:sz w:val="20"/>
                <w:szCs w:val="20"/>
                <w:lang w:val="es-419"/>
              </w:rPr>
            </w:pPr>
            <w:r w:rsidRPr="00756410">
              <w:rPr>
                <w:b/>
                <w:bCs/>
                <w:sz w:val="20"/>
                <w:szCs w:val="20"/>
                <w:lang w:val="es-419"/>
              </w:rPr>
              <w:t xml:space="preserve">Administra </w:t>
            </w:r>
            <w:r w:rsidR="00C62179">
              <w:rPr>
                <w:b/>
                <w:bCs/>
                <w:sz w:val="20"/>
                <w:szCs w:val="20"/>
                <w:lang w:val="es-419"/>
              </w:rPr>
              <w:t>acontecimientos/eventos</w:t>
            </w:r>
            <w:r w:rsidR="00C62179" w:rsidRPr="00756410">
              <w:rPr>
                <w:b/>
                <w:bCs/>
                <w:sz w:val="20"/>
                <w:szCs w:val="20"/>
                <w:lang w:val="es-419"/>
              </w:rPr>
              <w:t xml:space="preserve"> </w:t>
            </w:r>
            <w:r w:rsidRPr="00756410">
              <w:rPr>
                <w:b/>
                <w:bCs/>
                <w:sz w:val="20"/>
                <w:szCs w:val="20"/>
                <w:lang w:val="es-419"/>
              </w:rPr>
              <w:t>de la vida:</w:t>
            </w:r>
            <w:r w:rsidRPr="00756410">
              <w:rPr>
                <w:sz w:val="20"/>
                <w:szCs w:val="20"/>
                <w:lang w:val="es-419"/>
              </w:rPr>
              <w:t xml:space="preserve"> (como el nacimiento de un nuevo hijo/dependiente y el registro de un nuevo cónyuge; subsidio de idioma y bonificaciones por conducir; viaje de vacaciones en el país de origen, subsidio de educación y subsidio de repatriación), asegurando que se obtenga la documentación de respaldo antes de tomar medidas en Quantum (por ejemplo, un certificado de nacimiento como evidencia de la asignación por dependencia o un certificado médico como desencadenante para autorizar la licencia por enfermedad prolongada).</w:t>
            </w:r>
          </w:p>
        </w:tc>
      </w:tr>
      <w:tr w:rsidR="00BD3938" w:rsidRPr="00773863" w14:paraId="2B281F59" w14:textId="77777777" w:rsidTr="363CA695">
        <w:trPr>
          <w:trHeight w:val="20"/>
        </w:trPr>
        <w:tc>
          <w:tcPr>
            <w:tcW w:w="9900" w:type="dxa"/>
          </w:tcPr>
          <w:p w14:paraId="21ADFF4E" w14:textId="75B020A2" w:rsidR="007936B7" w:rsidRPr="00756410" w:rsidRDefault="007936B7" w:rsidP="00756410">
            <w:pPr>
              <w:pStyle w:val="ListParagraph"/>
              <w:widowControl w:val="0"/>
              <w:numPr>
                <w:ilvl w:val="0"/>
                <w:numId w:val="61"/>
              </w:numPr>
              <w:autoSpaceDE w:val="0"/>
              <w:autoSpaceDN w:val="0"/>
              <w:spacing w:after="0" w:line="240" w:lineRule="auto"/>
              <w:jc w:val="both"/>
              <w:rPr>
                <w:sz w:val="20"/>
                <w:szCs w:val="20"/>
                <w:lang w:val="es-ES"/>
              </w:rPr>
            </w:pPr>
            <w:r w:rsidRPr="00756410">
              <w:rPr>
                <w:b/>
                <w:sz w:val="20"/>
                <w:szCs w:val="20"/>
                <w:lang w:val="es-ES"/>
              </w:rPr>
              <w:t>Administra contratos:</w:t>
            </w:r>
            <w:r w:rsidRPr="00756410">
              <w:rPr>
                <w:sz w:val="20"/>
                <w:szCs w:val="20"/>
                <w:lang w:val="es-ES"/>
              </w:rPr>
              <w:t xml:space="preserve"> basado en solicitudes de servicio aprobadas presentadas por las oficinas/unidades solicitantes.</w:t>
            </w:r>
          </w:p>
        </w:tc>
      </w:tr>
      <w:tr w:rsidR="00BD3938" w:rsidRPr="00773863" w14:paraId="76A8FCC8" w14:textId="77777777" w:rsidTr="363CA695">
        <w:trPr>
          <w:trHeight w:val="20"/>
        </w:trPr>
        <w:tc>
          <w:tcPr>
            <w:tcW w:w="9900" w:type="dxa"/>
          </w:tcPr>
          <w:p w14:paraId="3D4762E0" w14:textId="3ECF7E75" w:rsidR="007936B7" w:rsidRPr="00756410" w:rsidRDefault="007936B7" w:rsidP="00756410">
            <w:pPr>
              <w:pStyle w:val="ListParagraph"/>
              <w:widowControl w:val="0"/>
              <w:numPr>
                <w:ilvl w:val="0"/>
                <w:numId w:val="61"/>
              </w:numPr>
              <w:autoSpaceDE w:val="0"/>
              <w:autoSpaceDN w:val="0"/>
              <w:spacing w:after="0" w:line="240" w:lineRule="auto"/>
              <w:jc w:val="both"/>
              <w:rPr>
                <w:sz w:val="20"/>
                <w:szCs w:val="20"/>
                <w:lang w:val="es-419"/>
              </w:rPr>
            </w:pPr>
            <w:r w:rsidRPr="00756410">
              <w:rPr>
                <w:b/>
                <w:bCs/>
                <w:sz w:val="20"/>
                <w:szCs w:val="20"/>
                <w:lang w:val="es-419"/>
              </w:rPr>
              <w:t>Administra los eventos de la organización:</w:t>
            </w:r>
            <w:r w:rsidRPr="00756410">
              <w:rPr>
                <w:sz w:val="20"/>
                <w:szCs w:val="20"/>
                <w:lang w:val="es-419"/>
              </w:rPr>
              <w:t xml:space="preserve"> (como reasignaci</w:t>
            </w:r>
            <w:r w:rsidR="005F1864">
              <w:rPr>
                <w:sz w:val="20"/>
                <w:szCs w:val="20"/>
                <w:lang w:val="es-419"/>
              </w:rPr>
              <w:t>o</w:t>
            </w:r>
            <w:r w:rsidRPr="00756410">
              <w:rPr>
                <w:sz w:val="20"/>
                <w:szCs w:val="20"/>
                <w:lang w:val="es-419"/>
              </w:rPr>
              <w:t>n</w:t>
            </w:r>
            <w:r w:rsidR="005F1864">
              <w:rPr>
                <w:sz w:val="20"/>
                <w:szCs w:val="20"/>
                <w:lang w:val="es-419"/>
              </w:rPr>
              <w:t>es</w:t>
            </w:r>
            <w:r w:rsidRPr="00756410">
              <w:rPr>
                <w:sz w:val="20"/>
                <w:szCs w:val="20"/>
                <w:lang w:val="es-419"/>
              </w:rPr>
              <w:t>/promoci</w:t>
            </w:r>
            <w:r w:rsidR="005F1864">
              <w:rPr>
                <w:sz w:val="20"/>
                <w:szCs w:val="20"/>
                <w:lang w:val="es-419"/>
              </w:rPr>
              <w:t>ones</w:t>
            </w:r>
            <w:r w:rsidRPr="00756410">
              <w:rPr>
                <w:sz w:val="20"/>
                <w:szCs w:val="20"/>
                <w:lang w:val="es-419"/>
              </w:rPr>
              <w:t>; aumentos salariales, pago por condiciones de vida peligrosas; adscripciones, préstamos, transferencias), asegurándose de que se obtengan las autorizaciones y la documentación de respaldo adecuadas antes de tomar medidas en Quantum.</w:t>
            </w:r>
          </w:p>
        </w:tc>
      </w:tr>
      <w:tr w:rsidR="00BD3938" w:rsidRPr="00773863" w14:paraId="4A7C274B" w14:textId="77777777" w:rsidTr="363CA695">
        <w:trPr>
          <w:trHeight w:val="20"/>
        </w:trPr>
        <w:tc>
          <w:tcPr>
            <w:tcW w:w="9900" w:type="dxa"/>
          </w:tcPr>
          <w:p w14:paraId="4BF67F3D" w14:textId="3933146A" w:rsidR="007936B7" w:rsidRPr="00756410" w:rsidRDefault="007936B7" w:rsidP="00756410">
            <w:pPr>
              <w:pStyle w:val="ListParagraph"/>
              <w:widowControl w:val="0"/>
              <w:numPr>
                <w:ilvl w:val="0"/>
                <w:numId w:val="61"/>
              </w:numPr>
              <w:autoSpaceDE w:val="0"/>
              <w:autoSpaceDN w:val="0"/>
              <w:spacing w:after="0" w:line="240" w:lineRule="auto"/>
              <w:jc w:val="both"/>
              <w:rPr>
                <w:sz w:val="20"/>
                <w:szCs w:val="20"/>
                <w:lang w:val="es-419"/>
              </w:rPr>
            </w:pPr>
            <w:r w:rsidRPr="00756410">
              <w:rPr>
                <w:b/>
                <w:bCs/>
                <w:sz w:val="20"/>
                <w:szCs w:val="20"/>
                <w:lang w:val="es-419"/>
              </w:rPr>
              <w:t>Administra las separaciones del servicio para todo el personal</w:t>
            </w:r>
            <w:r w:rsidR="00E129C1">
              <w:rPr>
                <w:b/>
                <w:bCs/>
                <w:sz w:val="20"/>
                <w:szCs w:val="20"/>
                <w:lang w:val="es-419"/>
              </w:rPr>
              <w:t xml:space="preserve"> funcionario</w:t>
            </w:r>
            <w:r w:rsidRPr="00756410">
              <w:rPr>
                <w:b/>
                <w:bCs/>
                <w:sz w:val="20"/>
                <w:szCs w:val="20"/>
                <w:lang w:val="es-419"/>
              </w:rPr>
              <w:t xml:space="preserve"> y </w:t>
            </w:r>
            <w:r w:rsidR="00E129C1">
              <w:rPr>
                <w:b/>
                <w:bCs/>
                <w:sz w:val="20"/>
                <w:szCs w:val="20"/>
                <w:lang w:val="es-419"/>
              </w:rPr>
              <w:t xml:space="preserve">para </w:t>
            </w:r>
            <w:r w:rsidRPr="00756410">
              <w:rPr>
                <w:b/>
                <w:bCs/>
                <w:sz w:val="20"/>
                <w:szCs w:val="20"/>
                <w:lang w:val="es-419"/>
              </w:rPr>
              <w:t>los PSA:</w:t>
            </w:r>
            <w:r w:rsidRPr="00756410">
              <w:rPr>
                <w:sz w:val="20"/>
                <w:szCs w:val="20"/>
                <w:lang w:val="es-419"/>
              </w:rPr>
              <w:t xml:space="preserve"> asegurando que se obtengan las autorizaciones y la documentación de respaldo adecuadas antes de tomar medidas en Quantum. Nota: El Jefe de la Oficina/Unidad no tiene autoridad para despedir a </w:t>
            </w:r>
            <w:r w:rsidR="00E129C1">
              <w:rPr>
                <w:sz w:val="20"/>
                <w:szCs w:val="20"/>
                <w:lang w:val="es-419"/>
              </w:rPr>
              <w:t>personal funcionario</w:t>
            </w:r>
            <w:r w:rsidRPr="00756410">
              <w:rPr>
                <w:sz w:val="20"/>
                <w:szCs w:val="20"/>
                <w:lang w:val="es-419"/>
              </w:rPr>
              <w:t>; esa autoridad reside en la sede central (Director de BMS, Administrador Asociado o Administrador, según la situación y el nivel de personal).</w:t>
            </w:r>
          </w:p>
        </w:tc>
      </w:tr>
      <w:tr w:rsidR="00FC6582" w:rsidRPr="00773863" w14:paraId="43C234B1" w14:textId="77777777" w:rsidTr="363CA695">
        <w:trPr>
          <w:trHeight w:val="476"/>
        </w:trPr>
        <w:tc>
          <w:tcPr>
            <w:tcW w:w="9900" w:type="dxa"/>
            <w:shd w:val="clear" w:color="auto" w:fill="E2EFD9" w:themeFill="accent6" w:themeFillTint="33"/>
          </w:tcPr>
          <w:p w14:paraId="17FC43D0" w14:textId="7C36BE42" w:rsidR="007936B7" w:rsidRPr="00756410" w:rsidRDefault="00283DCD" w:rsidP="00512A0D">
            <w:pPr>
              <w:spacing w:after="0" w:line="240" w:lineRule="auto"/>
              <w:rPr>
                <w:b/>
                <w:sz w:val="20"/>
                <w:szCs w:val="20"/>
                <w:lang w:val="es-419"/>
              </w:rPr>
            </w:pPr>
            <w:r>
              <w:rPr>
                <w:b/>
                <w:bCs/>
                <w:sz w:val="20"/>
                <w:szCs w:val="20"/>
                <w:lang w:val="es-419"/>
              </w:rPr>
              <w:t>Perfil de usuario de recursos humanos (H</w:t>
            </w:r>
            <w:r w:rsidR="007936B7" w:rsidRPr="00756410">
              <w:rPr>
                <w:b/>
                <w:bCs/>
                <w:sz w:val="20"/>
                <w:szCs w:val="20"/>
                <w:lang w:val="es-419"/>
              </w:rPr>
              <w:t>R</w:t>
            </w:r>
            <w:r>
              <w:rPr>
                <w:b/>
                <w:bCs/>
                <w:sz w:val="20"/>
                <w:szCs w:val="20"/>
                <w:lang w:val="es-419"/>
              </w:rPr>
              <w:t>) en IDAM</w:t>
            </w:r>
            <w:r w:rsidR="007936B7" w:rsidRPr="00756410">
              <w:rPr>
                <w:b/>
                <w:bCs/>
                <w:sz w:val="20"/>
                <w:szCs w:val="20"/>
                <w:lang w:val="es-419"/>
              </w:rPr>
              <w:t xml:space="preserve">: Administrador de RRHH </w:t>
            </w:r>
            <w:r w:rsidR="009A7BC7">
              <w:rPr>
                <w:b/>
                <w:bCs/>
                <w:sz w:val="20"/>
                <w:szCs w:val="20"/>
                <w:lang w:val="es-419"/>
              </w:rPr>
              <w:t>[</w:t>
            </w:r>
            <w:r w:rsidR="009A7BC7" w:rsidRPr="00756410">
              <w:rPr>
                <w:b/>
                <w:bCs/>
                <w:i/>
                <w:iCs/>
                <w:sz w:val="20"/>
                <w:szCs w:val="20"/>
                <w:lang w:val="es-419"/>
              </w:rPr>
              <w:t>HR Administrator</w:t>
            </w:r>
            <w:r w:rsidR="009A7BC7">
              <w:rPr>
                <w:b/>
                <w:bCs/>
                <w:sz w:val="20"/>
                <w:szCs w:val="20"/>
                <w:lang w:val="es-419"/>
              </w:rPr>
              <w:t xml:space="preserve">] </w:t>
            </w:r>
            <w:r w:rsidR="007936B7" w:rsidRPr="00756410">
              <w:rPr>
                <w:b/>
                <w:bCs/>
                <w:sz w:val="20"/>
                <w:szCs w:val="20"/>
                <w:lang w:val="es-419"/>
              </w:rPr>
              <w:t>(asignación disponible solo para miembros del personal en BMS/GSSC y oficinas/</w:t>
            </w:r>
            <w:r w:rsidR="0019169F" w:rsidRPr="00756410">
              <w:rPr>
                <w:b/>
                <w:bCs/>
                <w:sz w:val="20"/>
                <w:szCs w:val="20"/>
                <w:lang w:val="es-419"/>
              </w:rPr>
              <w:t>unidades de la sede fuera de Nueva York</w:t>
            </w:r>
            <w:r w:rsidR="007936B7" w:rsidRPr="00756410">
              <w:rPr>
                <w:b/>
                <w:bCs/>
                <w:sz w:val="20"/>
                <w:szCs w:val="20"/>
                <w:lang w:val="es-419"/>
              </w:rPr>
              <w:t>, a menos que el Director de BMS haya otorgado una excepción para asignaciones que no sean de personal)</w:t>
            </w:r>
          </w:p>
        </w:tc>
      </w:tr>
      <w:tr w:rsidR="00C27124" w:rsidRPr="00773863" w14:paraId="2DB8EAB2" w14:textId="77777777" w:rsidTr="363CA695">
        <w:trPr>
          <w:trHeight w:val="467"/>
        </w:trPr>
        <w:tc>
          <w:tcPr>
            <w:tcW w:w="9900" w:type="dxa"/>
            <w:shd w:val="clear" w:color="auto" w:fill="D9D9D9" w:themeFill="background1" w:themeFillShade="D9"/>
          </w:tcPr>
          <w:p w14:paraId="0C6C31A3" w14:textId="0533DBED" w:rsidR="007936B7" w:rsidRPr="00756410" w:rsidRDefault="007936B7" w:rsidP="00512A0D">
            <w:pPr>
              <w:spacing w:after="0" w:line="240" w:lineRule="auto"/>
              <w:rPr>
                <w:b/>
                <w:sz w:val="20"/>
                <w:szCs w:val="20"/>
                <w:lang w:val="es-419"/>
              </w:rPr>
            </w:pPr>
            <w:r w:rsidRPr="00756410">
              <w:rPr>
                <w:b/>
                <w:bCs/>
                <w:sz w:val="20"/>
                <w:szCs w:val="20"/>
                <w:lang w:val="es-419"/>
              </w:rPr>
              <w:t xml:space="preserve">Segregación de funciones requerida: </w:t>
            </w:r>
            <w:r w:rsidRPr="00756410">
              <w:rPr>
                <w:sz w:val="20"/>
                <w:szCs w:val="20"/>
                <w:lang w:val="es-419"/>
              </w:rPr>
              <w:t xml:space="preserve">El </w:t>
            </w:r>
            <w:r w:rsidR="00E129C1" w:rsidRPr="00CC15E9">
              <w:rPr>
                <w:sz w:val="20"/>
                <w:szCs w:val="20"/>
                <w:lang w:val="es-419"/>
              </w:rPr>
              <w:t>A</w:t>
            </w:r>
            <w:r w:rsidRPr="00756410">
              <w:rPr>
                <w:sz w:val="20"/>
                <w:szCs w:val="20"/>
                <w:lang w:val="es-419"/>
              </w:rPr>
              <w:t xml:space="preserve">dministrador de </w:t>
            </w:r>
            <w:r w:rsidR="00E129C1" w:rsidRPr="00CC15E9">
              <w:rPr>
                <w:sz w:val="20"/>
                <w:szCs w:val="20"/>
                <w:lang w:val="es-419"/>
              </w:rPr>
              <w:t>R</w:t>
            </w:r>
            <w:r w:rsidRPr="00756410">
              <w:rPr>
                <w:sz w:val="20"/>
                <w:szCs w:val="20"/>
                <w:lang w:val="es-419"/>
              </w:rPr>
              <w:t xml:space="preserve">ecursos </w:t>
            </w:r>
            <w:r w:rsidR="00E129C1" w:rsidRPr="00CC15E9">
              <w:rPr>
                <w:sz w:val="20"/>
                <w:szCs w:val="20"/>
                <w:lang w:val="es-419"/>
              </w:rPr>
              <w:t>H</w:t>
            </w:r>
            <w:r w:rsidRPr="00756410">
              <w:rPr>
                <w:sz w:val="20"/>
                <w:szCs w:val="20"/>
                <w:lang w:val="es-419"/>
              </w:rPr>
              <w:t xml:space="preserve">umanos (como primera autoridad) no puede ser un </w:t>
            </w:r>
            <w:r w:rsidR="00E129C1" w:rsidRPr="00CC15E9">
              <w:rPr>
                <w:sz w:val="20"/>
                <w:szCs w:val="20"/>
                <w:lang w:val="es-419"/>
              </w:rPr>
              <w:t>A</w:t>
            </w:r>
            <w:r w:rsidRPr="00756410">
              <w:rPr>
                <w:sz w:val="20"/>
                <w:szCs w:val="20"/>
                <w:lang w:val="es-419"/>
              </w:rPr>
              <w:t xml:space="preserve">dministrador de </w:t>
            </w:r>
            <w:r w:rsidR="00E129C1" w:rsidRPr="00CC15E9">
              <w:rPr>
                <w:sz w:val="20"/>
                <w:szCs w:val="20"/>
                <w:lang w:val="es-419"/>
              </w:rPr>
              <w:t>N</w:t>
            </w:r>
            <w:r w:rsidRPr="00756410">
              <w:rPr>
                <w:sz w:val="20"/>
                <w:szCs w:val="20"/>
                <w:lang w:val="es-419"/>
              </w:rPr>
              <w:t xml:space="preserve">ómina </w:t>
            </w:r>
            <w:r w:rsidR="00E129C1" w:rsidRPr="00CC15E9">
              <w:rPr>
                <w:sz w:val="20"/>
                <w:szCs w:val="20"/>
                <w:lang w:val="es-419"/>
              </w:rPr>
              <w:t>G</w:t>
            </w:r>
            <w:r w:rsidRPr="00756410">
              <w:rPr>
                <w:sz w:val="20"/>
                <w:szCs w:val="20"/>
                <w:lang w:val="es-419"/>
              </w:rPr>
              <w:t xml:space="preserve">lobal (segunda autoridad) o un </w:t>
            </w:r>
            <w:r w:rsidR="00E129C1" w:rsidRPr="00CC15E9">
              <w:rPr>
                <w:sz w:val="20"/>
                <w:szCs w:val="20"/>
                <w:lang w:val="es-419"/>
              </w:rPr>
              <w:t>U</w:t>
            </w:r>
            <w:r w:rsidRPr="00756410">
              <w:rPr>
                <w:sz w:val="20"/>
                <w:szCs w:val="20"/>
                <w:lang w:val="es-419"/>
              </w:rPr>
              <w:t xml:space="preserve">suario de la </w:t>
            </w:r>
            <w:r w:rsidR="00E129C1" w:rsidRPr="00CC15E9">
              <w:rPr>
                <w:sz w:val="20"/>
                <w:szCs w:val="20"/>
                <w:lang w:val="es-419"/>
              </w:rPr>
              <w:t>H</w:t>
            </w:r>
            <w:r w:rsidRPr="00756410">
              <w:rPr>
                <w:sz w:val="20"/>
                <w:szCs w:val="20"/>
                <w:lang w:val="es-419"/>
              </w:rPr>
              <w:t xml:space="preserve">erramienta de </w:t>
            </w:r>
            <w:r w:rsidR="00C81106" w:rsidRPr="00CC15E9">
              <w:rPr>
                <w:sz w:val="20"/>
                <w:szCs w:val="20"/>
                <w:lang w:val="es-419"/>
              </w:rPr>
              <w:t>V</w:t>
            </w:r>
            <w:r w:rsidR="00C81106" w:rsidRPr="00C81106">
              <w:rPr>
                <w:sz w:val="20"/>
                <w:szCs w:val="20"/>
                <w:lang w:val="es-419"/>
              </w:rPr>
              <w:t>alidación</w:t>
            </w:r>
            <w:r w:rsidRPr="00756410">
              <w:rPr>
                <w:sz w:val="20"/>
                <w:szCs w:val="20"/>
                <w:lang w:val="es-419"/>
              </w:rPr>
              <w:t xml:space="preserve"> de </w:t>
            </w:r>
            <w:r w:rsidR="00E129C1" w:rsidRPr="00CC15E9">
              <w:rPr>
                <w:sz w:val="20"/>
                <w:szCs w:val="20"/>
                <w:lang w:val="es-419"/>
              </w:rPr>
              <w:t>N</w:t>
            </w:r>
            <w:r w:rsidRPr="00756410">
              <w:rPr>
                <w:sz w:val="20"/>
                <w:szCs w:val="20"/>
                <w:lang w:val="es-419"/>
              </w:rPr>
              <w:t>ómina (tercera autoridad)</w:t>
            </w:r>
          </w:p>
        </w:tc>
      </w:tr>
    </w:tbl>
    <w:p w14:paraId="528DFA65" w14:textId="77777777" w:rsidR="00146B83" w:rsidRPr="00756410" w:rsidRDefault="00146B83" w:rsidP="00146B83">
      <w:pPr>
        <w:rPr>
          <w:lang w:val="es-419"/>
        </w:rPr>
      </w:pPr>
      <w:bookmarkStart w:id="79" w:name="9.3_Global_Payroll_Administrator_(second"/>
      <w:bookmarkStart w:id="80" w:name="_Toc134134779"/>
      <w:bookmarkEnd w:id="79"/>
    </w:p>
    <w:p w14:paraId="796EEC70" w14:textId="661FF39E" w:rsidR="007936B7" w:rsidRPr="00756410" w:rsidRDefault="007936B7">
      <w:pPr>
        <w:pStyle w:val="Heading2"/>
        <w:numPr>
          <w:ilvl w:val="1"/>
          <w:numId w:val="92"/>
        </w:numPr>
        <w:spacing w:before="0" w:after="240"/>
        <w:ind w:left="360"/>
        <w:rPr>
          <w:lang w:val="pt-PT"/>
        </w:rPr>
      </w:pPr>
      <w:bookmarkStart w:id="81" w:name="_Toc210052778"/>
      <w:bookmarkStart w:id="82" w:name="_Hlk188439192"/>
      <w:r w:rsidRPr="00756410">
        <w:rPr>
          <w:lang w:val="pt-PT"/>
        </w:rPr>
        <w:t xml:space="preserve">Administrador de </w:t>
      </w:r>
      <w:r w:rsidR="00E129C1" w:rsidRPr="00756410">
        <w:rPr>
          <w:lang w:val="pt-PT"/>
        </w:rPr>
        <w:t>N</w:t>
      </w:r>
      <w:r w:rsidRPr="00756410">
        <w:rPr>
          <w:lang w:val="pt-PT"/>
        </w:rPr>
        <w:t xml:space="preserve">ómina </w:t>
      </w:r>
      <w:r w:rsidR="00E129C1" w:rsidRPr="00756410">
        <w:rPr>
          <w:lang w:val="pt-PT"/>
        </w:rPr>
        <w:t>G</w:t>
      </w:r>
      <w:r w:rsidRPr="00756410">
        <w:rPr>
          <w:lang w:val="pt-PT"/>
        </w:rPr>
        <w:t>lobal (segunda autoridad, oficial verificador)</w:t>
      </w:r>
      <w:bookmarkEnd w:id="80"/>
      <w:bookmarkEnd w:id="81"/>
    </w:p>
    <w:p w14:paraId="0124A9C7" w14:textId="783A90CD" w:rsidR="00AA5091" w:rsidRPr="00756410" w:rsidRDefault="00AA5091" w:rsidP="00756410">
      <w:pPr>
        <w:spacing w:line="240" w:lineRule="auto"/>
        <w:jc w:val="both"/>
        <w:rPr>
          <w:color w:val="7030A0"/>
          <w:lang w:val="es-419"/>
        </w:rPr>
      </w:pPr>
      <w:r w:rsidRPr="00756410">
        <w:rPr>
          <w:lang w:val="es-419"/>
        </w:rPr>
        <w:t>El personal encargado de la nómina de sueldos es responsable de garantizar el cálculo y registro correctos de los derechos y prestaciones en el marco del régimen común de sueldos y prestaciones de las Naciones Unidas o según lo apruebe el Administrador de Recursos Humanos. Para las transacciones financieras relacionadas con la compensación y los beneficios del personal, los "especialistas en nómina", los "oficiales de nómina", los "asociados de nómina" u otro personal de</w:t>
      </w:r>
      <w:r w:rsidR="00C664A9">
        <w:rPr>
          <w:lang w:val="es-419"/>
        </w:rPr>
        <w:t>l</w:t>
      </w:r>
      <w:r w:rsidRPr="00756410">
        <w:rPr>
          <w:lang w:val="es-419"/>
        </w:rPr>
        <w:t xml:space="preserve"> BMS/GSSC registran los gastos de los proyectos sin la aprobación explícita del nivel transaccional del Gerente de Proyecto, pero con una fuente adecuada y documentación de respaldo que valide la transacción. Los ejemplos incluyen el cargo al plan de cuentas de posición (COA) para reembolsos de impuestos, subvenciones educativas, ajustes de fondos de pensiones, cargos por servicios de </w:t>
      </w:r>
      <w:r w:rsidRPr="00756410">
        <w:rPr>
          <w:lang w:val="es-419"/>
        </w:rPr>
        <w:lastRenderedPageBreak/>
        <w:t xml:space="preserve">nómina y otros cargos respaldados por nómina. Los </w:t>
      </w:r>
      <w:r w:rsidR="00C664A9">
        <w:rPr>
          <w:lang w:val="es-419"/>
        </w:rPr>
        <w:t>G</w:t>
      </w:r>
      <w:r w:rsidRPr="00756410">
        <w:rPr>
          <w:lang w:val="es-419"/>
        </w:rPr>
        <w:t xml:space="preserve">erentes de </w:t>
      </w:r>
      <w:r w:rsidR="00C664A9">
        <w:rPr>
          <w:lang w:val="es-419"/>
        </w:rPr>
        <w:t>P</w:t>
      </w:r>
      <w:r w:rsidRPr="00756410">
        <w:rPr>
          <w:lang w:val="es-419"/>
        </w:rPr>
        <w:t>royecto deben asegurarse de que los fondos siempre se reserven para estos costos para evitar déficits en los proyectos.</w:t>
      </w:r>
    </w:p>
    <w:p w14:paraId="0F348D47" w14:textId="0FB72DF3" w:rsidR="00EB724F" w:rsidRPr="00756410" w:rsidRDefault="007936B7" w:rsidP="00756410">
      <w:pPr>
        <w:spacing w:line="240" w:lineRule="auto"/>
        <w:jc w:val="both"/>
        <w:rPr>
          <w:lang w:val="es-419"/>
        </w:rPr>
      </w:pPr>
      <w:r w:rsidRPr="00756410">
        <w:rPr>
          <w:lang w:val="es-419"/>
        </w:rPr>
        <w:t>La administración y el procesamiento de la nómina de sueldos mensualmente incluyen: i) la actualización de la información bancaria del personal (</w:t>
      </w:r>
      <w:r w:rsidR="00291749">
        <w:rPr>
          <w:lang w:val="es-419"/>
        </w:rPr>
        <w:t xml:space="preserve">personal </w:t>
      </w:r>
      <w:r w:rsidRPr="00756410">
        <w:rPr>
          <w:lang w:val="es-419"/>
        </w:rPr>
        <w:t xml:space="preserve">funcionario y titulares de contratos de PSA/IPSA); (ii) revisar e ingresar ganancias y deducciones manuales; (iii) validar los resultados de la nómina y resolver problemas de nómina; y (iv) realizar la aprobación inicial de la nómina. El Administrador de la </w:t>
      </w:r>
      <w:r w:rsidR="00077579">
        <w:rPr>
          <w:lang w:val="es-419"/>
        </w:rPr>
        <w:t>N</w:t>
      </w:r>
      <w:r w:rsidRPr="00756410">
        <w:rPr>
          <w:lang w:val="es-419"/>
        </w:rPr>
        <w:t xml:space="preserve">ómina </w:t>
      </w:r>
      <w:r w:rsidR="00077579">
        <w:rPr>
          <w:lang w:val="es-419"/>
        </w:rPr>
        <w:t>G</w:t>
      </w:r>
      <w:r w:rsidRPr="00756410">
        <w:rPr>
          <w:lang w:val="es-419"/>
        </w:rPr>
        <w:t xml:space="preserve">lobal, que debe ser un </w:t>
      </w:r>
      <w:r w:rsidR="0042481B">
        <w:rPr>
          <w:lang w:val="es-419"/>
        </w:rPr>
        <w:t xml:space="preserve">personal </w:t>
      </w:r>
      <w:r w:rsidRPr="00756410">
        <w:rPr>
          <w:lang w:val="es-419"/>
        </w:rPr>
        <w:t>funcionario del PNUD, realiza la aprobación inicial de la nómina mensual confirmando que se han seguido las políticas y procedimientos pertinentes. Esta segunda autoridad equivale al "</w:t>
      </w:r>
      <w:r w:rsidR="007C7BB4">
        <w:rPr>
          <w:lang w:val="es-419"/>
        </w:rPr>
        <w:t xml:space="preserve">personal </w:t>
      </w:r>
      <w:r w:rsidR="007C7BB4" w:rsidRPr="00756410">
        <w:rPr>
          <w:lang w:val="es-ES"/>
        </w:rPr>
        <w:t>encargado de verificar</w:t>
      </w:r>
      <w:r w:rsidRPr="00756410">
        <w:rPr>
          <w:lang w:val="es-419"/>
        </w:rPr>
        <w:t>"</w:t>
      </w:r>
      <w:r w:rsidR="0045472A">
        <w:rPr>
          <w:lang w:val="es-419"/>
        </w:rPr>
        <w:t xml:space="preserve"> o “oficial verificador”</w:t>
      </w:r>
      <w:r w:rsidRPr="00756410">
        <w:rPr>
          <w:lang w:val="es-419"/>
        </w:rPr>
        <w:t xml:space="preserve"> que figura en el párrafo 20.02 a) del Reglamento Financiero del PNUD.</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C27124" w:rsidRPr="00773863" w14:paraId="1F27297E" w14:textId="77777777" w:rsidTr="41D73977">
        <w:trPr>
          <w:trHeight w:val="20"/>
        </w:trPr>
        <w:tc>
          <w:tcPr>
            <w:tcW w:w="9900" w:type="dxa"/>
            <w:shd w:val="clear" w:color="auto" w:fill="FFF1CC"/>
          </w:tcPr>
          <w:p w14:paraId="5777849C" w14:textId="016A82E5" w:rsidR="007936B7" w:rsidRPr="00756410" w:rsidRDefault="007936B7" w:rsidP="00756410">
            <w:pPr>
              <w:spacing w:after="0" w:line="240" w:lineRule="auto"/>
              <w:jc w:val="both"/>
              <w:rPr>
                <w:b/>
                <w:sz w:val="20"/>
                <w:szCs w:val="20"/>
                <w:lang w:val="es-419"/>
              </w:rPr>
            </w:pPr>
            <w:r w:rsidRPr="00756410">
              <w:rPr>
                <w:b/>
                <w:bCs/>
                <w:sz w:val="20"/>
                <w:szCs w:val="20"/>
                <w:lang w:val="es-419"/>
              </w:rPr>
              <w:t xml:space="preserve">Administrador de nómina global (segunda autoridad, oficial verificador): Responsabilidades de control interno realizadas por BMS/GSSC para todas las oficinas/unidades, excepto la nómina local en </w:t>
            </w:r>
            <w:r w:rsidR="00DF0148" w:rsidRPr="00756410">
              <w:rPr>
                <w:b/>
                <w:bCs/>
                <w:sz w:val="20"/>
                <w:szCs w:val="20"/>
                <w:lang w:val="es-419"/>
              </w:rPr>
              <w:t>unidades de la sede fuera de Nueva York</w:t>
            </w:r>
          </w:p>
        </w:tc>
      </w:tr>
      <w:tr w:rsidR="003C2B04" w:rsidRPr="00773863" w14:paraId="471F7D35" w14:textId="77777777" w:rsidTr="41D73977">
        <w:trPr>
          <w:trHeight w:val="20"/>
        </w:trPr>
        <w:tc>
          <w:tcPr>
            <w:tcW w:w="9900" w:type="dxa"/>
          </w:tcPr>
          <w:p w14:paraId="07F04A04" w14:textId="5757EEB1" w:rsidR="00AA5091" w:rsidRPr="00756410" w:rsidRDefault="00AA5091">
            <w:pPr>
              <w:pStyle w:val="ListParagraph"/>
              <w:numPr>
                <w:ilvl w:val="0"/>
                <w:numId w:val="60"/>
              </w:numPr>
              <w:spacing w:after="0" w:line="240" w:lineRule="auto"/>
              <w:rPr>
                <w:sz w:val="20"/>
                <w:szCs w:val="20"/>
                <w:lang w:val="es-419"/>
              </w:rPr>
            </w:pPr>
            <w:r w:rsidRPr="00756410">
              <w:rPr>
                <w:sz w:val="20"/>
                <w:szCs w:val="20"/>
                <w:lang w:val="es-419"/>
              </w:rPr>
              <w:t>El personal</w:t>
            </w:r>
            <w:r w:rsidR="00A3112F">
              <w:rPr>
                <w:sz w:val="20"/>
                <w:szCs w:val="20"/>
                <w:lang w:val="es-419"/>
              </w:rPr>
              <w:t xml:space="preserve"> funcionario del equipo</w:t>
            </w:r>
            <w:r w:rsidRPr="00756410">
              <w:rPr>
                <w:sz w:val="20"/>
                <w:szCs w:val="20"/>
                <w:lang w:val="es-419"/>
              </w:rPr>
              <w:t xml:space="preserve"> de nómina</w:t>
            </w:r>
            <w:r w:rsidR="00A3112F">
              <w:rPr>
                <w:sz w:val="20"/>
                <w:szCs w:val="20"/>
                <w:lang w:val="es-419"/>
              </w:rPr>
              <w:t>s</w:t>
            </w:r>
            <w:r w:rsidRPr="00756410">
              <w:rPr>
                <w:sz w:val="20"/>
                <w:szCs w:val="20"/>
                <w:lang w:val="es-419"/>
              </w:rPr>
              <w:t xml:space="preserve"> de</w:t>
            </w:r>
            <w:r w:rsidR="00A3112F">
              <w:rPr>
                <w:sz w:val="20"/>
                <w:szCs w:val="20"/>
                <w:lang w:val="es-419"/>
              </w:rPr>
              <w:t>l</w:t>
            </w:r>
            <w:r w:rsidRPr="00756410">
              <w:rPr>
                <w:sz w:val="20"/>
                <w:szCs w:val="20"/>
                <w:lang w:val="es-419"/>
              </w:rPr>
              <w:t xml:space="preserve"> BMS/GSSC prepara la nómina mensual (global) para todas las oficinas/unidades.</w:t>
            </w:r>
          </w:p>
        </w:tc>
      </w:tr>
      <w:tr w:rsidR="003C2B04" w:rsidRPr="00773863" w14:paraId="55635648" w14:textId="77777777" w:rsidTr="41D73977">
        <w:trPr>
          <w:trHeight w:val="20"/>
        </w:trPr>
        <w:tc>
          <w:tcPr>
            <w:tcW w:w="9900" w:type="dxa"/>
          </w:tcPr>
          <w:p w14:paraId="4C14CF59" w14:textId="222CBF00" w:rsidR="00AA5091" w:rsidRPr="00756410" w:rsidRDefault="00AA5091" w:rsidP="00756410">
            <w:pPr>
              <w:pStyle w:val="ListParagraph"/>
              <w:numPr>
                <w:ilvl w:val="0"/>
                <w:numId w:val="60"/>
              </w:numPr>
              <w:spacing w:after="0" w:line="240" w:lineRule="auto"/>
              <w:jc w:val="both"/>
              <w:rPr>
                <w:sz w:val="20"/>
                <w:szCs w:val="20"/>
                <w:lang w:val="es-419"/>
              </w:rPr>
            </w:pPr>
            <w:r w:rsidRPr="00756410">
              <w:rPr>
                <w:sz w:val="20"/>
                <w:szCs w:val="20"/>
                <w:lang w:val="es-419"/>
              </w:rPr>
              <w:t>Para la nómina local, l</w:t>
            </w:r>
            <w:r w:rsidR="00A3112F">
              <w:rPr>
                <w:sz w:val="20"/>
                <w:szCs w:val="20"/>
                <w:lang w:val="es-419"/>
              </w:rPr>
              <w:t>a</w:t>
            </w:r>
            <w:r w:rsidRPr="00756410">
              <w:rPr>
                <w:sz w:val="20"/>
                <w:szCs w:val="20"/>
                <w:lang w:val="es-419"/>
              </w:rPr>
              <w:t xml:space="preserve">s </w:t>
            </w:r>
            <w:r w:rsidR="00A421E5" w:rsidRPr="00A421E5">
              <w:rPr>
                <w:sz w:val="20"/>
                <w:szCs w:val="20"/>
                <w:lang w:val="es-419"/>
              </w:rPr>
              <w:t>oficina</w:t>
            </w:r>
            <w:r w:rsidR="00A421E5">
              <w:rPr>
                <w:sz w:val="20"/>
                <w:szCs w:val="20"/>
                <w:lang w:val="es-419"/>
              </w:rPr>
              <w:t>s</w:t>
            </w:r>
            <w:r w:rsidR="00A421E5" w:rsidRPr="00A421E5">
              <w:rPr>
                <w:sz w:val="20"/>
                <w:szCs w:val="20"/>
                <w:lang w:val="es-419"/>
              </w:rPr>
              <w:t xml:space="preserve"> de país </w:t>
            </w:r>
            <w:r w:rsidRPr="00756410">
              <w:rPr>
                <w:sz w:val="20"/>
                <w:szCs w:val="20"/>
                <w:lang w:val="es-419"/>
              </w:rPr>
              <w:t>envían información sobre ganancias y deducciones recurrentes y manuales al administrador de</w:t>
            </w:r>
            <w:r w:rsidR="00A3112F">
              <w:rPr>
                <w:sz w:val="20"/>
                <w:szCs w:val="20"/>
                <w:lang w:val="es-419"/>
              </w:rPr>
              <w:t xml:space="preserve">l </w:t>
            </w:r>
            <w:r w:rsidRPr="00756410">
              <w:rPr>
                <w:sz w:val="20"/>
                <w:szCs w:val="20"/>
                <w:lang w:val="es-419"/>
              </w:rPr>
              <w:t>BMS/GSSC GP, asegurando que todas las ganancias y deducciones únicas (es decir, entradas de datos manuales) estén debidamente aprobadas por el Gerente de Operaciones/RR</w:t>
            </w:r>
            <w:r w:rsidR="00BE56C3">
              <w:rPr>
                <w:sz w:val="20"/>
                <w:szCs w:val="20"/>
                <w:lang w:val="es-419"/>
              </w:rPr>
              <w:t>D</w:t>
            </w:r>
            <w:r w:rsidRPr="00756410">
              <w:rPr>
                <w:sz w:val="20"/>
                <w:szCs w:val="20"/>
                <w:lang w:val="es-419"/>
              </w:rPr>
              <w:t xml:space="preserve"> antes de enviarlas a BMS/GSSC.</w:t>
            </w:r>
          </w:p>
        </w:tc>
      </w:tr>
      <w:tr w:rsidR="003C2B04" w:rsidRPr="00773863" w14:paraId="6D0C4598" w14:textId="77777777" w:rsidTr="41D73977">
        <w:trPr>
          <w:trHeight w:val="20"/>
        </w:trPr>
        <w:tc>
          <w:tcPr>
            <w:tcW w:w="9900" w:type="dxa"/>
          </w:tcPr>
          <w:p w14:paraId="5A0AD7F9" w14:textId="3050998C" w:rsidR="00AA5091" w:rsidRPr="00756410" w:rsidRDefault="00AA5091">
            <w:pPr>
              <w:pStyle w:val="ListParagraph"/>
              <w:numPr>
                <w:ilvl w:val="0"/>
                <w:numId w:val="60"/>
              </w:numPr>
              <w:spacing w:after="0" w:line="240" w:lineRule="auto"/>
              <w:rPr>
                <w:sz w:val="20"/>
                <w:szCs w:val="20"/>
                <w:lang w:val="es-ES"/>
              </w:rPr>
            </w:pPr>
            <w:r w:rsidRPr="00756410">
              <w:rPr>
                <w:sz w:val="20"/>
                <w:szCs w:val="20"/>
                <w:lang w:val="es-ES"/>
              </w:rPr>
              <w:t xml:space="preserve">El personal </w:t>
            </w:r>
            <w:r w:rsidR="00A3112F">
              <w:rPr>
                <w:sz w:val="20"/>
                <w:szCs w:val="20"/>
                <w:lang w:val="es-ES"/>
              </w:rPr>
              <w:t xml:space="preserve">funcionario del equipo </w:t>
            </w:r>
            <w:r w:rsidRPr="00756410">
              <w:rPr>
                <w:sz w:val="20"/>
                <w:szCs w:val="20"/>
                <w:lang w:val="es-ES"/>
              </w:rPr>
              <w:t>de nómina de</w:t>
            </w:r>
            <w:r w:rsidR="00A3112F">
              <w:rPr>
                <w:sz w:val="20"/>
                <w:szCs w:val="20"/>
                <w:lang w:val="es-ES"/>
              </w:rPr>
              <w:t>l</w:t>
            </w:r>
            <w:r w:rsidRPr="00756410">
              <w:rPr>
                <w:sz w:val="20"/>
                <w:szCs w:val="20"/>
                <w:lang w:val="es-ES"/>
              </w:rPr>
              <w:t xml:space="preserve"> BMS/GSSC prepara la nómina mensual (local).</w:t>
            </w:r>
          </w:p>
        </w:tc>
      </w:tr>
      <w:tr w:rsidR="00BD3938" w:rsidRPr="00773863" w14:paraId="59447196" w14:textId="77777777" w:rsidTr="41D73977">
        <w:trPr>
          <w:trHeight w:val="20"/>
        </w:trPr>
        <w:tc>
          <w:tcPr>
            <w:tcW w:w="9900" w:type="dxa"/>
          </w:tcPr>
          <w:p w14:paraId="69C58321" w14:textId="381DD5D0" w:rsidR="00AA5091" w:rsidRPr="00756410" w:rsidRDefault="00AA5091" w:rsidP="00756410">
            <w:pPr>
              <w:pStyle w:val="ListParagraph"/>
              <w:numPr>
                <w:ilvl w:val="0"/>
                <w:numId w:val="60"/>
              </w:numPr>
              <w:spacing w:after="0" w:line="240" w:lineRule="auto"/>
              <w:jc w:val="both"/>
              <w:rPr>
                <w:sz w:val="20"/>
                <w:szCs w:val="20"/>
                <w:lang w:val="es-419"/>
              </w:rPr>
            </w:pPr>
            <w:r w:rsidRPr="00756410">
              <w:rPr>
                <w:sz w:val="20"/>
                <w:szCs w:val="20"/>
                <w:lang w:val="es-419"/>
              </w:rPr>
              <w:t>El administrador de GP verifica la información de beneficios y derechos del personal global y local en Quantum (como segunda autoridad, oficial verificador), crea ganancias y deducciones únicas y recurrentes, y realiza la aprobación inicial en la nómina mensual. Específicamente, el administrador de GP aprueba la nómina mensual después de: (i) se han seguido las políticas y procedimientos de validación (global y local); ii) verificar las prestaciones y los derechos del personal; (iii) crear ganancias y deducciones únicas y recurrentes; y (iv) confirmar la exactitud de las variaciones no estándar (es decir, aquellas variaciones que no se derivan de cambios en los beneficios estándar, como revisiones de la escala salarial, inscripción en pensiones y seguros, etc.) y resolver errores dentro de un mes determinado.</w:t>
            </w:r>
          </w:p>
        </w:tc>
      </w:tr>
      <w:tr w:rsidR="00FC6582" w:rsidRPr="00773863" w14:paraId="70CF9EEC" w14:textId="77777777" w:rsidTr="41D73977">
        <w:trPr>
          <w:trHeight w:val="20"/>
        </w:trPr>
        <w:tc>
          <w:tcPr>
            <w:tcW w:w="9900" w:type="dxa"/>
            <w:shd w:val="clear" w:color="auto" w:fill="E1EED9"/>
          </w:tcPr>
          <w:p w14:paraId="2B477E93" w14:textId="0EFF398E" w:rsidR="007936B7" w:rsidRPr="00756410" w:rsidRDefault="009A7BC7" w:rsidP="00EB724F">
            <w:pPr>
              <w:spacing w:after="0" w:line="240" w:lineRule="auto"/>
              <w:rPr>
                <w:sz w:val="20"/>
                <w:szCs w:val="20"/>
                <w:lang w:val="es-419"/>
              </w:rPr>
            </w:pPr>
            <w:r>
              <w:rPr>
                <w:b/>
                <w:bCs/>
                <w:sz w:val="20"/>
                <w:szCs w:val="20"/>
                <w:lang w:val="es-419"/>
              </w:rPr>
              <w:t>Perfil de usuario de recursos humanos (H</w:t>
            </w:r>
            <w:r w:rsidRPr="00914285">
              <w:rPr>
                <w:b/>
                <w:bCs/>
                <w:sz w:val="20"/>
                <w:szCs w:val="20"/>
                <w:lang w:val="es-419"/>
              </w:rPr>
              <w:t>R</w:t>
            </w:r>
            <w:r>
              <w:rPr>
                <w:b/>
                <w:bCs/>
                <w:sz w:val="20"/>
                <w:szCs w:val="20"/>
                <w:lang w:val="es-419"/>
              </w:rPr>
              <w:t>) en IDAM</w:t>
            </w:r>
            <w:r w:rsidR="007936B7" w:rsidRPr="00756410">
              <w:rPr>
                <w:b/>
                <w:bCs/>
                <w:sz w:val="20"/>
                <w:szCs w:val="20"/>
                <w:lang w:val="es-419"/>
              </w:rPr>
              <w:t xml:space="preserve">: </w:t>
            </w:r>
            <w:r w:rsidR="007936B7" w:rsidRPr="00756410">
              <w:rPr>
                <w:sz w:val="20"/>
                <w:szCs w:val="20"/>
                <w:lang w:val="es-419"/>
              </w:rPr>
              <w:t>Administrador de GP</w:t>
            </w:r>
            <w:r>
              <w:rPr>
                <w:sz w:val="20"/>
                <w:szCs w:val="20"/>
                <w:lang w:val="es-419"/>
              </w:rPr>
              <w:t xml:space="preserve"> [</w:t>
            </w:r>
            <w:r w:rsidRPr="00756410">
              <w:rPr>
                <w:i/>
                <w:iCs/>
                <w:sz w:val="20"/>
                <w:szCs w:val="20"/>
                <w:lang w:val="es-419"/>
              </w:rPr>
              <w:t>GP Administrator</w:t>
            </w:r>
            <w:r>
              <w:rPr>
                <w:sz w:val="20"/>
                <w:szCs w:val="20"/>
                <w:lang w:val="es-419"/>
              </w:rPr>
              <w:t>]</w:t>
            </w:r>
            <w:r w:rsidR="007936B7" w:rsidRPr="00756410">
              <w:rPr>
                <w:sz w:val="20"/>
                <w:szCs w:val="20"/>
                <w:lang w:val="es-419"/>
              </w:rPr>
              <w:t xml:space="preserve"> (asignación disponible solo para miembros del personal en BMS / GSSC y </w:t>
            </w:r>
            <w:r w:rsidR="00B36F5A" w:rsidRPr="3937432E">
              <w:rPr>
                <w:sz w:val="20"/>
                <w:szCs w:val="20"/>
                <w:lang w:val="es-419"/>
              </w:rPr>
              <w:t>unidades de la sede fuera de Nueva York</w:t>
            </w:r>
            <w:r w:rsidR="007936B7" w:rsidRPr="00756410">
              <w:rPr>
                <w:sz w:val="20"/>
                <w:szCs w:val="20"/>
                <w:lang w:val="es-419"/>
              </w:rPr>
              <w:t>)</w:t>
            </w:r>
          </w:p>
        </w:tc>
      </w:tr>
      <w:tr w:rsidR="00C27124" w:rsidRPr="00773863" w14:paraId="6411B8C3" w14:textId="77777777" w:rsidTr="41D73977">
        <w:trPr>
          <w:trHeight w:val="20"/>
        </w:trPr>
        <w:tc>
          <w:tcPr>
            <w:tcW w:w="9900" w:type="dxa"/>
            <w:shd w:val="clear" w:color="auto" w:fill="E1EED9"/>
          </w:tcPr>
          <w:p w14:paraId="6810B58C" w14:textId="05C641D5" w:rsidR="007936B7" w:rsidRPr="00756410" w:rsidRDefault="007936B7" w:rsidP="00EB724F">
            <w:pPr>
              <w:spacing w:after="0" w:line="240" w:lineRule="auto"/>
              <w:rPr>
                <w:sz w:val="20"/>
                <w:szCs w:val="20"/>
                <w:lang w:val="es-419"/>
              </w:rPr>
            </w:pPr>
            <w:r w:rsidRPr="00756410">
              <w:rPr>
                <w:b/>
                <w:bCs/>
                <w:sz w:val="20"/>
                <w:szCs w:val="20"/>
                <w:lang w:val="es-419"/>
              </w:rPr>
              <w:t xml:space="preserve">Segregación de funciones requerida: </w:t>
            </w:r>
            <w:r w:rsidRPr="00756410">
              <w:rPr>
                <w:sz w:val="20"/>
                <w:szCs w:val="20"/>
                <w:lang w:val="es-419"/>
              </w:rPr>
              <w:t>El Administrador de GP (como segunda autoridad) no puede ser un Administrador de Recursos Humanos (primera autoridad) o un Oficial de Desembolso - Nómina (tercera autoridad)</w:t>
            </w:r>
          </w:p>
        </w:tc>
      </w:tr>
    </w:tbl>
    <w:p w14:paraId="16EA092D" w14:textId="77777777" w:rsidR="007936B7" w:rsidRPr="00756410" w:rsidRDefault="007936B7" w:rsidP="007936B7">
      <w:pPr>
        <w:rPr>
          <w:sz w:val="8"/>
          <w:szCs w:val="8"/>
          <w:lang w:val="es-419"/>
        </w:rPr>
      </w:pPr>
    </w:p>
    <w:p w14:paraId="2B6ED240" w14:textId="3DEF7193" w:rsidR="007936B7" w:rsidRPr="00756410" w:rsidRDefault="007936B7">
      <w:pPr>
        <w:pStyle w:val="Heading2"/>
        <w:numPr>
          <w:ilvl w:val="1"/>
          <w:numId w:val="92"/>
        </w:numPr>
        <w:spacing w:after="240"/>
        <w:ind w:left="360"/>
        <w:rPr>
          <w:lang w:val="es-ES"/>
        </w:rPr>
      </w:pPr>
      <w:bookmarkStart w:id="83" w:name="9.4_Disbursing_Officer_–_Payroll_(third_"/>
      <w:bookmarkStart w:id="84" w:name="_Toc134134780"/>
      <w:bookmarkStart w:id="85" w:name="_Toc210052779"/>
      <w:bookmarkEnd w:id="83"/>
      <w:r w:rsidRPr="00756410">
        <w:rPr>
          <w:lang w:val="es-ES"/>
        </w:rPr>
        <w:t>Oficial de Desembolso – Nómina (tercera autoridad, oficial de desembolso)</w:t>
      </w:r>
      <w:bookmarkEnd w:id="84"/>
      <w:bookmarkEnd w:id="85"/>
    </w:p>
    <w:p w14:paraId="5E4A6CE7" w14:textId="4253E582" w:rsidR="007936B7" w:rsidRPr="00756410" w:rsidRDefault="007936B7" w:rsidP="00756410">
      <w:pPr>
        <w:spacing w:line="240" w:lineRule="auto"/>
        <w:jc w:val="both"/>
        <w:rPr>
          <w:lang w:val="es-419"/>
        </w:rPr>
      </w:pPr>
      <w:r w:rsidRPr="00756410">
        <w:rPr>
          <w:lang w:val="es-419"/>
        </w:rPr>
        <w:t xml:space="preserve">El oficial de desembolsos – nómina de sueldos equivale al "oficial de desembolsos" en el párrafo b) del Reglamento Financiero 20.02 del PNUD. Este rol constituye la tercera autoridad en los procesos de nómina global y local y realiza la aprobación final de las nóminas mensuales, autorizando el desembolso de los pagos. Sólo </w:t>
      </w:r>
      <w:r w:rsidR="00B622CC">
        <w:rPr>
          <w:lang w:val="es-419"/>
        </w:rPr>
        <w:t>el personal</w:t>
      </w:r>
      <w:r w:rsidR="00B622CC" w:rsidRPr="00756410">
        <w:rPr>
          <w:lang w:val="es-419"/>
        </w:rPr>
        <w:t xml:space="preserve"> </w:t>
      </w:r>
      <w:r w:rsidRPr="00756410">
        <w:rPr>
          <w:lang w:val="es-419"/>
        </w:rPr>
        <w:t xml:space="preserve">funcionarios del PNUD puede ser designados oficial de desembolsos - nómina. Esta función la desempeña el BMS/GSSC para todas las oficinas y dependencias del PNUD, excepto </w:t>
      </w:r>
      <w:r w:rsidR="00B622CC">
        <w:rPr>
          <w:lang w:val="es-419"/>
        </w:rPr>
        <w:t>para</w:t>
      </w:r>
      <w:r w:rsidR="00B622CC" w:rsidRPr="00756410">
        <w:rPr>
          <w:lang w:val="es-419"/>
        </w:rPr>
        <w:t xml:space="preserve"> </w:t>
      </w:r>
      <w:r w:rsidRPr="00756410">
        <w:rPr>
          <w:lang w:val="es-419"/>
        </w:rPr>
        <w:t>las</w:t>
      </w:r>
      <w:r w:rsidR="00310D99" w:rsidRPr="00D60A61">
        <w:rPr>
          <w:lang w:val="es-419"/>
        </w:rPr>
        <w:t xml:space="preserve"> </w:t>
      </w:r>
      <w:r w:rsidR="00310D99" w:rsidRPr="00756410">
        <w:rPr>
          <w:lang w:val="es-419"/>
        </w:rPr>
        <w:t>unidades de la sede fuera de Nueva York</w:t>
      </w:r>
      <w:r w:rsidR="00165624">
        <w:rPr>
          <w:lang w:val="es-419"/>
        </w:rPr>
        <w:t xml:space="preserve"> (“</w:t>
      </w:r>
      <w:r w:rsidR="00165624" w:rsidRPr="00756410">
        <w:rPr>
          <w:i/>
          <w:iCs/>
          <w:lang w:val="es-419"/>
        </w:rPr>
        <w:t>Outposted HQ locations</w:t>
      </w:r>
      <w:r w:rsidR="00165624">
        <w:rPr>
          <w:lang w:val="es-419"/>
        </w:rPr>
        <w:t>”)</w:t>
      </w:r>
      <w:r w:rsidR="00265917" w:rsidRPr="00D60A61">
        <w:rPr>
          <w:lang w:val="es-419"/>
        </w:rPr>
        <w:t>.</w:t>
      </w:r>
    </w:p>
    <w:p w14:paraId="39BBD22D" w14:textId="21C0A753" w:rsidR="007936B7" w:rsidRPr="00756410" w:rsidRDefault="007936B7" w:rsidP="00756410">
      <w:pPr>
        <w:spacing w:line="240" w:lineRule="auto"/>
        <w:jc w:val="both"/>
        <w:rPr>
          <w:lang w:val="es-419"/>
        </w:rPr>
      </w:pPr>
      <w:r w:rsidRPr="00756410">
        <w:rPr>
          <w:lang w:val="es-419"/>
        </w:rPr>
        <w:t>En el caso de las oficinas</w:t>
      </w:r>
      <w:r w:rsidR="00760121">
        <w:rPr>
          <w:lang w:val="es-419"/>
        </w:rPr>
        <w:t xml:space="preserve"> de país</w:t>
      </w:r>
      <w:r w:rsidRPr="00756410">
        <w:rPr>
          <w:lang w:val="es-419"/>
        </w:rPr>
        <w:t>/</w:t>
      </w:r>
      <w:r w:rsidR="00760121">
        <w:rPr>
          <w:lang w:val="es-419"/>
        </w:rPr>
        <w:t>unidades</w:t>
      </w:r>
      <w:r w:rsidRPr="00756410">
        <w:rPr>
          <w:lang w:val="es-419"/>
        </w:rPr>
        <w:t>, los signatarios del Banco de la oficina local/unidad desempeñan la parte b) de la función de tercera autoridad mediante: i) el examen y la firma de cheques; (ii) firmar la carta de transmisión al banco para las interfaces EFT locales; y (iii) aprobar electrónicamente el pago a través del software del banco local para los pagos de nómina locales.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C27124" w:rsidRPr="00773863" w14:paraId="079FED77" w14:textId="77777777" w:rsidTr="41D73977">
        <w:trPr>
          <w:trHeight w:val="485"/>
        </w:trPr>
        <w:tc>
          <w:tcPr>
            <w:tcW w:w="9900" w:type="dxa"/>
            <w:shd w:val="clear" w:color="auto" w:fill="FFF1CC"/>
          </w:tcPr>
          <w:p w14:paraId="757AEB40" w14:textId="76DFD764" w:rsidR="007936B7" w:rsidRPr="00756410" w:rsidRDefault="007936B7" w:rsidP="006A7B6C">
            <w:pPr>
              <w:spacing w:after="0"/>
              <w:rPr>
                <w:sz w:val="20"/>
                <w:szCs w:val="20"/>
                <w:lang w:val="es-419"/>
              </w:rPr>
            </w:pPr>
            <w:r w:rsidRPr="00756410">
              <w:rPr>
                <w:b/>
                <w:bCs/>
                <w:sz w:val="20"/>
                <w:szCs w:val="20"/>
                <w:lang w:val="es-419"/>
              </w:rPr>
              <w:t>Oficial de Desembolso – Nómina (tercera autoridad, oficial de desembolso): Responsabilidades de control interno realizadas por</w:t>
            </w:r>
            <w:r w:rsidR="00760121">
              <w:rPr>
                <w:b/>
                <w:bCs/>
                <w:sz w:val="20"/>
                <w:szCs w:val="20"/>
                <w:lang w:val="es-419"/>
              </w:rPr>
              <w:t xml:space="preserve"> el</w:t>
            </w:r>
            <w:r w:rsidRPr="00756410">
              <w:rPr>
                <w:b/>
                <w:bCs/>
                <w:sz w:val="20"/>
                <w:szCs w:val="20"/>
                <w:lang w:val="es-419"/>
              </w:rPr>
              <w:t xml:space="preserve"> BMS/GSSC para todas las oficinas/unidades, excepto la nómina local en </w:t>
            </w:r>
            <w:r w:rsidR="00223B63" w:rsidRPr="00756410">
              <w:rPr>
                <w:b/>
                <w:bCs/>
                <w:sz w:val="20"/>
                <w:szCs w:val="20"/>
                <w:lang w:val="es-419"/>
              </w:rPr>
              <w:t>unidades de la sede fuera de Nueva York</w:t>
            </w:r>
            <w:r w:rsidR="00760121">
              <w:rPr>
                <w:b/>
                <w:bCs/>
                <w:sz w:val="20"/>
                <w:szCs w:val="20"/>
                <w:lang w:val="es-419"/>
              </w:rPr>
              <w:t xml:space="preserve"> (“</w:t>
            </w:r>
            <w:r w:rsidR="00760121" w:rsidRPr="00756410">
              <w:rPr>
                <w:b/>
                <w:bCs/>
                <w:i/>
                <w:iCs/>
                <w:sz w:val="20"/>
                <w:szCs w:val="20"/>
                <w:lang w:val="es-419"/>
              </w:rPr>
              <w:t>Outposted HQ locations</w:t>
            </w:r>
            <w:r w:rsidR="00760121">
              <w:rPr>
                <w:b/>
                <w:bCs/>
                <w:sz w:val="20"/>
                <w:szCs w:val="20"/>
                <w:lang w:val="es-419"/>
              </w:rPr>
              <w:t>”)</w:t>
            </w:r>
          </w:p>
        </w:tc>
      </w:tr>
      <w:tr w:rsidR="003C2B04" w:rsidRPr="00773863" w14:paraId="5EEDEEF1" w14:textId="77777777" w:rsidTr="41D73977">
        <w:trPr>
          <w:trHeight w:val="710"/>
        </w:trPr>
        <w:tc>
          <w:tcPr>
            <w:tcW w:w="9900" w:type="dxa"/>
          </w:tcPr>
          <w:p w14:paraId="1D65A169" w14:textId="6E3C5C51" w:rsidR="007936B7" w:rsidRPr="00756410" w:rsidRDefault="007936B7" w:rsidP="00756410">
            <w:pPr>
              <w:pStyle w:val="ListParagraph"/>
              <w:widowControl w:val="0"/>
              <w:numPr>
                <w:ilvl w:val="0"/>
                <w:numId w:val="99"/>
              </w:numPr>
              <w:autoSpaceDE w:val="0"/>
              <w:autoSpaceDN w:val="0"/>
              <w:spacing w:after="0" w:line="240" w:lineRule="auto"/>
              <w:jc w:val="both"/>
              <w:rPr>
                <w:sz w:val="20"/>
                <w:szCs w:val="20"/>
                <w:lang w:val="es-419"/>
              </w:rPr>
            </w:pPr>
            <w:r w:rsidRPr="00756410">
              <w:rPr>
                <w:sz w:val="20"/>
                <w:szCs w:val="20"/>
                <w:lang w:val="es-419"/>
              </w:rPr>
              <w:lastRenderedPageBreak/>
              <w:t>Realiza la aprobación final de la nómina mensual, autorizando el desembolso del pago (Global y Local): esta aprobación confirma que los montos de la nómina son correctos y están listos para el desembolso, y envía automáticamente una notificación por correo electrónico a los Servicios de Nómina Global</w:t>
            </w:r>
            <w:r w:rsidR="00B935B1">
              <w:rPr>
                <w:sz w:val="20"/>
                <w:szCs w:val="20"/>
                <w:lang w:val="es-419"/>
              </w:rPr>
              <w:t xml:space="preserve"> del BMS/GSSC (“</w:t>
            </w:r>
            <w:r w:rsidR="00B935B1" w:rsidRPr="00756410">
              <w:rPr>
                <w:i/>
                <w:iCs/>
                <w:sz w:val="20"/>
                <w:szCs w:val="20"/>
                <w:lang w:val="es-419"/>
              </w:rPr>
              <w:t>Global Payroll Services</w:t>
            </w:r>
            <w:r w:rsidR="00B935B1">
              <w:rPr>
                <w:sz w:val="20"/>
                <w:szCs w:val="20"/>
                <w:lang w:val="es-419"/>
              </w:rPr>
              <w:t>”)</w:t>
            </w:r>
            <w:r w:rsidRPr="00756410">
              <w:rPr>
                <w:sz w:val="20"/>
                <w:szCs w:val="20"/>
                <w:lang w:val="es-419"/>
              </w:rPr>
              <w:t xml:space="preserve"> para solicitar la finalización de la nómina.</w:t>
            </w:r>
          </w:p>
        </w:tc>
      </w:tr>
      <w:tr w:rsidR="001F636E" w:rsidRPr="00773863" w14:paraId="067C8B54" w14:textId="77777777" w:rsidTr="41D73977">
        <w:trPr>
          <w:trHeight w:val="377"/>
        </w:trPr>
        <w:tc>
          <w:tcPr>
            <w:tcW w:w="9900" w:type="dxa"/>
            <w:shd w:val="clear" w:color="auto" w:fill="E2EFD9" w:themeFill="accent6" w:themeFillTint="33"/>
          </w:tcPr>
          <w:p w14:paraId="68F47D6C" w14:textId="1C680B92" w:rsidR="007936B7" w:rsidRPr="00756410" w:rsidRDefault="009A7BC7" w:rsidP="00E116D4">
            <w:pPr>
              <w:spacing w:after="0" w:line="240" w:lineRule="auto"/>
              <w:rPr>
                <w:sz w:val="20"/>
                <w:szCs w:val="20"/>
                <w:lang w:val="es-419"/>
              </w:rPr>
            </w:pPr>
            <w:r>
              <w:rPr>
                <w:b/>
                <w:bCs/>
                <w:sz w:val="20"/>
                <w:szCs w:val="20"/>
                <w:lang w:val="es-419"/>
              </w:rPr>
              <w:t>Perfil de usuario de recursos humanos (H</w:t>
            </w:r>
            <w:r w:rsidRPr="00914285">
              <w:rPr>
                <w:b/>
                <w:bCs/>
                <w:sz w:val="20"/>
                <w:szCs w:val="20"/>
                <w:lang w:val="es-419"/>
              </w:rPr>
              <w:t>R</w:t>
            </w:r>
            <w:r>
              <w:rPr>
                <w:b/>
                <w:bCs/>
                <w:sz w:val="20"/>
                <w:szCs w:val="20"/>
                <w:lang w:val="es-419"/>
              </w:rPr>
              <w:t>) en IDAM</w:t>
            </w:r>
            <w:r w:rsidR="007936B7" w:rsidRPr="00756410">
              <w:rPr>
                <w:b/>
                <w:bCs/>
                <w:sz w:val="20"/>
                <w:szCs w:val="20"/>
                <w:lang w:val="es-419"/>
              </w:rPr>
              <w:t xml:space="preserve">: </w:t>
            </w:r>
            <w:r w:rsidR="007936B7" w:rsidRPr="00756410">
              <w:rPr>
                <w:sz w:val="20"/>
                <w:szCs w:val="20"/>
                <w:lang w:val="es-419"/>
              </w:rPr>
              <w:t>Usuario de la herramienta de validación de nómina</w:t>
            </w:r>
            <w:r w:rsidR="005D780B">
              <w:rPr>
                <w:sz w:val="20"/>
                <w:szCs w:val="20"/>
                <w:lang w:val="es-419"/>
              </w:rPr>
              <w:t xml:space="preserve"> </w:t>
            </w:r>
            <w:r w:rsidR="005D780B" w:rsidRPr="005D780B">
              <w:rPr>
                <w:sz w:val="20"/>
                <w:szCs w:val="20"/>
                <w:lang w:val="es-419"/>
              </w:rPr>
              <w:t>[</w:t>
            </w:r>
            <w:r w:rsidR="005D780B">
              <w:rPr>
                <w:i/>
                <w:iCs/>
                <w:sz w:val="20"/>
                <w:szCs w:val="20"/>
                <w:lang w:val="es-ES"/>
              </w:rPr>
              <w:t>Pa</w:t>
            </w:r>
            <w:r w:rsidR="005D780B" w:rsidRPr="00756410">
              <w:rPr>
                <w:i/>
                <w:iCs/>
                <w:sz w:val="20"/>
                <w:szCs w:val="20"/>
                <w:lang w:val="es-ES"/>
              </w:rPr>
              <w:t>yroll Validation Tool User</w:t>
            </w:r>
            <w:r w:rsidR="005D780B" w:rsidRPr="00756410">
              <w:rPr>
                <w:sz w:val="20"/>
                <w:szCs w:val="20"/>
                <w:lang w:val="es-ES"/>
              </w:rPr>
              <w:t>]</w:t>
            </w:r>
            <w:r w:rsidR="007936B7" w:rsidRPr="00756410">
              <w:rPr>
                <w:sz w:val="20"/>
                <w:szCs w:val="20"/>
                <w:lang w:val="es-419"/>
              </w:rPr>
              <w:t xml:space="preserve"> (asignación disponible solo para miembros del personal en BMS / GSSC y </w:t>
            </w:r>
            <w:r w:rsidR="00730341" w:rsidRPr="3937432E">
              <w:rPr>
                <w:sz w:val="20"/>
                <w:szCs w:val="20"/>
                <w:lang w:val="es-419"/>
              </w:rPr>
              <w:t>unidades de la sede fuera de Nueva York</w:t>
            </w:r>
            <w:r w:rsidR="007936B7" w:rsidRPr="00756410">
              <w:rPr>
                <w:sz w:val="20"/>
                <w:szCs w:val="20"/>
                <w:lang w:val="es-419"/>
              </w:rPr>
              <w:t>)</w:t>
            </w:r>
          </w:p>
        </w:tc>
      </w:tr>
      <w:tr w:rsidR="00C27124" w:rsidRPr="00773863" w14:paraId="73A089F1" w14:textId="77777777" w:rsidTr="41D73977">
        <w:trPr>
          <w:trHeight w:val="458"/>
        </w:trPr>
        <w:tc>
          <w:tcPr>
            <w:tcW w:w="9900" w:type="dxa"/>
            <w:shd w:val="clear" w:color="auto" w:fill="D9D9D9" w:themeFill="background1" w:themeFillShade="D9"/>
          </w:tcPr>
          <w:p w14:paraId="72F9C8FD" w14:textId="663FA03D" w:rsidR="007936B7" w:rsidRPr="00756410" w:rsidRDefault="007936B7" w:rsidP="00E116D4">
            <w:pPr>
              <w:spacing w:after="0" w:line="240" w:lineRule="auto"/>
              <w:rPr>
                <w:lang w:val="es-419"/>
              </w:rPr>
            </w:pPr>
            <w:r w:rsidRPr="00756410">
              <w:rPr>
                <w:b/>
                <w:bCs/>
                <w:sz w:val="20"/>
                <w:szCs w:val="20"/>
                <w:lang w:val="es-419"/>
              </w:rPr>
              <w:t xml:space="preserve">Segregación de funciones requerida: </w:t>
            </w:r>
            <w:r w:rsidRPr="00756410">
              <w:rPr>
                <w:sz w:val="20"/>
                <w:szCs w:val="20"/>
                <w:lang w:val="es-419"/>
              </w:rPr>
              <w:t>El Oficial de Desembolso - Nómina (como tercera autoridad) no puede ser un Administrador de Recursos Humanos (primera autoridad) o un Administrador de GP (segunda autoridad).</w:t>
            </w:r>
          </w:p>
        </w:tc>
      </w:tr>
    </w:tbl>
    <w:p w14:paraId="3B97A97F" w14:textId="70D8E273" w:rsidR="008E2319" w:rsidRPr="00756410" w:rsidRDefault="008E2319">
      <w:pPr>
        <w:rPr>
          <w:sz w:val="8"/>
          <w:szCs w:val="8"/>
          <w:lang w:val="es-419"/>
        </w:rPr>
      </w:pPr>
    </w:p>
    <w:p w14:paraId="7DD4526C" w14:textId="3A62D82B" w:rsidR="009D421C" w:rsidRPr="00756410" w:rsidRDefault="009D421C">
      <w:pPr>
        <w:rPr>
          <w:u w:val="single"/>
          <w:lang w:val="es-ES"/>
        </w:rPr>
      </w:pPr>
      <w:r w:rsidRPr="00756410">
        <w:rPr>
          <w:u w:val="single"/>
          <w:lang w:val="es-ES"/>
        </w:rPr>
        <w:t>Resumen del proceso de cálculo de nómina:</w:t>
      </w:r>
    </w:p>
    <w:p w14:paraId="6EFC0377" w14:textId="764DD11B" w:rsidR="009D421C" w:rsidRDefault="00D51DEB">
      <w:r w:rsidRPr="00D51DEB">
        <w:rPr>
          <w:noProof/>
        </w:rPr>
        <w:drawing>
          <wp:inline distT="0" distB="0" distL="0" distR="0" wp14:anchorId="225BE1A3" wp14:editId="33B4201B">
            <wp:extent cx="5730798" cy="1244128"/>
            <wp:effectExtent l="0" t="0" r="3810" b="0"/>
            <wp:docPr id="771299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99125" name=""/>
                    <pic:cNvPicPr/>
                  </pic:nvPicPr>
                  <pic:blipFill>
                    <a:blip r:embed="rId126"/>
                    <a:stretch>
                      <a:fillRect/>
                    </a:stretch>
                  </pic:blipFill>
                  <pic:spPr>
                    <a:xfrm>
                      <a:off x="0" y="0"/>
                      <a:ext cx="5747544" cy="1247763"/>
                    </a:xfrm>
                    <a:prstGeom prst="rect">
                      <a:avLst/>
                    </a:prstGeom>
                  </pic:spPr>
                </pic:pic>
              </a:graphicData>
            </a:graphic>
          </wp:inline>
        </w:drawing>
      </w:r>
    </w:p>
    <w:p w14:paraId="3D811C87" w14:textId="5AFDB525" w:rsidR="00410158" w:rsidRPr="00756410" w:rsidRDefault="00410158">
      <w:pPr>
        <w:rPr>
          <w:color w:val="ED7D31" w:themeColor="accent2"/>
          <w:lang w:val="es-419"/>
        </w:rPr>
      </w:pPr>
      <w:r w:rsidRPr="00756410">
        <w:rPr>
          <w:lang w:val="es-419"/>
        </w:rPr>
        <w:t xml:space="preserve">Para obtener más información sobre los servicios de nómina </w:t>
      </w:r>
      <w:r w:rsidR="000F3C1C">
        <w:rPr>
          <w:lang w:val="es-419"/>
        </w:rPr>
        <w:t xml:space="preserve">del </w:t>
      </w:r>
      <w:r w:rsidRPr="00756410">
        <w:rPr>
          <w:lang w:val="es-419"/>
        </w:rPr>
        <w:t xml:space="preserve">BMS/GSSC (incluida la gestión de puestos), consulte el </w:t>
      </w:r>
      <w:hyperlink r:id="rId127">
        <w:r w:rsidR="6ADD5633" w:rsidRPr="00756410">
          <w:rPr>
            <w:rStyle w:val="Hyperlink"/>
            <w:color w:val="4472C4" w:themeColor="accent1"/>
            <w:lang w:val="es-419"/>
          </w:rPr>
          <w:t>sitio de SharePoint de BMS/GSSC.</w:t>
        </w:r>
      </w:hyperlink>
    </w:p>
    <w:p w14:paraId="7AF4B9C1" w14:textId="77777777" w:rsidR="008022CF" w:rsidRPr="00756410" w:rsidRDefault="008022CF">
      <w:pPr>
        <w:rPr>
          <w:sz w:val="8"/>
          <w:szCs w:val="8"/>
          <w:lang w:val="es-419"/>
        </w:rPr>
      </w:pPr>
    </w:p>
    <w:p w14:paraId="6F749B20" w14:textId="5E909456" w:rsidR="00A23055" w:rsidRPr="00756410" w:rsidRDefault="00DD1EBD">
      <w:pPr>
        <w:pStyle w:val="Heading2"/>
        <w:numPr>
          <w:ilvl w:val="1"/>
          <w:numId w:val="92"/>
        </w:numPr>
        <w:spacing w:after="240"/>
        <w:ind w:left="360"/>
        <w:rPr>
          <w:lang w:val="es-419"/>
        </w:rPr>
      </w:pPr>
      <w:bookmarkStart w:id="86" w:name="_Toc210052780"/>
      <w:bookmarkEnd w:id="82"/>
      <w:r w:rsidRPr="00756410">
        <w:rPr>
          <w:lang w:val="es-419"/>
        </w:rPr>
        <w:t>Administra</w:t>
      </w:r>
      <w:r w:rsidR="006C2D6D">
        <w:rPr>
          <w:lang w:val="es-419"/>
        </w:rPr>
        <w:t>dor</w:t>
      </w:r>
      <w:r w:rsidRPr="00756410">
        <w:rPr>
          <w:lang w:val="es-419"/>
        </w:rPr>
        <w:t xml:space="preserve"> de puestos (varios roles)</w:t>
      </w:r>
      <w:bookmarkEnd w:id="86"/>
    </w:p>
    <w:p w14:paraId="08A8FF4E" w14:textId="51CF9421" w:rsidR="005B305C" w:rsidRPr="00756410" w:rsidRDefault="005B305C" w:rsidP="363CA695">
      <w:pPr>
        <w:spacing w:line="240" w:lineRule="auto"/>
        <w:rPr>
          <w:color w:val="ED7D31" w:themeColor="accent2"/>
          <w:lang w:val="es-419"/>
        </w:rPr>
      </w:pPr>
      <w:r w:rsidRPr="00756410">
        <w:rPr>
          <w:lang w:val="es-419"/>
        </w:rPr>
        <w:t>"Administra</w:t>
      </w:r>
      <w:r w:rsidR="006C2D6D">
        <w:rPr>
          <w:lang w:val="es-419"/>
        </w:rPr>
        <w:t>dor</w:t>
      </w:r>
      <w:r w:rsidRPr="00756410">
        <w:rPr>
          <w:lang w:val="es-419"/>
        </w:rPr>
        <w:t xml:space="preserve"> de puestos" se refiere a la creación y el mantenimiento de registros de puestos en Quantum. Esta es una </w:t>
      </w:r>
      <w:r w:rsidRPr="00756410">
        <w:rPr>
          <w:b/>
          <w:bCs/>
          <w:lang w:val="es-419"/>
        </w:rPr>
        <w:t>función importante de control interno</w:t>
      </w:r>
      <w:r w:rsidRPr="00756410">
        <w:rPr>
          <w:lang w:val="es-419"/>
        </w:rPr>
        <w:t xml:space="preserve">, ya que afecta los arreglos de financiación para la creación y ampliación de puestos. La aprobación final de la acción de administración </w:t>
      </w:r>
      <w:r w:rsidR="00531CF3">
        <w:rPr>
          <w:lang w:val="es-419"/>
        </w:rPr>
        <w:t>de puestos</w:t>
      </w:r>
      <w:r w:rsidRPr="00756410">
        <w:rPr>
          <w:lang w:val="es-419"/>
        </w:rPr>
        <w:t xml:space="preserve"> </w:t>
      </w:r>
      <w:r w:rsidR="00C152B6" w:rsidRPr="00756410">
        <w:rPr>
          <w:b/>
          <w:bCs/>
          <w:lang w:val="es-419"/>
        </w:rPr>
        <w:t xml:space="preserve">debe ser realizada por el Jefe de la Oficina. </w:t>
      </w:r>
      <w:r w:rsidRPr="00756410">
        <w:rPr>
          <w:lang w:val="es-419"/>
        </w:rPr>
        <w:t>El proceso de administración de puestos se ejecuta dentro de Quantum e incluye la aprobación de los Puntos Focales de Recursos Humanos</w:t>
      </w:r>
      <w:r w:rsidR="00531CF3">
        <w:rPr>
          <w:lang w:val="es-419"/>
        </w:rPr>
        <w:t xml:space="preserve"> (“</w:t>
      </w:r>
      <w:r w:rsidR="00531CF3" w:rsidRPr="00756410">
        <w:rPr>
          <w:i/>
          <w:iCs/>
          <w:lang w:val="es-419"/>
        </w:rPr>
        <w:t>HR Focal Points</w:t>
      </w:r>
      <w:r w:rsidR="00531CF3">
        <w:rPr>
          <w:lang w:val="es-419"/>
        </w:rPr>
        <w:t>”)</w:t>
      </w:r>
      <w:r w:rsidRPr="00756410">
        <w:rPr>
          <w:lang w:val="es-419"/>
        </w:rPr>
        <w:t xml:space="preserve"> y los Revisores de Presupuesto </w:t>
      </w:r>
      <w:r w:rsidR="00531CF3">
        <w:rPr>
          <w:lang w:val="es-419"/>
        </w:rPr>
        <w:t>(“</w:t>
      </w:r>
      <w:r w:rsidR="00531CF3" w:rsidRPr="00756410">
        <w:rPr>
          <w:i/>
          <w:iCs/>
          <w:lang w:val="es-419"/>
        </w:rPr>
        <w:t>Budget Reviewers</w:t>
      </w:r>
      <w:r w:rsidR="00531CF3">
        <w:rPr>
          <w:lang w:val="es-419"/>
        </w:rPr>
        <w:t xml:space="preserve">”) </w:t>
      </w:r>
      <w:r w:rsidRPr="00756410">
        <w:rPr>
          <w:lang w:val="es-419"/>
        </w:rPr>
        <w:t xml:space="preserve">en cada Oficina de País/Oficina/Unidad, seguida de aprobaciones condicionales por parte del Jefe de Oficina/Unidad y el aprobador a nivel de Oficina, seguido de una revisión final </w:t>
      </w:r>
      <w:r w:rsidR="006716E8">
        <w:rPr>
          <w:lang w:val="es-419"/>
        </w:rPr>
        <w:t>por parte del</w:t>
      </w:r>
      <w:r w:rsidR="006716E8" w:rsidRPr="00756410">
        <w:rPr>
          <w:lang w:val="es-419"/>
        </w:rPr>
        <w:t xml:space="preserve"> </w:t>
      </w:r>
      <w:r w:rsidRPr="00756410">
        <w:rPr>
          <w:lang w:val="es-419"/>
        </w:rPr>
        <w:t xml:space="preserve">BMS/GSSC antes de ejecutar la transacción en Quantum. Para obtener más información, consulte el </w:t>
      </w:r>
      <w:hyperlink r:id="rId128">
        <w:r w:rsidR="00FC3D4B" w:rsidRPr="00756410">
          <w:rPr>
            <w:rStyle w:val="Hyperlink"/>
            <w:lang w:val="es-419"/>
          </w:rPr>
          <w:t xml:space="preserve">artículo de </w:t>
        </w:r>
        <w:r w:rsidR="00A97446">
          <w:rPr>
            <w:rStyle w:val="Hyperlink"/>
            <w:lang w:val="es-419"/>
          </w:rPr>
          <w:t xml:space="preserve">conocimiento de </w:t>
        </w:r>
        <w:r w:rsidR="00FC3D4B" w:rsidRPr="00756410">
          <w:rPr>
            <w:rStyle w:val="Hyperlink"/>
            <w:lang w:val="es-419"/>
          </w:rPr>
          <w:t>UNall</w:t>
        </w:r>
      </w:hyperlink>
      <w:r w:rsidR="00FC3D4B" w:rsidRPr="00756410">
        <w:rPr>
          <w:color w:val="ED7D31" w:themeColor="accent2"/>
          <w:lang w:val="es-419"/>
        </w:rPr>
        <w:t xml:space="preserve">. </w:t>
      </w:r>
      <w:r w:rsidR="00863D5F" w:rsidRPr="00756410">
        <w:rPr>
          <w:lang w:val="es-419"/>
        </w:rPr>
        <w:t xml:space="preserve">Antes de establecer el puesto en Quantum, se deben haber proporcionado las aprobaciones pertinentes, se debe confirmar la disponibilidad de fondos y deben existir documentos de respaldo adecuados. Se creará un puesto en Quantum siguiendo todos los pasos de aprobación y revisión, como se ilustra a continuación: </w:t>
      </w:r>
    </w:p>
    <w:p w14:paraId="7F5636D9" w14:textId="5780E1C2" w:rsidR="00174A58" w:rsidRPr="00A23055" w:rsidRDefault="00D51DEB" w:rsidP="00A25367">
      <w:pPr>
        <w:jc w:val="center"/>
      </w:pPr>
      <w:r w:rsidRPr="00D51DEB">
        <w:rPr>
          <w:noProof/>
        </w:rPr>
        <w:lastRenderedPageBreak/>
        <w:drawing>
          <wp:inline distT="0" distB="0" distL="0" distR="0" wp14:anchorId="0661A2BA" wp14:editId="5A895EB8">
            <wp:extent cx="4752161" cy="2343150"/>
            <wp:effectExtent l="0" t="0" r="0" b="0"/>
            <wp:docPr id="181293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36519" name=""/>
                    <pic:cNvPicPr/>
                  </pic:nvPicPr>
                  <pic:blipFill>
                    <a:blip r:embed="rId129"/>
                    <a:stretch>
                      <a:fillRect/>
                    </a:stretch>
                  </pic:blipFill>
                  <pic:spPr>
                    <a:xfrm>
                      <a:off x="0" y="0"/>
                      <a:ext cx="4762946" cy="2348468"/>
                    </a:xfrm>
                    <a:prstGeom prst="rect">
                      <a:avLst/>
                    </a:prstGeom>
                  </pic:spPr>
                </pic:pic>
              </a:graphicData>
            </a:graphic>
          </wp:inline>
        </w:drawing>
      </w:r>
    </w:p>
    <w:tbl>
      <w:tblPr>
        <w:tblStyle w:val="TableGrid"/>
        <w:tblW w:w="10255" w:type="dxa"/>
        <w:tblCellMar>
          <w:left w:w="72" w:type="dxa"/>
          <w:bottom w:w="43" w:type="dxa"/>
          <w:right w:w="72" w:type="dxa"/>
        </w:tblCellMar>
        <w:tblLook w:val="04A0" w:firstRow="1" w:lastRow="0" w:firstColumn="1" w:lastColumn="0" w:noHBand="0" w:noVBand="1"/>
      </w:tblPr>
      <w:tblGrid>
        <w:gridCol w:w="4585"/>
        <w:gridCol w:w="4140"/>
        <w:gridCol w:w="1530"/>
      </w:tblGrid>
      <w:tr w:rsidR="006B6603" w:rsidRPr="00773863" w14:paraId="5F169123" w14:textId="3DA2D7F3" w:rsidTr="0004107A">
        <w:trPr>
          <w:trHeight w:val="20"/>
          <w:tblHeader/>
        </w:trPr>
        <w:tc>
          <w:tcPr>
            <w:tcW w:w="4585" w:type="dxa"/>
            <w:tcBorders>
              <w:top w:val="single" w:sz="4" w:space="0" w:color="auto"/>
              <w:left w:val="single" w:sz="4" w:space="0" w:color="auto"/>
              <w:bottom w:val="single" w:sz="4" w:space="0" w:color="auto"/>
              <w:right w:val="single" w:sz="4" w:space="0" w:color="auto"/>
            </w:tcBorders>
            <w:shd w:val="clear" w:color="auto" w:fill="002060"/>
          </w:tcPr>
          <w:p w14:paraId="4498B33E" w14:textId="2372A482" w:rsidR="006B6603" w:rsidRPr="00E06F45" w:rsidRDefault="67308520" w:rsidP="00DE4462">
            <w:pPr>
              <w:rPr>
                <w:b/>
                <w:bCs/>
                <w:sz w:val="20"/>
                <w:szCs w:val="20"/>
              </w:rPr>
            </w:pPr>
            <w:r w:rsidRPr="1C19464E">
              <w:rPr>
                <w:b/>
                <w:bCs/>
                <w:sz w:val="20"/>
                <w:szCs w:val="20"/>
              </w:rPr>
              <w:t xml:space="preserve">Participante y su </w:t>
            </w:r>
            <w:r w:rsidR="0E1AACC5" w:rsidRPr="1C19464E">
              <w:rPr>
                <w:b/>
                <w:bCs/>
                <w:sz w:val="20"/>
                <w:szCs w:val="20"/>
              </w:rPr>
              <w:t>rol</w:t>
            </w:r>
          </w:p>
        </w:tc>
        <w:tc>
          <w:tcPr>
            <w:tcW w:w="4140" w:type="dxa"/>
            <w:tcBorders>
              <w:top w:val="single" w:sz="4" w:space="0" w:color="auto"/>
              <w:left w:val="single" w:sz="4" w:space="0" w:color="auto"/>
              <w:bottom w:val="single" w:sz="4" w:space="0" w:color="auto"/>
              <w:right w:val="single" w:sz="4" w:space="0" w:color="auto"/>
            </w:tcBorders>
            <w:shd w:val="clear" w:color="auto" w:fill="002060"/>
          </w:tcPr>
          <w:p w14:paraId="312121B3" w14:textId="001DE5FF" w:rsidR="006B6603" w:rsidRPr="00756410" w:rsidRDefault="006B6603" w:rsidP="00DE4462">
            <w:pPr>
              <w:rPr>
                <w:b/>
                <w:sz w:val="20"/>
                <w:szCs w:val="20"/>
                <w:lang w:val="es-419"/>
              </w:rPr>
            </w:pPr>
            <w:r w:rsidRPr="00756410">
              <w:rPr>
                <w:b/>
                <w:bCs/>
                <w:sz w:val="20"/>
                <w:szCs w:val="20"/>
                <w:lang w:val="es-419"/>
              </w:rPr>
              <w:t xml:space="preserve">Posee uno de los siguientes perfiles </w:t>
            </w:r>
            <w:r w:rsidR="00E56C13">
              <w:rPr>
                <w:b/>
                <w:bCs/>
                <w:sz w:val="20"/>
                <w:szCs w:val="20"/>
                <w:lang w:val="es-419"/>
              </w:rPr>
              <w:t>de usuario</w:t>
            </w:r>
            <w:r w:rsidR="00E56C13" w:rsidRPr="00756410">
              <w:rPr>
                <w:b/>
                <w:bCs/>
                <w:sz w:val="20"/>
                <w:szCs w:val="20"/>
                <w:lang w:val="es-419"/>
              </w:rPr>
              <w:t xml:space="preserve"> </w:t>
            </w:r>
            <w:r w:rsidRPr="00756410">
              <w:rPr>
                <w:b/>
                <w:bCs/>
                <w:sz w:val="20"/>
                <w:szCs w:val="20"/>
                <w:lang w:val="es-419"/>
              </w:rPr>
              <w:t>de IDAM HR</w:t>
            </w:r>
          </w:p>
        </w:tc>
        <w:tc>
          <w:tcPr>
            <w:tcW w:w="1530" w:type="dxa"/>
            <w:tcBorders>
              <w:top w:val="single" w:sz="4" w:space="0" w:color="auto"/>
              <w:left w:val="single" w:sz="4" w:space="0" w:color="auto"/>
              <w:bottom w:val="single" w:sz="4" w:space="0" w:color="auto"/>
              <w:right w:val="single" w:sz="4" w:space="0" w:color="auto"/>
            </w:tcBorders>
            <w:shd w:val="clear" w:color="auto" w:fill="002060"/>
          </w:tcPr>
          <w:p w14:paraId="2B436364" w14:textId="11CA22B5" w:rsidR="006B6603" w:rsidRPr="00756410" w:rsidRDefault="56F0C974" w:rsidP="1C19464E">
            <w:pPr>
              <w:rPr>
                <w:b/>
                <w:bCs/>
                <w:sz w:val="20"/>
                <w:szCs w:val="20"/>
                <w:lang w:val="es-419"/>
              </w:rPr>
            </w:pPr>
            <w:r w:rsidRPr="48224A22">
              <w:rPr>
                <w:b/>
                <w:bCs/>
                <w:sz w:val="20"/>
                <w:szCs w:val="20"/>
                <w:lang w:val="es-419"/>
              </w:rPr>
              <w:t xml:space="preserve"> Rol asignable a personas </w:t>
            </w:r>
            <w:r w:rsidR="44BF357B" w:rsidRPr="3937432E">
              <w:rPr>
                <w:b/>
                <w:bCs/>
                <w:sz w:val="20"/>
                <w:szCs w:val="20"/>
                <w:lang w:val="es-419"/>
              </w:rPr>
              <w:t>que</w:t>
            </w:r>
            <w:r w:rsidR="5A12C62D" w:rsidRPr="48224A22">
              <w:rPr>
                <w:b/>
                <w:bCs/>
                <w:sz w:val="20"/>
                <w:szCs w:val="20"/>
                <w:lang w:val="es-419"/>
              </w:rPr>
              <w:t xml:space="preserve"> no sean </w:t>
            </w:r>
            <w:r w:rsidR="00B622CC">
              <w:rPr>
                <w:b/>
                <w:bCs/>
                <w:sz w:val="20"/>
                <w:szCs w:val="20"/>
                <w:lang w:val="es-419"/>
              </w:rPr>
              <w:t xml:space="preserve">personal </w:t>
            </w:r>
            <w:r w:rsidR="5A12C62D" w:rsidRPr="48224A22">
              <w:rPr>
                <w:b/>
                <w:bCs/>
                <w:sz w:val="20"/>
                <w:szCs w:val="20"/>
                <w:lang w:val="es-419"/>
              </w:rPr>
              <w:t>funcionario</w:t>
            </w:r>
            <w:r w:rsidR="3D176599" w:rsidRPr="48224A22">
              <w:rPr>
                <w:b/>
                <w:bCs/>
                <w:sz w:val="20"/>
                <w:szCs w:val="20"/>
                <w:lang w:val="es-419"/>
              </w:rPr>
              <w:t xml:space="preserve"> del PNUD</w:t>
            </w:r>
          </w:p>
        </w:tc>
      </w:tr>
      <w:tr w:rsidR="006B6603" w:rsidRPr="002E4B2B" w14:paraId="5299D4B1" w14:textId="5348AC33"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7E3AB436" w14:textId="12A246FD" w:rsidR="006B6603" w:rsidRPr="00756410" w:rsidRDefault="67308520" w:rsidP="00756410">
            <w:pPr>
              <w:pStyle w:val="ListParagraph"/>
              <w:numPr>
                <w:ilvl w:val="0"/>
                <w:numId w:val="37"/>
              </w:numPr>
              <w:jc w:val="both"/>
              <w:rPr>
                <w:b/>
                <w:bCs/>
                <w:sz w:val="20"/>
                <w:szCs w:val="20"/>
                <w:lang w:val="es-419"/>
              </w:rPr>
            </w:pPr>
            <w:r w:rsidRPr="00756410">
              <w:rPr>
                <w:rFonts w:eastAsia="Times New Roman"/>
                <w:b/>
                <w:bCs/>
                <w:kern w:val="0"/>
                <w:sz w:val="20"/>
                <w:szCs w:val="20"/>
                <w:lang w:val="es-419"/>
                <w14:ligatures w14:val="none"/>
              </w:rPr>
              <w:t>Solicitante</w:t>
            </w:r>
            <w:r w:rsidRPr="00756410">
              <w:rPr>
                <w:rFonts w:eastAsia="Times New Roman"/>
                <w:kern w:val="0"/>
                <w:sz w:val="20"/>
                <w:szCs w:val="20"/>
                <w:lang w:val="es-419"/>
                <w14:ligatures w14:val="none"/>
              </w:rPr>
              <w:t>: crea y actualiza puestos por unidad operativa/jerarquía de departamento</w:t>
            </w:r>
          </w:p>
        </w:tc>
        <w:tc>
          <w:tcPr>
            <w:tcW w:w="4140" w:type="dxa"/>
            <w:tcBorders>
              <w:top w:val="single" w:sz="4" w:space="0" w:color="auto"/>
              <w:left w:val="single" w:sz="4" w:space="0" w:color="auto"/>
              <w:bottom w:val="single" w:sz="4" w:space="0" w:color="auto"/>
              <w:right w:val="single" w:sz="4" w:space="0" w:color="auto"/>
            </w:tcBorders>
          </w:tcPr>
          <w:p w14:paraId="1DEC2F03" w14:textId="77777777" w:rsidR="006B6603" w:rsidRPr="00756410" w:rsidRDefault="006B6603" w:rsidP="00FD4A65">
            <w:pPr>
              <w:pStyle w:val="ListParagraph"/>
              <w:numPr>
                <w:ilvl w:val="0"/>
                <w:numId w:val="33"/>
              </w:numPr>
              <w:ind w:left="360"/>
              <w:jc w:val="both"/>
              <w:rPr>
                <w:b/>
                <w:sz w:val="20"/>
                <w:szCs w:val="20"/>
                <w:lang w:val="es-419"/>
              </w:rPr>
            </w:pPr>
            <w:bookmarkStart w:id="87" w:name="_Hlk209005154"/>
            <w:r w:rsidRPr="00756410">
              <w:rPr>
                <w:rFonts w:eastAsia="Times New Roman"/>
                <w:b/>
                <w:kern w:val="0"/>
                <w:sz w:val="20"/>
                <w:szCs w:val="20"/>
                <w:lang w:val="es-419"/>
                <w14:ligatures w14:val="none"/>
              </w:rPr>
              <w:t>Administrador de puestos - Acceso a datos a nivel de unidad operativa</w:t>
            </w:r>
            <w:bookmarkEnd w:id="87"/>
          </w:p>
          <w:p w14:paraId="2D207E4B" w14:textId="1B8098D8" w:rsidR="008B0395" w:rsidRPr="00756410" w:rsidRDefault="008B0395" w:rsidP="00756410">
            <w:pPr>
              <w:pStyle w:val="ListParagraph"/>
              <w:ind w:left="360"/>
              <w:jc w:val="both"/>
              <w:rPr>
                <w:b/>
                <w:sz w:val="20"/>
                <w:szCs w:val="20"/>
                <w:lang w:val="en-GB"/>
              </w:rPr>
            </w:pPr>
            <w:r>
              <w:rPr>
                <w:b/>
                <w:sz w:val="20"/>
                <w:szCs w:val="20"/>
                <w:lang w:val="en-GB"/>
              </w:rPr>
              <w:t>[</w:t>
            </w:r>
            <w:r w:rsidRPr="00756410">
              <w:rPr>
                <w:b/>
                <w:i/>
                <w:iCs/>
                <w:sz w:val="20"/>
                <w:szCs w:val="20"/>
                <w:lang w:val="en-GB"/>
              </w:rPr>
              <w:t>Position Administrator</w:t>
            </w:r>
            <w:r>
              <w:rPr>
                <w:b/>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tcPr>
          <w:p w14:paraId="2602F533" w14:textId="5D055595" w:rsidR="006B6603" w:rsidRPr="00E06F45" w:rsidRDefault="00204126" w:rsidP="000032BC">
            <w:pPr>
              <w:pStyle w:val="ListParagraph"/>
              <w:ind w:left="360" w:hanging="436"/>
              <w:jc w:val="center"/>
              <w:rPr>
                <w:b/>
                <w:bCs/>
                <w:sz w:val="20"/>
                <w:szCs w:val="20"/>
              </w:rPr>
            </w:pPr>
            <w:r>
              <w:rPr>
                <w:sz w:val="20"/>
                <w:szCs w:val="20"/>
              </w:rPr>
              <w:t>Sí</w:t>
            </w:r>
          </w:p>
        </w:tc>
      </w:tr>
      <w:tr w:rsidR="006B6603" w:rsidRPr="002E4B2B" w14:paraId="2B72F2AB" w14:textId="5A8562BE"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0FEE9A1A" w14:textId="7E1FA240" w:rsidR="006B6603" w:rsidRPr="00756410" w:rsidRDefault="67308520" w:rsidP="00756410">
            <w:pPr>
              <w:pStyle w:val="ListParagraph"/>
              <w:numPr>
                <w:ilvl w:val="0"/>
                <w:numId w:val="37"/>
              </w:numPr>
              <w:jc w:val="both"/>
              <w:rPr>
                <w:sz w:val="20"/>
                <w:szCs w:val="20"/>
                <w:lang w:val="es-419"/>
              </w:rPr>
            </w:pPr>
            <w:r w:rsidRPr="00756410">
              <w:rPr>
                <w:b/>
                <w:bCs/>
                <w:sz w:val="20"/>
                <w:szCs w:val="20"/>
                <w:lang w:val="es-419"/>
              </w:rPr>
              <w:t>Punto focal de recursos humanos / revisor del gerente de recursos humanos</w:t>
            </w:r>
            <w:r w:rsidRPr="00756410">
              <w:rPr>
                <w:sz w:val="20"/>
                <w:szCs w:val="20"/>
                <w:lang w:val="es-419"/>
              </w:rPr>
              <w:t xml:space="preserve">: realiza la primera </w:t>
            </w:r>
            <w:r w:rsidR="00FD4A65">
              <w:rPr>
                <w:sz w:val="20"/>
                <w:szCs w:val="20"/>
                <w:lang w:val="es-419"/>
              </w:rPr>
              <w:t>r</w:t>
            </w:r>
            <w:r w:rsidRPr="00756410">
              <w:rPr>
                <w:sz w:val="20"/>
                <w:szCs w:val="20"/>
                <w:lang w:val="es-419"/>
              </w:rPr>
              <w:t>evisión para cualquier solicitud de puesto.</w:t>
            </w:r>
          </w:p>
        </w:tc>
        <w:tc>
          <w:tcPr>
            <w:tcW w:w="4140" w:type="dxa"/>
            <w:tcBorders>
              <w:top w:val="single" w:sz="4" w:space="0" w:color="auto"/>
              <w:left w:val="single" w:sz="4" w:space="0" w:color="auto"/>
              <w:bottom w:val="single" w:sz="4" w:space="0" w:color="auto"/>
              <w:right w:val="single" w:sz="4" w:space="0" w:color="auto"/>
            </w:tcBorders>
          </w:tcPr>
          <w:p w14:paraId="4F9A8F0B" w14:textId="3AF6E53F" w:rsidR="006B6603" w:rsidRDefault="67308520" w:rsidP="00FD4A65">
            <w:pPr>
              <w:pStyle w:val="ListParagraph"/>
              <w:numPr>
                <w:ilvl w:val="0"/>
                <w:numId w:val="33"/>
              </w:numPr>
              <w:ind w:left="360"/>
              <w:jc w:val="both"/>
              <w:rPr>
                <w:sz w:val="20"/>
                <w:szCs w:val="20"/>
                <w:lang w:val="es-419"/>
              </w:rPr>
            </w:pPr>
            <w:bookmarkStart w:id="88" w:name="_Hlk209005164"/>
            <w:r w:rsidRPr="1C19464E">
              <w:rPr>
                <w:b/>
                <w:bCs/>
                <w:sz w:val="20"/>
                <w:szCs w:val="20"/>
                <w:lang w:val="es-419"/>
              </w:rPr>
              <w:t xml:space="preserve"> </w:t>
            </w:r>
            <w:r w:rsidR="063CE9A4" w:rsidRPr="1C19464E">
              <w:rPr>
                <w:b/>
                <w:bCs/>
                <w:sz w:val="20"/>
                <w:szCs w:val="20"/>
                <w:lang w:val="es-419"/>
              </w:rPr>
              <w:t>A</w:t>
            </w:r>
            <w:r w:rsidRPr="1C19464E">
              <w:rPr>
                <w:b/>
                <w:bCs/>
                <w:sz w:val="20"/>
                <w:szCs w:val="20"/>
                <w:lang w:val="es-419"/>
              </w:rPr>
              <w:t>probador de puestos</w:t>
            </w:r>
            <w:r w:rsidR="3859DE30" w:rsidRPr="1C19464E">
              <w:rPr>
                <w:b/>
                <w:bCs/>
                <w:sz w:val="20"/>
                <w:szCs w:val="20"/>
                <w:lang w:val="es-419"/>
              </w:rPr>
              <w:t xml:space="preserve"> / Gerente de </w:t>
            </w:r>
            <w:r w:rsidR="3859DE30" w:rsidRPr="22517BC1">
              <w:rPr>
                <w:b/>
                <w:bCs/>
                <w:sz w:val="20"/>
                <w:szCs w:val="20"/>
                <w:lang w:val="es-419"/>
              </w:rPr>
              <w:t>R</w:t>
            </w:r>
            <w:r w:rsidR="5175BF54" w:rsidRPr="22517BC1">
              <w:rPr>
                <w:b/>
                <w:bCs/>
                <w:sz w:val="20"/>
                <w:szCs w:val="20"/>
                <w:lang w:val="es-419"/>
              </w:rPr>
              <w:t>RH</w:t>
            </w:r>
            <w:r w:rsidR="3859DE30" w:rsidRPr="22517BC1">
              <w:rPr>
                <w:b/>
                <w:bCs/>
                <w:sz w:val="20"/>
                <w:szCs w:val="20"/>
                <w:lang w:val="es-419"/>
              </w:rPr>
              <w:t>H</w:t>
            </w:r>
            <w:r w:rsidR="3859DE30" w:rsidRPr="1C19464E">
              <w:rPr>
                <w:b/>
                <w:bCs/>
                <w:sz w:val="20"/>
                <w:szCs w:val="20"/>
                <w:lang w:val="es-419"/>
              </w:rPr>
              <w:t xml:space="preserve"> </w:t>
            </w:r>
            <w:r w:rsidRPr="1C19464E">
              <w:rPr>
                <w:b/>
                <w:bCs/>
                <w:sz w:val="20"/>
                <w:szCs w:val="20"/>
                <w:lang w:val="es-419"/>
              </w:rPr>
              <w:t>por departamento:</w:t>
            </w:r>
            <w:r w:rsidRPr="1C19464E">
              <w:rPr>
                <w:sz w:val="20"/>
                <w:szCs w:val="20"/>
                <w:lang w:val="es-419"/>
              </w:rPr>
              <w:t xml:space="preserve"> si la solicitud se limita a un departamento / o CO.</w:t>
            </w:r>
            <w:bookmarkEnd w:id="88"/>
          </w:p>
          <w:p w14:paraId="6ADEB12D" w14:textId="11112C92" w:rsidR="008B0395" w:rsidRPr="006524A8" w:rsidRDefault="008B0395" w:rsidP="00756410">
            <w:pPr>
              <w:pStyle w:val="ListParagraph"/>
              <w:ind w:left="360"/>
              <w:jc w:val="both"/>
              <w:rPr>
                <w:sz w:val="20"/>
                <w:szCs w:val="20"/>
              </w:rPr>
            </w:pPr>
            <w:r w:rsidRPr="00756410">
              <w:rPr>
                <w:sz w:val="20"/>
                <w:szCs w:val="20"/>
              </w:rPr>
              <w:t>[</w:t>
            </w:r>
            <w:r w:rsidRPr="00756410">
              <w:rPr>
                <w:i/>
                <w:iCs/>
                <w:sz w:val="20"/>
                <w:szCs w:val="20"/>
              </w:rPr>
              <w:t>Position Approver – HR Manager by Department</w:t>
            </w:r>
            <w:r w:rsidRPr="00756410">
              <w:rPr>
                <w:sz w:val="20"/>
                <w:szCs w:val="20"/>
              </w:rPr>
              <w:t>]</w:t>
            </w:r>
          </w:p>
          <w:p w14:paraId="776E6A4A" w14:textId="77777777" w:rsidR="006B6603" w:rsidRPr="006524A8" w:rsidRDefault="006B6603" w:rsidP="00756410">
            <w:pPr>
              <w:jc w:val="both"/>
              <w:rPr>
                <w:sz w:val="20"/>
                <w:szCs w:val="20"/>
              </w:rPr>
            </w:pPr>
          </w:p>
          <w:p w14:paraId="733BF3D3" w14:textId="5B02B83A" w:rsidR="006B6603" w:rsidRDefault="67308520" w:rsidP="00FD4A65">
            <w:pPr>
              <w:pStyle w:val="ListParagraph"/>
              <w:numPr>
                <w:ilvl w:val="0"/>
                <w:numId w:val="33"/>
              </w:numPr>
              <w:ind w:left="360"/>
              <w:jc w:val="both"/>
              <w:rPr>
                <w:sz w:val="20"/>
                <w:szCs w:val="20"/>
                <w:lang w:val="es-419"/>
              </w:rPr>
            </w:pPr>
            <w:bookmarkStart w:id="89" w:name="_Hlk209005178"/>
            <w:r w:rsidRPr="00756410">
              <w:rPr>
                <w:b/>
                <w:bCs/>
                <w:sz w:val="20"/>
                <w:szCs w:val="20"/>
                <w:lang w:val="es-419"/>
              </w:rPr>
              <w:t xml:space="preserve">Aprobador de puestos </w:t>
            </w:r>
            <w:r w:rsidR="231ED7CF" w:rsidRPr="1C19464E">
              <w:rPr>
                <w:b/>
                <w:bCs/>
                <w:sz w:val="20"/>
                <w:szCs w:val="20"/>
                <w:lang w:val="es-419"/>
              </w:rPr>
              <w:t xml:space="preserve">/ </w:t>
            </w:r>
            <w:r w:rsidRPr="00756410">
              <w:rPr>
                <w:b/>
                <w:bCs/>
                <w:sz w:val="20"/>
                <w:szCs w:val="20"/>
                <w:lang w:val="es-419"/>
              </w:rPr>
              <w:t xml:space="preserve"> gerente de </w:t>
            </w:r>
            <w:r w:rsidR="00B07FA1" w:rsidRPr="22517BC1">
              <w:rPr>
                <w:b/>
                <w:bCs/>
                <w:sz w:val="20"/>
                <w:szCs w:val="20"/>
                <w:lang w:val="es-419"/>
              </w:rPr>
              <w:t>R</w:t>
            </w:r>
            <w:r w:rsidR="2412BAE7" w:rsidRPr="22517BC1">
              <w:rPr>
                <w:b/>
                <w:bCs/>
                <w:sz w:val="20"/>
                <w:szCs w:val="20"/>
                <w:lang w:val="es-419"/>
              </w:rPr>
              <w:t>RH</w:t>
            </w:r>
            <w:r w:rsidR="00B07FA1" w:rsidRPr="22517BC1">
              <w:rPr>
                <w:b/>
                <w:bCs/>
                <w:sz w:val="20"/>
                <w:szCs w:val="20"/>
                <w:lang w:val="es-419"/>
              </w:rPr>
              <w:t>H</w:t>
            </w:r>
            <w:r w:rsidR="673A830B" w:rsidRPr="1C19464E">
              <w:rPr>
                <w:b/>
                <w:bCs/>
                <w:sz w:val="20"/>
                <w:szCs w:val="20"/>
                <w:lang w:val="es-419"/>
              </w:rPr>
              <w:t xml:space="preserve">  </w:t>
            </w:r>
            <w:r w:rsidRPr="00756410">
              <w:rPr>
                <w:b/>
                <w:bCs/>
                <w:sz w:val="20"/>
                <w:szCs w:val="20"/>
                <w:lang w:val="es-419"/>
              </w:rPr>
              <w:t xml:space="preserve"> Nivel de la oficina:</w:t>
            </w:r>
            <w:bookmarkEnd w:id="89"/>
            <w:r w:rsidRPr="00756410">
              <w:rPr>
                <w:sz w:val="20"/>
                <w:szCs w:val="20"/>
                <w:lang w:val="es-419"/>
              </w:rPr>
              <w:t xml:space="preserve"> para escenarios excepcionales en los que un solo colega actúa como gerente de recursos humanos / punto focal para toda la oficina.</w:t>
            </w:r>
          </w:p>
          <w:p w14:paraId="66A38D5C" w14:textId="008424D7" w:rsidR="008B0395" w:rsidRPr="006524A8" w:rsidRDefault="006524A8" w:rsidP="00756410">
            <w:pPr>
              <w:pStyle w:val="ListParagraph"/>
              <w:ind w:left="360"/>
              <w:jc w:val="both"/>
              <w:rPr>
                <w:sz w:val="20"/>
                <w:szCs w:val="20"/>
              </w:rPr>
            </w:pPr>
            <w:r w:rsidRPr="00756410">
              <w:rPr>
                <w:i/>
                <w:iCs/>
                <w:sz w:val="20"/>
                <w:szCs w:val="20"/>
              </w:rPr>
              <w:t>[</w:t>
            </w:r>
            <w:r w:rsidR="008B0395" w:rsidRPr="00756410">
              <w:rPr>
                <w:i/>
                <w:iCs/>
                <w:sz w:val="20"/>
                <w:szCs w:val="20"/>
              </w:rPr>
              <w:t xml:space="preserve">Position Approver – HR Manager </w:t>
            </w:r>
            <w:r w:rsidRPr="00756410">
              <w:rPr>
                <w:i/>
                <w:iCs/>
                <w:sz w:val="20"/>
                <w:szCs w:val="20"/>
              </w:rPr>
              <w:t>Burea</w:t>
            </w:r>
            <w:r>
              <w:rPr>
                <w:i/>
                <w:iCs/>
                <w:sz w:val="20"/>
                <w:szCs w:val="20"/>
              </w:rPr>
              <w:t>u Level]</w:t>
            </w:r>
          </w:p>
        </w:tc>
        <w:tc>
          <w:tcPr>
            <w:tcW w:w="1530" w:type="dxa"/>
            <w:tcBorders>
              <w:top w:val="single" w:sz="4" w:space="0" w:color="auto"/>
              <w:left w:val="single" w:sz="4" w:space="0" w:color="auto"/>
              <w:bottom w:val="single" w:sz="4" w:space="0" w:color="auto"/>
              <w:right w:val="single" w:sz="4" w:space="0" w:color="auto"/>
            </w:tcBorders>
          </w:tcPr>
          <w:p w14:paraId="4A29FC39" w14:textId="1BFE7A93" w:rsidR="006B6603" w:rsidRPr="00E06F45" w:rsidRDefault="006B6603" w:rsidP="000032BC">
            <w:pPr>
              <w:pStyle w:val="ListParagraph"/>
              <w:ind w:left="360" w:hanging="436"/>
              <w:jc w:val="center"/>
              <w:rPr>
                <w:sz w:val="20"/>
                <w:szCs w:val="20"/>
              </w:rPr>
            </w:pPr>
            <w:r w:rsidRPr="00E06F45">
              <w:rPr>
                <w:sz w:val="20"/>
                <w:szCs w:val="20"/>
              </w:rPr>
              <w:t>Sí</w:t>
            </w:r>
          </w:p>
        </w:tc>
      </w:tr>
      <w:tr w:rsidR="006B6603" w:rsidRPr="002E4B2B" w14:paraId="44CA4268" w14:textId="47BDF172"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74DA8D88" w14:textId="6EE58BD8" w:rsidR="006B6603" w:rsidRPr="00756410" w:rsidRDefault="67308520" w:rsidP="00756410">
            <w:pPr>
              <w:pStyle w:val="ListParagraph"/>
              <w:numPr>
                <w:ilvl w:val="0"/>
                <w:numId w:val="37"/>
              </w:numPr>
              <w:jc w:val="both"/>
              <w:rPr>
                <w:sz w:val="20"/>
                <w:szCs w:val="20"/>
                <w:lang w:val="es-419"/>
              </w:rPr>
            </w:pPr>
            <w:r w:rsidRPr="1C19464E">
              <w:rPr>
                <w:b/>
                <w:bCs/>
                <w:sz w:val="20"/>
                <w:szCs w:val="20"/>
                <w:lang w:val="es-419"/>
              </w:rPr>
              <w:t>Revisores de presupuesto / finanzas</w:t>
            </w:r>
            <w:r w:rsidRPr="1C19464E">
              <w:rPr>
                <w:sz w:val="20"/>
                <w:szCs w:val="20"/>
                <w:lang w:val="es-419"/>
              </w:rPr>
              <w:t>: responsables de determinar si hay fondos disponibles para la solicitud de puesto en un departamento o una oficina / unidad de país (incluida, cuando corresponda, realizar una revisión del presupuesto de efectivo para minimizar los errores de nómina).</w:t>
            </w:r>
            <w:bookmarkStart w:id="90" w:name="_Hlk194500402"/>
            <w:bookmarkEnd w:id="90"/>
          </w:p>
        </w:tc>
        <w:tc>
          <w:tcPr>
            <w:tcW w:w="4140" w:type="dxa"/>
            <w:tcBorders>
              <w:top w:val="single" w:sz="4" w:space="0" w:color="auto"/>
              <w:left w:val="single" w:sz="4" w:space="0" w:color="auto"/>
              <w:bottom w:val="single" w:sz="4" w:space="0" w:color="auto"/>
              <w:right w:val="single" w:sz="4" w:space="0" w:color="auto"/>
            </w:tcBorders>
          </w:tcPr>
          <w:p w14:paraId="7F74A1B9" w14:textId="35504E24" w:rsidR="006B6603" w:rsidRDefault="67308520" w:rsidP="00FD4A65">
            <w:pPr>
              <w:pStyle w:val="ListParagraph"/>
              <w:numPr>
                <w:ilvl w:val="0"/>
                <w:numId w:val="34"/>
              </w:numPr>
              <w:ind w:left="360"/>
              <w:jc w:val="both"/>
              <w:rPr>
                <w:sz w:val="20"/>
                <w:szCs w:val="20"/>
                <w:lang w:val="es-419"/>
              </w:rPr>
            </w:pPr>
            <w:bookmarkStart w:id="91" w:name="_Hlk209005188"/>
            <w:r w:rsidRPr="1C19464E">
              <w:rPr>
                <w:b/>
                <w:bCs/>
                <w:sz w:val="20"/>
                <w:szCs w:val="20"/>
                <w:lang w:val="es-419"/>
              </w:rPr>
              <w:t>Revisor de presupuesto del aprobador de puestos por departamento</w:t>
            </w:r>
            <w:bookmarkEnd w:id="91"/>
            <w:r w:rsidRPr="1C19464E">
              <w:rPr>
                <w:sz w:val="20"/>
                <w:szCs w:val="20"/>
                <w:lang w:val="es-419"/>
              </w:rPr>
              <w:t>: si la solicitud se limita a un departamento o</w:t>
            </w:r>
            <w:r w:rsidR="17DA3B80" w:rsidRPr="1C19464E">
              <w:rPr>
                <w:sz w:val="20"/>
                <w:szCs w:val="20"/>
                <w:lang w:val="es-419"/>
              </w:rPr>
              <w:t xml:space="preserve"> OP/</w:t>
            </w:r>
            <w:r w:rsidRPr="1C19464E">
              <w:rPr>
                <w:sz w:val="20"/>
                <w:szCs w:val="20"/>
                <w:lang w:val="es-419"/>
              </w:rPr>
              <w:t>CO.</w:t>
            </w:r>
          </w:p>
          <w:p w14:paraId="57C25C5F" w14:textId="6CC2F2EA" w:rsidR="006524A8" w:rsidRPr="0084449A" w:rsidRDefault="006524A8" w:rsidP="00756410">
            <w:pPr>
              <w:pStyle w:val="ListParagraph"/>
              <w:ind w:left="360"/>
              <w:jc w:val="both"/>
              <w:rPr>
                <w:sz w:val="20"/>
                <w:szCs w:val="20"/>
              </w:rPr>
            </w:pPr>
            <w:r w:rsidRPr="00756410">
              <w:rPr>
                <w:b/>
                <w:bCs/>
                <w:sz w:val="20"/>
                <w:szCs w:val="20"/>
              </w:rPr>
              <w:t>[</w:t>
            </w:r>
            <w:r w:rsidRPr="00756410">
              <w:rPr>
                <w:b/>
                <w:bCs/>
                <w:i/>
                <w:iCs/>
                <w:sz w:val="20"/>
                <w:szCs w:val="20"/>
              </w:rPr>
              <w:t>Position Approver Budget Reviewer by Department</w:t>
            </w:r>
            <w:r>
              <w:rPr>
                <w:b/>
                <w:bCs/>
                <w:sz w:val="20"/>
                <w:szCs w:val="20"/>
              </w:rPr>
              <w:t>]</w:t>
            </w:r>
          </w:p>
          <w:p w14:paraId="386D3835" w14:textId="77777777" w:rsidR="006B6603" w:rsidRPr="0084449A" w:rsidRDefault="006B6603" w:rsidP="00756410">
            <w:pPr>
              <w:jc w:val="both"/>
              <w:rPr>
                <w:sz w:val="20"/>
                <w:szCs w:val="20"/>
              </w:rPr>
            </w:pPr>
          </w:p>
          <w:p w14:paraId="252C9132" w14:textId="648C1369" w:rsidR="006B6603" w:rsidRDefault="67308520" w:rsidP="00FD4A65">
            <w:pPr>
              <w:pStyle w:val="ListParagraph"/>
              <w:numPr>
                <w:ilvl w:val="0"/>
                <w:numId w:val="34"/>
              </w:numPr>
              <w:ind w:left="360"/>
              <w:jc w:val="both"/>
              <w:rPr>
                <w:sz w:val="20"/>
                <w:szCs w:val="20"/>
                <w:lang w:val="es-419"/>
              </w:rPr>
            </w:pPr>
            <w:bookmarkStart w:id="92" w:name="_Hlk209005199"/>
            <w:r w:rsidRPr="1C19464E">
              <w:rPr>
                <w:b/>
                <w:bCs/>
                <w:sz w:val="20"/>
                <w:szCs w:val="20"/>
                <w:lang w:val="es-419"/>
              </w:rPr>
              <w:t>Revisor de Presupuesto del Aprobador de Posiciones</w:t>
            </w:r>
            <w:r w:rsidR="2650C4D6" w:rsidRPr="1C19464E">
              <w:rPr>
                <w:b/>
                <w:bCs/>
                <w:sz w:val="20"/>
                <w:szCs w:val="20"/>
                <w:lang w:val="es-419"/>
              </w:rPr>
              <w:t xml:space="preserve"> a nivel Buro</w:t>
            </w:r>
            <w:bookmarkEnd w:id="92"/>
            <w:r w:rsidRPr="1C19464E">
              <w:rPr>
                <w:sz w:val="20"/>
                <w:szCs w:val="20"/>
                <w:lang w:val="es-419"/>
              </w:rPr>
              <w:t>: para escenarios excepcionales en los que un solo colega realiza la verificación de disponibilidad de fondos para todas las solicitudes de</w:t>
            </w:r>
            <w:r w:rsidR="7BE9C8AC" w:rsidRPr="1C19464E">
              <w:rPr>
                <w:sz w:val="20"/>
                <w:szCs w:val="20"/>
                <w:lang w:val="es-419"/>
              </w:rPr>
              <w:t>l Buro</w:t>
            </w:r>
            <w:r w:rsidRPr="1C19464E">
              <w:rPr>
                <w:sz w:val="20"/>
                <w:szCs w:val="20"/>
                <w:lang w:val="es-419"/>
              </w:rPr>
              <w:t>.</w:t>
            </w:r>
          </w:p>
          <w:p w14:paraId="40B39790" w14:textId="55A430A2" w:rsidR="006524A8" w:rsidRPr="0084449A" w:rsidRDefault="008D7FCA" w:rsidP="00756410">
            <w:pPr>
              <w:pStyle w:val="ListParagraph"/>
              <w:ind w:left="360"/>
              <w:jc w:val="both"/>
              <w:rPr>
                <w:sz w:val="20"/>
                <w:szCs w:val="20"/>
              </w:rPr>
            </w:pPr>
            <w:r w:rsidRPr="00756410">
              <w:rPr>
                <w:sz w:val="20"/>
                <w:szCs w:val="20"/>
              </w:rPr>
              <w:t>[</w:t>
            </w:r>
            <w:r w:rsidRPr="00756410">
              <w:rPr>
                <w:b/>
                <w:bCs/>
                <w:i/>
                <w:iCs/>
                <w:sz w:val="20"/>
                <w:szCs w:val="20"/>
              </w:rPr>
              <w:t>Position Approver Budget Reviewer Bureau Level</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5CE47AFA" w14:textId="3D41D301" w:rsidR="006B6603" w:rsidRPr="00E06F45" w:rsidRDefault="006B6603" w:rsidP="000032BC">
            <w:pPr>
              <w:pStyle w:val="ListParagraph"/>
              <w:ind w:left="360" w:hanging="436"/>
              <w:jc w:val="center"/>
              <w:rPr>
                <w:b/>
                <w:bCs/>
                <w:sz w:val="20"/>
                <w:szCs w:val="20"/>
              </w:rPr>
            </w:pPr>
            <w:r w:rsidRPr="00E06F45">
              <w:rPr>
                <w:sz w:val="20"/>
                <w:szCs w:val="20"/>
              </w:rPr>
              <w:t>Sí</w:t>
            </w:r>
          </w:p>
        </w:tc>
      </w:tr>
      <w:tr w:rsidR="006B6603" w:rsidRPr="002E4B2B" w14:paraId="75E1E425" w14:textId="444EBD7C"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2D97EF1D" w14:textId="76208D6A" w:rsidR="006B6603" w:rsidRPr="00756410" w:rsidRDefault="67308520">
            <w:pPr>
              <w:pStyle w:val="ListParagraph"/>
              <w:numPr>
                <w:ilvl w:val="0"/>
                <w:numId w:val="37"/>
              </w:numPr>
              <w:rPr>
                <w:sz w:val="20"/>
                <w:szCs w:val="20"/>
                <w:lang w:val="es-419"/>
              </w:rPr>
            </w:pPr>
            <w:r w:rsidRPr="1C19464E">
              <w:rPr>
                <w:b/>
                <w:bCs/>
                <w:sz w:val="20"/>
                <w:szCs w:val="20"/>
                <w:lang w:val="es-419"/>
              </w:rPr>
              <w:t>Jefe de oficina</w:t>
            </w:r>
            <w:r w:rsidRPr="1C19464E">
              <w:rPr>
                <w:sz w:val="20"/>
                <w:szCs w:val="20"/>
                <w:lang w:val="es-419"/>
              </w:rPr>
              <w:t xml:space="preserve"> – RR/RRD/Jefe de oficina (o delegados del jefe de oficina) - aprueba la </w:t>
            </w:r>
            <w:r w:rsidRPr="1C19464E">
              <w:rPr>
                <w:sz w:val="20"/>
                <w:szCs w:val="20"/>
                <w:lang w:val="es-419"/>
              </w:rPr>
              <w:lastRenderedPageBreak/>
              <w:t>solicitud de un puesto en sus respectivos departamentos/</w:t>
            </w:r>
            <w:r w:rsidR="2CACE883" w:rsidRPr="1C19464E">
              <w:rPr>
                <w:sz w:val="20"/>
                <w:szCs w:val="20"/>
                <w:lang w:val="es-419"/>
              </w:rPr>
              <w:t>CO</w:t>
            </w:r>
            <w:r w:rsidRPr="1C19464E">
              <w:rPr>
                <w:sz w:val="20"/>
                <w:szCs w:val="20"/>
                <w:lang w:val="es-419"/>
              </w:rPr>
              <w:t>.</w:t>
            </w:r>
          </w:p>
        </w:tc>
        <w:tc>
          <w:tcPr>
            <w:tcW w:w="4140" w:type="dxa"/>
            <w:tcBorders>
              <w:top w:val="single" w:sz="4" w:space="0" w:color="auto"/>
              <w:left w:val="single" w:sz="4" w:space="0" w:color="auto"/>
              <w:bottom w:val="single" w:sz="4" w:space="0" w:color="auto"/>
              <w:right w:val="single" w:sz="4" w:space="0" w:color="auto"/>
            </w:tcBorders>
          </w:tcPr>
          <w:p w14:paraId="38BD0154" w14:textId="39E53AC3" w:rsidR="006B6603" w:rsidRDefault="008D7FCA">
            <w:pPr>
              <w:pStyle w:val="ListParagraph"/>
              <w:numPr>
                <w:ilvl w:val="0"/>
                <w:numId w:val="35"/>
              </w:numPr>
              <w:ind w:left="360"/>
              <w:rPr>
                <w:sz w:val="20"/>
                <w:szCs w:val="20"/>
                <w:lang w:val="es-419"/>
              </w:rPr>
            </w:pPr>
            <w:r>
              <w:rPr>
                <w:b/>
                <w:bCs/>
                <w:sz w:val="20"/>
                <w:szCs w:val="20"/>
                <w:lang w:val="es-419"/>
              </w:rPr>
              <w:lastRenderedPageBreak/>
              <w:t>A</w:t>
            </w:r>
            <w:r w:rsidR="67308520" w:rsidRPr="1C19464E">
              <w:rPr>
                <w:b/>
                <w:bCs/>
                <w:sz w:val="20"/>
                <w:szCs w:val="20"/>
                <w:lang w:val="es-419"/>
              </w:rPr>
              <w:t>probador de puestos</w:t>
            </w:r>
            <w:r w:rsidR="0274268A" w:rsidRPr="1C19464E">
              <w:rPr>
                <w:b/>
                <w:bCs/>
                <w:sz w:val="20"/>
                <w:szCs w:val="20"/>
                <w:lang w:val="es-419"/>
              </w:rPr>
              <w:t xml:space="preserve"> </w:t>
            </w:r>
            <w:r w:rsidR="40788C18" w:rsidRPr="1C19464E">
              <w:rPr>
                <w:b/>
                <w:bCs/>
                <w:sz w:val="20"/>
                <w:szCs w:val="20"/>
                <w:lang w:val="es-419"/>
              </w:rPr>
              <w:t xml:space="preserve">nivel </w:t>
            </w:r>
            <w:r w:rsidR="0274268A" w:rsidRPr="1C19464E">
              <w:rPr>
                <w:b/>
                <w:bCs/>
                <w:sz w:val="20"/>
                <w:szCs w:val="20"/>
                <w:lang w:val="es-419"/>
              </w:rPr>
              <w:t>jefe de oficina</w:t>
            </w:r>
            <w:r w:rsidR="67308520" w:rsidRPr="1C19464E">
              <w:rPr>
                <w:b/>
                <w:bCs/>
                <w:sz w:val="20"/>
                <w:szCs w:val="20"/>
                <w:lang w:val="es-419"/>
              </w:rPr>
              <w:t>:</w:t>
            </w:r>
            <w:r w:rsidR="67308520" w:rsidRPr="1C19464E">
              <w:rPr>
                <w:sz w:val="20"/>
                <w:szCs w:val="20"/>
                <w:lang w:val="es-419"/>
              </w:rPr>
              <w:t xml:space="preserve"> si la solicitud se limita a un departamento o </w:t>
            </w:r>
            <w:r w:rsidR="19C7894A" w:rsidRPr="1C19464E">
              <w:rPr>
                <w:sz w:val="20"/>
                <w:szCs w:val="20"/>
                <w:lang w:val="es-419"/>
              </w:rPr>
              <w:t>OP/</w:t>
            </w:r>
            <w:r w:rsidR="67308520" w:rsidRPr="1C19464E">
              <w:rPr>
                <w:sz w:val="20"/>
                <w:szCs w:val="20"/>
                <w:lang w:val="es-419"/>
              </w:rPr>
              <w:t>CO.</w:t>
            </w:r>
          </w:p>
          <w:p w14:paraId="1092A444" w14:textId="3AB83620" w:rsidR="008D7FCA" w:rsidRPr="0084449A" w:rsidRDefault="008D7FCA" w:rsidP="00756410">
            <w:pPr>
              <w:pStyle w:val="ListParagraph"/>
              <w:ind w:left="360"/>
              <w:rPr>
                <w:sz w:val="20"/>
                <w:szCs w:val="20"/>
              </w:rPr>
            </w:pPr>
            <w:r w:rsidRPr="00756410">
              <w:rPr>
                <w:b/>
                <w:bCs/>
                <w:sz w:val="20"/>
                <w:szCs w:val="20"/>
              </w:rPr>
              <w:lastRenderedPageBreak/>
              <w:t>[</w:t>
            </w:r>
            <w:r w:rsidRPr="00756410">
              <w:rPr>
                <w:b/>
                <w:bCs/>
                <w:i/>
                <w:iCs/>
                <w:sz w:val="20"/>
                <w:szCs w:val="20"/>
              </w:rPr>
              <w:t>Position Approver Head of Office</w:t>
            </w:r>
            <w:r>
              <w:rPr>
                <w:b/>
                <w:bCs/>
                <w:sz w:val="20"/>
                <w:szCs w:val="20"/>
              </w:rPr>
              <w:t>]</w:t>
            </w:r>
          </w:p>
          <w:p w14:paraId="45E8CC88" w14:textId="77777777" w:rsidR="006B6603" w:rsidRPr="0084449A" w:rsidRDefault="006B6603" w:rsidP="006B6603">
            <w:pPr>
              <w:rPr>
                <w:sz w:val="20"/>
                <w:szCs w:val="20"/>
              </w:rPr>
            </w:pPr>
          </w:p>
          <w:p w14:paraId="72715AF6" w14:textId="09676F30" w:rsidR="006B6603" w:rsidRDefault="67308520">
            <w:pPr>
              <w:pStyle w:val="ListParagraph"/>
              <w:numPr>
                <w:ilvl w:val="0"/>
                <w:numId w:val="35"/>
              </w:numPr>
              <w:ind w:left="360"/>
              <w:rPr>
                <w:sz w:val="20"/>
                <w:szCs w:val="20"/>
                <w:lang w:val="es-419"/>
              </w:rPr>
            </w:pPr>
            <w:r w:rsidRPr="1C19464E">
              <w:rPr>
                <w:b/>
                <w:bCs/>
                <w:sz w:val="20"/>
                <w:szCs w:val="20"/>
                <w:lang w:val="es-419"/>
              </w:rPr>
              <w:t xml:space="preserve">Aprobador de puestos  nivel de </w:t>
            </w:r>
            <w:r w:rsidR="2655288C" w:rsidRPr="1C19464E">
              <w:rPr>
                <w:b/>
                <w:bCs/>
                <w:sz w:val="20"/>
                <w:szCs w:val="20"/>
                <w:lang w:val="es-419"/>
              </w:rPr>
              <w:t>jefe de buro</w:t>
            </w:r>
            <w:r w:rsidRPr="1C19464E">
              <w:rPr>
                <w:b/>
                <w:bCs/>
                <w:sz w:val="20"/>
                <w:szCs w:val="20"/>
                <w:lang w:val="es-419"/>
              </w:rPr>
              <w:t>:</w:t>
            </w:r>
            <w:r w:rsidRPr="1C19464E">
              <w:rPr>
                <w:sz w:val="20"/>
                <w:szCs w:val="20"/>
                <w:lang w:val="es-419"/>
              </w:rPr>
              <w:t xml:space="preserve"> para </w:t>
            </w:r>
            <w:r w:rsidR="57E0210A" w:rsidRPr="1C19464E">
              <w:rPr>
                <w:b/>
                <w:bCs/>
                <w:sz w:val="20"/>
                <w:szCs w:val="20"/>
                <w:lang w:val="es-419"/>
              </w:rPr>
              <w:t>casos</w:t>
            </w:r>
            <w:r w:rsidR="008D7FCA">
              <w:rPr>
                <w:b/>
                <w:bCs/>
                <w:sz w:val="20"/>
                <w:szCs w:val="20"/>
                <w:lang w:val="es-419"/>
              </w:rPr>
              <w:t xml:space="preserve"> </w:t>
            </w:r>
            <w:r w:rsidRPr="1C19464E">
              <w:rPr>
                <w:sz w:val="20"/>
                <w:szCs w:val="20"/>
                <w:lang w:val="es-419"/>
              </w:rPr>
              <w:t>excepcionales en los que un solo colega actúa como gerente de recursos humanos/punto focal para tod</w:t>
            </w:r>
            <w:r w:rsidR="10A110ED" w:rsidRPr="1C19464E">
              <w:rPr>
                <w:sz w:val="20"/>
                <w:szCs w:val="20"/>
                <w:lang w:val="es-419"/>
              </w:rPr>
              <w:t xml:space="preserve">o el </w:t>
            </w:r>
            <w:r w:rsidR="008D7FCA">
              <w:rPr>
                <w:sz w:val="20"/>
                <w:szCs w:val="20"/>
                <w:lang w:val="es-419"/>
              </w:rPr>
              <w:t>B</w:t>
            </w:r>
            <w:r w:rsidR="10A110ED" w:rsidRPr="1C19464E">
              <w:rPr>
                <w:sz w:val="20"/>
                <w:szCs w:val="20"/>
                <w:lang w:val="es-419"/>
              </w:rPr>
              <w:t>uro</w:t>
            </w:r>
            <w:r w:rsidRPr="1C19464E">
              <w:rPr>
                <w:sz w:val="20"/>
                <w:szCs w:val="20"/>
                <w:lang w:val="es-419"/>
              </w:rPr>
              <w:t>.</w:t>
            </w:r>
          </w:p>
          <w:p w14:paraId="5A186B86" w14:textId="55394DCA" w:rsidR="008D7FCA" w:rsidRPr="00756410" w:rsidRDefault="008D7FCA" w:rsidP="00756410">
            <w:pPr>
              <w:pStyle w:val="ListParagraph"/>
              <w:ind w:left="360"/>
              <w:rPr>
                <w:sz w:val="20"/>
                <w:szCs w:val="20"/>
              </w:rPr>
            </w:pPr>
            <w:r w:rsidRPr="00756410">
              <w:rPr>
                <w:b/>
                <w:bCs/>
                <w:sz w:val="20"/>
                <w:szCs w:val="20"/>
              </w:rPr>
              <w:t>[</w:t>
            </w:r>
            <w:r w:rsidRPr="00756410">
              <w:rPr>
                <w:b/>
                <w:bCs/>
                <w:i/>
                <w:iCs/>
                <w:sz w:val="20"/>
                <w:szCs w:val="20"/>
              </w:rPr>
              <w:t>Position Approver Head of Office Bureau level</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1BC810C5" w14:textId="60213D15" w:rsidR="006B6603" w:rsidRPr="00E06F45" w:rsidRDefault="006D6ECB" w:rsidP="00756410">
            <w:pPr>
              <w:pStyle w:val="ListParagraph"/>
              <w:ind w:left="-76"/>
              <w:jc w:val="center"/>
              <w:rPr>
                <w:b/>
                <w:bCs/>
                <w:sz w:val="20"/>
                <w:szCs w:val="20"/>
              </w:rPr>
            </w:pPr>
            <w:r>
              <w:rPr>
                <w:sz w:val="20"/>
                <w:szCs w:val="20"/>
              </w:rPr>
              <w:lastRenderedPageBreak/>
              <w:t>N</w:t>
            </w:r>
            <w:r w:rsidR="35334444" w:rsidRPr="48224A22">
              <w:rPr>
                <w:sz w:val="20"/>
                <w:szCs w:val="20"/>
              </w:rPr>
              <w:t>o</w:t>
            </w:r>
          </w:p>
        </w:tc>
      </w:tr>
      <w:tr w:rsidR="006B6603" w:rsidRPr="002E4B2B" w14:paraId="1DBC2929" w14:textId="65381D6C"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10CBC483" w14:textId="34664409" w:rsidR="006B6603" w:rsidRPr="00756410" w:rsidRDefault="67308520">
            <w:pPr>
              <w:pStyle w:val="ListParagraph"/>
              <w:numPr>
                <w:ilvl w:val="0"/>
                <w:numId w:val="37"/>
              </w:numPr>
              <w:rPr>
                <w:sz w:val="20"/>
                <w:szCs w:val="20"/>
                <w:lang w:val="es-419"/>
              </w:rPr>
            </w:pPr>
            <w:r w:rsidRPr="00756410">
              <w:rPr>
                <w:b/>
                <w:bCs/>
                <w:sz w:val="20"/>
                <w:szCs w:val="20"/>
                <w:lang w:val="es-419"/>
              </w:rPr>
              <w:t xml:space="preserve">Revisor a nivel de </w:t>
            </w:r>
            <w:r w:rsidR="4F22CE2B" w:rsidRPr="00756410">
              <w:rPr>
                <w:b/>
                <w:bCs/>
                <w:sz w:val="20"/>
                <w:szCs w:val="20"/>
                <w:lang w:val="es-419"/>
              </w:rPr>
              <w:t>Buro</w:t>
            </w:r>
            <w:r w:rsidRPr="1C19464E">
              <w:rPr>
                <w:sz w:val="20"/>
                <w:szCs w:val="20"/>
                <w:lang w:val="es-419"/>
              </w:rPr>
              <w:t>: revisa la solicitud de puestos para puestos financiados con presupuesto institucional (</w:t>
            </w:r>
            <w:r w:rsidR="5423694B" w:rsidRPr="1C19464E">
              <w:rPr>
                <w:sz w:val="20"/>
                <w:szCs w:val="20"/>
                <w:lang w:val="es-419"/>
              </w:rPr>
              <w:t>core</w:t>
            </w:r>
            <w:r w:rsidRPr="1C19464E">
              <w:rPr>
                <w:sz w:val="20"/>
                <w:szCs w:val="20"/>
                <w:lang w:val="es-419"/>
              </w:rPr>
              <w:t>, no</w:t>
            </w:r>
            <w:r w:rsidR="5B48B23F" w:rsidRPr="1C19464E">
              <w:rPr>
                <w:sz w:val="20"/>
                <w:szCs w:val="20"/>
                <w:lang w:val="es-419"/>
              </w:rPr>
              <w:t>n</w:t>
            </w:r>
            <w:r w:rsidR="0084449A">
              <w:rPr>
                <w:sz w:val="20"/>
                <w:szCs w:val="20"/>
                <w:lang w:val="es-419"/>
              </w:rPr>
              <w:t>-</w:t>
            </w:r>
            <w:r w:rsidR="5B48B23F" w:rsidRPr="1C19464E">
              <w:rPr>
                <w:sz w:val="20"/>
                <w:szCs w:val="20"/>
                <w:lang w:val="es-419"/>
              </w:rPr>
              <w:t>core</w:t>
            </w:r>
            <w:r w:rsidRPr="1C19464E">
              <w:rPr>
                <w:sz w:val="20"/>
                <w:szCs w:val="20"/>
                <w:lang w:val="es-419"/>
              </w:rPr>
              <w:t>) o de gestión del cambio, según la práctica de</w:t>
            </w:r>
            <w:r w:rsidR="1F420AB1" w:rsidRPr="1C19464E">
              <w:rPr>
                <w:sz w:val="20"/>
                <w:szCs w:val="20"/>
                <w:lang w:val="es-419"/>
              </w:rPr>
              <w:t>l Buro</w:t>
            </w:r>
            <w:r w:rsidRPr="1C19464E">
              <w:rPr>
                <w:sz w:val="20"/>
                <w:szCs w:val="20"/>
                <w:lang w:val="es-419"/>
              </w:rPr>
              <w:t>.</w:t>
            </w:r>
          </w:p>
        </w:tc>
        <w:tc>
          <w:tcPr>
            <w:tcW w:w="4140" w:type="dxa"/>
            <w:tcBorders>
              <w:top w:val="single" w:sz="4" w:space="0" w:color="auto"/>
              <w:left w:val="single" w:sz="4" w:space="0" w:color="auto"/>
              <w:bottom w:val="single" w:sz="4" w:space="0" w:color="auto"/>
              <w:right w:val="single" w:sz="4" w:space="0" w:color="auto"/>
            </w:tcBorders>
          </w:tcPr>
          <w:p w14:paraId="072CB4BC" w14:textId="35C38889" w:rsidR="006B6603" w:rsidRDefault="37F8F021">
            <w:pPr>
              <w:pStyle w:val="ListParagraph"/>
              <w:numPr>
                <w:ilvl w:val="0"/>
                <w:numId w:val="36"/>
              </w:numPr>
              <w:rPr>
                <w:sz w:val="20"/>
                <w:szCs w:val="20"/>
                <w:lang w:val="es-419"/>
              </w:rPr>
            </w:pPr>
            <w:bookmarkStart w:id="93" w:name="_Hlk209005215"/>
            <w:r w:rsidRPr="1C19464E">
              <w:rPr>
                <w:b/>
                <w:bCs/>
                <w:sz w:val="20"/>
                <w:szCs w:val="20"/>
                <w:lang w:val="es-419"/>
              </w:rPr>
              <w:t>Revisor del aprobador de puestos a nivel buro</w:t>
            </w:r>
            <w:bookmarkEnd w:id="93"/>
            <w:r w:rsidR="67308520" w:rsidRPr="1C19464E">
              <w:rPr>
                <w:sz w:val="20"/>
                <w:szCs w:val="20"/>
                <w:lang w:val="es-419"/>
              </w:rPr>
              <w:t xml:space="preserve">: para </w:t>
            </w:r>
            <w:r w:rsidR="1EC903A8" w:rsidRPr="1C19464E">
              <w:rPr>
                <w:sz w:val="20"/>
                <w:szCs w:val="20"/>
                <w:lang w:val="es-419"/>
              </w:rPr>
              <w:t xml:space="preserve">casos </w:t>
            </w:r>
            <w:r w:rsidR="67308520" w:rsidRPr="1C19464E">
              <w:rPr>
                <w:sz w:val="20"/>
                <w:szCs w:val="20"/>
                <w:lang w:val="es-419"/>
              </w:rPr>
              <w:t>excepcionales en los que un solo colega actúa como Gerente de Recursos Humanos / Punto Focal para tod</w:t>
            </w:r>
            <w:r w:rsidR="0084449A">
              <w:rPr>
                <w:sz w:val="20"/>
                <w:szCs w:val="20"/>
                <w:lang w:val="es-419"/>
              </w:rPr>
              <w:t>o</w:t>
            </w:r>
            <w:r w:rsidR="67308520" w:rsidRPr="1C19464E">
              <w:rPr>
                <w:sz w:val="20"/>
                <w:szCs w:val="20"/>
                <w:lang w:val="es-419"/>
              </w:rPr>
              <w:t xml:space="preserve"> </w:t>
            </w:r>
            <w:r w:rsidR="1DBE815D" w:rsidRPr="1C19464E">
              <w:rPr>
                <w:sz w:val="20"/>
                <w:szCs w:val="20"/>
                <w:lang w:val="es-419"/>
              </w:rPr>
              <w:t>el Buro</w:t>
            </w:r>
            <w:r w:rsidR="67308520" w:rsidRPr="1C19464E">
              <w:rPr>
                <w:sz w:val="20"/>
                <w:szCs w:val="20"/>
                <w:lang w:val="es-419"/>
              </w:rPr>
              <w:t>.</w:t>
            </w:r>
          </w:p>
          <w:p w14:paraId="1EA43CC6" w14:textId="058A06EE" w:rsidR="0084449A" w:rsidRPr="00756410" w:rsidRDefault="0084449A" w:rsidP="00756410">
            <w:pPr>
              <w:pStyle w:val="ListParagraph"/>
              <w:ind w:left="360"/>
              <w:rPr>
                <w:sz w:val="20"/>
                <w:szCs w:val="20"/>
                <w:lang w:val="es-419"/>
              </w:rPr>
            </w:pPr>
            <w:r w:rsidRPr="00756410">
              <w:rPr>
                <w:b/>
                <w:bCs/>
                <w:sz w:val="20"/>
                <w:szCs w:val="20"/>
                <w:lang w:val="es-419"/>
              </w:rPr>
              <w:t>[</w:t>
            </w:r>
            <w:r w:rsidRPr="00756410">
              <w:rPr>
                <w:b/>
                <w:bCs/>
                <w:i/>
                <w:iCs/>
                <w:sz w:val="20"/>
                <w:szCs w:val="20"/>
              </w:rPr>
              <w:t>Position Approver Bureau Reviewer</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34CD997E" w14:textId="141EF2AE" w:rsidR="006B6603" w:rsidRPr="00E06F45" w:rsidRDefault="006B6603" w:rsidP="000032BC">
            <w:pPr>
              <w:pStyle w:val="ListParagraph"/>
              <w:ind w:left="360" w:hanging="436"/>
              <w:jc w:val="center"/>
              <w:rPr>
                <w:b/>
                <w:bCs/>
                <w:sz w:val="20"/>
                <w:szCs w:val="20"/>
              </w:rPr>
            </w:pPr>
            <w:r w:rsidRPr="00E06F45">
              <w:rPr>
                <w:sz w:val="20"/>
                <w:szCs w:val="20"/>
              </w:rPr>
              <w:t>Sí</w:t>
            </w:r>
          </w:p>
        </w:tc>
      </w:tr>
      <w:tr w:rsidR="006B6603" w:rsidRPr="002E4B2B" w14:paraId="0124AD19" w14:textId="4E8647C5" w:rsidTr="0004107A">
        <w:trPr>
          <w:trHeight w:val="20"/>
        </w:trPr>
        <w:tc>
          <w:tcPr>
            <w:tcW w:w="4585" w:type="dxa"/>
            <w:tcBorders>
              <w:top w:val="single" w:sz="4" w:space="0" w:color="auto"/>
              <w:left w:val="single" w:sz="4" w:space="0" w:color="auto"/>
              <w:bottom w:val="single" w:sz="4" w:space="0" w:color="auto"/>
              <w:right w:val="single" w:sz="4" w:space="0" w:color="auto"/>
            </w:tcBorders>
          </w:tcPr>
          <w:p w14:paraId="18F600D0" w14:textId="2959B54E" w:rsidR="006B6603" w:rsidRPr="00756410" w:rsidRDefault="67308520" w:rsidP="00756410">
            <w:pPr>
              <w:pStyle w:val="ListParagraph"/>
              <w:numPr>
                <w:ilvl w:val="0"/>
                <w:numId w:val="37"/>
              </w:numPr>
              <w:jc w:val="both"/>
              <w:rPr>
                <w:sz w:val="20"/>
                <w:szCs w:val="20"/>
                <w:lang w:val="es-419"/>
              </w:rPr>
            </w:pPr>
            <w:r w:rsidRPr="1C19464E">
              <w:rPr>
                <w:b/>
                <w:bCs/>
                <w:sz w:val="20"/>
                <w:szCs w:val="20"/>
                <w:lang w:val="es-419"/>
              </w:rPr>
              <w:t>Aprobador de posiciones BMS/GSSC</w:t>
            </w:r>
            <w:r w:rsidRPr="1C19464E">
              <w:rPr>
                <w:sz w:val="20"/>
                <w:szCs w:val="20"/>
                <w:lang w:val="es-419"/>
              </w:rPr>
              <w:t>: realiza una revisión final de "verificación" para todas las posiciones que actualmente no están en devolución antes de aprobar la creación/extensión de posiciones en Quantum.</w:t>
            </w:r>
          </w:p>
        </w:tc>
        <w:tc>
          <w:tcPr>
            <w:tcW w:w="4140" w:type="dxa"/>
            <w:tcBorders>
              <w:top w:val="single" w:sz="4" w:space="0" w:color="auto"/>
              <w:left w:val="single" w:sz="4" w:space="0" w:color="auto"/>
              <w:bottom w:val="single" w:sz="4" w:space="0" w:color="auto"/>
              <w:right w:val="single" w:sz="4" w:space="0" w:color="auto"/>
            </w:tcBorders>
          </w:tcPr>
          <w:p w14:paraId="4A2ED4E9" w14:textId="483B24D9" w:rsidR="006D6ECB" w:rsidRPr="00E06F45" w:rsidRDefault="006B6603">
            <w:pPr>
              <w:pStyle w:val="ListParagraph"/>
              <w:numPr>
                <w:ilvl w:val="0"/>
                <w:numId w:val="36"/>
              </w:numPr>
              <w:rPr>
                <w:b/>
                <w:bCs/>
                <w:sz w:val="20"/>
                <w:szCs w:val="20"/>
              </w:rPr>
            </w:pPr>
            <w:bookmarkStart w:id="94" w:name="_Hlk209005223"/>
            <w:r w:rsidRPr="00E06F45">
              <w:rPr>
                <w:b/>
                <w:bCs/>
                <w:sz w:val="20"/>
                <w:szCs w:val="20"/>
              </w:rPr>
              <w:t>Aprobador de posición GSSC</w:t>
            </w:r>
          </w:p>
          <w:bookmarkEnd w:id="94"/>
          <w:p w14:paraId="36915989" w14:textId="56E5EEA2" w:rsidR="006D6ECB" w:rsidRPr="00756410" w:rsidRDefault="006D6ECB" w:rsidP="00756410">
            <w:pPr>
              <w:pStyle w:val="ListParagraph"/>
              <w:ind w:left="360"/>
              <w:rPr>
                <w:sz w:val="20"/>
                <w:szCs w:val="20"/>
              </w:rPr>
            </w:pPr>
            <w:r w:rsidRPr="00756410">
              <w:rPr>
                <w:b/>
                <w:bCs/>
                <w:sz w:val="20"/>
                <w:szCs w:val="20"/>
              </w:rPr>
              <w:t>[</w:t>
            </w:r>
            <w:r w:rsidRPr="00756410">
              <w:rPr>
                <w:b/>
                <w:bCs/>
                <w:i/>
                <w:iCs/>
                <w:sz w:val="20"/>
                <w:szCs w:val="20"/>
              </w:rPr>
              <w:t>Position Approver GSSC</w:t>
            </w:r>
            <w:r>
              <w:rPr>
                <w:b/>
                <w:bCs/>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107C37F8" w14:textId="6564AAF1" w:rsidR="006B6603" w:rsidRPr="00E06F45" w:rsidRDefault="00204126" w:rsidP="000032BC">
            <w:pPr>
              <w:pStyle w:val="ListParagraph"/>
              <w:ind w:left="360" w:hanging="436"/>
              <w:jc w:val="center"/>
              <w:rPr>
                <w:b/>
                <w:bCs/>
                <w:sz w:val="20"/>
                <w:szCs w:val="20"/>
              </w:rPr>
            </w:pPr>
            <w:r>
              <w:rPr>
                <w:sz w:val="20"/>
                <w:szCs w:val="20"/>
              </w:rPr>
              <w:t>Sí</w:t>
            </w:r>
          </w:p>
        </w:tc>
      </w:tr>
    </w:tbl>
    <w:p w14:paraId="10A30461" w14:textId="2BE844E1" w:rsidR="00D41C92" w:rsidRDefault="5B7D00A8">
      <w:pPr>
        <w:pStyle w:val="Heading1"/>
        <w:numPr>
          <w:ilvl w:val="0"/>
          <w:numId w:val="92"/>
        </w:numPr>
        <w:spacing w:after="240"/>
      </w:pPr>
      <w:bookmarkStart w:id="95" w:name="_Toc210052781"/>
      <w:r>
        <w:t xml:space="preserve">Gestión </w:t>
      </w:r>
      <w:r w:rsidR="23FF9CB0">
        <w:t>F</w:t>
      </w:r>
      <w:r>
        <w:t xml:space="preserve">inanciera </w:t>
      </w:r>
      <w:r w:rsidR="3C8BE655">
        <w:t>G</w:t>
      </w:r>
      <w:r>
        <w:t>eneral</w:t>
      </w:r>
      <w:bookmarkEnd w:id="95"/>
    </w:p>
    <w:p w14:paraId="559410BF" w14:textId="78FB07B0" w:rsidR="00223CD7" w:rsidRPr="00756410" w:rsidRDefault="5B7D00A8" w:rsidP="00756410">
      <w:pPr>
        <w:spacing w:line="240" w:lineRule="auto"/>
        <w:jc w:val="both"/>
        <w:rPr>
          <w:lang w:val="es-419"/>
        </w:rPr>
      </w:pPr>
      <w:r w:rsidRPr="1C19464E">
        <w:rPr>
          <w:lang w:val="es-419"/>
        </w:rPr>
        <w:t xml:space="preserve">El equipo de Finanzas de cada oficina/unidad apoya la promoción de la agenda de desarrollo sostenible mejorando continuamente </w:t>
      </w:r>
      <w:r w:rsidR="0073051A">
        <w:rPr>
          <w:lang w:val="es-419"/>
        </w:rPr>
        <w:t xml:space="preserve">el </w:t>
      </w:r>
      <w:r w:rsidRPr="1C19464E">
        <w:rPr>
          <w:lang w:val="es-419"/>
        </w:rPr>
        <w:t>desempeño financiero de la</w:t>
      </w:r>
      <w:r w:rsidR="0073051A">
        <w:rPr>
          <w:lang w:val="es-419"/>
        </w:rPr>
        <w:t xml:space="preserve"> </w:t>
      </w:r>
      <w:r w:rsidR="134D8551" w:rsidRPr="1C19464E">
        <w:rPr>
          <w:lang w:val="es-419"/>
        </w:rPr>
        <w:t>CO</w:t>
      </w:r>
      <w:r w:rsidRPr="1C19464E">
        <w:rPr>
          <w:lang w:val="es-419"/>
        </w:rPr>
        <w:t>, brindando una gestión sólida de los recursos financieros y asegurando una sólida rendición de cuentas a través de la toma de decisiones informada, procesos de gestión financiera efectivos e informes financieros transparentes que cumplan con los estándares internacionales y las pautas regulatorias. Bajo la guía general de</w:t>
      </w:r>
      <w:r w:rsidR="0073051A">
        <w:rPr>
          <w:lang w:val="es-419"/>
        </w:rPr>
        <w:t xml:space="preserve">l </w:t>
      </w:r>
      <w:r w:rsidRPr="1C19464E">
        <w:rPr>
          <w:lang w:val="es-419"/>
        </w:rPr>
        <w:t>RRD, el equipo de Finanzas es responsable de garantizar la máxima eficiencia en la gestión de los recursos financieros y el suministro de información financiera precisa, minuciosamente investigada y documentada, la prestación eficaz de servicios financieros y la utilización transparente de los recursos financieros.</w:t>
      </w:r>
    </w:p>
    <w:p w14:paraId="118519BB" w14:textId="77CDFC66" w:rsidR="00053CC0" w:rsidRPr="00756410" w:rsidRDefault="336AAFCC" w:rsidP="00053CC0">
      <w:pPr>
        <w:spacing w:line="240" w:lineRule="auto"/>
        <w:rPr>
          <w:lang w:val="es-419"/>
        </w:rPr>
      </w:pPr>
      <w:r w:rsidRPr="48224A22">
        <w:rPr>
          <w:lang w:val="es-419"/>
        </w:rPr>
        <w:t xml:space="preserve">La </w:t>
      </w:r>
      <w:r w:rsidR="007E0138">
        <w:rPr>
          <w:lang w:val="es-419"/>
        </w:rPr>
        <w:t>pol</w:t>
      </w:r>
      <w:r w:rsidR="007E0138">
        <w:rPr>
          <w:lang w:val="es-ES"/>
        </w:rPr>
        <w:t xml:space="preserve">ítica </w:t>
      </w:r>
      <w:r w:rsidR="006D5799">
        <w:rPr>
          <w:lang w:val="es-ES"/>
        </w:rPr>
        <w:t>de “</w:t>
      </w:r>
      <w:hyperlink r:id="rId130" w:history="1">
        <w:r w:rsidR="006D5799" w:rsidRPr="00756410">
          <w:rPr>
            <w:rStyle w:val="Hyperlink"/>
            <w:i/>
            <w:iCs/>
            <w:lang w:val="es-ES"/>
          </w:rPr>
          <w:t>G</w:t>
        </w:r>
        <w:r w:rsidRPr="00756410">
          <w:rPr>
            <w:rStyle w:val="Hyperlink"/>
            <w:i/>
            <w:iCs/>
            <w:lang w:val="es-ES"/>
          </w:rPr>
          <w:t>estión de los recursos financieros</w:t>
        </w:r>
      </w:hyperlink>
      <w:r w:rsidR="006D5799">
        <w:rPr>
          <w:lang w:val="es-419"/>
        </w:rPr>
        <w:t>” del POPP</w:t>
      </w:r>
      <w:r w:rsidR="006D5799" w:rsidRPr="00756410" w:rsidDel="006D5799">
        <w:rPr>
          <w:lang w:val="es-ES"/>
        </w:rPr>
        <w:t xml:space="preserve"> </w:t>
      </w:r>
      <w:r w:rsidRPr="00756410">
        <w:rPr>
          <w:lang w:val="es-419"/>
        </w:rPr>
        <w:t xml:space="preserve">establece las políticas y procedimientos para la gestión financiera. Además, se puede encontrar una variedad de artículos de conocimiento </w:t>
      </w:r>
      <w:r w:rsidR="00510ACF">
        <w:rPr>
          <w:lang w:val="es-419"/>
        </w:rPr>
        <w:t>de Quantum</w:t>
      </w:r>
      <w:r w:rsidR="00510ACF" w:rsidRPr="00756410">
        <w:rPr>
          <w:lang w:val="es-419"/>
        </w:rPr>
        <w:t xml:space="preserve"> </w:t>
      </w:r>
      <w:r w:rsidRPr="00756410">
        <w:rPr>
          <w:lang w:val="es-419"/>
        </w:rPr>
        <w:t xml:space="preserve">en </w:t>
      </w:r>
      <w:r w:rsidR="006D5799">
        <w:rPr>
          <w:lang w:val="es-419"/>
        </w:rPr>
        <w:t xml:space="preserve">la sección de </w:t>
      </w:r>
      <w:r w:rsidR="00EA2A3A">
        <w:rPr>
          <w:lang w:val="es-419"/>
        </w:rPr>
        <w:t>“</w:t>
      </w:r>
      <w:hyperlink r:id="rId131" w:history="1">
        <w:r w:rsidR="00EA2A3A" w:rsidRPr="00756410">
          <w:rPr>
            <w:rStyle w:val="Hyperlink"/>
            <w:i/>
            <w:iCs/>
            <w:lang w:val="es-419"/>
          </w:rPr>
          <w:t>Gestión Financiera</w:t>
        </w:r>
        <w:r w:rsidR="00EA2A3A" w:rsidRPr="00EA2A3A">
          <w:rPr>
            <w:rStyle w:val="Hyperlink"/>
            <w:lang w:val="es-419"/>
          </w:rPr>
          <w:t xml:space="preserve">” de </w:t>
        </w:r>
        <w:r w:rsidRPr="00756410">
          <w:rPr>
            <w:rStyle w:val="Hyperlink"/>
            <w:lang w:val="es-419"/>
          </w:rPr>
          <w:t>UNall</w:t>
        </w:r>
      </w:hyperlink>
      <w:r w:rsidR="00EA2A3A">
        <w:rPr>
          <w:lang w:val="es-419"/>
        </w:rPr>
        <w:t>,</w:t>
      </w:r>
      <w:r w:rsidRPr="00756410">
        <w:rPr>
          <w:lang w:val="es-419"/>
        </w:rPr>
        <w:t xml:space="preserve"> así como en el </w:t>
      </w:r>
      <w:hyperlink r:id="rId132">
        <w:r w:rsidRPr="00756410">
          <w:rPr>
            <w:rStyle w:val="Hyperlink"/>
            <w:color w:val="4472C4" w:themeColor="accent1"/>
            <w:lang w:val="es-ES"/>
          </w:rPr>
          <w:t xml:space="preserve">sitio de </w:t>
        </w:r>
        <w:r w:rsidRPr="48224A22">
          <w:rPr>
            <w:rStyle w:val="Hyperlink"/>
            <w:color w:val="4472C4" w:themeColor="accent1"/>
            <w:lang w:val="es-419"/>
          </w:rPr>
          <w:t>SharePoint</w:t>
        </w:r>
        <w:r w:rsidR="00EA2A3A">
          <w:rPr>
            <w:rStyle w:val="Hyperlink"/>
            <w:color w:val="4472C4" w:themeColor="accent1"/>
            <w:lang w:val="es-419"/>
          </w:rPr>
          <w:t xml:space="preserve"> para Servicios Financieros del</w:t>
        </w:r>
        <w:r w:rsidRPr="48224A22">
          <w:rPr>
            <w:rStyle w:val="Hyperlink"/>
            <w:color w:val="4472C4" w:themeColor="accent1"/>
            <w:lang w:val="es-419"/>
          </w:rPr>
          <w:t xml:space="preserve"> BMS</w:t>
        </w:r>
        <w:r w:rsidR="00EA2A3A">
          <w:rPr>
            <w:rStyle w:val="Hyperlink"/>
            <w:color w:val="4472C4" w:themeColor="accent1"/>
            <w:lang w:val="es-419"/>
          </w:rPr>
          <w:t>/</w:t>
        </w:r>
        <w:r w:rsidRPr="48224A22">
          <w:rPr>
            <w:rStyle w:val="Hyperlink"/>
            <w:color w:val="4472C4" w:themeColor="accent1"/>
            <w:lang w:val="es-419"/>
          </w:rPr>
          <w:t>GSSC</w:t>
        </w:r>
      </w:hyperlink>
      <w:r w:rsidRPr="00756410">
        <w:rPr>
          <w:lang w:val="es-419"/>
        </w:rPr>
        <w:t xml:space="preserve"> y el </w:t>
      </w:r>
      <w:hyperlink r:id="rId133">
        <w:r w:rsidRPr="00756410">
          <w:rPr>
            <w:rStyle w:val="Hyperlink"/>
            <w:color w:val="4472C4" w:themeColor="accent1"/>
            <w:lang w:val="es-419"/>
          </w:rPr>
          <w:t xml:space="preserve">sitio de SharePoint </w:t>
        </w:r>
        <w:r w:rsidR="00AA663B">
          <w:rPr>
            <w:rStyle w:val="Hyperlink"/>
            <w:color w:val="4472C4" w:themeColor="accent1"/>
            <w:lang w:val="es-419"/>
          </w:rPr>
          <w:t>con los SOP del</w:t>
        </w:r>
        <w:r w:rsidRPr="00756410">
          <w:rPr>
            <w:rStyle w:val="Hyperlink"/>
            <w:color w:val="4472C4" w:themeColor="accent1"/>
            <w:lang w:val="es-419"/>
          </w:rPr>
          <w:t xml:space="preserve"> BMS/GSSC</w:t>
        </w:r>
      </w:hyperlink>
      <w:r w:rsidRPr="00756410">
        <w:rPr>
          <w:color w:val="4472C4" w:themeColor="accent1"/>
          <w:lang w:val="es-419"/>
        </w:rPr>
        <w:t>.</w:t>
      </w:r>
    </w:p>
    <w:p w14:paraId="3F7C4793" w14:textId="3458DD93" w:rsidR="0005445E" w:rsidRPr="00756410" w:rsidRDefault="03F88FCC">
      <w:pPr>
        <w:pStyle w:val="Heading2"/>
        <w:numPr>
          <w:ilvl w:val="1"/>
          <w:numId w:val="92"/>
        </w:numPr>
        <w:spacing w:after="240"/>
        <w:ind w:left="360"/>
        <w:rPr>
          <w:color w:val="4472C4" w:themeColor="accent1"/>
          <w:lang w:val="es-419"/>
        </w:rPr>
      </w:pPr>
      <w:bookmarkStart w:id="96" w:name="_Toc210052782"/>
      <w:r w:rsidRPr="48224A22">
        <w:rPr>
          <w:color w:val="4472C4" w:themeColor="accent1"/>
          <w:lang w:val="es-419"/>
        </w:rPr>
        <w:t xml:space="preserve">Representante Residente Adjunto – Operaciones </w:t>
      </w:r>
      <w:r w:rsidR="0005445E" w:rsidRPr="00756410">
        <w:rPr>
          <w:color w:val="4472C4" w:themeColor="accent1"/>
          <w:lang w:val="es-419"/>
        </w:rPr>
        <w:t xml:space="preserve"> (o </w:t>
      </w:r>
      <w:r w:rsidR="2B4D6B31" w:rsidRPr="48224A22">
        <w:rPr>
          <w:color w:val="4472C4" w:themeColor="accent1"/>
          <w:lang w:val="es-419"/>
        </w:rPr>
        <w:t xml:space="preserve">su </w:t>
      </w:r>
      <w:r w:rsidR="0005445E" w:rsidRPr="48224A22">
        <w:rPr>
          <w:color w:val="4472C4" w:themeColor="accent1"/>
          <w:lang w:val="es-419"/>
        </w:rPr>
        <w:t>equivalente en la sede)</w:t>
      </w:r>
      <w:bookmarkEnd w:id="96"/>
    </w:p>
    <w:p w14:paraId="00703AF7" w14:textId="77166497" w:rsidR="0005445E" w:rsidRPr="00756410" w:rsidRDefault="00E27FA3" w:rsidP="00756410">
      <w:pPr>
        <w:spacing w:line="240" w:lineRule="auto"/>
        <w:jc w:val="both"/>
        <w:rPr>
          <w:lang w:val="es-419"/>
        </w:rPr>
      </w:pPr>
      <w:r w:rsidRPr="48224A22">
        <w:rPr>
          <w:lang w:val="es-419"/>
        </w:rPr>
        <w:t xml:space="preserve">El Representante Residente Adjunto (Operaciones) (o </w:t>
      </w:r>
      <w:r w:rsidR="73DB4196" w:rsidRPr="48224A22">
        <w:rPr>
          <w:lang w:val="es-419"/>
        </w:rPr>
        <w:t xml:space="preserve">su </w:t>
      </w:r>
      <w:r w:rsidRPr="48224A22">
        <w:rPr>
          <w:lang w:val="es-419"/>
        </w:rPr>
        <w:t xml:space="preserve">equivalente en la Sede) vela por que todas las funciones de gestión y liderazgo se desempeñen de conformidad con las normas, reglamentos y reglamentos de gestión establecidos por las Naciones Unidas y el PNUD y de conformidad con el marco interno de rendición de cuentas del PNUD para el personal </w:t>
      </w:r>
      <w:r w:rsidR="7C73254B" w:rsidRPr="48224A22">
        <w:rPr>
          <w:lang w:val="es-419"/>
        </w:rPr>
        <w:t xml:space="preserve">gerencial </w:t>
      </w:r>
      <w:r w:rsidRPr="48224A22">
        <w:rPr>
          <w:lang w:val="es-419"/>
        </w:rPr>
        <w:t xml:space="preserve">superior, </w:t>
      </w:r>
      <w:r w:rsidR="347B3EE1" w:rsidRPr="48224A22">
        <w:rPr>
          <w:lang w:val="es-419"/>
        </w:rPr>
        <w:t xml:space="preserve">haciendo </w:t>
      </w:r>
      <w:r w:rsidRPr="48224A22">
        <w:rPr>
          <w:lang w:val="es-419"/>
        </w:rPr>
        <w:t xml:space="preserve"> hincapié, entre otras cosas, en las normas más estrictas de ética, integridad y rendición de cuentas en los ámbitos personal y profesional. Si bien las oficinas/unidades del PNUD tienen estructuras organizativas variadas, </w:t>
      </w:r>
      <w:r w:rsidR="50FE2AD7" w:rsidRPr="48224A22">
        <w:rPr>
          <w:lang w:val="es-419"/>
        </w:rPr>
        <w:t>los RR</w:t>
      </w:r>
      <w:r w:rsidR="00AA663B">
        <w:rPr>
          <w:lang w:val="es-419"/>
        </w:rPr>
        <w:t>D</w:t>
      </w:r>
      <w:r w:rsidR="50FE2AD7" w:rsidRPr="48224A22">
        <w:rPr>
          <w:lang w:val="es-419"/>
        </w:rPr>
        <w:t xml:space="preserve"> (</w:t>
      </w:r>
      <w:r w:rsidR="533599C6" w:rsidRPr="48224A22">
        <w:rPr>
          <w:lang w:val="es-419"/>
        </w:rPr>
        <w:t>Operaciones) pueden</w:t>
      </w:r>
      <w:r w:rsidRPr="48224A22">
        <w:rPr>
          <w:lang w:val="es-419"/>
        </w:rPr>
        <w:t xml:space="preserve"> tener las siguientes responsabilidades clave en lo que respecta a la gestión de los recursos financieros y los controles relacionados:</w:t>
      </w:r>
    </w:p>
    <w:tbl>
      <w:tblPr>
        <w:tblpPr w:leftFromText="180" w:rightFromText="180" w:vertAnchor="text" w:horzAnchor="margin" w:tblpY="-7"/>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05"/>
      </w:tblGrid>
      <w:tr w:rsidR="00A35ED2" w:rsidRPr="00773863" w14:paraId="3AD937D4" w14:textId="77777777" w:rsidTr="48224A22">
        <w:trPr>
          <w:trHeight w:val="20"/>
        </w:trPr>
        <w:tc>
          <w:tcPr>
            <w:tcW w:w="9805" w:type="dxa"/>
            <w:shd w:val="clear" w:color="auto" w:fill="FFF1CC"/>
          </w:tcPr>
          <w:p w14:paraId="33B25215" w14:textId="0266F380" w:rsidR="00A35ED2" w:rsidRPr="00756410" w:rsidRDefault="6777720F" w:rsidP="48224A22">
            <w:pPr>
              <w:spacing w:after="0" w:line="240" w:lineRule="auto"/>
              <w:rPr>
                <w:b/>
                <w:bCs/>
                <w:sz w:val="20"/>
                <w:szCs w:val="20"/>
                <w:lang w:val="es-419"/>
              </w:rPr>
            </w:pPr>
            <w:r w:rsidRPr="48224A22">
              <w:rPr>
                <w:b/>
                <w:bCs/>
                <w:sz w:val="20"/>
                <w:szCs w:val="20"/>
                <w:lang w:val="es-419"/>
              </w:rPr>
              <w:lastRenderedPageBreak/>
              <w:t>RR</w:t>
            </w:r>
            <w:r w:rsidR="00AA663B">
              <w:rPr>
                <w:b/>
                <w:bCs/>
                <w:sz w:val="20"/>
                <w:szCs w:val="20"/>
                <w:lang w:val="es-419"/>
              </w:rPr>
              <w:t>D</w:t>
            </w:r>
            <w:r w:rsidRPr="48224A22">
              <w:rPr>
                <w:b/>
                <w:bCs/>
                <w:sz w:val="20"/>
                <w:szCs w:val="20"/>
                <w:lang w:val="es-419"/>
              </w:rPr>
              <w:t xml:space="preserve"> (Operaciones) </w:t>
            </w:r>
            <w:r w:rsidR="303958B1" w:rsidRPr="48224A22">
              <w:rPr>
                <w:b/>
                <w:bCs/>
                <w:sz w:val="20"/>
                <w:szCs w:val="20"/>
                <w:lang w:val="es-419"/>
              </w:rPr>
              <w:t xml:space="preserve"> (o equivalente en la sede): Responsabilidades de control interno que normalmente se realizan dentro de cada oficina</w:t>
            </w:r>
            <w:r w:rsidR="0000736A">
              <w:rPr>
                <w:b/>
                <w:bCs/>
                <w:sz w:val="20"/>
                <w:szCs w:val="20"/>
                <w:lang w:val="es-419"/>
              </w:rPr>
              <w:t xml:space="preserve"> o </w:t>
            </w:r>
            <w:r w:rsidR="303958B1" w:rsidRPr="48224A22">
              <w:rPr>
                <w:b/>
                <w:bCs/>
                <w:sz w:val="20"/>
                <w:szCs w:val="20"/>
                <w:lang w:val="es-419"/>
              </w:rPr>
              <w:t>unidad</w:t>
            </w:r>
          </w:p>
        </w:tc>
      </w:tr>
      <w:tr w:rsidR="00A35ED2" w:rsidRPr="00773863" w14:paraId="0276E4CE" w14:textId="77777777" w:rsidTr="48224A22">
        <w:trPr>
          <w:trHeight w:val="20"/>
        </w:trPr>
        <w:tc>
          <w:tcPr>
            <w:tcW w:w="9805" w:type="dxa"/>
          </w:tcPr>
          <w:p w14:paraId="3A3F8ACB" w14:textId="4298198A" w:rsidR="00A35ED2" w:rsidRPr="00756410" w:rsidRDefault="303958B1"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 xml:space="preserve">Garantiza la integridad de los sistemas financieros, la revisión de los requisitos presupuestarios y la aplicación coherente de los reglamentos y </w:t>
            </w:r>
            <w:r w:rsidR="0778C043" w:rsidRPr="48224A22">
              <w:rPr>
                <w:sz w:val="20"/>
                <w:szCs w:val="20"/>
                <w:lang w:val="es-419"/>
              </w:rPr>
              <w:t>reglas</w:t>
            </w:r>
            <w:r w:rsidRPr="00756410">
              <w:rPr>
                <w:sz w:val="20"/>
                <w:szCs w:val="20"/>
                <w:lang w:val="es-419"/>
              </w:rPr>
              <w:t>.</w:t>
            </w:r>
          </w:p>
        </w:tc>
      </w:tr>
      <w:tr w:rsidR="00A35ED2" w:rsidRPr="00773863" w14:paraId="54C9C78F" w14:textId="77777777" w:rsidTr="48224A22">
        <w:trPr>
          <w:trHeight w:val="20"/>
        </w:trPr>
        <w:tc>
          <w:tcPr>
            <w:tcW w:w="9805" w:type="dxa"/>
          </w:tcPr>
          <w:p w14:paraId="26345C20" w14:textId="2D6A2CB1" w:rsidR="00A35ED2" w:rsidRPr="00756410" w:rsidRDefault="303958B1"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 xml:space="preserve">Establece y supervisa la implementación de controles internos adecuados para garantizar la integridad de las transacciones y los sistemas financieros, incluida la revisión oportuna y la finalización de la documentación del Marco de </w:t>
            </w:r>
            <w:r w:rsidR="7CBE931A" w:rsidRPr="48224A22">
              <w:rPr>
                <w:sz w:val="20"/>
                <w:szCs w:val="20"/>
                <w:lang w:val="es-419"/>
              </w:rPr>
              <w:t>C</w:t>
            </w:r>
            <w:r w:rsidRPr="48224A22">
              <w:rPr>
                <w:sz w:val="20"/>
                <w:szCs w:val="20"/>
                <w:lang w:val="es-419"/>
              </w:rPr>
              <w:t xml:space="preserve">ontrol </w:t>
            </w:r>
            <w:r w:rsidR="6EE9B811" w:rsidRPr="48224A22">
              <w:rPr>
                <w:sz w:val="20"/>
                <w:szCs w:val="20"/>
                <w:lang w:val="es-419"/>
              </w:rPr>
              <w:t>I</w:t>
            </w:r>
            <w:r w:rsidRPr="48224A22">
              <w:rPr>
                <w:sz w:val="20"/>
                <w:szCs w:val="20"/>
                <w:lang w:val="es-419"/>
              </w:rPr>
              <w:t>nterno de la oficina/unidad.</w:t>
            </w:r>
          </w:p>
        </w:tc>
      </w:tr>
      <w:tr w:rsidR="00A35ED2" w:rsidRPr="00773863" w14:paraId="0F92100B" w14:textId="77777777" w:rsidTr="48224A22">
        <w:trPr>
          <w:trHeight w:val="20"/>
        </w:trPr>
        <w:tc>
          <w:tcPr>
            <w:tcW w:w="9805" w:type="dxa"/>
          </w:tcPr>
          <w:p w14:paraId="5BF997E2" w14:textId="4812F414" w:rsidR="00A35ED2" w:rsidRPr="00756410" w:rsidRDefault="303958B1" w:rsidP="00756410">
            <w:pPr>
              <w:pStyle w:val="ListParagraph"/>
              <w:widowControl w:val="0"/>
              <w:numPr>
                <w:ilvl w:val="0"/>
                <w:numId w:val="101"/>
              </w:numPr>
              <w:autoSpaceDE w:val="0"/>
              <w:autoSpaceDN w:val="0"/>
              <w:spacing w:after="0" w:line="240" w:lineRule="auto"/>
              <w:ind w:right="110"/>
              <w:jc w:val="both"/>
              <w:rPr>
                <w:sz w:val="20"/>
                <w:szCs w:val="20"/>
                <w:lang w:val="es-419"/>
              </w:rPr>
            </w:pPr>
            <w:r w:rsidRPr="48224A22">
              <w:rPr>
                <w:sz w:val="20"/>
                <w:szCs w:val="20"/>
                <w:lang w:val="es-419"/>
              </w:rPr>
              <w:t xml:space="preserve">Monitorea y supervisa la implementación de la planificación, presupuestación y utilización </w:t>
            </w:r>
            <w:r w:rsidR="14F4DF00" w:rsidRPr="48224A22">
              <w:rPr>
                <w:sz w:val="20"/>
                <w:szCs w:val="20"/>
                <w:lang w:val="es-419"/>
              </w:rPr>
              <w:t xml:space="preserve">integral </w:t>
            </w:r>
            <w:r w:rsidRPr="48224A22">
              <w:rPr>
                <w:sz w:val="20"/>
                <w:szCs w:val="20"/>
                <w:lang w:val="es-419"/>
              </w:rPr>
              <w:t xml:space="preserve">de </w:t>
            </w:r>
            <w:r w:rsidR="740E0622" w:rsidRPr="48224A22">
              <w:rPr>
                <w:sz w:val="20"/>
                <w:szCs w:val="20"/>
                <w:lang w:val="es-419"/>
              </w:rPr>
              <w:t xml:space="preserve">los </w:t>
            </w:r>
            <w:r w:rsidRPr="48224A22">
              <w:rPr>
                <w:sz w:val="20"/>
                <w:szCs w:val="20"/>
                <w:lang w:val="es-419"/>
              </w:rPr>
              <w:t xml:space="preserve">recursos </w:t>
            </w:r>
            <w:r w:rsidR="20921AB6" w:rsidRPr="48224A22">
              <w:rPr>
                <w:sz w:val="20"/>
                <w:szCs w:val="20"/>
                <w:lang w:val="es-419"/>
              </w:rPr>
              <w:t>conforme</w:t>
            </w:r>
            <w:r w:rsidR="00EB2B9B">
              <w:rPr>
                <w:sz w:val="20"/>
                <w:szCs w:val="20"/>
                <w:lang w:val="es-419"/>
              </w:rPr>
              <w:t xml:space="preserve"> a la política de “</w:t>
            </w:r>
            <w:hyperlink r:id="rId134" w:history="1">
              <w:r w:rsidR="00EB2B9B" w:rsidRPr="00756410">
                <w:rPr>
                  <w:rStyle w:val="Hyperlink"/>
                  <w:i/>
                  <w:iCs/>
                  <w:lang w:val="es-ES"/>
                </w:rPr>
                <w:t>Gestión de Recursos Financieros</w:t>
              </w:r>
            </w:hyperlink>
            <w:r w:rsidR="00EB2B9B">
              <w:rPr>
                <w:sz w:val="20"/>
                <w:szCs w:val="20"/>
                <w:lang w:val="es-419"/>
              </w:rPr>
              <w:t>” del</w:t>
            </w:r>
            <w:r w:rsidR="20921AB6" w:rsidRPr="48224A22">
              <w:rPr>
                <w:sz w:val="20"/>
                <w:szCs w:val="20"/>
                <w:lang w:val="es-419"/>
              </w:rPr>
              <w:t xml:space="preserve"> POPP</w:t>
            </w:r>
            <w:r w:rsidR="006A5E5A">
              <w:rPr>
                <w:sz w:val="20"/>
                <w:szCs w:val="20"/>
                <w:lang w:val="es-419"/>
              </w:rPr>
              <w:t>.</w:t>
            </w:r>
          </w:p>
        </w:tc>
      </w:tr>
      <w:tr w:rsidR="00172AD3" w:rsidRPr="00773863" w14:paraId="3A6C1023" w14:textId="77777777" w:rsidTr="48224A22">
        <w:trPr>
          <w:trHeight w:val="20"/>
        </w:trPr>
        <w:tc>
          <w:tcPr>
            <w:tcW w:w="9805" w:type="dxa"/>
          </w:tcPr>
          <w:p w14:paraId="7810DFF1" w14:textId="06628123" w:rsidR="00172AD3" w:rsidRPr="00756410" w:rsidRDefault="52D7CBF8"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Supervisa los ejercicios corporativos como la Representación Anual, el Plan de Continuidad de</w:t>
            </w:r>
            <w:r w:rsidR="00EE0114">
              <w:rPr>
                <w:sz w:val="20"/>
                <w:szCs w:val="20"/>
                <w:lang w:val="es-419"/>
              </w:rPr>
              <w:t xml:space="preserve"> las Operaciones</w:t>
            </w:r>
            <w:r w:rsidRPr="48224A22">
              <w:rPr>
                <w:sz w:val="20"/>
                <w:szCs w:val="20"/>
                <w:lang w:val="es-419"/>
              </w:rPr>
              <w:t xml:space="preserve"> y la preparación del </w:t>
            </w:r>
            <w:r w:rsidR="5CE76F6F" w:rsidRPr="48224A22">
              <w:rPr>
                <w:sz w:val="20"/>
                <w:szCs w:val="20"/>
                <w:lang w:val="es-419"/>
              </w:rPr>
              <w:t>PIT</w:t>
            </w:r>
            <w:r w:rsidR="00A52458">
              <w:rPr>
                <w:sz w:val="20"/>
                <w:szCs w:val="20"/>
                <w:lang w:val="es-419"/>
              </w:rPr>
              <w:t xml:space="preserve"> (</w:t>
            </w:r>
            <w:r w:rsidRPr="48224A22">
              <w:rPr>
                <w:sz w:val="20"/>
                <w:szCs w:val="20"/>
                <w:lang w:val="es-419"/>
              </w:rPr>
              <w:t xml:space="preserve">IWP </w:t>
            </w:r>
            <w:r w:rsidR="00A52458">
              <w:rPr>
                <w:sz w:val="20"/>
                <w:szCs w:val="20"/>
                <w:lang w:val="es-419"/>
              </w:rPr>
              <w:t xml:space="preserve">por sus siglas en inglés) </w:t>
            </w:r>
            <w:r w:rsidRPr="48224A22">
              <w:rPr>
                <w:sz w:val="20"/>
                <w:szCs w:val="20"/>
                <w:lang w:val="es-419"/>
              </w:rPr>
              <w:t>del componente de Presupuesto Institucional (IB), asegurando que se obtengan los insumos relevantes de</w:t>
            </w:r>
            <w:r w:rsidR="00BB04BA">
              <w:rPr>
                <w:sz w:val="20"/>
                <w:szCs w:val="20"/>
                <w:lang w:val="es-419"/>
              </w:rPr>
              <w:t xml:space="preserve"> los</w:t>
            </w:r>
            <w:r w:rsidR="6A77F38A" w:rsidRPr="48224A22">
              <w:rPr>
                <w:sz w:val="20"/>
                <w:szCs w:val="20"/>
                <w:lang w:val="es-419"/>
              </w:rPr>
              <w:t xml:space="preserve"> RRA </w:t>
            </w:r>
            <w:r w:rsidR="00BB04BA">
              <w:rPr>
                <w:sz w:val="20"/>
                <w:szCs w:val="20"/>
                <w:lang w:val="es-419"/>
              </w:rPr>
              <w:t xml:space="preserve">de </w:t>
            </w:r>
            <w:r w:rsidR="6A77F38A" w:rsidRPr="48224A22">
              <w:rPr>
                <w:sz w:val="20"/>
                <w:szCs w:val="20"/>
                <w:lang w:val="es-419"/>
              </w:rPr>
              <w:t>Programa</w:t>
            </w:r>
            <w:r w:rsidR="00BB04BA">
              <w:rPr>
                <w:sz w:val="20"/>
                <w:szCs w:val="20"/>
                <w:lang w:val="es-419"/>
              </w:rPr>
              <w:t>s.</w:t>
            </w:r>
          </w:p>
        </w:tc>
      </w:tr>
      <w:tr w:rsidR="00172AD3" w:rsidRPr="00773863" w14:paraId="7F24AD8D" w14:textId="77777777" w:rsidTr="48224A22">
        <w:trPr>
          <w:trHeight w:val="20"/>
        </w:trPr>
        <w:tc>
          <w:tcPr>
            <w:tcW w:w="9805" w:type="dxa"/>
          </w:tcPr>
          <w:p w14:paraId="484E4E75" w14:textId="48FADC2E" w:rsidR="00172AD3" w:rsidRPr="00756410" w:rsidRDefault="13E0EC47" w:rsidP="00756410">
            <w:pPr>
              <w:pStyle w:val="ListParagraph"/>
              <w:widowControl w:val="0"/>
              <w:numPr>
                <w:ilvl w:val="0"/>
                <w:numId w:val="101"/>
              </w:numPr>
              <w:autoSpaceDE w:val="0"/>
              <w:autoSpaceDN w:val="0"/>
              <w:spacing w:after="0" w:line="240" w:lineRule="auto"/>
              <w:jc w:val="both"/>
              <w:rPr>
                <w:sz w:val="20"/>
                <w:szCs w:val="20"/>
                <w:lang w:val="es-419"/>
              </w:rPr>
            </w:pPr>
            <w:r w:rsidRPr="48224A22">
              <w:rPr>
                <w:sz w:val="20"/>
                <w:szCs w:val="20"/>
                <w:lang w:val="es-419"/>
              </w:rPr>
              <w:t xml:space="preserve">Supervisa el cumplimiento de </w:t>
            </w:r>
            <w:r w:rsidR="5CA34180" w:rsidRPr="48224A22">
              <w:rPr>
                <w:sz w:val="20"/>
                <w:szCs w:val="20"/>
                <w:lang w:val="es-419"/>
              </w:rPr>
              <w:t>la pol</w:t>
            </w:r>
            <w:r w:rsidR="00034524">
              <w:rPr>
                <w:sz w:val="20"/>
                <w:szCs w:val="20"/>
                <w:lang w:val="es-419"/>
              </w:rPr>
              <w:t>í</w:t>
            </w:r>
            <w:r w:rsidR="5CA34180" w:rsidRPr="48224A22">
              <w:rPr>
                <w:sz w:val="20"/>
                <w:szCs w:val="20"/>
                <w:lang w:val="es-419"/>
              </w:rPr>
              <w:t xml:space="preserve">tica </w:t>
            </w:r>
            <w:r w:rsidRPr="48224A22">
              <w:rPr>
                <w:sz w:val="20"/>
                <w:szCs w:val="20"/>
                <w:lang w:val="es-419"/>
              </w:rPr>
              <w:t xml:space="preserve">HACT en la oficina/unidad en estrecha colaboración con </w:t>
            </w:r>
            <w:r w:rsidR="00BB04BA">
              <w:rPr>
                <w:sz w:val="20"/>
                <w:szCs w:val="20"/>
                <w:lang w:val="es-419"/>
              </w:rPr>
              <w:t xml:space="preserve">los </w:t>
            </w:r>
            <w:r w:rsidRPr="48224A22">
              <w:rPr>
                <w:sz w:val="20"/>
                <w:szCs w:val="20"/>
                <w:lang w:val="es-419"/>
              </w:rPr>
              <w:t>RR</w:t>
            </w:r>
            <w:r w:rsidR="47A49B59" w:rsidRPr="48224A22">
              <w:rPr>
                <w:sz w:val="20"/>
                <w:szCs w:val="20"/>
                <w:lang w:val="es-419"/>
              </w:rPr>
              <w:t>A</w:t>
            </w:r>
            <w:r w:rsidR="00D03DFB">
              <w:rPr>
                <w:sz w:val="20"/>
                <w:szCs w:val="20"/>
                <w:lang w:val="es-419"/>
              </w:rPr>
              <w:t xml:space="preserve">-P </w:t>
            </w:r>
            <w:r w:rsidR="57625F33" w:rsidRPr="48224A22">
              <w:rPr>
                <w:sz w:val="20"/>
                <w:szCs w:val="20"/>
                <w:lang w:val="es-419"/>
              </w:rPr>
              <w:t>(Programa)</w:t>
            </w:r>
            <w:r w:rsidRPr="48224A22">
              <w:rPr>
                <w:sz w:val="20"/>
                <w:szCs w:val="20"/>
                <w:lang w:val="es-419"/>
              </w:rPr>
              <w:t xml:space="preserve"> y los equipos de programas y operaciones.</w:t>
            </w:r>
          </w:p>
        </w:tc>
      </w:tr>
      <w:tr w:rsidR="00A35ED2" w:rsidRPr="00773863" w14:paraId="15AAF7BA" w14:textId="77777777" w:rsidTr="48224A22">
        <w:trPr>
          <w:trHeight w:val="20"/>
        </w:trPr>
        <w:tc>
          <w:tcPr>
            <w:tcW w:w="9805" w:type="dxa"/>
          </w:tcPr>
          <w:p w14:paraId="717E3755" w14:textId="052F7189" w:rsidR="00A35ED2" w:rsidRPr="00756410" w:rsidRDefault="00A35ED2" w:rsidP="00756410">
            <w:pPr>
              <w:pStyle w:val="ListParagraph"/>
              <w:widowControl w:val="0"/>
              <w:numPr>
                <w:ilvl w:val="0"/>
                <w:numId w:val="101"/>
              </w:numPr>
              <w:autoSpaceDE w:val="0"/>
              <w:autoSpaceDN w:val="0"/>
              <w:spacing w:after="0" w:line="240" w:lineRule="auto"/>
              <w:jc w:val="both"/>
              <w:rPr>
                <w:sz w:val="20"/>
                <w:szCs w:val="20"/>
                <w:lang w:val="es-419"/>
              </w:rPr>
            </w:pPr>
            <w:r w:rsidRPr="00756410">
              <w:rPr>
                <w:sz w:val="20"/>
                <w:szCs w:val="20"/>
                <w:lang w:val="es-419"/>
              </w:rPr>
              <w:t xml:space="preserve">Aplica la </w:t>
            </w:r>
            <w:hyperlink r:id="rId135" w:history="1">
              <w:r w:rsidRPr="00756410">
                <w:rPr>
                  <w:rStyle w:val="Hyperlink"/>
                  <w:lang w:val="es-419"/>
                </w:rPr>
                <w:t xml:space="preserve">política de recuperación de </w:t>
              </w:r>
              <w:r w:rsidR="003D6380" w:rsidRPr="003D6380">
                <w:rPr>
                  <w:rStyle w:val="Hyperlink"/>
                  <w:sz w:val="20"/>
                  <w:szCs w:val="20"/>
                  <w:lang w:val="es-419"/>
                </w:rPr>
                <w:t>costes</w:t>
              </w:r>
            </w:hyperlink>
            <w:r w:rsidR="003D6380" w:rsidRPr="00756410">
              <w:rPr>
                <w:sz w:val="20"/>
                <w:szCs w:val="20"/>
                <w:lang w:val="es-419"/>
              </w:rPr>
              <w:t xml:space="preserve"> </w:t>
            </w:r>
            <w:r w:rsidRPr="00756410">
              <w:rPr>
                <w:sz w:val="20"/>
                <w:szCs w:val="20"/>
                <w:lang w:val="es-419"/>
              </w:rPr>
              <w:t>del PNUD</w:t>
            </w:r>
            <w:r w:rsidRPr="00756410">
              <w:rPr>
                <w:color w:val="4472C4" w:themeColor="accent1"/>
                <w:sz w:val="20"/>
                <w:szCs w:val="20"/>
                <w:lang w:val="es-419"/>
              </w:rPr>
              <w:t xml:space="preserve">. </w:t>
            </w:r>
          </w:p>
        </w:tc>
      </w:tr>
      <w:tr w:rsidR="00EB0AFA" w:rsidRPr="00773863" w14:paraId="6550E197" w14:textId="77777777" w:rsidTr="48224A22">
        <w:trPr>
          <w:trHeight w:val="20"/>
        </w:trPr>
        <w:tc>
          <w:tcPr>
            <w:tcW w:w="9805" w:type="dxa"/>
          </w:tcPr>
          <w:p w14:paraId="536BB022" w14:textId="08234FBE" w:rsidR="00EB0AFA" w:rsidRPr="00756410" w:rsidRDefault="00EB0AFA">
            <w:pPr>
              <w:pStyle w:val="ListParagraph"/>
              <w:widowControl w:val="0"/>
              <w:numPr>
                <w:ilvl w:val="0"/>
                <w:numId w:val="101"/>
              </w:numPr>
              <w:autoSpaceDE w:val="0"/>
              <w:autoSpaceDN w:val="0"/>
              <w:spacing w:after="0" w:line="240" w:lineRule="auto"/>
              <w:rPr>
                <w:sz w:val="20"/>
                <w:szCs w:val="20"/>
                <w:lang w:val="es-419"/>
              </w:rPr>
            </w:pPr>
            <w:r w:rsidRPr="00756410">
              <w:rPr>
                <w:sz w:val="20"/>
                <w:szCs w:val="20"/>
                <w:lang w:val="es-419"/>
              </w:rPr>
              <w:t xml:space="preserve">Normalmente asignado como </w:t>
            </w:r>
            <w:r w:rsidR="003D6380">
              <w:rPr>
                <w:sz w:val="20"/>
                <w:szCs w:val="20"/>
                <w:lang w:val="es-419"/>
              </w:rPr>
              <w:t>G</w:t>
            </w:r>
            <w:r w:rsidRPr="00756410">
              <w:rPr>
                <w:sz w:val="20"/>
                <w:szCs w:val="20"/>
                <w:lang w:val="es-419"/>
              </w:rPr>
              <w:t>erente de aprobación para la oficina/unidad, realizando las funciones descritas en la sección 5.4.</w:t>
            </w:r>
          </w:p>
        </w:tc>
      </w:tr>
      <w:tr w:rsidR="00A35ED2" w:rsidRPr="00773863" w14:paraId="0725E6A4" w14:textId="77777777" w:rsidTr="48224A22">
        <w:trPr>
          <w:trHeight w:val="20"/>
        </w:trPr>
        <w:tc>
          <w:tcPr>
            <w:tcW w:w="9805" w:type="dxa"/>
            <w:shd w:val="clear" w:color="auto" w:fill="E1EED9"/>
          </w:tcPr>
          <w:p w14:paraId="08BF7A9A" w14:textId="590B311B" w:rsidR="00A35ED2" w:rsidRPr="00756410" w:rsidRDefault="303958B1" w:rsidP="48224A22">
            <w:pPr>
              <w:spacing w:after="0" w:line="240" w:lineRule="auto"/>
              <w:ind w:left="90"/>
              <w:rPr>
                <w:b/>
                <w:bCs/>
                <w:sz w:val="20"/>
                <w:szCs w:val="20"/>
                <w:lang w:val="es-419"/>
              </w:rPr>
            </w:pPr>
            <w:r w:rsidRPr="48224A22">
              <w:rPr>
                <w:b/>
                <w:bCs/>
                <w:sz w:val="20"/>
                <w:szCs w:val="20"/>
                <w:lang w:val="es-419"/>
              </w:rPr>
              <w:t xml:space="preserve">Perfil de </w:t>
            </w:r>
            <w:r w:rsidR="00CA1F14">
              <w:rPr>
                <w:b/>
                <w:bCs/>
                <w:sz w:val="20"/>
                <w:szCs w:val="20"/>
                <w:lang w:val="es-419"/>
              </w:rPr>
              <w:t>Usuario de</w:t>
            </w:r>
            <w:r w:rsidR="00CA1F14" w:rsidRPr="48224A22">
              <w:rPr>
                <w:b/>
                <w:bCs/>
                <w:sz w:val="20"/>
                <w:szCs w:val="20"/>
                <w:lang w:val="es-419"/>
              </w:rPr>
              <w:t xml:space="preserve"> </w:t>
            </w:r>
            <w:r w:rsidRPr="48224A22">
              <w:rPr>
                <w:b/>
                <w:bCs/>
                <w:sz w:val="20"/>
                <w:szCs w:val="20"/>
                <w:lang w:val="es-419"/>
              </w:rPr>
              <w:t xml:space="preserve">IDAM - Gerente Senior </w:t>
            </w:r>
            <w:r w:rsidR="00CA1F14" w:rsidRPr="00756410">
              <w:rPr>
                <w:b/>
                <w:bCs/>
                <w:sz w:val="20"/>
                <w:szCs w:val="20"/>
                <w:lang w:val="es-ES"/>
              </w:rPr>
              <w:t>[</w:t>
            </w:r>
            <w:r w:rsidR="00CA1F14" w:rsidRPr="00756410">
              <w:rPr>
                <w:b/>
                <w:bCs/>
                <w:i/>
                <w:iCs/>
                <w:sz w:val="20"/>
                <w:szCs w:val="20"/>
                <w:lang w:val="es-ES"/>
              </w:rPr>
              <w:t>Senior Manager</w:t>
            </w:r>
            <w:r w:rsidR="00CA1F14">
              <w:rPr>
                <w:b/>
                <w:bCs/>
                <w:sz w:val="20"/>
                <w:szCs w:val="20"/>
                <w:lang w:val="es-ES"/>
              </w:rPr>
              <w:t xml:space="preserve">] </w:t>
            </w:r>
            <w:r w:rsidRPr="48224A22">
              <w:rPr>
                <w:b/>
                <w:bCs/>
                <w:sz w:val="20"/>
                <w:szCs w:val="20"/>
                <w:lang w:val="es-419"/>
              </w:rPr>
              <w:t>(debe ser</w:t>
            </w:r>
            <w:r w:rsidR="00B622CC">
              <w:rPr>
                <w:b/>
                <w:bCs/>
                <w:sz w:val="20"/>
                <w:szCs w:val="20"/>
                <w:lang w:val="es-419"/>
              </w:rPr>
              <w:t xml:space="preserve"> personal</w:t>
            </w:r>
            <w:r w:rsidRPr="48224A22">
              <w:rPr>
                <w:b/>
                <w:bCs/>
                <w:sz w:val="20"/>
                <w:szCs w:val="20"/>
                <w:lang w:val="es-419"/>
              </w:rPr>
              <w:t xml:space="preserve"> </w:t>
            </w:r>
            <w:r w:rsidR="7F13D827" w:rsidRPr="48224A22">
              <w:rPr>
                <w:b/>
                <w:bCs/>
                <w:sz w:val="20"/>
                <w:szCs w:val="20"/>
                <w:lang w:val="es-419"/>
              </w:rPr>
              <w:t xml:space="preserve">funcionario </w:t>
            </w:r>
            <w:r w:rsidRPr="48224A22">
              <w:rPr>
                <w:b/>
                <w:bCs/>
                <w:sz w:val="20"/>
                <w:szCs w:val="20"/>
                <w:lang w:val="es-419"/>
              </w:rPr>
              <w:t>del PNUD)</w:t>
            </w:r>
          </w:p>
        </w:tc>
      </w:tr>
    </w:tbl>
    <w:p w14:paraId="4C2BE7F3" w14:textId="30D83DF9" w:rsidR="00E27FA3" w:rsidRPr="00756410" w:rsidRDefault="00E27FA3" w:rsidP="48224A22">
      <w:pPr>
        <w:spacing w:after="0"/>
        <w:rPr>
          <w:i/>
          <w:iCs/>
          <w:sz w:val="20"/>
          <w:szCs w:val="20"/>
          <w:lang w:val="es-419"/>
        </w:rPr>
      </w:pPr>
      <w:r w:rsidRPr="48224A22">
        <w:rPr>
          <w:i/>
          <w:iCs/>
          <w:sz w:val="20"/>
          <w:szCs w:val="20"/>
          <w:lang w:val="es-419"/>
        </w:rPr>
        <w:t xml:space="preserve">Fuente: Facetas de gestión financiera basadas en </w:t>
      </w:r>
      <w:hyperlink r:id="rId136">
        <w:r w:rsidRPr="00756410">
          <w:rPr>
            <w:rStyle w:val="Hyperlink"/>
            <w:i/>
            <w:iCs/>
            <w:color w:val="4472C4" w:themeColor="accent1"/>
            <w:sz w:val="20"/>
            <w:szCs w:val="20"/>
            <w:lang w:val="es-419"/>
          </w:rPr>
          <w:t>descripciones genéricas de puestos de BMS</w:t>
        </w:r>
      </w:hyperlink>
      <w:r w:rsidRPr="00756410">
        <w:rPr>
          <w:i/>
          <w:iCs/>
          <w:color w:val="4472C4" w:themeColor="accent1"/>
          <w:sz w:val="20"/>
          <w:szCs w:val="20"/>
          <w:lang w:val="es-419"/>
        </w:rPr>
        <w:t xml:space="preserve"> </w:t>
      </w:r>
      <w:r w:rsidRPr="00756410">
        <w:rPr>
          <w:i/>
          <w:iCs/>
          <w:sz w:val="20"/>
          <w:szCs w:val="20"/>
          <w:lang w:val="es-419"/>
        </w:rPr>
        <w:t>/</w:t>
      </w:r>
      <w:r w:rsidR="0449C9B0" w:rsidRPr="3937432E">
        <w:rPr>
          <w:i/>
          <w:iCs/>
          <w:sz w:val="20"/>
          <w:szCs w:val="20"/>
          <w:lang w:val="es-419"/>
        </w:rPr>
        <w:t xml:space="preserve">RRHH </w:t>
      </w:r>
      <w:r w:rsidR="486EB3BC" w:rsidRPr="48224A22">
        <w:rPr>
          <w:i/>
          <w:iCs/>
          <w:sz w:val="20"/>
          <w:szCs w:val="20"/>
          <w:lang w:val="es-419"/>
        </w:rPr>
        <w:t xml:space="preserve">desarrolladas para RRA (Operaciones) </w:t>
      </w:r>
    </w:p>
    <w:p w14:paraId="267288A1" w14:textId="77777777" w:rsidR="0029384D" w:rsidRPr="00756410" w:rsidRDefault="0029384D" w:rsidP="00E27FA3">
      <w:pPr>
        <w:rPr>
          <w:i/>
          <w:sz w:val="8"/>
          <w:szCs w:val="8"/>
          <w:lang w:val="es-419"/>
        </w:rPr>
      </w:pPr>
    </w:p>
    <w:p w14:paraId="540FED2A" w14:textId="1ABCBE43" w:rsidR="0029384D" w:rsidRPr="00A419E5" w:rsidRDefault="0005445E" w:rsidP="00756410">
      <w:pPr>
        <w:pStyle w:val="Heading2"/>
        <w:numPr>
          <w:ilvl w:val="1"/>
          <w:numId w:val="92"/>
        </w:numPr>
        <w:spacing w:after="240"/>
        <w:ind w:left="360"/>
        <w:jc w:val="both"/>
      </w:pPr>
      <w:bookmarkStart w:id="97" w:name="_Toc210052783"/>
      <w:r>
        <w:t>Gerente de Operaciones</w:t>
      </w:r>
      <w:bookmarkEnd w:id="97"/>
    </w:p>
    <w:p w14:paraId="6A3EE2BE" w14:textId="5217CF09" w:rsidR="0029384D" w:rsidRPr="00756410" w:rsidRDefault="0029384D" w:rsidP="00756410">
      <w:pPr>
        <w:spacing w:line="240" w:lineRule="auto"/>
        <w:jc w:val="both"/>
        <w:rPr>
          <w:lang w:val="es-419"/>
        </w:rPr>
      </w:pPr>
      <w:r w:rsidRPr="00A419E5">
        <w:rPr>
          <w:lang w:val="es-419"/>
        </w:rPr>
        <w:t xml:space="preserve">El Gerente de Operaciones (y su equivalente en la sede) es responsable de garantizar </w:t>
      </w:r>
      <w:r w:rsidR="00014BA1" w:rsidRPr="00756410">
        <w:rPr>
          <w:lang w:val="es-ES"/>
        </w:rPr>
        <w:t>una gestión eficaz, informada por el riesgo, y precisa de los recursos financieros, así como de la supervisión del equipo de Finanzas.</w:t>
      </w:r>
      <w:r w:rsidR="00014BA1">
        <w:rPr>
          <w:lang w:val="es-419"/>
        </w:rPr>
        <w:t xml:space="preserve"> </w:t>
      </w:r>
      <w:r w:rsidRPr="48224A22">
        <w:rPr>
          <w:lang w:val="es-419"/>
        </w:rPr>
        <w:t xml:space="preserve">Si bien las oficinas y dependencias del PNUD tienen estructuras orgánicas variadas, el </w:t>
      </w:r>
      <w:r w:rsidR="079A1886" w:rsidRPr="48224A22">
        <w:rPr>
          <w:lang w:val="es-419"/>
        </w:rPr>
        <w:t xml:space="preserve">Gerente </w:t>
      </w:r>
      <w:r w:rsidRPr="48224A22">
        <w:rPr>
          <w:lang w:val="es-419"/>
        </w:rPr>
        <w:t xml:space="preserve">de Operaciones puede tener normalmente las siguientes responsabilidades clave en relación con la gestión de los recursos financieros y los controles </w:t>
      </w:r>
      <w:r w:rsidR="5F6A9BC7" w:rsidRPr="48224A22">
        <w:rPr>
          <w:lang w:val="es-419"/>
        </w:rPr>
        <w:t>relacionados</w:t>
      </w:r>
      <w:r w:rsidRPr="48224A22">
        <w:rPr>
          <w:lang w:val="es-419"/>
        </w:rPr>
        <w:t>:</w:t>
      </w:r>
    </w:p>
    <w:tbl>
      <w:tblPr>
        <w:tblStyle w:val="TableGrid"/>
        <w:tblW w:w="0" w:type="auto"/>
        <w:tblLook w:val="04A0" w:firstRow="1" w:lastRow="0" w:firstColumn="1" w:lastColumn="0" w:noHBand="0" w:noVBand="1"/>
      </w:tblPr>
      <w:tblGrid>
        <w:gridCol w:w="9926"/>
      </w:tblGrid>
      <w:tr w:rsidR="006A7B6C" w:rsidRPr="00773863" w14:paraId="4C344420" w14:textId="77777777" w:rsidTr="0004107A">
        <w:trPr>
          <w:tblHeader/>
        </w:trPr>
        <w:tc>
          <w:tcPr>
            <w:tcW w:w="99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2FF76F" w14:textId="03AF1917" w:rsidR="006A7B6C" w:rsidRPr="00756410" w:rsidRDefault="2930DB60" w:rsidP="006A4651">
            <w:pPr>
              <w:rPr>
                <w:lang w:val="es-419"/>
              </w:rPr>
            </w:pPr>
            <w:r w:rsidRPr="00756410">
              <w:rPr>
                <w:b/>
                <w:bCs/>
                <w:sz w:val="20"/>
                <w:szCs w:val="20"/>
                <w:lang w:val="es-419"/>
              </w:rPr>
              <w:t>Gerente de Operaciones (</w:t>
            </w:r>
            <w:r w:rsidR="0E37E5F3" w:rsidRPr="48224A22">
              <w:rPr>
                <w:b/>
                <w:bCs/>
                <w:sz w:val="20"/>
                <w:szCs w:val="20"/>
                <w:lang w:val="es-419"/>
              </w:rPr>
              <w:t xml:space="preserve">o </w:t>
            </w:r>
            <w:r w:rsidRPr="48224A22">
              <w:rPr>
                <w:b/>
                <w:bCs/>
                <w:sz w:val="20"/>
                <w:szCs w:val="20"/>
                <w:lang w:val="es-419"/>
              </w:rPr>
              <w:t xml:space="preserve"> equivalente en la sede): Responsabilidades de Control Interno realizadas dentro de cada oficina</w:t>
            </w:r>
            <w:r w:rsidR="0000736A">
              <w:rPr>
                <w:b/>
                <w:bCs/>
                <w:sz w:val="20"/>
                <w:szCs w:val="20"/>
                <w:lang w:val="es-419"/>
              </w:rPr>
              <w:t xml:space="preserve"> o </w:t>
            </w:r>
            <w:r w:rsidRPr="48224A22">
              <w:rPr>
                <w:b/>
                <w:bCs/>
                <w:sz w:val="20"/>
                <w:szCs w:val="20"/>
                <w:lang w:val="es-419"/>
              </w:rPr>
              <w:t>unidad</w:t>
            </w:r>
          </w:p>
        </w:tc>
      </w:tr>
      <w:tr w:rsidR="006A7B6C" w:rsidRPr="00773863" w14:paraId="37796DF0" w14:textId="77777777" w:rsidTr="0004107A">
        <w:tc>
          <w:tcPr>
            <w:tcW w:w="9926" w:type="dxa"/>
            <w:tcBorders>
              <w:top w:val="single" w:sz="4" w:space="0" w:color="auto"/>
              <w:left w:val="single" w:sz="4" w:space="0" w:color="auto"/>
              <w:bottom w:val="single" w:sz="4" w:space="0" w:color="auto"/>
              <w:right w:val="single" w:sz="4" w:space="0" w:color="auto"/>
            </w:tcBorders>
          </w:tcPr>
          <w:p w14:paraId="0C26618F" w14:textId="22758667" w:rsidR="006A7B6C" w:rsidRPr="00756410" w:rsidRDefault="2930DB60" w:rsidP="00756410">
            <w:pPr>
              <w:pStyle w:val="ListParagraph"/>
              <w:numPr>
                <w:ilvl w:val="0"/>
                <w:numId w:val="104"/>
              </w:numPr>
              <w:jc w:val="both"/>
              <w:rPr>
                <w:lang w:val="es-419"/>
              </w:rPr>
            </w:pPr>
            <w:r w:rsidRPr="48224A22">
              <w:rPr>
                <w:sz w:val="20"/>
                <w:szCs w:val="20"/>
                <w:lang w:val="es-419"/>
              </w:rPr>
              <w:t xml:space="preserve">Garantizar la planificación adecuada de los recursos financieros de la </w:t>
            </w:r>
            <w:r w:rsidR="00A421E5" w:rsidRPr="00756410">
              <w:rPr>
                <w:lang w:val="es-419"/>
              </w:rPr>
              <w:t xml:space="preserve"> </w:t>
            </w:r>
            <w:r w:rsidR="00A421E5" w:rsidRPr="00A421E5">
              <w:rPr>
                <w:sz w:val="20"/>
                <w:szCs w:val="20"/>
                <w:lang w:val="es-419"/>
              </w:rPr>
              <w:t xml:space="preserve">oficina de país </w:t>
            </w:r>
            <w:r w:rsidRPr="48224A22">
              <w:rPr>
                <w:sz w:val="20"/>
                <w:szCs w:val="20"/>
                <w:lang w:val="es-419"/>
              </w:rPr>
              <w:t>, el seguimiento y el registro de los gastos de conformidad con las IPSAS y la auditoría de los recursos financieros, incluidos los ingresos complementarios</w:t>
            </w:r>
            <w:r w:rsidR="4A2A392A" w:rsidRPr="48224A22">
              <w:rPr>
                <w:sz w:val="20"/>
                <w:szCs w:val="20"/>
                <w:lang w:val="es-419"/>
              </w:rPr>
              <w:t xml:space="preserve"> (non-core)</w:t>
            </w:r>
            <w:r w:rsidRPr="48224A22">
              <w:rPr>
                <w:sz w:val="20"/>
                <w:szCs w:val="20"/>
                <w:lang w:val="es-419"/>
              </w:rPr>
              <w:t xml:space="preserve">, de conformidad con </w:t>
            </w:r>
            <w:r w:rsidR="002B1E74">
              <w:rPr>
                <w:sz w:val="20"/>
                <w:szCs w:val="20"/>
                <w:lang w:val="es-419"/>
              </w:rPr>
              <w:t xml:space="preserve">el Reglamento Financiero y Reglamentación Financiera </w:t>
            </w:r>
            <w:r w:rsidRPr="48224A22">
              <w:rPr>
                <w:sz w:val="20"/>
                <w:szCs w:val="20"/>
                <w:lang w:val="es-419"/>
              </w:rPr>
              <w:t>del PNUD.</w:t>
            </w:r>
          </w:p>
        </w:tc>
      </w:tr>
      <w:tr w:rsidR="006A7B6C" w:rsidRPr="00773863" w14:paraId="3E18C8D3" w14:textId="77777777" w:rsidTr="0004107A">
        <w:tc>
          <w:tcPr>
            <w:tcW w:w="9926" w:type="dxa"/>
            <w:tcBorders>
              <w:top w:val="single" w:sz="4" w:space="0" w:color="auto"/>
              <w:left w:val="single" w:sz="4" w:space="0" w:color="auto"/>
              <w:bottom w:val="single" w:sz="4" w:space="0" w:color="auto"/>
              <w:right w:val="single" w:sz="4" w:space="0" w:color="auto"/>
            </w:tcBorders>
          </w:tcPr>
          <w:p w14:paraId="487B5280" w14:textId="48C4CAD2" w:rsidR="006A7B6C" w:rsidRPr="00756410" w:rsidRDefault="2930DB60" w:rsidP="00756410">
            <w:pPr>
              <w:pStyle w:val="ListParagraph"/>
              <w:numPr>
                <w:ilvl w:val="0"/>
                <w:numId w:val="104"/>
              </w:numPr>
              <w:jc w:val="both"/>
              <w:rPr>
                <w:lang w:val="es-419"/>
              </w:rPr>
            </w:pPr>
            <w:r w:rsidRPr="48224A22">
              <w:rPr>
                <w:sz w:val="20"/>
                <w:szCs w:val="20"/>
                <w:lang w:val="es-419"/>
              </w:rPr>
              <w:t>Supervisar las actividades de aseguramiento de</w:t>
            </w:r>
            <w:r w:rsidR="002B1E74">
              <w:rPr>
                <w:sz w:val="20"/>
                <w:szCs w:val="20"/>
                <w:lang w:val="es-419"/>
              </w:rPr>
              <w:t xml:space="preserve"> la </w:t>
            </w:r>
            <w:r w:rsidR="00A421E5" w:rsidRPr="00756410">
              <w:rPr>
                <w:lang w:val="es-419"/>
              </w:rPr>
              <w:t xml:space="preserve"> </w:t>
            </w:r>
            <w:r w:rsidR="00A421E5" w:rsidRPr="00A421E5">
              <w:rPr>
                <w:sz w:val="20"/>
                <w:szCs w:val="20"/>
                <w:lang w:val="es-419"/>
              </w:rPr>
              <w:t>oficina de país</w:t>
            </w:r>
            <w:r w:rsidRPr="48224A22">
              <w:rPr>
                <w:sz w:val="20"/>
                <w:szCs w:val="20"/>
                <w:lang w:val="es-419"/>
              </w:rPr>
              <w:t xml:space="preserve"> (por ejemplo, auditorías de gestión y NIM) y garantizar la implementación de </w:t>
            </w:r>
            <w:r w:rsidR="747CDFF7" w:rsidRPr="48224A22">
              <w:rPr>
                <w:sz w:val="20"/>
                <w:szCs w:val="20"/>
                <w:lang w:val="es-419"/>
              </w:rPr>
              <w:t xml:space="preserve">sus </w:t>
            </w:r>
            <w:r w:rsidRPr="48224A22">
              <w:rPr>
                <w:sz w:val="20"/>
                <w:szCs w:val="20"/>
                <w:lang w:val="es-419"/>
              </w:rPr>
              <w:t>recomendaciones relacionadas.</w:t>
            </w:r>
          </w:p>
        </w:tc>
      </w:tr>
      <w:tr w:rsidR="006A7B6C" w:rsidRPr="00773863" w14:paraId="57966611" w14:textId="77777777" w:rsidTr="0004107A">
        <w:tc>
          <w:tcPr>
            <w:tcW w:w="9926" w:type="dxa"/>
            <w:tcBorders>
              <w:top w:val="single" w:sz="4" w:space="0" w:color="auto"/>
              <w:left w:val="single" w:sz="4" w:space="0" w:color="auto"/>
              <w:bottom w:val="single" w:sz="4" w:space="0" w:color="auto"/>
              <w:right w:val="single" w:sz="4" w:space="0" w:color="auto"/>
            </w:tcBorders>
          </w:tcPr>
          <w:p w14:paraId="57DD15B3" w14:textId="2F91CC72" w:rsidR="006A7B6C" w:rsidRPr="00756410" w:rsidRDefault="2930DB60" w:rsidP="00756410">
            <w:pPr>
              <w:pStyle w:val="ListParagraph"/>
              <w:numPr>
                <w:ilvl w:val="0"/>
                <w:numId w:val="104"/>
              </w:numPr>
              <w:jc w:val="both"/>
              <w:rPr>
                <w:lang w:val="es-419"/>
              </w:rPr>
            </w:pPr>
            <w:r w:rsidRPr="48224A22">
              <w:rPr>
                <w:sz w:val="20"/>
                <w:szCs w:val="20"/>
                <w:lang w:val="es-419"/>
              </w:rPr>
              <w:t>Garantizar la finalización oportuna de los ejercicios corporativos, como la Representación Anual, el Plan de Continuidad de</w:t>
            </w:r>
            <w:r w:rsidR="000A6C98">
              <w:rPr>
                <w:sz w:val="20"/>
                <w:szCs w:val="20"/>
                <w:lang w:val="es-419"/>
              </w:rPr>
              <w:t xml:space="preserve"> las Operaciones </w:t>
            </w:r>
            <w:r w:rsidRPr="48224A22">
              <w:rPr>
                <w:sz w:val="20"/>
                <w:szCs w:val="20"/>
                <w:lang w:val="es-419"/>
              </w:rPr>
              <w:t xml:space="preserve">y la preparación del </w:t>
            </w:r>
            <w:r w:rsidR="689E5A28" w:rsidRPr="48224A22">
              <w:rPr>
                <w:sz w:val="20"/>
                <w:szCs w:val="20"/>
                <w:lang w:val="es-419"/>
              </w:rPr>
              <w:t>PIT</w:t>
            </w:r>
            <w:r w:rsidR="00A419E5">
              <w:rPr>
                <w:sz w:val="20"/>
                <w:szCs w:val="20"/>
                <w:lang w:val="es-419"/>
              </w:rPr>
              <w:t xml:space="preserve"> (</w:t>
            </w:r>
            <w:r w:rsidRPr="48224A22">
              <w:rPr>
                <w:sz w:val="20"/>
                <w:szCs w:val="20"/>
                <w:lang w:val="es-419"/>
              </w:rPr>
              <w:t xml:space="preserve">IWP </w:t>
            </w:r>
            <w:r w:rsidR="00A419E5">
              <w:rPr>
                <w:sz w:val="20"/>
                <w:szCs w:val="20"/>
                <w:lang w:val="es-419"/>
              </w:rPr>
              <w:t xml:space="preserve">por sus siglas en inglés) </w:t>
            </w:r>
            <w:r w:rsidRPr="48224A22">
              <w:rPr>
                <w:sz w:val="20"/>
                <w:szCs w:val="20"/>
                <w:lang w:val="es-419"/>
              </w:rPr>
              <w:t>del componente de Presupuesto Institucional (IB).</w:t>
            </w:r>
          </w:p>
        </w:tc>
      </w:tr>
      <w:tr w:rsidR="006A7B6C" w:rsidRPr="00773863" w14:paraId="23CE30DD" w14:textId="77777777" w:rsidTr="0004107A">
        <w:tc>
          <w:tcPr>
            <w:tcW w:w="9926" w:type="dxa"/>
            <w:tcBorders>
              <w:top w:val="single" w:sz="4" w:space="0" w:color="auto"/>
              <w:left w:val="single" w:sz="4" w:space="0" w:color="auto"/>
              <w:bottom w:val="single" w:sz="4" w:space="0" w:color="auto"/>
              <w:right w:val="single" w:sz="4" w:space="0" w:color="auto"/>
            </w:tcBorders>
          </w:tcPr>
          <w:p w14:paraId="3FD6858C" w14:textId="2012A56B" w:rsidR="006A7B6C" w:rsidRPr="00756410" w:rsidRDefault="52D7CBF8" w:rsidP="00756410">
            <w:pPr>
              <w:pStyle w:val="ListParagraph"/>
              <w:numPr>
                <w:ilvl w:val="0"/>
                <w:numId w:val="104"/>
              </w:numPr>
              <w:jc w:val="both"/>
              <w:rPr>
                <w:lang w:val="es-419"/>
              </w:rPr>
            </w:pPr>
            <w:r w:rsidRPr="48224A22">
              <w:rPr>
                <w:sz w:val="20"/>
                <w:szCs w:val="20"/>
                <w:lang w:val="es-419"/>
              </w:rPr>
              <w:t xml:space="preserve">Apoyar el cumplimiento de </w:t>
            </w:r>
            <w:r w:rsidR="1843F46D" w:rsidRPr="48224A22">
              <w:rPr>
                <w:sz w:val="20"/>
                <w:szCs w:val="20"/>
                <w:lang w:val="es-419"/>
              </w:rPr>
              <w:t xml:space="preserve">la política </w:t>
            </w:r>
            <w:r w:rsidRPr="48224A22">
              <w:rPr>
                <w:sz w:val="20"/>
                <w:szCs w:val="20"/>
                <w:lang w:val="es-419"/>
              </w:rPr>
              <w:t>HACT de la oficina/unidad en estrecha colaboración con los equipos de programas y operaciones.</w:t>
            </w:r>
          </w:p>
        </w:tc>
      </w:tr>
      <w:tr w:rsidR="006A7B6C" w:rsidRPr="00773863" w14:paraId="730DEF1F" w14:textId="77777777" w:rsidTr="0004107A">
        <w:tc>
          <w:tcPr>
            <w:tcW w:w="9926" w:type="dxa"/>
            <w:tcBorders>
              <w:top w:val="single" w:sz="4" w:space="0" w:color="auto"/>
              <w:left w:val="single" w:sz="4" w:space="0" w:color="auto"/>
              <w:bottom w:val="single" w:sz="4" w:space="0" w:color="auto"/>
              <w:right w:val="single" w:sz="4" w:space="0" w:color="auto"/>
            </w:tcBorders>
          </w:tcPr>
          <w:p w14:paraId="3835626E" w14:textId="075D09D5" w:rsidR="006A7B6C" w:rsidRPr="00756410" w:rsidRDefault="2930DB60" w:rsidP="00756410">
            <w:pPr>
              <w:pStyle w:val="ListParagraph"/>
              <w:numPr>
                <w:ilvl w:val="0"/>
                <w:numId w:val="104"/>
              </w:numPr>
              <w:jc w:val="both"/>
              <w:rPr>
                <w:lang w:val="es-419"/>
              </w:rPr>
            </w:pPr>
            <w:r w:rsidRPr="48224A22">
              <w:rPr>
                <w:sz w:val="20"/>
                <w:szCs w:val="20"/>
                <w:lang w:val="es-419"/>
              </w:rPr>
              <w:t xml:space="preserve">Supervisar el proceso de gestión de las contribuciones y la contabilidad de las contribuciones para asegurar que el dinero adeudado al PNUD se identifique adecuadamente, se clasifique de manera </w:t>
            </w:r>
            <w:r w:rsidR="3BC5F164" w:rsidRPr="48224A22">
              <w:rPr>
                <w:sz w:val="20"/>
                <w:szCs w:val="20"/>
                <w:lang w:val="es-419"/>
              </w:rPr>
              <w:t xml:space="preserve">consistente </w:t>
            </w:r>
            <w:r w:rsidRPr="48224A22">
              <w:rPr>
                <w:sz w:val="20"/>
                <w:szCs w:val="20"/>
                <w:lang w:val="es-419"/>
              </w:rPr>
              <w:t>y uniforme, se registre oportunamente y se reciba con suficiente documentación de respaldo.</w:t>
            </w:r>
          </w:p>
        </w:tc>
      </w:tr>
      <w:tr w:rsidR="006A7B6C" w:rsidRPr="00773863" w14:paraId="004974E5" w14:textId="77777777" w:rsidTr="0004107A">
        <w:tc>
          <w:tcPr>
            <w:tcW w:w="9926" w:type="dxa"/>
            <w:tcBorders>
              <w:top w:val="single" w:sz="4" w:space="0" w:color="auto"/>
              <w:left w:val="single" w:sz="4" w:space="0" w:color="auto"/>
              <w:bottom w:val="single" w:sz="4" w:space="0" w:color="auto"/>
              <w:right w:val="single" w:sz="4" w:space="0" w:color="auto"/>
            </w:tcBorders>
          </w:tcPr>
          <w:p w14:paraId="789B7E4E" w14:textId="4A5A24F5" w:rsidR="006A7B6C" w:rsidRPr="00756410" w:rsidRDefault="2930DB60" w:rsidP="00756410">
            <w:pPr>
              <w:pStyle w:val="ListParagraph"/>
              <w:numPr>
                <w:ilvl w:val="0"/>
                <w:numId w:val="104"/>
              </w:numPr>
              <w:jc w:val="both"/>
              <w:rPr>
                <w:lang w:val="es-419"/>
              </w:rPr>
            </w:pPr>
            <w:r w:rsidRPr="48224A22">
              <w:rPr>
                <w:sz w:val="20"/>
                <w:szCs w:val="20"/>
                <w:lang w:val="es-419"/>
              </w:rPr>
              <w:t xml:space="preserve">Organizar mecanismos de recuperación de costos para los servicios de </w:t>
            </w:r>
            <w:r w:rsidR="20AF7927" w:rsidRPr="48224A22">
              <w:rPr>
                <w:sz w:val="20"/>
                <w:szCs w:val="20"/>
                <w:lang w:val="es-419"/>
              </w:rPr>
              <w:t xml:space="preserve">la </w:t>
            </w:r>
            <w:r w:rsidR="00A421E5" w:rsidRPr="00A421E5">
              <w:rPr>
                <w:sz w:val="20"/>
                <w:szCs w:val="20"/>
                <w:lang w:val="es-419"/>
              </w:rPr>
              <w:t xml:space="preserve">oficina de país </w:t>
            </w:r>
            <w:r w:rsidRPr="48224A22">
              <w:rPr>
                <w:sz w:val="20"/>
                <w:szCs w:val="20"/>
                <w:lang w:val="es-419"/>
              </w:rPr>
              <w:t xml:space="preserve">prestados a proyectos y agencias de la ONU </w:t>
            </w:r>
            <w:r w:rsidR="0C98B3D3" w:rsidRPr="48224A22">
              <w:rPr>
                <w:sz w:val="20"/>
                <w:szCs w:val="20"/>
                <w:lang w:val="es-419"/>
              </w:rPr>
              <w:t>incluyendo</w:t>
            </w:r>
            <w:r w:rsidRPr="48224A22">
              <w:rPr>
                <w:sz w:val="20"/>
                <w:szCs w:val="20"/>
                <w:lang w:val="es-419"/>
              </w:rPr>
              <w:t xml:space="preserve"> garantizar la preparación oportuna de facturas proforma para las agencias de la ONU.</w:t>
            </w:r>
          </w:p>
        </w:tc>
      </w:tr>
      <w:tr w:rsidR="006A7B6C" w:rsidRPr="00773863" w14:paraId="74F24780" w14:textId="77777777" w:rsidTr="0004107A">
        <w:tc>
          <w:tcPr>
            <w:tcW w:w="9926" w:type="dxa"/>
            <w:tcBorders>
              <w:top w:val="single" w:sz="4" w:space="0" w:color="auto"/>
              <w:left w:val="single" w:sz="4" w:space="0" w:color="auto"/>
              <w:bottom w:val="single" w:sz="4" w:space="0" w:color="auto"/>
              <w:right w:val="single" w:sz="4" w:space="0" w:color="auto"/>
            </w:tcBorders>
          </w:tcPr>
          <w:p w14:paraId="1D1620BA" w14:textId="41791E41" w:rsidR="006A7B6C" w:rsidRPr="00756410" w:rsidRDefault="2930DB60" w:rsidP="00756410">
            <w:pPr>
              <w:pStyle w:val="ListParagraph"/>
              <w:numPr>
                <w:ilvl w:val="0"/>
                <w:numId w:val="104"/>
              </w:numPr>
              <w:jc w:val="both"/>
              <w:rPr>
                <w:lang w:val="es-419"/>
              </w:rPr>
            </w:pPr>
            <w:r w:rsidRPr="48224A22">
              <w:rPr>
                <w:sz w:val="20"/>
                <w:szCs w:val="20"/>
                <w:lang w:val="es-419"/>
              </w:rPr>
              <w:t>Reali</w:t>
            </w:r>
            <w:r w:rsidR="5700D3B7" w:rsidRPr="48224A22">
              <w:rPr>
                <w:sz w:val="20"/>
                <w:szCs w:val="20"/>
                <w:lang w:val="es-419"/>
              </w:rPr>
              <w:t xml:space="preserve">zar </w:t>
            </w:r>
            <w:r w:rsidRPr="48224A22">
              <w:rPr>
                <w:sz w:val="20"/>
                <w:szCs w:val="20"/>
                <w:lang w:val="es-419"/>
              </w:rPr>
              <w:t xml:space="preserve">las delegaciones adecuadas en Quantum para las aprobaciones de transacciones de </w:t>
            </w:r>
            <w:r w:rsidR="21CBDE57" w:rsidRPr="48224A22">
              <w:rPr>
                <w:sz w:val="20"/>
                <w:szCs w:val="20"/>
                <w:lang w:val="es-419"/>
              </w:rPr>
              <w:t>comprobantes (</w:t>
            </w:r>
            <w:r w:rsidR="00C96A81">
              <w:rPr>
                <w:sz w:val="20"/>
                <w:szCs w:val="20"/>
                <w:lang w:val="es-419"/>
              </w:rPr>
              <w:t>“</w:t>
            </w:r>
            <w:r w:rsidR="00C96A81" w:rsidRPr="00756410">
              <w:rPr>
                <w:i/>
                <w:iCs/>
                <w:sz w:val="20"/>
                <w:szCs w:val="20"/>
                <w:lang w:val="es-419"/>
              </w:rPr>
              <w:t>Voucher</w:t>
            </w:r>
            <w:r w:rsidR="00C96A81">
              <w:rPr>
                <w:sz w:val="20"/>
                <w:szCs w:val="20"/>
                <w:lang w:val="es-419"/>
              </w:rPr>
              <w:t>”</w:t>
            </w:r>
            <w:r w:rsidR="21CBDE57" w:rsidRPr="48224A22">
              <w:rPr>
                <w:sz w:val="20"/>
                <w:szCs w:val="20"/>
                <w:lang w:val="es-419"/>
              </w:rPr>
              <w:t xml:space="preserve">) </w:t>
            </w:r>
            <w:r w:rsidRPr="48224A22">
              <w:rPr>
                <w:sz w:val="20"/>
                <w:szCs w:val="20"/>
                <w:lang w:val="es-419"/>
              </w:rPr>
              <w:t xml:space="preserve">y tesorería y </w:t>
            </w:r>
            <w:r w:rsidR="00C96A81">
              <w:rPr>
                <w:sz w:val="20"/>
                <w:szCs w:val="20"/>
                <w:lang w:val="es-419"/>
              </w:rPr>
              <w:t>para l</w:t>
            </w:r>
            <w:r w:rsidRPr="48224A22">
              <w:rPr>
                <w:sz w:val="20"/>
                <w:szCs w:val="20"/>
                <w:lang w:val="es-419"/>
              </w:rPr>
              <w:t>a conciliación bancaria. Aprobar las conciliaciones bancarias y los desembolsos pendientes como "tercera autoridad" (cheques, transferencias bancarias, EFT), cuando esta función no sea desempeñada por</w:t>
            </w:r>
            <w:r w:rsidR="00C96A81">
              <w:rPr>
                <w:sz w:val="20"/>
                <w:szCs w:val="20"/>
                <w:lang w:val="es-419"/>
              </w:rPr>
              <w:t xml:space="preserve"> el</w:t>
            </w:r>
            <w:r w:rsidRPr="48224A22">
              <w:rPr>
                <w:sz w:val="20"/>
                <w:szCs w:val="20"/>
                <w:lang w:val="es-419"/>
              </w:rPr>
              <w:t xml:space="preserve"> BMS/GSSC.</w:t>
            </w:r>
          </w:p>
        </w:tc>
      </w:tr>
      <w:tr w:rsidR="006A7B6C" w:rsidRPr="00773863" w14:paraId="7E399BE6" w14:textId="77777777" w:rsidTr="0004107A">
        <w:tc>
          <w:tcPr>
            <w:tcW w:w="9926" w:type="dxa"/>
            <w:tcBorders>
              <w:top w:val="single" w:sz="4" w:space="0" w:color="auto"/>
              <w:left w:val="single" w:sz="4" w:space="0" w:color="auto"/>
              <w:bottom w:val="single" w:sz="4" w:space="0" w:color="auto"/>
              <w:right w:val="single" w:sz="4" w:space="0" w:color="auto"/>
            </w:tcBorders>
          </w:tcPr>
          <w:p w14:paraId="003B4E5B" w14:textId="7F1BBDEB"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lastRenderedPageBreak/>
              <w:t>Organizar y supervisar los procesos de gestión de efectivo de</w:t>
            </w:r>
            <w:r w:rsidR="5889E069" w:rsidRPr="48224A22">
              <w:rPr>
                <w:sz w:val="20"/>
                <w:szCs w:val="20"/>
                <w:lang w:val="es-419"/>
              </w:rPr>
              <w:t xml:space="preserve"> la </w:t>
            </w:r>
            <w:r w:rsidRPr="48224A22">
              <w:rPr>
                <w:sz w:val="20"/>
                <w:szCs w:val="20"/>
                <w:lang w:val="es-419"/>
              </w:rPr>
              <w:t>CO, incluida la gestión de liquidez, la recomendación del nivel de anticipos, la evaluación de riesgos, la gestión de relaciones bancarias, la contabilidad y conciliación oportunas de todas las transacciones, y la seguridad de los activos de efectivo en el sitio.</w:t>
            </w:r>
          </w:p>
        </w:tc>
      </w:tr>
      <w:tr w:rsidR="006A7B6C" w:rsidRPr="00773863" w14:paraId="22FDFC70" w14:textId="77777777" w:rsidTr="0004107A">
        <w:tc>
          <w:tcPr>
            <w:tcW w:w="9926" w:type="dxa"/>
            <w:tcBorders>
              <w:top w:val="single" w:sz="4" w:space="0" w:color="auto"/>
              <w:left w:val="single" w:sz="4" w:space="0" w:color="auto"/>
              <w:bottom w:val="single" w:sz="4" w:space="0" w:color="auto"/>
              <w:right w:val="single" w:sz="4" w:space="0" w:color="auto"/>
            </w:tcBorders>
          </w:tcPr>
          <w:p w14:paraId="4BA56419" w14:textId="2F89E7CF" w:rsidR="006A7B6C" w:rsidRPr="00756410" w:rsidRDefault="7C8DF16C" w:rsidP="00756410">
            <w:pPr>
              <w:pStyle w:val="ListParagraph"/>
              <w:numPr>
                <w:ilvl w:val="0"/>
                <w:numId w:val="104"/>
              </w:numPr>
              <w:jc w:val="both"/>
              <w:rPr>
                <w:sz w:val="20"/>
                <w:szCs w:val="20"/>
                <w:lang w:val="es-419"/>
              </w:rPr>
            </w:pPr>
            <w:r w:rsidRPr="48224A22">
              <w:rPr>
                <w:sz w:val="20"/>
                <w:szCs w:val="20"/>
                <w:lang w:val="es-419"/>
              </w:rPr>
              <w:t xml:space="preserve">Asumir </w:t>
            </w:r>
            <w:r w:rsidR="2930DB60" w:rsidRPr="48224A22">
              <w:rPr>
                <w:sz w:val="20"/>
                <w:szCs w:val="20"/>
                <w:lang w:val="es-419"/>
              </w:rPr>
              <w:t xml:space="preserve">los roles de Administrador de Activos y </w:t>
            </w:r>
            <w:r w:rsidR="00057E4C">
              <w:rPr>
                <w:sz w:val="20"/>
                <w:szCs w:val="20"/>
                <w:lang w:val="es-419"/>
              </w:rPr>
              <w:t>Administrador</w:t>
            </w:r>
            <w:r w:rsidR="00057E4C" w:rsidRPr="48224A22">
              <w:rPr>
                <w:sz w:val="20"/>
                <w:szCs w:val="20"/>
                <w:lang w:val="es-419"/>
              </w:rPr>
              <w:t xml:space="preserve"> </w:t>
            </w:r>
            <w:r w:rsidR="2930DB60" w:rsidRPr="48224A22">
              <w:rPr>
                <w:sz w:val="20"/>
                <w:szCs w:val="20"/>
                <w:lang w:val="es-419"/>
              </w:rPr>
              <w:t>de Inventario</w:t>
            </w:r>
            <w:r w:rsidR="00057E4C">
              <w:rPr>
                <w:sz w:val="20"/>
                <w:szCs w:val="20"/>
                <w:lang w:val="es-419"/>
              </w:rPr>
              <w:t>s</w:t>
            </w:r>
            <w:r w:rsidR="2930DB60" w:rsidRPr="48224A22">
              <w:rPr>
                <w:sz w:val="20"/>
                <w:szCs w:val="20"/>
                <w:lang w:val="es-419"/>
              </w:rPr>
              <w:t>, de acuerdo con la Sección 7 de esta Guía</w:t>
            </w:r>
            <w:r w:rsidR="00057E4C">
              <w:rPr>
                <w:sz w:val="20"/>
                <w:szCs w:val="20"/>
                <w:lang w:val="es-419"/>
              </w:rPr>
              <w:t>.</w:t>
            </w:r>
          </w:p>
        </w:tc>
      </w:tr>
      <w:tr w:rsidR="006A7B6C" w:rsidRPr="00773863" w14:paraId="25E5129E" w14:textId="77777777" w:rsidTr="0004107A">
        <w:tc>
          <w:tcPr>
            <w:tcW w:w="9926" w:type="dxa"/>
            <w:tcBorders>
              <w:top w:val="single" w:sz="4" w:space="0" w:color="auto"/>
              <w:left w:val="single" w:sz="4" w:space="0" w:color="auto"/>
              <w:bottom w:val="single" w:sz="4" w:space="0" w:color="auto"/>
              <w:right w:val="single" w:sz="4" w:space="0" w:color="auto"/>
            </w:tcBorders>
          </w:tcPr>
          <w:p w14:paraId="5593E5D5" w14:textId="1CF72EFA"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t>Monitorear los informes de excepciones financieras para actividades y/o transacciones inusuales; e investigar anomalías o transacciones inusuales.</w:t>
            </w:r>
            <w:r w:rsidR="00AD0EF4">
              <w:rPr>
                <w:sz w:val="20"/>
                <w:szCs w:val="20"/>
                <w:lang w:val="es-419"/>
              </w:rPr>
              <w:t xml:space="preserve"> </w:t>
            </w:r>
            <w:r w:rsidRPr="48224A22">
              <w:rPr>
                <w:sz w:val="20"/>
                <w:szCs w:val="20"/>
                <w:lang w:val="es-419"/>
              </w:rPr>
              <w:t xml:space="preserve">Garantizar que el personal apropiado de </w:t>
            </w:r>
            <w:r w:rsidR="73B3B46D" w:rsidRPr="48224A22">
              <w:rPr>
                <w:sz w:val="20"/>
                <w:szCs w:val="20"/>
                <w:lang w:val="es-419"/>
              </w:rPr>
              <w:t xml:space="preserve">la </w:t>
            </w:r>
            <w:r w:rsidR="00A421E5" w:rsidRPr="00756410">
              <w:rPr>
                <w:lang w:val="es-419"/>
              </w:rPr>
              <w:t xml:space="preserve"> </w:t>
            </w:r>
            <w:r w:rsidR="00A421E5" w:rsidRPr="00A421E5">
              <w:rPr>
                <w:sz w:val="20"/>
                <w:szCs w:val="20"/>
                <w:lang w:val="es-419"/>
              </w:rPr>
              <w:t>oficina de país</w:t>
            </w:r>
            <w:r w:rsidRPr="48224A22">
              <w:rPr>
                <w:sz w:val="20"/>
                <w:szCs w:val="20"/>
                <w:lang w:val="es-419"/>
              </w:rPr>
              <w:t xml:space="preserve"> y de la sede del PNUD esté informado de los resultados de la investigación cuando no se obtengan respuestas satisfactorias.</w:t>
            </w:r>
          </w:p>
        </w:tc>
      </w:tr>
      <w:tr w:rsidR="006A7B6C" w:rsidRPr="00773863" w14:paraId="0EEEF44A" w14:textId="77777777" w:rsidTr="0004107A">
        <w:tc>
          <w:tcPr>
            <w:tcW w:w="9926" w:type="dxa"/>
            <w:tcBorders>
              <w:top w:val="single" w:sz="4" w:space="0" w:color="auto"/>
              <w:left w:val="single" w:sz="4" w:space="0" w:color="auto"/>
              <w:bottom w:val="single" w:sz="4" w:space="0" w:color="auto"/>
              <w:right w:val="single" w:sz="4" w:space="0" w:color="auto"/>
            </w:tcBorders>
          </w:tcPr>
          <w:p w14:paraId="08E33182" w14:textId="72DC99EB"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t>Servir como miembro del panel de signatarios del banco (para</w:t>
            </w:r>
            <w:r w:rsidR="00A421E5" w:rsidRPr="00756410">
              <w:rPr>
                <w:lang w:val="es-419"/>
              </w:rPr>
              <w:t xml:space="preserve"> </w:t>
            </w:r>
            <w:r w:rsidR="00A421E5" w:rsidRPr="00A421E5">
              <w:rPr>
                <w:sz w:val="20"/>
                <w:szCs w:val="20"/>
                <w:lang w:val="es-419"/>
              </w:rPr>
              <w:t>oficina</w:t>
            </w:r>
            <w:r w:rsidR="00A421E5">
              <w:rPr>
                <w:sz w:val="20"/>
                <w:szCs w:val="20"/>
                <w:lang w:val="es-419"/>
              </w:rPr>
              <w:t>s</w:t>
            </w:r>
            <w:r w:rsidR="00A421E5" w:rsidRPr="00A421E5">
              <w:rPr>
                <w:sz w:val="20"/>
                <w:szCs w:val="20"/>
                <w:lang w:val="es-419"/>
              </w:rPr>
              <w:t xml:space="preserve"> de país</w:t>
            </w:r>
            <w:r w:rsidRPr="48224A22">
              <w:rPr>
                <w:sz w:val="20"/>
                <w:szCs w:val="20"/>
                <w:lang w:val="es-419"/>
              </w:rPr>
              <w:t xml:space="preserve"> y </w:t>
            </w:r>
            <w:r w:rsidR="00526550" w:rsidRPr="3937432E">
              <w:rPr>
                <w:sz w:val="20"/>
                <w:szCs w:val="20"/>
                <w:lang w:val="es-419"/>
              </w:rPr>
              <w:t>unidades de la sede fuera de Nueva York</w:t>
            </w:r>
            <w:r w:rsidRPr="48224A22">
              <w:rPr>
                <w:sz w:val="20"/>
                <w:szCs w:val="20"/>
                <w:lang w:val="es-419"/>
              </w:rPr>
              <w:t>)</w:t>
            </w:r>
          </w:p>
        </w:tc>
      </w:tr>
      <w:tr w:rsidR="006A7B6C" w:rsidRPr="00773863" w14:paraId="7455C20A" w14:textId="77777777" w:rsidTr="0004107A">
        <w:tc>
          <w:tcPr>
            <w:tcW w:w="9926" w:type="dxa"/>
            <w:tcBorders>
              <w:top w:val="single" w:sz="4" w:space="0" w:color="auto"/>
              <w:left w:val="single" w:sz="4" w:space="0" w:color="auto"/>
              <w:bottom w:val="single" w:sz="4" w:space="0" w:color="auto"/>
              <w:right w:val="single" w:sz="4" w:space="0" w:color="auto"/>
            </w:tcBorders>
          </w:tcPr>
          <w:p w14:paraId="295D1E07" w14:textId="545F1327" w:rsidR="006A7B6C" w:rsidRPr="00773863" w:rsidRDefault="2930DB60" w:rsidP="4877069F">
            <w:pPr>
              <w:pStyle w:val="ListParagraph"/>
              <w:numPr>
                <w:ilvl w:val="0"/>
                <w:numId w:val="104"/>
              </w:numPr>
              <w:jc w:val="both"/>
              <w:rPr>
                <w:sz w:val="20"/>
                <w:szCs w:val="20"/>
                <w:lang w:val="es-419"/>
              </w:rPr>
            </w:pPr>
            <w:r w:rsidRPr="00773863">
              <w:rPr>
                <w:sz w:val="20"/>
                <w:szCs w:val="20"/>
                <w:lang w:val="es-419"/>
              </w:rPr>
              <w:t>Garantizar</w:t>
            </w:r>
            <w:r w:rsidR="7C51D4F2" w:rsidRPr="00773863">
              <w:rPr>
                <w:sz w:val="20"/>
                <w:szCs w:val="20"/>
                <w:lang w:val="es-419"/>
              </w:rPr>
              <w:t xml:space="preserve"> la aprobación de transacciones y </w:t>
            </w:r>
            <w:r w:rsidR="6F0F2BAD" w:rsidRPr="00773863">
              <w:rPr>
                <w:sz w:val="20"/>
                <w:szCs w:val="20"/>
                <w:lang w:val="es-419"/>
              </w:rPr>
              <w:t>autorización</w:t>
            </w:r>
            <w:r w:rsidR="7C51D4F2" w:rsidRPr="00773863">
              <w:rPr>
                <w:sz w:val="20"/>
                <w:szCs w:val="20"/>
                <w:lang w:val="es-419"/>
              </w:rPr>
              <w:t xml:space="preserve"> para detener pagos en el sistema bancario en </w:t>
            </w:r>
            <w:r w:rsidR="00551D2C" w:rsidRPr="00773863">
              <w:rPr>
                <w:sz w:val="20"/>
                <w:szCs w:val="20"/>
                <w:lang w:val="es-419"/>
              </w:rPr>
              <w:t>línea</w:t>
            </w:r>
            <w:r w:rsidR="7C51D4F2" w:rsidRPr="00773863">
              <w:rPr>
                <w:sz w:val="20"/>
                <w:szCs w:val="20"/>
                <w:lang w:val="es-419"/>
              </w:rPr>
              <w:t xml:space="preserve">. </w:t>
            </w:r>
            <w:r w:rsidRPr="00773863">
              <w:rPr>
                <w:sz w:val="20"/>
                <w:szCs w:val="20"/>
                <w:lang w:val="es-419"/>
              </w:rPr>
              <w:t xml:space="preserve"> </w:t>
            </w:r>
          </w:p>
        </w:tc>
      </w:tr>
      <w:tr w:rsidR="006A7B6C" w:rsidRPr="00773863" w14:paraId="1DF8F88B" w14:textId="77777777" w:rsidTr="0004107A">
        <w:tc>
          <w:tcPr>
            <w:tcW w:w="9926" w:type="dxa"/>
            <w:tcBorders>
              <w:top w:val="single" w:sz="4" w:space="0" w:color="auto"/>
              <w:left w:val="single" w:sz="4" w:space="0" w:color="auto"/>
              <w:bottom w:val="single" w:sz="4" w:space="0" w:color="auto"/>
              <w:right w:val="single" w:sz="4" w:space="0" w:color="auto"/>
            </w:tcBorders>
          </w:tcPr>
          <w:p w14:paraId="7C673213" w14:textId="5477CD52" w:rsidR="006A7B6C" w:rsidRPr="00756410" w:rsidRDefault="2930DB60" w:rsidP="00756410">
            <w:pPr>
              <w:pStyle w:val="ListParagraph"/>
              <w:numPr>
                <w:ilvl w:val="0"/>
                <w:numId w:val="104"/>
              </w:numPr>
              <w:jc w:val="both"/>
              <w:rPr>
                <w:sz w:val="20"/>
                <w:szCs w:val="20"/>
                <w:lang w:val="es-419"/>
              </w:rPr>
            </w:pPr>
            <w:r w:rsidRPr="006F460A">
              <w:rPr>
                <w:sz w:val="20"/>
                <w:szCs w:val="20"/>
                <w:lang w:val="es-419"/>
              </w:rPr>
              <w:t>Supervis</w:t>
            </w:r>
            <w:r w:rsidR="1189AA48" w:rsidRPr="006F460A">
              <w:rPr>
                <w:sz w:val="20"/>
                <w:szCs w:val="20"/>
                <w:lang w:val="es-419"/>
              </w:rPr>
              <w:t>ar</w:t>
            </w:r>
            <w:r w:rsidRPr="006F460A">
              <w:rPr>
                <w:sz w:val="20"/>
                <w:szCs w:val="20"/>
                <w:lang w:val="es-419"/>
              </w:rPr>
              <w:t xml:space="preserve"> las anulaciones de excepciones de </w:t>
            </w:r>
            <w:r w:rsidR="00C31BD5">
              <w:rPr>
                <w:sz w:val="20"/>
                <w:szCs w:val="20"/>
                <w:lang w:val="es-419"/>
              </w:rPr>
              <w:t>conciliaci</w:t>
            </w:r>
            <w:r w:rsidR="00AF1140">
              <w:rPr>
                <w:sz w:val="20"/>
                <w:szCs w:val="20"/>
                <w:lang w:val="es-419"/>
              </w:rPr>
              <w:t>ó</w:t>
            </w:r>
            <w:r w:rsidR="00C31BD5">
              <w:rPr>
                <w:sz w:val="20"/>
                <w:szCs w:val="20"/>
                <w:lang w:val="es-419"/>
              </w:rPr>
              <w:t xml:space="preserve">n de tres </w:t>
            </w:r>
            <w:r w:rsidRPr="006F460A">
              <w:rPr>
                <w:sz w:val="20"/>
                <w:szCs w:val="20"/>
                <w:lang w:val="es-419"/>
              </w:rPr>
              <w:t>vías (en oficinas/unidades con procesos de cuentas por pagar no agrupados</w:t>
            </w:r>
            <w:r w:rsidR="00F272D8">
              <w:rPr>
                <w:sz w:val="20"/>
                <w:szCs w:val="20"/>
                <w:lang w:val="es-419"/>
              </w:rPr>
              <w:t xml:space="preserve"> (</w:t>
            </w:r>
            <w:r w:rsidR="00F272D8" w:rsidRPr="00756410">
              <w:rPr>
                <w:i/>
                <w:iCs/>
                <w:sz w:val="20"/>
                <w:szCs w:val="20"/>
                <w:lang w:val="es-419"/>
              </w:rPr>
              <w:t>non-clustered</w:t>
            </w:r>
            <w:r w:rsidR="00F272D8">
              <w:rPr>
                <w:sz w:val="20"/>
                <w:szCs w:val="20"/>
                <w:lang w:val="es-419"/>
              </w:rPr>
              <w:t>)</w:t>
            </w:r>
            <w:r w:rsidR="006A7B6C" w:rsidRPr="00E06F45">
              <w:rPr>
                <w:rStyle w:val="FootnoteReference"/>
                <w:sz w:val="20"/>
                <w:szCs w:val="20"/>
              </w:rPr>
              <w:footnoteReference w:id="31"/>
            </w:r>
            <w:r w:rsidRPr="006F460A">
              <w:rPr>
                <w:sz w:val="20"/>
                <w:szCs w:val="20"/>
                <w:lang w:val="es-419"/>
              </w:rPr>
              <w:t>)</w:t>
            </w:r>
          </w:p>
        </w:tc>
      </w:tr>
      <w:tr w:rsidR="00E06F45" w:rsidRPr="00773863" w14:paraId="553D0A78" w14:textId="77777777" w:rsidTr="0004107A">
        <w:tc>
          <w:tcPr>
            <w:tcW w:w="9926" w:type="dxa"/>
            <w:tcBorders>
              <w:top w:val="single" w:sz="4" w:space="0" w:color="auto"/>
              <w:left w:val="single" w:sz="4" w:space="0" w:color="auto"/>
              <w:bottom w:val="single" w:sz="4" w:space="0" w:color="auto"/>
              <w:right w:val="single" w:sz="4" w:space="0" w:color="auto"/>
            </w:tcBorders>
          </w:tcPr>
          <w:p w14:paraId="5105593B" w14:textId="130C9A4F" w:rsidR="006A7B6C" w:rsidRPr="00756410" w:rsidRDefault="2930DB60" w:rsidP="00756410">
            <w:pPr>
              <w:pStyle w:val="ListParagraph"/>
              <w:numPr>
                <w:ilvl w:val="0"/>
                <w:numId w:val="104"/>
              </w:numPr>
              <w:jc w:val="both"/>
              <w:rPr>
                <w:sz w:val="20"/>
                <w:szCs w:val="20"/>
                <w:lang w:val="es-419"/>
              </w:rPr>
            </w:pPr>
            <w:r w:rsidRPr="48224A22">
              <w:rPr>
                <w:sz w:val="20"/>
                <w:szCs w:val="20"/>
                <w:lang w:val="es-419"/>
              </w:rPr>
              <w:t xml:space="preserve">Garantizar que todas las transacciones financieras se identifiquen, registren y verifiquen de conformidad con </w:t>
            </w:r>
            <w:r w:rsidR="5A6C2C05" w:rsidRPr="48224A22">
              <w:rPr>
                <w:sz w:val="20"/>
                <w:szCs w:val="20"/>
                <w:lang w:val="es-419"/>
              </w:rPr>
              <w:t xml:space="preserve">los estándares </w:t>
            </w:r>
            <w:r w:rsidRPr="48224A22">
              <w:rPr>
                <w:sz w:val="20"/>
                <w:szCs w:val="20"/>
                <w:lang w:val="es-419"/>
              </w:rPr>
              <w:t>IPSAS, tal como se describe en las políticas y procedimientos institucionales.</w:t>
            </w:r>
          </w:p>
        </w:tc>
      </w:tr>
      <w:tr w:rsidR="00E06F45" w:rsidRPr="00773863" w14:paraId="59A89652" w14:textId="77777777" w:rsidTr="0004107A">
        <w:tc>
          <w:tcPr>
            <w:tcW w:w="99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0151B5" w14:textId="0B72DF42" w:rsidR="006A7B6C" w:rsidRPr="00756410" w:rsidRDefault="2930DB60" w:rsidP="006A4651">
            <w:pPr>
              <w:rPr>
                <w:sz w:val="20"/>
                <w:szCs w:val="20"/>
                <w:lang w:val="es-419"/>
              </w:rPr>
            </w:pPr>
            <w:r w:rsidRPr="00756410">
              <w:rPr>
                <w:b/>
                <w:bCs/>
                <w:sz w:val="20"/>
                <w:szCs w:val="20"/>
                <w:lang w:val="es-419"/>
              </w:rPr>
              <w:t xml:space="preserve">Perfil </w:t>
            </w:r>
            <w:r w:rsidR="153CA608" w:rsidRPr="48224A22">
              <w:rPr>
                <w:b/>
                <w:bCs/>
                <w:sz w:val="20"/>
                <w:szCs w:val="20"/>
                <w:lang w:val="es-419"/>
              </w:rPr>
              <w:t xml:space="preserve">de </w:t>
            </w:r>
            <w:r w:rsidR="000A6C98">
              <w:rPr>
                <w:b/>
                <w:bCs/>
                <w:sz w:val="20"/>
                <w:szCs w:val="20"/>
                <w:lang w:val="es-419"/>
              </w:rPr>
              <w:t>Usuario</w:t>
            </w:r>
            <w:r w:rsidR="153CA608" w:rsidRPr="48224A22">
              <w:rPr>
                <w:b/>
                <w:bCs/>
                <w:sz w:val="20"/>
                <w:szCs w:val="20"/>
                <w:lang w:val="es-419"/>
              </w:rPr>
              <w:t xml:space="preserve"> </w:t>
            </w:r>
            <w:r w:rsidRPr="00756410">
              <w:rPr>
                <w:b/>
                <w:bCs/>
                <w:sz w:val="20"/>
                <w:szCs w:val="20"/>
                <w:lang w:val="es-419"/>
              </w:rPr>
              <w:t xml:space="preserve">de IDAM: </w:t>
            </w:r>
            <w:r w:rsidR="000A6C98">
              <w:rPr>
                <w:b/>
                <w:bCs/>
                <w:sz w:val="20"/>
                <w:szCs w:val="20"/>
                <w:lang w:val="es-419"/>
              </w:rPr>
              <w:t>U</w:t>
            </w:r>
            <w:r w:rsidR="7314779D" w:rsidRPr="48224A22">
              <w:rPr>
                <w:b/>
                <w:bCs/>
                <w:sz w:val="20"/>
                <w:szCs w:val="20"/>
                <w:lang w:val="es-419"/>
              </w:rPr>
              <w:t xml:space="preserve">sualmente </w:t>
            </w:r>
            <w:r w:rsidRPr="00756410">
              <w:rPr>
                <w:b/>
                <w:bCs/>
                <w:sz w:val="20"/>
                <w:szCs w:val="20"/>
                <w:lang w:val="es-419"/>
              </w:rPr>
              <w:t xml:space="preserve">gerente senior o gerente de nivel 2 </w:t>
            </w:r>
            <w:r w:rsidR="000A6C98">
              <w:rPr>
                <w:b/>
                <w:bCs/>
                <w:sz w:val="20"/>
                <w:szCs w:val="20"/>
                <w:lang w:val="es-419"/>
              </w:rPr>
              <w:t>[</w:t>
            </w:r>
            <w:r w:rsidR="000A6C98" w:rsidRPr="00756410">
              <w:rPr>
                <w:b/>
                <w:bCs/>
                <w:i/>
                <w:iCs/>
                <w:sz w:val="20"/>
                <w:szCs w:val="20"/>
                <w:lang w:val="es-419"/>
              </w:rPr>
              <w:t>Senior Manager</w:t>
            </w:r>
            <w:r w:rsidR="000A6C98">
              <w:rPr>
                <w:b/>
                <w:bCs/>
                <w:sz w:val="20"/>
                <w:szCs w:val="20"/>
                <w:lang w:val="es-419"/>
              </w:rPr>
              <w:t xml:space="preserve"> o </w:t>
            </w:r>
            <w:r w:rsidR="000A6C98" w:rsidRPr="00756410">
              <w:rPr>
                <w:b/>
                <w:bCs/>
                <w:i/>
                <w:iCs/>
                <w:sz w:val="20"/>
                <w:szCs w:val="20"/>
                <w:lang w:val="es-419"/>
              </w:rPr>
              <w:t>Manager Level 2</w:t>
            </w:r>
            <w:r w:rsidR="000A6C98">
              <w:rPr>
                <w:b/>
                <w:bCs/>
                <w:sz w:val="20"/>
                <w:szCs w:val="20"/>
                <w:lang w:val="es-419"/>
              </w:rPr>
              <w:t xml:space="preserve">] </w:t>
            </w:r>
            <w:r w:rsidRPr="00756410">
              <w:rPr>
                <w:b/>
                <w:bCs/>
                <w:sz w:val="20"/>
                <w:szCs w:val="20"/>
                <w:lang w:val="es-419"/>
              </w:rPr>
              <w:t xml:space="preserve">(debe ser </w:t>
            </w:r>
            <w:r w:rsidR="001D2326">
              <w:rPr>
                <w:b/>
                <w:bCs/>
                <w:sz w:val="20"/>
                <w:szCs w:val="20"/>
                <w:lang w:val="es-419"/>
              </w:rPr>
              <w:t>personal funcionario</w:t>
            </w:r>
            <w:r w:rsidRPr="00756410">
              <w:rPr>
                <w:b/>
                <w:bCs/>
                <w:sz w:val="20"/>
                <w:szCs w:val="20"/>
                <w:lang w:val="es-419"/>
              </w:rPr>
              <w:t xml:space="preserve"> del PNUD)</w:t>
            </w:r>
          </w:p>
        </w:tc>
      </w:tr>
    </w:tbl>
    <w:p w14:paraId="5FEC5CFE" w14:textId="4173691B" w:rsidR="00532D05" w:rsidRDefault="00EC79FA" w:rsidP="363CA695">
      <w:pPr>
        <w:rPr>
          <w:i/>
          <w:iCs/>
          <w:sz w:val="20"/>
          <w:szCs w:val="20"/>
          <w:lang w:val="es-419"/>
        </w:rPr>
      </w:pPr>
      <w:r w:rsidRPr="00756410">
        <w:rPr>
          <w:i/>
          <w:iCs/>
          <w:sz w:val="20"/>
          <w:szCs w:val="20"/>
          <w:lang w:val="es-419"/>
        </w:rPr>
        <w:t xml:space="preserve">Fuente: Facetas de gestión financiera basadas en </w:t>
      </w:r>
      <w:hyperlink r:id="rId137">
        <w:r w:rsidRPr="00756410">
          <w:rPr>
            <w:rStyle w:val="Hyperlink"/>
            <w:i/>
            <w:iCs/>
            <w:color w:val="4472C4" w:themeColor="accent1"/>
            <w:sz w:val="20"/>
            <w:szCs w:val="20"/>
            <w:lang w:val="es-419"/>
          </w:rPr>
          <w:t>descripciones genéricas de puesto</w:t>
        </w:r>
        <w:r w:rsidR="00532D05">
          <w:rPr>
            <w:rStyle w:val="Hyperlink"/>
            <w:i/>
            <w:iCs/>
            <w:color w:val="4472C4" w:themeColor="accent1"/>
            <w:sz w:val="20"/>
            <w:szCs w:val="20"/>
            <w:lang w:val="es-419"/>
          </w:rPr>
          <w:t>s de trabajo</w:t>
        </w:r>
      </w:hyperlink>
      <w:r w:rsidRPr="00756410">
        <w:rPr>
          <w:i/>
          <w:iCs/>
          <w:color w:val="4472C4" w:themeColor="accent1"/>
          <w:sz w:val="20"/>
          <w:szCs w:val="20"/>
          <w:lang w:val="es-419"/>
        </w:rPr>
        <w:t xml:space="preserve"> </w:t>
      </w:r>
      <w:r w:rsidR="009E07B4">
        <w:rPr>
          <w:i/>
          <w:iCs/>
          <w:sz w:val="20"/>
          <w:szCs w:val="20"/>
          <w:lang w:val="es-419"/>
        </w:rPr>
        <w:t>desarrolladas por</w:t>
      </w:r>
      <w:r w:rsidR="00827296">
        <w:rPr>
          <w:i/>
          <w:iCs/>
          <w:sz w:val="20"/>
          <w:szCs w:val="20"/>
          <w:lang w:val="es-419"/>
        </w:rPr>
        <w:t xml:space="preserve"> BMS/OHR </w:t>
      </w:r>
      <w:r w:rsidR="009E07B4">
        <w:rPr>
          <w:i/>
          <w:iCs/>
          <w:sz w:val="20"/>
          <w:szCs w:val="20"/>
          <w:lang w:val="es-419"/>
        </w:rPr>
        <w:t>en 2023 para</w:t>
      </w:r>
      <w:r w:rsidRPr="00756410">
        <w:rPr>
          <w:i/>
          <w:iCs/>
          <w:sz w:val="20"/>
          <w:szCs w:val="20"/>
          <w:lang w:val="es-419"/>
        </w:rPr>
        <w:t xml:space="preserve"> l</w:t>
      </w:r>
      <w:r w:rsidR="009E07B4">
        <w:rPr>
          <w:i/>
          <w:iCs/>
          <w:sz w:val="20"/>
          <w:szCs w:val="20"/>
          <w:lang w:val="es-419"/>
        </w:rPr>
        <w:t>a</w:t>
      </w:r>
      <w:r w:rsidRPr="00756410">
        <w:rPr>
          <w:i/>
          <w:iCs/>
          <w:sz w:val="20"/>
          <w:szCs w:val="20"/>
          <w:lang w:val="es-419"/>
        </w:rPr>
        <w:t>s</w:t>
      </w:r>
      <w:r w:rsidR="009E07B4">
        <w:rPr>
          <w:i/>
          <w:iCs/>
          <w:sz w:val="20"/>
          <w:szCs w:val="20"/>
          <w:lang w:val="es-419"/>
        </w:rPr>
        <w:t xml:space="preserve"> posiciones</w:t>
      </w:r>
      <w:r w:rsidRPr="00756410">
        <w:rPr>
          <w:i/>
          <w:iCs/>
          <w:sz w:val="20"/>
          <w:szCs w:val="20"/>
          <w:lang w:val="es-419"/>
        </w:rPr>
        <w:t xml:space="preserve"> Gerentes de Operaciones.</w:t>
      </w:r>
    </w:p>
    <w:p w14:paraId="1294316F" w14:textId="4A16B22C" w:rsidR="008A398C" w:rsidRDefault="008A398C">
      <w:pPr>
        <w:pStyle w:val="Heading2"/>
        <w:numPr>
          <w:ilvl w:val="1"/>
          <w:numId w:val="92"/>
        </w:numPr>
        <w:spacing w:after="240"/>
        <w:ind w:left="360"/>
      </w:pPr>
      <w:bookmarkStart w:id="98" w:name="_Toc210052784"/>
      <w:r>
        <w:t>Personal de Finanzas</w:t>
      </w:r>
      <w:bookmarkEnd w:id="98"/>
    </w:p>
    <w:p w14:paraId="5626CFB9" w14:textId="54636E27" w:rsidR="00097CC5" w:rsidRPr="00756410" w:rsidRDefault="00097CC5" w:rsidP="00756410">
      <w:pPr>
        <w:spacing w:line="240" w:lineRule="auto"/>
        <w:jc w:val="both"/>
        <w:rPr>
          <w:lang w:val="es-419"/>
        </w:rPr>
      </w:pPr>
      <w:r w:rsidRPr="48224A22">
        <w:rPr>
          <w:lang w:val="es-419"/>
        </w:rPr>
        <w:t xml:space="preserve">El personal de finanzas es responsable de una amplia gama de actividades de gestión financiera que involucran presupuestos, gestión de ingresos, recuperación de costos, pagos, administración de efectivo, monitoreo de cuentas del libro mayor, monitoreo financiero y administración de documentos. Estas actividades generalmente las realiza el personal de Finanzas con un perfil </w:t>
      </w:r>
      <w:r w:rsidR="00E56C13">
        <w:rPr>
          <w:lang w:val="es-419"/>
        </w:rPr>
        <w:t>de usuario</w:t>
      </w:r>
      <w:r w:rsidR="00E56C13" w:rsidRPr="48224A22">
        <w:rPr>
          <w:lang w:val="es-419"/>
        </w:rPr>
        <w:t xml:space="preserve"> </w:t>
      </w:r>
      <w:r w:rsidRPr="48224A22">
        <w:rPr>
          <w:lang w:val="es-419"/>
        </w:rPr>
        <w:t xml:space="preserve">de IDAM de </w:t>
      </w:r>
      <w:r w:rsidR="00FB5F87">
        <w:rPr>
          <w:lang w:val="es-419"/>
        </w:rPr>
        <w:t>“</w:t>
      </w:r>
      <w:r w:rsidRPr="48224A22">
        <w:rPr>
          <w:lang w:val="es-419"/>
        </w:rPr>
        <w:t>Usuario de finanzas</w:t>
      </w:r>
      <w:r w:rsidR="00FB5F87">
        <w:rPr>
          <w:lang w:val="es-419"/>
        </w:rPr>
        <w:t>” (“</w:t>
      </w:r>
      <w:r w:rsidR="00FB5F87" w:rsidRPr="00756410">
        <w:rPr>
          <w:i/>
          <w:iCs/>
          <w:lang w:val="es-419"/>
        </w:rPr>
        <w:t>Finance User</w:t>
      </w:r>
      <w:r w:rsidR="00FB5F87">
        <w:rPr>
          <w:lang w:val="es-419"/>
        </w:rPr>
        <w:t>”)</w:t>
      </w:r>
      <w:r w:rsidRPr="48224A22">
        <w:rPr>
          <w:lang w:val="es-419"/>
        </w:rPr>
        <w:t xml:space="preserve">. El BMS/GSSC realiza muchas funciones financieras para oficinas/unidades con procesos </w:t>
      </w:r>
      <w:r w:rsidRPr="00830BCC">
        <w:rPr>
          <w:lang w:val="es-419"/>
        </w:rPr>
        <w:t>financieros agrupado</w:t>
      </w:r>
      <w:r w:rsidR="00830BCC" w:rsidRPr="00830BCC">
        <w:rPr>
          <w:lang w:val="es-419"/>
        </w:rPr>
        <w:t xml:space="preserve">s </w:t>
      </w:r>
      <w:r w:rsidR="00830BCC" w:rsidRPr="00756410">
        <w:rPr>
          <w:lang w:val="es-419"/>
        </w:rPr>
        <w:t>(</w:t>
      </w:r>
      <w:r w:rsidR="00830BCC" w:rsidRPr="00756410">
        <w:rPr>
          <w:rFonts w:ascii="Calibri" w:eastAsia="Calibri" w:hAnsi="Calibri" w:cs="Calibri"/>
          <w:i/>
          <w:iCs/>
          <w:u w:val="single"/>
          <w:lang w:val="es-419"/>
        </w:rPr>
        <w:t>clustered</w:t>
      </w:r>
      <w:r w:rsidR="00830BCC" w:rsidRPr="00756410">
        <w:rPr>
          <w:rFonts w:ascii="Calibri" w:eastAsia="Calibri" w:hAnsi="Calibri" w:cs="Calibri"/>
          <w:i/>
          <w:iCs/>
          <w:color w:val="004377"/>
          <w:u w:val="single"/>
          <w:lang w:val="es-419"/>
        </w:rPr>
        <w:t>)</w:t>
      </w:r>
      <w:r w:rsidRPr="00830BCC">
        <w:rPr>
          <w:lang w:val="es-419"/>
        </w:rPr>
        <w:t>. En el caso de las oficinas/dependencias con procesos financieros no agrupados</w:t>
      </w:r>
      <w:r w:rsidR="00775311" w:rsidRPr="00830BCC">
        <w:rPr>
          <w:lang w:val="es-419"/>
        </w:rPr>
        <w:t xml:space="preserve"> (</w:t>
      </w:r>
      <w:r w:rsidR="00775311" w:rsidRPr="00830BCC">
        <w:rPr>
          <w:i/>
          <w:iCs/>
          <w:lang w:val="es-419"/>
        </w:rPr>
        <w:t>non-clustered)</w:t>
      </w:r>
      <w:r w:rsidRPr="00756410">
        <w:rPr>
          <w:i/>
          <w:iCs/>
          <w:lang w:val="es-419"/>
        </w:rPr>
        <w:t>,</w:t>
      </w:r>
      <w:r w:rsidRPr="00830BCC">
        <w:rPr>
          <w:lang w:val="es-419"/>
        </w:rPr>
        <w:t xml:space="preserve"> el</w:t>
      </w:r>
      <w:r w:rsidRPr="48224A22">
        <w:rPr>
          <w:lang w:val="es-419"/>
        </w:rPr>
        <w:t xml:space="preserve"> BMS/GSSC realiza la contabilidad de ingresos, activos e inventarios y las conciliaciones bancarias.</w:t>
      </w:r>
    </w:p>
    <w:p w14:paraId="3A2EB470" w14:textId="1B0CF79E" w:rsidR="00097CC5" w:rsidRPr="00756410" w:rsidRDefault="00097CC5" w:rsidP="00756410">
      <w:pPr>
        <w:spacing w:line="240" w:lineRule="auto"/>
        <w:jc w:val="both"/>
        <w:rPr>
          <w:lang w:val="es-419"/>
        </w:rPr>
      </w:pPr>
      <w:r w:rsidRPr="48224A22">
        <w:rPr>
          <w:lang w:val="es-419"/>
        </w:rPr>
        <w:t xml:space="preserve">Con el lanzamiento de Quantum, el perfil </w:t>
      </w:r>
      <w:r w:rsidR="7D9AAEFC" w:rsidRPr="48224A22">
        <w:rPr>
          <w:lang w:val="es-419"/>
        </w:rPr>
        <w:t xml:space="preserve">de </w:t>
      </w:r>
      <w:r w:rsidR="00D06ABF">
        <w:rPr>
          <w:lang w:val="es-419"/>
        </w:rPr>
        <w:t>usuario</w:t>
      </w:r>
      <w:r w:rsidR="7D9AAEFC" w:rsidRPr="48224A22">
        <w:rPr>
          <w:lang w:val="es-419"/>
        </w:rPr>
        <w:t xml:space="preserve"> </w:t>
      </w:r>
      <w:r w:rsidRPr="48224A22">
        <w:rPr>
          <w:lang w:val="es-419"/>
        </w:rPr>
        <w:t>de "</w:t>
      </w:r>
      <w:r w:rsidR="00FB5F87">
        <w:rPr>
          <w:lang w:val="es-419"/>
        </w:rPr>
        <w:t>U</w:t>
      </w:r>
      <w:r w:rsidRPr="48224A22">
        <w:rPr>
          <w:lang w:val="es-419"/>
        </w:rPr>
        <w:t xml:space="preserve">suario de </w:t>
      </w:r>
      <w:r w:rsidR="00FB5F87">
        <w:rPr>
          <w:lang w:val="es-419"/>
        </w:rPr>
        <w:t>F</w:t>
      </w:r>
      <w:r w:rsidRPr="48224A22">
        <w:rPr>
          <w:lang w:val="es-419"/>
        </w:rPr>
        <w:t xml:space="preserve">inanzas" de IDAM se puede asignar a personal </w:t>
      </w:r>
      <w:r w:rsidR="3D910567" w:rsidRPr="48224A22">
        <w:rPr>
          <w:lang w:val="es-419"/>
        </w:rPr>
        <w:t>que no sea funcionario</w:t>
      </w:r>
      <w:r w:rsidR="00DD329C">
        <w:rPr>
          <w:lang w:val="es-419"/>
        </w:rPr>
        <w:t xml:space="preserve"> (“</w:t>
      </w:r>
      <w:r w:rsidR="00DD329C" w:rsidRPr="00756410">
        <w:rPr>
          <w:i/>
          <w:iCs/>
          <w:lang w:val="es-419"/>
        </w:rPr>
        <w:t>non-staff</w:t>
      </w:r>
      <w:r w:rsidR="00DD329C">
        <w:rPr>
          <w:lang w:val="es-419"/>
        </w:rPr>
        <w:t>”)</w:t>
      </w:r>
      <w:r w:rsidRPr="48224A22">
        <w:rPr>
          <w:lang w:val="es-419"/>
        </w:rPr>
        <w:t xml:space="preserve">, incluidos IPSA, NPSA </w:t>
      </w:r>
      <w:r w:rsidR="4779DB03" w:rsidRPr="48224A22">
        <w:rPr>
          <w:lang w:val="es-419"/>
        </w:rPr>
        <w:t xml:space="preserve">y Consultor Individual </w:t>
      </w:r>
      <w:r w:rsidRPr="48224A22">
        <w:rPr>
          <w:lang w:val="es-419"/>
        </w:rPr>
        <w:t xml:space="preserve">, ya que las funciones de control que solía desempeñar este rol ahora son realizadas por </w:t>
      </w:r>
      <w:r w:rsidR="00C21C53">
        <w:rPr>
          <w:lang w:val="es-419"/>
        </w:rPr>
        <w:t xml:space="preserve">los equipos del </w:t>
      </w:r>
      <w:r w:rsidRPr="48224A22">
        <w:rPr>
          <w:lang w:val="es-419"/>
        </w:rPr>
        <w:t xml:space="preserve">BMS/GSSC y </w:t>
      </w:r>
      <w:r w:rsidR="00C21C53">
        <w:rPr>
          <w:lang w:val="es-419"/>
        </w:rPr>
        <w:t xml:space="preserve">de la </w:t>
      </w:r>
      <w:r w:rsidRPr="48224A22">
        <w:rPr>
          <w:lang w:val="es-419"/>
        </w:rPr>
        <w:t xml:space="preserve">BMS/OFRM/Tesorería. </w:t>
      </w:r>
    </w:p>
    <w:p w14:paraId="088B6023" w14:textId="27640FFD" w:rsidR="00097CC5" w:rsidRPr="00756410" w:rsidRDefault="00097CC5" w:rsidP="00756410">
      <w:pPr>
        <w:jc w:val="both"/>
        <w:rPr>
          <w:rFonts w:ascii="Calibri" w:hAnsi="Calibri" w:cs="Calibri"/>
          <w:lang w:val="es-419"/>
        </w:rPr>
      </w:pPr>
      <w:r w:rsidRPr="48224A22">
        <w:rPr>
          <w:lang w:val="es-419"/>
        </w:rPr>
        <w:t xml:space="preserve">Esta Guía asume que el equipo de finanzas incluye </w:t>
      </w:r>
      <w:r w:rsidR="00C21C53">
        <w:rPr>
          <w:lang w:val="es-419"/>
        </w:rPr>
        <w:t>una</w:t>
      </w:r>
      <w:r w:rsidRPr="48224A22">
        <w:rPr>
          <w:lang w:val="es-419"/>
        </w:rPr>
        <w:t xml:space="preserve"> Unidad de Apoyo al Programa (</w:t>
      </w:r>
      <w:r w:rsidR="1FEEFFF8" w:rsidRPr="48224A22">
        <w:rPr>
          <w:lang w:val="es-419"/>
        </w:rPr>
        <w:t xml:space="preserve">UAP o </w:t>
      </w:r>
      <w:r w:rsidRPr="48224A22">
        <w:rPr>
          <w:lang w:val="es-419"/>
        </w:rPr>
        <w:t>PSU</w:t>
      </w:r>
      <w:r w:rsidR="5F56D920" w:rsidRPr="48224A22">
        <w:rPr>
          <w:lang w:val="es-419"/>
        </w:rPr>
        <w:t xml:space="preserve"> por sus siglas en inglés</w:t>
      </w:r>
      <w:r w:rsidRPr="48224A22">
        <w:rPr>
          <w:lang w:val="es-419"/>
        </w:rPr>
        <w:t xml:space="preserve">). Si bien no se requiere que las oficinas/unidades combinen estos dos equipos, en muchos casos pueden lograr mayores sinergias al hacerlo. Cuando la </w:t>
      </w:r>
      <w:r w:rsidR="63EBCE76" w:rsidRPr="48224A22">
        <w:rPr>
          <w:lang w:val="es-419"/>
        </w:rPr>
        <w:t>UAP-</w:t>
      </w:r>
      <w:r w:rsidRPr="48224A22">
        <w:rPr>
          <w:lang w:val="es-419"/>
        </w:rPr>
        <w:t xml:space="preserve">PSU no se </w:t>
      </w:r>
      <w:r w:rsidR="3CD8B147" w:rsidRPr="48224A22">
        <w:rPr>
          <w:lang w:val="es-419"/>
        </w:rPr>
        <w:t xml:space="preserve">integra </w:t>
      </w:r>
      <w:r w:rsidRPr="48224A22">
        <w:rPr>
          <w:lang w:val="es-419"/>
        </w:rPr>
        <w:t>con el equipo de finanzas, las oficinas/unidades deben considerar</w:t>
      </w:r>
      <w:r w:rsidR="5C6C5712" w:rsidRPr="48224A22">
        <w:rPr>
          <w:lang w:val="es-419"/>
        </w:rPr>
        <w:t xml:space="preserve"> estar bajo la supervisión directa</w:t>
      </w:r>
      <w:r w:rsidRPr="48224A22">
        <w:rPr>
          <w:lang w:val="es-419"/>
        </w:rPr>
        <w:t xml:space="preserve"> o matricial al Gerente de Operaciones (o equivalente de la Sede), o asegurarse de que haya canales de comunicación estrechos entre los equipos de Finanzas y </w:t>
      </w:r>
      <w:r w:rsidR="71F04566" w:rsidRPr="48224A22">
        <w:rPr>
          <w:lang w:val="es-419"/>
        </w:rPr>
        <w:t>UAP/</w:t>
      </w:r>
      <w:r w:rsidRPr="48224A22">
        <w:rPr>
          <w:lang w:val="es-419"/>
        </w:rPr>
        <w:t xml:space="preserve">PSU </w:t>
      </w:r>
      <w:r w:rsidR="004A797B" w:rsidRPr="48224A22">
        <w:rPr>
          <w:rFonts w:ascii="Calibri" w:hAnsi="Calibri" w:cs="Calibri"/>
          <w:lang w:val="es-419"/>
        </w:rPr>
        <w:t xml:space="preserve">para garantizar una </w:t>
      </w:r>
      <w:r w:rsidR="0BB93F45" w:rsidRPr="48224A22">
        <w:rPr>
          <w:lang w:val="es-419"/>
        </w:rPr>
        <w:t xml:space="preserve">supervisión </w:t>
      </w:r>
      <w:r w:rsidR="004A797B" w:rsidRPr="48224A22">
        <w:rPr>
          <w:rFonts w:ascii="Calibri" w:hAnsi="Calibri" w:cs="Calibri"/>
          <w:lang w:val="es-419"/>
        </w:rPr>
        <w:t>adecuada de las responsabilidades de finanzas/</w:t>
      </w:r>
      <w:r w:rsidR="00EC7F99" w:rsidRPr="48224A22">
        <w:rPr>
          <w:rFonts w:ascii="Calibri" w:hAnsi="Calibri" w:cs="Calibri"/>
          <w:lang w:val="es-419"/>
        </w:rPr>
        <w:t>programas relacionados</w:t>
      </w:r>
      <w:r w:rsidR="004A797B" w:rsidRPr="48224A22">
        <w:rPr>
          <w:rFonts w:ascii="Calibri" w:hAnsi="Calibri" w:cs="Calibri"/>
          <w:lang w:val="es-419"/>
        </w:rPr>
        <w:t xml:space="preserve">. </w:t>
      </w:r>
      <w:r w:rsidRPr="48224A22">
        <w:rPr>
          <w:lang w:val="es-419"/>
        </w:rPr>
        <w:t xml:space="preserve">Si bien las oficinas y dependencias del PNUD tienen estructuras orgánicas variadas, los equipos de finanzas suelen tener las siguientes responsabilidades clave en relación con la gestión de los recursos financieros y los controles </w:t>
      </w:r>
      <w:r w:rsidR="0117505B" w:rsidRPr="48224A22">
        <w:rPr>
          <w:lang w:val="es-419"/>
        </w:rPr>
        <w:t>relacionados</w:t>
      </w:r>
      <w:r w:rsidRPr="48224A22">
        <w:rPr>
          <w:lang w:val="es-419"/>
        </w:rPr>
        <w:t>:</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AC709C" w:rsidRPr="00773863" w14:paraId="6532F9E4" w14:textId="77777777" w:rsidTr="48224A22">
        <w:trPr>
          <w:trHeight w:val="20"/>
          <w:tblHeader/>
        </w:trPr>
        <w:tc>
          <w:tcPr>
            <w:tcW w:w="9895" w:type="dxa"/>
            <w:shd w:val="clear" w:color="auto" w:fill="D9E2F3" w:themeFill="accent1" w:themeFillTint="33"/>
          </w:tcPr>
          <w:p w14:paraId="6B422FDC" w14:textId="44C62764" w:rsidR="00AC709C" w:rsidRPr="00756410" w:rsidRDefault="0005C67A" w:rsidP="00756410">
            <w:pPr>
              <w:spacing w:after="0" w:line="240" w:lineRule="auto"/>
              <w:jc w:val="both"/>
              <w:rPr>
                <w:b/>
                <w:bCs/>
                <w:sz w:val="20"/>
                <w:szCs w:val="20"/>
                <w:lang w:val="es-419"/>
              </w:rPr>
            </w:pPr>
            <w:r w:rsidRPr="48224A22">
              <w:rPr>
                <w:b/>
                <w:bCs/>
                <w:sz w:val="20"/>
                <w:szCs w:val="20"/>
                <w:lang w:val="es-419"/>
              </w:rPr>
              <w:lastRenderedPageBreak/>
              <w:t>Personal de finanzas (y equivalente en la sede): responsabilidades de control interno realizadas dentro de cada oficina</w:t>
            </w:r>
            <w:r w:rsidR="0000736A">
              <w:rPr>
                <w:b/>
                <w:bCs/>
                <w:sz w:val="20"/>
                <w:szCs w:val="20"/>
                <w:lang w:val="es-419"/>
              </w:rPr>
              <w:t xml:space="preserve"> o </w:t>
            </w:r>
            <w:r w:rsidRPr="48224A22">
              <w:rPr>
                <w:b/>
                <w:bCs/>
                <w:sz w:val="20"/>
                <w:szCs w:val="20"/>
                <w:lang w:val="es-419"/>
              </w:rPr>
              <w:t>unidad</w:t>
            </w:r>
          </w:p>
        </w:tc>
      </w:tr>
      <w:tr w:rsidR="00AC709C" w:rsidRPr="00773863" w14:paraId="53BEA604" w14:textId="77777777" w:rsidTr="48224A22">
        <w:trPr>
          <w:trHeight w:val="20"/>
        </w:trPr>
        <w:tc>
          <w:tcPr>
            <w:tcW w:w="9895" w:type="dxa"/>
            <w:shd w:val="clear" w:color="auto" w:fill="000000" w:themeFill="text1"/>
          </w:tcPr>
          <w:p w14:paraId="6FA97A1D" w14:textId="4E7045D7" w:rsidR="00AC709C" w:rsidRPr="00756410" w:rsidRDefault="008D7700" w:rsidP="008A398C">
            <w:pPr>
              <w:spacing w:after="0" w:line="240" w:lineRule="auto"/>
              <w:rPr>
                <w:b/>
                <w:sz w:val="20"/>
                <w:szCs w:val="20"/>
                <w:lang w:val="es-419"/>
              </w:rPr>
            </w:pPr>
            <w:r w:rsidRPr="00756410">
              <w:rPr>
                <w:b/>
                <w:bCs/>
                <w:sz w:val="20"/>
                <w:szCs w:val="20"/>
                <w:lang w:val="es-419"/>
              </w:rPr>
              <w:t>Creación y actualización de proyectos</w:t>
            </w:r>
          </w:p>
        </w:tc>
      </w:tr>
      <w:tr w:rsidR="00AC709C" w:rsidRPr="00773863" w14:paraId="4B451528" w14:textId="77777777" w:rsidTr="48224A22">
        <w:trPr>
          <w:trHeight w:val="20"/>
        </w:trPr>
        <w:tc>
          <w:tcPr>
            <w:tcW w:w="9895" w:type="dxa"/>
          </w:tcPr>
          <w:p w14:paraId="53F3CE7B" w14:textId="00E1EFF0" w:rsidR="00AC709C" w:rsidRPr="00756410" w:rsidRDefault="23ABD5E1" w:rsidP="00756410">
            <w:pPr>
              <w:pStyle w:val="ListParagraph"/>
              <w:numPr>
                <w:ilvl w:val="0"/>
                <w:numId w:val="40"/>
              </w:numPr>
              <w:spacing w:after="0" w:line="240" w:lineRule="auto"/>
              <w:jc w:val="both"/>
              <w:rPr>
                <w:sz w:val="20"/>
                <w:szCs w:val="20"/>
                <w:lang w:val="es-419"/>
              </w:rPr>
            </w:pPr>
            <w:r w:rsidRPr="00066C1E">
              <w:rPr>
                <w:b/>
                <w:bCs/>
                <w:sz w:val="20"/>
                <w:szCs w:val="20"/>
                <w:lang w:val="es-419"/>
              </w:rPr>
              <w:t>Crear y actualizar proyectos en Quantum</w:t>
            </w:r>
            <w:r w:rsidRPr="00066C1E">
              <w:rPr>
                <w:sz w:val="20"/>
                <w:szCs w:val="20"/>
                <w:lang w:val="es-419"/>
              </w:rPr>
              <w:t xml:space="preserve">, después de asegurar: (i) que se </w:t>
            </w:r>
            <w:r w:rsidR="00066C1E" w:rsidRPr="00066C1E">
              <w:rPr>
                <w:sz w:val="20"/>
                <w:szCs w:val="20"/>
                <w:lang w:val="es-419"/>
              </w:rPr>
              <w:t>ha completado la revisión del Comité de Evaluaci</w:t>
            </w:r>
            <w:r w:rsidR="00066C1E">
              <w:rPr>
                <w:sz w:val="20"/>
                <w:szCs w:val="20"/>
                <w:lang w:val="es-419"/>
              </w:rPr>
              <w:t>ó</w:t>
            </w:r>
            <w:r w:rsidR="00066C1E" w:rsidRPr="00066C1E">
              <w:rPr>
                <w:sz w:val="20"/>
                <w:szCs w:val="20"/>
                <w:lang w:val="es-419"/>
              </w:rPr>
              <w:t>n de Proyectos (PAC por sus siglas en inglés)</w:t>
            </w:r>
            <w:r w:rsidRPr="48224A22">
              <w:rPr>
                <w:sz w:val="20"/>
                <w:szCs w:val="20"/>
                <w:lang w:val="es-419"/>
              </w:rPr>
              <w:t xml:space="preserve">; ii) se firme el documento del proyecto; (iii) Las actas del </w:t>
            </w:r>
            <w:r w:rsidR="00066C1E">
              <w:rPr>
                <w:sz w:val="20"/>
                <w:szCs w:val="20"/>
                <w:lang w:val="es-419"/>
              </w:rPr>
              <w:t>Comité de Evaluación de Proyectos (</w:t>
            </w:r>
            <w:r w:rsidRPr="48224A22">
              <w:rPr>
                <w:sz w:val="20"/>
                <w:szCs w:val="20"/>
                <w:lang w:val="es-419"/>
              </w:rPr>
              <w:t>PAC</w:t>
            </w:r>
            <w:r w:rsidR="00066C1E">
              <w:rPr>
                <w:sz w:val="20"/>
                <w:szCs w:val="20"/>
                <w:lang w:val="es-419"/>
              </w:rPr>
              <w:t xml:space="preserve"> por sus siglas en inglés)</w:t>
            </w:r>
            <w:r w:rsidRPr="48224A22">
              <w:rPr>
                <w:sz w:val="20"/>
                <w:szCs w:val="20"/>
                <w:lang w:val="es-419"/>
              </w:rPr>
              <w:t xml:space="preserve"> y el documento del proyecto se adjuntan a la propuesta en Quantum; y iv) se confirme la financiación básica</w:t>
            </w:r>
            <w:r w:rsidR="000968C4">
              <w:rPr>
                <w:sz w:val="20"/>
                <w:szCs w:val="20"/>
                <w:lang w:val="es-419"/>
              </w:rPr>
              <w:t xml:space="preserve"> (“</w:t>
            </w:r>
            <w:r w:rsidR="000968C4" w:rsidRPr="00756410">
              <w:rPr>
                <w:i/>
                <w:iCs/>
                <w:sz w:val="20"/>
                <w:szCs w:val="20"/>
                <w:lang w:val="es-419"/>
              </w:rPr>
              <w:t>core</w:t>
            </w:r>
            <w:r w:rsidR="000968C4">
              <w:rPr>
                <w:sz w:val="20"/>
                <w:szCs w:val="20"/>
                <w:lang w:val="es-419"/>
              </w:rPr>
              <w:t>”)</w:t>
            </w:r>
            <w:r w:rsidRPr="48224A22">
              <w:rPr>
                <w:sz w:val="20"/>
                <w:szCs w:val="20"/>
                <w:lang w:val="es-419"/>
              </w:rPr>
              <w:t xml:space="preserve"> y/o se prevea la financiación complementaria</w:t>
            </w:r>
            <w:r w:rsidR="000968C4">
              <w:rPr>
                <w:sz w:val="20"/>
                <w:szCs w:val="20"/>
                <w:lang w:val="es-419"/>
              </w:rPr>
              <w:t xml:space="preserve"> (“</w:t>
            </w:r>
            <w:r w:rsidR="000968C4" w:rsidRPr="00756410">
              <w:rPr>
                <w:i/>
                <w:iCs/>
                <w:sz w:val="20"/>
                <w:szCs w:val="20"/>
                <w:lang w:val="es-419"/>
              </w:rPr>
              <w:t>non-core</w:t>
            </w:r>
            <w:r w:rsidR="000968C4">
              <w:rPr>
                <w:sz w:val="20"/>
                <w:szCs w:val="20"/>
                <w:lang w:val="es-419"/>
              </w:rPr>
              <w:t>”)</w:t>
            </w:r>
            <w:r w:rsidRPr="48224A22">
              <w:rPr>
                <w:sz w:val="20"/>
                <w:szCs w:val="20"/>
                <w:lang w:val="es-419"/>
              </w:rPr>
              <w:t>.</w:t>
            </w:r>
          </w:p>
        </w:tc>
      </w:tr>
      <w:tr w:rsidR="00FB4635" w:rsidRPr="00C24118" w14:paraId="1E31EFB2" w14:textId="77777777" w:rsidTr="48224A22">
        <w:trPr>
          <w:trHeight w:val="20"/>
        </w:trPr>
        <w:tc>
          <w:tcPr>
            <w:tcW w:w="9895" w:type="dxa"/>
            <w:shd w:val="clear" w:color="auto" w:fill="000000" w:themeFill="text1"/>
          </w:tcPr>
          <w:p w14:paraId="52443855" w14:textId="64760998" w:rsidR="00FB4635" w:rsidRPr="00FB4635" w:rsidRDefault="00FB4635" w:rsidP="008A398C">
            <w:pPr>
              <w:spacing w:after="0" w:line="240" w:lineRule="auto"/>
              <w:rPr>
                <w:b/>
                <w:bCs/>
                <w:sz w:val="20"/>
                <w:szCs w:val="20"/>
              </w:rPr>
            </w:pPr>
            <w:r w:rsidRPr="00FB4635">
              <w:rPr>
                <w:b/>
                <w:bCs/>
                <w:sz w:val="20"/>
                <w:szCs w:val="20"/>
              </w:rPr>
              <w:t>Presupuestos</w:t>
            </w:r>
          </w:p>
        </w:tc>
      </w:tr>
      <w:tr w:rsidR="00FB4635" w:rsidRPr="00773863" w14:paraId="7C2EB7FA" w14:textId="77777777" w:rsidTr="48224A22">
        <w:trPr>
          <w:trHeight w:val="20"/>
        </w:trPr>
        <w:tc>
          <w:tcPr>
            <w:tcW w:w="9895" w:type="dxa"/>
          </w:tcPr>
          <w:p w14:paraId="352233EC" w14:textId="3C90D577" w:rsidR="00FB4635" w:rsidRPr="00756410" w:rsidRDefault="3110E86E" w:rsidP="00756410">
            <w:pPr>
              <w:pStyle w:val="ListParagraph"/>
              <w:numPr>
                <w:ilvl w:val="0"/>
                <w:numId w:val="40"/>
              </w:numPr>
              <w:spacing w:after="0" w:line="240" w:lineRule="auto"/>
              <w:jc w:val="both"/>
              <w:rPr>
                <w:sz w:val="20"/>
                <w:szCs w:val="20"/>
                <w:lang w:val="es-419"/>
              </w:rPr>
            </w:pPr>
            <w:r w:rsidRPr="48224A22">
              <w:rPr>
                <w:b/>
                <w:bCs/>
                <w:sz w:val="20"/>
                <w:szCs w:val="20"/>
                <w:lang w:val="es-419"/>
              </w:rPr>
              <w:t xml:space="preserve">Revisión y análisis de presupuestos: </w:t>
            </w:r>
            <w:r w:rsidR="27634981" w:rsidRPr="48224A22">
              <w:rPr>
                <w:sz w:val="20"/>
                <w:szCs w:val="20"/>
                <w:lang w:val="es-419"/>
              </w:rPr>
              <w:t xml:space="preserve">Dar el visto bueno a </w:t>
            </w:r>
            <w:r w:rsidR="55CD3BFB" w:rsidRPr="48224A22">
              <w:rPr>
                <w:sz w:val="20"/>
                <w:szCs w:val="20"/>
                <w:lang w:val="es-419"/>
              </w:rPr>
              <w:t>los presupuestos de los proyectos de desarrollo, gestionar los presupuestos de los proyectos de gestión y los costes directos del proyecto (DPC</w:t>
            </w:r>
            <w:r w:rsidR="004D3AEF">
              <w:rPr>
                <w:sz w:val="20"/>
                <w:szCs w:val="20"/>
                <w:lang w:val="es-419"/>
              </w:rPr>
              <w:t xml:space="preserve"> o DES/</w:t>
            </w:r>
            <w:r w:rsidR="55CD3BFB" w:rsidRPr="00756410">
              <w:rPr>
                <w:i/>
                <w:iCs/>
                <w:sz w:val="20"/>
                <w:szCs w:val="20"/>
                <w:lang w:val="es-419"/>
              </w:rPr>
              <w:t>Delivery Enabling Services</w:t>
            </w:r>
            <w:r w:rsidR="004D3AEF">
              <w:rPr>
                <w:sz w:val="20"/>
                <w:szCs w:val="20"/>
                <w:lang w:val="es-419"/>
              </w:rPr>
              <w:t>, por sus siglas en inglés</w:t>
            </w:r>
            <w:r w:rsidR="55CD3BFB" w:rsidRPr="48224A22">
              <w:rPr>
                <w:sz w:val="20"/>
                <w:szCs w:val="20"/>
                <w:lang w:val="es-419"/>
              </w:rPr>
              <w:t xml:space="preserve">); preparar y supervisar los presupuestos de los proyectos en el ERP. Proporcionar análisis e informes periódicos sobre las aprobaciones presupuestarias y la situación </w:t>
            </w:r>
            <w:r w:rsidR="006235A4">
              <w:rPr>
                <w:sz w:val="20"/>
                <w:szCs w:val="20"/>
                <w:lang w:val="es-419"/>
              </w:rPr>
              <w:t>financiera</w:t>
            </w:r>
            <w:r w:rsidR="55CD3BFB" w:rsidRPr="48224A22">
              <w:rPr>
                <w:sz w:val="20"/>
                <w:szCs w:val="20"/>
                <w:lang w:val="es-419"/>
              </w:rPr>
              <w:t xml:space="preserve"> de los proyectos de gestión.</w:t>
            </w:r>
          </w:p>
        </w:tc>
      </w:tr>
      <w:tr w:rsidR="00FB4635" w:rsidRPr="006235A4" w14:paraId="08468988" w14:textId="77777777" w:rsidTr="48224A22">
        <w:trPr>
          <w:trHeight w:val="20"/>
        </w:trPr>
        <w:tc>
          <w:tcPr>
            <w:tcW w:w="9895" w:type="dxa"/>
          </w:tcPr>
          <w:p w14:paraId="26F7B77A" w14:textId="093D1343" w:rsidR="00FB4635" w:rsidRPr="00756410" w:rsidRDefault="55CD3BFB" w:rsidP="00756410">
            <w:pPr>
              <w:pStyle w:val="ListParagraph"/>
              <w:numPr>
                <w:ilvl w:val="0"/>
                <w:numId w:val="40"/>
              </w:numPr>
              <w:spacing w:after="0" w:line="240" w:lineRule="auto"/>
              <w:jc w:val="both"/>
              <w:rPr>
                <w:sz w:val="20"/>
                <w:szCs w:val="20"/>
                <w:lang w:val="es-ES"/>
              </w:rPr>
            </w:pPr>
            <w:r w:rsidRPr="48224A22">
              <w:rPr>
                <w:b/>
                <w:bCs/>
                <w:sz w:val="20"/>
                <w:szCs w:val="20"/>
                <w:lang w:val="es-419"/>
              </w:rPr>
              <w:t>Coordinar la preparación de las revisiones presupuestarias requeridas</w:t>
            </w:r>
            <w:r w:rsidRPr="48224A22">
              <w:rPr>
                <w:sz w:val="20"/>
                <w:szCs w:val="20"/>
                <w:lang w:val="es-419"/>
              </w:rPr>
              <w:t xml:space="preserve"> (asegurando la revisión presupuestaria plurianual) dentro de la unidad en el período requerido, asegurando oportunamente los límites de gasto autorizados (ASL</w:t>
            </w:r>
            <w:r w:rsidR="006235A4">
              <w:rPr>
                <w:sz w:val="20"/>
                <w:szCs w:val="20"/>
                <w:lang w:val="es-419"/>
              </w:rPr>
              <w:t xml:space="preserve"> por sus siglas en inglés</w:t>
            </w:r>
            <w:r w:rsidRPr="48224A22">
              <w:rPr>
                <w:sz w:val="20"/>
                <w:szCs w:val="20"/>
                <w:lang w:val="es-419"/>
              </w:rPr>
              <w:t>); y el mantenimiento de registros detallados de los fondos liberados para los proyectos, así como la presentación de informes mensuales de ASL para proyectos complementarios</w:t>
            </w:r>
            <w:r w:rsidR="6B2501C4" w:rsidRPr="48224A22">
              <w:rPr>
                <w:sz w:val="20"/>
                <w:szCs w:val="20"/>
                <w:lang w:val="es-419"/>
              </w:rPr>
              <w:t xml:space="preserve"> </w:t>
            </w:r>
            <w:r w:rsidR="006235A4">
              <w:rPr>
                <w:sz w:val="20"/>
                <w:szCs w:val="20"/>
                <w:lang w:val="es-419"/>
              </w:rPr>
              <w:t>“</w:t>
            </w:r>
            <w:r w:rsidR="6B2501C4" w:rsidRPr="00756410">
              <w:rPr>
                <w:i/>
                <w:iCs/>
                <w:sz w:val="20"/>
                <w:szCs w:val="20"/>
                <w:lang w:val="es-419"/>
              </w:rPr>
              <w:t>non-core</w:t>
            </w:r>
            <w:r w:rsidR="006235A4">
              <w:rPr>
                <w:sz w:val="20"/>
                <w:szCs w:val="20"/>
                <w:lang w:val="es-419"/>
              </w:rPr>
              <w:t>”</w:t>
            </w:r>
            <w:r w:rsidRPr="48224A22">
              <w:rPr>
                <w:sz w:val="20"/>
                <w:szCs w:val="20"/>
                <w:lang w:val="es-419"/>
              </w:rPr>
              <w:t xml:space="preserve"> / FMAM</w:t>
            </w:r>
            <w:r w:rsidR="02853CC6" w:rsidRPr="48224A22">
              <w:rPr>
                <w:sz w:val="20"/>
                <w:szCs w:val="20"/>
                <w:lang w:val="es-419"/>
              </w:rPr>
              <w:t xml:space="preserve"> (GEF por sus siglas en inglés</w:t>
            </w:r>
            <w:r w:rsidR="549CA1E7" w:rsidRPr="48224A22">
              <w:rPr>
                <w:sz w:val="20"/>
                <w:szCs w:val="20"/>
                <w:lang w:val="es-419"/>
              </w:rPr>
              <w:t>)</w:t>
            </w:r>
            <w:r w:rsidR="00E07628">
              <w:rPr>
                <w:sz w:val="20"/>
                <w:szCs w:val="20"/>
                <w:lang w:val="es-419"/>
              </w:rPr>
              <w:t>.</w:t>
            </w:r>
            <w:r w:rsidRPr="48224A22">
              <w:rPr>
                <w:sz w:val="20"/>
                <w:szCs w:val="20"/>
                <w:lang w:val="es-419"/>
              </w:rPr>
              <w:t xml:space="preserve"> </w:t>
            </w:r>
            <w:r w:rsidRPr="00756410">
              <w:rPr>
                <w:sz w:val="20"/>
                <w:szCs w:val="20"/>
                <w:lang w:val="es-ES"/>
              </w:rPr>
              <w:t xml:space="preserve">Implementar mecanismos para eliminar deficiencias en la gestión presupuestaria. </w:t>
            </w:r>
          </w:p>
        </w:tc>
      </w:tr>
      <w:tr w:rsidR="00FB4635" w:rsidRPr="00C24118" w14:paraId="023ABDC2" w14:textId="77777777" w:rsidTr="48224A22">
        <w:trPr>
          <w:trHeight w:val="20"/>
        </w:trPr>
        <w:tc>
          <w:tcPr>
            <w:tcW w:w="9895" w:type="dxa"/>
            <w:shd w:val="clear" w:color="auto" w:fill="000000" w:themeFill="text1"/>
          </w:tcPr>
          <w:p w14:paraId="34497C85" w14:textId="357CE44D" w:rsidR="00FB4635" w:rsidRPr="00C24118" w:rsidRDefault="00FB4635" w:rsidP="008A398C">
            <w:pPr>
              <w:spacing w:after="0" w:line="240" w:lineRule="auto"/>
              <w:rPr>
                <w:b/>
                <w:bCs/>
                <w:sz w:val="20"/>
                <w:szCs w:val="20"/>
              </w:rPr>
            </w:pPr>
            <w:r w:rsidRPr="00C24118">
              <w:rPr>
                <w:b/>
                <w:bCs/>
                <w:sz w:val="20"/>
                <w:szCs w:val="20"/>
              </w:rPr>
              <w:t>Ingresos</w:t>
            </w:r>
          </w:p>
        </w:tc>
      </w:tr>
      <w:tr w:rsidR="004C5FBB" w:rsidRPr="009E3F98" w14:paraId="1AA7352A" w14:textId="77777777" w:rsidTr="48224A22">
        <w:trPr>
          <w:trHeight w:val="20"/>
        </w:trPr>
        <w:tc>
          <w:tcPr>
            <w:tcW w:w="9895" w:type="dxa"/>
          </w:tcPr>
          <w:p w14:paraId="494296FD" w14:textId="5F9AF2FD" w:rsidR="004C5FBB" w:rsidRPr="00756410" w:rsidRDefault="0485A46A">
            <w:pPr>
              <w:pStyle w:val="ListParagraph"/>
              <w:numPr>
                <w:ilvl w:val="0"/>
                <w:numId w:val="47"/>
              </w:numPr>
              <w:spacing w:after="0" w:line="240" w:lineRule="auto"/>
              <w:rPr>
                <w:sz w:val="20"/>
                <w:szCs w:val="20"/>
                <w:lang w:val="es-ES"/>
              </w:rPr>
            </w:pPr>
            <w:r w:rsidRPr="48224A22">
              <w:rPr>
                <w:b/>
                <w:bCs/>
                <w:sz w:val="20"/>
                <w:szCs w:val="20"/>
                <w:lang w:val="es-419"/>
              </w:rPr>
              <w:t>Comunicar información y presentar documentos al BMS/GSSC para registrar las contribuciones, inclu</w:t>
            </w:r>
            <w:r w:rsidR="304C8441" w:rsidRPr="48224A22">
              <w:rPr>
                <w:b/>
                <w:bCs/>
                <w:sz w:val="20"/>
                <w:szCs w:val="20"/>
                <w:lang w:val="es-419"/>
              </w:rPr>
              <w:t xml:space="preserve">yendo el completar </w:t>
            </w:r>
            <w:r w:rsidRPr="48224A22">
              <w:rPr>
                <w:sz w:val="20"/>
                <w:szCs w:val="20"/>
                <w:lang w:val="es-419"/>
              </w:rPr>
              <w:t xml:space="preserve">la información necesaria en Unity/UNAll, la </w:t>
            </w:r>
            <w:r w:rsidR="16FA4469" w:rsidRPr="48224A22">
              <w:rPr>
                <w:sz w:val="20"/>
                <w:szCs w:val="20"/>
                <w:lang w:val="es-419"/>
              </w:rPr>
              <w:t>carga electrónica</w:t>
            </w:r>
            <w:r w:rsidR="142E88C6" w:rsidRPr="48224A22">
              <w:rPr>
                <w:sz w:val="20"/>
                <w:szCs w:val="20"/>
                <w:lang w:val="es-419"/>
              </w:rPr>
              <w:t xml:space="preserve"> </w:t>
            </w:r>
            <w:r w:rsidRPr="48224A22">
              <w:rPr>
                <w:sz w:val="20"/>
                <w:szCs w:val="20"/>
                <w:lang w:val="es-419"/>
              </w:rPr>
              <w:t xml:space="preserve">de acuerdos/documentos firmados y la presentación para su posterior registro por el BMS/GSSC </w:t>
            </w:r>
            <w:r w:rsidRPr="48224A22">
              <w:rPr>
                <w:b/>
                <w:bCs/>
                <w:sz w:val="20"/>
                <w:szCs w:val="20"/>
                <w:lang w:val="es-419"/>
              </w:rPr>
              <w:t xml:space="preserve">inmediatamente después de recibirlos de los </w:t>
            </w:r>
            <w:r w:rsidR="00E07628">
              <w:rPr>
                <w:b/>
                <w:bCs/>
                <w:sz w:val="20"/>
                <w:szCs w:val="20"/>
                <w:lang w:val="es-419"/>
              </w:rPr>
              <w:t>O</w:t>
            </w:r>
            <w:r w:rsidRPr="48224A22">
              <w:rPr>
                <w:b/>
                <w:bCs/>
                <w:sz w:val="20"/>
                <w:szCs w:val="20"/>
                <w:lang w:val="es-419"/>
              </w:rPr>
              <w:t xml:space="preserve">ficiales de </w:t>
            </w:r>
            <w:r w:rsidR="00E07628">
              <w:rPr>
                <w:b/>
                <w:bCs/>
                <w:sz w:val="20"/>
                <w:szCs w:val="20"/>
                <w:lang w:val="es-419"/>
              </w:rPr>
              <w:t>P</w:t>
            </w:r>
            <w:r w:rsidRPr="48224A22">
              <w:rPr>
                <w:b/>
                <w:bCs/>
                <w:sz w:val="20"/>
                <w:szCs w:val="20"/>
                <w:lang w:val="es-419"/>
              </w:rPr>
              <w:t>rogramas</w:t>
            </w:r>
            <w:r w:rsidRPr="48224A22">
              <w:rPr>
                <w:sz w:val="20"/>
                <w:szCs w:val="20"/>
                <w:lang w:val="es-419"/>
              </w:rPr>
              <w:t>. Además, el BMS/GSSC debe ser notificado a través de Unity/</w:t>
            </w:r>
            <w:bookmarkStart w:id="99" w:name="_Int_VkY55Rd0"/>
            <w:r w:rsidRPr="48224A22">
              <w:rPr>
                <w:sz w:val="20"/>
                <w:szCs w:val="20"/>
                <w:lang w:val="es-419"/>
              </w:rPr>
              <w:t>UNAll</w:t>
            </w:r>
            <w:bookmarkEnd w:id="99"/>
            <w:r w:rsidRPr="48224A22">
              <w:rPr>
                <w:sz w:val="20"/>
                <w:szCs w:val="20"/>
                <w:lang w:val="es-419"/>
              </w:rPr>
              <w:t xml:space="preserve"> tan pronto como </w:t>
            </w:r>
            <w:r w:rsidR="094BF158" w:rsidRPr="48224A22">
              <w:rPr>
                <w:sz w:val="20"/>
                <w:szCs w:val="20"/>
                <w:lang w:val="es-419"/>
              </w:rPr>
              <w:t xml:space="preserve">ocurran </w:t>
            </w:r>
            <w:r w:rsidRPr="48224A22">
              <w:rPr>
                <w:sz w:val="20"/>
                <w:szCs w:val="20"/>
                <w:lang w:val="es-419"/>
              </w:rPr>
              <w:t xml:space="preserve">eventos pendientes como depósitos e informes aprobados </w:t>
            </w:r>
            <w:r w:rsidR="00C048BA">
              <w:rPr>
                <w:sz w:val="20"/>
                <w:szCs w:val="20"/>
                <w:lang w:val="es-419"/>
              </w:rPr>
              <w:t xml:space="preserve">a fin de que </w:t>
            </w:r>
            <w:r w:rsidR="007B037B">
              <w:rPr>
                <w:sz w:val="20"/>
                <w:szCs w:val="20"/>
                <w:lang w:val="es-419"/>
              </w:rPr>
              <w:t xml:space="preserve">se </w:t>
            </w:r>
            <w:r w:rsidRPr="48224A22">
              <w:rPr>
                <w:sz w:val="20"/>
                <w:szCs w:val="20"/>
                <w:lang w:val="es-419"/>
              </w:rPr>
              <w:t>pueda actualizar</w:t>
            </w:r>
            <w:r w:rsidR="007B037B">
              <w:rPr>
                <w:sz w:val="20"/>
                <w:szCs w:val="20"/>
                <w:lang w:val="es-419"/>
              </w:rPr>
              <w:t xml:space="preserve"> en Quantum</w:t>
            </w:r>
            <w:r w:rsidR="0DDA0004" w:rsidRPr="48224A22">
              <w:rPr>
                <w:sz w:val="20"/>
                <w:szCs w:val="20"/>
                <w:lang w:val="es-419"/>
              </w:rPr>
              <w:t>.</w:t>
            </w:r>
            <w:r w:rsidRPr="48224A22">
              <w:rPr>
                <w:sz w:val="20"/>
                <w:szCs w:val="20"/>
                <w:lang w:val="es-419"/>
              </w:rPr>
              <w:t xml:space="preserve"> El retraso en la presentación de los acuerdos firmados o la notificación tardía de los acontecimientos al BMS/GSSC al final del año pueden dar lugar a una incorrección </w:t>
            </w:r>
            <w:r w:rsidR="009E3F98">
              <w:rPr>
                <w:sz w:val="20"/>
                <w:szCs w:val="20"/>
                <w:lang w:val="es-419"/>
              </w:rPr>
              <w:t xml:space="preserve">material </w:t>
            </w:r>
            <w:r w:rsidRPr="48224A22">
              <w:rPr>
                <w:sz w:val="20"/>
                <w:szCs w:val="20"/>
                <w:lang w:val="es-419"/>
              </w:rPr>
              <w:t xml:space="preserve">de los ingresos del PNUD en los estados financieros y dar lugar a una </w:t>
            </w:r>
            <w:r w:rsidR="009E3F98">
              <w:rPr>
                <w:sz w:val="20"/>
                <w:szCs w:val="20"/>
                <w:lang w:val="es-419"/>
              </w:rPr>
              <w:t>observación</w:t>
            </w:r>
            <w:r w:rsidR="009E3F98" w:rsidRPr="48224A22">
              <w:rPr>
                <w:sz w:val="20"/>
                <w:szCs w:val="20"/>
                <w:lang w:val="es-419"/>
              </w:rPr>
              <w:t xml:space="preserve"> </w:t>
            </w:r>
            <w:r w:rsidRPr="48224A22">
              <w:rPr>
                <w:sz w:val="20"/>
                <w:szCs w:val="20"/>
                <w:lang w:val="es-419"/>
              </w:rPr>
              <w:t xml:space="preserve">de auditoría. </w:t>
            </w:r>
            <w:r w:rsidRPr="00756410">
              <w:rPr>
                <w:sz w:val="20"/>
                <w:szCs w:val="20"/>
                <w:lang w:val="es-ES"/>
              </w:rPr>
              <w:t xml:space="preserve">Mantener acuerdos de financiamiento y </w:t>
            </w:r>
            <w:r w:rsidR="39D6014B" w:rsidRPr="00756410">
              <w:rPr>
                <w:sz w:val="20"/>
                <w:szCs w:val="20"/>
                <w:lang w:val="es-ES"/>
              </w:rPr>
              <w:t xml:space="preserve">de </w:t>
            </w:r>
            <w:r w:rsidR="43A602E4" w:rsidRPr="00756410">
              <w:rPr>
                <w:sz w:val="20"/>
                <w:szCs w:val="20"/>
                <w:lang w:val="es-ES"/>
              </w:rPr>
              <w:t>fideicomisos</w:t>
            </w:r>
            <w:r w:rsidRPr="00756410">
              <w:rPr>
                <w:sz w:val="20"/>
                <w:szCs w:val="20"/>
                <w:lang w:val="es-ES"/>
              </w:rPr>
              <w:t>.</w:t>
            </w:r>
          </w:p>
        </w:tc>
      </w:tr>
      <w:tr w:rsidR="004C5FBB" w:rsidRPr="00773863" w14:paraId="4FB9AA05" w14:textId="77777777" w:rsidTr="48224A22">
        <w:trPr>
          <w:trHeight w:val="20"/>
        </w:trPr>
        <w:tc>
          <w:tcPr>
            <w:tcW w:w="9895" w:type="dxa"/>
          </w:tcPr>
          <w:p w14:paraId="4D123CF7" w14:textId="3C04599A" w:rsidR="004C5FBB" w:rsidRPr="00756410" w:rsidRDefault="0485A46A" w:rsidP="00756410">
            <w:pPr>
              <w:pStyle w:val="ListParagraph"/>
              <w:numPr>
                <w:ilvl w:val="0"/>
                <w:numId w:val="47"/>
              </w:numPr>
              <w:spacing w:after="0" w:line="240" w:lineRule="auto"/>
              <w:jc w:val="both"/>
              <w:rPr>
                <w:sz w:val="20"/>
                <w:szCs w:val="20"/>
                <w:lang w:val="es-419"/>
              </w:rPr>
            </w:pPr>
            <w:r w:rsidRPr="48224A22">
              <w:rPr>
                <w:b/>
                <w:bCs/>
                <w:sz w:val="20"/>
                <w:szCs w:val="20"/>
                <w:lang w:val="es-419"/>
              </w:rPr>
              <w:t>Garantizar la identificación oportuna de los depósitos y la comunicación a BMS/GSSC:</w:t>
            </w:r>
            <w:r w:rsidRPr="48224A22">
              <w:rPr>
                <w:sz w:val="20"/>
                <w:szCs w:val="20"/>
                <w:lang w:val="es-419"/>
              </w:rPr>
              <w:t xml:space="preserve"> En </w:t>
            </w:r>
            <w:r w:rsidR="0DCC8715" w:rsidRPr="48224A22">
              <w:rPr>
                <w:sz w:val="20"/>
                <w:szCs w:val="20"/>
                <w:lang w:val="es-419"/>
              </w:rPr>
              <w:t xml:space="preserve">cuanto a </w:t>
            </w:r>
            <w:r w:rsidRPr="48224A22">
              <w:rPr>
                <w:sz w:val="20"/>
                <w:szCs w:val="20"/>
                <w:lang w:val="es-419"/>
              </w:rPr>
              <w:t xml:space="preserve"> las </w:t>
            </w:r>
            <w:r w:rsidRPr="48224A22">
              <w:rPr>
                <w:sz w:val="20"/>
                <w:szCs w:val="20"/>
                <w:u w:val="single"/>
                <w:lang w:val="es-419"/>
              </w:rPr>
              <w:t>cuentas bancarias de las oficinas de país</w:t>
            </w:r>
            <w:r w:rsidRPr="48224A22">
              <w:rPr>
                <w:sz w:val="20"/>
                <w:szCs w:val="20"/>
                <w:lang w:val="es-419"/>
              </w:rPr>
              <w:t>, los depósitos son creados por el BMS/GSSC sobre la base de los extractos bancarios de</w:t>
            </w:r>
            <w:r w:rsidR="00D70281">
              <w:rPr>
                <w:sz w:val="20"/>
                <w:szCs w:val="20"/>
                <w:lang w:val="es-419"/>
              </w:rPr>
              <w:t xml:space="preserve"> la </w:t>
            </w:r>
            <w:r w:rsidR="00A421E5" w:rsidRPr="00A421E5">
              <w:rPr>
                <w:sz w:val="20"/>
                <w:szCs w:val="20"/>
                <w:lang w:val="es-419"/>
              </w:rPr>
              <w:t xml:space="preserve">oficina de país </w:t>
            </w:r>
            <w:r w:rsidRPr="48224A22">
              <w:rPr>
                <w:sz w:val="20"/>
                <w:szCs w:val="20"/>
                <w:lang w:val="es-419"/>
              </w:rPr>
              <w:t xml:space="preserve">obtenidos a través del acceso de BMS/GSSC a la banca en línea o sobre la base de los extractos bancarios proporcionados por </w:t>
            </w:r>
            <w:r w:rsidR="004C65A2">
              <w:rPr>
                <w:sz w:val="20"/>
                <w:szCs w:val="20"/>
                <w:lang w:val="es-419"/>
              </w:rPr>
              <w:t>la</w:t>
            </w:r>
            <w:r w:rsidR="004C65A2" w:rsidRPr="48224A22">
              <w:rPr>
                <w:sz w:val="20"/>
                <w:szCs w:val="20"/>
                <w:lang w:val="es-419"/>
              </w:rPr>
              <w:t xml:space="preserve"> </w:t>
            </w:r>
            <w:r w:rsidRPr="48224A22">
              <w:rPr>
                <w:sz w:val="20"/>
                <w:szCs w:val="20"/>
                <w:lang w:val="es-419"/>
              </w:rPr>
              <w:t xml:space="preserve">CO. En los casos en que </w:t>
            </w:r>
            <w:r w:rsidR="004C65A2">
              <w:rPr>
                <w:sz w:val="20"/>
                <w:szCs w:val="20"/>
                <w:lang w:val="es-419"/>
              </w:rPr>
              <w:t>la</w:t>
            </w:r>
            <w:r w:rsidR="004C65A2" w:rsidRPr="48224A22">
              <w:rPr>
                <w:sz w:val="20"/>
                <w:szCs w:val="20"/>
                <w:lang w:val="es-419"/>
              </w:rPr>
              <w:t xml:space="preserve"> </w:t>
            </w:r>
            <w:r w:rsidR="00A421E5" w:rsidRPr="00A421E5">
              <w:rPr>
                <w:sz w:val="20"/>
                <w:szCs w:val="20"/>
                <w:lang w:val="es-419"/>
              </w:rPr>
              <w:t xml:space="preserve">oficina de país </w:t>
            </w:r>
            <w:r w:rsidRPr="48224A22">
              <w:rPr>
                <w:sz w:val="20"/>
                <w:szCs w:val="20"/>
                <w:lang w:val="es-419"/>
              </w:rPr>
              <w:t xml:space="preserve">ha recibido el depósito directamente, </w:t>
            </w:r>
            <w:r w:rsidR="004C65A2">
              <w:rPr>
                <w:sz w:val="20"/>
                <w:szCs w:val="20"/>
                <w:lang w:val="es-419"/>
              </w:rPr>
              <w:t>la</w:t>
            </w:r>
            <w:r w:rsidR="004C65A2" w:rsidRPr="48224A22">
              <w:rPr>
                <w:sz w:val="20"/>
                <w:szCs w:val="20"/>
                <w:lang w:val="es-419"/>
              </w:rPr>
              <w:t xml:space="preserve"> </w:t>
            </w:r>
            <w:r w:rsidR="00A42B86" w:rsidRPr="00A42B86">
              <w:rPr>
                <w:sz w:val="20"/>
                <w:szCs w:val="20"/>
                <w:lang w:val="es-419"/>
              </w:rPr>
              <w:t>oficina de país</w:t>
            </w:r>
            <w:r w:rsidRPr="48224A22">
              <w:rPr>
                <w:sz w:val="20"/>
                <w:szCs w:val="20"/>
                <w:lang w:val="es-419"/>
              </w:rPr>
              <w:t xml:space="preserve"> crea una "solicitud de servicio de creación de depósitos" en Unity/UNAll para que el BMS/GSSC cree y aplique los depósitos recibidos. Es responsabilidad de la oficina / unidad</w:t>
            </w:r>
            <w:r w:rsidR="00A42B86">
              <w:rPr>
                <w:sz w:val="20"/>
                <w:szCs w:val="20"/>
                <w:lang w:val="es-419"/>
              </w:rPr>
              <w:t>,</w:t>
            </w:r>
            <w:r w:rsidRPr="48224A22">
              <w:rPr>
                <w:sz w:val="20"/>
                <w:szCs w:val="20"/>
                <w:lang w:val="es-419"/>
              </w:rPr>
              <w:t xml:space="preserve"> </w:t>
            </w:r>
            <w:r w:rsidR="00A421E5" w:rsidRPr="00A421E5">
              <w:rPr>
                <w:sz w:val="20"/>
                <w:szCs w:val="20"/>
                <w:lang w:val="es-419"/>
              </w:rPr>
              <w:t>oficina de país</w:t>
            </w:r>
            <w:r w:rsidRPr="48224A22">
              <w:rPr>
                <w:sz w:val="20"/>
                <w:szCs w:val="20"/>
                <w:lang w:val="es-419"/>
              </w:rPr>
              <w:t xml:space="preserve"> o HQ comunicar la información del recibo a través de Unity / UNAll. </w:t>
            </w:r>
            <w:r w:rsidRPr="48224A22">
              <w:rPr>
                <w:sz w:val="20"/>
                <w:szCs w:val="20"/>
                <w:u w:val="single"/>
                <w:lang w:val="es-419"/>
              </w:rPr>
              <w:t>Para las cuentas bancarias de la sede</w:t>
            </w:r>
            <w:r w:rsidRPr="48224A22">
              <w:rPr>
                <w:sz w:val="20"/>
                <w:szCs w:val="20"/>
                <w:lang w:val="es-419"/>
              </w:rPr>
              <w:t>: El BMS/GSSC recibe diariamente un "informe de recibos no aplicados" producido por BMS/OFRM/Tesorería que identifica todos los depósitos que se registrarán en Quantum, incluidas las contribuciones de los donantes y los recibos varios. El BMS/GSSC registra los depósitos enumerados en el informe diario de recibos no aplicados en Quantum. Es responsabilidad de la división de la sede comunicar la información de recepción a través de Unity/UNAll.</w:t>
            </w:r>
          </w:p>
        </w:tc>
      </w:tr>
      <w:tr w:rsidR="00FB4635" w:rsidRPr="00773863" w14:paraId="68BC91BE" w14:textId="77777777" w:rsidTr="48224A22">
        <w:trPr>
          <w:trHeight w:val="20"/>
        </w:trPr>
        <w:tc>
          <w:tcPr>
            <w:tcW w:w="9895" w:type="dxa"/>
          </w:tcPr>
          <w:p w14:paraId="0EB2498E" w14:textId="70D564F5" w:rsidR="00FB4635" w:rsidRPr="00756410" w:rsidRDefault="55CD3BFB" w:rsidP="00756410">
            <w:pPr>
              <w:pStyle w:val="ListParagraph"/>
              <w:numPr>
                <w:ilvl w:val="0"/>
                <w:numId w:val="47"/>
              </w:numPr>
              <w:spacing w:after="0" w:line="240" w:lineRule="auto"/>
              <w:jc w:val="both"/>
              <w:rPr>
                <w:sz w:val="20"/>
                <w:szCs w:val="20"/>
                <w:lang w:val="es-419"/>
              </w:rPr>
            </w:pPr>
            <w:r w:rsidRPr="48224A22">
              <w:rPr>
                <w:b/>
                <w:bCs/>
                <w:sz w:val="20"/>
                <w:szCs w:val="20"/>
                <w:lang w:val="es-419"/>
              </w:rPr>
              <w:t>Registrar y conciliar otros ingresos:</w:t>
            </w:r>
            <w:r w:rsidRPr="48224A22">
              <w:rPr>
                <w:sz w:val="20"/>
                <w:szCs w:val="20"/>
                <w:lang w:val="es-419"/>
              </w:rPr>
              <w:t xml:space="preserve"> incluido el pago de GLOC, la contribución en especie de los gobiernos y los ingresos de las agencias a través de</w:t>
            </w:r>
            <w:r w:rsidR="004F55D4">
              <w:rPr>
                <w:sz w:val="20"/>
                <w:szCs w:val="20"/>
                <w:lang w:val="es-419"/>
              </w:rPr>
              <w:t xml:space="preserve"> Lista de Precios Universal (LPU) o la Lista de Precios Local (LPL) (UPL y LPL por sus siglas en inglés)</w:t>
            </w:r>
            <w:r w:rsidRPr="48224A22">
              <w:rPr>
                <w:sz w:val="20"/>
                <w:szCs w:val="20"/>
                <w:lang w:val="es-419"/>
              </w:rPr>
              <w:t xml:space="preserve">. </w:t>
            </w:r>
            <w:r w:rsidR="5AB6FCDC" w:rsidRPr="48224A22">
              <w:rPr>
                <w:sz w:val="20"/>
                <w:szCs w:val="20"/>
                <w:u w:val="single"/>
                <w:lang w:val="es-419"/>
              </w:rPr>
              <w:t>Para las oficinas/unidades con procesos de facturación de agencias agrupadas</w:t>
            </w:r>
            <w:r w:rsidR="773B72EA" w:rsidRPr="48224A22">
              <w:rPr>
                <w:sz w:val="20"/>
                <w:szCs w:val="20"/>
                <w:u w:val="single"/>
                <w:lang w:val="es-419"/>
              </w:rPr>
              <w:t xml:space="preserve"> (</w:t>
            </w:r>
            <w:r w:rsidR="773B72EA" w:rsidRPr="48224A22">
              <w:rPr>
                <w:i/>
                <w:iCs/>
                <w:sz w:val="20"/>
                <w:szCs w:val="20"/>
                <w:u w:val="single"/>
                <w:lang w:val="es-419"/>
              </w:rPr>
              <w:t>clustered)</w:t>
            </w:r>
            <w:r w:rsidR="5AB6FCDC" w:rsidRPr="00756410">
              <w:rPr>
                <w:i/>
                <w:iCs/>
                <w:sz w:val="20"/>
                <w:szCs w:val="20"/>
                <w:lang w:val="es-419"/>
              </w:rPr>
              <w:t>,</w:t>
            </w:r>
            <w:r w:rsidR="00886339">
              <w:rPr>
                <w:i/>
                <w:iCs/>
                <w:sz w:val="20"/>
                <w:szCs w:val="20"/>
                <w:lang w:val="es-419"/>
              </w:rPr>
              <w:t xml:space="preserve"> </w:t>
            </w:r>
            <w:r w:rsidR="00886339" w:rsidRPr="00756410">
              <w:rPr>
                <w:sz w:val="20"/>
                <w:szCs w:val="20"/>
                <w:lang w:val="es-419"/>
              </w:rPr>
              <w:t>el</w:t>
            </w:r>
            <w:r w:rsidR="5AB6FCDC" w:rsidRPr="48224A22">
              <w:rPr>
                <w:sz w:val="20"/>
                <w:szCs w:val="20"/>
                <w:lang w:val="es-419"/>
              </w:rPr>
              <w:t xml:space="preserve"> BMS/GSSC prepara </w:t>
            </w:r>
            <w:r w:rsidR="00433B81">
              <w:rPr>
                <w:sz w:val="20"/>
                <w:szCs w:val="20"/>
                <w:lang w:val="es-419"/>
              </w:rPr>
              <w:t xml:space="preserve">las </w:t>
            </w:r>
            <w:r w:rsidR="5AB6FCDC" w:rsidRPr="48224A22">
              <w:rPr>
                <w:sz w:val="20"/>
                <w:szCs w:val="20"/>
                <w:lang w:val="es-419"/>
              </w:rPr>
              <w:t>facturas de servicios a las agencias de las Naciones Unidas en función de</w:t>
            </w:r>
            <w:r w:rsidR="00473113">
              <w:rPr>
                <w:sz w:val="20"/>
                <w:szCs w:val="20"/>
                <w:lang w:val="es-419"/>
              </w:rPr>
              <w:t xml:space="preserve"> los Acuerdos de Prestación de Servicios (S</w:t>
            </w:r>
            <w:r w:rsidR="5AB6FCDC" w:rsidRPr="48224A22">
              <w:rPr>
                <w:sz w:val="20"/>
                <w:szCs w:val="20"/>
                <w:lang w:val="es-419"/>
              </w:rPr>
              <w:t xml:space="preserve">LA </w:t>
            </w:r>
            <w:r w:rsidR="00473113">
              <w:rPr>
                <w:sz w:val="20"/>
                <w:szCs w:val="20"/>
                <w:lang w:val="es-419"/>
              </w:rPr>
              <w:t xml:space="preserve">por sus siglas en inglés) </w:t>
            </w:r>
            <w:r w:rsidR="5AB6FCDC" w:rsidRPr="48224A22">
              <w:rPr>
                <w:sz w:val="20"/>
                <w:szCs w:val="20"/>
                <w:lang w:val="es-419"/>
              </w:rPr>
              <w:t>firmado</w:t>
            </w:r>
            <w:r w:rsidR="00473113">
              <w:rPr>
                <w:sz w:val="20"/>
                <w:szCs w:val="20"/>
                <w:lang w:val="es-419"/>
              </w:rPr>
              <w:t>s</w:t>
            </w:r>
            <w:r w:rsidR="5AB6FCDC" w:rsidRPr="48224A22">
              <w:rPr>
                <w:sz w:val="20"/>
                <w:szCs w:val="20"/>
                <w:lang w:val="es-419"/>
              </w:rPr>
              <w:t xml:space="preserve"> por </w:t>
            </w:r>
            <w:r w:rsidR="00433B81">
              <w:rPr>
                <w:sz w:val="20"/>
                <w:szCs w:val="20"/>
                <w:lang w:val="es-419"/>
              </w:rPr>
              <w:t xml:space="preserve">la </w:t>
            </w:r>
            <w:r w:rsidR="00A42B86" w:rsidRPr="00A42B86">
              <w:rPr>
                <w:sz w:val="20"/>
                <w:szCs w:val="20"/>
                <w:lang w:val="es-419"/>
              </w:rPr>
              <w:t xml:space="preserve">oficina de país </w:t>
            </w:r>
            <w:r w:rsidR="5AB6FCDC" w:rsidRPr="48224A22">
              <w:rPr>
                <w:sz w:val="20"/>
                <w:szCs w:val="20"/>
                <w:lang w:val="es-419"/>
              </w:rPr>
              <w:t>y</w:t>
            </w:r>
            <w:r w:rsidR="00433B81">
              <w:rPr>
                <w:sz w:val="20"/>
                <w:szCs w:val="20"/>
                <w:lang w:val="es-419"/>
              </w:rPr>
              <w:t xml:space="preserve"> los</w:t>
            </w:r>
            <w:r w:rsidR="5AB6FCDC" w:rsidRPr="48224A22">
              <w:rPr>
                <w:sz w:val="20"/>
                <w:szCs w:val="20"/>
                <w:lang w:val="es-419"/>
              </w:rPr>
              <w:t xml:space="preserve"> LPL negociados, procesa y aplica los ingresos por servicios obtenidos, e informa y concilia los montos de recuperación de costos facturados y aplicados. BMS/GSSC también concilia la cuenta de compensación de servicios (SCA</w:t>
            </w:r>
            <w:r w:rsidR="00473113">
              <w:rPr>
                <w:sz w:val="20"/>
                <w:szCs w:val="20"/>
                <w:lang w:val="es-419"/>
              </w:rPr>
              <w:t xml:space="preserve"> por sus siglas en inglés</w:t>
            </w:r>
            <w:r w:rsidR="5AB6FCDC" w:rsidRPr="48224A22">
              <w:rPr>
                <w:sz w:val="20"/>
                <w:szCs w:val="20"/>
                <w:lang w:val="es-419"/>
              </w:rPr>
              <w:t>). Las oficinas/unidades con procesos de facturación de agencias agrupados</w:t>
            </w:r>
            <w:r w:rsidR="6F4DC434" w:rsidRPr="48224A22">
              <w:rPr>
                <w:sz w:val="20"/>
                <w:szCs w:val="20"/>
                <w:lang w:val="es-419"/>
              </w:rPr>
              <w:t xml:space="preserve"> </w:t>
            </w:r>
            <w:r w:rsidR="6F4DC434" w:rsidRPr="48224A22">
              <w:rPr>
                <w:sz w:val="20"/>
                <w:szCs w:val="20"/>
                <w:u w:val="single"/>
                <w:lang w:val="es-419"/>
              </w:rPr>
              <w:t>(</w:t>
            </w:r>
            <w:r w:rsidR="6F4DC434" w:rsidRPr="48224A22">
              <w:rPr>
                <w:i/>
                <w:iCs/>
                <w:sz w:val="20"/>
                <w:szCs w:val="20"/>
                <w:u w:val="single"/>
                <w:lang w:val="es-419"/>
              </w:rPr>
              <w:t>clustered)</w:t>
            </w:r>
            <w:r w:rsidR="00F55998">
              <w:rPr>
                <w:sz w:val="20"/>
                <w:szCs w:val="20"/>
                <w:lang w:val="es-419"/>
              </w:rPr>
              <w:t xml:space="preserve"> </w:t>
            </w:r>
            <w:r w:rsidR="5AB6FCDC" w:rsidRPr="48224A22">
              <w:rPr>
                <w:sz w:val="20"/>
                <w:szCs w:val="20"/>
                <w:lang w:val="es-419"/>
              </w:rPr>
              <w:t xml:space="preserve">monitorean la aplicación de los ingresos por servicios. </w:t>
            </w:r>
            <w:r w:rsidR="5AB6FCDC" w:rsidRPr="48224A22">
              <w:rPr>
                <w:sz w:val="20"/>
                <w:szCs w:val="20"/>
                <w:u w:val="single"/>
                <w:lang w:val="es-419"/>
              </w:rPr>
              <w:t>Para oficinas/unidades con procesos de facturación de agencia no agrupados</w:t>
            </w:r>
            <w:r w:rsidR="782AAE7A" w:rsidRPr="48224A22">
              <w:rPr>
                <w:sz w:val="20"/>
                <w:szCs w:val="20"/>
                <w:u w:val="single"/>
                <w:lang w:val="es-419"/>
              </w:rPr>
              <w:t xml:space="preserve"> (</w:t>
            </w:r>
            <w:r w:rsidR="006A0D67">
              <w:rPr>
                <w:sz w:val="20"/>
                <w:szCs w:val="20"/>
                <w:u w:val="single"/>
                <w:lang w:val="es-419"/>
              </w:rPr>
              <w:t>n</w:t>
            </w:r>
            <w:r w:rsidR="782AAE7A" w:rsidRPr="48224A22">
              <w:rPr>
                <w:sz w:val="20"/>
                <w:szCs w:val="20"/>
                <w:u w:val="single"/>
                <w:lang w:val="es-419"/>
              </w:rPr>
              <w:t>on-</w:t>
            </w:r>
            <w:r w:rsidR="782AAE7A" w:rsidRPr="48224A22">
              <w:rPr>
                <w:i/>
                <w:iCs/>
                <w:sz w:val="20"/>
                <w:szCs w:val="20"/>
                <w:u w:val="single"/>
                <w:lang w:val="es-419"/>
              </w:rPr>
              <w:t>clustered)</w:t>
            </w:r>
            <w:r w:rsidR="5AB6FCDC" w:rsidRPr="48224A22">
              <w:rPr>
                <w:sz w:val="20"/>
                <w:szCs w:val="20"/>
                <w:lang w:val="es-419"/>
              </w:rPr>
              <w:t>, todas las acciones de facturación de servicios de agencia se realizan dentro de la oficina/unidad.</w:t>
            </w:r>
          </w:p>
        </w:tc>
      </w:tr>
      <w:tr w:rsidR="00D43A2F" w:rsidRPr="00773863" w14:paraId="7A29B514" w14:textId="77777777" w:rsidTr="48224A22">
        <w:trPr>
          <w:trHeight w:val="20"/>
        </w:trPr>
        <w:tc>
          <w:tcPr>
            <w:tcW w:w="9895" w:type="dxa"/>
          </w:tcPr>
          <w:p w14:paraId="260A74A5" w14:textId="79D837C3" w:rsidR="00D43A2F" w:rsidRPr="00756410" w:rsidRDefault="5A6CC89F" w:rsidP="00756410">
            <w:pPr>
              <w:pStyle w:val="ListParagraph"/>
              <w:numPr>
                <w:ilvl w:val="0"/>
                <w:numId w:val="39"/>
              </w:numPr>
              <w:spacing w:after="0" w:line="240" w:lineRule="auto"/>
              <w:jc w:val="both"/>
              <w:rPr>
                <w:sz w:val="20"/>
                <w:szCs w:val="20"/>
                <w:lang w:val="es-419"/>
              </w:rPr>
            </w:pPr>
            <w:r w:rsidRPr="48224A22">
              <w:rPr>
                <w:b/>
                <w:bCs/>
                <w:sz w:val="20"/>
                <w:szCs w:val="20"/>
                <w:lang w:val="es-419"/>
              </w:rPr>
              <w:t>Registrar ingresos varios:</w:t>
            </w:r>
            <w:r w:rsidRPr="48224A22">
              <w:rPr>
                <w:sz w:val="20"/>
                <w:szCs w:val="20"/>
                <w:lang w:val="es-419"/>
              </w:rPr>
              <w:t xml:space="preserve"> El personal de finanzas prepara una "solicitud de servicio de creación de depósitos" a través de Unity/UNAall para presentarla al BMS/GSSC para registrar en Quantum todos los ingresos diversos que puedan resultar del reembolso de actividades personales, como llamadas telefónicas personales o pequeñas cantidades de efectivo recibidas en </w:t>
            </w:r>
            <w:r w:rsidR="00473113">
              <w:rPr>
                <w:sz w:val="20"/>
                <w:szCs w:val="20"/>
                <w:lang w:val="es-419"/>
              </w:rPr>
              <w:t xml:space="preserve">la </w:t>
            </w:r>
            <w:r w:rsidR="00A42B86" w:rsidRPr="00A42B86">
              <w:rPr>
                <w:sz w:val="20"/>
                <w:szCs w:val="20"/>
                <w:lang w:val="es-419"/>
              </w:rPr>
              <w:t>oficina de país</w:t>
            </w:r>
            <w:r w:rsidRPr="48224A22">
              <w:rPr>
                <w:sz w:val="20"/>
                <w:szCs w:val="20"/>
                <w:lang w:val="es-419"/>
              </w:rPr>
              <w:t>. Para obtener más orientación sobre la gestión de recibos, consulte</w:t>
            </w:r>
            <w:r w:rsidR="00D62585">
              <w:rPr>
                <w:sz w:val="20"/>
                <w:szCs w:val="20"/>
                <w:lang w:val="es-419"/>
              </w:rPr>
              <w:t xml:space="preserve"> la política de “</w:t>
            </w:r>
            <w:hyperlink r:id="rId138" w:history="1">
              <w:r w:rsidR="00F64B72" w:rsidRPr="00773863">
                <w:rPr>
                  <w:rStyle w:val="Hyperlink"/>
                  <w:i/>
                  <w:lang w:val="es-419"/>
                </w:rPr>
                <w:t>Tramitación de Efectivo y Recibos</w:t>
              </w:r>
            </w:hyperlink>
            <w:r w:rsidR="00F64B72">
              <w:rPr>
                <w:sz w:val="20"/>
                <w:szCs w:val="20"/>
                <w:lang w:val="es-419"/>
              </w:rPr>
              <w:t xml:space="preserve">” </w:t>
            </w:r>
            <w:r w:rsidR="00D62585">
              <w:rPr>
                <w:sz w:val="20"/>
                <w:szCs w:val="20"/>
                <w:lang w:val="es-419"/>
              </w:rPr>
              <w:t>del POPP</w:t>
            </w:r>
            <w:r w:rsidRPr="48224A22">
              <w:rPr>
                <w:sz w:val="20"/>
                <w:szCs w:val="20"/>
                <w:lang w:val="es-419"/>
              </w:rPr>
              <w:t xml:space="preserve"> </w:t>
            </w:r>
            <w:r w:rsidR="00F64B72">
              <w:rPr>
                <w:sz w:val="20"/>
                <w:szCs w:val="20"/>
                <w:lang w:val="es-419"/>
              </w:rPr>
              <w:t xml:space="preserve">y </w:t>
            </w:r>
            <w:r w:rsidRPr="00756410">
              <w:rPr>
                <w:sz w:val="20"/>
                <w:szCs w:val="20"/>
                <w:lang w:val="es-419"/>
              </w:rPr>
              <w:t xml:space="preserve">el </w:t>
            </w:r>
            <w:hyperlink r:id="rId139">
              <w:r w:rsidRPr="00756410">
                <w:rPr>
                  <w:rStyle w:val="Hyperlink"/>
                  <w:sz w:val="20"/>
                  <w:szCs w:val="20"/>
                  <w:lang w:val="es-419"/>
                </w:rPr>
                <w:t>SOP de</w:t>
              </w:r>
              <w:r w:rsidR="00F64B72">
                <w:rPr>
                  <w:rStyle w:val="Hyperlink"/>
                  <w:sz w:val="20"/>
                  <w:szCs w:val="20"/>
                  <w:lang w:val="es-419"/>
                </w:rPr>
                <w:t>l</w:t>
              </w:r>
              <w:r w:rsidRPr="00756410">
                <w:rPr>
                  <w:rStyle w:val="Hyperlink"/>
                  <w:sz w:val="20"/>
                  <w:szCs w:val="20"/>
                  <w:lang w:val="es-419"/>
                </w:rPr>
                <w:t xml:space="preserve"> BMS/GSSC sobre gestión de ingresos</w:t>
              </w:r>
            </w:hyperlink>
            <w:r w:rsidRPr="00756410">
              <w:rPr>
                <w:sz w:val="20"/>
                <w:szCs w:val="20"/>
                <w:lang w:val="es-419"/>
              </w:rPr>
              <w:t>.</w:t>
            </w:r>
          </w:p>
        </w:tc>
      </w:tr>
      <w:tr w:rsidR="00D43A2F" w:rsidRPr="00773863" w14:paraId="30015433" w14:textId="77777777" w:rsidTr="48224A22">
        <w:trPr>
          <w:trHeight w:val="20"/>
        </w:trPr>
        <w:tc>
          <w:tcPr>
            <w:tcW w:w="9895" w:type="dxa"/>
          </w:tcPr>
          <w:p w14:paraId="692F8EC2" w14:textId="6397A4ED" w:rsidR="00D43A2F" w:rsidRPr="00756410" w:rsidRDefault="5A6CC89F" w:rsidP="00756410">
            <w:pPr>
              <w:pStyle w:val="ListParagraph"/>
              <w:numPr>
                <w:ilvl w:val="0"/>
                <w:numId w:val="39"/>
              </w:numPr>
              <w:spacing w:after="0" w:line="240" w:lineRule="auto"/>
              <w:jc w:val="both"/>
              <w:rPr>
                <w:b/>
                <w:bCs/>
                <w:sz w:val="20"/>
                <w:szCs w:val="20"/>
                <w:lang w:val="es-419"/>
              </w:rPr>
            </w:pPr>
            <w:r w:rsidRPr="48224A22">
              <w:rPr>
                <w:b/>
                <w:bCs/>
                <w:sz w:val="20"/>
                <w:szCs w:val="20"/>
                <w:lang w:val="es-419"/>
              </w:rPr>
              <w:lastRenderedPageBreak/>
              <w:t>Mantenimiento de las cuentas por cobrar y seguimiento de las contribuciones:</w:t>
            </w:r>
            <w:r w:rsidRPr="48224A22">
              <w:rPr>
                <w:sz w:val="20"/>
                <w:szCs w:val="20"/>
                <w:lang w:val="es-419"/>
              </w:rPr>
              <w:t xml:space="preserve"> En el caso de las oficinas/dependencias con procesos de gestión de cuentas por cobrar agrupados</w:t>
            </w:r>
            <w:r w:rsidR="5A14E9E6" w:rsidRPr="48224A22">
              <w:rPr>
                <w:sz w:val="20"/>
                <w:szCs w:val="20"/>
                <w:lang w:val="es-419"/>
              </w:rPr>
              <w:t xml:space="preserve"> </w:t>
            </w:r>
            <w:r w:rsidR="5A14E9E6" w:rsidRPr="48224A22">
              <w:rPr>
                <w:sz w:val="20"/>
                <w:szCs w:val="20"/>
                <w:u w:val="single"/>
                <w:lang w:val="es-419"/>
              </w:rPr>
              <w:t>(</w:t>
            </w:r>
            <w:r w:rsidR="5A14E9E6" w:rsidRPr="48224A22">
              <w:rPr>
                <w:i/>
                <w:iCs/>
                <w:sz w:val="20"/>
                <w:szCs w:val="20"/>
                <w:u w:val="single"/>
                <w:lang w:val="es-419"/>
              </w:rPr>
              <w:t>clustered)</w:t>
            </w:r>
            <w:r w:rsidRPr="48224A22">
              <w:rPr>
                <w:sz w:val="20"/>
                <w:szCs w:val="20"/>
                <w:lang w:val="es-419"/>
              </w:rPr>
              <w:t>, el BMS/GSSC  exam</w:t>
            </w:r>
            <w:r w:rsidR="44160497" w:rsidRPr="48224A22">
              <w:rPr>
                <w:sz w:val="20"/>
                <w:szCs w:val="20"/>
                <w:lang w:val="es-419"/>
              </w:rPr>
              <w:t xml:space="preserve">ina y lleva </w:t>
            </w:r>
            <w:r w:rsidR="00503C37" w:rsidRPr="48224A22">
              <w:rPr>
                <w:sz w:val="20"/>
                <w:szCs w:val="20"/>
                <w:lang w:val="es-419"/>
              </w:rPr>
              <w:t>a cabo</w:t>
            </w:r>
            <w:r w:rsidR="44160497" w:rsidRPr="48224A22">
              <w:rPr>
                <w:sz w:val="20"/>
                <w:szCs w:val="20"/>
                <w:lang w:val="es-419"/>
              </w:rPr>
              <w:t xml:space="preserve"> </w:t>
            </w:r>
            <w:r w:rsidRPr="48224A22">
              <w:rPr>
                <w:sz w:val="20"/>
                <w:szCs w:val="20"/>
                <w:lang w:val="es-419"/>
              </w:rPr>
              <w:t xml:space="preserve">análisis periódicos de: i) las cuentas por cobrar pendientes (tanto de los donantes como de otras cuentas por cobrar, como las cuentas por cobrar del personal); y ii) los </w:t>
            </w:r>
            <w:r w:rsidR="21404E3B" w:rsidRPr="48224A22">
              <w:rPr>
                <w:sz w:val="20"/>
                <w:szCs w:val="20"/>
                <w:lang w:val="es-419"/>
              </w:rPr>
              <w:t xml:space="preserve">eventos </w:t>
            </w:r>
            <w:r w:rsidRPr="48224A22">
              <w:rPr>
                <w:sz w:val="20"/>
                <w:szCs w:val="20"/>
                <w:lang w:val="es-419"/>
              </w:rPr>
              <w:t>pendientes o vencidos y colabora con la oficina o dependencia solicitante en la resolución. El BMS/GSSC también</w:t>
            </w:r>
            <w:r w:rsidR="00C2552B">
              <w:rPr>
                <w:sz w:val="20"/>
                <w:szCs w:val="20"/>
                <w:lang w:val="es-419"/>
              </w:rPr>
              <w:t xml:space="preserve"> </w:t>
            </w:r>
            <w:r w:rsidRPr="00756410">
              <w:rPr>
                <w:sz w:val="20"/>
                <w:szCs w:val="20"/>
                <w:lang w:val="es-419"/>
              </w:rPr>
              <w:t xml:space="preserve">concilia el libro mayor </w:t>
            </w:r>
            <w:r w:rsidR="00092BE3">
              <w:rPr>
                <w:sz w:val="20"/>
                <w:szCs w:val="20"/>
                <w:lang w:val="es-419"/>
              </w:rPr>
              <w:t xml:space="preserve">de las cuentas por cobrar y el saldo de las </w:t>
            </w:r>
            <w:r w:rsidRPr="00756410">
              <w:rPr>
                <w:sz w:val="20"/>
                <w:szCs w:val="20"/>
                <w:lang w:val="es-419"/>
              </w:rPr>
              <w:t>cuentas. Para oficinas/unidades con procesos de gestión de cuentas por cobrar no agrupados</w:t>
            </w:r>
            <w:r w:rsidR="4EF95CDC" w:rsidRPr="00756410">
              <w:rPr>
                <w:sz w:val="20"/>
                <w:szCs w:val="20"/>
                <w:lang w:val="es-419"/>
              </w:rPr>
              <w:t xml:space="preserve"> </w:t>
            </w:r>
            <w:r w:rsidR="4EF95CDC" w:rsidRPr="00756410">
              <w:rPr>
                <w:sz w:val="20"/>
                <w:szCs w:val="20"/>
                <w:u w:val="single"/>
                <w:lang w:val="es-419"/>
              </w:rPr>
              <w:t>(</w:t>
            </w:r>
            <w:r w:rsidR="4EF95CDC" w:rsidRPr="00756410">
              <w:rPr>
                <w:i/>
                <w:iCs/>
                <w:sz w:val="20"/>
                <w:szCs w:val="20"/>
                <w:u w:val="single"/>
                <w:lang w:val="es-419"/>
              </w:rPr>
              <w:t>non-clustered)</w:t>
            </w:r>
            <w:r w:rsidRPr="00756410">
              <w:rPr>
                <w:sz w:val="20"/>
                <w:szCs w:val="20"/>
                <w:lang w:val="es-419"/>
              </w:rPr>
              <w:t xml:space="preserve">, </w:t>
            </w:r>
            <w:r w:rsidR="007D10F5">
              <w:rPr>
                <w:sz w:val="20"/>
                <w:szCs w:val="20"/>
                <w:lang w:val="es-419"/>
              </w:rPr>
              <w:t>el seguimiento, recaudación u otro tipo de tratamiento de las cuentas por cobrar lo lleva a cabo el personal de la oficina</w:t>
            </w:r>
            <w:r w:rsidRPr="00756410">
              <w:rPr>
                <w:sz w:val="20"/>
                <w:szCs w:val="20"/>
                <w:lang w:val="es-419"/>
              </w:rPr>
              <w:t>/unidad.</w:t>
            </w:r>
          </w:p>
        </w:tc>
      </w:tr>
      <w:tr w:rsidR="00D43A2F" w:rsidRPr="00773863" w14:paraId="541498D5" w14:textId="77777777" w:rsidTr="48224A22">
        <w:trPr>
          <w:trHeight w:val="20"/>
        </w:trPr>
        <w:tc>
          <w:tcPr>
            <w:tcW w:w="9895" w:type="dxa"/>
          </w:tcPr>
          <w:p w14:paraId="6365D120" w14:textId="1893C327" w:rsidR="00D43A2F" w:rsidRPr="00756410" w:rsidRDefault="0B36372A" w:rsidP="00756410">
            <w:pPr>
              <w:pStyle w:val="ListParagraph"/>
              <w:numPr>
                <w:ilvl w:val="0"/>
                <w:numId w:val="39"/>
              </w:numPr>
              <w:spacing w:after="0" w:line="240" w:lineRule="auto"/>
              <w:jc w:val="both"/>
              <w:rPr>
                <w:b/>
                <w:bCs/>
                <w:sz w:val="20"/>
                <w:szCs w:val="20"/>
                <w:lang w:val="es-419"/>
              </w:rPr>
            </w:pPr>
            <w:r w:rsidRPr="48224A22">
              <w:rPr>
                <w:b/>
                <w:bCs/>
                <w:sz w:val="20"/>
                <w:szCs w:val="20"/>
                <w:lang w:val="es-419"/>
              </w:rPr>
              <w:t>Gestion</w:t>
            </w:r>
            <w:r w:rsidR="002925D0">
              <w:rPr>
                <w:b/>
                <w:bCs/>
                <w:sz w:val="20"/>
                <w:szCs w:val="20"/>
                <w:lang w:val="es-419"/>
              </w:rPr>
              <w:t xml:space="preserve">ar </w:t>
            </w:r>
            <w:r w:rsidRPr="48224A22">
              <w:rPr>
                <w:b/>
                <w:bCs/>
                <w:sz w:val="20"/>
                <w:szCs w:val="20"/>
                <w:lang w:val="es-419"/>
              </w:rPr>
              <w:t>las reclamaciones de IVA</w:t>
            </w:r>
            <w:r w:rsidR="00C85A1A">
              <w:rPr>
                <w:b/>
                <w:bCs/>
                <w:sz w:val="20"/>
                <w:szCs w:val="20"/>
                <w:lang w:val="es-419"/>
              </w:rPr>
              <w:t xml:space="preserve"> (VAT por sus siglas en inglés)</w:t>
            </w:r>
            <w:r w:rsidRPr="48224A22">
              <w:rPr>
                <w:b/>
                <w:bCs/>
                <w:sz w:val="20"/>
                <w:szCs w:val="20"/>
                <w:lang w:val="es-419"/>
              </w:rPr>
              <w:t xml:space="preserve">: </w:t>
            </w:r>
            <w:r w:rsidR="5A6CC89F" w:rsidRPr="48224A22">
              <w:rPr>
                <w:sz w:val="20"/>
                <w:szCs w:val="20"/>
                <w:lang w:val="es-419"/>
              </w:rPr>
              <w:t>Garanti</w:t>
            </w:r>
            <w:r w:rsidR="1B6A6214" w:rsidRPr="48224A22">
              <w:rPr>
                <w:sz w:val="20"/>
                <w:szCs w:val="20"/>
                <w:lang w:val="es-419"/>
              </w:rPr>
              <w:t>zar</w:t>
            </w:r>
            <w:r w:rsidR="5A6CC89F" w:rsidRPr="48224A22">
              <w:rPr>
                <w:sz w:val="20"/>
                <w:szCs w:val="20"/>
                <w:lang w:val="es-419"/>
              </w:rPr>
              <w:t xml:space="preserve"> el registro, la conciliación y la presentación </w:t>
            </w:r>
            <w:r w:rsidR="5964D421" w:rsidRPr="48224A22">
              <w:rPr>
                <w:sz w:val="20"/>
                <w:szCs w:val="20"/>
                <w:lang w:val="es-419"/>
              </w:rPr>
              <w:t>oportuna</w:t>
            </w:r>
            <w:r w:rsidR="00C85A1A">
              <w:rPr>
                <w:sz w:val="20"/>
                <w:szCs w:val="20"/>
                <w:lang w:val="es-419"/>
              </w:rPr>
              <w:t xml:space="preserve"> </w:t>
            </w:r>
            <w:r w:rsidR="5A6CC89F" w:rsidRPr="48224A22">
              <w:rPr>
                <w:sz w:val="20"/>
                <w:szCs w:val="20"/>
                <w:lang w:val="es-419"/>
              </w:rPr>
              <w:t>de las reclamaciones de IVA con la autoridad fiscal pertinente y ha</w:t>
            </w:r>
            <w:r w:rsidR="00C85A1A">
              <w:rPr>
                <w:sz w:val="20"/>
                <w:szCs w:val="20"/>
                <w:lang w:val="es-419"/>
              </w:rPr>
              <w:t>cer</w:t>
            </w:r>
            <w:r w:rsidR="5A6CC89F" w:rsidRPr="48224A22">
              <w:rPr>
                <w:sz w:val="20"/>
                <w:szCs w:val="20"/>
                <w:lang w:val="es-419"/>
              </w:rPr>
              <w:t xml:space="preserve"> un seguimiento de los reembolsos de IVA.</w:t>
            </w:r>
          </w:p>
        </w:tc>
      </w:tr>
      <w:tr w:rsidR="00FB4635" w:rsidRPr="00C24118" w14:paraId="1D45811E" w14:textId="77777777" w:rsidTr="48224A22">
        <w:trPr>
          <w:trHeight w:val="20"/>
        </w:trPr>
        <w:tc>
          <w:tcPr>
            <w:tcW w:w="9895" w:type="dxa"/>
            <w:shd w:val="clear" w:color="auto" w:fill="000000" w:themeFill="text1"/>
          </w:tcPr>
          <w:p w14:paraId="021FE94B" w14:textId="1A001F6A" w:rsidR="00FB4635" w:rsidRPr="00C24118" w:rsidRDefault="00FB4635" w:rsidP="008A398C">
            <w:pPr>
              <w:spacing w:after="0" w:line="240" w:lineRule="auto"/>
              <w:rPr>
                <w:b/>
                <w:bCs/>
                <w:sz w:val="20"/>
                <w:szCs w:val="20"/>
              </w:rPr>
            </w:pPr>
            <w:r w:rsidRPr="27454D58">
              <w:rPr>
                <w:b/>
                <w:bCs/>
                <w:sz w:val="20"/>
                <w:szCs w:val="20"/>
              </w:rPr>
              <w:t>Recuperación de costos</w:t>
            </w:r>
          </w:p>
        </w:tc>
      </w:tr>
      <w:tr w:rsidR="00FB4635" w:rsidRPr="00773863" w14:paraId="517500C0" w14:textId="77777777" w:rsidTr="48224A22">
        <w:trPr>
          <w:trHeight w:val="20"/>
        </w:trPr>
        <w:tc>
          <w:tcPr>
            <w:tcW w:w="9895" w:type="dxa"/>
          </w:tcPr>
          <w:p w14:paraId="0D640734" w14:textId="2C59E04B" w:rsidR="00FB4635" w:rsidRPr="00756410" w:rsidRDefault="55CD3BFB" w:rsidP="00756410">
            <w:pPr>
              <w:pStyle w:val="ListParagraph"/>
              <w:numPr>
                <w:ilvl w:val="0"/>
                <w:numId w:val="41"/>
              </w:numPr>
              <w:spacing w:after="0" w:line="240" w:lineRule="auto"/>
              <w:jc w:val="both"/>
              <w:rPr>
                <w:sz w:val="20"/>
                <w:szCs w:val="20"/>
                <w:lang w:val="es-419"/>
              </w:rPr>
            </w:pPr>
            <w:r w:rsidRPr="48224A22">
              <w:rPr>
                <w:b/>
                <w:bCs/>
                <w:sz w:val="20"/>
                <w:szCs w:val="20"/>
                <w:lang w:val="es-419"/>
              </w:rPr>
              <w:t>Organizar mecanismos de recuperación de costos y DPC/DES</w:t>
            </w:r>
            <w:r w:rsidRPr="48224A22">
              <w:rPr>
                <w:sz w:val="20"/>
                <w:szCs w:val="20"/>
                <w:lang w:val="es-419"/>
              </w:rPr>
              <w:t xml:space="preserve"> </w:t>
            </w:r>
            <w:r w:rsidR="00C85A1A">
              <w:rPr>
                <w:sz w:val="20"/>
                <w:szCs w:val="20"/>
                <w:lang w:val="es-419"/>
              </w:rPr>
              <w:t xml:space="preserve">(por sus siglas en inglés) </w:t>
            </w:r>
            <w:r w:rsidRPr="48224A22">
              <w:rPr>
                <w:sz w:val="20"/>
                <w:szCs w:val="20"/>
                <w:lang w:val="es-419"/>
              </w:rPr>
              <w:t>para los servicios prestados por el PNUD, asegurando la preparación de facturas proforma para las agencias de la ONU y el monitoreo a través del sistema de seguimiento de ERP. Asegurar que las contribuciones financieras de participación en la financiación de los gastos se transfieran adecuadamente al PNUD de manera oportuna.</w:t>
            </w:r>
          </w:p>
        </w:tc>
      </w:tr>
      <w:tr w:rsidR="00FB4635" w:rsidRPr="00773863" w14:paraId="01F9D31F" w14:textId="77777777" w:rsidTr="48224A22">
        <w:trPr>
          <w:trHeight w:val="20"/>
        </w:trPr>
        <w:tc>
          <w:tcPr>
            <w:tcW w:w="9895" w:type="dxa"/>
          </w:tcPr>
          <w:p w14:paraId="7C23BC40" w14:textId="43BBE425" w:rsidR="00FB4635" w:rsidRPr="00756410" w:rsidRDefault="55CD3BFB" w:rsidP="00756410">
            <w:pPr>
              <w:pStyle w:val="ListParagraph"/>
              <w:numPr>
                <w:ilvl w:val="0"/>
                <w:numId w:val="41"/>
              </w:numPr>
              <w:spacing w:after="0" w:line="240" w:lineRule="auto"/>
              <w:jc w:val="both"/>
              <w:rPr>
                <w:sz w:val="20"/>
                <w:szCs w:val="20"/>
                <w:lang w:val="es-419"/>
              </w:rPr>
            </w:pPr>
            <w:r w:rsidRPr="48224A22">
              <w:rPr>
                <w:b/>
                <w:bCs/>
                <w:sz w:val="20"/>
                <w:szCs w:val="20"/>
                <w:lang w:val="es-419"/>
              </w:rPr>
              <w:t xml:space="preserve">Preparar oportunamente facturas de recuperación de costos y DPC/DES en el ERP (para agencias </w:t>
            </w:r>
            <w:r w:rsidR="00FA7FFA">
              <w:rPr>
                <w:b/>
                <w:bCs/>
                <w:sz w:val="20"/>
                <w:szCs w:val="20"/>
                <w:lang w:val="es-419"/>
              </w:rPr>
              <w:t>que utilicen Quantum</w:t>
            </w:r>
            <w:r w:rsidRPr="48224A22">
              <w:rPr>
                <w:b/>
                <w:bCs/>
                <w:sz w:val="20"/>
                <w:szCs w:val="20"/>
                <w:lang w:val="es-419"/>
              </w:rPr>
              <w:t xml:space="preserve">) / registrar autorizaciones financieras y cumplimiento de solicitudes de servicios de la agencia en el portal de servicios de la agencia (para SCA) para recuperar los costos de los servicios prestados por el PNUD. </w:t>
            </w:r>
            <w:r w:rsidR="755CAAE6" w:rsidRPr="48224A22">
              <w:rPr>
                <w:sz w:val="20"/>
                <w:szCs w:val="20"/>
                <w:lang w:val="es-419"/>
              </w:rPr>
              <w:t>Implement</w:t>
            </w:r>
            <w:r w:rsidR="00BD0422">
              <w:rPr>
                <w:sz w:val="20"/>
                <w:szCs w:val="20"/>
                <w:lang w:val="es-419"/>
              </w:rPr>
              <w:t>ar</w:t>
            </w:r>
            <w:r w:rsidR="755CAAE6" w:rsidRPr="48224A22">
              <w:rPr>
                <w:sz w:val="20"/>
                <w:szCs w:val="20"/>
                <w:lang w:val="es-419"/>
              </w:rPr>
              <w:t xml:space="preserve"> un sistema de seguimiento de ingresos y ha</w:t>
            </w:r>
            <w:r w:rsidR="00BD0422">
              <w:rPr>
                <w:sz w:val="20"/>
                <w:szCs w:val="20"/>
                <w:lang w:val="es-419"/>
              </w:rPr>
              <w:t>cer</w:t>
            </w:r>
            <w:r w:rsidR="755CAAE6" w:rsidRPr="48224A22">
              <w:rPr>
                <w:sz w:val="20"/>
                <w:szCs w:val="20"/>
                <w:lang w:val="es-419"/>
              </w:rPr>
              <w:t xml:space="preserve"> un seguimiento de la recuperación de costos. Establecer criterios para prorratear las contribuciones de los organismos a la cuenta de servicios comunes, preparar y modificar el presupuesto de servicios comunes y hacer un seguimiento de la recuperación oportuna de los pagos. </w:t>
            </w:r>
            <w:r w:rsidR="0C5CD95C" w:rsidRPr="48224A22">
              <w:rPr>
                <w:sz w:val="20"/>
                <w:szCs w:val="20"/>
                <w:u w:val="single"/>
                <w:lang w:val="es-419"/>
              </w:rPr>
              <w:t>Para las oficinas/unidades con procesos de Administración de Servicios Comunes agrupados</w:t>
            </w:r>
            <w:r w:rsidR="4AF2FA41" w:rsidRPr="48224A22">
              <w:rPr>
                <w:sz w:val="20"/>
                <w:szCs w:val="20"/>
                <w:u w:val="single"/>
                <w:lang w:val="es-419"/>
              </w:rPr>
              <w:t xml:space="preserve"> (</w:t>
            </w:r>
            <w:r w:rsidR="4AF2FA41" w:rsidRPr="48224A22">
              <w:rPr>
                <w:i/>
                <w:iCs/>
                <w:sz w:val="20"/>
                <w:szCs w:val="20"/>
                <w:u w:val="single"/>
                <w:lang w:val="es-419"/>
              </w:rPr>
              <w:t>clustered)</w:t>
            </w:r>
            <w:r w:rsidR="0C5CD95C" w:rsidRPr="48224A22">
              <w:rPr>
                <w:sz w:val="20"/>
                <w:szCs w:val="20"/>
                <w:lang w:val="es-419"/>
              </w:rPr>
              <w:t xml:space="preserve">, el BMS/GSSC realiza la gestión, administración y presentación de informes de servicios comunes de las agencias de las Naciones Unidas, incluida la realización de facturas anticipadas a las agencias antes de recibir los pagos/fondos; el registro de todas las transacciones relacionadas con proyectos (Otras líneas de servicios - AP, ZDI, depósitos), el monitoreo y seguimiento de proyectos y gastos presupuestarios (entidades de las Naciones Unidas); y la preparación de informes periódicos para las agencias de las Naciones Unidas. </w:t>
            </w:r>
            <w:r w:rsidR="0C5CD95C" w:rsidRPr="48224A22">
              <w:rPr>
                <w:sz w:val="20"/>
                <w:szCs w:val="20"/>
                <w:u w:val="single"/>
                <w:lang w:val="es-419"/>
              </w:rPr>
              <w:t>Para las oficinas/unidades con procesos de Administración de Servicios Comunes no agrupados</w:t>
            </w:r>
            <w:r w:rsidR="7BF35D25" w:rsidRPr="48224A22">
              <w:rPr>
                <w:sz w:val="20"/>
                <w:szCs w:val="20"/>
                <w:u w:val="single"/>
                <w:lang w:val="es-419"/>
              </w:rPr>
              <w:t xml:space="preserve"> (</w:t>
            </w:r>
            <w:r w:rsidR="7BF35D25" w:rsidRPr="00756410">
              <w:rPr>
                <w:i/>
                <w:iCs/>
                <w:sz w:val="20"/>
                <w:szCs w:val="20"/>
                <w:u w:val="single"/>
                <w:lang w:val="es-419"/>
              </w:rPr>
              <w:t>non</w:t>
            </w:r>
            <w:r w:rsidR="7BF35D25" w:rsidRPr="48224A22">
              <w:rPr>
                <w:sz w:val="20"/>
                <w:szCs w:val="20"/>
                <w:u w:val="single"/>
                <w:lang w:val="es-419"/>
              </w:rPr>
              <w:t>-</w:t>
            </w:r>
            <w:r w:rsidR="7BF35D25" w:rsidRPr="48224A22">
              <w:rPr>
                <w:i/>
                <w:iCs/>
                <w:sz w:val="20"/>
                <w:szCs w:val="20"/>
                <w:u w:val="single"/>
                <w:lang w:val="es-419"/>
              </w:rPr>
              <w:t>clustered)</w:t>
            </w:r>
            <w:r w:rsidR="0C5CD95C" w:rsidRPr="48224A22">
              <w:rPr>
                <w:sz w:val="20"/>
                <w:szCs w:val="20"/>
                <w:lang w:val="es-419"/>
              </w:rPr>
              <w:t>, todas las acciones comunes de facturación de servicios se realizan dentro de la oficina/unidad.</w:t>
            </w:r>
          </w:p>
        </w:tc>
      </w:tr>
      <w:tr w:rsidR="00195091" w:rsidRPr="00C24118" w14:paraId="21A7818F" w14:textId="77777777" w:rsidTr="48224A22">
        <w:trPr>
          <w:trHeight w:val="20"/>
        </w:trPr>
        <w:tc>
          <w:tcPr>
            <w:tcW w:w="9895" w:type="dxa"/>
            <w:shd w:val="clear" w:color="auto" w:fill="000000" w:themeFill="text1"/>
          </w:tcPr>
          <w:p w14:paraId="6F8D7AA8" w14:textId="33E47340" w:rsidR="00195091" w:rsidRPr="00195091" w:rsidRDefault="00195091" w:rsidP="008A398C">
            <w:pPr>
              <w:spacing w:after="0" w:line="240" w:lineRule="auto"/>
              <w:rPr>
                <w:b/>
                <w:bCs/>
                <w:sz w:val="20"/>
                <w:szCs w:val="20"/>
              </w:rPr>
            </w:pPr>
            <w:r w:rsidRPr="00195091">
              <w:rPr>
                <w:b/>
                <w:bCs/>
                <w:sz w:val="20"/>
                <w:szCs w:val="20"/>
              </w:rPr>
              <w:t>Pagos</w:t>
            </w:r>
          </w:p>
        </w:tc>
      </w:tr>
      <w:tr w:rsidR="00195091" w:rsidRPr="00773863" w14:paraId="4B1821D7" w14:textId="77777777" w:rsidTr="48224A22">
        <w:trPr>
          <w:trHeight w:val="20"/>
        </w:trPr>
        <w:tc>
          <w:tcPr>
            <w:tcW w:w="9895" w:type="dxa"/>
          </w:tcPr>
          <w:p w14:paraId="5F975155" w14:textId="54F24994" w:rsidR="00E173C1" w:rsidRPr="00756410" w:rsidRDefault="1373B578" w:rsidP="00756410">
            <w:pPr>
              <w:pStyle w:val="ListParagraph"/>
              <w:numPr>
                <w:ilvl w:val="0"/>
                <w:numId w:val="48"/>
              </w:numPr>
              <w:spacing w:after="0" w:line="240" w:lineRule="auto"/>
              <w:jc w:val="both"/>
              <w:rPr>
                <w:sz w:val="20"/>
                <w:szCs w:val="20"/>
                <w:lang w:val="es-419"/>
              </w:rPr>
            </w:pPr>
            <w:r w:rsidRPr="48224A22">
              <w:rPr>
                <w:b/>
                <w:bCs/>
                <w:sz w:val="20"/>
                <w:szCs w:val="20"/>
                <w:lang w:val="es-419"/>
              </w:rPr>
              <w:t>Examinar y tramitar oportunamente los pagos anticipados y directos de los proyectos para su presentación a</w:t>
            </w:r>
            <w:r w:rsidR="008A728D">
              <w:rPr>
                <w:b/>
                <w:bCs/>
                <w:sz w:val="20"/>
                <w:szCs w:val="20"/>
                <w:lang w:val="es-419"/>
              </w:rPr>
              <w:t>l</w:t>
            </w:r>
            <w:r w:rsidR="4B3CA0AC" w:rsidRPr="48224A22">
              <w:rPr>
                <w:b/>
                <w:bCs/>
                <w:sz w:val="20"/>
                <w:szCs w:val="20"/>
                <w:lang w:val="es-419"/>
              </w:rPr>
              <w:t xml:space="preserve"> BMS/GSS</w:t>
            </w:r>
            <w:r w:rsidR="008A728D">
              <w:rPr>
                <w:b/>
                <w:bCs/>
                <w:sz w:val="20"/>
                <w:szCs w:val="20"/>
                <w:lang w:val="es-419"/>
              </w:rPr>
              <w:t>C</w:t>
            </w:r>
            <w:r w:rsidRPr="48224A22">
              <w:rPr>
                <w:b/>
                <w:bCs/>
                <w:sz w:val="20"/>
                <w:szCs w:val="20"/>
                <w:lang w:val="es-419"/>
              </w:rPr>
              <w:t>:</w:t>
            </w:r>
            <w:r w:rsidRPr="00316E2E">
              <w:rPr>
                <w:sz w:val="20"/>
                <w:szCs w:val="20"/>
                <w:lang w:val="es-419"/>
              </w:rPr>
              <w:t xml:space="preserve"> y velar por que la información sobre los pagos se registre debidamente en el sistema de planificación de los recursos institucionales</w:t>
            </w:r>
            <w:r w:rsidR="3A5C367F" w:rsidRPr="00316E2E">
              <w:rPr>
                <w:sz w:val="20"/>
                <w:szCs w:val="20"/>
                <w:lang w:val="es-419"/>
              </w:rPr>
              <w:t xml:space="preserve"> (ERP) </w:t>
            </w:r>
            <w:r w:rsidRPr="00316E2E">
              <w:rPr>
                <w:sz w:val="20"/>
                <w:szCs w:val="20"/>
                <w:lang w:val="es-419"/>
              </w:rPr>
              <w:t xml:space="preserve">de forma oportuna. </w:t>
            </w:r>
            <w:r w:rsidR="755CAAE6" w:rsidRPr="00316E2E">
              <w:rPr>
                <w:sz w:val="20"/>
                <w:szCs w:val="20"/>
                <w:u w:val="single"/>
                <w:lang w:val="es-419"/>
              </w:rPr>
              <w:t xml:space="preserve">Para el pago de anticipos de NIM/Parte Responsable (RP): </w:t>
            </w:r>
            <w:r w:rsidR="755CAAE6" w:rsidRPr="00316E2E">
              <w:rPr>
                <w:sz w:val="20"/>
                <w:szCs w:val="20"/>
                <w:lang w:val="es-419"/>
              </w:rPr>
              <w:t xml:space="preserve">El personal designado de la Oficina/Unidad Solicitante es responsable de garantizar que la solicitud de pago se ajuste al Plan de Trabajo Anual </w:t>
            </w:r>
            <w:r w:rsidR="00B1429B">
              <w:rPr>
                <w:sz w:val="20"/>
                <w:szCs w:val="20"/>
                <w:lang w:val="es-419"/>
              </w:rPr>
              <w:t xml:space="preserve">(AWP por sus siglas en inglés) </w:t>
            </w:r>
            <w:r w:rsidR="755CAAE6" w:rsidRPr="00316E2E">
              <w:rPr>
                <w:sz w:val="20"/>
                <w:szCs w:val="20"/>
                <w:lang w:val="es-419"/>
              </w:rPr>
              <w:t>y al presupuesto aprobados y cumpla con los 3 criterios</w:t>
            </w:r>
            <w:r w:rsidR="00E173C1" w:rsidRPr="363CA695">
              <w:rPr>
                <w:rStyle w:val="FootnoteReference"/>
                <w:sz w:val="20"/>
                <w:szCs w:val="20"/>
              </w:rPr>
              <w:footnoteReference w:id="32"/>
            </w:r>
            <w:r w:rsidR="755CAAE6" w:rsidRPr="00756410">
              <w:rPr>
                <w:sz w:val="20"/>
                <w:szCs w:val="20"/>
                <w:lang w:val="es-419"/>
              </w:rPr>
              <w:t xml:space="preserve"> para liberar anticipos a los Socios Implementadores (IP) o Partes Responsables (RP). </w:t>
            </w:r>
            <w:r w:rsidR="755CAAE6" w:rsidRPr="00756410">
              <w:rPr>
                <w:b/>
                <w:bCs/>
                <w:sz w:val="20"/>
                <w:szCs w:val="20"/>
                <w:lang w:val="es-419"/>
              </w:rPr>
              <w:t>Se requiere la aprobación de</w:t>
            </w:r>
            <w:r w:rsidR="18F45C98" w:rsidRPr="48224A22">
              <w:rPr>
                <w:b/>
                <w:bCs/>
                <w:sz w:val="20"/>
                <w:szCs w:val="20"/>
                <w:lang w:val="es-419"/>
              </w:rPr>
              <w:t>l B</w:t>
            </w:r>
            <w:r w:rsidR="0096584D">
              <w:rPr>
                <w:b/>
                <w:bCs/>
                <w:sz w:val="20"/>
                <w:szCs w:val="20"/>
                <w:lang w:val="es-419"/>
              </w:rPr>
              <w:t>u</w:t>
            </w:r>
            <w:r w:rsidR="18F45C98" w:rsidRPr="48224A22">
              <w:rPr>
                <w:b/>
                <w:bCs/>
                <w:sz w:val="20"/>
                <w:szCs w:val="20"/>
                <w:lang w:val="es-419"/>
              </w:rPr>
              <w:t>ro</w:t>
            </w:r>
            <w:r w:rsidR="0096584D">
              <w:rPr>
                <w:b/>
                <w:bCs/>
                <w:sz w:val="20"/>
                <w:szCs w:val="20"/>
                <w:lang w:val="es-419"/>
              </w:rPr>
              <w:t xml:space="preserve"> </w:t>
            </w:r>
            <w:r w:rsidR="755CAAE6" w:rsidRPr="00756410">
              <w:rPr>
                <w:b/>
                <w:bCs/>
                <w:sz w:val="20"/>
                <w:szCs w:val="20"/>
                <w:lang w:val="es-419"/>
              </w:rPr>
              <w:t xml:space="preserve">Regional para: (i) cualquier proyecto que no utilice un formulario FACE; y (ii) pagos NIM/RP que no cumplan con los 3 criterios y excedan los umbrales de flexibilidad de procesamiento del BMS/GSSC. </w:t>
            </w:r>
            <w:r w:rsidR="755CAAE6" w:rsidRPr="00756410">
              <w:rPr>
                <w:sz w:val="20"/>
                <w:szCs w:val="20"/>
                <w:lang w:val="es-419"/>
              </w:rPr>
              <w:t>La Oficina/Dependencia Solicitante es responsable de obtener las aprobaciones requeridas de</w:t>
            </w:r>
            <w:r w:rsidR="16A2D44B" w:rsidRPr="00316E2E">
              <w:rPr>
                <w:sz w:val="20"/>
                <w:szCs w:val="20"/>
                <w:lang w:val="es-419"/>
              </w:rPr>
              <w:t xml:space="preserve">l Buro </w:t>
            </w:r>
            <w:r w:rsidR="755CAAE6" w:rsidRPr="00756410">
              <w:rPr>
                <w:sz w:val="20"/>
                <w:szCs w:val="20"/>
                <w:lang w:val="es-419"/>
              </w:rPr>
              <w:t xml:space="preserve">Regional. La primera aprobación del gerente de </w:t>
            </w:r>
            <w:r w:rsidR="00B36490">
              <w:rPr>
                <w:sz w:val="20"/>
                <w:szCs w:val="20"/>
                <w:lang w:val="es-419"/>
              </w:rPr>
              <w:t xml:space="preserve">la </w:t>
            </w:r>
            <w:r w:rsidR="00A42B86" w:rsidRPr="00A42B86">
              <w:rPr>
                <w:sz w:val="20"/>
                <w:szCs w:val="20"/>
                <w:lang w:val="es-419"/>
              </w:rPr>
              <w:t xml:space="preserve">oficina de país </w:t>
            </w:r>
            <w:r w:rsidR="755CAAE6" w:rsidRPr="00756410">
              <w:rPr>
                <w:sz w:val="20"/>
                <w:szCs w:val="20"/>
                <w:lang w:val="es-419"/>
              </w:rPr>
              <w:t xml:space="preserve">certifica que la persona que firmó el formulario FACE como oficial de programa es </w:t>
            </w:r>
            <w:r w:rsidR="755CAAE6" w:rsidRPr="00756410">
              <w:rPr>
                <w:sz w:val="20"/>
                <w:szCs w:val="20"/>
                <w:lang w:val="es-419"/>
              </w:rPr>
              <w:lastRenderedPageBreak/>
              <w:t>realmente el oficial de programa. Consulte</w:t>
            </w:r>
            <w:r w:rsidR="7796128B" w:rsidRPr="00756410">
              <w:rPr>
                <w:sz w:val="20"/>
                <w:szCs w:val="20"/>
                <w:lang w:val="es-419"/>
              </w:rPr>
              <w:t xml:space="preserve"> </w:t>
            </w:r>
            <w:r w:rsidR="19B2F7A3" w:rsidRPr="00316E2E">
              <w:rPr>
                <w:sz w:val="20"/>
                <w:szCs w:val="20"/>
                <w:lang w:val="es-419"/>
              </w:rPr>
              <w:t xml:space="preserve"> </w:t>
            </w:r>
            <w:r w:rsidR="00931CE6">
              <w:rPr>
                <w:sz w:val="20"/>
                <w:szCs w:val="20"/>
                <w:lang w:val="es-419"/>
              </w:rPr>
              <w:t xml:space="preserve">la política </w:t>
            </w:r>
            <w:r w:rsidR="00D151B1">
              <w:rPr>
                <w:sz w:val="20"/>
                <w:szCs w:val="20"/>
                <w:lang w:val="es-419"/>
              </w:rPr>
              <w:t>de</w:t>
            </w:r>
            <w:r w:rsidR="755CAAE6" w:rsidRPr="00756410">
              <w:rPr>
                <w:sz w:val="20"/>
                <w:szCs w:val="20"/>
                <w:lang w:val="es-419"/>
              </w:rPr>
              <w:t xml:space="preserve"> </w:t>
            </w:r>
            <w:hyperlink r:id="rId140" w:history="1">
              <w:r w:rsidR="00D151B1">
                <w:rPr>
                  <w:rStyle w:val="Hyperlink"/>
                  <w:sz w:val="20"/>
                  <w:szCs w:val="20"/>
                  <w:lang w:val="es-419"/>
                </w:rPr>
                <w:t>”T</w:t>
              </w:r>
              <w:r w:rsidR="6215DBF4" w:rsidRPr="00756410">
                <w:rPr>
                  <w:rStyle w:val="Hyperlink"/>
                  <w:sz w:val="20"/>
                  <w:szCs w:val="20"/>
                  <w:lang w:val="es-419"/>
                </w:rPr>
                <w:t>ransferencias directas de efectivo y reembolso</w:t>
              </w:r>
              <w:r w:rsidR="00D151B1">
                <w:rPr>
                  <w:rStyle w:val="Hyperlink"/>
                  <w:sz w:val="20"/>
                  <w:szCs w:val="20"/>
                  <w:lang w:val="es-419"/>
                </w:rPr>
                <w:t>s”</w:t>
              </w:r>
            </w:hyperlink>
            <w:r w:rsidR="6215DBF4" w:rsidRPr="00756410" w:rsidDel="008956E6">
              <w:rPr>
                <w:sz w:val="20"/>
                <w:szCs w:val="20"/>
                <w:lang w:val="es-419"/>
              </w:rPr>
              <w:t xml:space="preserve"> </w:t>
            </w:r>
            <w:r w:rsidR="00D151B1">
              <w:rPr>
                <w:sz w:val="20"/>
                <w:szCs w:val="20"/>
                <w:lang w:val="es-419"/>
              </w:rPr>
              <w:t xml:space="preserve">del POPP </w:t>
            </w:r>
            <w:r w:rsidR="6215DBF4" w:rsidRPr="00756410" w:rsidDel="008956E6">
              <w:rPr>
                <w:sz w:val="20"/>
                <w:szCs w:val="20"/>
                <w:lang w:val="es-419"/>
              </w:rPr>
              <w:t xml:space="preserve">para obtener detalles sobre los criterios que se aplicarán. </w:t>
            </w:r>
          </w:p>
        </w:tc>
      </w:tr>
      <w:tr w:rsidR="00615908" w:rsidRPr="00773863" w14:paraId="766F6D7C" w14:textId="77777777" w:rsidTr="48224A22">
        <w:trPr>
          <w:trHeight w:val="20"/>
        </w:trPr>
        <w:tc>
          <w:tcPr>
            <w:tcW w:w="9895" w:type="dxa"/>
          </w:tcPr>
          <w:p w14:paraId="6E05E5DD" w14:textId="3B097B26" w:rsidR="00615908" w:rsidRPr="00756410" w:rsidRDefault="46547F02" w:rsidP="00756410">
            <w:pPr>
              <w:pStyle w:val="ListParagraph"/>
              <w:numPr>
                <w:ilvl w:val="0"/>
                <w:numId w:val="48"/>
              </w:numPr>
              <w:spacing w:after="0" w:line="240" w:lineRule="auto"/>
              <w:jc w:val="both"/>
              <w:rPr>
                <w:color w:val="ED7D31" w:themeColor="accent2"/>
                <w:sz w:val="20"/>
                <w:szCs w:val="20"/>
                <w:lang w:val="es-419"/>
              </w:rPr>
            </w:pPr>
            <w:r w:rsidRPr="3937432E">
              <w:rPr>
                <w:b/>
                <w:bCs/>
                <w:sz w:val="20"/>
                <w:szCs w:val="20"/>
                <w:lang w:val="es-419"/>
              </w:rPr>
              <w:lastRenderedPageBreak/>
              <w:t>Cre</w:t>
            </w:r>
            <w:r w:rsidR="789F284B" w:rsidRPr="3937432E">
              <w:rPr>
                <w:b/>
                <w:bCs/>
                <w:sz w:val="20"/>
                <w:szCs w:val="20"/>
                <w:lang w:val="es-419"/>
              </w:rPr>
              <w:t>ar</w:t>
            </w:r>
            <w:r w:rsidR="00615908" w:rsidRPr="3937432E">
              <w:rPr>
                <w:b/>
                <w:sz w:val="20"/>
                <w:szCs w:val="20"/>
                <w:lang w:val="es-419"/>
              </w:rPr>
              <w:t xml:space="preserve"> facturas en Quantum</w:t>
            </w:r>
            <w:r w:rsidR="00615908" w:rsidRPr="3937432E">
              <w:rPr>
                <w:sz w:val="20"/>
                <w:szCs w:val="20"/>
                <w:lang w:val="es-419"/>
              </w:rPr>
              <w:t xml:space="preserve"> en los casos en que un proveedor no pueda enviar una factura a través del Portal de proveedores de Quantum. Todas las facturas basadas en órdenes de compra se comparan automáticamente con la orden de compra y la recepción de bienes/servicios y cuando hay una </w:t>
            </w:r>
            <w:r w:rsidR="002C24F7">
              <w:rPr>
                <w:sz w:val="20"/>
                <w:szCs w:val="20"/>
                <w:lang w:val="es-419"/>
              </w:rPr>
              <w:t xml:space="preserve">conciliación de tres </w:t>
            </w:r>
            <w:r w:rsidR="00615908" w:rsidRPr="3937432E">
              <w:rPr>
                <w:sz w:val="20"/>
                <w:szCs w:val="20"/>
                <w:lang w:val="es-419"/>
              </w:rPr>
              <w:t>vías, se env</w:t>
            </w:r>
            <w:r w:rsidR="00D151B1">
              <w:rPr>
                <w:sz w:val="20"/>
                <w:szCs w:val="20"/>
                <w:lang w:val="es-419"/>
              </w:rPr>
              <w:t>iará</w:t>
            </w:r>
            <w:r w:rsidR="00615908" w:rsidRPr="3937432E">
              <w:rPr>
                <w:sz w:val="20"/>
                <w:szCs w:val="20"/>
                <w:lang w:val="es-419"/>
              </w:rPr>
              <w:t xml:space="preserve"> al ciclo de pago. Para las facturas que no son de órdenes de compra, el personal de finanzas de las oficinas/unidades se </w:t>
            </w:r>
            <w:r w:rsidRPr="3937432E">
              <w:rPr>
                <w:sz w:val="20"/>
                <w:szCs w:val="20"/>
                <w:lang w:val="es-419"/>
              </w:rPr>
              <w:t>asegura</w:t>
            </w:r>
            <w:r w:rsidR="1761E60F" w:rsidRPr="3937432E">
              <w:rPr>
                <w:sz w:val="20"/>
                <w:szCs w:val="20"/>
                <w:lang w:val="es-419"/>
              </w:rPr>
              <w:t>rá</w:t>
            </w:r>
            <w:r w:rsidR="00615908" w:rsidRPr="3937432E">
              <w:rPr>
                <w:sz w:val="20"/>
                <w:szCs w:val="20"/>
                <w:lang w:val="es-419"/>
              </w:rPr>
              <w:t xml:space="preserve"> de que los </w:t>
            </w:r>
            <w:r w:rsidR="003A5C07">
              <w:rPr>
                <w:sz w:val="20"/>
                <w:szCs w:val="20"/>
                <w:lang w:val="es-419"/>
              </w:rPr>
              <w:t>G</w:t>
            </w:r>
            <w:r w:rsidR="00615908" w:rsidRPr="3937432E">
              <w:rPr>
                <w:sz w:val="20"/>
                <w:szCs w:val="20"/>
                <w:lang w:val="es-419"/>
              </w:rPr>
              <w:t xml:space="preserve">erentes de </w:t>
            </w:r>
            <w:r w:rsidR="003A5C07">
              <w:rPr>
                <w:sz w:val="20"/>
                <w:szCs w:val="20"/>
                <w:lang w:val="es-419"/>
              </w:rPr>
              <w:t>P</w:t>
            </w:r>
            <w:r w:rsidR="00615908" w:rsidRPr="3937432E">
              <w:rPr>
                <w:sz w:val="20"/>
                <w:szCs w:val="20"/>
                <w:lang w:val="es-419"/>
              </w:rPr>
              <w:t>royecto hayan confirmado la recepción de los bienes/servicios, verifi</w:t>
            </w:r>
            <w:r w:rsidR="003A5C07">
              <w:rPr>
                <w:sz w:val="20"/>
                <w:szCs w:val="20"/>
                <w:lang w:val="es-419"/>
              </w:rPr>
              <w:t>car</w:t>
            </w:r>
            <w:r w:rsidR="009F1C85">
              <w:rPr>
                <w:sz w:val="20"/>
                <w:szCs w:val="20"/>
                <w:lang w:val="es-419"/>
              </w:rPr>
              <w:t>á</w:t>
            </w:r>
            <w:r w:rsidR="00615908" w:rsidRPr="3937432E">
              <w:rPr>
                <w:sz w:val="20"/>
                <w:szCs w:val="20"/>
                <w:lang w:val="es-419"/>
              </w:rPr>
              <w:t xml:space="preserve"> la factura, agreg</w:t>
            </w:r>
            <w:r w:rsidR="009F1C85">
              <w:rPr>
                <w:sz w:val="20"/>
                <w:szCs w:val="20"/>
                <w:lang w:val="es-419"/>
              </w:rPr>
              <w:t>ará</w:t>
            </w:r>
            <w:r w:rsidR="00615908" w:rsidRPr="3937432E">
              <w:rPr>
                <w:sz w:val="20"/>
                <w:szCs w:val="20"/>
                <w:lang w:val="es-419"/>
              </w:rPr>
              <w:t xml:space="preserve"> el </w:t>
            </w:r>
            <w:r w:rsidR="00FA6D76">
              <w:rPr>
                <w:sz w:val="20"/>
                <w:szCs w:val="20"/>
                <w:lang w:val="es-419"/>
              </w:rPr>
              <w:t>plan de cuentas (</w:t>
            </w:r>
            <w:r w:rsidR="00615908" w:rsidRPr="3937432E">
              <w:rPr>
                <w:sz w:val="20"/>
                <w:szCs w:val="20"/>
                <w:lang w:val="es-419"/>
              </w:rPr>
              <w:t xml:space="preserve">COA </w:t>
            </w:r>
            <w:r w:rsidR="00FA6D76">
              <w:rPr>
                <w:sz w:val="20"/>
                <w:szCs w:val="20"/>
                <w:lang w:val="es-419"/>
              </w:rPr>
              <w:t xml:space="preserve">por sus siglas en inglés) </w:t>
            </w:r>
            <w:r w:rsidR="00615908" w:rsidRPr="3937432E">
              <w:rPr>
                <w:sz w:val="20"/>
                <w:szCs w:val="20"/>
                <w:lang w:val="es-419"/>
              </w:rPr>
              <w:t>y reali</w:t>
            </w:r>
            <w:r w:rsidR="009F1C85">
              <w:rPr>
                <w:sz w:val="20"/>
                <w:szCs w:val="20"/>
                <w:lang w:val="es-419"/>
              </w:rPr>
              <w:t xml:space="preserve">zará </w:t>
            </w:r>
            <w:r w:rsidR="00615908" w:rsidRPr="3937432E">
              <w:rPr>
                <w:sz w:val="20"/>
                <w:szCs w:val="20"/>
                <w:lang w:val="es-419"/>
              </w:rPr>
              <w:t xml:space="preserve">una verificación de fondos. Consulte el </w:t>
            </w:r>
            <w:hyperlink w:anchor="_Annex_5:_Process" w:history="1">
              <w:r w:rsidR="00615908" w:rsidRPr="00756410">
                <w:rPr>
                  <w:rStyle w:val="Hyperlink"/>
                  <w:sz w:val="20"/>
                  <w:szCs w:val="20"/>
                  <w:lang w:val="es-419"/>
                </w:rPr>
                <w:t>Anexo 5</w:t>
              </w:r>
            </w:hyperlink>
            <w:r w:rsidR="00615908" w:rsidRPr="00756410">
              <w:rPr>
                <w:color w:val="ED7D31" w:themeColor="accent2"/>
                <w:sz w:val="20"/>
                <w:szCs w:val="20"/>
                <w:lang w:val="es-419"/>
              </w:rPr>
              <w:t xml:space="preserve"> </w:t>
            </w:r>
            <w:r w:rsidR="00615908" w:rsidRPr="00756410">
              <w:rPr>
                <w:sz w:val="20"/>
                <w:szCs w:val="20"/>
                <w:lang w:val="es-419"/>
              </w:rPr>
              <w:t xml:space="preserve">para obtener más detalles sobre los pasos y roles del proceso de adquisición y pago </w:t>
            </w:r>
            <w:r w:rsidR="23F7346B" w:rsidRPr="3937432E">
              <w:rPr>
                <w:sz w:val="20"/>
                <w:szCs w:val="20"/>
                <w:lang w:val="es-419"/>
              </w:rPr>
              <w:t xml:space="preserve">con y sin </w:t>
            </w:r>
            <w:r w:rsidR="00615908" w:rsidRPr="00756410">
              <w:rPr>
                <w:sz w:val="20"/>
                <w:szCs w:val="20"/>
                <w:lang w:val="es-419"/>
              </w:rPr>
              <w:t>órdenes de c</w:t>
            </w:r>
            <w:r w:rsidR="00615908" w:rsidRPr="3937432E">
              <w:rPr>
                <w:sz w:val="20"/>
                <w:szCs w:val="20"/>
                <w:lang w:val="es-419"/>
              </w:rPr>
              <w:t>ompra</w:t>
            </w:r>
            <w:r w:rsidR="201A7842" w:rsidRPr="3937432E">
              <w:rPr>
                <w:sz w:val="20"/>
                <w:szCs w:val="20"/>
                <w:lang w:val="es-419"/>
              </w:rPr>
              <w:t xml:space="preserve">. </w:t>
            </w:r>
          </w:p>
          <w:p w14:paraId="67182D6B" w14:textId="77777777" w:rsidR="00FB5581" w:rsidRPr="00756410" w:rsidRDefault="00FB5581" w:rsidP="00FB5581">
            <w:pPr>
              <w:pStyle w:val="ListParagraph"/>
              <w:spacing w:after="0" w:line="240" w:lineRule="auto"/>
              <w:ind w:left="360"/>
              <w:rPr>
                <w:b/>
                <w:sz w:val="20"/>
                <w:szCs w:val="20"/>
                <w:lang w:val="es-419"/>
              </w:rPr>
            </w:pPr>
          </w:p>
          <w:p w14:paraId="3A94B84E" w14:textId="0E6487C5" w:rsidR="00FB5581" w:rsidRPr="00756410" w:rsidRDefault="00FB5581" w:rsidP="00756410">
            <w:pPr>
              <w:pStyle w:val="ListParagraph"/>
              <w:spacing w:after="0" w:line="240" w:lineRule="auto"/>
              <w:ind w:left="360"/>
              <w:jc w:val="both"/>
              <w:rPr>
                <w:lang w:val="es-419"/>
              </w:rPr>
            </w:pPr>
            <w:r w:rsidRPr="3937432E">
              <w:rPr>
                <w:b/>
                <w:sz w:val="20"/>
                <w:szCs w:val="20"/>
                <w:lang w:val="es-419"/>
              </w:rPr>
              <w:t xml:space="preserve">Situación especial: </w:t>
            </w:r>
            <w:r w:rsidR="00214165">
              <w:rPr>
                <w:b/>
                <w:sz w:val="20"/>
                <w:szCs w:val="20"/>
                <w:lang w:val="es-419"/>
              </w:rPr>
              <w:t>Crear</w:t>
            </w:r>
            <w:r w:rsidRPr="3937432E">
              <w:rPr>
                <w:b/>
                <w:sz w:val="20"/>
                <w:szCs w:val="20"/>
                <w:lang w:val="es-419"/>
              </w:rPr>
              <w:t xml:space="preserve"> facturas para otras oficinas con procesos de cuentas por pagar agrupados</w:t>
            </w:r>
            <w:r w:rsidR="1E0D2E15" w:rsidRPr="3937432E">
              <w:rPr>
                <w:b/>
                <w:bCs/>
                <w:sz w:val="20"/>
                <w:szCs w:val="20"/>
                <w:lang w:val="es-419"/>
              </w:rPr>
              <w:t xml:space="preserve"> </w:t>
            </w:r>
            <w:r w:rsidR="1E0D2E15" w:rsidRPr="00756410">
              <w:rPr>
                <w:b/>
                <w:bCs/>
                <w:i/>
                <w:iCs/>
                <w:sz w:val="20"/>
                <w:szCs w:val="20"/>
                <w:lang w:val="es-419"/>
              </w:rPr>
              <w:t>(</w:t>
            </w:r>
            <w:r w:rsidR="1E0D2E15" w:rsidRPr="3937432E">
              <w:rPr>
                <w:b/>
                <w:bCs/>
                <w:i/>
                <w:iCs/>
                <w:sz w:val="20"/>
                <w:szCs w:val="20"/>
                <w:lang w:val="es-419"/>
              </w:rPr>
              <w:t>clustered)</w:t>
            </w:r>
            <w:r w:rsidR="64274D8C" w:rsidRPr="00756410">
              <w:rPr>
                <w:b/>
                <w:bCs/>
                <w:i/>
                <w:iCs/>
                <w:sz w:val="20"/>
                <w:szCs w:val="20"/>
                <w:lang w:val="es-419"/>
              </w:rPr>
              <w:t>:</w:t>
            </w:r>
            <w:r w:rsidRPr="3937432E">
              <w:rPr>
                <w:sz w:val="20"/>
                <w:szCs w:val="20"/>
                <w:lang w:val="es-419"/>
              </w:rPr>
              <w:t xml:space="preserve"> Puede haber situaciones en las que una oficina/unidad (como </w:t>
            </w:r>
            <w:r w:rsidR="000C186A">
              <w:rPr>
                <w:sz w:val="20"/>
                <w:szCs w:val="20"/>
                <w:lang w:val="es-419"/>
              </w:rPr>
              <w:t xml:space="preserve">el equipo de RRHH del </w:t>
            </w:r>
            <w:r w:rsidRPr="3937432E">
              <w:rPr>
                <w:sz w:val="20"/>
                <w:szCs w:val="20"/>
                <w:lang w:val="es-419"/>
              </w:rPr>
              <w:t>BMS/GSSC</w:t>
            </w:r>
            <w:r w:rsidR="000C186A">
              <w:rPr>
                <w:sz w:val="20"/>
                <w:szCs w:val="20"/>
                <w:lang w:val="es-419"/>
              </w:rPr>
              <w:t>)</w:t>
            </w:r>
            <w:r w:rsidRPr="3937432E">
              <w:rPr>
                <w:sz w:val="20"/>
                <w:szCs w:val="20"/>
                <w:lang w:val="es-419"/>
              </w:rPr>
              <w:t xml:space="preserve"> cree una factura para un anticipo de salario en una CO. BMS/GSSC </w:t>
            </w:r>
            <w:r w:rsidR="23B07C90" w:rsidRPr="3937432E">
              <w:rPr>
                <w:sz w:val="20"/>
                <w:szCs w:val="20"/>
                <w:lang w:val="es-419"/>
              </w:rPr>
              <w:t xml:space="preserve">RRHH </w:t>
            </w:r>
            <w:r w:rsidRPr="3937432E">
              <w:rPr>
                <w:sz w:val="20"/>
                <w:szCs w:val="20"/>
                <w:lang w:val="es-419"/>
              </w:rPr>
              <w:t xml:space="preserve">no tiene procesos de AP </w:t>
            </w:r>
            <w:r w:rsidRPr="00BD6071">
              <w:rPr>
                <w:sz w:val="20"/>
                <w:szCs w:val="20"/>
                <w:lang w:val="es-419"/>
              </w:rPr>
              <w:t>agrupados</w:t>
            </w:r>
            <w:r w:rsidR="663EBB36" w:rsidRPr="00BD6071">
              <w:rPr>
                <w:sz w:val="20"/>
                <w:szCs w:val="20"/>
                <w:lang w:val="es-419"/>
              </w:rPr>
              <w:t xml:space="preserve"> </w:t>
            </w:r>
            <w:r w:rsidR="663EBB36" w:rsidRPr="00756410">
              <w:rPr>
                <w:i/>
                <w:iCs/>
                <w:sz w:val="20"/>
                <w:szCs w:val="20"/>
                <w:lang w:val="es-419"/>
              </w:rPr>
              <w:t>(clustered):</w:t>
            </w:r>
            <w:r w:rsidRPr="3937432E">
              <w:rPr>
                <w:sz w:val="20"/>
                <w:szCs w:val="20"/>
                <w:lang w:val="es-419"/>
              </w:rPr>
              <w:t xml:space="preserve"> pero </w:t>
            </w:r>
            <w:r w:rsidR="4729A62D" w:rsidRPr="3937432E">
              <w:rPr>
                <w:sz w:val="20"/>
                <w:szCs w:val="20"/>
                <w:lang w:val="es-419"/>
              </w:rPr>
              <w:t xml:space="preserve">la </w:t>
            </w:r>
            <w:r w:rsidR="00A42B86" w:rsidRPr="00A42B86">
              <w:rPr>
                <w:sz w:val="20"/>
                <w:szCs w:val="20"/>
                <w:lang w:val="es-419"/>
              </w:rPr>
              <w:t>oficina de país</w:t>
            </w:r>
            <w:r w:rsidRPr="3937432E">
              <w:rPr>
                <w:sz w:val="20"/>
                <w:szCs w:val="20"/>
                <w:lang w:val="es-419"/>
              </w:rPr>
              <w:t xml:space="preserve"> sí. En estas situaciones, el flujo de trabajo de Quantum enviará la factura al aprobador de </w:t>
            </w:r>
            <w:r w:rsidR="621CC159" w:rsidRPr="3937432E">
              <w:rPr>
                <w:sz w:val="20"/>
                <w:szCs w:val="20"/>
                <w:lang w:val="es-419"/>
              </w:rPr>
              <w:t>la</w:t>
            </w:r>
            <w:r w:rsidR="000C186A">
              <w:rPr>
                <w:sz w:val="20"/>
                <w:szCs w:val="20"/>
                <w:lang w:val="es-419"/>
              </w:rPr>
              <w:t xml:space="preserve"> </w:t>
            </w:r>
            <w:r w:rsidR="00A42B86" w:rsidRPr="00A42B86">
              <w:rPr>
                <w:sz w:val="20"/>
                <w:szCs w:val="20"/>
                <w:lang w:val="es-419"/>
              </w:rPr>
              <w:t>oficina de país</w:t>
            </w:r>
            <w:r w:rsidRPr="3937432E">
              <w:rPr>
                <w:sz w:val="20"/>
                <w:szCs w:val="20"/>
                <w:lang w:val="es-419"/>
              </w:rPr>
              <w:t xml:space="preserve"> en lugar de a</w:t>
            </w:r>
            <w:r w:rsidR="000C186A">
              <w:rPr>
                <w:sz w:val="20"/>
                <w:szCs w:val="20"/>
                <w:lang w:val="es-419"/>
              </w:rPr>
              <w:t>l equipo de RRHH del</w:t>
            </w:r>
            <w:r w:rsidRPr="3937432E">
              <w:rPr>
                <w:sz w:val="20"/>
                <w:szCs w:val="20"/>
                <w:lang w:val="es-419"/>
              </w:rPr>
              <w:t xml:space="preserve"> BMS/GSSC. Si la cantidad es superior a </w:t>
            </w:r>
            <w:r w:rsidR="004409C6">
              <w:rPr>
                <w:sz w:val="20"/>
                <w:szCs w:val="20"/>
                <w:lang w:val="es-419"/>
              </w:rPr>
              <w:t>US</w:t>
            </w:r>
            <w:r w:rsidRPr="3937432E">
              <w:rPr>
                <w:sz w:val="20"/>
                <w:szCs w:val="20"/>
                <w:lang w:val="es-419"/>
              </w:rPr>
              <w:t>$5k, se dirigirá a</w:t>
            </w:r>
            <w:r w:rsidR="004409C6">
              <w:rPr>
                <w:sz w:val="20"/>
                <w:szCs w:val="20"/>
                <w:lang w:val="es-419"/>
              </w:rPr>
              <w:t>l equipo de Finanzas del</w:t>
            </w:r>
            <w:r w:rsidRPr="3937432E">
              <w:rPr>
                <w:sz w:val="20"/>
                <w:szCs w:val="20"/>
                <w:lang w:val="es-419"/>
              </w:rPr>
              <w:t xml:space="preserve"> BMS/GSSC </w:t>
            </w:r>
            <w:r w:rsidR="64274D8C" w:rsidRPr="3937432E">
              <w:rPr>
                <w:sz w:val="20"/>
                <w:szCs w:val="20"/>
                <w:lang w:val="es-419"/>
              </w:rPr>
              <w:t>para</w:t>
            </w:r>
            <w:r w:rsidRPr="3937432E">
              <w:rPr>
                <w:sz w:val="20"/>
                <w:szCs w:val="20"/>
                <w:lang w:val="es-419"/>
              </w:rPr>
              <w:t xml:space="preserve"> su aprobación. Sin embargo, si es por </w:t>
            </w:r>
            <w:r w:rsidR="40E510CF" w:rsidRPr="3937432E">
              <w:rPr>
                <w:sz w:val="20"/>
                <w:szCs w:val="20"/>
                <w:lang w:val="es-419"/>
              </w:rPr>
              <w:t>una cantidad inferior a</w:t>
            </w:r>
            <w:r w:rsidRPr="3937432E">
              <w:rPr>
                <w:sz w:val="20"/>
                <w:szCs w:val="20"/>
                <w:lang w:val="es-419"/>
              </w:rPr>
              <w:t xml:space="preserve"> </w:t>
            </w:r>
            <w:r w:rsidR="004409C6">
              <w:rPr>
                <w:sz w:val="20"/>
                <w:szCs w:val="20"/>
                <w:lang w:val="es-419"/>
              </w:rPr>
              <w:t>US</w:t>
            </w:r>
            <w:r w:rsidRPr="3937432E">
              <w:rPr>
                <w:sz w:val="20"/>
                <w:szCs w:val="20"/>
                <w:lang w:val="es-419"/>
              </w:rPr>
              <w:t xml:space="preserve">$5k, se aprobará </w:t>
            </w:r>
            <w:r w:rsidR="64274D8C" w:rsidRPr="3937432E">
              <w:rPr>
                <w:sz w:val="20"/>
                <w:szCs w:val="20"/>
                <w:lang w:val="es-419"/>
              </w:rPr>
              <w:t>sol</w:t>
            </w:r>
            <w:r w:rsidR="6910E982" w:rsidRPr="3937432E">
              <w:rPr>
                <w:sz w:val="20"/>
                <w:szCs w:val="20"/>
                <w:lang w:val="es-419"/>
              </w:rPr>
              <w:t xml:space="preserve">amente en la </w:t>
            </w:r>
            <w:r w:rsidR="00A42B86" w:rsidRPr="00773863">
              <w:rPr>
                <w:lang w:val="es-419"/>
              </w:rPr>
              <w:t xml:space="preserve"> </w:t>
            </w:r>
            <w:r w:rsidR="00A42B86" w:rsidRPr="00A42B86">
              <w:rPr>
                <w:sz w:val="20"/>
                <w:szCs w:val="20"/>
                <w:lang w:val="es-419"/>
              </w:rPr>
              <w:t>oficina de país</w:t>
            </w:r>
            <w:r w:rsidR="6910E982" w:rsidRPr="3937432E">
              <w:rPr>
                <w:sz w:val="20"/>
                <w:szCs w:val="20"/>
                <w:lang w:val="es-419"/>
              </w:rPr>
              <w:t xml:space="preserve">. </w:t>
            </w:r>
          </w:p>
        </w:tc>
      </w:tr>
      <w:tr w:rsidR="00195091" w:rsidRPr="00773863" w14:paraId="6F0AFFC7" w14:textId="77777777" w:rsidTr="48224A22">
        <w:trPr>
          <w:trHeight w:val="20"/>
        </w:trPr>
        <w:tc>
          <w:tcPr>
            <w:tcW w:w="9895" w:type="dxa"/>
          </w:tcPr>
          <w:p w14:paraId="0F489864" w14:textId="1D9C25DF" w:rsidR="00CD60E6" w:rsidRPr="00756410" w:rsidRDefault="004B2DF3" w:rsidP="00756410">
            <w:pPr>
              <w:pStyle w:val="ListParagraph"/>
              <w:numPr>
                <w:ilvl w:val="0"/>
                <w:numId w:val="42"/>
              </w:numPr>
              <w:spacing w:after="0" w:line="240" w:lineRule="auto"/>
              <w:jc w:val="both"/>
              <w:rPr>
                <w:sz w:val="20"/>
                <w:szCs w:val="20"/>
                <w:lang w:val="es-419"/>
              </w:rPr>
            </w:pPr>
            <w:r w:rsidRPr="3937432E">
              <w:rPr>
                <w:b/>
                <w:sz w:val="20"/>
                <w:szCs w:val="20"/>
                <w:lang w:val="es-419"/>
              </w:rPr>
              <w:t xml:space="preserve">Cuando lo autorice el Jefe de Oficina/Unidad, </w:t>
            </w:r>
            <w:r w:rsidR="1306F6BF" w:rsidRPr="3937432E">
              <w:rPr>
                <w:b/>
                <w:bCs/>
                <w:sz w:val="20"/>
                <w:szCs w:val="20"/>
                <w:lang w:val="es-419"/>
              </w:rPr>
              <w:t xml:space="preserve">realizar </w:t>
            </w:r>
            <w:r w:rsidRPr="3937432E">
              <w:rPr>
                <w:b/>
                <w:sz w:val="20"/>
                <w:szCs w:val="20"/>
                <w:lang w:val="es-419"/>
              </w:rPr>
              <w:t>pagos manuales (excepcionalmente, y máximo 5 por mes, a menos que el CFO apruebe previamente más de 5):</w:t>
            </w:r>
            <w:r w:rsidR="00D43A2F" w:rsidRPr="00316E2E">
              <w:rPr>
                <w:sz w:val="20"/>
                <w:szCs w:val="20"/>
                <w:lang w:val="es-419"/>
              </w:rPr>
              <w:t xml:space="preserve"> Un "cheque manual"</w:t>
            </w:r>
            <w:r w:rsidR="00CD60E6" w:rsidRPr="363CA695">
              <w:rPr>
                <w:rStyle w:val="FootnoteReference"/>
                <w:sz w:val="20"/>
                <w:szCs w:val="20"/>
              </w:rPr>
              <w:footnoteReference w:id="33"/>
            </w:r>
            <w:r w:rsidR="00D43A2F" w:rsidRPr="00316E2E">
              <w:rPr>
                <w:sz w:val="20"/>
                <w:szCs w:val="20"/>
                <w:lang w:val="es-419"/>
              </w:rPr>
              <w:t xml:space="preserve"> o "carta de transmisión de pago" es un pago emitido fuera de Quantum y posteriormente registrado en Quantum. Cuando se registra en Quantum, el tipo de pago es 'MAN' </w:t>
            </w:r>
            <w:r w:rsidR="00CF3035">
              <w:rPr>
                <w:sz w:val="20"/>
                <w:szCs w:val="20"/>
                <w:lang w:val="es-419"/>
              </w:rPr>
              <w:t>(de</w:t>
            </w:r>
            <w:r w:rsidR="00CF3035" w:rsidRPr="00316E2E">
              <w:rPr>
                <w:sz w:val="20"/>
                <w:szCs w:val="20"/>
                <w:lang w:val="es-419"/>
              </w:rPr>
              <w:t xml:space="preserve"> </w:t>
            </w:r>
            <w:r w:rsidR="00D43A2F" w:rsidRPr="00316E2E">
              <w:rPr>
                <w:sz w:val="20"/>
                <w:szCs w:val="20"/>
                <w:lang w:val="es-419"/>
              </w:rPr>
              <w:t>'manual'</w:t>
            </w:r>
            <w:r w:rsidR="00CF3035">
              <w:rPr>
                <w:sz w:val="20"/>
                <w:szCs w:val="20"/>
                <w:lang w:val="es-419"/>
              </w:rPr>
              <w:t>)</w:t>
            </w:r>
            <w:r w:rsidR="00D43A2F" w:rsidRPr="00316E2E">
              <w:rPr>
                <w:sz w:val="20"/>
                <w:szCs w:val="20"/>
                <w:lang w:val="es-419"/>
              </w:rPr>
              <w:t xml:space="preserve">. </w:t>
            </w:r>
            <w:r w:rsidR="00D43A2F" w:rsidRPr="00316E2E">
              <w:rPr>
                <w:sz w:val="20"/>
                <w:szCs w:val="20"/>
                <w:u w:val="single"/>
                <w:lang w:val="es-419"/>
              </w:rPr>
              <w:t xml:space="preserve">Los pagos manuales son </w:t>
            </w:r>
            <w:r w:rsidR="00D43A2F" w:rsidRPr="00756410">
              <w:rPr>
                <w:b/>
                <w:bCs/>
                <w:sz w:val="20"/>
                <w:szCs w:val="20"/>
                <w:u w:val="single"/>
                <w:lang w:val="es-419"/>
              </w:rPr>
              <w:t>un</w:t>
            </w:r>
            <w:r w:rsidR="5812B87A" w:rsidRPr="00756410">
              <w:rPr>
                <w:b/>
                <w:bCs/>
                <w:sz w:val="20"/>
                <w:szCs w:val="20"/>
                <w:u w:val="single"/>
                <w:lang w:val="es-419"/>
              </w:rPr>
              <w:t xml:space="preserve"> </w:t>
            </w:r>
            <w:r w:rsidR="62450035" w:rsidRPr="00756410">
              <w:rPr>
                <w:b/>
                <w:bCs/>
                <w:sz w:val="20"/>
                <w:szCs w:val="20"/>
                <w:u w:val="single"/>
                <w:lang w:val="es-419"/>
              </w:rPr>
              <w:t>gran</w:t>
            </w:r>
            <w:r w:rsidR="00D43A2F" w:rsidRPr="00756410">
              <w:rPr>
                <w:b/>
                <w:bCs/>
                <w:sz w:val="20"/>
                <w:szCs w:val="20"/>
                <w:u w:val="single"/>
                <w:lang w:val="es-419"/>
              </w:rPr>
              <w:t xml:space="preserve"> riesgo de control</w:t>
            </w:r>
            <w:r w:rsidR="00D43A2F" w:rsidRPr="00316E2E">
              <w:rPr>
                <w:sz w:val="20"/>
                <w:szCs w:val="20"/>
                <w:u w:val="single"/>
                <w:lang w:val="es-419"/>
              </w:rPr>
              <w:t xml:space="preserve"> y deben usarse de manera excepcional</w:t>
            </w:r>
            <w:r w:rsidR="00D43A2F" w:rsidRPr="00316E2E">
              <w:rPr>
                <w:sz w:val="20"/>
                <w:szCs w:val="20"/>
                <w:lang w:val="es-419"/>
              </w:rPr>
              <w:t xml:space="preserve">. El uso de pagos manuales elude todas las funciones de control de Quantum, </w:t>
            </w:r>
            <w:r w:rsidR="412C8CEF" w:rsidRPr="00316E2E">
              <w:rPr>
                <w:sz w:val="20"/>
                <w:szCs w:val="20"/>
                <w:lang w:val="es-419"/>
              </w:rPr>
              <w:t xml:space="preserve">tales como la </w:t>
            </w:r>
            <w:r w:rsidR="00D43A2F" w:rsidRPr="00316E2E">
              <w:rPr>
                <w:sz w:val="20"/>
                <w:szCs w:val="20"/>
                <w:lang w:val="es-419"/>
              </w:rPr>
              <w:t xml:space="preserve">verificación </w:t>
            </w:r>
            <w:r w:rsidR="538E4B5A" w:rsidRPr="00316E2E">
              <w:rPr>
                <w:sz w:val="20"/>
                <w:szCs w:val="20"/>
                <w:lang w:val="es-419"/>
              </w:rPr>
              <w:t>presupuestal</w:t>
            </w:r>
            <w:r w:rsidR="00D43A2F" w:rsidRPr="00316E2E">
              <w:rPr>
                <w:sz w:val="20"/>
                <w:szCs w:val="20"/>
                <w:lang w:val="es-419"/>
              </w:rPr>
              <w:t xml:space="preserve">. Si no se hace correctamente, también existe el riesgo de que se eludan los controles manuales. Los pagos manuales deben realizarse solo después de registrarse en Quantum, o cuando Quantum no esté disponible y el pago sea urgente, el pago debe registrarse en Quantum tan pronto como se restablezca la funcionalidad de Quantum, después de la emisión del pago. El CFO ha autorizado a las oficinas/unidades a emitir hasta cinco pagos manuales por mes; cualquier </w:t>
            </w:r>
            <w:r w:rsidR="1FC4866B" w:rsidRPr="00316E2E">
              <w:rPr>
                <w:sz w:val="20"/>
                <w:szCs w:val="20"/>
                <w:lang w:val="es-419"/>
              </w:rPr>
              <w:t xml:space="preserve">pago adicional </w:t>
            </w:r>
            <w:r w:rsidR="00D43A2F" w:rsidRPr="00316E2E">
              <w:rPr>
                <w:sz w:val="20"/>
                <w:szCs w:val="20"/>
                <w:lang w:val="es-419"/>
              </w:rPr>
              <w:t>requiere la aprobación por escrito del CFO.</w:t>
            </w:r>
          </w:p>
        </w:tc>
      </w:tr>
      <w:tr w:rsidR="00195091" w:rsidRPr="00C24118" w14:paraId="5D72EB87" w14:textId="77777777" w:rsidTr="48224A22">
        <w:trPr>
          <w:trHeight w:val="20"/>
        </w:trPr>
        <w:tc>
          <w:tcPr>
            <w:tcW w:w="9895" w:type="dxa"/>
            <w:shd w:val="clear" w:color="auto" w:fill="000000" w:themeFill="text1"/>
          </w:tcPr>
          <w:p w14:paraId="0F20192F" w14:textId="0BA916D2" w:rsidR="00195091" w:rsidRPr="00C666FA" w:rsidRDefault="00195091" w:rsidP="008A398C">
            <w:pPr>
              <w:spacing w:after="0" w:line="240" w:lineRule="auto"/>
              <w:rPr>
                <w:b/>
                <w:bCs/>
                <w:sz w:val="20"/>
                <w:szCs w:val="20"/>
              </w:rPr>
            </w:pPr>
            <w:r w:rsidRPr="00C666FA">
              <w:rPr>
                <w:b/>
                <w:bCs/>
                <w:sz w:val="20"/>
                <w:szCs w:val="20"/>
              </w:rPr>
              <w:t>Gestión de efectivo</w:t>
            </w:r>
          </w:p>
        </w:tc>
      </w:tr>
      <w:tr w:rsidR="00195091" w:rsidRPr="00773863" w14:paraId="7706189B" w14:textId="77777777" w:rsidTr="48224A22">
        <w:trPr>
          <w:trHeight w:val="20"/>
        </w:trPr>
        <w:tc>
          <w:tcPr>
            <w:tcW w:w="9895" w:type="dxa"/>
          </w:tcPr>
          <w:p w14:paraId="3D9422C1" w14:textId="40F9D8D0" w:rsidR="00195091" w:rsidRPr="00756410" w:rsidRDefault="767B6B92" w:rsidP="00756410">
            <w:pPr>
              <w:pStyle w:val="ListParagraph"/>
              <w:numPr>
                <w:ilvl w:val="0"/>
                <w:numId w:val="43"/>
              </w:numPr>
              <w:spacing w:after="0" w:line="240" w:lineRule="auto"/>
              <w:jc w:val="both"/>
              <w:rPr>
                <w:sz w:val="20"/>
                <w:szCs w:val="20"/>
                <w:lang w:val="es-419"/>
              </w:rPr>
            </w:pPr>
            <w:r w:rsidRPr="3937432E">
              <w:rPr>
                <w:b/>
                <w:bCs/>
                <w:sz w:val="20"/>
                <w:szCs w:val="20"/>
                <w:lang w:val="es-419"/>
              </w:rPr>
              <w:t>Realizar una revisión oportuna</w:t>
            </w:r>
            <w:r w:rsidR="00195091" w:rsidRPr="3937432E">
              <w:rPr>
                <w:b/>
                <w:sz w:val="20"/>
                <w:szCs w:val="20"/>
                <w:lang w:val="es-419"/>
              </w:rPr>
              <w:t xml:space="preserve"> de </w:t>
            </w:r>
            <w:r w:rsidR="20708D56" w:rsidRPr="3937432E">
              <w:rPr>
                <w:b/>
                <w:bCs/>
                <w:sz w:val="20"/>
                <w:szCs w:val="20"/>
                <w:lang w:val="es-419"/>
              </w:rPr>
              <w:t xml:space="preserve">los </w:t>
            </w:r>
            <w:r w:rsidR="3DF78174" w:rsidRPr="3937432E">
              <w:rPr>
                <w:b/>
                <w:bCs/>
                <w:sz w:val="20"/>
                <w:szCs w:val="20"/>
                <w:lang w:val="es-419"/>
              </w:rPr>
              <w:t xml:space="preserve">saldos </w:t>
            </w:r>
            <w:r w:rsidR="00195091" w:rsidRPr="3937432E">
              <w:rPr>
                <w:b/>
                <w:sz w:val="20"/>
                <w:szCs w:val="20"/>
                <w:lang w:val="es-419"/>
              </w:rPr>
              <w:t>de efectivo para</w:t>
            </w:r>
            <w:r w:rsidR="00195091" w:rsidRPr="00316E2E">
              <w:rPr>
                <w:sz w:val="20"/>
                <w:szCs w:val="20"/>
                <w:lang w:val="es-419"/>
              </w:rPr>
              <w:t xml:space="preserve"> las cuentas locales </w:t>
            </w:r>
            <w:r w:rsidR="1404B4C6" w:rsidRPr="00316E2E">
              <w:rPr>
                <w:sz w:val="20"/>
                <w:szCs w:val="20"/>
                <w:lang w:val="es-419"/>
              </w:rPr>
              <w:t xml:space="preserve">garantizando </w:t>
            </w:r>
            <w:r w:rsidR="00195091" w:rsidRPr="00316E2E">
              <w:rPr>
                <w:sz w:val="20"/>
                <w:szCs w:val="20"/>
                <w:lang w:val="es-419"/>
              </w:rPr>
              <w:t xml:space="preserve">fondos suficientes para los desembolsos y mantener el nivel de liquidez aprobado por BMS/OFRM/Tesorería. Garantizar la revisión diaria de los </w:t>
            </w:r>
            <w:r w:rsidR="5056A6A2" w:rsidRPr="00316E2E">
              <w:rPr>
                <w:sz w:val="20"/>
                <w:szCs w:val="20"/>
                <w:lang w:val="es-419"/>
              </w:rPr>
              <w:t xml:space="preserve">balances </w:t>
            </w:r>
            <w:r w:rsidR="00195091" w:rsidRPr="00316E2E">
              <w:rPr>
                <w:sz w:val="20"/>
                <w:szCs w:val="20"/>
                <w:lang w:val="es-419"/>
              </w:rPr>
              <w:t>de las cuentas de saldo cero en el ERP</w:t>
            </w:r>
            <w:r w:rsidR="00FF3F21" w:rsidRPr="00E06F45">
              <w:rPr>
                <w:rStyle w:val="FootnoteReference"/>
                <w:sz w:val="20"/>
                <w:szCs w:val="20"/>
              </w:rPr>
              <w:footnoteReference w:id="34"/>
            </w:r>
            <w:r w:rsidR="00195091" w:rsidRPr="00316E2E">
              <w:rPr>
                <w:sz w:val="20"/>
                <w:szCs w:val="20"/>
                <w:lang w:val="es-419"/>
              </w:rPr>
              <w:t xml:space="preserve"> para controlar el nivel de anticipos. Obtener estimaciones de desembolso de las agencias de la ONU participantes.</w:t>
            </w:r>
          </w:p>
        </w:tc>
      </w:tr>
      <w:tr w:rsidR="00195091" w:rsidRPr="00773863" w14:paraId="697FD7E4" w14:textId="77777777" w:rsidTr="48224A22">
        <w:trPr>
          <w:trHeight w:val="20"/>
        </w:trPr>
        <w:tc>
          <w:tcPr>
            <w:tcW w:w="9895" w:type="dxa"/>
          </w:tcPr>
          <w:p w14:paraId="4B6B2BE5" w14:textId="3E14F4BC" w:rsidR="00195091" w:rsidRPr="00756410" w:rsidRDefault="00195091">
            <w:pPr>
              <w:pStyle w:val="ListParagraph"/>
              <w:numPr>
                <w:ilvl w:val="0"/>
                <w:numId w:val="43"/>
              </w:numPr>
              <w:spacing w:after="0" w:line="240" w:lineRule="auto"/>
              <w:rPr>
                <w:sz w:val="20"/>
                <w:szCs w:val="20"/>
                <w:lang w:val="es-419"/>
              </w:rPr>
            </w:pPr>
            <w:r w:rsidRPr="3937432E">
              <w:rPr>
                <w:b/>
                <w:sz w:val="20"/>
                <w:szCs w:val="20"/>
                <w:lang w:val="es-419"/>
              </w:rPr>
              <w:t xml:space="preserve">Preparar y procesar </w:t>
            </w:r>
            <w:r w:rsidR="377794CC" w:rsidRPr="3937432E">
              <w:rPr>
                <w:b/>
                <w:bCs/>
                <w:sz w:val="20"/>
                <w:szCs w:val="20"/>
                <w:lang w:val="es-419"/>
              </w:rPr>
              <w:t>desembolso</w:t>
            </w:r>
            <w:r w:rsidR="36C1A2FE" w:rsidRPr="3937432E">
              <w:rPr>
                <w:b/>
                <w:bCs/>
                <w:sz w:val="20"/>
                <w:szCs w:val="20"/>
                <w:lang w:val="es-419"/>
              </w:rPr>
              <w:t>s e interrupciones de</w:t>
            </w:r>
            <w:r w:rsidRPr="3937432E">
              <w:rPr>
                <w:b/>
                <w:sz w:val="20"/>
                <w:szCs w:val="20"/>
                <w:lang w:val="es-419"/>
              </w:rPr>
              <w:t xml:space="preserve"> pago</w:t>
            </w:r>
            <w:r w:rsidRPr="3937432E">
              <w:rPr>
                <w:sz w:val="20"/>
                <w:szCs w:val="20"/>
                <w:lang w:val="es-419"/>
              </w:rPr>
              <w:t xml:space="preserve"> en el sistema de banca </w:t>
            </w:r>
            <w:r w:rsidR="1FC7F5E6" w:rsidRPr="3937432E">
              <w:rPr>
                <w:sz w:val="20"/>
                <w:szCs w:val="20"/>
                <w:lang w:val="es-419"/>
              </w:rPr>
              <w:t xml:space="preserve">en </w:t>
            </w:r>
            <w:r w:rsidR="00515E1C" w:rsidRPr="3937432E">
              <w:rPr>
                <w:sz w:val="20"/>
                <w:szCs w:val="20"/>
                <w:lang w:val="es-419"/>
              </w:rPr>
              <w:t>línea</w:t>
            </w:r>
            <w:r w:rsidR="1FC7F5E6" w:rsidRPr="3937432E">
              <w:rPr>
                <w:sz w:val="20"/>
                <w:szCs w:val="20"/>
                <w:lang w:val="es-419"/>
              </w:rPr>
              <w:t xml:space="preserve">. </w:t>
            </w:r>
          </w:p>
        </w:tc>
      </w:tr>
      <w:tr w:rsidR="00FF3F21" w:rsidRPr="00773863" w14:paraId="4F3C5A30" w14:textId="77777777" w:rsidTr="48224A22">
        <w:trPr>
          <w:trHeight w:val="20"/>
        </w:trPr>
        <w:tc>
          <w:tcPr>
            <w:tcW w:w="9895" w:type="dxa"/>
          </w:tcPr>
          <w:p w14:paraId="6B203FCC" w14:textId="0C7E4F80" w:rsidR="00FF3F21" w:rsidRPr="00756410" w:rsidRDefault="00FF3F21" w:rsidP="00756410">
            <w:pPr>
              <w:pStyle w:val="ListParagraph"/>
              <w:numPr>
                <w:ilvl w:val="0"/>
                <w:numId w:val="43"/>
              </w:numPr>
              <w:spacing w:after="0" w:line="240" w:lineRule="auto"/>
              <w:jc w:val="both"/>
              <w:rPr>
                <w:sz w:val="20"/>
                <w:szCs w:val="20"/>
                <w:lang w:val="es-419"/>
              </w:rPr>
            </w:pPr>
            <w:r w:rsidRPr="3937432E">
              <w:rPr>
                <w:b/>
                <w:sz w:val="20"/>
                <w:szCs w:val="20"/>
                <w:lang w:val="es-419"/>
              </w:rPr>
              <w:t>Inici</w:t>
            </w:r>
            <w:r w:rsidR="00515E1C">
              <w:rPr>
                <w:b/>
                <w:sz w:val="20"/>
                <w:szCs w:val="20"/>
                <w:lang w:val="es-419"/>
              </w:rPr>
              <w:t>ar</w:t>
            </w:r>
            <w:r w:rsidRPr="3937432E">
              <w:rPr>
                <w:b/>
                <w:sz w:val="20"/>
                <w:szCs w:val="20"/>
                <w:lang w:val="es-419"/>
              </w:rPr>
              <w:t xml:space="preserve"> y </w:t>
            </w:r>
            <w:r w:rsidR="0CF0F72F" w:rsidRPr="3937432E">
              <w:rPr>
                <w:b/>
                <w:bCs/>
                <w:sz w:val="20"/>
                <w:szCs w:val="20"/>
                <w:lang w:val="es-419"/>
              </w:rPr>
              <w:t xml:space="preserve">seleccionar </w:t>
            </w:r>
            <w:r w:rsidRPr="3937432E">
              <w:rPr>
                <w:b/>
                <w:sz w:val="20"/>
                <w:szCs w:val="20"/>
                <w:lang w:val="es-419"/>
              </w:rPr>
              <w:t>transferencias bancarias y acuerdos</w:t>
            </w:r>
            <w:r w:rsidRPr="3937432E">
              <w:rPr>
                <w:sz w:val="20"/>
                <w:szCs w:val="20"/>
                <w:lang w:val="es-419"/>
              </w:rPr>
              <w:t xml:space="preserve"> para su aprobación y liquidación y </w:t>
            </w:r>
            <w:r w:rsidR="098E0583" w:rsidRPr="3937432E">
              <w:rPr>
                <w:sz w:val="20"/>
                <w:szCs w:val="20"/>
                <w:lang w:val="es-419"/>
              </w:rPr>
              <w:t xml:space="preserve">notificar </w:t>
            </w:r>
            <w:r w:rsidRPr="3937432E">
              <w:rPr>
                <w:sz w:val="20"/>
                <w:szCs w:val="20"/>
                <w:lang w:val="es-419"/>
              </w:rPr>
              <w:t xml:space="preserve">al </w:t>
            </w:r>
            <w:r w:rsidR="00571CCB">
              <w:rPr>
                <w:sz w:val="20"/>
                <w:szCs w:val="20"/>
                <w:lang w:val="es-419"/>
              </w:rPr>
              <w:t>G</w:t>
            </w:r>
            <w:r w:rsidRPr="3937432E">
              <w:rPr>
                <w:sz w:val="20"/>
                <w:szCs w:val="20"/>
                <w:lang w:val="es-419"/>
              </w:rPr>
              <w:t xml:space="preserve">erente de </w:t>
            </w:r>
            <w:r w:rsidR="00571CCB">
              <w:rPr>
                <w:sz w:val="20"/>
                <w:szCs w:val="20"/>
                <w:lang w:val="es-419"/>
              </w:rPr>
              <w:t>A</w:t>
            </w:r>
            <w:r w:rsidRPr="3937432E">
              <w:rPr>
                <w:sz w:val="20"/>
                <w:szCs w:val="20"/>
                <w:lang w:val="es-419"/>
              </w:rPr>
              <w:t xml:space="preserve">probación. </w:t>
            </w:r>
            <w:r w:rsidR="4741F0A2" w:rsidRPr="3937432E">
              <w:rPr>
                <w:sz w:val="20"/>
                <w:szCs w:val="20"/>
                <w:lang w:val="es-419"/>
              </w:rPr>
              <w:t>N</w:t>
            </w:r>
            <w:r w:rsidR="00571CCB">
              <w:rPr>
                <w:sz w:val="20"/>
                <w:szCs w:val="20"/>
                <w:lang w:val="es-419"/>
              </w:rPr>
              <w:t>o</w:t>
            </w:r>
            <w:r w:rsidR="4741F0A2" w:rsidRPr="3937432E">
              <w:rPr>
                <w:sz w:val="20"/>
                <w:szCs w:val="20"/>
                <w:lang w:val="es-419"/>
              </w:rPr>
              <w:t xml:space="preserve">tificar </w:t>
            </w:r>
            <w:r w:rsidRPr="3937432E">
              <w:rPr>
                <w:sz w:val="20"/>
                <w:szCs w:val="20"/>
                <w:lang w:val="es-419"/>
              </w:rPr>
              <w:t>a</w:t>
            </w:r>
            <w:r w:rsidR="00571CCB">
              <w:rPr>
                <w:sz w:val="20"/>
                <w:szCs w:val="20"/>
                <w:lang w:val="es-419"/>
              </w:rPr>
              <w:t xml:space="preserve">l </w:t>
            </w:r>
            <w:r w:rsidRPr="3937432E">
              <w:rPr>
                <w:sz w:val="20"/>
                <w:szCs w:val="20"/>
                <w:lang w:val="es-419"/>
              </w:rPr>
              <w:t xml:space="preserve">BMS/GSSC </w:t>
            </w:r>
            <w:r w:rsidR="5F7594C6" w:rsidRPr="3937432E">
              <w:rPr>
                <w:sz w:val="20"/>
                <w:szCs w:val="20"/>
                <w:lang w:val="es-419"/>
              </w:rPr>
              <w:t xml:space="preserve">para </w:t>
            </w:r>
            <w:r w:rsidRPr="3937432E">
              <w:rPr>
                <w:sz w:val="20"/>
                <w:szCs w:val="20"/>
                <w:lang w:val="es-419"/>
              </w:rPr>
              <w:t xml:space="preserve">que cree y seleccione transferencias bancarias (Gestión de efectivo/Liquidaciones) en </w:t>
            </w:r>
            <w:r w:rsidR="001F40CF">
              <w:rPr>
                <w:sz w:val="20"/>
                <w:szCs w:val="20"/>
                <w:lang w:val="es-419"/>
              </w:rPr>
              <w:t>el</w:t>
            </w:r>
            <w:r w:rsidR="2A5C8C6D" w:rsidRPr="3937432E">
              <w:rPr>
                <w:sz w:val="20"/>
                <w:szCs w:val="20"/>
                <w:lang w:val="es-419"/>
              </w:rPr>
              <w:t xml:space="preserve"> sistema </w:t>
            </w:r>
            <w:r w:rsidR="77459805" w:rsidRPr="3937432E">
              <w:rPr>
                <w:sz w:val="20"/>
                <w:szCs w:val="20"/>
                <w:lang w:val="es-419"/>
              </w:rPr>
              <w:t>ERP.</w:t>
            </w:r>
          </w:p>
        </w:tc>
      </w:tr>
      <w:tr w:rsidR="00195091" w:rsidRPr="00773863" w14:paraId="02406346" w14:textId="77777777" w:rsidTr="48224A22">
        <w:trPr>
          <w:trHeight w:val="20"/>
        </w:trPr>
        <w:tc>
          <w:tcPr>
            <w:tcW w:w="9895" w:type="dxa"/>
          </w:tcPr>
          <w:p w14:paraId="182C9AEE" w14:textId="3CA1AD5D" w:rsidR="00195091" w:rsidRPr="00756410" w:rsidRDefault="00195091" w:rsidP="00756410">
            <w:pPr>
              <w:pStyle w:val="ListParagraph"/>
              <w:numPr>
                <w:ilvl w:val="0"/>
                <w:numId w:val="43"/>
              </w:numPr>
              <w:spacing w:after="0" w:line="240" w:lineRule="auto"/>
              <w:jc w:val="both"/>
              <w:rPr>
                <w:sz w:val="20"/>
                <w:szCs w:val="20"/>
                <w:lang w:val="es-419"/>
              </w:rPr>
            </w:pPr>
            <w:r w:rsidRPr="3937432E">
              <w:rPr>
                <w:b/>
                <w:sz w:val="20"/>
                <w:szCs w:val="20"/>
                <w:lang w:val="es-419"/>
              </w:rPr>
              <w:t>Revisar las conciliaciones bancarias y proporcionar documentación a BMS</w:t>
            </w:r>
            <w:r w:rsidR="58709B46" w:rsidRPr="3937432E">
              <w:rPr>
                <w:b/>
                <w:bCs/>
                <w:sz w:val="20"/>
                <w:szCs w:val="20"/>
                <w:lang w:val="es-419"/>
              </w:rPr>
              <w:t>-</w:t>
            </w:r>
            <w:r w:rsidRPr="3937432E">
              <w:rPr>
                <w:b/>
                <w:sz w:val="20"/>
                <w:szCs w:val="20"/>
                <w:lang w:val="es-419"/>
              </w:rPr>
              <w:t xml:space="preserve">GSSC </w:t>
            </w:r>
            <w:r w:rsidR="58709B46" w:rsidRPr="3937432E">
              <w:rPr>
                <w:b/>
                <w:bCs/>
                <w:sz w:val="20"/>
                <w:szCs w:val="20"/>
                <w:lang w:val="es-419"/>
              </w:rPr>
              <w:t>conforme al Acuerdo de Servicios (SLA por sus siglas en ing</w:t>
            </w:r>
            <w:r w:rsidR="72657A37" w:rsidRPr="3937432E">
              <w:rPr>
                <w:b/>
                <w:bCs/>
                <w:sz w:val="20"/>
                <w:szCs w:val="20"/>
                <w:lang w:val="es-419"/>
              </w:rPr>
              <w:t>lés)</w:t>
            </w:r>
            <w:r w:rsidR="00571CCB">
              <w:rPr>
                <w:b/>
                <w:bCs/>
                <w:sz w:val="20"/>
                <w:szCs w:val="20"/>
                <w:lang w:val="es-419"/>
              </w:rPr>
              <w:t>.</w:t>
            </w:r>
            <w:r w:rsidRPr="00316E2E">
              <w:rPr>
                <w:sz w:val="20"/>
                <w:szCs w:val="20"/>
                <w:lang w:val="es-419"/>
              </w:rPr>
              <w:t xml:space="preserve"> Las conciliaciones bancarias periódicas son un control interno esencial y deben realizarse al menos una vez al mes. </w:t>
            </w:r>
            <w:r w:rsidRPr="008B529A">
              <w:rPr>
                <w:sz w:val="20"/>
                <w:szCs w:val="20"/>
                <w:lang w:val="es-419"/>
              </w:rPr>
              <w:t xml:space="preserve">El objetivo de la conciliación de cuentas bancarias es demostrar que las entradas en Quantum son correctas y se concilian con las transacciones que han sido registradas por el banco. Cualquier diferencia debe ser analizada e informada. Las conciliaciones bancarias son preparadas y aprobadas por el BMS/GSSC </w:t>
            </w:r>
            <w:r w:rsidRPr="008B529A">
              <w:rPr>
                <w:sz w:val="20"/>
                <w:szCs w:val="20"/>
                <w:lang w:val="es-419"/>
              </w:rPr>
              <w:lastRenderedPageBreak/>
              <w:t>para todas las oficinas/unidades</w:t>
            </w:r>
            <w:r w:rsidR="00A25367" w:rsidRPr="363CA695">
              <w:rPr>
                <w:rStyle w:val="FootnoteReference"/>
                <w:sz w:val="20"/>
                <w:szCs w:val="20"/>
              </w:rPr>
              <w:footnoteReference w:id="35"/>
            </w:r>
            <w:r w:rsidR="005B1BD7" w:rsidRPr="008B529A">
              <w:rPr>
                <w:sz w:val="20"/>
                <w:szCs w:val="20"/>
                <w:lang w:val="es-419"/>
              </w:rPr>
              <w:t xml:space="preserve">. Las </w:t>
            </w:r>
            <w:r w:rsidR="00A42B86" w:rsidRPr="00A42B86">
              <w:rPr>
                <w:sz w:val="20"/>
                <w:szCs w:val="20"/>
                <w:lang w:val="es-419"/>
              </w:rPr>
              <w:t>oficina</w:t>
            </w:r>
            <w:r w:rsidR="00A42B86">
              <w:rPr>
                <w:sz w:val="20"/>
                <w:szCs w:val="20"/>
                <w:lang w:val="es-419"/>
              </w:rPr>
              <w:t>s</w:t>
            </w:r>
            <w:r w:rsidR="00A42B86" w:rsidRPr="00A42B86">
              <w:rPr>
                <w:sz w:val="20"/>
                <w:szCs w:val="20"/>
                <w:lang w:val="es-419"/>
              </w:rPr>
              <w:t xml:space="preserve"> de país</w:t>
            </w:r>
            <w:r w:rsidR="3E451333" w:rsidRPr="008B529A">
              <w:rPr>
                <w:sz w:val="20"/>
                <w:szCs w:val="20"/>
                <w:lang w:val="es-419"/>
              </w:rPr>
              <w:t xml:space="preserve"> </w:t>
            </w:r>
            <w:r w:rsidR="005B1BD7" w:rsidRPr="008B529A">
              <w:rPr>
                <w:sz w:val="20"/>
                <w:szCs w:val="20"/>
                <w:lang w:val="es-419"/>
              </w:rPr>
              <w:t xml:space="preserve">proporcionan información/documentos B2B al BMS/GSSC; </w:t>
            </w:r>
            <w:r w:rsidR="00CA0FF3">
              <w:rPr>
                <w:sz w:val="20"/>
                <w:szCs w:val="20"/>
                <w:lang w:val="es-419"/>
              </w:rPr>
              <w:t>se comunican con l</w:t>
            </w:r>
            <w:r w:rsidR="005B1BD7" w:rsidRPr="008B529A">
              <w:rPr>
                <w:sz w:val="20"/>
                <w:szCs w:val="20"/>
                <w:lang w:val="es-419"/>
              </w:rPr>
              <w:t xml:space="preserve">os bancos locales para resolver errores/problemas bancarios; y </w:t>
            </w:r>
            <w:r w:rsidR="53D062FD" w:rsidRPr="008B529A">
              <w:rPr>
                <w:sz w:val="20"/>
                <w:szCs w:val="20"/>
                <w:lang w:val="es-419"/>
              </w:rPr>
              <w:t>comprueban elementos</w:t>
            </w:r>
            <w:r w:rsidR="005B1BD7" w:rsidRPr="008B529A">
              <w:rPr>
                <w:sz w:val="20"/>
                <w:szCs w:val="20"/>
                <w:lang w:val="es-419"/>
              </w:rPr>
              <w:t xml:space="preserve"> no conciliados o heredados. Para las oficinas de la sede, BMS/OFRM/Tesorería </w:t>
            </w:r>
            <w:r w:rsidR="12312F48" w:rsidRPr="008B529A">
              <w:rPr>
                <w:sz w:val="20"/>
                <w:szCs w:val="20"/>
                <w:lang w:val="es-419"/>
              </w:rPr>
              <w:t xml:space="preserve">lleva </w:t>
            </w:r>
            <w:r w:rsidR="00712BBC">
              <w:rPr>
                <w:sz w:val="20"/>
                <w:szCs w:val="20"/>
                <w:lang w:val="es-419"/>
              </w:rPr>
              <w:t xml:space="preserve"> </w:t>
            </w:r>
            <w:r w:rsidR="12312F48" w:rsidRPr="008B529A">
              <w:rPr>
                <w:sz w:val="20"/>
                <w:szCs w:val="20"/>
                <w:lang w:val="es-419"/>
              </w:rPr>
              <w:t xml:space="preserve">acabo </w:t>
            </w:r>
            <w:r w:rsidR="005B1BD7" w:rsidRPr="008B529A">
              <w:rPr>
                <w:sz w:val="20"/>
                <w:szCs w:val="20"/>
                <w:lang w:val="es-419"/>
              </w:rPr>
              <w:t xml:space="preserve">estas acciones. </w:t>
            </w:r>
          </w:p>
        </w:tc>
      </w:tr>
      <w:tr w:rsidR="00195091" w:rsidRPr="00773863" w14:paraId="6C2BACDB" w14:textId="77777777" w:rsidTr="48224A22">
        <w:trPr>
          <w:trHeight w:val="20"/>
        </w:trPr>
        <w:tc>
          <w:tcPr>
            <w:tcW w:w="9895" w:type="dxa"/>
          </w:tcPr>
          <w:p w14:paraId="283AA07D" w14:textId="78542650" w:rsidR="00195091" w:rsidRPr="00756410" w:rsidRDefault="377794CC">
            <w:pPr>
              <w:pStyle w:val="ListParagraph"/>
              <w:numPr>
                <w:ilvl w:val="0"/>
                <w:numId w:val="43"/>
              </w:numPr>
              <w:spacing w:after="0" w:line="240" w:lineRule="auto"/>
              <w:rPr>
                <w:sz w:val="20"/>
                <w:szCs w:val="20"/>
                <w:lang w:val="es-419"/>
              </w:rPr>
            </w:pPr>
            <w:r w:rsidRPr="00756410">
              <w:rPr>
                <w:b/>
                <w:bCs/>
                <w:sz w:val="20"/>
                <w:szCs w:val="20"/>
                <w:lang w:val="es-419"/>
              </w:rPr>
              <w:lastRenderedPageBreak/>
              <w:t>Supervis</w:t>
            </w:r>
            <w:r w:rsidR="7FCD2706" w:rsidRPr="3937432E">
              <w:rPr>
                <w:b/>
                <w:bCs/>
                <w:sz w:val="20"/>
                <w:szCs w:val="20"/>
                <w:lang w:val="es-419"/>
              </w:rPr>
              <w:t>ar</w:t>
            </w:r>
            <w:r w:rsidR="00195091" w:rsidRPr="3937432E">
              <w:rPr>
                <w:b/>
                <w:sz w:val="20"/>
                <w:szCs w:val="20"/>
                <w:lang w:val="es-419"/>
              </w:rPr>
              <w:t xml:space="preserve"> los informes de excepciones financieras </w:t>
            </w:r>
            <w:r w:rsidR="005419B8" w:rsidRPr="3937432E">
              <w:rPr>
                <w:sz w:val="20"/>
                <w:szCs w:val="20"/>
                <w:lang w:val="es-419"/>
              </w:rPr>
              <w:t xml:space="preserve">(por ejemplo, acuerdos de efectivo) en busca de transacciones inusuales y </w:t>
            </w:r>
            <w:r w:rsidR="4B4B5573" w:rsidRPr="3937432E">
              <w:rPr>
                <w:sz w:val="20"/>
                <w:szCs w:val="20"/>
                <w:lang w:val="es-419"/>
              </w:rPr>
              <w:t xml:space="preserve">resaltar </w:t>
            </w:r>
            <w:r w:rsidR="005419B8" w:rsidRPr="3937432E">
              <w:rPr>
                <w:sz w:val="20"/>
                <w:szCs w:val="20"/>
                <w:lang w:val="es-419"/>
              </w:rPr>
              <w:t>las anomalías.</w:t>
            </w:r>
          </w:p>
        </w:tc>
      </w:tr>
      <w:tr w:rsidR="00195091" w:rsidRPr="00773863" w14:paraId="4E3C5F53" w14:textId="77777777" w:rsidTr="48224A22">
        <w:trPr>
          <w:trHeight w:val="20"/>
        </w:trPr>
        <w:tc>
          <w:tcPr>
            <w:tcW w:w="9895" w:type="dxa"/>
          </w:tcPr>
          <w:p w14:paraId="6588DABD" w14:textId="42016165" w:rsidR="00195091" w:rsidRPr="00756410" w:rsidRDefault="00195091">
            <w:pPr>
              <w:pStyle w:val="ListParagraph"/>
              <w:numPr>
                <w:ilvl w:val="0"/>
                <w:numId w:val="43"/>
              </w:numPr>
              <w:spacing w:after="0" w:line="240" w:lineRule="auto"/>
              <w:rPr>
                <w:sz w:val="20"/>
                <w:szCs w:val="20"/>
                <w:lang w:val="es-419"/>
              </w:rPr>
            </w:pPr>
            <w:r w:rsidRPr="3937432E">
              <w:rPr>
                <w:b/>
                <w:sz w:val="20"/>
                <w:szCs w:val="20"/>
                <w:lang w:val="es-419"/>
              </w:rPr>
              <w:t xml:space="preserve">Garantizar </w:t>
            </w:r>
            <w:r w:rsidR="377794CC" w:rsidRPr="3937432E">
              <w:rPr>
                <w:b/>
                <w:bCs/>
                <w:sz w:val="20"/>
                <w:szCs w:val="20"/>
                <w:lang w:val="es-419"/>
              </w:rPr>
              <w:t>un</w:t>
            </w:r>
            <w:r w:rsidR="584D4543" w:rsidRPr="3937432E">
              <w:rPr>
                <w:b/>
                <w:bCs/>
                <w:sz w:val="20"/>
                <w:szCs w:val="20"/>
                <w:lang w:val="es-419"/>
              </w:rPr>
              <w:t xml:space="preserve"> nivel de </w:t>
            </w:r>
            <w:r w:rsidRPr="3937432E">
              <w:rPr>
                <w:b/>
                <w:sz w:val="20"/>
                <w:szCs w:val="20"/>
                <w:lang w:val="es-419"/>
              </w:rPr>
              <w:t xml:space="preserve">seguridad </w:t>
            </w:r>
            <w:r w:rsidR="1F018438" w:rsidRPr="3937432E">
              <w:rPr>
                <w:b/>
                <w:bCs/>
                <w:sz w:val="20"/>
                <w:szCs w:val="20"/>
                <w:lang w:val="es-419"/>
              </w:rPr>
              <w:t xml:space="preserve">adecuado </w:t>
            </w:r>
            <w:r w:rsidRPr="3937432E">
              <w:rPr>
                <w:b/>
                <w:sz w:val="20"/>
                <w:szCs w:val="20"/>
                <w:lang w:val="es-419"/>
              </w:rPr>
              <w:t>para el efectivo y otros activos</w:t>
            </w:r>
            <w:r w:rsidRPr="3937432E">
              <w:rPr>
                <w:sz w:val="20"/>
                <w:szCs w:val="20"/>
                <w:lang w:val="es-419"/>
              </w:rPr>
              <w:t xml:space="preserve"> en </w:t>
            </w:r>
            <w:r w:rsidR="55936CCD" w:rsidRPr="3937432E">
              <w:rPr>
                <w:sz w:val="20"/>
                <w:szCs w:val="20"/>
                <w:lang w:val="es-419"/>
              </w:rPr>
              <w:t>la oficina</w:t>
            </w:r>
            <w:r w:rsidRPr="3937432E">
              <w:rPr>
                <w:sz w:val="20"/>
                <w:szCs w:val="20"/>
                <w:lang w:val="es-419"/>
              </w:rPr>
              <w:t>, incluida la caja chica, el efectivo del proyecto, las cajas fuertes, etc.</w:t>
            </w:r>
          </w:p>
        </w:tc>
      </w:tr>
      <w:tr w:rsidR="00195091" w:rsidRPr="00773863" w14:paraId="0EF68655" w14:textId="77777777" w:rsidTr="48224A22">
        <w:trPr>
          <w:trHeight w:val="20"/>
        </w:trPr>
        <w:tc>
          <w:tcPr>
            <w:tcW w:w="9895" w:type="dxa"/>
          </w:tcPr>
          <w:p w14:paraId="1385CC2D" w14:textId="4CF64B0E" w:rsidR="00195091" w:rsidRPr="00756410" w:rsidRDefault="00195091">
            <w:pPr>
              <w:pStyle w:val="ListParagraph"/>
              <w:numPr>
                <w:ilvl w:val="0"/>
                <w:numId w:val="43"/>
              </w:numPr>
              <w:spacing w:after="0" w:line="240" w:lineRule="auto"/>
              <w:rPr>
                <w:sz w:val="20"/>
                <w:szCs w:val="20"/>
                <w:lang w:val="es-419"/>
              </w:rPr>
            </w:pPr>
            <w:r w:rsidRPr="3937432E">
              <w:rPr>
                <w:b/>
                <w:sz w:val="20"/>
                <w:szCs w:val="20"/>
                <w:lang w:val="es-419"/>
              </w:rPr>
              <w:t>Conciliar las cuentas de caja chica</w:t>
            </w:r>
            <w:r w:rsidR="008A398C" w:rsidRPr="3937432E">
              <w:rPr>
                <w:sz w:val="20"/>
                <w:szCs w:val="20"/>
                <w:lang w:val="es-419"/>
              </w:rPr>
              <w:t xml:space="preserve"> </w:t>
            </w:r>
            <w:r w:rsidR="09890CC2" w:rsidRPr="3937432E">
              <w:rPr>
                <w:sz w:val="20"/>
                <w:szCs w:val="20"/>
                <w:lang w:val="es-419"/>
              </w:rPr>
              <w:t xml:space="preserve">conforme a lo dispuesto en el capítulo de </w:t>
            </w:r>
            <w:hyperlink r:id="rId141">
              <w:r w:rsidR="0094231E">
                <w:rPr>
                  <w:rStyle w:val="Hyperlink"/>
                  <w:sz w:val="20"/>
                  <w:szCs w:val="20"/>
                  <w:lang w:val="es-419"/>
                </w:rPr>
                <w:t>”</w:t>
              </w:r>
              <w:r w:rsidR="0094231E" w:rsidRPr="00756410">
                <w:rPr>
                  <w:rStyle w:val="Hyperlink"/>
                  <w:i/>
                  <w:iCs/>
                  <w:sz w:val="20"/>
                  <w:szCs w:val="20"/>
                  <w:lang w:val="es-419"/>
                </w:rPr>
                <w:t>G</w:t>
              </w:r>
              <w:r w:rsidR="008A398C" w:rsidRPr="00756410">
                <w:rPr>
                  <w:rStyle w:val="Hyperlink"/>
                  <w:i/>
                  <w:iCs/>
                  <w:sz w:val="20"/>
                  <w:szCs w:val="20"/>
                  <w:lang w:val="es-419"/>
                </w:rPr>
                <w:t>estión de</w:t>
              </w:r>
              <w:r w:rsidR="0094231E" w:rsidRPr="00756410">
                <w:rPr>
                  <w:rStyle w:val="Hyperlink"/>
                  <w:i/>
                  <w:iCs/>
                  <w:sz w:val="20"/>
                  <w:szCs w:val="20"/>
                  <w:lang w:val="es-419"/>
                </w:rPr>
                <w:t xml:space="preserve"> la</w:t>
              </w:r>
              <w:r w:rsidR="008A398C" w:rsidRPr="00756410">
                <w:rPr>
                  <w:rStyle w:val="Hyperlink"/>
                  <w:i/>
                  <w:iCs/>
                  <w:sz w:val="20"/>
                  <w:szCs w:val="20"/>
                  <w:lang w:val="es-419"/>
                </w:rPr>
                <w:t xml:space="preserve"> caja chica</w:t>
              </w:r>
              <w:r w:rsidR="0094231E">
                <w:rPr>
                  <w:rStyle w:val="Hyperlink"/>
                  <w:sz w:val="20"/>
                  <w:szCs w:val="20"/>
                  <w:lang w:val="es-419"/>
                </w:rPr>
                <w:t>”</w:t>
              </w:r>
              <w:r w:rsidR="008A398C" w:rsidRPr="00756410">
                <w:rPr>
                  <w:rStyle w:val="Hyperlink"/>
                  <w:sz w:val="20"/>
                  <w:szCs w:val="20"/>
                  <w:lang w:val="es-419"/>
                </w:rPr>
                <w:t xml:space="preserve"> </w:t>
              </w:r>
              <w:r w:rsidR="0094231E">
                <w:rPr>
                  <w:rStyle w:val="Hyperlink"/>
                  <w:sz w:val="20"/>
                  <w:szCs w:val="20"/>
                  <w:lang w:val="es-419"/>
                </w:rPr>
                <w:t xml:space="preserve">del </w:t>
              </w:r>
              <w:r w:rsidR="008A398C" w:rsidRPr="00756410">
                <w:rPr>
                  <w:rStyle w:val="Hyperlink"/>
                  <w:sz w:val="20"/>
                  <w:szCs w:val="20"/>
                  <w:lang w:val="es-419"/>
                </w:rPr>
                <w:t>POPP</w:t>
              </w:r>
            </w:hyperlink>
            <w:r w:rsidR="00FF3F21" w:rsidRPr="00756410">
              <w:rPr>
                <w:sz w:val="20"/>
                <w:szCs w:val="20"/>
                <w:lang w:val="es-419"/>
              </w:rPr>
              <w:t>.</w:t>
            </w:r>
          </w:p>
        </w:tc>
      </w:tr>
      <w:tr w:rsidR="002C3ED9" w:rsidRPr="00773863" w14:paraId="16EDA2C7" w14:textId="77777777" w:rsidTr="48224A22">
        <w:trPr>
          <w:trHeight w:val="20"/>
        </w:trPr>
        <w:tc>
          <w:tcPr>
            <w:tcW w:w="9895" w:type="dxa"/>
          </w:tcPr>
          <w:p w14:paraId="59C93470" w14:textId="21D82FB3" w:rsidR="002C3ED9" w:rsidRPr="3937432E" w:rsidRDefault="002C3ED9">
            <w:pPr>
              <w:pStyle w:val="ListParagraph"/>
              <w:numPr>
                <w:ilvl w:val="0"/>
                <w:numId w:val="43"/>
              </w:numPr>
              <w:spacing w:after="0" w:line="240" w:lineRule="auto"/>
              <w:rPr>
                <w:b/>
                <w:sz w:val="20"/>
                <w:szCs w:val="20"/>
                <w:lang w:val="es-419"/>
              </w:rPr>
            </w:pPr>
            <w:r>
              <w:rPr>
                <w:b/>
                <w:sz w:val="20"/>
                <w:szCs w:val="20"/>
                <w:lang w:val="es-419"/>
              </w:rPr>
              <w:t xml:space="preserve">Gestionar la Caja Fuerte </w:t>
            </w:r>
            <w:r w:rsidRPr="00756410">
              <w:rPr>
                <w:bCs/>
                <w:sz w:val="20"/>
                <w:szCs w:val="20"/>
                <w:lang w:val="es-419"/>
              </w:rPr>
              <w:t xml:space="preserve">conforme a la </w:t>
            </w:r>
            <w:r w:rsidR="00DF1133" w:rsidRPr="00A83E91">
              <w:rPr>
                <w:bCs/>
                <w:sz w:val="20"/>
                <w:szCs w:val="20"/>
                <w:lang w:val="es-419"/>
              </w:rPr>
              <w:t>política de “</w:t>
            </w:r>
            <w:hyperlink r:id="rId142" w:history="1">
              <w:r w:rsidRPr="00756410">
                <w:rPr>
                  <w:rStyle w:val="Hyperlink"/>
                  <w:bCs/>
                  <w:i/>
                  <w:iCs/>
                  <w:lang w:val="es-ES"/>
                </w:rPr>
                <w:t>Gestión d</w:t>
              </w:r>
              <w:r w:rsidR="002E117C" w:rsidRPr="00A83E91">
                <w:rPr>
                  <w:rStyle w:val="Hyperlink"/>
                  <w:bCs/>
                  <w:i/>
                  <w:iCs/>
                  <w:sz w:val="20"/>
                  <w:szCs w:val="20"/>
                  <w:lang w:val="es-419"/>
                </w:rPr>
                <w:t>e</w:t>
              </w:r>
              <w:r w:rsidR="00DF1133" w:rsidRPr="00756410">
                <w:rPr>
                  <w:rStyle w:val="Hyperlink"/>
                  <w:i/>
                  <w:iCs/>
                  <w:lang w:val="es-ES"/>
                </w:rPr>
                <w:t xml:space="preserve"> Cajas Fuertes</w:t>
              </w:r>
            </w:hyperlink>
            <w:r w:rsidR="00DF1133" w:rsidRPr="00A83E91">
              <w:rPr>
                <w:bCs/>
                <w:sz w:val="20"/>
                <w:szCs w:val="20"/>
                <w:lang w:val="es-419"/>
              </w:rPr>
              <w:t>”</w:t>
            </w:r>
            <w:r w:rsidRPr="00756410">
              <w:rPr>
                <w:bCs/>
                <w:sz w:val="20"/>
                <w:szCs w:val="20"/>
                <w:lang w:val="es-419"/>
              </w:rPr>
              <w:t xml:space="preserve"> y la </w:t>
            </w:r>
            <w:hyperlink r:id="rId143" w:history="1">
              <w:r w:rsidR="00ED423E" w:rsidRPr="00756410">
                <w:rPr>
                  <w:rStyle w:val="Hyperlink"/>
                  <w:bCs/>
                  <w:sz w:val="20"/>
                  <w:szCs w:val="20"/>
                  <w:lang w:val="es-419"/>
                </w:rPr>
                <w:t>”</w:t>
              </w:r>
              <w:r w:rsidR="00ED423E" w:rsidRPr="00756410">
                <w:rPr>
                  <w:rStyle w:val="Hyperlink"/>
                  <w:bCs/>
                  <w:i/>
                  <w:iCs/>
                  <w:sz w:val="20"/>
                  <w:szCs w:val="20"/>
                  <w:lang w:val="es-419"/>
                </w:rPr>
                <w:t>N</w:t>
              </w:r>
              <w:r w:rsidRPr="00756410">
                <w:rPr>
                  <w:rStyle w:val="Hyperlink"/>
                  <w:bCs/>
                  <w:i/>
                  <w:iCs/>
                  <w:lang w:val="es-ES"/>
                </w:rPr>
                <w:t xml:space="preserve">ormativa de </w:t>
              </w:r>
              <w:r w:rsidR="00ED423E" w:rsidRPr="00756410">
                <w:rPr>
                  <w:rStyle w:val="Hyperlink"/>
                  <w:bCs/>
                  <w:i/>
                  <w:iCs/>
                  <w:lang w:val="es-ES"/>
                </w:rPr>
                <w:t>Recuperación en casos d</w:t>
              </w:r>
              <w:r w:rsidRPr="00756410">
                <w:rPr>
                  <w:rStyle w:val="Hyperlink"/>
                  <w:bCs/>
                  <w:i/>
                  <w:iCs/>
                  <w:lang w:val="es-ES"/>
                </w:rPr>
                <w:t>e Desastre</w:t>
              </w:r>
              <w:r w:rsidR="00ED423E" w:rsidRPr="00756410">
                <w:rPr>
                  <w:rStyle w:val="Hyperlink"/>
                  <w:bCs/>
                  <w:sz w:val="20"/>
                  <w:szCs w:val="20"/>
                  <w:lang w:val="es-419"/>
                </w:rPr>
                <w:t>”</w:t>
              </w:r>
            </w:hyperlink>
            <w:r w:rsidRPr="00756410">
              <w:rPr>
                <w:bCs/>
                <w:sz w:val="20"/>
                <w:szCs w:val="20"/>
                <w:lang w:val="es-419"/>
              </w:rPr>
              <w:t xml:space="preserve"> del POPP</w:t>
            </w:r>
            <w:r w:rsidRPr="00A83E91">
              <w:rPr>
                <w:b/>
                <w:sz w:val="20"/>
                <w:szCs w:val="20"/>
                <w:lang w:val="es-419"/>
              </w:rPr>
              <w:t>.</w:t>
            </w:r>
            <w:r>
              <w:rPr>
                <w:b/>
                <w:sz w:val="20"/>
                <w:szCs w:val="20"/>
                <w:lang w:val="es-419"/>
              </w:rPr>
              <w:t xml:space="preserve"> </w:t>
            </w:r>
          </w:p>
        </w:tc>
      </w:tr>
      <w:tr w:rsidR="00C666FA" w:rsidRPr="00C24118" w14:paraId="2005D6D8" w14:textId="77777777" w:rsidTr="48224A22">
        <w:trPr>
          <w:trHeight w:val="20"/>
        </w:trPr>
        <w:tc>
          <w:tcPr>
            <w:tcW w:w="9895" w:type="dxa"/>
            <w:shd w:val="clear" w:color="auto" w:fill="000000" w:themeFill="text1"/>
          </w:tcPr>
          <w:p w14:paraId="7D722BC3" w14:textId="1A4D5947" w:rsidR="00C666FA" w:rsidRPr="00C666FA" w:rsidRDefault="00C666FA" w:rsidP="008A398C">
            <w:pPr>
              <w:spacing w:after="0" w:line="240" w:lineRule="auto"/>
              <w:rPr>
                <w:b/>
                <w:bCs/>
                <w:sz w:val="20"/>
                <w:szCs w:val="20"/>
              </w:rPr>
            </w:pPr>
            <w:r w:rsidRPr="00C666FA">
              <w:rPr>
                <w:b/>
                <w:bCs/>
                <w:sz w:val="20"/>
                <w:szCs w:val="20"/>
              </w:rPr>
              <w:t>Transacciones y cuentas GL</w:t>
            </w:r>
          </w:p>
        </w:tc>
      </w:tr>
      <w:tr w:rsidR="00C666FA" w:rsidRPr="00773863" w14:paraId="0B072474" w14:textId="77777777" w:rsidTr="48224A22">
        <w:trPr>
          <w:trHeight w:val="20"/>
        </w:trPr>
        <w:tc>
          <w:tcPr>
            <w:tcW w:w="9895" w:type="dxa"/>
          </w:tcPr>
          <w:p w14:paraId="7BEB401A" w14:textId="665C3F7A" w:rsidR="00C666FA" w:rsidRPr="00756410" w:rsidRDefault="0003693B" w:rsidP="00756410">
            <w:pPr>
              <w:pStyle w:val="ListParagraph"/>
              <w:numPr>
                <w:ilvl w:val="0"/>
                <w:numId w:val="38"/>
              </w:numPr>
              <w:spacing w:after="0" w:line="240" w:lineRule="auto"/>
              <w:ind w:left="375"/>
              <w:jc w:val="both"/>
              <w:rPr>
                <w:sz w:val="20"/>
                <w:szCs w:val="20"/>
                <w:lang w:val="es-419"/>
              </w:rPr>
            </w:pPr>
            <w:r w:rsidRPr="3937432E">
              <w:rPr>
                <w:b/>
                <w:sz w:val="20"/>
                <w:szCs w:val="20"/>
                <w:lang w:val="es-419"/>
              </w:rPr>
              <w:t>Mantener el libro mayor de la oficina/unidad:</w:t>
            </w:r>
            <w:r w:rsidRPr="3937432E">
              <w:rPr>
                <w:sz w:val="20"/>
                <w:szCs w:val="20"/>
                <w:lang w:val="es-419"/>
              </w:rPr>
              <w:t xml:space="preserve"> </w:t>
            </w:r>
            <w:r w:rsidR="57FAE825" w:rsidRPr="3937432E">
              <w:rPr>
                <w:sz w:val="20"/>
                <w:szCs w:val="20"/>
                <w:lang w:val="es-419"/>
              </w:rPr>
              <w:t>Asegurar</w:t>
            </w:r>
            <w:r w:rsidRPr="3937432E">
              <w:rPr>
                <w:sz w:val="20"/>
                <w:szCs w:val="20"/>
                <w:lang w:val="es-419"/>
              </w:rPr>
              <w:t xml:space="preserve"> que todas las transacciones financieras se identifiquen, registren y verifiquen de conformidad con la gestión financiera de</w:t>
            </w:r>
            <w:r w:rsidR="00A83E91">
              <w:rPr>
                <w:sz w:val="20"/>
                <w:szCs w:val="20"/>
                <w:lang w:val="es-419"/>
              </w:rPr>
              <w:t>l</w:t>
            </w:r>
            <w:r w:rsidRPr="3937432E">
              <w:rPr>
                <w:sz w:val="20"/>
                <w:szCs w:val="20"/>
                <w:lang w:val="es-419"/>
              </w:rPr>
              <w:t xml:space="preserve"> POPP, incluida la coordinación y revisión de las cuentas asignadas del libro mayor y del libro auxiliar, el seguimiento de las cuentas por cobrar y el apoyo al cierre oportuno del proyecto.</w:t>
            </w:r>
          </w:p>
        </w:tc>
      </w:tr>
      <w:tr w:rsidR="00C666FA" w:rsidRPr="00773863" w14:paraId="2C0E0E7E" w14:textId="77777777" w:rsidTr="48224A22">
        <w:trPr>
          <w:trHeight w:val="20"/>
        </w:trPr>
        <w:tc>
          <w:tcPr>
            <w:tcW w:w="9895" w:type="dxa"/>
          </w:tcPr>
          <w:p w14:paraId="35B2EBD5" w14:textId="4DE47849" w:rsidR="00C666FA" w:rsidRPr="00756410" w:rsidRDefault="27FF9315" w:rsidP="00756410">
            <w:pPr>
              <w:pStyle w:val="ListParagraph"/>
              <w:numPr>
                <w:ilvl w:val="0"/>
                <w:numId w:val="38"/>
              </w:numPr>
              <w:spacing w:after="0" w:line="240" w:lineRule="auto"/>
              <w:ind w:left="375"/>
              <w:jc w:val="both"/>
              <w:rPr>
                <w:sz w:val="20"/>
                <w:szCs w:val="20"/>
                <w:lang w:val="es-419"/>
              </w:rPr>
            </w:pPr>
            <w:r w:rsidRPr="3937432E">
              <w:rPr>
                <w:b/>
                <w:bCs/>
                <w:sz w:val="20"/>
                <w:szCs w:val="20"/>
                <w:lang w:val="es-419"/>
              </w:rPr>
              <w:t>Supervis</w:t>
            </w:r>
            <w:r w:rsidR="2C73F683" w:rsidRPr="3937432E">
              <w:rPr>
                <w:b/>
                <w:bCs/>
                <w:sz w:val="20"/>
                <w:szCs w:val="20"/>
                <w:lang w:val="es-419"/>
              </w:rPr>
              <w:t>ar</w:t>
            </w:r>
            <w:r w:rsidR="00A83E91">
              <w:rPr>
                <w:b/>
                <w:bCs/>
                <w:sz w:val="20"/>
                <w:szCs w:val="20"/>
                <w:lang w:val="es-419"/>
              </w:rPr>
              <w:t xml:space="preserve"> </w:t>
            </w:r>
            <w:r w:rsidR="0003693B" w:rsidRPr="3937432E">
              <w:rPr>
                <w:b/>
                <w:sz w:val="20"/>
                <w:szCs w:val="20"/>
                <w:lang w:val="es-419"/>
              </w:rPr>
              <w:t xml:space="preserve">la finalización oportuna de las transacciones: </w:t>
            </w:r>
            <w:r w:rsidR="00C666FA" w:rsidRPr="3937432E">
              <w:rPr>
                <w:sz w:val="20"/>
                <w:szCs w:val="20"/>
                <w:lang w:val="es-419"/>
              </w:rPr>
              <w:t>Aseg</w:t>
            </w:r>
            <w:r w:rsidR="00DA0219">
              <w:rPr>
                <w:sz w:val="20"/>
                <w:szCs w:val="20"/>
                <w:lang w:val="es-419"/>
              </w:rPr>
              <w:t>urars</w:t>
            </w:r>
            <w:r w:rsidR="00C666FA" w:rsidRPr="3937432E">
              <w:rPr>
                <w:sz w:val="20"/>
                <w:szCs w:val="20"/>
                <w:lang w:val="es-419"/>
              </w:rPr>
              <w:t xml:space="preserve">e de que las facturas procesadas </w:t>
            </w:r>
            <w:r w:rsidR="000D5048">
              <w:rPr>
                <w:sz w:val="20"/>
                <w:szCs w:val="20"/>
                <w:lang w:val="es-419"/>
              </w:rPr>
              <w:t>estén conciliadas y completadas</w:t>
            </w:r>
            <w:r w:rsidR="00C666FA" w:rsidRPr="3937432E">
              <w:rPr>
                <w:sz w:val="20"/>
                <w:szCs w:val="20"/>
                <w:lang w:val="es-419"/>
              </w:rPr>
              <w:t xml:space="preserve">, que las transacciones se registren </w:t>
            </w:r>
            <w:r w:rsidR="00537F9D">
              <w:rPr>
                <w:sz w:val="20"/>
                <w:szCs w:val="20"/>
                <w:lang w:val="es-419"/>
              </w:rPr>
              <w:t xml:space="preserve">y contabilicen </w:t>
            </w:r>
            <w:r w:rsidR="00C666FA" w:rsidRPr="3937432E">
              <w:rPr>
                <w:sz w:val="20"/>
                <w:szCs w:val="20"/>
                <w:lang w:val="es-419"/>
              </w:rPr>
              <w:t>correctamente en ERP; y que las reclamaciones de viaje y otros derechos se procesen debidamente de conformidad con</w:t>
            </w:r>
            <w:r w:rsidR="00537F9D">
              <w:rPr>
                <w:sz w:val="20"/>
                <w:szCs w:val="20"/>
                <w:lang w:val="es-419"/>
              </w:rPr>
              <w:t xml:space="preserve"> el</w:t>
            </w:r>
            <w:r w:rsidR="00C666FA" w:rsidRPr="3937432E">
              <w:rPr>
                <w:sz w:val="20"/>
                <w:szCs w:val="20"/>
                <w:lang w:val="es-419"/>
              </w:rPr>
              <w:t xml:space="preserve"> POPP; y que se tomen medidas correctivas oportunas en las facturas no contabilizadas y GL, incluidas las facturas con errores de validación, excepciones de </w:t>
            </w:r>
            <w:r w:rsidR="002C24F7">
              <w:rPr>
                <w:sz w:val="20"/>
                <w:szCs w:val="20"/>
                <w:lang w:val="es-419"/>
              </w:rPr>
              <w:t xml:space="preserve">conciliación </w:t>
            </w:r>
            <w:r w:rsidR="00C666FA" w:rsidRPr="3937432E">
              <w:rPr>
                <w:sz w:val="20"/>
                <w:szCs w:val="20"/>
                <w:lang w:val="es-419"/>
              </w:rPr>
              <w:t>y/o facturas no aprobadas.</w:t>
            </w:r>
          </w:p>
        </w:tc>
      </w:tr>
      <w:tr w:rsidR="00C666FA" w:rsidRPr="00773863" w14:paraId="426132FA" w14:textId="77777777" w:rsidTr="48224A22">
        <w:trPr>
          <w:trHeight w:val="20"/>
        </w:trPr>
        <w:tc>
          <w:tcPr>
            <w:tcW w:w="9895" w:type="dxa"/>
          </w:tcPr>
          <w:p w14:paraId="524529CB" w14:textId="4410356C" w:rsidR="00C666FA" w:rsidRPr="00756410" w:rsidRDefault="0003693B" w:rsidP="00756410">
            <w:pPr>
              <w:pStyle w:val="ListParagraph"/>
              <w:numPr>
                <w:ilvl w:val="0"/>
                <w:numId w:val="44"/>
              </w:numPr>
              <w:spacing w:after="0" w:line="240" w:lineRule="auto"/>
              <w:jc w:val="both"/>
              <w:rPr>
                <w:sz w:val="20"/>
                <w:szCs w:val="20"/>
                <w:lang w:val="es-419"/>
              </w:rPr>
            </w:pPr>
            <w:r w:rsidRPr="3937432E">
              <w:rPr>
                <w:b/>
                <w:sz w:val="20"/>
                <w:szCs w:val="20"/>
                <w:lang w:val="es-419"/>
              </w:rPr>
              <w:t>Supervisar la situación financiera de la oficina o la unidad y los indicadores de gestión:</w:t>
            </w:r>
            <w:r w:rsidRPr="3937432E">
              <w:rPr>
                <w:sz w:val="20"/>
                <w:szCs w:val="20"/>
                <w:lang w:val="es-419"/>
              </w:rPr>
              <w:t xml:space="preserve"> Revisar periódicamente los indicadores clave del cuadro de mando financiero integrado y adoptar medidas preventivas o correctivas inmediatas. Supervis</w:t>
            </w:r>
            <w:r w:rsidR="00537F9D">
              <w:rPr>
                <w:sz w:val="20"/>
                <w:szCs w:val="20"/>
                <w:lang w:val="es-419"/>
              </w:rPr>
              <w:t>ar</w:t>
            </w:r>
            <w:r w:rsidRPr="3937432E">
              <w:rPr>
                <w:sz w:val="20"/>
                <w:szCs w:val="20"/>
                <w:lang w:val="es-419"/>
              </w:rPr>
              <w:t xml:space="preserve"> periódicamente los </w:t>
            </w:r>
            <w:r w:rsidR="00FA6BF2">
              <w:rPr>
                <w:sz w:val="20"/>
                <w:szCs w:val="20"/>
                <w:lang w:val="es-419"/>
              </w:rPr>
              <w:t>informes</w:t>
            </w:r>
            <w:r w:rsidR="00FA6BF2" w:rsidRPr="3937432E">
              <w:rPr>
                <w:sz w:val="20"/>
                <w:szCs w:val="20"/>
                <w:lang w:val="es-419"/>
              </w:rPr>
              <w:t xml:space="preserve"> </w:t>
            </w:r>
            <w:r w:rsidRPr="3937432E">
              <w:rPr>
                <w:sz w:val="20"/>
                <w:szCs w:val="20"/>
                <w:lang w:val="es-419"/>
              </w:rPr>
              <w:t xml:space="preserve">y las excepciones; e identificar acciones correctivas. </w:t>
            </w:r>
          </w:p>
        </w:tc>
      </w:tr>
      <w:tr w:rsidR="00C666FA" w:rsidRPr="00773863" w14:paraId="1AEC2258" w14:textId="77777777" w:rsidTr="48224A22">
        <w:trPr>
          <w:trHeight w:val="20"/>
        </w:trPr>
        <w:tc>
          <w:tcPr>
            <w:tcW w:w="9895" w:type="dxa"/>
          </w:tcPr>
          <w:p w14:paraId="6147CF64" w14:textId="37FA5EFF" w:rsidR="00C666FA" w:rsidRPr="00756410" w:rsidRDefault="0003693B" w:rsidP="00756410">
            <w:pPr>
              <w:pStyle w:val="ListParagraph"/>
              <w:numPr>
                <w:ilvl w:val="0"/>
                <w:numId w:val="44"/>
              </w:numPr>
              <w:spacing w:after="0" w:line="240" w:lineRule="auto"/>
              <w:jc w:val="both"/>
              <w:rPr>
                <w:sz w:val="20"/>
                <w:szCs w:val="20"/>
                <w:lang w:val="es-419"/>
              </w:rPr>
            </w:pPr>
            <w:r w:rsidRPr="3937432E">
              <w:rPr>
                <w:b/>
                <w:sz w:val="20"/>
                <w:szCs w:val="20"/>
                <w:lang w:val="es-419"/>
              </w:rPr>
              <w:t xml:space="preserve">Garantizar certificaciones oportunas: </w:t>
            </w:r>
            <w:r w:rsidR="70C44AE4" w:rsidRPr="3937432E">
              <w:rPr>
                <w:sz w:val="20"/>
                <w:szCs w:val="20"/>
                <w:lang w:val="es-419"/>
              </w:rPr>
              <w:t>Reali</w:t>
            </w:r>
            <w:r w:rsidR="6DBA5314" w:rsidRPr="3937432E">
              <w:rPr>
                <w:sz w:val="20"/>
                <w:szCs w:val="20"/>
                <w:lang w:val="es-419"/>
              </w:rPr>
              <w:t>zar</w:t>
            </w:r>
            <w:r w:rsidR="00C666FA" w:rsidRPr="3937432E">
              <w:rPr>
                <w:sz w:val="20"/>
                <w:szCs w:val="20"/>
                <w:lang w:val="es-419"/>
              </w:rPr>
              <w:t xml:space="preserve"> certificaciones trimestrales y de fin de año oportunas según las pautas de BMS</w:t>
            </w:r>
            <w:r w:rsidR="00FA6BF2">
              <w:rPr>
                <w:sz w:val="20"/>
                <w:szCs w:val="20"/>
                <w:lang w:val="es-419"/>
              </w:rPr>
              <w:t>/</w:t>
            </w:r>
            <w:r w:rsidR="00C666FA" w:rsidRPr="3937432E">
              <w:rPr>
                <w:sz w:val="20"/>
                <w:szCs w:val="20"/>
                <w:lang w:val="es-419"/>
              </w:rPr>
              <w:t>OFRM.</w:t>
            </w:r>
          </w:p>
        </w:tc>
      </w:tr>
      <w:tr w:rsidR="00DB1DB9" w:rsidRPr="00773863" w14:paraId="3F66AF3D" w14:textId="77777777" w:rsidTr="48224A22">
        <w:trPr>
          <w:trHeight w:val="20"/>
        </w:trPr>
        <w:tc>
          <w:tcPr>
            <w:tcW w:w="9895" w:type="dxa"/>
            <w:shd w:val="clear" w:color="auto" w:fill="000000" w:themeFill="text1"/>
          </w:tcPr>
          <w:p w14:paraId="24C547F8" w14:textId="09487D49" w:rsidR="00DB1DB9" w:rsidRPr="00756410" w:rsidRDefault="00DB1DB9" w:rsidP="363CA695">
            <w:pPr>
              <w:spacing w:after="0" w:line="240" w:lineRule="auto"/>
              <w:rPr>
                <w:b/>
                <w:sz w:val="20"/>
                <w:szCs w:val="20"/>
                <w:lang w:val="es-419"/>
              </w:rPr>
            </w:pPr>
            <w:r w:rsidRPr="00756410">
              <w:rPr>
                <w:b/>
                <w:bCs/>
                <w:sz w:val="20"/>
                <w:szCs w:val="20"/>
                <w:lang w:val="es-419"/>
              </w:rPr>
              <w:t>Seguimiento de la gestión financiera</w:t>
            </w:r>
          </w:p>
        </w:tc>
      </w:tr>
      <w:tr w:rsidR="00EC70BF" w:rsidRPr="00773863" w14:paraId="0357D8DE" w14:textId="77777777" w:rsidTr="48224A22">
        <w:trPr>
          <w:trHeight w:val="20"/>
        </w:trPr>
        <w:tc>
          <w:tcPr>
            <w:tcW w:w="9895" w:type="dxa"/>
          </w:tcPr>
          <w:p w14:paraId="1EB0E542" w14:textId="5F7913FB" w:rsidR="00EC70BF" w:rsidRPr="00756410" w:rsidRDefault="00EC70BF" w:rsidP="00756410">
            <w:pPr>
              <w:pStyle w:val="ListParagraph"/>
              <w:numPr>
                <w:ilvl w:val="0"/>
                <w:numId w:val="45"/>
              </w:numPr>
              <w:spacing w:after="0" w:line="240" w:lineRule="auto"/>
              <w:jc w:val="both"/>
              <w:rPr>
                <w:sz w:val="20"/>
                <w:szCs w:val="20"/>
                <w:lang w:val="es-419"/>
              </w:rPr>
            </w:pPr>
            <w:r w:rsidRPr="3937432E">
              <w:rPr>
                <w:b/>
                <w:sz w:val="20"/>
                <w:szCs w:val="20"/>
                <w:lang w:val="es-419"/>
              </w:rPr>
              <w:t>Monitorear la situación financiera:</w:t>
            </w:r>
            <w:r w:rsidRPr="3937432E">
              <w:rPr>
                <w:sz w:val="20"/>
                <w:szCs w:val="20"/>
                <w:lang w:val="es-419"/>
              </w:rPr>
              <w:t xml:space="preserve"> Analizar y monitorear continuamente la situación financiera de la oficina/unidad y los riesgos potenciales, incluida la supervisión regular de todos los recursos administrados por la oficina/unidad, y proporcionar pronósticos para proyectos, transacciones y actividades de desarrollo y gestión asignados. Consulte la sección 15 para obtener información sobre los informes clave de supervisión de la gestión financiera.</w:t>
            </w:r>
          </w:p>
        </w:tc>
      </w:tr>
      <w:tr w:rsidR="00DB1DB9" w:rsidRPr="00773863" w14:paraId="6D8FBEDD" w14:textId="77777777" w:rsidTr="48224A22">
        <w:trPr>
          <w:trHeight w:val="20"/>
        </w:trPr>
        <w:tc>
          <w:tcPr>
            <w:tcW w:w="9895" w:type="dxa"/>
          </w:tcPr>
          <w:p w14:paraId="0D040064" w14:textId="2BEE6C95" w:rsidR="00DB1DB9" w:rsidRPr="00756410" w:rsidRDefault="179079C2" w:rsidP="00756410">
            <w:pPr>
              <w:pStyle w:val="ListParagraph"/>
              <w:numPr>
                <w:ilvl w:val="0"/>
                <w:numId w:val="45"/>
              </w:numPr>
              <w:spacing w:after="0" w:line="240" w:lineRule="auto"/>
              <w:jc w:val="both"/>
              <w:rPr>
                <w:sz w:val="20"/>
                <w:szCs w:val="20"/>
                <w:lang w:val="es-419"/>
              </w:rPr>
            </w:pPr>
            <w:r w:rsidRPr="3937432E">
              <w:rPr>
                <w:b/>
                <w:bCs/>
                <w:sz w:val="20"/>
                <w:szCs w:val="20"/>
                <w:lang w:val="es-419"/>
              </w:rPr>
              <w:t>Supervis</w:t>
            </w:r>
            <w:r w:rsidR="6881354A" w:rsidRPr="3937432E">
              <w:rPr>
                <w:b/>
                <w:bCs/>
                <w:sz w:val="20"/>
                <w:szCs w:val="20"/>
                <w:lang w:val="es-419"/>
              </w:rPr>
              <w:t>ar</w:t>
            </w:r>
            <w:r w:rsidR="00EC70BF" w:rsidRPr="3937432E">
              <w:rPr>
                <w:b/>
                <w:sz w:val="20"/>
                <w:szCs w:val="20"/>
                <w:lang w:val="es-419"/>
              </w:rPr>
              <w:t xml:space="preserve"> las excepciones financieras: </w:t>
            </w:r>
            <w:r w:rsidR="53253656" w:rsidRPr="3937432E">
              <w:rPr>
                <w:sz w:val="20"/>
                <w:szCs w:val="20"/>
                <w:lang w:val="es-419"/>
              </w:rPr>
              <w:t>supervis</w:t>
            </w:r>
            <w:r w:rsidR="14D30A23" w:rsidRPr="3937432E">
              <w:rPr>
                <w:sz w:val="20"/>
                <w:szCs w:val="20"/>
                <w:lang w:val="es-419"/>
              </w:rPr>
              <w:t>ar</w:t>
            </w:r>
            <w:r w:rsidR="00DB1DB9" w:rsidRPr="3937432E">
              <w:rPr>
                <w:sz w:val="20"/>
                <w:szCs w:val="20"/>
                <w:lang w:val="es-419"/>
              </w:rPr>
              <w:t xml:space="preserve"> </w:t>
            </w:r>
            <w:r w:rsidR="632322EB" w:rsidRPr="3937432E">
              <w:rPr>
                <w:sz w:val="20"/>
                <w:szCs w:val="20"/>
                <w:lang w:val="es-419"/>
              </w:rPr>
              <w:t xml:space="preserve">rutinariamente </w:t>
            </w:r>
            <w:r w:rsidR="00DB1DB9" w:rsidRPr="3937432E">
              <w:rPr>
                <w:sz w:val="20"/>
                <w:szCs w:val="20"/>
                <w:lang w:val="es-419"/>
              </w:rPr>
              <w:t xml:space="preserve">los informes de excepciones financieras en busca de actividades y transacciones inusuales e </w:t>
            </w:r>
            <w:r w:rsidR="53253656" w:rsidRPr="3937432E">
              <w:rPr>
                <w:sz w:val="20"/>
                <w:szCs w:val="20"/>
                <w:lang w:val="es-419"/>
              </w:rPr>
              <w:t>investig</w:t>
            </w:r>
            <w:r w:rsidR="6A8E88D6" w:rsidRPr="3937432E">
              <w:rPr>
                <w:sz w:val="20"/>
                <w:szCs w:val="20"/>
                <w:lang w:val="es-419"/>
              </w:rPr>
              <w:t>ar</w:t>
            </w:r>
            <w:r w:rsidR="00DB1DB9" w:rsidRPr="3937432E">
              <w:rPr>
                <w:sz w:val="20"/>
                <w:szCs w:val="20"/>
                <w:lang w:val="es-419"/>
              </w:rPr>
              <w:t xml:space="preserve"> anomalías o transacciones inusuales. Consulte la </w:t>
            </w:r>
            <w:hyperlink w:anchor="_Management_Reports" w:history="1">
              <w:r w:rsidR="004A797B" w:rsidRPr="00756410">
                <w:rPr>
                  <w:rStyle w:val="Hyperlink"/>
                  <w:color w:val="4472C4" w:themeColor="accent1"/>
                  <w:sz w:val="20"/>
                  <w:szCs w:val="20"/>
                  <w:lang w:val="es-419"/>
                </w:rPr>
                <w:t>sección 16</w:t>
              </w:r>
            </w:hyperlink>
            <w:r w:rsidR="004A797B" w:rsidRPr="3937432E">
              <w:rPr>
                <w:sz w:val="20"/>
                <w:szCs w:val="20"/>
                <w:lang w:val="es-419"/>
              </w:rPr>
              <w:t xml:space="preserve"> para obtener enlaces a los informes relevantes</w:t>
            </w:r>
            <w:r w:rsidR="7C46AB72" w:rsidRPr="3937432E">
              <w:rPr>
                <w:sz w:val="20"/>
                <w:szCs w:val="20"/>
                <w:lang w:val="es-419"/>
              </w:rPr>
              <w:t xml:space="preserve"> en Quantum</w:t>
            </w:r>
            <w:r w:rsidR="6E9F9C64" w:rsidRPr="3937432E">
              <w:rPr>
                <w:sz w:val="20"/>
                <w:szCs w:val="20"/>
                <w:lang w:val="es-419"/>
              </w:rPr>
              <w:t>.</w:t>
            </w:r>
            <w:r w:rsidR="004A797B" w:rsidRPr="3937432E">
              <w:rPr>
                <w:sz w:val="20"/>
                <w:szCs w:val="20"/>
                <w:lang w:val="es-419"/>
              </w:rPr>
              <w:t xml:space="preserve"> Informar a la alta dirección de la </w:t>
            </w:r>
            <w:r w:rsidR="00BD7D8D" w:rsidRPr="00BD7D8D">
              <w:rPr>
                <w:sz w:val="20"/>
                <w:szCs w:val="20"/>
                <w:lang w:val="es-419"/>
              </w:rPr>
              <w:t xml:space="preserve">oficina de país </w:t>
            </w:r>
            <w:r w:rsidR="004A797B" w:rsidRPr="3937432E">
              <w:rPr>
                <w:sz w:val="20"/>
                <w:szCs w:val="20"/>
                <w:lang w:val="es-419"/>
              </w:rPr>
              <w:t>y a otros funcionarios del PNUD en la Sede de los resultados de la investigación cuando no se obtengan respuestas satisfactorias.</w:t>
            </w:r>
          </w:p>
        </w:tc>
      </w:tr>
      <w:tr w:rsidR="00DB1DB9" w:rsidRPr="00773863" w14:paraId="4E0C1546" w14:textId="77777777" w:rsidTr="48224A22">
        <w:trPr>
          <w:trHeight w:val="20"/>
        </w:trPr>
        <w:tc>
          <w:tcPr>
            <w:tcW w:w="9895" w:type="dxa"/>
          </w:tcPr>
          <w:p w14:paraId="25D095B5" w14:textId="46542F40" w:rsidR="00DB1DB9" w:rsidRPr="00756410" w:rsidRDefault="00DB1DB9" w:rsidP="00756410">
            <w:pPr>
              <w:pStyle w:val="ListParagraph"/>
              <w:numPr>
                <w:ilvl w:val="0"/>
                <w:numId w:val="38"/>
              </w:numPr>
              <w:spacing w:after="0" w:line="240" w:lineRule="auto"/>
              <w:ind w:left="375"/>
              <w:jc w:val="both"/>
              <w:rPr>
                <w:sz w:val="20"/>
                <w:szCs w:val="20"/>
                <w:lang w:val="es-419"/>
              </w:rPr>
            </w:pPr>
            <w:r w:rsidRPr="3937432E">
              <w:rPr>
                <w:b/>
                <w:sz w:val="20"/>
                <w:szCs w:val="20"/>
                <w:lang w:val="es-419"/>
              </w:rPr>
              <w:t>Facilitar la gestión racional de los recursos financieros</w:t>
            </w:r>
            <w:r w:rsidR="00EC70BF" w:rsidRPr="3937432E">
              <w:rPr>
                <w:sz w:val="20"/>
                <w:szCs w:val="20"/>
                <w:lang w:val="es-419"/>
              </w:rPr>
              <w:t>: mediante la planificación, orientación, seguimiento y control de los recursos de acuerdo con las políticas y procedimientos de</w:t>
            </w:r>
            <w:r w:rsidR="000415F9">
              <w:rPr>
                <w:sz w:val="20"/>
                <w:szCs w:val="20"/>
                <w:lang w:val="es-419"/>
              </w:rPr>
              <w:t>l POPP</w:t>
            </w:r>
            <w:r w:rsidR="00EC70BF" w:rsidRPr="3937432E">
              <w:rPr>
                <w:sz w:val="20"/>
                <w:szCs w:val="20"/>
                <w:lang w:val="es-419"/>
              </w:rPr>
              <w:t>. Realizar una supervisión periódica de los informes financieros de los proyectos y los fondos de gestión/saldo presupuestario, incluida la recuperación de costos y el GMS.</w:t>
            </w:r>
          </w:p>
        </w:tc>
      </w:tr>
      <w:tr w:rsidR="00DB1DB9" w:rsidRPr="00773863" w14:paraId="6ED3D61F" w14:textId="77777777" w:rsidTr="48224A22">
        <w:trPr>
          <w:trHeight w:val="20"/>
        </w:trPr>
        <w:tc>
          <w:tcPr>
            <w:tcW w:w="9895" w:type="dxa"/>
          </w:tcPr>
          <w:p w14:paraId="190BA55E" w14:textId="28162AE4" w:rsidR="00DB1DB9" w:rsidRPr="00756410" w:rsidRDefault="00EC70BF" w:rsidP="00756410">
            <w:pPr>
              <w:pStyle w:val="ListParagraph"/>
              <w:numPr>
                <w:ilvl w:val="0"/>
                <w:numId w:val="38"/>
              </w:numPr>
              <w:spacing w:after="0" w:line="240" w:lineRule="auto"/>
              <w:ind w:left="375"/>
              <w:jc w:val="both"/>
              <w:rPr>
                <w:sz w:val="20"/>
                <w:szCs w:val="20"/>
                <w:lang w:val="es-419"/>
              </w:rPr>
            </w:pPr>
            <w:r w:rsidRPr="3937432E">
              <w:rPr>
                <w:b/>
                <w:sz w:val="20"/>
                <w:szCs w:val="20"/>
                <w:lang w:val="es-419"/>
              </w:rPr>
              <w:lastRenderedPageBreak/>
              <w:t xml:space="preserve">Facilitar la gestión de riesgos financieros: </w:t>
            </w:r>
            <w:r w:rsidR="00DB1DB9" w:rsidRPr="3937432E">
              <w:rPr>
                <w:sz w:val="20"/>
                <w:szCs w:val="20"/>
                <w:lang w:val="es-419"/>
              </w:rPr>
              <w:t>Brindar apoyo para cerrar las brechas de auditoría, implementar controles internos efectivos y garantizar el diseño y funcionamiento adecuados del sistema de gestión de recursos financieros con atención a la gestión de riesgos.</w:t>
            </w:r>
          </w:p>
        </w:tc>
      </w:tr>
      <w:tr w:rsidR="00DB1DB9" w:rsidRPr="00C24118" w14:paraId="7DA03E6E" w14:textId="77777777" w:rsidTr="48224A22">
        <w:trPr>
          <w:trHeight w:val="20"/>
        </w:trPr>
        <w:tc>
          <w:tcPr>
            <w:tcW w:w="9895" w:type="dxa"/>
            <w:shd w:val="clear" w:color="auto" w:fill="000000" w:themeFill="text1"/>
          </w:tcPr>
          <w:p w14:paraId="5A1BF559" w14:textId="4602BA05" w:rsidR="00DB1DB9" w:rsidRPr="00DB1DB9" w:rsidRDefault="00DB1DB9" w:rsidP="008A398C">
            <w:pPr>
              <w:spacing w:after="0" w:line="240" w:lineRule="auto"/>
              <w:rPr>
                <w:b/>
                <w:bCs/>
                <w:sz w:val="20"/>
                <w:szCs w:val="20"/>
              </w:rPr>
            </w:pPr>
            <w:r w:rsidRPr="00DB1DB9">
              <w:rPr>
                <w:b/>
                <w:bCs/>
                <w:sz w:val="20"/>
                <w:szCs w:val="20"/>
              </w:rPr>
              <w:t>Gestión documental</w:t>
            </w:r>
          </w:p>
        </w:tc>
      </w:tr>
      <w:tr w:rsidR="00DB1DB9" w:rsidRPr="00773863" w14:paraId="0492503B" w14:textId="77777777" w:rsidTr="48224A22">
        <w:trPr>
          <w:trHeight w:val="20"/>
        </w:trPr>
        <w:tc>
          <w:tcPr>
            <w:tcW w:w="9895" w:type="dxa"/>
          </w:tcPr>
          <w:p w14:paraId="0993C251" w14:textId="36EBB67A" w:rsidR="00DB1DB9" w:rsidRPr="00756410" w:rsidRDefault="00DB1DB9">
            <w:pPr>
              <w:pStyle w:val="ListParagraph"/>
              <w:numPr>
                <w:ilvl w:val="0"/>
                <w:numId w:val="46"/>
              </w:numPr>
              <w:spacing w:after="0" w:line="240" w:lineRule="auto"/>
              <w:rPr>
                <w:sz w:val="20"/>
                <w:szCs w:val="20"/>
                <w:lang w:val="es-419"/>
              </w:rPr>
            </w:pPr>
            <w:r w:rsidRPr="3937432E">
              <w:rPr>
                <w:sz w:val="20"/>
                <w:szCs w:val="20"/>
                <w:lang w:val="es-419"/>
              </w:rPr>
              <w:t xml:space="preserve">Garantizar una gestión eficaz de los documentos financieros de acuerdo con </w:t>
            </w:r>
            <w:r w:rsidR="183934B4" w:rsidRPr="3937432E">
              <w:rPr>
                <w:sz w:val="20"/>
                <w:szCs w:val="20"/>
                <w:lang w:val="es-419"/>
              </w:rPr>
              <w:t xml:space="preserve">lo dispuesto </w:t>
            </w:r>
            <w:r w:rsidRPr="3937432E">
              <w:rPr>
                <w:sz w:val="20"/>
                <w:szCs w:val="20"/>
                <w:lang w:val="es-419"/>
              </w:rPr>
              <w:t>en la sección 2.10 de la presente Guía.</w:t>
            </w:r>
          </w:p>
        </w:tc>
      </w:tr>
      <w:tr w:rsidR="00DB1DB9" w:rsidRPr="00773863" w14:paraId="24BF51C2" w14:textId="77777777" w:rsidTr="48224A22">
        <w:trPr>
          <w:trHeight w:val="20"/>
        </w:trPr>
        <w:tc>
          <w:tcPr>
            <w:tcW w:w="9895" w:type="dxa"/>
            <w:shd w:val="clear" w:color="auto" w:fill="E1EED9"/>
          </w:tcPr>
          <w:p w14:paraId="7023B40D" w14:textId="5AE3D36A" w:rsidR="00DB1DB9" w:rsidRPr="00756410" w:rsidRDefault="00DB1DB9" w:rsidP="005419B8">
            <w:pPr>
              <w:spacing w:after="0" w:line="240" w:lineRule="auto"/>
              <w:ind w:left="90"/>
              <w:rPr>
                <w:b/>
                <w:sz w:val="20"/>
                <w:szCs w:val="20"/>
                <w:lang w:val="es-419"/>
              </w:rPr>
            </w:pPr>
            <w:r w:rsidRPr="00756410">
              <w:rPr>
                <w:b/>
                <w:bCs/>
                <w:sz w:val="20"/>
                <w:szCs w:val="20"/>
                <w:lang w:val="es-419"/>
              </w:rPr>
              <w:t xml:space="preserve">Perfil de </w:t>
            </w:r>
            <w:r w:rsidR="00D06ABF">
              <w:rPr>
                <w:b/>
                <w:bCs/>
                <w:sz w:val="20"/>
                <w:szCs w:val="20"/>
                <w:lang w:val="es-419"/>
              </w:rPr>
              <w:t>usuario</w:t>
            </w:r>
            <w:r w:rsidR="00D06ABF" w:rsidRPr="00756410">
              <w:rPr>
                <w:b/>
                <w:bCs/>
                <w:sz w:val="20"/>
                <w:szCs w:val="20"/>
                <w:lang w:val="es-419"/>
              </w:rPr>
              <w:t xml:space="preserve"> </w:t>
            </w:r>
            <w:r w:rsidRPr="00756410">
              <w:rPr>
                <w:b/>
                <w:bCs/>
                <w:sz w:val="20"/>
                <w:szCs w:val="20"/>
                <w:lang w:val="es-419"/>
              </w:rPr>
              <w:t xml:space="preserve">de IDAM - Varios, incluido el nivel de </w:t>
            </w:r>
            <w:r w:rsidR="007F3D49">
              <w:rPr>
                <w:b/>
                <w:bCs/>
                <w:sz w:val="20"/>
                <w:szCs w:val="20"/>
                <w:lang w:val="es-419"/>
              </w:rPr>
              <w:t>G</w:t>
            </w:r>
            <w:r w:rsidRPr="00756410">
              <w:rPr>
                <w:b/>
                <w:bCs/>
                <w:sz w:val="20"/>
                <w:szCs w:val="20"/>
                <w:lang w:val="es-419"/>
              </w:rPr>
              <w:t>erente</w:t>
            </w:r>
            <w:r w:rsidR="007F3D49">
              <w:rPr>
                <w:b/>
                <w:bCs/>
                <w:sz w:val="20"/>
                <w:szCs w:val="20"/>
                <w:lang w:val="es-419"/>
              </w:rPr>
              <w:t xml:space="preserve"> de Aprobación de Nivel</w:t>
            </w:r>
            <w:r w:rsidRPr="00756410">
              <w:rPr>
                <w:b/>
                <w:bCs/>
                <w:sz w:val="20"/>
                <w:szCs w:val="20"/>
                <w:lang w:val="es-419"/>
              </w:rPr>
              <w:t xml:space="preserve"> 1 </w:t>
            </w:r>
            <w:r w:rsidR="00D06ABF">
              <w:rPr>
                <w:b/>
                <w:bCs/>
                <w:sz w:val="20"/>
                <w:szCs w:val="20"/>
                <w:lang w:val="es-419"/>
              </w:rPr>
              <w:t>[</w:t>
            </w:r>
            <w:r w:rsidR="00D06ABF" w:rsidRPr="00756410">
              <w:rPr>
                <w:b/>
                <w:bCs/>
                <w:i/>
                <w:iCs/>
                <w:sz w:val="20"/>
                <w:szCs w:val="20"/>
                <w:lang w:val="es-419"/>
              </w:rPr>
              <w:t>Manager Level 1</w:t>
            </w:r>
            <w:r w:rsidR="00D06ABF">
              <w:rPr>
                <w:b/>
                <w:bCs/>
                <w:sz w:val="20"/>
                <w:szCs w:val="20"/>
                <w:lang w:val="es-419"/>
              </w:rPr>
              <w:t xml:space="preserve">] </w:t>
            </w:r>
            <w:r w:rsidRPr="00756410">
              <w:rPr>
                <w:b/>
                <w:bCs/>
                <w:sz w:val="20"/>
                <w:szCs w:val="20"/>
                <w:lang w:val="es-419"/>
              </w:rPr>
              <w:t>(debe</w:t>
            </w:r>
            <w:r w:rsidRPr="3937432E">
              <w:rPr>
                <w:b/>
                <w:sz w:val="20"/>
                <w:szCs w:val="20"/>
                <w:lang w:val="es-419"/>
              </w:rPr>
              <w:t xml:space="preserve"> ser </w:t>
            </w:r>
            <w:r w:rsidR="005D780B">
              <w:rPr>
                <w:b/>
                <w:bCs/>
                <w:sz w:val="20"/>
                <w:szCs w:val="20"/>
                <w:lang w:val="es-419"/>
              </w:rPr>
              <w:t>personal funcionario</w:t>
            </w:r>
            <w:r w:rsidRPr="00756410">
              <w:rPr>
                <w:b/>
                <w:bCs/>
                <w:sz w:val="20"/>
                <w:szCs w:val="20"/>
                <w:lang w:val="es-419"/>
              </w:rPr>
              <w:t xml:space="preserve"> del PNUD) o el </w:t>
            </w:r>
            <w:r w:rsidR="00532D05">
              <w:rPr>
                <w:b/>
                <w:bCs/>
                <w:sz w:val="20"/>
                <w:szCs w:val="20"/>
                <w:lang w:val="es-419"/>
              </w:rPr>
              <w:t>Us</w:t>
            </w:r>
            <w:r w:rsidRPr="00756410">
              <w:rPr>
                <w:b/>
                <w:bCs/>
                <w:sz w:val="20"/>
                <w:szCs w:val="20"/>
                <w:lang w:val="es-419"/>
              </w:rPr>
              <w:t xml:space="preserve">uario de </w:t>
            </w:r>
            <w:r w:rsidR="00532D05">
              <w:rPr>
                <w:b/>
                <w:bCs/>
                <w:sz w:val="20"/>
                <w:szCs w:val="20"/>
                <w:lang w:val="es-419"/>
              </w:rPr>
              <w:t>F</w:t>
            </w:r>
            <w:r w:rsidRPr="00756410">
              <w:rPr>
                <w:b/>
                <w:bCs/>
                <w:sz w:val="20"/>
                <w:szCs w:val="20"/>
                <w:lang w:val="es-419"/>
              </w:rPr>
              <w:t>inanzas</w:t>
            </w:r>
            <w:r w:rsidR="00532D05">
              <w:rPr>
                <w:b/>
                <w:bCs/>
                <w:sz w:val="20"/>
                <w:szCs w:val="20"/>
                <w:lang w:val="es-419"/>
              </w:rPr>
              <w:t xml:space="preserve"> </w:t>
            </w:r>
            <w:r w:rsidR="00532D05" w:rsidRPr="00756410">
              <w:rPr>
                <w:b/>
                <w:bCs/>
                <w:sz w:val="20"/>
                <w:szCs w:val="20"/>
                <w:lang w:val="es-ES"/>
              </w:rPr>
              <w:t>[</w:t>
            </w:r>
            <w:r w:rsidR="00532D05" w:rsidRPr="00756410">
              <w:rPr>
                <w:b/>
                <w:bCs/>
                <w:i/>
                <w:iCs/>
                <w:sz w:val="20"/>
                <w:szCs w:val="20"/>
                <w:lang w:val="es-ES"/>
              </w:rPr>
              <w:t>Finance User</w:t>
            </w:r>
            <w:r w:rsidR="00532D05" w:rsidRPr="00756410">
              <w:rPr>
                <w:b/>
                <w:bCs/>
                <w:sz w:val="20"/>
                <w:szCs w:val="20"/>
                <w:lang w:val="es-ES"/>
              </w:rPr>
              <w:t>]</w:t>
            </w:r>
            <w:r w:rsidRPr="00756410">
              <w:rPr>
                <w:b/>
                <w:bCs/>
                <w:sz w:val="20"/>
                <w:szCs w:val="20"/>
                <w:lang w:val="es-419"/>
              </w:rPr>
              <w:t xml:space="preserve"> (puede asignarse a personal que no </w:t>
            </w:r>
            <w:r w:rsidR="613FBC8F" w:rsidRPr="3937432E">
              <w:rPr>
                <w:b/>
                <w:bCs/>
                <w:sz w:val="20"/>
                <w:szCs w:val="20"/>
                <w:lang w:val="es-419"/>
              </w:rPr>
              <w:t>sea funcionario</w:t>
            </w:r>
            <w:r w:rsidRPr="00756410">
              <w:rPr>
                <w:b/>
                <w:bCs/>
                <w:sz w:val="20"/>
                <w:szCs w:val="20"/>
                <w:lang w:val="es-419"/>
              </w:rPr>
              <w:t>)</w:t>
            </w:r>
          </w:p>
        </w:tc>
      </w:tr>
    </w:tbl>
    <w:p w14:paraId="4856D4A5" w14:textId="53DD21FA" w:rsidR="001765C7" w:rsidRDefault="00E578DA" w:rsidP="00532D05">
      <w:pPr>
        <w:jc w:val="both"/>
        <w:rPr>
          <w:i/>
          <w:sz w:val="20"/>
          <w:szCs w:val="20"/>
          <w:lang w:val="es-419"/>
        </w:rPr>
      </w:pPr>
      <w:r w:rsidRPr="00756410">
        <w:rPr>
          <w:i/>
          <w:sz w:val="20"/>
          <w:szCs w:val="20"/>
          <w:lang w:val="es-419"/>
        </w:rPr>
        <w:t xml:space="preserve">Fuente: Facetas de la gestión financiera basadas en </w:t>
      </w:r>
      <w:hyperlink r:id="rId144">
        <w:r w:rsidRPr="00756410">
          <w:rPr>
            <w:rStyle w:val="Hyperlink"/>
            <w:i/>
            <w:color w:val="4472C4" w:themeColor="accent1"/>
            <w:sz w:val="20"/>
            <w:szCs w:val="20"/>
            <w:lang w:val="es-419"/>
          </w:rPr>
          <w:t>las descripciones genéricas de puestos de</w:t>
        </w:r>
        <w:r w:rsidR="00532D05">
          <w:rPr>
            <w:rStyle w:val="Hyperlink"/>
            <w:i/>
            <w:color w:val="4472C4" w:themeColor="accent1"/>
            <w:sz w:val="20"/>
            <w:szCs w:val="20"/>
            <w:lang w:val="es-419"/>
          </w:rPr>
          <w:t xml:space="preserve"> trabajo</w:t>
        </w:r>
      </w:hyperlink>
      <w:r w:rsidR="00532D05">
        <w:rPr>
          <w:i/>
          <w:sz w:val="20"/>
          <w:szCs w:val="20"/>
          <w:lang w:val="es-419"/>
        </w:rPr>
        <w:t xml:space="preserve"> d</w:t>
      </w:r>
      <w:r w:rsidR="00296B37">
        <w:rPr>
          <w:i/>
          <w:sz w:val="20"/>
          <w:szCs w:val="20"/>
          <w:lang w:val="es-419"/>
        </w:rPr>
        <w:t>esarrolladas por</w:t>
      </w:r>
      <w:r w:rsidR="00532D05">
        <w:rPr>
          <w:i/>
          <w:sz w:val="20"/>
          <w:szCs w:val="20"/>
          <w:lang w:val="es-419"/>
        </w:rPr>
        <w:t xml:space="preserve"> BMS/</w:t>
      </w:r>
      <w:r w:rsidRPr="00756410">
        <w:rPr>
          <w:i/>
          <w:sz w:val="20"/>
          <w:szCs w:val="20"/>
          <w:lang w:val="es-419"/>
        </w:rPr>
        <w:t>OHR</w:t>
      </w:r>
      <w:r w:rsidR="00296B37">
        <w:rPr>
          <w:i/>
          <w:sz w:val="20"/>
          <w:szCs w:val="20"/>
          <w:lang w:val="es-419"/>
        </w:rPr>
        <w:t xml:space="preserve"> en 2023 para las posiciones de personal d</w:t>
      </w:r>
      <w:r w:rsidRPr="00756410">
        <w:rPr>
          <w:i/>
          <w:sz w:val="20"/>
          <w:szCs w:val="20"/>
          <w:lang w:val="es-419"/>
        </w:rPr>
        <w:t>e Finanzas.</w:t>
      </w:r>
    </w:p>
    <w:p w14:paraId="3EA68BB9" w14:textId="77777777" w:rsidR="00CC7A58" w:rsidRPr="00756410" w:rsidRDefault="00CC7A58" w:rsidP="00E578DA">
      <w:pPr>
        <w:rPr>
          <w:sz w:val="8"/>
          <w:szCs w:val="8"/>
          <w:lang w:val="es-419"/>
        </w:rPr>
      </w:pPr>
    </w:p>
    <w:p w14:paraId="595C4CC0" w14:textId="2BF49F76" w:rsidR="001470A0" w:rsidRPr="00756410" w:rsidRDefault="0356A203">
      <w:pPr>
        <w:pStyle w:val="Heading2"/>
        <w:numPr>
          <w:ilvl w:val="1"/>
          <w:numId w:val="92"/>
        </w:numPr>
        <w:spacing w:after="240"/>
        <w:ind w:left="360"/>
        <w:rPr>
          <w:lang w:val="es-ES"/>
        </w:rPr>
      </w:pPr>
      <w:bookmarkStart w:id="100" w:name="_Toc210052785"/>
      <w:r w:rsidRPr="00756410">
        <w:rPr>
          <w:lang w:val="es-ES"/>
        </w:rPr>
        <w:t>Personal financiero</w:t>
      </w:r>
      <w:r w:rsidR="00B72914" w:rsidRPr="00756410">
        <w:rPr>
          <w:lang w:val="es-ES"/>
        </w:rPr>
        <w:t xml:space="preserve"> </w:t>
      </w:r>
      <w:r w:rsidR="33A658CF" w:rsidRPr="00756410">
        <w:rPr>
          <w:lang w:val="es-ES"/>
        </w:rPr>
        <w:t>de</w:t>
      </w:r>
      <w:r w:rsidR="001470A0" w:rsidRPr="00756410">
        <w:rPr>
          <w:lang w:val="es-ES"/>
        </w:rPr>
        <w:t xml:space="preserve"> BMS/GSSC</w:t>
      </w:r>
      <w:bookmarkEnd w:id="100"/>
    </w:p>
    <w:p w14:paraId="33C236A0" w14:textId="1A22A4EF" w:rsidR="00040E07" w:rsidRPr="00756410" w:rsidRDefault="23B12F61" w:rsidP="363CA695">
      <w:pPr>
        <w:spacing w:line="240" w:lineRule="auto"/>
        <w:rPr>
          <w:lang w:val="es-419"/>
        </w:rPr>
      </w:pPr>
      <w:r w:rsidRPr="00756410">
        <w:rPr>
          <w:lang w:val="es-419"/>
        </w:rPr>
        <w:t xml:space="preserve">Se pueden encontrar más detalles sobre los servicios de gestión financiera proporcionados por el equipo de finanzas de BMS/GSSC y sus responsabilidades específicas dentro de un proceso en los enlaces que se muestran a continuación, y en </w:t>
      </w:r>
      <w:hyperlink r:id="rId145">
        <w:r w:rsidR="2F3DB2CD" w:rsidRPr="00756410">
          <w:rPr>
            <w:rStyle w:val="Hyperlink"/>
            <w:color w:val="auto"/>
            <w:lang w:val="es-419"/>
          </w:rPr>
          <w:t>los SOP de BMS/GSSC</w:t>
        </w:r>
      </w:hyperlink>
      <w:r w:rsidR="2F3DB2CD" w:rsidRPr="00756410">
        <w:rPr>
          <w:lang w:val="es-419"/>
        </w:rPr>
        <w:t>.</w:t>
      </w:r>
    </w:p>
    <w:tbl>
      <w:tblPr>
        <w:tblStyle w:val="TableGrid"/>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43" w:type="dxa"/>
        </w:tblCellMar>
        <w:tblLook w:val="04A0" w:firstRow="1" w:lastRow="0" w:firstColumn="1" w:lastColumn="0" w:noHBand="0" w:noVBand="1"/>
      </w:tblPr>
      <w:tblGrid>
        <w:gridCol w:w="1525"/>
        <w:gridCol w:w="3600"/>
        <w:gridCol w:w="4770"/>
      </w:tblGrid>
      <w:tr w:rsidR="00CC7A58" w:rsidRPr="00CC7A58" w14:paraId="2CFC58B8" w14:textId="77777777" w:rsidTr="0004107A">
        <w:trPr>
          <w:trHeight w:val="20"/>
          <w:tblHeader/>
        </w:trPr>
        <w:tc>
          <w:tcPr>
            <w:tcW w:w="1525" w:type="dxa"/>
            <w:shd w:val="clear" w:color="auto" w:fill="002060"/>
          </w:tcPr>
          <w:p w14:paraId="442D15CD" w14:textId="313237C1" w:rsidR="00C06ED7" w:rsidRPr="00E06F45" w:rsidRDefault="00CC7A58" w:rsidP="001470A0">
            <w:pPr>
              <w:rPr>
                <w:b/>
                <w:bCs/>
                <w:sz w:val="20"/>
                <w:szCs w:val="20"/>
              </w:rPr>
            </w:pPr>
            <w:r w:rsidRPr="00E06F45">
              <w:rPr>
                <w:b/>
                <w:bCs/>
                <w:sz w:val="20"/>
                <w:szCs w:val="20"/>
              </w:rPr>
              <w:t>Área de servicio</w:t>
            </w:r>
          </w:p>
        </w:tc>
        <w:tc>
          <w:tcPr>
            <w:tcW w:w="3600" w:type="dxa"/>
            <w:shd w:val="clear" w:color="auto" w:fill="002060"/>
          </w:tcPr>
          <w:p w14:paraId="10AA34AA" w14:textId="20073F57" w:rsidR="00C06ED7" w:rsidRPr="00756410" w:rsidRDefault="00C06ED7" w:rsidP="001470A0">
            <w:pPr>
              <w:rPr>
                <w:b/>
                <w:sz w:val="20"/>
                <w:szCs w:val="20"/>
                <w:lang w:val="es-419"/>
              </w:rPr>
            </w:pPr>
            <w:r w:rsidRPr="00756410">
              <w:rPr>
                <w:b/>
                <w:bCs/>
                <w:sz w:val="20"/>
                <w:szCs w:val="20"/>
                <w:lang w:val="es-419"/>
              </w:rPr>
              <w:t>Proceso y descripción de las responsabilidades de BMS/GSSC</w:t>
            </w:r>
          </w:p>
        </w:tc>
        <w:tc>
          <w:tcPr>
            <w:tcW w:w="4770" w:type="dxa"/>
            <w:shd w:val="clear" w:color="auto" w:fill="002060"/>
          </w:tcPr>
          <w:p w14:paraId="6CB31367" w14:textId="7889E4F8" w:rsidR="00C06ED7" w:rsidRPr="00E06F45" w:rsidRDefault="00C06ED7" w:rsidP="001470A0">
            <w:pPr>
              <w:rPr>
                <w:b/>
                <w:bCs/>
                <w:sz w:val="20"/>
                <w:szCs w:val="20"/>
              </w:rPr>
            </w:pPr>
            <w:r w:rsidRPr="00E06F45">
              <w:rPr>
                <w:b/>
                <w:bCs/>
                <w:sz w:val="20"/>
                <w:szCs w:val="20"/>
              </w:rPr>
              <w:t>Servicios prestados a</w:t>
            </w:r>
          </w:p>
        </w:tc>
      </w:tr>
      <w:tr w:rsidR="00CC7A58" w:rsidRPr="00773863" w14:paraId="5AE72FCC" w14:textId="00C3BC02" w:rsidTr="0004107A">
        <w:trPr>
          <w:trHeight w:val="20"/>
        </w:trPr>
        <w:tc>
          <w:tcPr>
            <w:tcW w:w="1525" w:type="dxa"/>
            <w:vMerge w:val="restart"/>
          </w:tcPr>
          <w:p w14:paraId="1193A03D" w14:textId="1BA8ABEA" w:rsidR="00C06ED7" w:rsidRPr="00E06F45" w:rsidRDefault="00C06ED7" w:rsidP="001470A0">
            <w:pPr>
              <w:rPr>
                <w:sz w:val="20"/>
                <w:szCs w:val="20"/>
              </w:rPr>
            </w:pPr>
            <w:r w:rsidRPr="00E06F45">
              <w:rPr>
                <w:sz w:val="20"/>
                <w:szCs w:val="20"/>
              </w:rPr>
              <w:t xml:space="preserve">Cuentas </w:t>
            </w:r>
            <w:r w:rsidR="3E093456" w:rsidRPr="3937432E">
              <w:rPr>
                <w:sz w:val="20"/>
                <w:szCs w:val="20"/>
              </w:rPr>
              <w:t>por</w:t>
            </w:r>
            <w:r w:rsidRPr="00E06F45">
              <w:rPr>
                <w:sz w:val="20"/>
                <w:szCs w:val="20"/>
              </w:rPr>
              <w:t xml:space="preserve"> pagar</w:t>
            </w:r>
          </w:p>
        </w:tc>
        <w:tc>
          <w:tcPr>
            <w:tcW w:w="3600" w:type="dxa"/>
          </w:tcPr>
          <w:p w14:paraId="6776FD7A" w14:textId="57204BD7" w:rsidR="00C06ED7" w:rsidRPr="00E06F45" w:rsidRDefault="00C06ED7" w:rsidP="001470A0">
            <w:pPr>
              <w:rPr>
                <w:color w:val="4472C4" w:themeColor="accent1"/>
                <w:sz w:val="20"/>
                <w:szCs w:val="20"/>
              </w:rPr>
            </w:pPr>
            <w:hyperlink r:id="rId146" w:history="1">
              <w:r w:rsidRPr="00E06F45">
                <w:rPr>
                  <w:rStyle w:val="Hyperlink"/>
                  <w:color w:val="4472C4" w:themeColor="accent1"/>
                  <w:sz w:val="20"/>
                  <w:szCs w:val="20"/>
                </w:rPr>
                <w:t>Gestión de proveedores</w:t>
              </w:r>
            </w:hyperlink>
          </w:p>
        </w:tc>
        <w:tc>
          <w:tcPr>
            <w:tcW w:w="4770" w:type="dxa"/>
          </w:tcPr>
          <w:p w14:paraId="7010435C" w14:textId="30D7E1FC" w:rsidR="00C06ED7" w:rsidRPr="00756410" w:rsidRDefault="004721A4" w:rsidP="001470A0">
            <w:pPr>
              <w:rPr>
                <w:sz w:val="20"/>
                <w:szCs w:val="20"/>
                <w:lang w:val="es-419"/>
              </w:rPr>
            </w:pPr>
            <w:r w:rsidRPr="00756410">
              <w:rPr>
                <w:sz w:val="20"/>
                <w:szCs w:val="20"/>
                <w:lang w:val="es-419"/>
              </w:rPr>
              <w:t xml:space="preserve">Aprobación de proveedor </w:t>
            </w:r>
            <w:r w:rsidR="4B0C086B" w:rsidRPr="3937432E">
              <w:rPr>
                <w:sz w:val="20"/>
                <w:szCs w:val="20"/>
                <w:lang w:val="es-419"/>
              </w:rPr>
              <w:t xml:space="preserve">Nivel </w:t>
            </w:r>
            <w:r w:rsidRPr="00756410">
              <w:rPr>
                <w:sz w:val="20"/>
                <w:szCs w:val="20"/>
                <w:lang w:val="es-419"/>
              </w:rPr>
              <w:t>2 proporcionada para todas las oficinas</w:t>
            </w:r>
          </w:p>
        </w:tc>
      </w:tr>
      <w:tr w:rsidR="00CC7A58" w:rsidRPr="00773863" w14:paraId="08F8AEB5" w14:textId="3AF507D3" w:rsidTr="0004107A">
        <w:trPr>
          <w:trHeight w:val="20"/>
        </w:trPr>
        <w:tc>
          <w:tcPr>
            <w:tcW w:w="1525" w:type="dxa"/>
            <w:vMerge/>
          </w:tcPr>
          <w:p w14:paraId="72219653" w14:textId="418C7FA1" w:rsidR="00C06ED7" w:rsidRPr="00756410" w:rsidRDefault="00C06ED7" w:rsidP="001470A0">
            <w:pPr>
              <w:rPr>
                <w:sz w:val="20"/>
                <w:szCs w:val="20"/>
                <w:lang w:val="es-419"/>
              </w:rPr>
            </w:pPr>
          </w:p>
        </w:tc>
        <w:tc>
          <w:tcPr>
            <w:tcW w:w="3600" w:type="dxa"/>
          </w:tcPr>
          <w:p w14:paraId="0D90D99A" w14:textId="570D8E92" w:rsidR="00C06ED7" w:rsidRPr="00E06F45" w:rsidRDefault="00C06ED7" w:rsidP="001470A0">
            <w:pPr>
              <w:rPr>
                <w:color w:val="4472C4" w:themeColor="accent1"/>
                <w:sz w:val="20"/>
                <w:szCs w:val="20"/>
              </w:rPr>
            </w:pPr>
            <w:hyperlink r:id="rId147" w:history="1">
              <w:r w:rsidRPr="00E06F45">
                <w:rPr>
                  <w:rStyle w:val="Hyperlink"/>
                  <w:color w:val="4472C4" w:themeColor="accent1"/>
                  <w:sz w:val="20"/>
                  <w:szCs w:val="20"/>
                </w:rPr>
                <w:t>Procesamiento de facturas</w:t>
              </w:r>
            </w:hyperlink>
          </w:p>
        </w:tc>
        <w:tc>
          <w:tcPr>
            <w:tcW w:w="4770" w:type="dxa"/>
          </w:tcPr>
          <w:p w14:paraId="653A0224" w14:textId="6842C251" w:rsidR="00C06ED7" w:rsidRPr="00756410" w:rsidRDefault="00C06ED7" w:rsidP="001470A0">
            <w:pPr>
              <w:rPr>
                <w:sz w:val="20"/>
                <w:szCs w:val="20"/>
                <w:lang w:val="es-ES"/>
              </w:rPr>
            </w:pPr>
            <w:r w:rsidRPr="00756410">
              <w:rPr>
                <w:sz w:val="20"/>
                <w:szCs w:val="20"/>
                <w:lang w:val="es-ES"/>
              </w:rPr>
              <w:t>Oficinas con proceso agrupado</w:t>
            </w:r>
            <w:r w:rsidR="3EE8521B" w:rsidRPr="00756410">
              <w:rPr>
                <w:sz w:val="20"/>
                <w:szCs w:val="20"/>
                <w:lang w:val="es-ES"/>
              </w:rPr>
              <w:t xml:space="preserve"> </w:t>
            </w:r>
            <w:r w:rsidR="3EE8521B" w:rsidRPr="00756410">
              <w:rPr>
                <w:i/>
                <w:sz w:val="20"/>
                <w:szCs w:val="20"/>
                <w:lang w:val="es-ES"/>
              </w:rPr>
              <w:t>(clustered)</w:t>
            </w:r>
            <w:r w:rsidR="0EF8128A" w:rsidRPr="00756410">
              <w:rPr>
                <w:i/>
                <w:sz w:val="20"/>
                <w:szCs w:val="20"/>
                <w:lang w:val="es-ES"/>
              </w:rPr>
              <w:t>*</w:t>
            </w:r>
          </w:p>
        </w:tc>
      </w:tr>
      <w:tr w:rsidR="00CC7A58" w:rsidRPr="00773863" w14:paraId="5EFD1B2F" w14:textId="7D710CC5" w:rsidTr="0004107A">
        <w:trPr>
          <w:trHeight w:val="20"/>
        </w:trPr>
        <w:tc>
          <w:tcPr>
            <w:tcW w:w="1525" w:type="dxa"/>
            <w:vMerge/>
          </w:tcPr>
          <w:p w14:paraId="47530D5A" w14:textId="13AADA5F" w:rsidR="00C06ED7" w:rsidRPr="00756410" w:rsidRDefault="00C06ED7" w:rsidP="001470A0">
            <w:pPr>
              <w:rPr>
                <w:sz w:val="20"/>
                <w:szCs w:val="20"/>
                <w:lang w:val="es-ES"/>
              </w:rPr>
            </w:pPr>
          </w:p>
        </w:tc>
        <w:tc>
          <w:tcPr>
            <w:tcW w:w="3600" w:type="dxa"/>
          </w:tcPr>
          <w:p w14:paraId="583406FE" w14:textId="4E382A1C" w:rsidR="00C06ED7" w:rsidRPr="00E06F45" w:rsidRDefault="00C06ED7" w:rsidP="001470A0">
            <w:pPr>
              <w:rPr>
                <w:color w:val="4472C4" w:themeColor="accent1"/>
                <w:sz w:val="20"/>
                <w:szCs w:val="20"/>
              </w:rPr>
            </w:pPr>
            <w:hyperlink r:id="rId148" w:history="1">
              <w:r w:rsidRPr="00E06F45">
                <w:rPr>
                  <w:rStyle w:val="Hyperlink"/>
                  <w:color w:val="4472C4" w:themeColor="accent1"/>
                  <w:sz w:val="20"/>
                  <w:szCs w:val="20"/>
                </w:rPr>
                <w:t>Ciclo de pago</w:t>
              </w:r>
            </w:hyperlink>
          </w:p>
        </w:tc>
        <w:tc>
          <w:tcPr>
            <w:tcW w:w="4770" w:type="dxa"/>
          </w:tcPr>
          <w:p w14:paraId="7503DEC5" w14:textId="3746A349" w:rsidR="00C06ED7" w:rsidRPr="00756410" w:rsidRDefault="00C06ED7" w:rsidP="001470A0">
            <w:pPr>
              <w:rPr>
                <w:sz w:val="20"/>
                <w:szCs w:val="20"/>
                <w:lang w:val="es-419"/>
              </w:rPr>
            </w:pPr>
            <w:r w:rsidRPr="00756410">
              <w:rPr>
                <w:sz w:val="20"/>
                <w:szCs w:val="20"/>
                <w:lang w:val="es-419"/>
              </w:rPr>
              <w:t>Oficinas con proceso agrupado</w:t>
            </w:r>
            <w:r w:rsidR="006A0D67">
              <w:rPr>
                <w:sz w:val="20"/>
                <w:szCs w:val="20"/>
                <w:lang w:val="es-419"/>
              </w:rPr>
              <w:t xml:space="preserve"> (</w:t>
            </w:r>
            <w:r w:rsidR="006A0D67" w:rsidRPr="00756410">
              <w:rPr>
                <w:i/>
                <w:iCs/>
                <w:sz w:val="20"/>
                <w:szCs w:val="20"/>
                <w:lang w:val="es-419"/>
              </w:rPr>
              <w:t>clustered</w:t>
            </w:r>
            <w:r w:rsidR="006A0D67">
              <w:rPr>
                <w:sz w:val="20"/>
                <w:szCs w:val="20"/>
                <w:lang w:val="es-419"/>
              </w:rPr>
              <w:t>)</w:t>
            </w:r>
            <w:r w:rsidRPr="00756410">
              <w:rPr>
                <w:sz w:val="20"/>
                <w:szCs w:val="20"/>
                <w:lang w:val="es-419"/>
              </w:rPr>
              <w:t>. BMS/OFRM/Tesorería proporciona estos servicios para las oficinas/unidades de la sede.</w:t>
            </w:r>
          </w:p>
        </w:tc>
      </w:tr>
      <w:tr w:rsidR="00CC7A58" w:rsidRPr="00CC7A58" w14:paraId="2F15347B" w14:textId="3086197D" w:rsidTr="0004107A">
        <w:trPr>
          <w:trHeight w:val="20"/>
        </w:trPr>
        <w:tc>
          <w:tcPr>
            <w:tcW w:w="1525" w:type="dxa"/>
            <w:vMerge w:val="restart"/>
          </w:tcPr>
          <w:p w14:paraId="2F08BCE8" w14:textId="6505604E" w:rsidR="00C06ED7" w:rsidRPr="00756410" w:rsidRDefault="00C06ED7" w:rsidP="001470A0">
            <w:pPr>
              <w:rPr>
                <w:sz w:val="20"/>
                <w:szCs w:val="20"/>
                <w:lang w:val="es-419"/>
              </w:rPr>
            </w:pPr>
            <w:r w:rsidRPr="00756410">
              <w:rPr>
                <w:sz w:val="20"/>
                <w:szCs w:val="20"/>
                <w:lang w:val="es-419"/>
              </w:rPr>
              <w:t xml:space="preserve">Gestión de </w:t>
            </w:r>
            <w:r w:rsidR="61DC95DB" w:rsidRPr="3937432E">
              <w:rPr>
                <w:sz w:val="20"/>
                <w:szCs w:val="20"/>
                <w:lang w:val="es-419"/>
              </w:rPr>
              <w:t xml:space="preserve">Ingresos y Contribuciones </w:t>
            </w:r>
          </w:p>
        </w:tc>
        <w:tc>
          <w:tcPr>
            <w:tcW w:w="3600" w:type="dxa"/>
          </w:tcPr>
          <w:p w14:paraId="7D43DA28" w14:textId="5A168513" w:rsidR="00C06ED7" w:rsidRPr="00E06F45" w:rsidRDefault="00C06ED7" w:rsidP="001470A0">
            <w:pPr>
              <w:rPr>
                <w:color w:val="4472C4" w:themeColor="accent1"/>
                <w:sz w:val="20"/>
                <w:szCs w:val="20"/>
              </w:rPr>
            </w:pPr>
            <w:hyperlink r:id="rId149" w:history="1">
              <w:r w:rsidRPr="00E06F45">
                <w:rPr>
                  <w:rStyle w:val="Hyperlink"/>
                  <w:color w:val="4472C4" w:themeColor="accent1"/>
                  <w:sz w:val="20"/>
                  <w:szCs w:val="20"/>
                </w:rPr>
                <w:t>Gestión de contratos</w:t>
              </w:r>
            </w:hyperlink>
          </w:p>
        </w:tc>
        <w:tc>
          <w:tcPr>
            <w:tcW w:w="4770" w:type="dxa"/>
          </w:tcPr>
          <w:p w14:paraId="238C95DF" w14:textId="491FFD98" w:rsidR="00C06ED7" w:rsidRPr="00E06F45" w:rsidRDefault="00C06ED7" w:rsidP="001470A0">
            <w:pPr>
              <w:rPr>
                <w:sz w:val="20"/>
                <w:szCs w:val="20"/>
              </w:rPr>
            </w:pPr>
            <w:r w:rsidRPr="00E06F45">
              <w:rPr>
                <w:sz w:val="20"/>
                <w:szCs w:val="20"/>
              </w:rPr>
              <w:t>Todas las oficinas/unidades</w:t>
            </w:r>
          </w:p>
        </w:tc>
      </w:tr>
      <w:tr w:rsidR="00CC7A58" w:rsidRPr="00CC7A58" w14:paraId="5DCC234D" w14:textId="635E4E19" w:rsidTr="0004107A">
        <w:trPr>
          <w:trHeight w:val="20"/>
        </w:trPr>
        <w:tc>
          <w:tcPr>
            <w:tcW w:w="1525" w:type="dxa"/>
            <w:vMerge/>
          </w:tcPr>
          <w:p w14:paraId="5B8B2793" w14:textId="77777777" w:rsidR="00C06ED7" w:rsidRPr="00E06F45" w:rsidRDefault="00C06ED7" w:rsidP="001470A0">
            <w:pPr>
              <w:rPr>
                <w:sz w:val="20"/>
                <w:szCs w:val="20"/>
              </w:rPr>
            </w:pPr>
          </w:p>
        </w:tc>
        <w:tc>
          <w:tcPr>
            <w:tcW w:w="3600" w:type="dxa"/>
          </w:tcPr>
          <w:p w14:paraId="047A2AE4" w14:textId="2A58E16B" w:rsidR="00C06ED7" w:rsidRPr="00756410" w:rsidRDefault="00C06ED7" w:rsidP="001470A0">
            <w:pPr>
              <w:rPr>
                <w:color w:val="4472C4" w:themeColor="accent1"/>
                <w:sz w:val="20"/>
                <w:szCs w:val="20"/>
                <w:lang w:val="es-419"/>
              </w:rPr>
            </w:pPr>
            <w:hyperlink r:id="rId150" w:history="1">
              <w:r w:rsidRPr="00756410">
                <w:rPr>
                  <w:rStyle w:val="Hyperlink"/>
                  <w:color w:val="4472C4" w:themeColor="accent1"/>
                  <w:sz w:val="20"/>
                  <w:szCs w:val="20"/>
                  <w:lang w:val="es-419"/>
                </w:rPr>
                <w:t>Creación y solicitud de depósitos</w:t>
              </w:r>
            </w:hyperlink>
          </w:p>
        </w:tc>
        <w:tc>
          <w:tcPr>
            <w:tcW w:w="4770" w:type="dxa"/>
          </w:tcPr>
          <w:p w14:paraId="33E6F6DD" w14:textId="0B8DFFEE" w:rsidR="00C06ED7" w:rsidRPr="00E06F45" w:rsidRDefault="00C06ED7" w:rsidP="001470A0">
            <w:pPr>
              <w:rPr>
                <w:sz w:val="20"/>
                <w:szCs w:val="20"/>
              </w:rPr>
            </w:pPr>
            <w:r w:rsidRPr="00E06F45">
              <w:rPr>
                <w:sz w:val="20"/>
                <w:szCs w:val="20"/>
              </w:rPr>
              <w:t>Todas las oficinas/unidades</w:t>
            </w:r>
          </w:p>
        </w:tc>
      </w:tr>
      <w:tr w:rsidR="00CC7A58" w:rsidRPr="00CC7A58" w14:paraId="709D554E" w14:textId="3E9957B3" w:rsidTr="0004107A">
        <w:trPr>
          <w:trHeight w:val="20"/>
        </w:trPr>
        <w:tc>
          <w:tcPr>
            <w:tcW w:w="1525" w:type="dxa"/>
            <w:vMerge/>
          </w:tcPr>
          <w:p w14:paraId="7B731CD5" w14:textId="77777777" w:rsidR="00C06ED7" w:rsidRPr="00E06F45" w:rsidRDefault="00C06ED7" w:rsidP="001470A0">
            <w:pPr>
              <w:rPr>
                <w:sz w:val="20"/>
                <w:szCs w:val="20"/>
              </w:rPr>
            </w:pPr>
          </w:p>
        </w:tc>
        <w:tc>
          <w:tcPr>
            <w:tcW w:w="3600" w:type="dxa"/>
          </w:tcPr>
          <w:p w14:paraId="0A260BBF" w14:textId="29E06370" w:rsidR="00C06ED7" w:rsidRPr="00756410" w:rsidRDefault="00C06ED7" w:rsidP="001470A0">
            <w:pPr>
              <w:rPr>
                <w:color w:val="4472C4" w:themeColor="accent1"/>
                <w:sz w:val="20"/>
                <w:szCs w:val="20"/>
                <w:lang w:val="es-ES"/>
              </w:rPr>
            </w:pPr>
            <w:hyperlink r:id="rId151" w:history="1">
              <w:r w:rsidRPr="00756410">
                <w:rPr>
                  <w:rStyle w:val="Hyperlink"/>
                  <w:color w:val="4472C4" w:themeColor="accent1"/>
                  <w:sz w:val="20"/>
                  <w:szCs w:val="20"/>
                  <w:lang w:val="es-ES"/>
                </w:rPr>
                <w:t>Informes de cuentas por cobrar</w:t>
              </w:r>
            </w:hyperlink>
          </w:p>
        </w:tc>
        <w:tc>
          <w:tcPr>
            <w:tcW w:w="4770" w:type="dxa"/>
          </w:tcPr>
          <w:p w14:paraId="1BC63895" w14:textId="61A0068E" w:rsidR="00C06ED7" w:rsidRPr="00E06F45" w:rsidRDefault="00C06ED7" w:rsidP="001470A0">
            <w:pPr>
              <w:rPr>
                <w:sz w:val="20"/>
                <w:szCs w:val="20"/>
              </w:rPr>
            </w:pPr>
            <w:r w:rsidRPr="00E06F45">
              <w:rPr>
                <w:sz w:val="20"/>
                <w:szCs w:val="20"/>
              </w:rPr>
              <w:t>Todas las oficinas/unidades</w:t>
            </w:r>
          </w:p>
        </w:tc>
      </w:tr>
      <w:tr w:rsidR="00CC7A58" w:rsidRPr="00BF0AFB" w14:paraId="7EF2EB26" w14:textId="77777777" w:rsidTr="0004107A">
        <w:trPr>
          <w:trHeight w:val="20"/>
        </w:trPr>
        <w:tc>
          <w:tcPr>
            <w:tcW w:w="1525" w:type="dxa"/>
            <w:vMerge w:val="restart"/>
          </w:tcPr>
          <w:p w14:paraId="3542D470" w14:textId="2EA3234F" w:rsidR="000679D3" w:rsidRPr="00E06F45" w:rsidRDefault="000679D3" w:rsidP="001470A0">
            <w:pPr>
              <w:rPr>
                <w:sz w:val="20"/>
                <w:szCs w:val="20"/>
              </w:rPr>
            </w:pPr>
            <w:r w:rsidRPr="00E06F45">
              <w:rPr>
                <w:sz w:val="20"/>
                <w:szCs w:val="20"/>
              </w:rPr>
              <w:t>Contabilidad general</w:t>
            </w:r>
          </w:p>
        </w:tc>
        <w:tc>
          <w:tcPr>
            <w:tcW w:w="3600" w:type="dxa"/>
          </w:tcPr>
          <w:p w14:paraId="5FDC8CF9" w14:textId="1EA5CC3C" w:rsidR="000679D3" w:rsidRPr="00E06F45" w:rsidRDefault="000679D3" w:rsidP="001470A0">
            <w:pPr>
              <w:rPr>
                <w:color w:val="4472C4" w:themeColor="accent1"/>
                <w:sz w:val="20"/>
                <w:szCs w:val="20"/>
              </w:rPr>
            </w:pPr>
            <w:hyperlink r:id="rId152" w:history="1">
              <w:r w:rsidRPr="00E06F45">
                <w:rPr>
                  <w:rStyle w:val="Hyperlink"/>
                  <w:color w:val="4472C4" w:themeColor="accent1"/>
                  <w:sz w:val="20"/>
                  <w:szCs w:val="20"/>
                </w:rPr>
                <w:t>Contabilidad de inversiones</w:t>
              </w:r>
            </w:hyperlink>
          </w:p>
        </w:tc>
        <w:tc>
          <w:tcPr>
            <w:tcW w:w="4770" w:type="dxa"/>
          </w:tcPr>
          <w:p w14:paraId="2B1926D1" w14:textId="1A4C6F6C" w:rsidR="000679D3" w:rsidRPr="00756410" w:rsidRDefault="00F2298C" w:rsidP="001470A0">
            <w:pPr>
              <w:rPr>
                <w:sz w:val="20"/>
                <w:szCs w:val="20"/>
                <w:lang w:val="es-419"/>
              </w:rPr>
            </w:pPr>
            <w:r w:rsidRPr="00756410">
              <w:rPr>
                <w:sz w:val="20"/>
                <w:szCs w:val="20"/>
                <w:lang w:val="es-419"/>
              </w:rPr>
              <w:t xml:space="preserve">Oficinas de la sede </w:t>
            </w:r>
          </w:p>
        </w:tc>
      </w:tr>
      <w:tr w:rsidR="00CC7A58" w:rsidRPr="00CC7A58" w14:paraId="5E11E63E" w14:textId="1E757BB5" w:rsidTr="0004107A">
        <w:trPr>
          <w:trHeight w:val="20"/>
        </w:trPr>
        <w:tc>
          <w:tcPr>
            <w:tcW w:w="1525" w:type="dxa"/>
            <w:vMerge/>
          </w:tcPr>
          <w:p w14:paraId="5EDE9702" w14:textId="579FF5BC" w:rsidR="000679D3" w:rsidRPr="00756410" w:rsidRDefault="000679D3" w:rsidP="001470A0">
            <w:pPr>
              <w:rPr>
                <w:sz w:val="20"/>
                <w:szCs w:val="20"/>
                <w:lang w:val="es-419"/>
              </w:rPr>
            </w:pPr>
          </w:p>
        </w:tc>
        <w:tc>
          <w:tcPr>
            <w:tcW w:w="3600" w:type="dxa"/>
          </w:tcPr>
          <w:p w14:paraId="1C54035E" w14:textId="260B178E" w:rsidR="000679D3" w:rsidRPr="00756410" w:rsidRDefault="000118A5" w:rsidP="001470A0">
            <w:pPr>
              <w:rPr>
                <w:color w:val="4472C4" w:themeColor="accent1"/>
                <w:sz w:val="20"/>
                <w:szCs w:val="20"/>
                <w:lang w:val="es-419"/>
              </w:rPr>
            </w:pPr>
            <w:hyperlink r:id="rId153" w:history="1">
              <w:r>
                <w:rPr>
                  <w:rStyle w:val="Hyperlink"/>
                  <w:color w:val="4472C4" w:themeColor="accent1"/>
                  <w:sz w:val="20"/>
                  <w:szCs w:val="20"/>
                  <w:lang w:val="es-419"/>
                </w:rPr>
                <w:t>Pago y conciliación de boletos de viaje</w:t>
              </w:r>
            </w:hyperlink>
          </w:p>
        </w:tc>
        <w:tc>
          <w:tcPr>
            <w:tcW w:w="4770" w:type="dxa"/>
          </w:tcPr>
          <w:p w14:paraId="1C177E7C" w14:textId="3958D444" w:rsidR="000679D3" w:rsidRPr="00E06F45" w:rsidRDefault="000679D3" w:rsidP="001470A0">
            <w:pPr>
              <w:rPr>
                <w:sz w:val="20"/>
                <w:szCs w:val="20"/>
              </w:rPr>
            </w:pPr>
            <w:r w:rsidRPr="00756410">
              <w:rPr>
                <w:sz w:val="20"/>
                <w:szCs w:val="20"/>
                <w:lang w:val="es-419"/>
              </w:rPr>
              <w:t xml:space="preserve">Todas las oficinas/unidades, con </w:t>
            </w:r>
            <w:r w:rsidR="53731C80" w:rsidRPr="3937432E">
              <w:rPr>
                <w:sz w:val="20"/>
                <w:szCs w:val="20"/>
                <w:lang w:val="es-419"/>
              </w:rPr>
              <w:t xml:space="preserve">apoyo </w:t>
            </w:r>
            <w:r w:rsidRPr="00756410">
              <w:rPr>
                <w:sz w:val="20"/>
                <w:szCs w:val="20"/>
                <w:lang w:val="es-419"/>
              </w:rPr>
              <w:t>adicional de creación de facturas disponible para transacciones de</w:t>
            </w:r>
            <w:r w:rsidRPr="3937432E">
              <w:rPr>
                <w:sz w:val="20"/>
                <w:szCs w:val="20"/>
                <w:lang w:val="es-419"/>
              </w:rPr>
              <w:t xml:space="preserve"> </w:t>
            </w:r>
            <w:r w:rsidR="3E6F6F70" w:rsidRPr="3937432E">
              <w:rPr>
                <w:sz w:val="20"/>
                <w:szCs w:val="20"/>
                <w:lang w:val="es-419"/>
              </w:rPr>
              <w:t xml:space="preserve">mayor cuantía </w:t>
            </w:r>
            <w:r w:rsidRPr="00756410">
              <w:rPr>
                <w:sz w:val="20"/>
                <w:szCs w:val="20"/>
                <w:lang w:val="es-419"/>
              </w:rPr>
              <w:t xml:space="preserve">. </w:t>
            </w:r>
            <w:r w:rsidRPr="00E06F45">
              <w:rPr>
                <w:sz w:val="20"/>
                <w:szCs w:val="20"/>
              </w:rPr>
              <w:t>Consulte la sección 6.</w:t>
            </w:r>
          </w:p>
        </w:tc>
      </w:tr>
      <w:tr w:rsidR="00CC7A58" w:rsidRPr="00CC7A58" w14:paraId="3F3F1DEF" w14:textId="4C5C2992" w:rsidTr="0004107A">
        <w:trPr>
          <w:trHeight w:val="20"/>
        </w:trPr>
        <w:tc>
          <w:tcPr>
            <w:tcW w:w="1525" w:type="dxa"/>
            <w:vMerge/>
          </w:tcPr>
          <w:p w14:paraId="6FBAC218" w14:textId="77777777" w:rsidR="000679D3" w:rsidRPr="00E06F45" w:rsidRDefault="000679D3" w:rsidP="001470A0">
            <w:pPr>
              <w:rPr>
                <w:sz w:val="20"/>
                <w:szCs w:val="20"/>
              </w:rPr>
            </w:pPr>
          </w:p>
        </w:tc>
        <w:tc>
          <w:tcPr>
            <w:tcW w:w="3600" w:type="dxa"/>
          </w:tcPr>
          <w:p w14:paraId="6AB5104C" w14:textId="5CBE1BA8" w:rsidR="000679D3" w:rsidRPr="00756410" w:rsidRDefault="000679D3" w:rsidP="001470A0">
            <w:pPr>
              <w:rPr>
                <w:color w:val="4472C4" w:themeColor="accent1"/>
                <w:sz w:val="20"/>
                <w:szCs w:val="20"/>
                <w:lang w:val="es-419"/>
              </w:rPr>
            </w:pPr>
            <w:hyperlink r:id="rId154" w:history="1">
              <w:r w:rsidRPr="00756410">
                <w:rPr>
                  <w:rStyle w:val="Hyperlink"/>
                  <w:color w:val="4472C4" w:themeColor="accent1"/>
                  <w:sz w:val="20"/>
                  <w:szCs w:val="20"/>
                  <w:lang w:val="es-419"/>
                </w:rPr>
                <w:t>Conciliaciones entre el banco y el libro</w:t>
              </w:r>
            </w:hyperlink>
          </w:p>
        </w:tc>
        <w:tc>
          <w:tcPr>
            <w:tcW w:w="4770" w:type="dxa"/>
          </w:tcPr>
          <w:p w14:paraId="06B3ADAB" w14:textId="18B2561B" w:rsidR="000679D3" w:rsidRPr="00E06F45" w:rsidRDefault="000679D3" w:rsidP="001470A0">
            <w:pPr>
              <w:rPr>
                <w:sz w:val="20"/>
                <w:szCs w:val="20"/>
              </w:rPr>
            </w:pPr>
            <w:r w:rsidRPr="00E06F45">
              <w:rPr>
                <w:sz w:val="20"/>
                <w:szCs w:val="20"/>
              </w:rPr>
              <w:t>Todas las oficinas/unidades</w:t>
            </w:r>
          </w:p>
        </w:tc>
      </w:tr>
      <w:tr w:rsidR="00CC7A58" w:rsidRPr="00CC7A58" w14:paraId="04B517DF" w14:textId="361A349D" w:rsidTr="0004107A">
        <w:trPr>
          <w:trHeight w:val="20"/>
        </w:trPr>
        <w:tc>
          <w:tcPr>
            <w:tcW w:w="1525" w:type="dxa"/>
            <w:vMerge/>
          </w:tcPr>
          <w:p w14:paraId="50F3379D" w14:textId="77777777" w:rsidR="000679D3" w:rsidRPr="00E06F45" w:rsidRDefault="000679D3" w:rsidP="001470A0">
            <w:pPr>
              <w:rPr>
                <w:sz w:val="20"/>
                <w:szCs w:val="20"/>
              </w:rPr>
            </w:pPr>
          </w:p>
        </w:tc>
        <w:tc>
          <w:tcPr>
            <w:tcW w:w="3600" w:type="dxa"/>
          </w:tcPr>
          <w:p w14:paraId="1DA95881" w14:textId="6253BADE" w:rsidR="000679D3" w:rsidRPr="00756410" w:rsidRDefault="000679D3" w:rsidP="001470A0">
            <w:pPr>
              <w:rPr>
                <w:color w:val="4472C4" w:themeColor="accent1"/>
                <w:sz w:val="20"/>
                <w:szCs w:val="20"/>
                <w:lang w:val="es-419"/>
              </w:rPr>
            </w:pPr>
            <w:hyperlink r:id="rId155" w:history="1">
              <w:r w:rsidRPr="00756410">
                <w:rPr>
                  <w:rStyle w:val="Hyperlink"/>
                  <w:color w:val="4472C4" w:themeColor="accent1"/>
                  <w:sz w:val="20"/>
                  <w:szCs w:val="20"/>
                  <w:lang w:val="es-419"/>
                </w:rPr>
                <w:t>Procesamiento de activos fijos y certificaciones de inventario</w:t>
              </w:r>
            </w:hyperlink>
          </w:p>
        </w:tc>
        <w:tc>
          <w:tcPr>
            <w:tcW w:w="4770" w:type="dxa"/>
          </w:tcPr>
          <w:p w14:paraId="26614D6B" w14:textId="20A3ED74" w:rsidR="000679D3" w:rsidRPr="00E06F45" w:rsidRDefault="000679D3" w:rsidP="001470A0">
            <w:pPr>
              <w:rPr>
                <w:sz w:val="20"/>
                <w:szCs w:val="20"/>
              </w:rPr>
            </w:pPr>
            <w:r w:rsidRPr="00E06F45">
              <w:rPr>
                <w:sz w:val="20"/>
                <w:szCs w:val="20"/>
              </w:rPr>
              <w:t>Todas las oficinas/unidades</w:t>
            </w:r>
          </w:p>
        </w:tc>
      </w:tr>
      <w:tr w:rsidR="00CC7A58" w:rsidRPr="00773863" w14:paraId="0E3AF250" w14:textId="7DE3C84D" w:rsidTr="0004107A">
        <w:trPr>
          <w:trHeight w:val="20"/>
        </w:trPr>
        <w:tc>
          <w:tcPr>
            <w:tcW w:w="1525" w:type="dxa"/>
            <w:vMerge w:val="restart"/>
          </w:tcPr>
          <w:p w14:paraId="44F48567" w14:textId="50D240D5" w:rsidR="00C06ED7" w:rsidRPr="00E06F45" w:rsidRDefault="00C06ED7" w:rsidP="001470A0">
            <w:pPr>
              <w:rPr>
                <w:sz w:val="20"/>
                <w:szCs w:val="20"/>
              </w:rPr>
            </w:pPr>
            <w:r w:rsidRPr="00E06F45">
              <w:rPr>
                <w:sz w:val="20"/>
                <w:szCs w:val="20"/>
              </w:rPr>
              <w:t>Contabilidad de proyectos</w:t>
            </w:r>
          </w:p>
        </w:tc>
        <w:tc>
          <w:tcPr>
            <w:tcW w:w="3600" w:type="dxa"/>
          </w:tcPr>
          <w:p w14:paraId="73AEA69E" w14:textId="29653E5D" w:rsidR="00C06ED7" w:rsidRPr="00756410" w:rsidRDefault="00C06ED7" w:rsidP="001470A0">
            <w:pPr>
              <w:rPr>
                <w:color w:val="4472C4" w:themeColor="accent1"/>
                <w:sz w:val="20"/>
                <w:szCs w:val="20"/>
                <w:lang w:val="es-419"/>
              </w:rPr>
            </w:pPr>
            <w:hyperlink r:id="rId156" w:history="1">
              <w:r w:rsidRPr="00756410">
                <w:rPr>
                  <w:rStyle w:val="Hyperlink"/>
                  <w:color w:val="4472C4" w:themeColor="accent1"/>
                  <w:sz w:val="20"/>
                  <w:szCs w:val="20"/>
                  <w:lang w:val="es-419"/>
                </w:rPr>
                <w:t>Cierre financiero de proyectos de desarrollo</w:t>
              </w:r>
            </w:hyperlink>
          </w:p>
        </w:tc>
        <w:tc>
          <w:tcPr>
            <w:tcW w:w="4770" w:type="dxa"/>
          </w:tcPr>
          <w:p w14:paraId="26882849" w14:textId="10ECC3F8" w:rsidR="00C06ED7" w:rsidRPr="00756410" w:rsidRDefault="00C06ED7" w:rsidP="363CA695">
            <w:pPr>
              <w:rPr>
                <w:sz w:val="20"/>
                <w:szCs w:val="20"/>
                <w:lang w:val="es-419"/>
              </w:rPr>
            </w:pPr>
            <w:r w:rsidRPr="00756410">
              <w:rPr>
                <w:sz w:val="20"/>
                <w:szCs w:val="20"/>
                <w:lang w:val="es-419"/>
              </w:rPr>
              <w:t>Oficinas con proceso agrupado</w:t>
            </w:r>
            <w:r w:rsidR="0273FF70" w:rsidRPr="3937432E">
              <w:rPr>
                <w:sz w:val="20"/>
                <w:szCs w:val="20"/>
                <w:lang w:val="es-419"/>
              </w:rPr>
              <w:t xml:space="preserve"> (</w:t>
            </w:r>
            <w:r w:rsidR="0273FF70" w:rsidRPr="3937432E">
              <w:rPr>
                <w:rFonts w:ascii="Calibri" w:eastAsia="Calibri" w:hAnsi="Calibri" w:cs="Calibri"/>
                <w:i/>
                <w:iCs/>
                <w:color w:val="004377"/>
                <w:sz w:val="19"/>
                <w:szCs w:val="19"/>
                <w:u w:val="single"/>
                <w:lang w:val="es-419"/>
              </w:rPr>
              <w:t>clustered</w:t>
            </w:r>
            <w:r w:rsidR="006A0D67">
              <w:rPr>
                <w:rFonts w:ascii="Calibri" w:eastAsia="Calibri" w:hAnsi="Calibri" w:cs="Calibri"/>
                <w:i/>
                <w:iCs/>
                <w:color w:val="004377"/>
                <w:sz w:val="19"/>
                <w:szCs w:val="19"/>
                <w:u w:val="single"/>
                <w:lang w:val="es-419"/>
              </w:rPr>
              <w:t>)</w:t>
            </w:r>
            <w:r w:rsidR="0273FF70" w:rsidRPr="3937432E">
              <w:rPr>
                <w:sz w:val="20"/>
                <w:szCs w:val="20"/>
                <w:lang w:val="es-419"/>
              </w:rPr>
              <w:t xml:space="preserve"> </w:t>
            </w:r>
            <w:r w:rsidR="0EF8128A" w:rsidRPr="3937432E">
              <w:rPr>
                <w:sz w:val="20"/>
                <w:szCs w:val="20"/>
                <w:lang w:val="es-419"/>
              </w:rPr>
              <w:t>*.</w:t>
            </w:r>
            <w:r w:rsidRPr="3937432E">
              <w:rPr>
                <w:sz w:val="20"/>
                <w:szCs w:val="20"/>
                <w:lang w:val="es-419"/>
              </w:rPr>
              <w:t xml:space="preserve"> </w:t>
            </w:r>
            <w:r w:rsidR="00F2298C" w:rsidRPr="3937432E">
              <w:rPr>
                <w:rStyle w:val="cf01"/>
                <w:rFonts w:asciiTheme="minorHAnsi" w:hAnsiTheme="minorHAnsi" w:cstheme="minorBidi"/>
                <w:sz w:val="20"/>
                <w:szCs w:val="20"/>
                <w:lang w:val="es-419"/>
              </w:rPr>
              <w:t xml:space="preserve">La responsabilidad del cierre financiero </w:t>
            </w:r>
            <w:r w:rsidR="7F958A90" w:rsidRPr="3937432E">
              <w:rPr>
                <w:rStyle w:val="cf01"/>
                <w:rFonts w:asciiTheme="minorHAnsi" w:hAnsiTheme="minorHAnsi" w:cstheme="minorBidi"/>
                <w:sz w:val="20"/>
                <w:szCs w:val="20"/>
                <w:lang w:val="es-419"/>
              </w:rPr>
              <w:t>de</w:t>
            </w:r>
            <w:r w:rsidR="7A68492E" w:rsidRPr="3937432E">
              <w:rPr>
                <w:rStyle w:val="cf01"/>
                <w:rFonts w:asciiTheme="minorHAnsi" w:hAnsiTheme="minorHAnsi" w:cstheme="minorBidi"/>
                <w:sz w:val="20"/>
                <w:szCs w:val="20"/>
                <w:lang w:val="es-419"/>
              </w:rPr>
              <w:t xml:space="preserve"> </w:t>
            </w:r>
            <w:r w:rsidR="7F958A90" w:rsidRPr="3937432E">
              <w:rPr>
                <w:rStyle w:val="cf01"/>
                <w:rFonts w:asciiTheme="minorHAnsi" w:hAnsiTheme="minorHAnsi" w:cstheme="minorBidi"/>
                <w:sz w:val="20"/>
                <w:szCs w:val="20"/>
                <w:lang w:val="es-419"/>
              </w:rPr>
              <w:t xml:space="preserve"> proyecto</w:t>
            </w:r>
            <w:r w:rsidR="36508F0F" w:rsidRPr="3937432E">
              <w:rPr>
                <w:rStyle w:val="cf01"/>
                <w:rFonts w:asciiTheme="minorHAnsi" w:hAnsiTheme="minorHAnsi" w:cstheme="minorBidi"/>
                <w:sz w:val="20"/>
                <w:szCs w:val="20"/>
                <w:lang w:val="es-419"/>
              </w:rPr>
              <w:t>s</w:t>
            </w:r>
            <w:r w:rsidR="00F2298C" w:rsidRPr="3937432E">
              <w:rPr>
                <w:rStyle w:val="cf01"/>
                <w:rFonts w:asciiTheme="minorHAnsi" w:hAnsiTheme="minorHAnsi" w:cstheme="minorBidi"/>
                <w:sz w:val="20"/>
                <w:szCs w:val="20"/>
                <w:lang w:val="es-419"/>
              </w:rPr>
              <w:t xml:space="preserve"> de desarrollo de BMS/GSSC incluye proyectos que se cerraron operativamente hasta 6 meses antes o después de la agrupación</w:t>
            </w:r>
            <w:r w:rsidR="750FA07D" w:rsidRPr="3937432E">
              <w:rPr>
                <w:rStyle w:val="cf01"/>
                <w:rFonts w:asciiTheme="minorHAnsi" w:hAnsiTheme="minorHAnsi" w:cstheme="minorBidi"/>
                <w:sz w:val="20"/>
                <w:szCs w:val="20"/>
                <w:lang w:val="es-419"/>
              </w:rPr>
              <w:t xml:space="preserve"> (</w:t>
            </w:r>
            <w:r w:rsidR="750FA07D" w:rsidRPr="3937432E">
              <w:rPr>
                <w:rFonts w:ascii="Calibri" w:eastAsia="Calibri" w:hAnsi="Calibri" w:cs="Calibri"/>
                <w:i/>
                <w:iCs/>
                <w:color w:val="004377"/>
                <w:sz w:val="19"/>
                <w:szCs w:val="19"/>
                <w:u w:val="single"/>
                <w:lang w:val="es-419"/>
              </w:rPr>
              <w:t>cluste</w:t>
            </w:r>
            <w:r w:rsidR="0052234A">
              <w:rPr>
                <w:rFonts w:ascii="Calibri" w:eastAsia="Calibri" w:hAnsi="Calibri" w:cs="Calibri"/>
                <w:i/>
                <w:iCs/>
                <w:color w:val="004377"/>
                <w:sz w:val="19"/>
                <w:szCs w:val="19"/>
                <w:u w:val="single"/>
                <w:lang w:val="es-419"/>
              </w:rPr>
              <w:t>r</w:t>
            </w:r>
            <w:r w:rsidR="750FA07D" w:rsidRPr="3937432E">
              <w:rPr>
                <w:rFonts w:ascii="Calibri" w:eastAsia="Calibri" w:hAnsi="Calibri" w:cs="Calibri"/>
                <w:i/>
                <w:iCs/>
                <w:color w:val="004377"/>
                <w:sz w:val="19"/>
                <w:szCs w:val="19"/>
                <w:u w:val="single"/>
                <w:lang w:val="es-419"/>
              </w:rPr>
              <w:t>ing)</w:t>
            </w:r>
            <w:r w:rsidR="7F958A90" w:rsidRPr="3937432E">
              <w:rPr>
                <w:rStyle w:val="cf01"/>
                <w:rFonts w:asciiTheme="minorHAnsi" w:hAnsiTheme="minorHAnsi" w:cstheme="minorBidi"/>
                <w:sz w:val="20"/>
                <w:szCs w:val="20"/>
                <w:lang w:val="es-419"/>
              </w:rPr>
              <w:t>.</w:t>
            </w:r>
            <w:r w:rsidR="00F2298C" w:rsidRPr="3937432E">
              <w:rPr>
                <w:rStyle w:val="cf01"/>
                <w:rFonts w:asciiTheme="minorHAnsi" w:hAnsiTheme="minorHAnsi" w:cstheme="minorBidi"/>
                <w:sz w:val="20"/>
                <w:szCs w:val="20"/>
                <w:lang w:val="es-419"/>
              </w:rPr>
              <w:t xml:space="preserve"> Los proyectos que se cerraron antes de 6 meses </w:t>
            </w:r>
            <w:r w:rsidR="0C668EB0" w:rsidRPr="3937432E">
              <w:rPr>
                <w:sz w:val="20"/>
                <w:szCs w:val="20"/>
                <w:lang w:val="es-419"/>
              </w:rPr>
              <w:t xml:space="preserve">previos a </w:t>
            </w:r>
            <w:r w:rsidR="00F2298C" w:rsidRPr="3937432E">
              <w:rPr>
                <w:rStyle w:val="cf01"/>
                <w:rFonts w:asciiTheme="minorHAnsi" w:hAnsiTheme="minorHAnsi" w:cstheme="minorBidi"/>
                <w:sz w:val="20"/>
                <w:szCs w:val="20"/>
                <w:lang w:val="es-419"/>
              </w:rPr>
              <w:t xml:space="preserve">la fecha de agrupación </w:t>
            </w:r>
            <w:r w:rsidR="0052234A">
              <w:rPr>
                <w:rStyle w:val="cf01"/>
                <w:rFonts w:asciiTheme="minorHAnsi" w:hAnsiTheme="minorHAnsi" w:cstheme="minorBidi"/>
                <w:sz w:val="20"/>
                <w:szCs w:val="20"/>
                <w:lang w:val="es-419"/>
              </w:rPr>
              <w:t>(</w:t>
            </w:r>
            <w:r w:rsidR="0052234A" w:rsidRPr="00756410">
              <w:rPr>
                <w:rStyle w:val="cf01"/>
                <w:rFonts w:asciiTheme="minorHAnsi" w:hAnsiTheme="minorHAnsi" w:cstheme="minorBidi"/>
                <w:i/>
                <w:iCs/>
                <w:sz w:val="20"/>
                <w:szCs w:val="20"/>
                <w:lang w:val="es-419"/>
              </w:rPr>
              <w:t>cl</w:t>
            </w:r>
            <w:r w:rsidR="0052234A" w:rsidRPr="00756410">
              <w:rPr>
                <w:rStyle w:val="cf01"/>
                <w:i/>
                <w:iCs/>
                <w:sz w:val="20"/>
                <w:szCs w:val="20"/>
                <w:lang w:val="es-419"/>
              </w:rPr>
              <w:t>ustering</w:t>
            </w:r>
            <w:r w:rsidR="0052234A">
              <w:rPr>
                <w:rStyle w:val="cf01"/>
                <w:sz w:val="20"/>
                <w:szCs w:val="20"/>
                <w:lang w:val="es-419"/>
              </w:rPr>
              <w:t xml:space="preserve">) </w:t>
            </w:r>
            <w:r w:rsidR="00F2298C" w:rsidRPr="3937432E">
              <w:rPr>
                <w:rStyle w:val="cf01"/>
                <w:rFonts w:asciiTheme="minorHAnsi" w:hAnsiTheme="minorHAnsi" w:cstheme="minorBidi"/>
                <w:sz w:val="20"/>
                <w:szCs w:val="20"/>
                <w:lang w:val="es-419"/>
              </w:rPr>
              <w:t xml:space="preserve">de la región deben ser cerrados financieramente por el </w:t>
            </w:r>
            <w:r w:rsidR="04C515E1" w:rsidRPr="3937432E">
              <w:rPr>
                <w:rStyle w:val="cf01"/>
                <w:rFonts w:asciiTheme="minorHAnsi" w:hAnsiTheme="minorHAnsi" w:cstheme="minorBidi"/>
                <w:sz w:val="20"/>
                <w:szCs w:val="20"/>
                <w:lang w:val="es-419"/>
              </w:rPr>
              <w:t>OP/CO/Unidad de Negocio</w:t>
            </w:r>
          </w:p>
        </w:tc>
      </w:tr>
      <w:tr w:rsidR="00CC7A58" w:rsidRPr="00CC7A58" w14:paraId="6C80698B" w14:textId="507E4B2A" w:rsidTr="0004107A">
        <w:trPr>
          <w:trHeight w:val="20"/>
        </w:trPr>
        <w:tc>
          <w:tcPr>
            <w:tcW w:w="1525" w:type="dxa"/>
            <w:vMerge/>
          </w:tcPr>
          <w:p w14:paraId="1F22065C" w14:textId="77777777" w:rsidR="00C06ED7" w:rsidRPr="00756410" w:rsidRDefault="00C06ED7" w:rsidP="001470A0">
            <w:pPr>
              <w:rPr>
                <w:sz w:val="20"/>
                <w:szCs w:val="20"/>
                <w:lang w:val="es-419"/>
              </w:rPr>
            </w:pPr>
          </w:p>
        </w:tc>
        <w:tc>
          <w:tcPr>
            <w:tcW w:w="3600" w:type="dxa"/>
          </w:tcPr>
          <w:p w14:paraId="775AABDE" w14:textId="5CE8F9E3" w:rsidR="00C06ED7" w:rsidRPr="00E06F45" w:rsidRDefault="00C06ED7" w:rsidP="001470A0">
            <w:pPr>
              <w:rPr>
                <w:color w:val="4472C4" w:themeColor="accent1"/>
                <w:sz w:val="20"/>
                <w:szCs w:val="20"/>
              </w:rPr>
            </w:pPr>
            <w:hyperlink r:id="rId157" w:history="1">
              <w:r w:rsidRPr="00E06F45">
                <w:rPr>
                  <w:rStyle w:val="Hyperlink"/>
                  <w:color w:val="4472C4" w:themeColor="accent1"/>
                  <w:sz w:val="20"/>
                  <w:szCs w:val="20"/>
                </w:rPr>
                <w:t>Reembolsos de donantes</w:t>
              </w:r>
            </w:hyperlink>
          </w:p>
        </w:tc>
        <w:tc>
          <w:tcPr>
            <w:tcW w:w="4770" w:type="dxa"/>
          </w:tcPr>
          <w:p w14:paraId="18167183" w14:textId="4564E4B3" w:rsidR="00C06ED7" w:rsidRPr="00E06F45" w:rsidRDefault="00CC7A58" w:rsidP="001470A0">
            <w:pPr>
              <w:rPr>
                <w:sz w:val="20"/>
                <w:szCs w:val="20"/>
              </w:rPr>
            </w:pPr>
            <w:r w:rsidRPr="00E06F45">
              <w:rPr>
                <w:sz w:val="20"/>
                <w:szCs w:val="20"/>
              </w:rPr>
              <w:t>Todas las oficinas/unidades</w:t>
            </w:r>
          </w:p>
        </w:tc>
      </w:tr>
    </w:tbl>
    <w:p w14:paraId="704FE540" w14:textId="50D48F44" w:rsidR="00D43E96" w:rsidRPr="00756410" w:rsidRDefault="004721A4" w:rsidP="004721A4">
      <w:pPr>
        <w:rPr>
          <w:sz w:val="20"/>
          <w:szCs w:val="20"/>
          <w:lang w:val="es-419"/>
        </w:rPr>
      </w:pPr>
      <w:r w:rsidRPr="3937432E">
        <w:rPr>
          <w:sz w:val="20"/>
          <w:szCs w:val="20"/>
          <w:lang w:val="es-419"/>
        </w:rPr>
        <w:t xml:space="preserve">* Las oficinas con procesos no agrupados </w:t>
      </w:r>
      <w:r w:rsidR="2D79870B" w:rsidRPr="3937432E">
        <w:rPr>
          <w:sz w:val="20"/>
          <w:szCs w:val="20"/>
          <w:lang w:val="es-419"/>
        </w:rPr>
        <w:t>(non-</w:t>
      </w:r>
      <w:r w:rsidR="2D79870B" w:rsidRPr="3937432E">
        <w:rPr>
          <w:rFonts w:ascii="Calibri" w:eastAsia="Calibri" w:hAnsi="Calibri" w:cs="Calibri"/>
          <w:i/>
          <w:iCs/>
          <w:color w:val="004377"/>
          <w:sz w:val="19"/>
          <w:szCs w:val="19"/>
          <w:u w:val="single"/>
          <w:lang w:val="es-419"/>
        </w:rPr>
        <w:t>clustered)</w:t>
      </w:r>
      <w:r w:rsidR="36C4D423" w:rsidRPr="3937432E">
        <w:rPr>
          <w:sz w:val="20"/>
          <w:szCs w:val="20"/>
          <w:lang w:val="es-419"/>
        </w:rPr>
        <w:t xml:space="preserve"> </w:t>
      </w:r>
      <w:r w:rsidRPr="3937432E">
        <w:rPr>
          <w:sz w:val="20"/>
          <w:szCs w:val="20"/>
          <w:lang w:val="es-419"/>
        </w:rPr>
        <w:t xml:space="preserve">desempeñan estos roles dentro de su oficina/unidad. </w:t>
      </w:r>
    </w:p>
    <w:p w14:paraId="6BCDF00D" w14:textId="5B844F11" w:rsidR="00697230" w:rsidRPr="00756410" w:rsidRDefault="66BDE16E" w:rsidP="363CA695">
      <w:pPr>
        <w:spacing w:line="240" w:lineRule="auto"/>
        <w:rPr>
          <w:lang w:val="es-419"/>
        </w:rPr>
      </w:pPr>
      <w:r w:rsidRPr="3937432E">
        <w:rPr>
          <w:lang w:val="es-419"/>
        </w:rPr>
        <w:lastRenderedPageBreak/>
        <w:t>Consulte</w:t>
      </w:r>
      <w:r w:rsidR="1A1DBF57" w:rsidRPr="3937432E">
        <w:rPr>
          <w:lang w:val="es-419"/>
        </w:rPr>
        <w:t xml:space="preserve"> </w:t>
      </w:r>
      <w:r w:rsidR="00697230" w:rsidRPr="3937432E">
        <w:rPr>
          <w:lang w:val="es-419"/>
        </w:rPr>
        <w:t xml:space="preserve"> el </w:t>
      </w:r>
      <w:hyperlink w:anchor="_Annex_7:_Overview" w:history="1">
        <w:r w:rsidR="00697230" w:rsidRPr="00756410">
          <w:rPr>
            <w:rStyle w:val="Hyperlink"/>
            <w:color w:val="4472C4" w:themeColor="accent1"/>
            <w:lang w:val="es-419"/>
          </w:rPr>
          <w:t>Anexo 7</w:t>
        </w:r>
      </w:hyperlink>
      <w:r w:rsidR="00697230" w:rsidRPr="3937432E">
        <w:rPr>
          <w:lang w:val="es-419"/>
        </w:rPr>
        <w:t xml:space="preserve"> para obtener una </w:t>
      </w:r>
      <w:r w:rsidR="2527DD0C" w:rsidRPr="3937432E">
        <w:rPr>
          <w:lang w:val="es-419"/>
        </w:rPr>
        <w:t xml:space="preserve">perspectiva </w:t>
      </w:r>
      <w:r w:rsidR="00697230" w:rsidRPr="3937432E">
        <w:rPr>
          <w:lang w:val="es-419"/>
        </w:rPr>
        <w:t xml:space="preserve">general </w:t>
      </w:r>
      <w:r w:rsidR="74D82497" w:rsidRPr="3937432E">
        <w:rPr>
          <w:lang w:val="es-419"/>
        </w:rPr>
        <w:t xml:space="preserve">acerca de la localización de </w:t>
      </w:r>
      <w:r w:rsidR="00697230" w:rsidRPr="3937432E">
        <w:rPr>
          <w:lang w:val="es-419"/>
        </w:rPr>
        <w:t xml:space="preserve">acciones clave dentro de cada área funcional, </w:t>
      </w:r>
      <w:r w:rsidR="1DBEC96A" w:rsidRPr="3937432E">
        <w:rPr>
          <w:lang w:val="es-419"/>
        </w:rPr>
        <w:t xml:space="preserve">incluyendo </w:t>
      </w:r>
      <w:r w:rsidR="00697230" w:rsidRPr="3937432E">
        <w:rPr>
          <w:lang w:val="es-419"/>
        </w:rPr>
        <w:t xml:space="preserve"> i) oficinas/unidades </w:t>
      </w:r>
      <w:r w:rsidR="00697230" w:rsidRPr="006A0D67">
        <w:rPr>
          <w:lang w:val="es-419"/>
        </w:rPr>
        <w:t>con procesos agrupados</w:t>
      </w:r>
      <w:r w:rsidR="5FE030DD" w:rsidRPr="006A0D67">
        <w:rPr>
          <w:lang w:val="es-419"/>
        </w:rPr>
        <w:t xml:space="preserve"> (</w:t>
      </w:r>
      <w:r w:rsidR="5FE030DD" w:rsidRPr="00756410">
        <w:rPr>
          <w:rFonts w:ascii="Calibri" w:eastAsia="Calibri" w:hAnsi="Calibri" w:cs="Calibri"/>
          <w:i/>
          <w:iCs/>
          <w:color w:val="004377"/>
          <w:u w:val="single"/>
          <w:lang w:val="es-419"/>
        </w:rPr>
        <w:t>clustered</w:t>
      </w:r>
      <w:r w:rsidR="006A0D67" w:rsidRPr="00756410">
        <w:rPr>
          <w:rFonts w:ascii="Calibri" w:eastAsia="Calibri" w:hAnsi="Calibri" w:cs="Calibri"/>
          <w:i/>
          <w:iCs/>
          <w:u w:val="single"/>
          <w:lang w:val="es-419"/>
        </w:rPr>
        <w:t>)</w:t>
      </w:r>
      <w:r w:rsidR="00697230" w:rsidRPr="006A0D67">
        <w:rPr>
          <w:lang w:val="es-419"/>
        </w:rPr>
        <w:t>; ii) BMS/GSSC; iii) oficinas/</w:t>
      </w:r>
      <w:r w:rsidR="35984E35" w:rsidRPr="006A0D67">
        <w:rPr>
          <w:lang w:val="es-419"/>
        </w:rPr>
        <w:t xml:space="preserve">unidades </w:t>
      </w:r>
      <w:r w:rsidR="00697230" w:rsidRPr="006A0D67">
        <w:rPr>
          <w:lang w:val="es-419"/>
        </w:rPr>
        <w:t>de la Sede con procesos no agrupados</w:t>
      </w:r>
      <w:r w:rsidR="0CA691E8" w:rsidRPr="006A0D67">
        <w:rPr>
          <w:lang w:val="es-419"/>
        </w:rPr>
        <w:t xml:space="preserve"> </w:t>
      </w:r>
      <w:r w:rsidR="0CA691E8" w:rsidRPr="00756410">
        <w:rPr>
          <w:i/>
          <w:iCs/>
          <w:lang w:val="es-419"/>
        </w:rPr>
        <w:t>(</w:t>
      </w:r>
      <w:r w:rsidR="0CA691E8" w:rsidRPr="006A0D67">
        <w:rPr>
          <w:i/>
          <w:iCs/>
          <w:lang w:val="es-419"/>
        </w:rPr>
        <w:t>non-</w:t>
      </w:r>
      <w:r w:rsidR="0CA691E8" w:rsidRPr="00756410">
        <w:rPr>
          <w:rFonts w:ascii="Calibri" w:eastAsia="Calibri" w:hAnsi="Calibri" w:cs="Calibri"/>
          <w:i/>
          <w:iCs/>
          <w:color w:val="004377"/>
          <w:u w:val="single"/>
          <w:lang w:val="es-419"/>
        </w:rPr>
        <w:t>clustered)</w:t>
      </w:r>
      <w:r w:rsidR="1AF8FDFF" w:rsidRPr="00756410">
        <w:rPr>
          <w:i/>
          <w:iCs/>
          <w:lang w:val="es-419"/>
        </w:rPr>
        <w:t>;</w:t>
      </w:r>
      <w:r w:rsidR="00697230" w:rsidRPr="006A0D67">
        <w:rPr>
          <w:lang w:val="es-419"/>
        </w:rPr>
        <w:t xml:space="preserve"> y (iv) </w:t>
      </w:r>
      <w:r w:rsidR="71B56081" w:rsidRPr="006A0D67">
        <w:rPr>
          <w:lang w:val="es-419"/>
        </w:rPr>
        <w:t>unidades de la sede fuera de Nueva York</w:t>
      </w:r>
      <w:r w:rsidR="00697230" w:rsidRPr="006A0D67">
        <w:rPr>
          <w:lang w:val="es-419"/>
        </w:rPr>
        <w:t>.</w:t>
      </w:r>
    </w:p>
    <w:p w14:paraId="5658F7DC" w14:textId="2606B2A0" w:rsidR="00231F3A" w:rsidRDefault="006D6C0A">
      <w:pPr>
        <w:pStyle w:val="Heading1"/>
        <w:numPr>
          <w:ilvl w:val="0"/>
          <w:numId w:val="92"/>
        </w:numPr>
        <w:spacing w:after="240"/>
      </w:pPr>
      <w:bookmarkStart w:id="101" w:name="_Toc210052786"/>
      <w:r>
        <w:t>Jefe de Oficina/Unidad</w:t>
      </w:r>
      <w:bookmarkEnd w:id="101"/>
    </w:p>
    <w:p w14:paraId="74B3FED8" w14:textId="3BD90A54" w:rsidR="00011B58" w:rsidRPr="00756410" w:rsidRDefault="00011B58" w:rsidP="00AD810D">
      <w:pPr>
        <w:spacing w:line="240" w:lineRule="auto"/>
        <w:rPr>
          <w:lang w:val="es-419"/>
        </w:rPr>
      </w:pPr>
      <w:r w:rsidRPr="3937432E">
        <w:rPr>
          <w:lang w:val="es-419"/>
        </w:rPr>
        <w:t>La función de Jefe de Oficina/Unidad se refiere al jefe de una unidad de la Sede o de un</w:t>
      </w:r>
      <w:r w:rsidR="009413E3">
        <w:rPr>
          <w:lang w:val="es-419"/>
        </w:rPr>
        <w:t xml:space="preserve">a unidad o una </w:t>
      </w:r>
      <w:r w:rsidR="00B565DA" w:rsidRPr="00B565DA">
        <w:rPr>
          <w:lang w:val="es-419"/>
        </w:rPr>
        <w:t xml:space="preserve">oficina de país </w:t>
      </w:r>
      <w:r w:rsidR="461E4239" w:rsidRPr="3937432E">
        <w:rPr>
          <w:lang w:val="es-419"/>
        </w:rPr>
        <w:t xml:space="preserve"> </w:t>
      </w:r>
      <w:r w:rsidRPr="3937432E">
        <w:rPr>
          <w:lang w:val="es-419"/>
        </w:rPr>
        <w:t xml:space="preserve">, es decir, Directores de </w:t>
      </w:r>
      <w:r w:rsidR="2FC5EC19" w:rsidRPr="3937432E">
        <w:rPr>
          <w:lang w:val="es-419"/>
        </w:rPr>
        <w:t xml:space="preserve">Buros Regionales y Centrarles </w:t>
      </w:r>
      <w:r w:rsidRPr="3937432E">
        <w:rPr>
          <w:lang w:val="es-419"/>
        </w:rPr>
        <w:t xml:space="preserve">, Directores Regionales y Representantes Residentes (RR). No se ha elaborado ningún perfil </w:t>
      </w:r>
      <w:r w:rsidR="2BDA51A7" w:rsidRPr="3937432E">
        <w:rPr>
          <w:lang w:val="es-419"/>
        </w:rPr>
        <w:t xml:space="preserve">en Quantum </w:t>
      </w:r>
      <w:r w:rsidRPr="3937432E">
        <w:rPr>
          <w:lang w:val="es-419"/>
        </w:rPr>
        <w:t xml:space="preserve">específico para el Jefe de Oficina/Unidad; en </w:t>
      </w:r>
      <w:r w:rsidR="44D5566B" w:rsidRPr="3937432E">
        <w:rPr>
          <w:lang w:val="es-419"/>
        </w:rPr>
        <w:t xml:space="preserve">la prácticas </w:t>
      </w:r>
      <w:r w:rsidRPr="3937432E">
        <w:rPr>
          <w:lang w:val="es-419"/>
        </w:rPr>
        <w:t xml:space="preserve"> se les asigna </w:t>
      </w:r>
      <w:r w:rsidR="0D02B0C6" w:rsidRPr="3937432E">
        <w:rPr>
          <w:lang w:val="es-419"/>
        </w:rPr>
        <w:t xml:space="preserve">el </w:t>
      </w:r>
      <w:r w:rsidRPr="3937432E">
        <w:rPr>
          <w:lang w:val="es-419"/>
        </w:rPr>
        <w:t xml:space="preserve">rol de </w:t>
      </w:r>
      <w:r w:rsidR="30E2161C" w:rsidRPr="3937432E">
        <w:rPr>
          <w:lang w:val="es-419"/>
        </w:rPr>
        <w:t xml:space="preserve">Gerente </w:t>
      </w:r>
      <w:r w:rsidRPr="3937432E">
        <w:rPr>
          <w:lang w:val="es-419"/>
        </w:rPr>
        <w:t>de aprobación (segunda autoridad) en Quantum con el perfil de usuario 'Gerente sénior'. El Jefe de la Oficina/Unidad tiene la responsabilidad general de establecer y mantener controles internos adecuados dentro de su oficina/unidad y de garantizar que los procedimientos de control interno de su oficina/unidad estén documentados.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DB72C3" w:rsidRPr="00773863" w14:paraId="62BA327C" w14:textId="77777777" w:rsidTr="48224A22">
        <w:trPr>
          <w:trHeight w:val="20"/>
          <w:tblHeader/>
        </w:trPr>
        <w:tc>
          <w:tcPr>
            <w:tcW w:w="9900" w:type="dxa"/>
            <w:shd w:val="clear" w:color="auto" w:fill="D9E2F3" w:themeFill="accent1" w:themeFillTint="33"/>
          </w:tcPr>
          <w:p w14:paraId="3AF4F726" w14:textId="40A17B8C" w:rsidR="00011B58" w:rsidRPr="00756410" w:rsidRDefault="00011B58" w:rsidP="001765C7">
            <w:pPr>
              <w:spacing w:after="0" w:line="240" w:lineRule="auto"/>
              <w:rPr>
                <w:b/>
                <w:sz w:val="20"/>
                <w:szCs w:val="20"/>
                <w:lang w:val="es-419"/>
              </w:rPr>
            </w:pPr>
            <w:r w:rsidRPr="00756410">
              <w:rPr>
                <w:b/>
                <w:sz w:val="20"/>
                <w:szCs w:val="20"/>
                <w:lang w:val="es-419"/>
              </w:rPr>
              <w:t>Jefe de Oficina/Unidad: Responsabilidades de Control Interno</w:t>
            </w:r>
          </w:p>
        </w:tc>
      </w:tr>
      <w:tr w:rsidR="00C27124" w:rsidRPr="005D2478" w14:paraId="6E5B90D5" w14:textId="77777777" w:rsidTr="48224A22">
        <w:trPr>
          <w:trHeight w:val="20"/>
        </w:trPr>
        <w:tc>
          <w:tcPr>
            <w:tcW w:w="9900" w:type="dxa"/>
            <w:shd w:val="clear" w:color="auto" w:fill="000000" w:themeFill="text1"/>
          </w:tcPr>
          <w:p w14:paraId="1C2FBC68" w14:textId="7EE32E3D"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Planificación y seguimiento</w:t>
            </w:r>
          </w:p>
        </w:tc>
      </w:tr>
      <w:tr w:rsidR="003C2B04" w:rsidRPr="00773863" w14:paraId="3CF5146D" w14:textId="77777777" w:rsidTr="48224A22">
        <w:trPr>
          <w:trHeight w:val="20"/>
        </w:trPr>
        <w:tc>
          <w:tcPr>
            <w:tcW w:w="9900" w:type="dxa"/>
          </w:tcPr>
          <w:p w14:paraId="16119E5D" w14:textId="106E0013" w:rsidR="00827E39" w:rsidRPr="00756410" w:rsidRDefault="00827E39" w:rsidP="068E6479">
            <w:pPr>
              <w:pStyle w:val="ListParagraph"/>
              <w:widowControl w:val="0"/>
              <w:numPr>
                <w:ilvl w:val="0"/>
                <w:numId w:val="50"/>
              </w:numPr>
              <w:autoSpaceDE w:val="0"/>
              <w:autoSpaceDN w:val="0"/>
              <w:spacing w:after="0" w:line="240" w:lineRule="auto"/>
              <w:rPr>
                <w:sz w:val="20"/>
                <w:szCs w:val="20"/>
                <w:lang w:val="es-419"/>
              </w:rPr>
            </w:pPr>
            <w:r w:rsidRPr="3937432E">
              <w:rPr>
                <w:b/>
                <w:sz w:val="20"/>
                <w:szCs w:val="20"/>
                <w:lang w:val="es-419"/>
              </w:rPr>
              <w:t>Planificación eficaz de los resultados de desarrollo y gestión</w:t>
            </w:r>
            <w:r w:rsidRPr="3937432E">
              <w:rPr>
                <w:sz w:val="20"/>
                <w:szCs w:val="20"/>
                <w:lang w:val="es-419"/>
              </w:rPr>
              <w:t xml:space="preserve"> en el contexto de la presupuestación basada en los resultados, utilizando el instrumento integrado de planificación del trabajo en la plataforma de gestión basada en los resultados.</w:t>
            </w:r>
          </w:p>
        </w:tc>
      </w:tr>
      <w:tr w:rsidR="003C2B04" w:rsidRPr="00773863" w14:paraId="052931BF" w14:textId="77777777" w:rsidTr="48224A22">
        <w:trPr>
          <w:trHeight w:val="20"/>
        </w:trPr>
        <w:tc>
          <w:tcPr>
            <w:tcW w:w="9900" w:type="dxa"/>
          </w:tcPr>
          <w:p w14:paraId="7A96C5A5" w14:textId="5D963800" w:rsidR="00827E39" w:rsidRPr="00756410" w:rsidRDefault="1A42292F" w:rsidP="068E6479">
            <w:pPr>
              <w:pStyle w:val="ListParagraph"/>
              <w:widowControl w:val="0"/>
              <w:numPr>
                <w:ilvl w:val="0"/>
                <w:numId w:val="50"/>
              </w:numPr>
              <w:autoSpaceDE w:val="0"/>
              <w:autoSpaceDN w:val="0"/>
              <w:spacing w:after="0" w:line="240" w:lineRule="auto"/>
              <w:rPr>
                <w:sz w:val="20"/>
                <w:szCs w:val="20"/>
                <w:lang w:val="es-419"/>
              </w:rPr>
            </w:pPr>
            <w:r w:rsidRPr="3937432E">
              <w:rPr>
                <w:b/>
                <w:bCs/>
                <w:sz w:val="20"/>
                <w:szCs w:val="20"/>
                <w:lang w:val="es-419"/>
              </w:rPr>
              <w:t xml:space="preserve">Preparar y comunicar </w:t>
            </w:r>
            <w:r w:rsidR="00827E39" w:rsidRPr="3937432E">
              <w:rPr>
                <w:b/>
                <w:sz w:val="20"/>
                <w:szCs w:val="20"/>
                <w:lang w:val="es-419"/>
              </w:rPr>
              <w:t>un plan de trabajo anual</w:t>
            </w:r>
            <w:r w:rsidR="00827E39" w:rsidRPr="3937432E">
              <w:rPr>
                <w:sz w:val="20"/>
                <w:szCs w:val="20"/>
                <w:lang w:val="es-419"/>
              </w:rPr>
              <w:t xml:space="preserve"> para la oficina/</w:t>
            </w:r>
            <w:r w:rsidR="00843A04" w:rsidRPr="3937432E">
              <w:rPr>
                <w:sz w:val="20"/>
                <w:szCs w:val="20"/>
                <w:lang w:val="es-419"/>
              </w:rPr>
              <w:t>unidad vinculada</w:t>
            </w:r>
            <w:r w:rsidR="00827E39" w:rsidRPr="3937432E">
              <w:rPr>
                <w:sz w:val="20"/>
                <w:szCs w:val="20"/>
                <w:lang w:val="es-419"/>
              </w:rPr>
              <w:t xml:space="preserve"> a las prioridades institucionales.</w:t>
            </w:r>
          </w:p>
        </w:tc>
      </w:tr>
      <w:tr w:rsidR="00FC6582" w:rsidRPr="00773863" w14:paraId="108118FB" w14:textId="77777777" w:rsidTr="48224A22">
        <w:trPr>
          <w:trHeight w:val="20"/>
        </w:trPr>
        <w:tc>
          <w:tcPr>
            <w:tcW w:w="9900" w:type="dxa"/>
          </w:tcPr>
          <w:p w14:paraId="60849CB0" w14:textId="618FE739" w:rsidR="00827E39" w:rsidRPr="00DB1CA7" w:rsidRDefault="49A16A61">
            <w:pPr>
              <w:pStyle w:val="ListParagraph"/>
              <w:widowControl w:val="0"/>
              <w:numPr>
                <w:ilvl w:val="0"/>
                <w:numId w:val="50"/>
              </w:numPr>
              <w:autoSpaceDE w:val="0"/>
              <w:autoSpaceDN w:val="0"/>
              <w:spacing w:after="0" w:line="240" w:lineRule="auto"/>
              <w:rPr>
                <w:b/>
                <w:bCs/>
                <w:sz w:val="20"/>
                <w:szCs w:val="20"/>
                <w:lang w:val="es-419"/>
              </w:rPr>
            </w:pPr>
            <w:r w:rsidRPr="3937432E">
              <w:rPr>
                <w:b/>
                <w:bCs/>
                <w:sz w:val="20"/>
                <w:szCs w:val="20"/>
                <w:lang w:val="es-419"/>
              </w:rPr>
              <w:t xml:space="preserve">Establecer </w:t>
            </w:r>
            <w:r w:rsidR="679B7519" w:rsidRPr="3937432E">
              <w:rPr>
                <w:b/>
                <w:bCs/>
                <w:sz w:val="20"/>
                <w:szCs w:val="20"/>
                <w:lang w:val="es-419"/>
              </w:rPr>
              <w:t>u</w:t>
            </w:r>
            <w:r w:rsidR="317F3F14" w:rsidRPr="3937432E">
              <w:rPr>
                <w:b/>
                <w:bCs/>
                <w:sz w:val="20"/>
                <w:szCs w:val="20"/>
                <w:lang w:val="es-419"/>
              </w:rPr>
              <w:t>n</w:t>
            </w:r>
            <w:r w:rsidR="00827E39" w:rsidRPr="3937432E">
              <w:rPr>
                <w:b/>
                <w:sz w:val="20"/>
                <w:szCs w:val="20"/>
                <w:lang w:val="es-419"/>
              </w:rPr>
              <w:t xml:space="preserve"> sistema de monitoreo efectivo</w:t>
            </w:r>
            <w:r w:rsidR="00827E39" w:rsidRPr="3937432E">
              <w:rPr>
                <w:sz w:val="20"/>
                <w:szCs w:val="20"/>
                <w:lang w:val="es-419"/>
              </w:rPr>
              <w:t xml:space="preserve">   para asegurar que la oficina/unidad está progresando en sus planes de trabajo anuales y que el sistema de control interno está funcionando. El enfoque del sistema de monitoreo dependerá de los riesgos de control identificados al evaluar el contexto operativo local y las capacidades de la oficina como parte del desarrollo local </w:t>
            </w:r>
            <w:r w:rsidR="317F3F14" w:rsidRPr="3937432E">
              <w:rPr>
                <w:sz w:val="20"/>
                <w:szCs w:val="20"/>
                <w:lang w:val="es-419"/>
              </w:rPr>
              <w:t>de</w:t>
            </w:r>
            <w:r w:rsidR="4C2508FE" w:rsidRPr="3937432E">
              <w:rPr>
                <w:sz w:val="20"/>
                <w:szCs w:val="20"/>
                <w:lang w:val="es-419"/>
              </w:rPr>
              <w:t xml:space="preserve">l </w:t>
            </w:r>
            <w:r w:rsidR="003616B1">
              <w:rPr>
                <w:sz w:val="20"/>
                <w:szCs w:val="20"/>
                <w:lang w:val="es-419"/>
              </w:rPr>
              <w:t>ICF</w:t>
            </w:r>
            <w:r w:rsidR="00827E39" w:rsidRPr="3937432E">
              <w:rPr>
                <w:sz w:val="20"/>
                <w:szCs w:val="20"/>
                <w:lang w:val="es-419"/>
              </w:rPr>
              <w:t xml:space="preserve">. Algunas </w:t>
            </w:r>
            <w:r w:rsidR="488DBA60" w:rsidRPr="3937432E">
              <w:rPr>
                <w:sz w:val="20"/>
                <w:szCs w:val="20"/>
                <w:lang w:val="es-419"/>
              </w:rPr>
              <w:t>áreas a</w:t>
            </w:r>
            <w:r w:rsidR="00827E39" w:rsidRPr="3937432E">
              <w:rPr>
                <w:sz w:val="20"/>
                <w:szCs w:val="20"/>
                <w:lang w:val="es-419"/>
              </w:rPr>
              <w:t xml:space="preserve"> considerar </w:t>
            </w:r>
            <w:r w:rsidR="317F3F14" w:rsidRPr="3937432E">
              <w:rPr>
                <w:sz w:val="20"/>
                <w:szCs w:val="20"/>
                <w:lang w:val="es-419"/>
              </w:rPr>
              <w:t xml:space="preserve"> </w:t>
            </w:r>
            <w:r w:rsidR="6A70B717" w:rsidRPr="3937432E">
              <w:rPr>
                <w:sz w:val="20"/>
                <w:szCs w:val="20"/>
                <w:lang w:val="es-419"/>
              </w:rPr>
              <w:t>incluyen</w:t>
            </w:r>
            <w:r w:rsidR="00827E39" w:rsidRPr="3937432E">
              <w:rPr>
                <w:sz w:val="20"/>
                <w:szCs w:val="20"/>
                <w:lang w:val="es-419"/>
              </w:rPr>
              <w:t xml:space="preserve">: la situación general de los recursos de la oficina o </w:t>
            </w:r>
            <w:r w:rsidR="51A11EA3" w:rsidRPr="3937432E">
              <w:rPr>
                <w:sz w:val="20"/>
                <w:szCs w:val="20"/>
                <w:lang w:val="es-419"/>
              </w:rPr>
              <w:t>unidad</w:t>
            </w:r>
            <w:r w:rsidR="00827E39" w:rsidRPr="3937432E">
              <w:rPr>
                <w:sz w:val="20"/>
                <w:szCs w:val="20"/>
                <w:lang w:val="es-419"/>
              </w:rPr>
              <w:t xml:space="preserve">; plan de trabajo y presupuesto vs rendimiento real; gestión de contribuciones y cuentas por cobrar; cualquier excepción al proceso (por ejemplo, relacionada con adquisiciones, contrataciones, etc.); cambios en los recursos humanos e impacto en la nómina; frecuencia y estado de las anulaciones presupuestarias; puntualidad de las solicitudes de servicio GSSC y cualquier problema recurrente de gestión de casos; rendimiento </w:t>
            </w:r>
            <w:r w:rsidR="17266025" w:rsidRPr="3937432E">
              <w:rPr>
                <w:i/>
                <w:iCs/>
                <w:sz w:val="20"/>
                <w:szCs w:val="20"/>
                <w:lang w:val="es-419"/>
              </w:rPr>
              <w:t>Integrated FInancial Dashboard</w:t>
            </w:r>
            <w:r w:rsidR="317F3F14" w:rsidRPr="3937432E">
              <w:rPr>
                <w:sz w:val="20"/>
                <w:szCs w:val="20"/>
                <w:lang w:val="es-419"/>
              </w:rPr>
              <w:t xml:space="preserve">; </w:t>
            </w:r>
            <w:r w:rsidR="00843A04" w:rsidRPr="3937432E">
              <w:rPr>
                <w:sz w:val="20"/>
                <w:szCs w:val="20"/>
                <w:lang w:val="es-419"/>
              </w:rPr>
              <w:t>etcétera</w:t>
            </w:r>
            <w:r w:rsidR="317F3F14" w:rsidRPr="3937432E">
              <w:rPr>
                <w:sz w:val="20"/>
                <w:szCs w:val="20"/>
                <w:lang w:val="es-419"/>
              </w:rPr>
              <w:t>.</w:t>
            </w:r>
          </w:p>
        </w:tc>
      </w:tr>
      <w:tr w:rsidR="00FC6582" w:rsidRPr="00773863" w14:paraId="5B311D03" w14:textId="77777777" w:rsidTr="48224A22">
        <w:trPr>
          <w:trHeight w:val="20"/>
        </w:trPr>
        <w:tc>
          <w:tcPr>
            <w:tcW w:w="9900" w:type="dxa"/>
          </w:tcPr>
          <w:p w14:paraId="594C3243" w14:textId="4F70068D" w:rsidR="00011B58" w:rsidRPr="00756410" w:rsidRDefault="5D38A7F7" w:rsidP="068E6479">
            <w:pPr>
              <w:pStyle w:val="ListParagraph"/>
              <w:widowControl w:val="0"/>
              <w:numPr>
                <w:ilvl w:val="0"/>
                <w:numId w:val="50"/>
              </w:numPr>
              <w:autoSpaceDE w:val="0"/>
              <w:autoSpaceDN w:val="0"/>
              <w:spacing w:after="0" w:line="240" w:lineRule="auto"/>
              <w:rPr>
                <w:sz w:val="20"/>
                <w:szCs w:val="20"/>
                <w:lang w:val="es-419"/>
              </w:rPr>
            </w:pPr>
            <w:r w:rsidRPr="3937432E">
              <w:rPr>
                <w:b/>
                <w:bCs/>
                <w:sz w:val="20"/>
                <w:szCs w:val="20"/>
                <w:lang w:val="es-419"/>
              </w:rPr>
              <w:t>Documentar l</w:t>
            </w:r>
            <w:r w:rsidR="00011B58" w:rsidRPr="3937432E">
              <w:rPr>
                <w:b/>
                <w:sz w:val="20"/>
                <w:szCs w:val="20"/>
                <w:lang w:val="es-419"/>
              </w:rPr>
              <w:t>os procedimientos de control interno</w:t>
            </w:r>
            <w:r w:rsidR="00011B58" w:rsidRPr="3937432E">
              <w:rPr>
                <w:sz w:val="20"/>
                <w:szCs w:val="20"/>
                <w:lang w:val="es-419"/>
              </w:rPr>
              <w:t xml:space="preserve"> de la oficina/unidad  para garantizar que se aborden los riesgos de la capacidad de la oficina/unidad local y del contexto operativo (consulte la sección 2.5 para obtener orientación sobre la preparación del </w:t>
            </w:r>
            <w:r w:rsidR="003616B1">
              <w:rPr>
                <w:sz w:val="20"/>
                <w:szCs w:val="20"/>
                <w:lang w:val="es-419"/>
              </w:rPr>
              <w:t>ICF</w:t>
            </w:r>
            <w:r w:rsidR="00011B58" w:rsidRPr="3937432E">
              <w:rPr>
                <w:sz w:val="20"/>
                <w:szCs w:val="20"/>
                <w:lang w:val="es-419"/>
              </w:rPr>
              <w:t xml:space="preserve"> local).</w:t>
            </w:r>
          </w:p>
        </w:tc>
      </w:tr>
      <w:tr w:rsidR="00C27124" w:rsidRPr="005D2478" w14:paraId="6B988B57" w14:textId="77777777" w:rsidTr="48224A22">
        <w:trPr>
          <w:trHeight w:val="20"/>
        </w:trPr>
        <w:tc>
          <w:tcPr>
            <w:tcW w:w="9900" w:type="dxa"/>
            <w:shd w:val="clear" w:color="auto" w:fill="000000" w:themeFill="text1"/>
          </w:tcPr>
          <w:p w14:paraId="0632F2C8" w14:textId="38F3DFF3" w:rsidR="00011B58" w:rsidRPr="00756410"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lang w:val="es-419"/>
              </w:rPr>
            </w:pPr>
            <w:r w:rsidRPr="00756410">
              <w:rPr>
                <w:rFonts w:cstheme="minorHAnsi"/>
                <w:b/>
                <w:bCs/>
                <w:sz w:val="20"/>
                <w:szCs w:val="20"/>
                <w:lang w:val="es-419"/>
              </w:rPr>
              <w:t>Asumir compromisos legales</w:t>
            </w:r>
          </w:p>
        </w:tc>
      </w:tr>
      <w:tr w:rsidR="00FC6582" w:rsidRPr="00773863" w14:paraId="39F25437" w14:textId="77777777" w:rsidTr="48224A22">
        <w:trPr>
          <w:trHeight w:val="20"/>
        </w:trPr>
        <w:tc>
          <w:tcPr>
            <w:tcW w:w="9900" w:type="dxa"/>
          </w:tcPr>
          <w:p w14:paraId="50C89469" w14:textId="0C342721" w:rsidR="00011B58" w:rsidRPr="00756410" w:rsidRDefault="00011B58">
            <w:pPr>
              <w:pStyle w:val="ListParagraph"/>
              <w:widowControl w:val="0"/>
              <w:numPr>
                <w:ilvl w:val="0"/>
                <w:numId w:val="51"/>
              </w:numPr>
              <w:spacing w:after="0" w:line="240" w:lineRule="auto"/>
              <w:rPr>
                <w:sz w:val="20"/>
                <w:szCs w:val="20"/>
                <w:lang w:val="es-419"/>
              </w:rPr>
            </w:pPr>
            <w:r w:rsidRPr="00756410">
              <w:rPr>
                <w:b/>
                <w:sz w:val="20"/>
                <w:szCs w:val="20"/>
                <w:lang w:val="es-419"/>
              </w:rPr>
              <w:t>General:</w:t>
            </w:r>
            <w:r w:rsidRPr="00756410">
              <w:rPr>
                <w:sz w:val="20"/>
                <w:szCs w:val="20"/>
                <w:lang w:val="es-419"/>
              </w:rPr>
              <w:t xml:space="preserve"> </w:t>
            </w:r>
            <w:r w:rsidR="60174D96" w:rsidRPr="00756410">
              <w:rPr>
                <w:sz w:val="20"/>
                <w:szCs w:val="20"/>
                <w:lang w:val="es-419"/>
              </w:rPr>
              <w:t>garantiza</w:t>
            </w:r>
            <w:r w:rsidR="2FD9010B" w:rsidRPr="0068548A">
              <w:rPr>
                <w:sz w:val="20"/>
                <w:szCs w:val="20"/>
                <w:lang w:val="es-419"/>
              </w:rPr>
              <w:t xml:space="preserve">r </w:t>
            </w:r>
            <w:r w:rsidRPr="00756410">
              <w:rPr>
                <w:sz w:val="20"/>
                <w:szCs w:val="20"/>
                <w:lang w:val="es-419"/>
              </w:rPr>
              <w:t>que solo</w:t>
            </w:r>
            <w:r w:rsidRPr="363CA695">
              <w:rPr>
                <w:rStyle w:val="FootnoteReference"/>
                <w:sz w:val="20"/>
                <w:szCs w:val="20"/>
              </w:rPr>
              <w:footnoteReference w:id="36"/>
            </w:r>
            <w:r w:rsidRPr="0068548A">
              <w:rPr>
                <w:sz w:val="20"/>
                <w:szCs w:val="20"/>
                <w:lang w:val="es-419"/>
              </w:rPr>
              <w:t xml:space="preserve"> se firmen contratos y acuerdos estándar (por ejemplo, memorandos de entendimiento; acuerdos de participación en los costos; documentos de proyectos de desarrollo y revisiones presupuestarias; </w:t>
            </w:r>
            <w:r w:rsidR="5AE715C6" w:rsidRPr="0068548A">
              <w:rPr>
                <w:sz w:val="20"/>
                <w:szCs w:val="20"/>
                <w:lang w:val="es-419"/>
              </w:rPr>
              <w:t>Ordenes de Compra</w:t>
            </w:r>
            <w:r w:rsidR="60174D96" w:rsidRPr="0068548A">
              <w:rPr>
                <w:sz w:val="20"/>
                <w:szCs w:val="20"/>
                <w:lang w:val="es-419"/>
              </w:rPr>
              <w:t xml:space="preserve"> </w:t>
            </w:r>
            <w:r w:rsidR="09BF2B20" w:rsidRPr="0068548A">
              <w:rPr>
                <w:sz w:val="20"/>
                <w:szCs w:val="20"/>
                <w:lang w:val="es-419"/>
              </w:rPr>
              <w:t xml:space="preserve"> y </w:t>
            </w:r>
            <w:r w:rsidR="00C21C53" w:rsidRPr="0068548A">
              <w:rPr>
                <w:sz w:val="20"/>
                <w:szCs w:val="20"/>
                <w:lang w:val="es-419"/>
              </w:rPr>
              <w:t>consultorías</w:t>
            </w:r>
            <w:r w:rsidR="09BF2B20" w:rsidRPr="0068548A">
              <w:rPr>
                <w:sz w:val="20"/>
                <w:szCs w:val="20"/>
                <w:lang w:val="es-419"/>
              </w:rPr>
              <w:t xml:space="preserve"> Individuales</w:t>
            </w:r>
            <w:r w:rsidRPr="0068548A">
              <w:rPr>
                <w:sz w:val="20"/>
                <w:szCs w:val="20"/>
                <w:lang w:val="es-419"/>
              </w:rPr>
              <w:t xml:space="preserve">; autorización para viajar). Cuando cualquier acuerdo jurídico que deba firmar la oficina o </w:t>
            </w:r>
            <w:r w:rsidR="55811E98" w:rsidRPr="3937432E">
              <w:rPr>
                <w:b/>
                <w:bCs/>
                <w:sz w:val="20"/>
                <w:szCs w:val="20"/>
                <w:lang w:val="es-419"/>
              </w:rPr>
              <w:t xml:space="preserve">unidad </w:t>
            </w:r>
            <w:r w:rsidRPr="0068548A">
              <w:rPr>
                <w:sz w:val="20"/>
                <w:szCs w:val="20"/>
                <w:lang w:val="es-419"/>
              </w:rPr>
              <w:t xml:space="preserve">se desvíe de los modelos de modelos del </w:t>
            </w:r>
            <w:r w:rsidR="64B3264A" w:rsidRPr="3937432E">
              <w:rPr>
                <w:b/>
                <w:bCs/>
                <w:sz w:val="20"/>
                <w:szCs w:val="20"/>
                <w:lang w:val="es-419"/>
              </w:rPr>
              <w:t>POPP</w:t>
            </w:r>
            <w:r w:rsidRPr="0068548A">
              <w:rPr>
                <w:sz w:val="20"/>
                <w:szCs w:val="20"/>
                <w:lang w:val="es-419"/>
              </w:rPr>
              <w:t xml:space="preserve">(véase </w:t>
            </w:r>
            <w:hyperlink r:id="rId158">
              <w:r w:rsidRPr="00756410">
                <w:rPr>
                  <w:color w:val="0462C1"/>
                  <w:sz w:val="20"/>
                  <w:szCs w:val="20"/>
                  <w:u w:val="single" w:color="0462C1"/>
                  <w:lang w:val="es-419"/>
                </w:rPr>
                <w:t>la selección de un</w:t>
              </w:r>
            </w:hyperlink>
            <w:r w:rsidRPr="00756410">
              <w:rPr>
                <w:color w:val="0462C1"/>
                <w:spacing w:val="1"/>
                <w:sz w:val="20"/>
                <w:szCs w:val="20"/>
                <w:lang w:val="es-419"/>
              </w:rPr>
              <w:t xml:space="preserve"> </w:t>
            </w:r>
            <w:hyperlink r:id="rId159">
              <w:r w:rsidRPr="00756410">
                <w:rPr>
                  <w:color w:val="0462C1"/>
                  <w:sz w:val="20"/>
                  <w:szCs w:val="20"/>
                  <w:u w:val="single" w:color="0462C1"/>
                  <w:lang w:val="es-419"/>
                </w:rPr>
                <w:t xml:space="preserve">asociado en la ejecución), </w:t>
              </w:r>
            </w:hyperlink>
            <w:r w:rsidRPr="00756410">
              <w:rPr>
                <w:color w:val="0462C1"/>
                <w:sz w:val="20"/>
                <w:szCs w:val="20"/>
                <w:lang w:val="es-419"/>
              </w:rPr>
              <w:t xml:space="preserve"> </w:t>
            </w:r>
            <w:r w:rsidRPr="00756410">
              <w:rPr>
                <w:sz w:val="20"/>
                <w:szCs w:val="20"/>
                <w:lang w:val="es-419"/>
              </w:rPr>
              <w:t>deberá remitirse a la Oficina de Servicios Jurídicos</w:t>
            </w:r>
            <w:r w:rsidRPr="0068548A">
              <w:rPr>
                <w:sz w:val="20"/>
                <w:szCs w:val="20"/>
                <w:lang w:val="es-419"/>
              </w:rPr>
              <w:t xml:space="preserve"> </w:t>
            </w:r>
            <w:r w:rsidR="33D67623" w:rsidRPr="0068548A">
              <w:rPr>
                <w:sz w:val="20"/>
                <w:szCs w:val="20"/>
                <w:lang w:val="es-419"/>
              </w:rPr>
              <w:t>(BMS-OLS)</w:t>
            </w:r>
            <w:r w:rsidR="60174D96" w:rsidRPr="00756410">
              <w:rPr>
                <w:sz w:val="20"/>
                <w:szCs w:val="20"/>
                <w:lang w:val="es-419"/>
              </w:rPr>
              <w:t xml:space="preserve"> </w:t>
            </w:r>
            <w:r w:rsidRPr="00756410">
              <w:rPr>
                <w:sz w:val="20"/>
                <w:szCs w:val="20"/>
                <w:lang w:val="es-419"/>
              </w:rPr>
              <w:t>para su aprobación y a la Oficina de Relaciones Exteriores y Promoción (BERA) (</w:t>
            </w:r>
            <w:hyperlink r:id="rId160">
              <w:r w:rsidRPr="00756410">
                <w:rPr>
                  <w:color w:val="0462C1"/>
                  <w:sz w:val="20"/>
                  <w:szCs w:val="20"/>
                  <w:u w:val="single" w:color="0462C1"/>
                  <w:lang w:val="es-419"/>
                </w:rPr>
                <w:t>cosupport@undp.org</w:t>
              </w:r>
            </w:hyperlink>
            <w:r w:rsidRPr="00756410">
              <w:rPr>
                <w:sz w:val="20"/>
                <w:szCs w:val="20"/>
                <w:lang w:val="es-419"/>
              </w:rPr>
              <w:t xml:space="preserve">), incluso </w:t>
            </w:r>
            <w:r w:rsidR="00843A04" w:rsidRPr="00843A04">
              <w:rPr>
                <w:sz w:val="20"/>
                <w:szCs w:val="20"/>
                <w:lang w:val="es-419"/>
              </w:rPr>
              <w:t>e</w:t>
            </w:r>
            <w:r w:rsidR="00843A04" w:rsidRPr="0068548A">
              <w:rPr>
                <w:sz w:val="20"/>
                <w:szCs w:val="20"/>
                <w:lang w:val="es-419"/>
              </w:rPr>
              <w:t>n</w:t>
            </w:r>
            <w:r w:rsidRPr="0068548A">
              <w:rPr>
                <w:sz w:val="20"/>
                <w:szCs w:val="20"/>
                <w:lang w:val="es-419"/>
              </w:rPr>
              <w:t xml:space="preserve"> los casos en que un memorando de entendimiento propuesto se refiera a actividades de financiación. </w:t>
            </w:r>
            <w:r w:rsidRPr="005201C9">
              <w:rPr>
                <w:sz w:val="20"/>
                <w:szCs w:val="20"/>
                <w:lang w:val="es-419"/>
              </w:rPr>
              <w:t xml:space="preserve">Todos los acuerdos de </w:t>
            </w:r>
            <w:r w:rsidR="55CACEAB" w:rsidRPr="005201C9">
              <w:rPr>
                <w:sz w:val="20"/>
                <w:szCs w:val="20"/>
                <w:lang w:val="es-419"/>
              </w:rPr>
              <w:t xml:space="preserve">movilización de recursos </w:t>
            </w:r>
            <w:r w:rsidRPr="005201C9">
              <w:rPr>
                <w:sz w:val="20"/>
                <w:szCs w:val="20"/>
                <w:lang w:val="es-419"/>
              </w:rPr>
              <w:t xml:space="preserve"> deben enviarse a BMS/GSSC para su registro en Quantum dentro de una semana de la firma. Los requisitos para tipos de contratos específicos se indican a continuación.</w:t>
            </w:r>
          </w:p>
        </w:tc>
      </w:tr>
      <w:tr w:rsidR="00FC6582" w:rsidRPr="00773863" w14:paraId="5371ADF5" w14:textId="77777777" w:rsidTr="48224A22">
        <w:trPr>
          <w:trHeight w:val="20"/>
        </w:trPr>
        <w:tc>
          <w:tcPr>
            <w:tcW w:w="9900" w:type="dxa"/>
          </w:tcPr>
          <w:p w14:paraId="5A7C0193" w14:textId="401EDBBF" w:rsidR="00342286" w:rsidRPr="00DB1CA7" w:rsidRDefault="00342286">
            <w:pPr>
              <w:pStyle w:val="ListParagraph"/>
              <w:widowControl w:val="0"/>
              <w:numPr>
                <w:ilvl w:val="0"/>
                <w:numId w:val="51"/>
              </w:numPr>
              <w:autoSpaceDE w:val="0"/>
              <w:autoSpaceDN w:val="0"/>
              <w:spacing w:after="0" w:line="240" w:lineRule="auto"/>
              <w:rPr>
                <w:b/>
                <w:bCs/>
                <w:sz w:val="20"/>
                <w:szCs w:val="20"/>
                <w:lang w:val="es-419"/>
              </w:rPr>
            </w:pPr>
            <w:r w:rsidRPr="3937432E">
              <w:rPr>
                <w:b/>
                <w:sz w:val="20"/>
                <w:szCs w:val="20"/>
                <w:lang w:val="es-419"/>
              </w:rPr>
              <w:lastRenderedPageBreak/>
              <w:t>Memorandos de entendimiento:</w:t>
            </w:r>
            <w:r w:rsidRPr="3937432E">
              <w:rPr>
                <w:sz w:val="20"/>
                <w:szCs w:val="20"/>
                <w:lang w:val="es-419"/>
              </w:rPr>
              <w:t xml:space="preserve"> Los memorandos de entendimiento generalmente se aplican a los acuerdos entre el PNUD y otras organizaciones de las Naciones Unidas e instituciones gubernamentales. También se utilizan en </w:t>
            </w:r>
            <w:r w:rsidR="61F11FC0" w:rsidRPr="3937432E">
              <w:rPr>
                <w:sz w:val="20"/>
                <w:szCs w:val="20"/>
                <w:lang w:val="es-419"/>
              </w:rPr>
              <w:t xml:space="preserve">colaboraciones </w:t>
            </w:r>
            <w:r w:rsidRPr="3937432E">
              <w:rPr>
                <w:sz w:val="20"/>
                <w:szCs w:val="20"/>
                <w:lang w:val="es-419"/>
              </w:rPr>
              <w:t xml:space="preserve">(no en adquisiciones) para registrar la intención de colaborar con otra entidad en áreas de interés mutuo, como servicios comunes o locales comunes. Los memorandos de entendimiento no deben usarse en lugar de contratos regulares cuando la compra de bienes o servicios es la </w:t>
            </w:r>
            <w:r w:rsidR="2E1FCD9A" w:rsidRPr="3937432E">
              <w:rPr>
                <w:sz w:val="20"/>
                <w:szCs w:val="20"/>
                <w:lang w:val="es-419"/>
              </w:rPr>
              <w:t xml:space="preserve">objetivo esencial </w:t>
            </w:r>
            <w:r w:rsidRPr="3937432E">
              <w:rPr>
                <w:sz w:val="20"/>
                <w:szCs w:val="20"/>
                <w:lang w:val="es-419"/>
              </w:rPr>
              <w:t xml:space="preserve">de la relación. </w:t>
            </w:r>
          </w:p>
        </w:tc>
      </w:tr>
      <w:tr w:rsidR="00FC6582" w:rsidRPr="00773863" w14:paraId="665BB0D6" w14:textId="77777777" w:rsidTr="48224A22">
        <w:trPr>
          <w:trHeight w:val="20"/>
        </w:trPr>
        <w:tc>
          <w:tcPr>
            <w:tcW w:w="9900" w:type="dxa"/>
          </w:tcPr>
          <w:p w14:paraId="5F4B49D1" w14:textId="57126CDF" w:rsidR="00342286" w:rsidRPr="00756410" w:rsidRDefault="00342286" w:rsidP="068E6479">
            <w:pPr>
              <w:pStyle w:val="ListParagraph"/>
              <w:widowControl w:val="0"/>
              <w:numPr>
                <w:ilvl w:val="0"/>
                <w:numId w:val="51"/>
              </w:numPr>
              <w:autoSpaceDE w:val="0"/>
              <w:autoSpaceDN w:val="0"/>
              <w:spacing w:after="0" w:line="240" w:lineRule="auto"/>
              <w:rPr>
                <w:spacing w:val="3"/>
                <w:sz w:val="20"/>
                <w:szCs w:val="20"/>
                <w:lang w:val="es-419"/>
              </w:rPr>
            </w:pPr>
            <w:r w:rsidRPr="3937432E">
              <w:rPr>
                <w:b/>
                <w:sz w:val="20"/>
                <w:szCs w:val="20"/>
                <w:lang w:val="es-419"/>
              </w:rPr>
              <w:t>Acuerdos de participación en la financiación de los gastos:</w:t>
            </w:r>
            <w:r w:rsidRPr="3937432E">
              <w:rPr>
                <w:sz w:val="20"/>
                <w:szCs w:val="20"/>
                <w:lang w:val="es-419"/>
              </w:rPr>
              <w:t xml:space="preserve"> Si el donante insiste en utilizar un acuerdo de participación en la financiación de los gastos </w:t>
            </w:r>
            <w:r w:rsidR="0BF7DF19" w:rsidRPr="3937432E">
              <w:rPr>
                <w:sz w:val="20"/>
                <w:szCs w:val="20"/>
                <w:lang w:val="es-419"/>
              </w:rPr>
              <w:t xml:space="preserve">que no sea </w:t>
            </w:r>
            <w:r w:rsidR="00843A04" w:rsidRPr="3937432E">
              <w:rPr>
                <w:sz w:val="20"/>
                <w:szCs w:val="20"/>
                <w:lang w:val="es-419"/>
              </w:rPr>
              <w:t>estándar</w:t>
            </w:r>
            <w:r w:rsidRPr="3937432E">
              <w:rPr>
                <w:sz w:val="20"/>
                <w:szCs w:val="20"/>
                <w:lang w:val="es-419"/>
              </w:rPr>
              <w:t>, el Jefe de la Oficina/solicitar la autorización del Director del BMS. Los RR también tienen la autoridad para firmar acuerdos de participación en la financiación de los gastos con las entidades y organismos participantes en cualquier servicio común, local común, Casa de las Naciones Unidas o iniciativa Unidos en la acción</w:t>
            </w:r>
            <w:r w:rsidR="4D24C209" w:rsidRPr="3937432E">
              <w:rPr>
                <w:sz w:val="20"/>
                <w:szCs w:val="20"/>
                <w:lang w:val="es-419"/>
              </w:rPr>
              <w:t xml:space="preserve"> (</w:t>
            </w:r>
            <w:r w:rsidR="4D24C209" w:rsidRPr="00756410">
              <w:rPr>
                <w:i/>
                <w:iCs/>
                <w:sz w:val="20"/>
                <w:szCs w:val="20"/>
                <w:lang w:val="es-419"/>
              </w:rPr>
              <w:t>Delivering as On</w:t>
            </w:r>
            <w:r w:rsidR="4D24C209" w:rsidRPr="3937432E">
              <w:rPr>
                <w:sz w:val="20"/>
                <w:szCs w:val="20"/>
                <w:lang w:val="es-419"/>
              </w:rPr>
              <w:t>e).</w:t>
            </w:r>
          </w:p>
        </w:tc>
      </w:tr>
      <w:tr w:rsidR="00FC6582" w:rsidRPr="00773863" w14:paraId="5CE91FA1" w14:textId="77777777" w:rsidTr="48224A22">
        <w:trPr>
          <w:trHeight w:val="20"/>
        </w:trPr>
        <w:tc>
          <w:tcPr>
            <w:tcW w:w="9900" w:type="dxa"/>
          </w:tcPr>
          <w:p w14:paraId="09D574A9" w14:textId="7B166DD5" w:rsidR="00342286" w:rsidRPr="00756410" w:rsidRDefault="00342286" w:rsidP="068E6479">
            <w:pPr>
              <w:pStyle w:val="ListParagraph"/>
              <w:widowControl w:val="0"/>
              <w:numPr>
                <w:ilvl w:val="0"/>
                <w:numId w:val="51"/>
              </w:numPr>
              <w:autoSpaceDE w:val="0"/>
              <w:autoSpaceDN w:val="0"/>
              <w:spacing w:after="0" w:line="240" w:lineRule="auto"/>
              <w:rPr>
                <w:sz w:val="20"/>
                <w:szCs w:val="20"/>
                <w:lang w:val="es-419"/>
              </w:rPr>
            </w:pPr>
            <w:r w:rsidRPr="3937432E">
              <w:rPr>
                <w:b/>
                <w:spacing w:val="3"/>
                <w:sz w:val="20"/>
                <w:szCs w:val="20"/>
                <w:lang w:val="es-419"/>
              </w:rPr>
              <w:t>Acuerdos de</w:t>
            </w:r>
            <w:r w:rsidR="119DF55A" w:rsidRPr="3937432E">
              <w:rPr>
                <w:b/>
                <w:bCs/>
                <w:spacing w:val="3"/>
                <w:sz w:val="20"/>
                <w:szCs w:val="20"/>
                <w:lang w:val="es-419"/>
              </w:rPr>
              <w:t xml:space="preserve"> </w:t>
            </w:r>
            <w:r w:rsidR="58036083" w:rsidRPr="3937432E">
              <w:rPr>
                <w:b/>
                <w:bCs/>
                <w:spacing w:val="3"/>
                <w:sz w:val="20"/>
                <w:szCs w:val="20"/>
                <w:lang w:val="es-419"/>
              </w:rPr>
              <w:t>fideicomisos</w:t>
            </w:r>
            <w:r w:rsidRPr="3937432E">
              <w:rPr>
                <w:b/>
                <w:spacing w:val="3"/>
                <w:sz w:val="20"/>
                <w:szCs w:val="20"/>
                <w:lang w:val="es-419"/>
              </w:rPr>
              <w:t xml:space="preserve">: </w:t>
            </w:r>
            <w:r w:rsidRPr="00EE77A8">
              <w:rPr>
                <w:sz w:val="20"/>
                <w:szCs w:val="20"/>
                <w:lang w:val="es-419"/>
              </w:rPr>
              <w:t xml:space="preserve">Los jefes de oficinas/dependencias </w:t>
            </w:r>
            <w:r w:rsidRPr="00EE77A8">
              <w:rPr>
                <w:sz w:val="20"/>
                <w:szCs w:val="20"/>
                <w:u w:val="single"/>
                <w:lang w:val="es-419"/>
              </w:rPr>
              <w:t>no</w:t>
            </w:r>
            <w:r w:rsidRPr="00EE77A8">
              <w:rPr>
                <w:sz w:val="20"/>
                <w:szCs w:val="20"/>
                <w:lang w:val="es-419"/>
              </w:rPr>
              <w:t xml:space="preserve"> tienen autoridad para firmar acuerdos de fondos fiduciarios, que deben enviarse a la BERA para su aprobación por escrito y firma por parte del Administrador Asociado.</w:t>
            </w:r>
          </w:p>
        </w:tc>
      </w:tr>
      <w:tr w:rsidR="00FC6582" w:rsidRPr="005D2478" w14:paraId="2B4F4B9E" w14:textId="77777777" w:rsidTr="48224A22">
        <w:trPr>
          <w:trHeight w:val="20"/>
        </w:trPr>
        <w:tc>
          <w:tcPr>
            <w:tcW w:w="9900" w:type="dxa"/>
          </w:tcPr>
          <w:p w14:paraId="27ACCD5E" w14:textId="29D15E20" w:rsidR="00342286" w:rsidRPr="00342286" w:rsidRDefault="00342286">
            <w:pPr>
              <w:pStyle w:val="ListParagraph"/>
              <w:widowControl w:val="0"/>
              <w:numPr>
                <w:ilvl w:val="0"/>
                <w:numId w:val="51"/>
              </w:numPr>
              <w:autoSpaceDE w:val="0"/>
              <w:autoSpaceDN w:val="0"/>
              <w:spacing w:after="0" w:line="240" w:lineRule="auto"/>
              <w:rPr>
                <w:sz w:val="20"/>
                <w:szCs w:val="20"/>
              </w:rPr>
            </w:pPr>
            <w:r w:rsidRPr="3937432E">
              <w:rPr>
                <w:b/>
                <w:sz w:val="20"/>
                <w:szCs w:val="20"/>
                <w:lang w:val="es-419"/>
              </w:rPr>
              <w:t xml:space="preserve">Documentos de proyectos y revisiones del presupuesto de proyectos para proyectos de desarrollo: </w:t>
            </w:r>
            <w:r w:rsidRPr="3937432E">
              <w:rPr>
                <w:sz w:val="20"/>
                <w:szCs w:val="20"/>
                <w:lang w:val="es-419"/>
              </w:rPr>
              <w:t xml:space="preserve">Al ejecutar la autoridad delegada para firmar documentos de proyectos en nombre del PNUD (según </w:t>
            </w:r>
            <w:hyperlink r:id="rId161">
              <w:r w:rsidRPr="00756410">
                <w:rPr>
                  <w:rStyle w:val="Hyperlink"/>
                  <w:sz w:val="20"/>
                  <w:szCs w:val="20"/>
                  <w:lang w:val="es-419"/>
                </w:rPr>
                <w:t xml:space="preserve"> la Política de Delegación de Autoridad de POPP), </w:t>
              </w:r>
            </w:hyperlink>
            <w:r w:rsidRPr="00756410">
              <w:rPr>
                <w:sz w:val="20"/>
                <w:szCs w:val="20"/>
                <w:lang w:val="es-419"/>
              </w:rPr>
              <w:t xml:space="preserve">el RR es responsable de garantizar el cumplimiento de la </w:t>
            </w:r>
            <w:hyperlink r:id="rId162">
              <w:r w:rsidR="009613F3">
                <w:rPr>
                  <w:rStyle w:val="Hyperlink"/>
                  <w:sz w:val="20"/>
                  <w:szCs w:val="20"/>
                  <w:lang w:val="es-419"/>
                </w:rPr>
                <w:t xml:space="preserve">gestión de proyectos POPP, </w:t>
              </w:r>
            </w:hyperlink>
            <w:r w:rsidR="260AA61D" w:rsidRPr="3937432E">
              <w:rPr>
                <w:sz w:val="20"/>
                <w:szCs w:val="20"/>
                <w:lang w:val="es-419"/>
              </w:rPr>
              <w:t xml:space="preserve"> </w:t>
            </w:r>
            <w:r w:rsidR="046457C3" w:rsidRPr="3937432E">
              <w:rPr>
                <w:sz w:val="20"/>
                <w:szCs w:val="20"/>
                <w:lang w:val="es-419"/>
              </w:rPr>
              <w:t xml:space="preserve">garantizando </w:t>
            </w:r>
            <w:r w:rsidRPr="3937432E">
              <w:rPr>
                <w:sz w:val="20"/>
                <w:szCs w:val="20"/>
                <w:lang w:val="es-419"/>
              </w:rPr>
              <w:t xml:space="preserve"> que se haya celebrado una reunión del Comité de Evaluación de Proyectos (PAC) y que el plan de trabajo anual se haya revisado para abordar los comentarios del PAC. </w:t>
            </w:r>
            <w:r w:rsidRPr="3937432E">
              <w:rPr>
                <w:b/>
                <w:color w:val="4472C4" w:themeColor="accent1"/>
                <w:sz w:val="20"/>
                <w:szCs w:val="20"/>
                <w:u w:val="single"/>
                <w:lang w:val="es-419"/>
              </w:rPr>
              <w:t xml:space="preserve">Excepciones: </w:t>
            </w:r>
            <w:r w:rsidRPr="3937432E">
              <w:rPr>
                <w:sz w:val="20"/>
                <w:szCs w:val="20"/>
                <w:lang w:val="es-419"/>
              </w:rPr>
              <w:t xml:space="preserve">El </w:t>
            </w:r>
            <w:r w:rsidR="23940914" w:rsidRPr="3937432E">
              <w:rPr>
                <w:sz w:val="20"/>
                <w:szCs w:val="20"/>
                <w:lang w:val="es-419"/>
              </w:rPr>
              <w:t xml:space="preserve">gerente </w:t>
            </w:r>
            <w:r w:rsidRPr="3937432E">
              <w:rPr>
                <w:sz w:val="20"/>
                <w:szCs w:val="20"/>
                <w:lang w:val="es-419"/>
              </w:rPr>
              <w:t xml:space="preserve">del programa/Representante Residente </w:t>
            </w:r>
            <w:r w:rsidRPr="3937432E">
              <w:rPr>
                <w:b/>
                <w:sz w:val="20"/>
                <w:szCs w:val="20"/>
                <w:lang w:val="es-419"/>
              </w:rPr>
              <w:t>no está facultado para aprobar un documento de proyecto en los siguientes casos</w:t>
            </w:r>
            <w:r w:rsidRPr="3937432E">
              <w:rPr>
                <w:sz w:val="20"/>
                <w:szCs w:val="20"/>
                <w:lang w:val="es-419"/>
              </w:rPr>
              <w:t xml:space="preserve">, a menos que haya recibido una autorización específica del Director </w:t>
            </w:r>
            <w:r w:rsidR="119DF55A" w:rsidRPr="3937432E">
              <w:rPr>
                <w:sz w:val="20"/>
                <w:szCs w:val="20"/>
                <w:lang w:val="es-419"/>
              </w:rPr>
              <w:t>de</w:t>
            </w:r>
            <w:r w:rsidR="7982BD5C" w:rsidRPr="3937432E">
              <w:rPr>
                <w:sz w:val="20"/>
                <w:szCs w:val="20"/>
                <w:lang w:val="es-419"/>
              </w:rPr>
              <w:t xml:space="preserve">l Buro </w:t>
            </w:r>
            <w:r w:rsidRPr="3937432E">
              <w:rPr>
                <w:sz w:val="20"/>
                <w:szCs w:val="20"/>
                <w:lang w:val="es-419"/>
              </w:rPr>
              <w:t xml:space="preserve">Regional: i) cuando se proponga el apoyo a un proyecto de infraestructura (construcción u otro desarrollo importante de la infraestructura; véase la política conexa sobre </w:t>
            </w:r>
            <w:hyperlink r:id="rId163">
              <w:r w:rsidRPr="00756410">
                <w:rPr>
                  <w:rStyle w:val="Hyperlink"/>
                  <w:sz w:val="20"/>
                  <w:szCs w:val="20"/>
                  <w:lang w:val="es-419"/>
                </w:rPr>
                <w:t xml:space="preserve">obras </w:t>
              </w:r>
            </w:hyperlink>
            <w:r w:rsidRPr="3937432E">
              <w:rPr>
                <w:sz w:val="20"/>
                <w:szCs w:val="20"/>
                <w:lang w:val="es-419"/>
              </w:rPr>
              <w:t xml:space="preserve">de construcción); y ii) cuando la cuantía de los fondos </w:t>
            </w:r>
            <w:r w:rsidRPr="0019419A">
              <w:rPr>
                <w:sz w:val="20"/>
                <w:szCs w:val="20"/>
                <w:lang w:val="es-419"/>
              </w:rPr>
              <w:t xml:space="preserve">básicos/TRAC que se </w:t>
            </w:r>
            <w:r w:rsidR="01579AA0" w:rsidRPr="0019419A">
              <w:rPr>
                <w:sz w:val="20"/>
                <w:szCs w:val="20"/>
                <w:lang w:val="es-419"/>
              </w:rPr>
              <w:t xml:space="preserve">canalizaran </w:t>
            </w:r>
            <w:r w:rsidRPr="0019419A">
              <w:rPr>
                <w:sz w:val="20"/>
                <w:szCs w:val="20"/>
                <w:lang w:val="es-419"/>
              </w:rPr>
              <w:t xml:space="preserve">en donaciones de escasa cuantía </w:t>
            </w:r>
            <w:r w:rsidR="0F88E48A" w:rsidRPr="0019419A">
              <w:rPr>
                <w:sz w:val="20"/>
                <w:szCs w:val="20"/>
                <w:lang w:val="es-419"/>
              </w:rPr>
              <w:t>(</w:t>
            </w:r>
            <w:r w:rsidR="0F88E48A" w:rsidRPr="0019419A">
              <w:rPr>
                <w:i/>
                <w:iCs/>
                <w:sz w:val="20"/>
                <w:szCs w:val="20"/>
                <w:lang w:val="es-419"/>
              </w:rPr>
              <w:t>Low Value Gra</w:t>
            </w:r>
            <w:r w:rsidR="79506550" w:rsidRPr="0019419A">
              <w:rPr>
                <w:i/>
                <w:iCs/>
                <w:sz w:val="20"/>
                <w:szCs w:val="20"/>
                <w:lang w:val="es-419"/>
              </w:rPr>
              <w:t xml:space="preserve">nts) </w:t>
            </w:r>
            <w:r w:rsidR="24D4F30E" w:rsidRPr="0019419A">
              <w:rPr>
                <w:sz w:val="20"/>
                <w:szCs w:val="20"/>
                <w:lang w:val="es-419"/>
              </w:rPr>
              <w:t xml:space="preserve">excederá </w:t>
            </w:r>
            <w:r w:rsidR="60CD1544" w:rsidRPr="00756410">
              <w:rPr>
                <w:sz w:val="20"/>
                <w:szCs w:val="20"/>
                <w:lang w:val="es-419"/>
              </w:rPr>
              <w:t xml:space="preserve">l </w:t>
            </w:r>
            <w:r w:rsidR="2350D83B" w:rsidRPr="00756410">
              <w:rPr>
                <w:sz w:val="20"/>
                <w:szCs w:val="20"/>
                <w:lang w:val="es-419"/>
              </w:rPr>
              <w:t xml:space="preserve">un valor </w:t>
            </w:r>
            <w:r w:rsidR="00843A04" w:rsidRPr="00756410">
              <w:rPr>
                <w:sz w:val="20"/>
                <w:szCs w:val="20"/>
                <w:lang w:val="es-419"/>
              </w:rPr>
              <w:t>equivalente</w:t>
            </w:r>
            <w:r w:rsidR="2350D83B" w:rsidRPr="00756410">
              <w:rPr>
                <w:sz w:val="20"/>
                <w:szCs w:val="20"/>
                <w:lang w:val="es-419"/>
              </w:rPr>
              <w:t xml:space="preserve"> al </w:t>
            </w:r>
            <w:r w:rsidR="60CD1544" w:rsidRPr="00756410">
              <w:rPr>
                <w:sz w:val="20"/>
                <w:szCs w:val="20"/>
                <w:lang w:val="es-419"/>
              </w:rPr>
              <w:t xml:space="preserve">10% de la asignación básica </w:t>
            </w:r>
            <w:r w:rsidR="3CB082AB" w:rsidRPr="00756410">
              <w:rPr>
                <w:sz w:val="20"/>
                <w:szCs w:val="20"/>
                <w:lang w:val="es-419"/>
              </w:rPr>
              <w:t xml:space="preserve">(core) </w:t>
            </w:r>
            <w:r w:rsidR="60CD1544" w:rsidRPr="00756410">
              <w:rPr>
                <w:sz w:val="20"/>
                <w:szCs w:val="20"/>
                <w:lang w:val="es-419"/>
              </w:rPr>
              <w:t xml:space="preserve">del país para el período del programa del país. </w:t>
            </w:r>
            <w:r w:rsidR="62818A2C" w:rsidRPr="00756410">
              <w:rPr>
                <w:sz w:val="20"/>
                <w:szCs w:val="20"/>
                <w:lang w:val="es-419"/>
              </w:rPr>
              <w:t xml:space="preserve"> </w:t>
            </w:r>
            <w:hyperlink r:id="rId164">
              <w:r w:rsidRPr="00756410">
                <w:rPr>
                  <w:rStyle w:val="Hyperlink"/>
                  <w:sz w:val="20"/>
                  <w:szCs w:val="20"/>
                  <w:lang w:val="es-419"/>
                </w:rPr>
                <w:t>Véase POPP Appraise &amp; Apsolve, párr. 4</w:t>
              </w:r>
            </w:hyperlink>
            <w:r w:rsidRPr="00756410">
              <w:rPr>
                <w:sz w:val="20"/>
                <w:szCs w:val="20"/>
                <w:lang w:val="es-419"/>
              </w:rPr>
              <w:t>).</w:t>
            </w:r>
          </w:p>
        </w:tc>
      </w:tr>
      <w:tr w:rsidR="00FC6582" w:rsidRPr="00773863" w14:paraId="106C210F" w14:textId="77777777" w:rsidTr="48224A22">
        <w:trPr>
          <w:trHeight w:val="20"/>
        </w:trPr>
        <w:tc>
          <w:tcPr>
            <w:tcW w:w="9900" w:type="dxa"/>
          </w:tcPr>
          <w:p w14:paraId="61A19F60" w14:textId="34C3387E" w:rsidR="00342286" w:rsidRPr="00756410" w:rsidRDefault="00342286" w:rsidP="068E6479">
            <w:pPr>
              <w:pStyle w:val="ListParagraph"/>
              <w:widowControl w:val="0"/>
              <w:numPr>
                <w:ilvl w:val="0"/>
                <w:numId w:val="51"/>
              </w:numPr>
              <w:autoSpaceDE w:val="0"/>
              <w:autoSpaceDN w:val="0"/>
              <w:spacing w:after="0" w:line="240" w:lineRule="auto"/>
              <w:rPr>
                <w:sz w:val="20"/>
                <w:szCs w:val="20"/>
                <w:lang w:val="es-419"/>
              </w:rPr>
            </w:pPr>
            <w:r w:rsidRPr="00756410">
              <w:rPr>
                <w:b/>
                <w:sz w:val="20"/>
                <w:szCs w:val="20"/>
                <w:lang w:val="es-419"/>
              </w:rPr>
              <w:t xml:space="preserve">Órdenes de compra y contratos de </w:t>
            </w:r>
            <w:r w:rsidR="119DF55A" w:rsidRPr="00756410">
              <w:rPr>
                <w:b/>
                <w:sz w:val="20"/>
                <w:szCs w:val="20"/>
                <w:lang w:val="es-419"/>
              </w:rPr>
              <w:t>C</w:t>
            </w:r>
            <w:r w:rsidR="5B8F2953" w:rsidRPr="002B6CD9">
              <w:rPr>
                <w:b/>
                <w:sz w:val="20"/>
                <w:szCs w:val="20"/>
                <w:lang w:val="es-419"/>
              </w:rPr>
              <w:t>onsulto</w:t>
            </w:r>
            <w:r w:rsidR="6EABD96A" w:rsidRPr="00756410">
              <w:rPr>
                <w:b/>
                <w:sz w:val="20"/>
                <w:szCs w:val="20"/>
                <w:lang w:val="es-419"/>
              </w:rPr>
              <w:t>ría Individual</w:t>
            </w:r>
            <w:r w:rsidR="6EABD96A" w:rsidRPr="3937432E">
              <w:rPr>
                <w:sz w:val="20"/>
                <w:szCs w:val="20"/>
                <w:lang w:val="es-419"/>
              </w:rPr>
              <w:t>:</w:t>
            </w:r>
            <w:r w:rsidR="00BE5403">
              <w:rPr>
                <w:sz w:val="20"/>
                <w:szCs w:val="20"/>
                <w:lang w:val="es-419"/>
              </w:rPr>
              <w:t xml:space="preserve"> </w:t>
            </w:r>
            <w:r w:rsidRPr="00756410">
              <w:rPr>
                <w:sz w:val="20"/>
                <w:szCs w:val="20"/>
                <w:lang w:val="es-419"/>
              </w:rPr>
              <w:t xml:space="preserve">Como se describe en el POPP (véase </w:t>
            </w:r>
            <w:hyperlink r:id="rId165">
              <w:r w:rsidRPr="00756410">
                <w:rPr>
                  <w:rStyle w:val="Hyperlink"/>
                  <w:sz w:val="20"/>
                  <w:szCs w:val="20"/>
                  <w:lang w:val="es-419"/>
                </w:rPr>
                <w:t>la autoridad de adquisiciones),</w:t>
              </w:r>
            </w:hyperlink>
            <w:r w:rsidRPr="00756410">
              <w:rPr>
                <w:sz w:val="20"/>
                <w:szCs w:val="20"/>
                <w:lang w:val="es-419"/>
              </w:rPr>
              <w:t xml:space="preserve"> el </w:t>
            </w:r>
            <w:r w:rsidR="37CDD675" w:rsidRPr="3937432E">
              <w:rPr>
                <w:sz w:val="20"/>
                <w:szCs w:val="20"/>
                <w:lang w:val="es-419"/>
              </w:rPr>
              <w:t>Jefe De Adquisiciones del PNU (</w:t>
            </w:r>
            <w:r w:rsidR="119DF55A" w:rsidRPr="00756410">
              <w:rPr>
                <w:sz w:val="20"/>
                <w:szCs w:val="20"/>
                <w:lang w:val="es-419"/>
              </w:rPr>
              <w:t>CPO</w:t>
            </w:r>
            <w:r w:rsidR="12B2011A" w:rsidRPr="3937432E">
              <w:rPr>
                <w:sz w:val="20"/>
                <w:szCs w:val="20"/>
                <w:lang w:val="es-419"/>
              </w:rPr>
              <w:t xml:space="preserve"> por sus siglas en inglés)</w:t>
            </w:r>
            <w:r w:rsidRPr="3937432E">
              <w:rPr>
                <w:sz w:val="20"/>
                <w:szCs w:val="20"/>
                <w:lang w:val="es-419"/>
              </w:rPr>
              <w:t xml:space="preserve"> delega autoridad en cada Jefe de Oficina/Unidad, </w:t>
            </w:r>
            <w:r w:rsidR="61075CE3" w:rsidRPr="3937432E">
              <w:rPr>
                <w:sz w:val="20"/>
                <w:szCs w:val="20"/>
                <w:lang w:val="es-419"/>
              </w:rPr>
              <w:t xml:space="preserve">quien </w:t>
            </w:r>
            <w:r w:rsidRPr="3937432E">
              <w:rPr>
                <w:sz w:val="20"/>
                <w:szCs w:val="20"/>
                <w:lang w:val="es-419"/>
              </w:rPr>
              <w:t xml:space="preserve">es responsable de garantizar el cumplimiento del </w:t>
            </w:r>
            <w:r w:rsidR="300C5D53" w:rsidRPr="3937432E">
              <w:rPr>
                <w:sz w:val="20"/>
                <w:szCs w:val="20"/>
                <w:lang w:val="es-419"/>
              </w:rPr>
              <w:t>P</w:t>
            </w:r>
            <w:r w:rsidRPr="3937432E">
              <w:rPr>
                <w:sz w:val="20"/>
                <w:szCs w:val="20"/>
                <w:lang w:val="es-419"/>
              </w:rPr>
              <w:t xml:space="preserve">OPP (véase </w:t>
            </w:r>
            <w:hyperlink r:id="rId166">
              <w:r w:rsidRPr="00756410">
                <w:rPr>
                  <w:rStyle w:val="Hyperlink"/>
                  <w:sz w:val="20"/>
                  <w:szCs w:val="20"/>
                  <w:lang w:val="es-419"/>
                </w:rPr>
                <w:t>la gestión de contratos, activos y adquisiciones del POPP</w:t>
              </w:r>
            </w:hyperlink>
            <w:r w:rsidRPr="3937432E">
              <w:rPr>
                <w:sz w:val="20"/>
                <w:szCs w:val="20"/>
                <w:lang w:val="es-419"/>
              </w:rPr>
              <w:t xml:space="preserve">), incluso con respecto a la revisión por parte del Comité de Contratos, Activos y Adquisiciones (CAPC), el Comité Asesor de Adquisiciones (ACP) o el Comité Asesor Regional de Adquisiciones (RACP). El Jefe de la Oficina/Unidad podrá delegar esta autoridad por escrito en el personal de la Oficina/Unidad. Nota: Sólo pueden celebrarse contratos estándar y órdenes de compra estándar con condiciones generales de contratación del PNUD a nivel de </w:t>
            </w:r>
            <w:r w:rsidR="3F9AE965" w:rsidRPr="3937432E">
              <w:rPr>
                <w:sz w:val="20"/>
                <w:szCs w:val="20"/>
                <w:lang w:val="es-419"/>
              </w:rPr>
              <w:t>OP/CO</w:t>
            </w:r>
            <w:r w:rsidRPr="3937432E">
              <w:rPr>
                <w:sz w:val="20"/>
                <w:szCs w:val="20"/>
                <w:lang w:val="es-419"/>
              </w:rPr>
              <w:t xml:space="preserve">. </w:t>
            </w:r>
          </w:p>
        </w:tc>
      </w:tr>
      <w:tr w:rsidR="00FC6582" w:rsidRPr="00773863" w14:paraId="1B8C9C68" w14:textId="77777777" w:rsidTr="48224A22">
        <w:trPr>
          <w:trHeight w:val="20"/>
        </w:trPr>
        <w:tc>
          <w:tcPr>
            <w:tcW w:w="9900" w:type="dxa"/>
          </w:tcPr>
          <w:p w14:paraId="03597FE8" w14:textId="765EF824" w:rsidR="00342286" w:rsidRPr="00756410" w:rsidRDefault="00342286" w:rsidP="068E6479">
            <w:pPr>
              <w:pStyle w:val="ListParagraph"/>
              <w:widowControl w:val="0"/>
              <w:numPr>
                <w:ilvl w:val="0"/>
                <w:numId w:val="51"/>
              </w:numPr>
              <w:autoSpaceDE w:val="0"/>
              <w:autoSpaceDN w:val="0"/>
              <w:spacing w:after="0" w:line="240" w:lineRule="auto"/>
              <w:rPr>
                <w:b/>
                <w:sz w:val="20"/>
                <w:szCs w:val="20"/>
                <w:lang w:val="es-419"/>
              </w:rPr>
            </w:pPr>
            <w:r w:rsidRPr="00756410">
              <w:rPr>
                <w:b/>
                <w:sz w:val="20"/>
                <w:szCs w:val="20"/>
                <w:lang w:val="es-419"/>
              </w:rPr>
              <w:t>Viajes:</w:t>
            </w:r>
            <w:r w:rsidRPr="00756410">
              <w:rPr>
                <w:sz w:val="20"/>
                <w:szCs w:val="20"/>
                <w:lang w:val="es-419"/>
              </w:rPr>
              <w:t xml:space="preserve"> Autoriza viajes, asegurando el cumplimiento de los </w:t>
            </w:r>
            <w:hyperlink r:id="rId167" w:history="1">
              <w:r w:rsidR="002B6CD9" w:rsidRPr="00847DD5">
                <w:rPr>
                  <w:rStyle w:val="Hyperlink"/>
                  <w:sz w:val="20"/>
                  <w:szCs w:val="20"/>
                  <w:lang w:val="es-419"/>
                </w:rPr>
                <w:t>POPP Autorización</w:t>
              </w:r>
              <w:r w:rsidR="739B8516" w:rsidRPr="00847DD5">
                <w:rPr>
                  <w:rStyle w:val="Hyperlink"/>
                  <w:sz w:val="20"/>
                  <w:szCs w:val="20"/>
                  <w:lang w:val="es-419"/>
                </w:rPr>
                <w:t xml:space="preserve"> de misiones oficiales</w:t>
              </w:r>
            </w:hyperlink>
            <w:r w:rsidR="739B8516" w:rsidRPr="3937432E">
              <w:rPr>
                <w:sz w:val="20"/>
                <w:szCs w:val="20"/>
                <w:lang w:val="es-419"/>
              </w:rPr>
              <w:t xml:space="preserve"> </w:t>
            </w:r>
          </w:p>
        </w:tc>
      </w:tr>
      <w:tr w:rsidR="00B13F42" w:rsidRPr="00773863" w14:paraId="25626627" w14:textId="77777777" w:rsidTr="48224A22">
        <w:trPr>
          <w:trHeight w:val="20"/>
        </w:trPr>
        <w:tc>
          <w:tcPr>
            <w:tcW w:w="9900" w:type="dxa"/>
            <w:shd w:val="clear" w:color="auto" w:fill="000000" w:themeFill="text1"/>
          </w:tcPr>
          <w:p w14:paraId="2095942E" w14:textId="6079CA80" w:rsidR="00011B58" w:rsidRPr="00756410" w:rsidRDefault="00016669">
            <w:pPr>
              <w:pStyle w:val="ListParagraph"/>
              <w:widowControl w:val="0"/>
              <w:numPr>
                <w:ilvl w:val="0"/>
                <w:numId w:val="49"/>
              </w:numPr>
              <w:autoSpaceDE w:val="0"/>
              <w:autoSpaceDN w:val="0"/>
              <w:spacing w:after="0" w:line="240" w:lineRule="auto"/>
              <w:rPr>
                <w:b/>
                <w:sz w:val="20"/>
                <w:szCs w:val="20"/>
                <w:lang w:val="es-419"/>
              </w:rPr>
            </w:pPr>
            <w:r w:rsidRPr="00756410">
              <w:rPr>
                <w:b/>
                <w:sz w:val="20"/>
                <w:szCs w:val="20"/>
                <w:lang w:val="es-419"/>
              </w:rPr>
              <w:t>Designación de roles de control de transacciones</w:t>
            </w:r>
          </w:p>
        </w:tc>
      </w:tr>
      <w:tr w:rsidR="00FC6582" w:rsidRPr="00773863" w14:paraId="540CDD7A" w14:textId="77777777" w:rsidTr="48224A22">
        <w:trPr>
          <w:trHeight w:val="20"/>
        </w:trPr>
        <w:tc>
          <w:tcPr>
            <w:tcW w:w="9900" w:type="dxa"/>
          </w:tcPr>
          <w:p w14:paraId="2ADF5000" w14:textId="3BC2B598" w:rsidR="00011B58" w:rsidRPr="00756410" w:rsidRDefault="00011B58">
            <w:pPr>
              <w:pStyle w:val="ListParagraph"/>
              <w:widowControl w:val="0"/>
              <w:numPr>
                <w:ilvl w:val="0"/>
                <w:numId w:val="52"/>
              </w:numPr>
              <w:autoSpaceDE w:val="0"/>
              <w:autoSpaceDN w:val="0"/>
              <w:spacing w:after="0" w:line="240" w:lineRule="auto"/>
              <w:rPr>
                <w:sz w:val="20"/>
                <w:szCs w:val="20"/>
                <w:lang w:val="es-419"/>
              </w:rPr>
            </w:pPr>
            <w:r w:rsidRPr="3937432E">
              <w:rPr>
                <w:b/>
                <w:sz w:val="20"/>
                <w:szCs w:val="20"/>
                <w:lang w:val="es-419"/>
              </w:rPr>
              <w:t>Designa tres autoridades para las adquisiciones del PNUD:</w:t>
            </w:r>
            <w:r w:rsidRPr="008E52B5">
              <w:rPr>
                <w:sz w:val="20"/>
                <w:szCs w:val="20"/>
                <w:lang w:val="es-419"/>
              </w:rPr>
              <w:t xml:space="preserve"> Responsable de designar por escrito a las tres autoridades como se describe en las secciones 4.1 Gerente de Proyecto (primera autoridad), 5.4 Gerente de Aprobación (segunda autoridad) y 5.5 Oficial de Desembolso (tercera autoridad)</w:t>
            </w:r>
            <w:r w:rsidRPr="363CA695">
              <w:rPr>
                <w:rStyle w:val="FootnoteReference"/>
                <w:sz w:val="20"/>
                <w:szCs w:val="20"/>
              </w:rPr>
              <w:footnoteReference w:id="37"/>
            </w:r>
            <w:r w:rsidRPr="008E52B5">
              <w:rPr>
                <w:sz w:val="20"/>
                <w:szCs w:val="20"/>
                <w:lang w:val="es-419"/>
              </w:rPr>
              <w:t xml:space="preserve"> de esta Guía, </w:t>
            </w:r>
            <w:r w:rsidR="5AB4683D" w:rsidRPr="008E52B5">
              <w:rPr>
                <w:sz w:val="20"/>
                <w:szCs w:val="20"/>
                <w:lang w:val="es-419"/>
              </w:rPr>
              <w:t xml:space="preserve">incluyendo </w:t>
            </w:r>
            <w:r w:rsidRPr="008E52B5">
              <w:rPr>
                <w:sz w:val="20"/>
                <w:szCs w:val="20"/>
                <w:lang w:val="es-419"/>
              </w:rPr>
              <w:t xml:space="preserve">la identificación de suplentes. La designación escrita debe describir las </w:t>
            </w:r>
            <w:r w:rsidR="635599F7" w:rsidRPr="008E52B5">
              <w:rPr>
                <w:sz w:val="20"/>
                <w:szCs w:val="20"/>
                <w:lang w:val="es-419"/>
              </w:rPr>
              <w:t xml:space="preserve">potestades </w:t>
            </w:r>
            <w:r w:rsidRPr="008E52B5">
              <w:rPr>
                <w:sz w:val="20"/>
                <w:szCs w:val="20"/>
                <w:lang w:val="es-419"/>
              </w:rPr>
              <w:t xml:space="preserve">otorgadas y las responsabilidades asociadas, y el gerente designado debe </w:t>
            </w:r>
            <w:r w:rsidR="19217484" w:rsidRPr="008E52B5">
              <w:rPr>
                <w:sz w:val="20"/>
                <w:szCs w:val="20"/>
                <w:lang w:val="es-419"/>
              </w:rPr>
              <w:t>aceptar formalmente y por escrito</w:t>
            </w:r>
            <w:r w:rsidRPr="008E52B5">
              <w:rPr>
                <w:sz w:val="20"/>
                <w:szCs w:val="20"/>
                <w:lang w:val="es-419"/>
              </w:rPr>
              <w:t>.</w:t>
            </w:r>
          </w:p>
        </w:tc>
      </w:tr>
      <w:tr w:rsidR="00FC6582" w:rsidRPr="00773863" w14:paraId="5688F99F" w14:textId="77777777" w:rsidTr="48224A22">
        <w:trPr>
          <w:trHeight w:val="20"/>
        </w:trPr>
        <w:tc>
          <w:tcPr>
            <w:tcW w:w="9900" w:type="dxa"/>
          </w:tcPr>
          <w:p w14:paraId="625544FC" w14:textId="73B035ED" w:rsidR="00342286" w:rsidRPr="00DB1CA7" w:rsidRDefault="00342286">
            <w:pPr>
              <w:pStyle w:val="ListParagraph"/>
              <w:widowControl w:val="0"/>
              <w:numPr>
                <w:ilvl w:val="0"/>
                <w:numId w:val="52"/>
              </w:numPr>
              <w:autoSpaceDE w:val="0"/>
              <w:autoSpaceDN w:val="0"/>
              <w:spacing w:after="0" w:line="240" w:lineRule="auto"/>
              <w:rPr>
                <w:b/>
                <w:bCs/>
                <w:sz w:val="20"/>
                <w:szCs w:val="20"/>
                <w:lang w:val="es-419"/>
              </w:rPr>
            </w:pPr>
            <w:r w:rsidRPr="3937432E">
              <w:rPr>
                <w:b/>
                <w:sz w:val="20"/>
                <w:szCs w:val="20"/>
                <w:lang w:val="es-419"/>
              </w:rPr>
              <w:t>Designa personal para preparar y verificar las solicitudes de servicio enviadas a BMS/GSSC:</w:t>
            </w:r>
            <w:r w:rsidRPr="3937432E">
              <w:rPr>
                <w:sz w:val="20"/>
                <w:szCs w:val="20"/>
                <w:lang w:val="es-419"/>
              </w:rPr>
              <w:t xml:space="preserve"> Asigna personal responsable de ingresar información en el sistema de gestión de casos UNALL/Quantum y asigna personal responsable de verificar la exactitud e integridad de la información para que BMS/GSSC </w:t>
            </w:r>
            <w:r w:rsidR="08F7661E" w:rsidRPr="3937432E">
              <w:rPr>
                <w:sz w:val="20"/>
                <w:szCs w:val="20"/>
                <w:lang w:val="es-419"/>
              </w:rPr>
              <w:t xml:space="preserve">lleve acabo el </w:t>
            </w:r>
            <w:r w:rsidRPr="3937432E">
              <w:rPr>
                <w:sz w:val="20"/>
                <w:szCs w:val="20"/>
                <w:lang w:val="es-419"/>
              </w:rPr>
              <w:t xml:space="preserve"> servicio. Las designaciones deben </w:t>
            </w:r>
            <w:r w:rsidR="4C5BEC32" w:rsidRPr="3937432E">
              <w:rPr>
                <w:sz w:val="20"/>
                <w:szCs w:val="20"/>
                <w:lang w:val="es-419"/>
              </w:rPr>
              <w:t>ser acordes</w:t>
            </w:r>
            <w:r w:rsidRPr="3937432E">
              <w:rPr>
                <w:sz w:val="20"/>
                <w:szCs w:val="20"/>
                <w:lang w:val="es-419"/>
              </w:rPr>
              <w:t xml:space="preserve"> con los procedimientos operativos estándar y las guías de usuario emitidas por BMS/GSSC. Se recomienda que se asigne a dos personas la responsabilidad de verificar la exactitud e integridad de la información ingresada para cada categoría de solicitud de servicio.</w:t>
            </w:r>
          </w:p>
        </w:tc>
      </w:tr>
      <w:tr w:rsidR="00FC6582" w:rsidRPr="00773863" w14:paraId="1FB6606D" w14:textId="77777777" w:rsidTr="48224A22">
        <w:trPr>
          <w:trHeight w:val="20"/>
        </w:trPr>
        <w:tc>
          <w:tcPr>
            <w:tcW w:w="9900" w:type="dxa"/>
          </w:tcPr>
          <w:p w14:paraId="4420219D" w14:textId="73D4AE8B" w:rsidR="00342286" w:rsidRPr="00756410" w:rsidRDefault="00342286">
            <w:pPr>
              <w:pStyle w:val="ListParagraph"/>
              <w:widowControl w:val="0"/>
              <w:numPr>
                <w:ilvl w:val="0"/>
                <w:numId w:val="52"/>
              </w:numPr>
              <w:autoSpaceDE w:val="0"/>
              <w:autoSpaceDN w:val="0"/>
              <w:spacing w:after="0" w:line="240" w:lineRule="auto"/>
              <w:rPr>
                <w:b/>
                <w:sz w:val="20"/>
                <w:szCs w:val="20"/>
                <w:lang w:val="es-419"/>
              </w:rPr>
            </w:pPr>
            <w:r w:rsidRPr="3937432E">
              <w:rPr>
                <w:b/>
                <w:sz w:val="20"/>
                <w:szCs w:val="20"/>
                <w:lang w:val="es-419"/>
              </w:rPr>
              <w:t xml:space="preserve">Procesamiento de transacciones de emergencia en oficinas/unidades </w:t>
            </w:r>
            <w:r w:rsidRPr="006A0D67">
              <w:rPr>
                <w:b/>
                <w:sz w:val="20"/>
                <w:szCs w:val="20"/>
                <w:lang w:val="es-419"/>
              </w:rPr>
              <w:t xml:space="preserve">con procesos agrupados </w:t>
            </w:r>
            <w:r w:rsidR="3419A950" w:rsidRPr="006A0D67">
              <w:rPr>
                <w:b/>
                <w:bCs/>
                <w:sz w:val="20"/>
                <w:szCs w:val="20"/>
                <w:lang w:val="es-419"/>
              </w:rPr>
              <w:t>(</w:t>
            </w:r>
            <w:r w:rsidR="3419A950" w:rsidRPr="00756410">
              <w:rPr>
                <w:rFonts w:ascii="Calibri" w:eastAsia="Calibri" w:hAnsi="Calibri" w:cs="Calibri"/>
                <w:i/>
                <w:iCs/>
                <w:sz w:val="20"/>
                <w:szCs w:val="20"/>
                <w:u w:val="single"/>
                <w:lang w:val="es-419"/>
              </w:rPr>
              <w:t xml:space="preserve">clustered) </w:t>
            </w:r>
            <w:r w:rsidRPr="006A0D67">
              <w:rPr>
                <w:b/>
                <w:sz w:val="20"/>
                <w:szCs w:val="20"/>
                <w:lang w:val="es-419"/>
              </w:rPr>
              <w:t xml:space="preserve">de </w:t>
            </w:r>
            <w:r w:rsidRPr="006A0D67">
              <w:rPr>
                <w:b/>
                <w:sz w:val="20"/>
                <w:szCs w:val="20"/>
                <w:lang w:val="es-419"/>
              </w:rPr>
              <w:lastRenderedPageBreak/>
              <w:t>cuentas por pagar:</w:t>
            </w:r>
            <w:r w:rsidRPr="006A0D67">
              <w:rPr>
                <w:sz w:val="20"/>
                <w:szCs w:val="20"/>
                <w:lang w:val="es-419"/>
              </w:rPr>
              <w:t xml:space="preserve"> Designa a los Gerentes de Aprobación y a los Oficiales de Desembolso que están autorizados para ejecutar la segunda o tercera autoridad, respectivamente, en situaciones de emergencia en las que el BMS/GSSC ha comunicado que no puede procesar una transacción a tiempo. </w:t>
            </w:r>
            <w:r w:rsidRPr="3937432E">
              <w:rPr>
                <w:sz w:val="20"/>
                <w:szCs w:val="20"/>
                <w:lang w:val="es-419"/>
              </w:rPr>
              <w:t xml:space="preserve">En este caso, las autoridades deben estar </w:t>
            </w:r>
            <w:r w:rsidR="5F00EA67" w:rsidRPr="3937432E">
              <w:rPr>
                <w:sz w:val="20"/>
                <w:szCs w:val="20"/>
                <w:lang w:val="es-419"/>
              </w:rPr>
              <w:t>segregadas</w:t>
            </w:r>
            <w:r w:rsidRPr="3937432E">
              <w:rPr>
                <w:sz w:val="20"/>
                <w:szCs w:val="20"/>
                <w:lang w:val="es-419"/>
              </w:rPr>
              <w:t xml:space="preserve"> de acuerdo con esta Guía y deben seguirse los procedimientos para el procesamiento de transacciones de emergencia, como se describe en el </w:t>
            </w:r>
            <w:hyperlink r:id="rId168">
              <w:r w:rsidR="004420D7" w:rsidRPr="00756410">
                <w:rPr>
                  <w:rStyle w:val="Hyperlink"/>
                  <w:sz w:val="20"/>
                  <w:szCs w:val="20"/>
                  <w:lang w:val="es-419"/>
                </w:rPr>
                <w:t>POE del GSSC sobre transacciones financieras de emergencia</w:t>
              </w:r>
            </w:hyperlink>
            <w:r w:rsidR="004420D7" w:rsidRPr="00756410">
              <w:rPr>
                <w:color w:val="ED7D31" w:themeColor="accent2"/>
                <w:sz w:val="20"/>
                <w:szCs w:val="20"/>
                <w:lang w:val="es-419"/>
              </w:rPr>
              <w:t>.</w:t>
            </w:r>
          </w:p>
        </w:tc>
      </w:tr>
      <w:tr w:rsidR="00C27124" w:rsidRPr="005D2478" w14:paraId="73A2A1B8" w14:textId="77777777" w:rsidTr="48224A22">
        <w:trPr>
          <w:trHeight w:val="20"/>
        </w:trPr>
        <w:tc>
          <w:tcPr>
            <w:tcW w:w="9900" w:type="dxa"/>
            <w:shd w:val="clear" w:color="auto" w:fill="000000" w:themeFill="text1"/>
          </w:tcPr>
          <w:p w14:paraId="0C99641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lastRenderedPageBreak/>
              <w:t>Gestión de Recursos Humanos</w:t>
            </w:r>
          </w:p>
        </w:tc>
      </w:tr>
      <w:tr w:rsidR="00FC6582" w:rsidRPr="00773863" w14:paraId="0EA1ADD1" w14:textId="77777777" w:rsidTr="48224A22">
        <w:trPr>
          <w:trHeight w:val="20"/>
        </w:trPr>
        <w:tc>
          <w:tcPr>
            <w:tcW w:w="9900" w:type="dxa"/>
          </w:tcPr>
          <w:p w14:paraId="64CC59E6" w14:textId="64C93456" w:rsidR="00011B58" w:rsidRPr="00756410" w:rsidRDefault="00011B58">
            <w:pPr>
              <w:pStyle w:val="ListParagraph"/>
              <w:numPr>
                <w:ilvl w:val="0"/>
                <w:numId w:val="105"/>
              </w:numPr>
              <w:spacing w:after="0" w:line="240" w:lineRule="auto"/>
              <w:rPr>
                <w:sz w:val="20"/>
                <w:szCs w:val="20"/>
                <w:lang w:val="es-419"/>
              </w:rPr>
            </w:pPr>
            <w:r w:rsidRPr="3937432E">
              <w:rPr>
                <w:b/>
                <w:sz w:val="20"/>
                <w:szCs w:val="20"/>
                <w:lang w:val="es-419"/>
              </w:rPr>
              <w:t xml:space="preserve">Autoriza la creación o </w:t>
            </w:r>
            <w:r w:rsidR="5AF3E0DA" w:rsidRPr="3937432E">
              <w:rPr>
                <w:b/>
                <w:bCs/>
                <w:sz w:val="20"/>
                <w:szCs w:val="20"/>
                <w:lang w:val="es-419"/>
              </w:rPr>
              <w:t>extensión</w:t>
            </w:r>
            <w:r w:rsidR="00734E2C">
              <w:rPr>
                <w:b/>
                <w:bCs/>
                <w:sz w:val="20"/>
                <w:szCs w:val="20"/>
                <w:lang w:val="es-419"/>
              </w:rPr>
              <w:t xml:space="preserve"> </w:t>
            </w:r>
            <w:r w:rsidR="60174D96" w:rsidRPr="3937432E">
              <w:rPr>
                <w:b/>
                <w:bCs/>
                <w:sz w:val="20"/>
                <w:szCs w:val="20"/>
                <w:lang w:val="es-419"/>
              </w:rPr>
              <w:t>de</w:t>
            </w:r>
            <w:r w:rsidRPr="3937432E">
              <w:rPr>
                <w:b/>
                <w:sz w:val="20"/>
                <w:szCs w:val="20"/>
                <w:lang w:val="es-419"/>
              </w:rPr>
              <w:t xml:space="preserve"> puestos financiados con fondos complementarios </w:t>
            </w:r>
            <w:r w:rsidR="27A5B426" w:rsidRPr="3937432E">
              <w:rPr>
                <w:b/>
                <w:bCs/>
                <w:sz w:val="20"/>
                <w:szCs w:val="20"/>
                <w:lang w:val="es-419"/>
              </w:rPr>
              <w:t>(</w:t>
            </w:r>
            <w:r w:rsidR="00734E2C">
              <w:rPr>
                <w:b/>
                <w:bCs/>
                <w:sz w:val="20"/>
                <w:szCs w:val="20"/>
                <w:lang w:val="es-419"/>
              </w:rPr>
              <w:t>“</w:t>
            </w:r>
            <w:r w:rsidR="27A5B426" w:rsidRPr="00756410">
              <w:rPr>
                <w:b/>
                <w:bCs/>
                <w:i/>
                <w:iCs/>
                <w:sz w:val="20"/>
                <w:szCs w:val="20"/>
                <w:lang w:val="es-419"/>
              </w:rPr>
              <w:t>non-core</w:t>
            </w:r>
            <w:r w:rsidR="00734E2C">
              <w:rPr>
                <w:b/>
                <w:bCs/>
                <w:sz w:val="20"/>
                <w:szCs w:val="20"/>
                <w:lang w:val="es-419"/>
              </w:rPr>
              <w:t>”</w:t>
            </w:r>
            <w:r w:rsidR="27A5B426" w:rsidRPr="3937432E">
              <w:rPr>
                <w:b/>
                <w:bCs/>
                <w:sz w:val="20"/>
                <w:szCs w:val="20"/>
                <w:lang w:val="es-419"/>
              </w:rPr>
              <w:t xml:space="preserve">) </w:t>
            </w:r>
            <w:r w:rsidR="60174D96" w:rsidRPr="3937432E">
              <w:rPr>
                <w:b/>
                <w:bCs/>
                <w:sz w:val="20"/>
                <w:szCs w:val="20"/>
                <w:lang w:val="es-419"/>
              </w:rPr>
              <w:t xml:space="preserve"> </w:t>
            </w:r>
            <w:r w:rsidRPr="3937432E">
              <w:rPr>
                <w:b/>
                <w:sz w:val="20"/>
                <w:szCs w:val="20"/>
                <w:lang w:val="es-419"/>
              </w:rPr>
              <w:t>y de nombramientos temporales (TA</w:t>
            </w:r>
            <w:r w:rsidR="00734E2C">
              <w:rPr>
                <w:b/>
                <w:sz w:val="20"/>
                <w:szCs w:val="20"/>
                <w:lang w:val="es-419"/>
              </w:rPr>
              <w:t>, por sus siglas en inglés</w:t>
            </w:r>
            <w:r w:rsidRPr="3937432E">
              <w:rPr>
                <w:b/>
                <w:sz w:val="20"/>
                <w:szCs w:val="20"/>
                <w:lang w:val="es-419"/>
              </w:rPr>
              <w:t>), y puestos de presupuesto institucional (IB</w:t>
            </w:r>
            <w:r w:rsidR="00706FDE">
              <w:rPr>
                <w:b/>
                <w:sz w:val="20"/>
                <w:szCs w:val="20"/>
                <w:lang w:val="es-419"/>
              </w:rPr>
              <w:t xml:space="preserve"> por sus siglas en inglés</w:t>
            </w:r>
            <w:r w:rsidRPr="3937432E">
              <w:rPr>
                <w:b/>
                <w:sz w:val="20"/>
                <w:szCs w:val="20"/>
                <w:lang w:val="es-419"/>
              </w:rPr>
              <w:t>) que se encuentr</w:t>
            </w:r>
            <w:r w:rsidR="005771B2">
              <w:rPr>
                <w:b/>
                <w:sz w:val="20"/>
                <w:szCs w:val="20"/>
                <w:lang w:val="es-419"/>
              </w:rPr>
              <w:t>e</w:t>
            </w:r>
            <w:r w:rsidRPr="3937432E">
              <w:rPr>
                <w:b/>
                <w:sz w:val="20"/>
                <w:szCs w:val="20"/>
                <w:lang w:val="es-419"/>
              </w:rPr>
              <w:t xml:space="preserve">n dentro de la dotación anual aprobada del </w:t>
            </w:r>
            <w:r w:rsidR="34C19F3D" w:rsidRPr="3937432E">
              <w:rPr>
                <w:b/>
                <w:bCs/>
                <w:sz w:val="20"/>
                <w:szCs w:val="20"/>
                <w:lang w:val="es-419"/>
              </w:rPr>
              <w:t>Presup</w:t>
            </w:r>
            <w:r w:rsidR="005771B2">
              <w:rPr>
                <w:b/>
                <w:bCs/>
                <w:sz w:val="20"/>
                <w:szCs w:val="20"/>
                <w:lang w:val="es-419"/>
              </w:rPr>
              <w:t>ue</w:t>
            </w:r>
            <w:r w:rsidR="34C19F3D" w:rsidRPr="3937432E">
              <w:rPr>
                <w:b/>
                <w:bCs/>
                <w:sz w:val="20"/>
                <w:szCs w:val="20"/>
                <w:lang w:val="es-419"/>
              </w:rPr>
              <w:t>sto Institucional</w:t>
            </w:r>
            <w:r w:rsidRPr="3937432E">
              <w:rPr>
                <w:b/>
                <w:sz w:val="20"/>
                <w:szCs w:val="20"/>
                <w:lang w:val="es-419"/>
              </w:rPr>
              <w:t xml:space="preserve"> de la oficina/unidad (</w:t>
            </w:r>
            <w:r w:rsidR="4DAF9116" w:rsidRPr="3937432E">
              <w:rPr>
                <w:b/>
                <w:bCs/>
                <w:sz w:val="20"/>
                <w:szCs w:val="20"/>
                <w:lang w:val="es-419"/>
              </w:rPr>
              <w:t>fondos</w:t>
            </w:r>
            <w:r w:rsidR="217D0A9E" w:rsidRPr="3937432E">
              <w:rPr>
                <w:b/>
                <w:bCs/>
                <w:sz w:val="20"/>
                <w:szCs w:val="20"/>
                <w:lang w:val="es-419"/>
              </w:rPr>
              <w:t xml:space="preserve"> </w:t>
            </w:r>
            <w:r w:rsidR="2D1E1799" w:rsidRPr="3937432E">
              <w:rPr>
                <w:b/>
                <w:bCs/>
                <w:sz w:val="20"/>
                <w:szCs w:val="20"/>
                <w:lang w:val="es-419"/>
              </w:rPr>
              <w:t>básicos y complementarios - core /non-core)</w:t>
            </w:r>
            <w:r w:rsidRPr="3937432E">
              <w:rPr>
                <w:sz w:val="20"/>
                <w:szCs w:val="20"/>
                <w:lang w:val="es-419"/>
              </w:rPr>
              <w:t xml:space="preserve">: </w:t>
            </w:r>
            <w:r w:rsidR="00E33F1D" w:rsidRPr="3937432E">
              <w:rPr>
                <w:sz w:val="20"/>
                <w:szCs w:val="20"/>
                <w:lang w:val="es-419"/>
              </w:rPr>
              <w:t xml:space="preserve">Las Instrucciones de Ejecución del Presupuesto anual establecen que las oficinas/unidades gestionarán su </w:t>
            </w:r>
            <w:r w:rsidR="353B4977" w:rsidRPr="3937432E">
              <w:rPr>
                <w:sz w:val="20"/>
                <w:szCs w:val="20"/>
                <w:lang w:val="es-419"/>
              </w:rPr>
              <w:t>P</w:t>
            </w:r>
            <w:r w:rsidR="00706FDE">
              <w:rPr>
                <w:sz w:val="20"/>
                <w:szCs w:val="20"/>
                <w:lang w:val="es-419"/>
              </w:rPr>
              <w:t>r</w:t>
            </w:r>
            <w:r w:rsidR="353B4977" w:rsidRPr="3937432E">
              <w:rPr>
                <w:sz w:val="20"/>
                <w:szCs w:val="20"/>
                <w:lang w:val="es-419"/>
              </w:rPr>
              <w:t>esupuesto Institucional (IB por sus siglas en i</w:t>
            </w:r>
            <w:r w:rsidR="18139120" w:rsidRPr="3937432E">
              <w:rPr>
                <w:sz w:val="20"/>
                <w:szCs w:val="20"/>
                <w:lang w:val="es-419"/>
              </w:rPr>
              <w:t xml:space="preserve">nglés) </w:t>
            </w:r>
            <w:r w:rsidR="00E33F1D" w:rsidRPr="3937432E">
              <w:rPr>
                <w:sz w:val="20"/>
                <w:szCs w:val="20"/>
                <w:lang w:val="es-419"/>
              </w:rPr>
              <w:t>dentro de los parámetros del IB aprobado (tanto el IB básico como el IB complementario)</w:t>
            </w:r>
            <w:r w:rsidR="00BE0E80">
              <w:rPr>
                <w:sz w:val="20"/>
                <w:szCs w:val="20"/>
                <w:lang w:val="es-419"/>
              </w:rPr>
              <w:t xml:space="preserve">, prestando atención especial </w:t>
            </w:r>
            <w:r w:rsidR="00E33F1D" w:rsidRPr="3937432E">
              <w:rPr>
                <w:sz w:val="20"/>
                <w:szCs w:val="20"/>
                <w:lang w:val="es-419"/>
              </w:rPr>
              <w:t>a</w:t>
            </w:r>
            <w:r w:rsidR="00412C80">
              <w:rPr>
                <w:sz w:val="20"/>
                <w:szCs w:val="20"/>
                <w:lang w:val="es-419"/>
              </w:rPr>
              <w:t xml:space="preserve"> los limites </w:t>
            </w:r>
            <w:r w:rsidR="00E33F1D" w:rsidRPr="3937432E">
              <w:rPr>
                <w:sz w:val="20"/>
                <w:szCs w:val="20"/>
                <w:lang w:val="es-419"/>
              </w:rPr>
              <w:t xml:space="preserve">restrictivos </w:t>
            </w:r>
            <w:r w:rsidR="00B56C25">
              <w:rPr>
                <w:sz w:val="20"/>
                <w:szCs w:val="20"/>
                <w:lang w:val="es-419"/>
              </w:rPr>
              <w:t xml:space="preserve">de personal </w:t>
            </w:r>
            <w:r w:rsidR="00E33F1D" w:rsidRPr="3937432E">
              <w:rPr>
                <w:sz w:val="20"/>
                <w:szCs w:val="20"/>
                <w:lang w:val="es-419"/>
              </w:rPr>
              <w:t xml:space="preserve">en línea con los FTE aprobados </w:t>
            </w:r>
            <w:r w:rsidR="00B56C25">
              <w:rPr>
                <w:sz w:val="20"/>
                <w:szCs w:val="20"/>
                <w:lang w:val="es-419"/>
              </w:rPr>
              <w:t xml:space="preserve">para ser </w:t>
            </w:r>
            <w:r w:rsidR="00E33F1D" w:rsidRPr="3937432E">
              <w:rPr>
                <w:sz w:val="20"/>
                <w:szCs w:val="20"/>
                <w:lang w:val="es-419"/>
              </w:rPr>
              <w:t xml:space="preserve">financiados por IB. Esto significa que cualquier contratación debe ajustarse al presupuesto de costos operativos del personal del IB de la oficina o unidad para el año en curso y el siguiente (suponiendo que no haya aumentos presupuestarios en el año siguiente). Además, </w:t>
            </w:r>
            <w:r w:rsidR="709B532E" w:rsidRPr="3937432E">
              <w:rPr>
                <w:sz w:val="20"/>
                <w:szCs w:val="20"/>
                <w:lang w:val="es-419"/>
              </w:rPr>
              <w:t>hay una restricc</w:t>
            </w:r>
            <w:r w:rsidR="2154D4F2" w:rsidRPr="3937432E">
              <w:rPr>
                <w:sz w:val="20"/>
                <w:szCs w:val="20"/>
                <w:lang w:val="es-419"/>
              </w:rPr>
              <w:t>ión</w:t>
            </w:r>
            <w:r w:rsidR="00E33F1D" w:rsidRPr="3937432E">
              <w:rPr>
                <w:sz w:val="20"/>
                <w:szCs w:val="20"/>
                <w:lang w:val="es-419"/>
              </w:rPr>
              <w:t xml:space="preserve"> que </w:t>
            </w:r>
            <w:r w:rsidR="2154D4F2" w:rsidRPr="3937432E">
              <w:rPr>
                <w:sz w:val="20"/>
                <w:szCs w:val="20"/>
                <w:lang w:val="es-419"/>
              </w:rPr>
              <w:t xml:space="preserve">indica que solo se pueden monetizar </w:t>
            </w:r>
            <w:r w:rsidR="36C0ED63" w:rsidRPr="3937432E">
              <w:rPr>
                <w:sz w:val="20"/>
                <w:szCs w:val="20"/>
                <w:lang w:val="es-419"/>
              </w:rPr>
              <w:t>los</w:t>
            </w:r>
            <w:r w:rsidR="00E33F1D" w:rsidRPr="3937432E">
              <w:rPr>
                <w:sz w:val="20"/>
                <w:szCs w:val="20"/>
                <w:lang w:val="es-419"/>
              </w:rPr>
              <w:t xml:space="preserve"> puestos de </w:t>
            </w:r>
            <w:r w:rsidR="0024546B">
              <w:rPr>
                <w:sz w:val="20"/>
                <w:szCs w:val="20"/>
                <w:lang w:val="es-419"/>
              </w:rPr>
              <w:t xml:space="preserve">personal </w:t>
            </w:r>
            <w:r w:rsidR="58E98FB5" w:rsidRPr="3937432E">
              <w:rPr>
                <w:sz w:val="20"/>
                <w:szCs w:val="20"/>
                <w:lang w:val="es-419"/>
              </w:rPr>
              <w:t>funcionario</w:t>
            </w:r>
            <w:r w:rsidR="001824C5">
              <w:rPr>
                <w:sz w:val="20"/>
                <w:szCs w:val="20"/>
                <w:lang w:val="es-419"/>
              </w:rPr>
              <w:t xml:space="preserve"> (</w:t>
            </w:r>
            <w:r w:rsidR="009305EB">
              <w:rPr>
                <w:sz w:val="20"/>
                <w:szCs w:val="20"/>
                <w:lang w:val="es-419"/>
              </w:rPr>
              <w:t>“</w:t>
            </w:r>
            <w:r w:rsidR="001824C5" w:rsidRPr="00756410">
              <w:rPr>
                <w:i/>
                <w:iCs/>
                <w:sz w:val="20"/>
                <w:szCs w:val="20"/>
                <w:lang w:val="es-419"/>
              </w:rPr>
              <w:t>Staff</w:t>
            </w:r>
            <w:r w:rsidR="009305EB">
              <w:rPr>
                <w:i/>
                <w:iCs/>
                <w:sz w:val="20"/>
                <w:szCs w:val="20"/>
                <w:lang w:val="es-419"/>
              </w:rPr>
              <w:t>”</w:t>
            </w:r>
            <w:r w:rsidR="001824C5">
              <w:rPr>
                <w:sz w:val="20"/>
                <w:szCs w:val="20"/>
                <w:lang w:val="es-419"/>
              </w:rPr>
              <w:t xml:space="preserve">) </w:t>
            </w:r>
            <w:r w:rsidR="58E98FB5" w:rsidRPr="3937432E">
              <w:rPr>
                <w:sz w:val="20"/>
                <w:szCs w:val="20"/>
                <w:lang w:val="es-419"/>
              </w:rPr>
              <w:t>a personal</w:t>
            </w:r>
            <w:r w:rsidR="001824C5">
              <w:rPr>
                <w:sz w:val="20"/>
                <w:szCs w:val="20"/>
                <w:lang w:val="es-419"/>
              </w:rPr>
              <w:t xml:space="preserve"> no funcionario</w:t>
            </w:r>
            <w:r w:rsidR="009305EB">
              <w:rPr>
                <w:sz w:val="20"/>
                <w:szCs w:val="20"/>
                <w:lang w:val="es-419"/>
              </w:rPr>
              <w:t xml:space="preserve"> (“</w:t>
            </w:r>
            <w:r w:rsidR="001824C5" w:rsidRPr="00756410">
              <w:rPr>
                <w:i/>
                <w:iCs/>
                <w:sz w:val="20"/>
                <w:szCs w:val="20"/>
                <w:lang w:val="es-419"/>
              </w:rPr>
              <w:t>non-staff</w:t>
            </w:r>
            <w:r w:rsidR="009305EB">
              <w:rPr>
                <w:i/>
                <w:iCs/>
                <w:sz w:val="20"/>
                <w:szCs w:val="20"/>
                <w:lang w:val="es-419"/>
              </w:rPr>
              <w:t>”</w:t>
            </w:r>
            <w:r w:rsidR="001824C5">
              <w:rPr>
                <w:sz w:val="20"/>
                <w:szCs w:val="20"/>
                <w:lang w:val="es-419"/>
              </w:rPr>
              <w:t>)</w:t>
            </w:r>
            <w:r w:rsidR="58E98FB5" w:rsidRPr="3937432E">
              <w:rPr>
                <w:sz w:val="20"/>
                <w:szCs w:val="20"/>
                <w:lang w:val="es-419"/>
              </w:rPr>
              <w:t xml:space="preserve">. </w:t>
            </w:r>
            <w:r w:rsidR="00E33F1D" w:rsidRPr="3937432E">
              <w:rPr>
                <w:sz w:val="20"/>
                <w:szCs w:val="20"/>
                <w:lang w:val="es-419"/>
              </w:rPr>
              <w:t xml:space="preserve">Los presupuestos no relacionados con </w:t>
            </w:r>
            <w:r w:rsidR="001824C5">
              <w:rPr>
                <w:sz w:val="20"/>
                <w:szCs w:val="20"/>
                <w:lang w:val="es-419"/>
              </w:rPr>
              <w:t>personal funcionario (</w:t>
            </w:r>
            <w:r w:rsidR="009305EB">
              <w:rPr>
                <w:sz w:val="20"/>
                <w:szCs w:val="20"/>
                <w:lang w:val="es-419"/>
              </w:rPr>
              <w:t>“</w:t>
            </w:r>
            <w:r w:rsidR="001824C5" w:rsidRPr="00756410">
              <w:rPr>
                <w:i/>
                <w:iCs/>
                <w:sz w:val="20"/>
                <w:szCs w:val="20"/>
                <w:lang w:val="es-419"/>
              </w:rPr>
              <w:t>non-Staff</w:t>
            </w:r>
            <w:r w:rsidR="009305EB" w:rsidRPr="00756410">
              <w:rPr>
                <w:i/>
                <w:iCs/>
                <w:sz w:val="20"/>
                <w:szCs w:val="20"/>
                <w:lang w:val="es-419"/>
              </w:rPr>
              <w:t xml:space="preserve"> budgets</w:t>
            </w:r>
            <w:r w:rsidR="009305EB">
              <w:rPr>
                <w:sz w:val="20"/>
                <w:szCs w:val="20"/>
                <w:lang w:val="es-419"/>
              </w:rPr>
              <w:t>”</w:t>
            </w:r>
            <w:r w:rsidR="001824C5">
              <w:rPr>
                <w:sz w:val="20"/>
                <w:szCs w:val="20"/>
                <w:lang w:val="es-419"/>
              </w:rPr>
              <w:t>)</w:t>
            </w:r>
            <w:r w:rsidR="009305EB">
              <w:rPr>
                <w:sz w:val="20"/>
                <w:szCs w:val="20"/>
                <w:lang w:val="es-419"/>
              </w:rPr>
              <w:t xml:space="preserve"> </w:t>
            </w:r>
            <w:r w:rsidR="00E33F1D" w:rsidRPr="3937432E">
              <w:rPr>
                <w:sz w:val="20"/>
                <w:szCs w:val="20"/>
                <w:lang w:val="es-419"/>
              </w:rPr>
              <w:t xml:space="preserve">no pueden convertirse en </w:t>
            </w:r>
            <w:r w:rsidR="7B5F5B00" w:rsidRPr="3937432E">
              <w:rPr>
                <w:sz w:val="20"/>
                <w:szCs w:val="20"/>
                <w:lang w:val="es-419"/>
              </w:rPr>
              <w:t xml:space="preserve">recursos para cubrir </w:t>
            </w:r>
            <w:r w:rsidR="00E33F1D" w:rsidRPr="3937432E">
              <w:rPr>
                <w:sz w:val="20"/>
                <w:szCs w:val="20"/>
                <w:lang w:val="es-419"/>
              </w:rPr>
              <w:t>gastos de personal</w:t>
            </w:r>
            <w:r w:rsidR="009305EB">
              <w:rPr>
                <w:sz w:val="20"/>
                <w:szCs w:val="20"/>
                <w:lang w:val="es-419"/>
              </w:rPr>
              <w:t xml:space="preserve"> funcionario (“</w:t>
            </w:r>
            <w:r w:rsidR="009305EB" w:rsidRPr="00756410">
              <w:rPr>
                <w:i/>
                <w:iCs/>
                <w:sz w:val="20"/>
                <w:szCs w:val="20"/>
                <w:lang w:val="es-419"/>
              </w:rPr>
              <w:t>Staff Budget</w:t>
            </w:r>
            <w:r w:rsidR="009305EB" w:rsidRPr="00756410">
              <w:rPr>
                <w:b/>
                <w:bCs/>
                <w:sz w:val="20"/>
                <w:szCs w:val="20"/>
                <w:lang w:val="es-419"/>
              </w:rPr>
              <w:t>”</w:t>
            </w:r>
            <w:r w:rsidR="009305EB">
              <w:rPr>
                <w:sz w:val="20"/>
                <w:szCs w:val="20"/>
                <w:lang w:val="es-419"/>
              </w:rPr>
              <w:t>)</w:t>
            </w:r>
            <w:r w:rsidR="00E33F1D" w:rsidRPr="3937432E">
              <w:rPr>
                <w:sz w:val="20"/>
                <w:szCs w:val="20"/>
                <w:lang w:val="es-419"/>
              </w:rPr>
              <w:t xml:space="preserve">. Cualquier puesto del IB fuera del nivel aprobado requeriría una asignación especial del IB, que debería solicitarse al Administrador (a través </w:t>
            </w:r>
            <w:r w:rsidR="36C0ED63" w:rsidRPr="3937432E">
              <w:rPr>
                <w:sz w:val="20"/>
                <w:szCs w:val="20"/>
                <w:lang w:val="es-419"/>
              </w:rPr>
              <w:t>de</w:t>
            </w:r>
            <w:r w:rsidR="5DCF573E" w:rsidRPr="3937432E">
              <w:rPr>
                <w:sz w:val="20"/>
                <w:szCs w:val="20"/>
                <w:lang w:val="es-419"/>
              </w:rPr>
              <w:t>l</w:t>
            </w:r>
            <w:r w:rsidR="0022094E">
              <w:rPr>
                <w:sz w:val="20"/>
                <w:szCs w:val="20"/>
                <w:lang w:val="es-419"/>
              </w:rPr>
              <w:t xml:space="preserve"> </w:t>
            </w:r>
            <w:r w:rsidR="00757D90" w:rsidRPr="3937432E">
              <w:rPr>
                <w:sz w:val="20"/>
                <w:szCs w:val="20"/>
                <w:lang w:val="es-419"/>
              </w:rPr>
              <w:t>Buro Regional</w:t>
            </w:r>
            <w:r w:rsidR="00E33F1D" w:rsidRPr="3937432E">
              <w:rPr>
                <w:sz w:val="20"/>
                <w:szCs w:val="20"/>
                <w:lang w:val="es-419"/>
              </w:rPr>
              <w:t xml:space="preserve">, cuando proceda). Consulte la sección 8.5 para obtener más información sobre el proceso de administración de puestos. </w:t>
            </w:r>
          </w:p>
        </w:tc>
      </w:tr>
      <w:tr w:rsidR="00FC6582" w:rsidRPr="00773863" w14:paraId="12BA1601" w14:textId="77777777" w:rsidTr="48224A22">
        <w:trPr>
          <w:trHeight w:val="20"/>
        </w:trPr>
        <w:tc>
          <w:tcPr>
            <w:tcW w:w="9900" w:type="dxa"/>
          </w:tcPr>
          <w:p w14:paraId="32917ECC" w14:textId="41847564" w:rsidR="00016669" w:rsidRPr="00756410" w:rsidRDefault="00016669">
            <w:pPr>
              <w:pStyle w:val="ListParagraph"/>
              <w:widowControl w:val="0"/>
              <w:numPr>
                <w:ilvl w:val="0"/>
                <w:numId w:val="53"/>
              </w:numPr>
              <w:autoSpaceDE w:val="0"/>
              <w:autoSpaceDN w:val="0"/>
              <w:spacing w:after="0" w:line="240" w:lineRule="auto"/>
              <w:rPr>
                <w:sz w:val="20"/>
                <w:szCs w:val="20"/>
                <w:lang w:val="es-419"/>
              </w:rPr>
            </w:pPr>
            <w:r w:rsidRPr="3937432E">
              <w:rPr>
                <w:b/>
                <w:sz w:val="20"/>
                <w:szCs w:val="20"/>
                <w:lang w:val="es-419"/>
              </w:rPr>
              <w:t>Autoriza las acciones de recursos humanos para la oficina/unidad:</w:t>
            </w:r>
            <w:r w:rsidRPr="3937432E">
              <w:rPr>
                <w:sz w:val="20"/>
                <w:szCs w:val="20"/>
                <w:lang w:val="es-419"/>
              </w:rPr>
              <w:t xml:space="preserve"> dentro de los límites de autoridad y financiamiento, aprueba puestos, contrataciones, acciones de administración de contratos (nuev</w:t>
            </w:r>
            <w:r w:rsidR="009C7CB9">
              <w:rPr>
                <w:sz w:val="20"/>
                <w:szCs w:val="20"/>
                <w:lang w:val="es-419"/>
              </w:rPr>
              <w:t>os</w:t>
            </w:r>
            <w:r w:rsidRPr="3937432E">
              <w:rPr>
                <w:sz w:val="20"/>
                <w:szCs w:val="20"/>
                <w:lang w:val="es-419"/>
              </w:rPr>
              <w:t xml:space="preserve"> NPSA/IPSA, extensiones de contratos, vencimiento</w:t>
            </w:r>
            <w:r w:rsidR="009C7CB9">
              <w:rPr>
                <w:sz w:val="20"/>
                <w:szCs w:val="20"/>
                <w:lang w:val="es-419"/>
              </w:rPr>
              <w:t>s</w:t>
            </w:r>
            <w:r w:rsidRPr="3937432E">
              <w:rPr>
                <w:sz w:val="20"/>
                <w:szCs w:val="20"/>
                <w:lang w:val="es-419"/>
              </w:rPr>
              <w:t xml:space="preserve">), separaciones (excepto separaciones disciplinarias) y las solicitudes de servicio </w:t>
            </w:r>
            <w:r w:rsidR="42CC5D29" w:rsidRPr="3937432E">
              <w:rPr>
                <w:sz w:val="20"/>
                <w:szCs w:val="20"/>
                <w:lang w:val="es-419"/>
              </w:rPr>
              <w:t xml:space="preserve">relacionadas </w:t>
            </w:r>
            <w:r w:rsidRPr="3937432E">
              <w:rPr>
                <w:sz w:val="20"/>
                <w:szCs w:val="20"/>
                <w:lang w:val="es-419"/>
              </w:rPr>
              <w:t>enviadas a BMS/GSSC.</w:t>
            </w:r>
          </w:p>
        </w:tc>
      </w:tr>
      <w:tr w:rsidR="00FC6582" w:rsidRPr="00773863" w14:paraId="6BEE31B6" w14:textId="77777777" w:rsidTr="48224A22">
        <w:trPr>
          <w:trHeight w:val="20"/>
        </w:trPr>
        <w:tc>
          <w:tcPr>
            <w:tcW w:w="9900" w:type="dxa"/>
          </w:tcPr>
          <w:p w14:paraId="3BD622CE" w14:textId="59021BD7" w:rsidR="00016669" w:rsidRPr="00756410" w:rsidRDefault="00016669" w:rsidP="068E6479">
            <w:pPr>
              <w:pStyle w:val="ListParagraph"/>
              <w:widowControl w:val="0"/>
              <w:numPr>
                <w:ilvl w:val="0"/>
                <w:numId w:val="53"/>
              </w:numPr>
              <w:autoSpaceDE w:val="0"/>
              <w:autoSpaceDN w:val="0"/>
              <w:spacing w:line="240" w:lineRule="auto"/>
              <w:rPr>
                <w:sz w:val="20"/>
                <w:szCs w:val="20"/>
                <w:lang w:val="es-419"/>
              </w:rPr>
            </w:pPr>
            <w:r w:rsidRPr="00756410">
              <w:rPr>
                <w:b/>
                <w:sz w:val="20"/>
                <w:szCs w:val="20"/>
                <w:lang w:val="es-419"/>
              </w:rPr>
              <w:t xml:space="preserve">Aprueba </w:t>
            </w:r>
            <w:r w:rsidR="62528C26" w:rsidRPr="00756410">
              <w:rPr>
                <w:b/>
                <w:bCs/>
                <w:sz w:val="20"/>
                <w:szCs w:val="20"/>
                <w:lang w:val="es-419"/>
              </w:rPr>
              <w:t>l</w:t>
            </w:r>
            <w:r w:rsidR="0D6EB79F" w:rsidRPr="3937432E">
              <w:rPr>
                <w:b/>
                <w:bCs/>
                <w:sz w:val="20"/>
                <w:szCs w:val="20"/>
                <w:lang w:val="es-419"/>
              </w:rPr>
              <w:t xml:space="preserve">os nombramientos </w:t>
            </w:r>
            <w:r w:rsidR="7586788B" w:rsidRPr="3937432E">
              <w:rPr>
                <w:b/>
                <w:bCs/>
                <w:sz w:val="20"/>
                <w:szCs w:val="20"/>
                <w:lang w:val="es-419"/>
              </w:rPr>
              <w:t xml:space="preserve">y contratos </w:t>
            </w:r>
            <w:r w:rsidRPr="00756410">
              <w:rPr>
                <w:sz w:val="20"/>
                <w:szCs w:val="20"/>
                <w:lang w:val="es-419"/>
              </w:rPr>
              <w:t>(incluid</w:t>
            </w:r>
            <w:r w:rsidR="009C7CB9">
              <w:rPr>
                <w:sz w:val="20"/>
                <w:szCs w:val="20"/>
                <w:lang w:val="es-419"/>
              </w:rPr>
              <w:t>o</w:t>
            </w:r>
            <w:r w:rsidRPr="00756410">
              <w:rPr>
                <w:sz w:val="20"/>
                <w:szCs w:val="20"/>
                <w:lang w:val="es-419"/>
              </w:rPr>
              <w:t>s l</w:t>
            </w:r>
            <w:r w:rsidR="009C7CB9">
              <w:rPr>
                <w:sz w:val="20"/>
                <w:szCs w:val="20"/>
                <w:lang w:val="es-419"/>
              </w:rPr>
              <w:t>o</w:t>
            </w:r>
            <w:r w:rsidRPr="00756410">
              <w:rPr>
                <w:sz w:val="20"/>
                <w:szCs w:val="20"/>
                <w:lang w:val="es-419"/>
              </w:rPr>
              <w:t>s</w:t>
            </w:r>
            <w:r w:rsidR="463ED06D" w:rsidRPr="3937432E">
              <w:rPr>
                <w:sz w:val="20"/>
                <w:szCs w:val="20"/>
                <w:lang w:val="es-419"/>
              </w:rPr>
              <w:t xml:space="preserve"> FTA TA, </w:t>
            </w:r>
            <w:r w:rsidR="009C7CB9">
              <w:rPr>
                <w:sz w:val="20"/>
                <w:szCs w:val="20"/>
                <w:lang w:val="es-419"/>
              </w:rPr>
              <w:t>lo</w:t>
            </w:r>
            <w:r w:rsidRPr="00756410">
              <w:rPr>
                <w:sz w:val="20"/>
                <w:szCs w:val="20"/>
                <w:lang w:val="es-419"/>
              </w:rPr>
              <w:t>s NPSA y l</w:t>
            </w:r>
            <w:r w:rsidR="009C7CB9">
              <w:rPr>
                <w:sz w:val="20"/>
                <w:szCs w:val="20"/>
                <w:lang w:val="es-419"/>
              </w:rPr>
              <w:t>o</w:t>
            </w:r>
            <w:r w:rsidRPr="00756410">
              <w:rPr>
                <w:sz w:val="20"/>
                <w:szCs w:val="20"/>
                <w:lang w:val="es-419"/>
              </w:rPr>
              <w:t xml:space="preserve">s IPSA): El Administrador ha delegado autoridad en los Jefes de Oficina/Unidades para contratar y seleccionar a los funcionarios </w:t>
            </w:r>
            <w:r w:rsidR="441467DD" w:rsidRPr="3937432E">
              <w:rPr>
                <w:sz w:val="20"/>
                <w:szCs w:val="20"/>
                <w:lang w:val="es-419"/>
              </w:rPr>
              <w:t xml:space="preserve">y personal </w:t>
            </w:r>
            <w:r w:rsidRPr="3937432E">
              <w:rPr>
                <w:sz w:val="20"/>
                <w:szCs w:val="20"/>
                <w:lang w:val="es-419"/>
              </w:rPr>
              <w:t xml:space="preserve">del PNUD, con sujeción a la aprobación </w:t>
            </w:r>
            <w:r w:rsidR="6778E46D" w:rsidRPr="3937432E">
              <w:rPr>
                <w:sz w:val="20"/>
                <w:szCs w:val="20"/>
                <w:lang w:val="es-419"/>
              </w:rPr>
              <w:t xml:space="preserve">de los órganos de </w:t>
            </w:r>
            <w:r w:rsidRPr="3937432E">
              <w:rPr>
                <w:sz w:val="20"/>
                <w:szCs w:val="20"/>
                <w:lang w:val="es-419"/>
              </w:rPr>
              <w:t xml:space="preserve"> revisión, de conformidad con las políticas de contratación y selección aplicables del PNUD (véase </w:t>
            </w:r>
            <w:hyperlink r:id="rId169" w:history="1">
              <w:r w:rsidR="00FC73FC">
                <w:rPr>
                  <w:rStyle w:val="Hyperlink"/>
                  <w:sz w:val="20"/>
                  <w:szCs w:val="20"/>
                  <w:lang w:val="es-419"/>
                </w:rPr>
                <w:t>la política de G</w:t>
              </w:r>
              <w:r w:rsidRPr="00FC73FC">
                <w:rPr>
                  <w:rStyle w:val="Hyperlink"/>
                  <w:sz w:val="20"/>
                  <w:szCs w:val="20"/>
                  <w:lang w:val="es-419"/>
                </w:rPr>
                <w:t xml:space="preserve">estión de </w:t>
              </w:r>
              <w:r w:rsidRPr="00756410">
                <w:rPr>
                  <w:rStyle w:val="Hyperlink"/>
                  <w:sz w:val="20"/>
                  <w:szCs w:val="20"/>
                  <w:lang w:val="es-419"/>
                </w:rPr>
                <w:t xml:space="preserve">recursos humanos </w:t>
              </w:r>
              <w:r w:rsidR="002C5519" w:rsidRPr="00FC73FC">
                <w:rPr>
                  <w:rStyle w:val="Hyperlink"/>
                  <w:sz w:val="20"/>
                  <w:szCs w:val="20"/>
                  <w:lang w:val="es-419"/>
                </w:rPr>
                <w:t>en</w:t>
              </w:r>
              <w:r w:rsidRPr="00756410">
                <w:rPr>
                  <w:rStyle w:val="Hyperlink"/>
                  <w:sz w:val="20"/>
                  <w:szCs w:val="20"/>
                  <w:lang w:val="es-419"/>
                </w:rPr>
                <w:t xml:space="preserve"> POPP).</w:t>
              </w:r>
            </w:hyperlink>
          </w:p>
          <w:p w14:paraId="579AE273" w14:textId="40F2EEBB" w:rsidR="00016669" w:rsidRPr="00756410" w:rsidRDefault="00016669" w:rsidP="00756410">
            <w:pPr>
              <w:pStyle w:val="ListParagraph"/>
              <w:widowControl w:val="0"/>
              <w:numPr>
                <w:ilvl w:val="0"/>
                <w:numId w:val="53"/>
              </w:numPr>
              <w:autoSpaceDE w:val="0"/>
              <w:autoSpaceDN w:val="0"/>
              <w:spacing w:after="0" w:line="240" w:lineRule="auto"/>
              <w:jc w:val="both"/>
              <w:rPr>
                <w:b/>
                <w:sz w:val="20"/>
                <w:szCs w:val="20"/>
                <w:lang w:val="es-419"/>
              </w:rPr>
            </w:pPr>
            <w:r w:rsidRPr="00756410">
              <w:rPr>
                <w:sz w:val="20"/>
                <w:szCs w:val="20"/>
                <w:u w:val="single"/>
                <w:lang w:val="es-419"/>
              </w:rPr>
              <w:t>Función de BMS/GSSC:</w:t>
            </w:r>
            <w:r w:rsidRPr="00756410">
              <w:rPr>
                <w:sz w:val="20"/>
                <w:szCs w:val="20"/>
                <w:lang w:val="es-419"/>
              </w:rPr>
              <w:t xml:space="preserve"> Para oficinas/unidades con procesos de contratación agrupados</w:t>
            </w:r>
            <w:r w:rsidR="17F10C6A" w:rsidRPr="006A0D67">
              <w:rPr>
                <w:sz w:val="20"/>
                <w:szCs w:val="20"/>
                <w:lang w:val="es-419"/>
              </w:rPr>
              <w:t xml:space="preserve"> (</w:t>
            </w:r>
            <w:r w:rsidR="17F10C6A" w:rsidRPr="00756410">
              <w:rPr>
                <w:rFonts w:ascii="Calibri" w:eastAsia="Calibri" w:hAnsi="Calibri" w:cs="Calibri"/>
                <w:i/>
                <w:iCs/>
                <w:color w:val="004377"/>
                <w:sz w:val="20"/>
                <w:szCs w:val="20"/>
                <w:u w:val="single"/>
                <w:lang w:val="es-419"/>
              </w:rPr>
              <w:t>clustered)</w:t>
            </w:r>
            <w:r w:rsidR="62528C26" w:rsidRPr="006A0D67">
              <w:rPr>
                <w:sz w:val="20"/>
                <w:szCs w:val="20"/>
                <w:lang w:val="es-419"/>
              </w:rPr>
              <w:t>,</w:t>
            </w:r>
            <w:r w:rsidRPr="006A0D67">
              <w:rPr>
                <w:sz w:val="20"/>
                <w:szCs w:val="20"/>
                <w:lang w:val="es-419"/>
              </w:rPr>
              <w:t xml:space="preserve"> una vez que el candidato ha sido seleccionado y aprobado por el Jefe de Oficina/Unidad, </w:t>
            </w:r>
            <w:r w:rsidR="00AB5BD2" w:rsidRPr="006A0D67">
              <w:rPr>
                <w:rStyle w:val="cf01"/>
                <w:rFonts w:asciiTheme="minorHAnsi" w:hAnsiTheme="minorHAnsi" w:cstheme="minorBidi"/>
                <w:sz w:val="20"/>
                <w:szCs w:val="20"/>
                <w:lang w:val="es-419"/>
              </w:rPr>
              <w:t xml:space="preserve">la solicitud de servicio para la emisión de LOA (FTA/TA) o NPSA/IPSA es realizada por el Equipo de Reclutamiento de BMS/GSSC, no por la oficina/unidad de contratación. </w:t>
            </w:r>
            <w:r w:rsidRPr="006A0D67">
              <w:rPr>
                <w:sz w:val="20"/>
                <w:szCs w:val="20"/>
                <w:lang w:val="es-419"/>
              </w:rPr>
              <w:t>En el caso de las oficinas/dependencias con procesos de contratación no agrupados</w:t>
            </w:r>
            <w:r w:rsidR="2E1D0F6A" w:rsidRPr="006A0D67">
              <w:rPr>
                <w:sz w:val="20"/>
                <w:szCs w:val="20"/>
                <w:lang w:val="es-419"/>
              </w:rPr>
              <w:t xml:space="preserve"> (</w:t>
            </w:r>
            <w:r w:rsidR="2E1D0F6A" w:rsidRPr="00756410">
              <w:rPr>
                <w:i/>
                <w:iCs/>
                <w:sz w:val="20"/>
                <w:szCs w:val="20"/>
                <w:lang w:val="es-419"/>
              </w:rPr>
              <w:t>non</w:t>
            </w:r>
            <w:r w:rsidR="2E1D0F6A" w:rsidRPr="006A0D67">
              <w:rPr>
                <w:sz w:val="20"/>
                <w:szCs w:val="20"/>
                <w:lang w:val="es-419"/>
              </w:rPr>
              <w:t>-</w:t>
            </w:r>
            <w:r w:rsidR="2E1D0F6A" w:rsidRPr="00756410">
              <w:rPr>
                <w:rFonts w:ascii="Calibri" w:eastAsia="Calibri" w:hAnsi="Calibri" w:cs="Calibri"/>
                <w:i/>
                <w:iCs/>
                <w:color w:val="004377"/>
                <w:sz w:val="20"/>
                <w:szCs w:val="20"/>
                <w:u w:val="single"/>
                <w:lang w:val="es-419"/>
              </w:rPr>
              <w:t>clustered)</w:t>
            </w:r>
            <w:r w:rsidR="62528C26" w:rsidRPr="006A0D67">
              <w:rPr>
                <w:sz w:val="20"/>
                <w:szCs w:val="20"/>
                <w:lang w:val="es-419"/>
              </w:rPr>
              <w:t>,</w:t>
            </w:r>
            <w:r w:rsidRPr="006A0D67">
              <w:rPr>
                <w:sz w:val="20"/>
                <w:szCs w:val="20"/>
                <w:lang w:val="es-419"/>
              </w:rPr>
              <w:t xml:space="preserve"> el BMS/OHR presenta esta solicitud de servicio al BMS/GSSC, excepto las solicitudes de IPSA/NPSA</w:t>
            </w:r>
            <w:r w:rsidRPr="3937432E">
              <w:rPr>
                <w:sz w:val="20"/>
                <w:szCs w:val="20"/>
                <w:lang w:val="es-419"/>
              </w:rPr>
              <w:t xml:space="preserve"> y las solicitudes de personal local de </w:t>
            </w:r>
            <w:r w:rsidR="2BD4E8E8" w:rsidRPr="3937432E">
              <w:rPr>
                <w:sz w:val="20"/>
                <w:szCs w:val="20"/>
                <w:lang w:val="es-419"/>
              </w:rPr>
              <w:t xml:space="preserve">unidades de la sede fuera de Nueva York. </w:t>
            </w:r>
          </w:p>
        </w:tc>
      </w:tr>
      <w:tr w:rsidR="00C27124" w:rsidRPr="005D2478" w14:paraId="6E2EB659" w14:textId="77777777" w:rsidTr="48224A22">
        <w:trPr>
          <w:trHeight w:val="20"/>
        </w:trPr>
        <w:tc>
          <w:tcPr>
            <w:tcW w:w="9900" w:type="dxa"/>
            <w:shd w:val="clear" w:color="auto" w:fill="000000" w:themeFill="text1"/>
          </w:tcPr>
          <w:p w14:paraId="6B95D58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Gestión de efectivo </w:t>
            </w:r>
          </w:p>
        </w:tc>
      </w:tr>
      <w:tr w:rsidR="003C2B04" w:rsidRPr="00773863" w14:paraId="472B06E1" w14:textId="77777777" w:rsidTr="48224A22">
        <w:trPr>
          <w:trHeight w:val="20"/>
        </w:trPr>
        <w:tc>
          <w:tcPr>
            <w:tcW w:w="9900" w:type="dxa"/>
          </w:tcPr>
          <w:p w14:paraId="088DE8DC" w14:textId="3B6403E8" w:rsidR="00CC7A58" w:rsidRPr="00756410" w:rsidRDefault="00CC7A58">
            <w:pPr>
              <w:pStyle w:val="ListParagraph"/>
              <w:widowControl w:val="0"/>
              <w:numPr>
                <w:ilvl w:val="0"/>
                <w:numId w:val="54"/>
              </w:numPr>
              <w:autoSpaceDE w:val="0"/>
              <w:autoSpaceDN w:val="0"/>
              <w:spacing w:after="0" w:line="240" w:lineRule="auto"/>
              <w:ind w:left="360"/>
              <w:rPr>
                <w:sz w:val="20"/>
                <w:szCs w:val="20"/>
                <w:lang w:val="es-419"/>
              </w:rPr>
            </w:pPr>
            <w:r w:rsidRPr="00756410">
              <w:rPr>
                <w:b/>
                <w:sz w:val="20"/>
                <w:szCs w:val="20"/>
                <w:lang w:val="es-419"/>
              </w:rPr>
              <w:t>Designa a los signatarios de cuentas bancarias:</w:t>
            </w:r>
            <w:r w:rsidRPr="00756410">
              <w:rPr>
                <w:sz w:val="20"/>
                <w:szCs w:val="20"/>
                <w:lang w:val="es-419"/>
              </w:rPr>
              <w:t xml:space="preserve"> de acuerdo con la </w:t>
            </w:r>
            <w:hyperlink r:id="rId170">
              <w:r w:rsidR="000C1901">
                <w:rPr>
                  <w:rStyle w:val="Hyperlink"/>
                  <w:sz w:val="20"/>
                  <w:szCs w:val="20"/>
                  <w:lang w:val="es-419"/>
                </w:rPr>
                <w:t xml:space="preserve">política de </w:t>
              </w:r>
              <w:r w:rsidR="002E117C">
                <w:rPr>
                  <w:rStyle w:val="Hyperlink"/>
                  <w:sz w:val="20"/>
                  <w:szCs w:val="20"/>
                  <w:lang w:val="es-419"/>
                </w:rPr>
                <w:t>“</w:t>
              </w:r>
              <w:r w:rsidR="002E117C" w:rsidRPr="00756410">
                <w:rPr>
                  <w:rStyle w:val="Hyperlink"/>
                  <w:i/>
                  <w:iCs/>
                  <w:sz w:val="20"/>
                  <w:szCs w:val="20"/>
                  <w:lang w:val="es-419"/>
                </w:rPr>
                <w:t>D</w:t>
              </w:r>
              <w:r w:rsidRPr="00756410">
                <w:rPr>
                  <w:rStyle w:val="Hyperlink"/>
                  <w:i/>
                  <w:iCs/>
                  <w:sz w:val="20"/>
                  <w:szCs w:val="20"/>
                  <w:lang w:val="es-419"/>
                </w:rPr>
                <w:t>esignación y responsabilidades de los signatarios</w:t>
              </w:r>
              <w:r w:rsidR="002E117C">
                <w:rPr>
                  <w:rStyle w:val="Hyperlink"/>
                  <w:sz w:val="20"/>
                  <w:szCs w:val="20"/>
                  <w:lang w:val="es-419"/>
                </w:rPr>
                <w:t>”</w:t>
              </w:r>
              <w:r w:rsidRPr="3937432E">
                <w:rPr>
                  <w:rStyle w:val="Hyperlink"/>
                  <w:sz w:val="20"/>
                  <w:szCs w:val="20"/>
                  <w:lang w:val="es-419"/>
                </w:rPr>
                <w:t xml:space="preserve"> de</w:t>
              </w:r>
              <w:r w:rsidR="00C21474">
                <w:rPr>
                  <w:rStyle w:val="Hyperlink"/>
                  <w:sz w:val="20"/>
                  <w:szCs w:val="20"/>
                  <w:lang w:val="es-419"/>
                </w:rPr>
                <w:t>l POPP</w:t>
              </w:r>
            </w:hyperlink>
            <w:r w:rsidR="06D57DCC" w:rsidRPr="3937432E">
              <w:rPr>
                <w:sz w:val="20"/>
                <w:szCs w:val="20"/>
                <w:lang w:val="es-419"/>
              </w:rPr>
              <w:t>.</w:t>
            </w:r>
          </w:p>
        </w:tc>
      </w:tr>
      <w:tr w:rsidR="003C2B04" w:rsidRPr="00773863" w14:paraId="3E6D328A" w14:textId="77777777" w:rsidTr="48224A22">
        <w:trPr>
          <w:trHeight w:val="20"/>
        </w:trPr>
        <w:tc>
          <w:tcPr>
            <w:tcW w:w="9900" w:type="dxa"/>
          </w:tcPr>
          <w:p w14:paraId="3CF92E2C" w14:textId="3D94D4F5" w:rsidR="00106F90" w:rsidRPr="00756410" w:rsidRDefault="00106F90" w:rsidP="00756410">
            <w:pPr>
              <w:pStyle w:val="ListParagraph"/>
              <w:widowControl w:val="0"/>
              <w:numPr>
                <w:ilvl w:val="0"/>
                <w:numId w:val="54"/>
              </w:numPr>
              <w:autoSpaceDE w:val="0"/>
              <w:autoSpaceDN w:val="0"/>
              <w:spacing w:after="0" w:line="240" w:lineRule="auto"/>
              <w:ind w:left="360"/>
              <w:jc w:val="both"/>
              <w:rPr>
                <w:sz w:val="20"/>
                <w:szCs w:val="20"/>
                <w:lang w:val="es-419"/>
              </w:rPr>
            </w:pPr>
            <w:r w:rsidRPr="3937432E">
              <w:rPr>
                <w:b/>
                <w:sz w:val="20"/>
                <w:szCs w:val="20"/>
                <w:lang w:val="es-419"/>
              </w:rPr>
              <w:t xml:space="preserve">Designa un custodio principal y suplente de </w:t>
            </w:r>
            <w:r w:rsidR="6B47EE55" w:rsidRPr="3937432E">
              <w:rPr>
                <w:b/>
                <w:bCs/>
                <w:sz w:val="20"/>
                <w:szCs w:val="20"/>
                <w:lang w:val="es-419"/>
              </w:rPr>
              <w:t xml:space="preserve">la caja fuerte </w:t>
            </w:r>
            <w:r w:rsidRPr="3937432E">
              <w:rPr>
                <w:b/>
                <w:sz w:val="20"/>
                <w:szCs w:val="20"/>
                <w:lang w:val="es-419"/>
              </w:rPr>
              <w:t xml:space="preserve">(deben ser </w:t>
            </w:r>
            <w:r w:rsidR="00CA3AA4">
              <w:rPr>
                <w:b/>
                <w:sz w:val="20"/>
                <w:szCs w:val="20"/>
                <w:lang w:val="es-419"/>
              </w:rPr>
              <w:t xml:space="preserve">personal </w:t>
            </w:r>
            <w:r w:rsidRPr="3937432E">
              <w:rPr>
                <w:b/>
                <w:sz w:val="20"/>
                <w:szCs w:val="20"/>
                <w:lang w:val="es-419"/>
              </w:rPr>
              <w:t>funcionarios del PNUD):</w:t>
            </w:r>
            <w:r w:rsidRPr="3937432E">
              <w:rPr>
                <w:sz w:val="20"/>
                <w:szCs w:val="20"/>
                <w:lang w:val="es-419"/>
              </w:rPr>
              <w:t xml:space="preserve"> para supervisar las actividades de la oficina/unidad de seguridad de conformidad con la </w:t>
            </w:r>
            <w:hyperlink r:id="rId171">
              <w:r w:rsidRPr="00756410">
                <w:rPr>
                  <w:rStyle w:val="Hyperlink"/>
                  <w:sz w:val="20"/>
                  <w:szCs w:val="20"/>
                  <w:lang w:val="es-419"/>
                </w:rPr>
                <w:t xml:space="preserve">política de </w:t>
              </w:r>
              <w:r w:rsidR="003741AB">
                <w:rPr>
                  <w:rStyle w:val="Hyperlink"/>
                  <w:sz w:val="20"/>
                  <w:szCs w:val="20"/>
                  <w:lang w:val="es-419"/>
                </w:rPr>
                <w:t>“</w:t>
              </w:r>
              <w:r w:rsidR="003741AB" w:rsidRPr="00756410">
                <w:rPr>
                  <w:rStyle w:val="Hyperlink"/>
                  <w:i/>
                  <w:iCs/>
                  <w:sz w:val="20"/>
                  <w:szCs w:val="20"/>
                  <w:lang w:val="es-419"/>
                </w:rPr>
                <w:t>G</w:t>
              </w:r>
              <w:r w:rsidRPr="00756410">
                <w:rPr>
                  <w:rStyle w:val="Hyperlink"/>
                  <w:i/>
                  <w:iCs/>
                  <w:sz w:val="20"/>
                  <w:szCs w:val="20"/>
                  <w:lang w:val="es-419"/>
                </w:rPr>
                <w:t>estión de</w:t>
              </w:r>
              <w:r w:rsidR="002E117C" w:rsidRPr="00756410">
                <w:rPr>
                  <w:rStyle w:val="Hyperlink"/>
                  <w:i/>
                  <w:iCs/>
                  <w:sz w:val="20"/>
                  <w:szCs w:val="20"/>
                  <w:lang w:val="es-419"/>
                </w:rPr>
                <w:t xml:space="preserve"> Cajas Fuertes</w:t>
              </w:r>
              <w:r w:rsidR="003741AB" w:rsidRPr="00756410">
                <w:rPr>
                  <w:rStyle w:val="Hyperlink"/>
                  <w:i/>
                  <w:iCs/>
                  <w:sz w:val="20"/>
                  <w:szCs w:val="20"/>
                  <w:lang w:val="es-419"/>
                </w:rPr>
                <w:t>”</w:t>
              </w:r>
              <w:r w:rsidR="000C1901">
                <w:rPr>
                  <w:rStyle w:val="Hyperlink"/>
                  <w:sz w:val="20"/>
                  <w:szCs w:val="20"/>
                  <w:lang w:val="es-419"/>
                </w:rPr>
                <w:t xml:space="preserve"> del POPP</w:t>
              </w:r>
            </w:hyperlink>
            <w:r w:rsidR="005F418E" w:rsidRPr="3937432E">
              <w:rPr>
                <w:sz w:val="20"/>
                <w:szCs w:val="20"/>
                <w:lang w:val="es-419"/>
              </w:rPr>
              <w:t xml:space="preserve">. </w:t>
            </w:r>
          </w:p>
        </w:tc>
      </w:tr>
      <w:tr w:rsidR="00FC6582" w:rsidRPr="00773863" w14:paraId="63F5A7B7" w14:textId="77777777" w:rsidTr="48224A22">
        <w:trPr>
          <w:trHeight w:val="20"/>
        </w:trPr>
        <w:tc>
          <w:tcPr>
            <w:tcW w:w="9900" w:type="dxa"/>
          </w:tcPr>
          <w:p w14:paraId="7C44568D" w14:textId="77777777" w:rsidR="00106F90" w:rsidRPr="00DB1CA7" w:rsidRDefault="00106F90" w:rsidP="00756410">
            <w:pPr>
              <w:pStyle w:val="ListParagraph"/>
              <w:widowControl w:val="0"/>
              <w:numPr>
                <w:ilvl w:val="0"/>
                <w:numId w:val="54"/>
              </w:numPr>
              <w:autoSpaceDE w:val="0"/>
              <w:autoSpaceDN w:val="0"/>
              <w:spacing w:after="0" w:line="240" w:lineRule="auto"/>
              <w:ind w:left="360"/>
              <w:jc w:val="both"/>
              <w:rPr>
                <w:b/>
                <w:bCs/>
                <w:sz w:val="20"/>
                <w:szCs w:val="20"/>
                <w:lang w:val="es-419"/>
              </w:rPr>
            </w:pPr>
            <w:r w:rsidRPr="3937432E">
              <w:rPr>
                <w:b/>
                <w:sz w:val="20"/>
                <w:szCs w:val="20"/>
                <w:lang w:val="es-419"/>
              </w:rPr>
              <w:t>Garantiza que los pagos manuales se mantengan al mínimo:</w:t>
            </w:r>
            <w:r w:rsidRPr="3937432E">
              <w:rPr>
                <w:sz w:val="20"/>
                <w:szCs w:val="20"/>
                <w:lang w:val="es-419"/>
              </w:rPr>
              <w:t xml:space="preserve"> los pagos manuales se definen como pagos realizados fuera de Quantum y posteriormente registrados en Quantum. Todos los pagos manuales deben tener documentos de respaldo y deben registrarse inmediatamente después en Quantum. Sujeto a la aprobación del Jefe de Oficina/Unidad, las oficinas/unidades están autorizadas a emitir hasta cinco pagos manuales por mes, y las circunstancias para realizar dichos pagos manuales deben registrarse por escrito. Si esta cantidad máxima es inadecuada, el Jefe de Oficina/Unidad debe solicitar una autorización previa por escrito del CFO para exceder este límite.</w:t>
            </w:r>
          </w:p>
        </w:tc>
      </w:tr>
      <w:tr w:rsidR="00FC6582" w:rsidRPr="00773863" w14:paraId="0A0DB1F1" w14:textId="77777777" w:rsidTr="48224A22">
        <w:trPr>
          <w:trHeight w:val="20"/>
        </w:trPr>
        <w:tc>
          <w:tcPr>
            <w:tcW w:w="9900" w:type="dxa"/>
          </w:tcPr>
          <w:p w14:paraId="673226F7" w14:textId="717E228B" w:rsidR="00106F90" w:rsidRPr="00756410" w:rsidRDefault="00106F90" w:rsidP="00756410">
            <w:pPr>
              <w:pStyle w:val="ListParagraph"/>
              <w:widowControl w:val="0"/>
              <w:numPr>
                <w:ilvl w:val="0"/>
                <w:numId w:val="54"/>
              </w:numPr>
              <w:autoSpaceDE w:val="0"/>
              <w:autoSpaceDN w:val="0"/>
              <w:spacing w:after="0" w:line="240" w:lineRule="auto"/>
              <w:ind w:left="360"/>
              <w:jc w:val="both"/>
              <w:rPr>
                <w:sz w:val="20"/>
                <w:szCs w:val="20"/>
                <w:lang w:val="es-419"/>
              </w:rPr>
            </w:pPr>
            <w:r w:rsidRPr="00756410">
              <w:rPr>
                <w:b/>
                <w:sz w:val="20"/>
                <w:szCs w:val="20"/>
                <w:lang w:val="es-419"/>
              </w:rPr>
              <w:t>Garantiza que el software de emisión de cheques esté instalado y se utilice para generar cheques:</w:t>
            </w:r>
            <w:r w:rsidRPr="00756410">
              <w:rPr>
                <w:sz w:val="20"/>
                <w:szCs w:val="20"/>
                <w:lang w:val="es-419"/>
              </w:rPr>
              <w:t xml:space="preserve"> El uso del software garantiza el cifrado de los datos de pago de Quantum transferidos al cheque, lo que reduce el riesgo de error o fraude en la preparación de cheques.</w:t>
            </w:r>
          </w:p>
        </w:tc>
      </w:tr>
      <w:tr w:rsidR="00FC6582" w:rsidRPr="00773863" w14:paraId="102846B1" w14:textId="77777777" w:rsidTr="48224A22">
        <w:trPr>
          <w:trHeight w:val="20"/>
        </w:trPr>
        <w:tc>
          <w:tcPr>
            <w:tcW w:w="9900" w:type="dxa"/>
          </w:tcPr>
          <w:p w14:paraId="4B8A3536" w14:textId="63DF2847" w:rsidR="00106F90" w:rsidRPr="00756410" w:rsidRDefault="00106F90" w:rsidP="00756410">
            <w:pPr>
              <w:pStyle w:val="ListParagraph"/>
              <w:widowControl w:val="0"/>
              <w:numPr>
                <w:ilvl w:val="0"/>
                <w:numId w:val="54"/>
              </w:numPr>
              <w:autoSpaceDE w:val="0"/>
              <w:autoSpaceDN w:val="0"/>
              <w:spacing w:after="0" w:line="240" w:lineRule="auto"/>
              <w:ind w:left="360"/>
              <w:jc w:val="both"/>
              <w:rPr>
                <w:b/>
                <w:sz w:val="20"/>
                <w:szCs w:val="20"/>
                <w:lang w:val="es-419"/>
              </w:rPr>
            </w:pPr>
            <w:r w:rsidRPr="3937432E">
              <w:rPr>
                <w:b/>
                <w:sz w:val="20"/>
                <w:szCs w:val="20"/>
                <w:lang w:val="es-419"/>
              </w:rPr>
              <w:lastRenderedPageBreak/>
              <w:t>Garantiza la presentación oportuna de informes de fin de año de los saldos de efectivo a BMS/OFRM/Tesorería:</w:t>
            </w:r>
            <w:r w:rsidRPr="3937432E">
              <w:rPr>
                <w:sz w:val="20"/>
                <w:szCs w:val="20"/>
                <w:lang w:val="es-419"/>
              </w:rPr>
              <w:t xml:space="preserve"> </w:t>
            </w:r>
            <w:r w:rsidRPr="00756410">
              <w:rPr>
                <w:sz w:val="20"/>
                <w:szCs w:val="20"/>
                <w:lang w:val="es-419"/>
              </w:rPr>
              <w:t>Los saldos de efectivo mantenidos deben enviarse anualmente como parte del procedimiento de cierre de fin de año a BMS/OFRM/Tesorería con copia al director de la oficina respectiva. Además del saldo de efectivo retenido, el Jefe de la Oficina o Unidad puede informar sobre cualquier otro elemento de importancia o elementos que puedan representar un riesgo para la organización en cualquier momento, según el criterio del Jefe de la Oficina o la Unidad.</w:t>
            </w:r>
          </w:p>
        </w:tc>
      </w:tr>
      <w:tr w:rsidR="00C27124" w:rsidRPr="005D2478" w14:paraId="1AAEFC97" w14:textId="77777777" w:rsidTr="48224A22">
        <w:trPr>
          <w:trHeight w:val="20"/>
        </w:trPr>
        <w:tc>
          <w:tcPr>
            <w:tcW w:w="9900" w:type="dxa"/>
            <w:shd w:val="clear" w:color="auto" w:fill="000000" w:themeFill="text1"/>
          </w:tcPr>
          <w:p w14:paraId="1D2B2173"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Gestión de activos fijos </w:t>
            </w:r>
          </w:p>
        </w:tc>
      </w:tr>
      <w:tr w:rsidR="00FC6582" w:rsidRPr="00773863" w14:paraId="15ADE4CE" w14:textId="77777777" w:rsidTr="48224A22">
        <w:trPr>
          <w:trHeight w:val="20"/>
        </w:trPr>
        <w:tc>
          <w:tcPr>
            <w:tcW w:w="9900" w:type="dxa"/>
          </w:tcPr>
          <w:p w14:paraId="64B96BB6" w14:textId="652B0647" w:rsidR="00011B58" w:rsidRPr="00DB1CA7" w:rsidRDefault="00011B58" w:rsidP="00756410">
            <w:pPr>
              <w:pStyle w:val="ListParagraph"/>
              <w:widowControl w:val="0"/>
              <w:numPr>
                <w:ilvl w:val="0"/>
                <w:numId w:val="55"/>
              </w:numPr>
              <w:autoSpaceDE w:val="0"/>
              <w:autoSpaceDN w:val="0"/>
              <w:spacing w:after="0" w:line="240" w:lineRule="auto"/>
              <w:ind w:left="360"/>
              <w:jc w:val="both"/>
              <w:rPr>
                <w:b/>
                <w:bCs/>
                <w:sz w:val="20"/>
                <w:szCs w:val="20"/>
                <w:lang w:val="es-419"/>
              </w:rPr>
            </w:pPr>
            <w:r w:rsidRPr="3937432E">
              <w:rPr>
                <w:b/>
                <w:sz w:val="20"/>
                <w:szCs w:val="20"/>
                <w:lang w:val="es-419"/>
              </w:rPr>
              <w:t>Asigna funciones</w:t>
            </w:r>
            <w:r w:rsidR="60174D96" w:rsidRPr="3937432E">
              <w:rPr>
                <w:b/>
                <w:bCs/>
                <w:sz w:val="20"/>
                <w:szCs w:val="20"/>
                <w:lang w:val="es-419"/>
              </w:rPr>
              <w:t xml:space="preserve"> </w:t>
            </w:r>
            <w:r w:rsidR="32EEEEB4" w:rsidRPr="3937432E">
              <w:rPr>
                <w:b/>
                <w:bCs/>
                <w:sz w:val="20"/>
                <w:szCs w:val="20"/>
                <w:lang w:val="es-419"/>
              </w:rPr>
              <w:t>segregadas</w:t>
            </w:r>
            <w:r w:rsidRPr="3937432E">
              <w:rPr>
                <w:b/>
                <w:sz w:val="20"/>
                <w:szCs w:val="20"/>
                <w:lang w:val="es-419"/>
              </w:rPr>
              <w:t xml:space="preserve"> de gestión de activos:</w:t>
            </w:r>
            <w:r w:rsidRPr="3937432E">
              <w:rPr>
                <w:sz w:val="20"/>
                <w:szCs w:val="20"/>
                <w:lang w:val="es-419"/>
              </w:rPr>
              <w:t xml:space="preserve"> El Jefe de Oficina/Unidad debe designar a personas distintas para las siguientes funciones: </w:t>
            </w:r>
            <w:r w:rsidR="006008E8">
              <w:rPr>
                <w:sz w:val="20"/>
                <w:szCs w:val="20"/>
                <w:lang w:val="es-419"/>
              </w:rPr>
              <w:t>Administrador</w:t>
            </w:r>
            <w:r w:rsidRPr="3937432E">
              <w:rPr>
                <w:sz w:val="20"/>
                <w:szCs w:val="20"/>
                <w:lang w:val="es-419"/>
              </w:rPr>
              <w:t xml:space="preserve"> de Activos</w:t>
            </w:r>
            <w:r w:rsidR="006571B1">
              <w:rPr>
                <w:sz w:val="20"/>
                <w:szCs w:val="20"/>
                <w:lang w:val="es-419"/>
              </w:rPr>
              <w:t xml:space="preserve"> (</w:t>
            </w:r>
            <w:r w:rsidR="006571B1" w:rsidRPr="00756410">
              <w:rPr>
                <w:i/>
                <w:iCs/>
                <w:sz w:val="20"/>
                <w:szCs w:val="20"/>
                <w:lang w:val="es-419"/>
              </w:rPr>
              <w:t>Asset Manager</w:t>
            </w:r>
            <w:r w:rsidR="006571B1">
              <w:rPr>
                <w:sz w:val="20"/>
                <w:szCs w:val="20"/>
                <w:lang w:val="es-419"/>
              </w:rPr>
              <w:t>)</w:t>
            </w:r>
            <w:r w:rsidRPr="3937432E">
              <w:rPr>
                <w:sz w:val="20"/>
                <w:szCs w:val="20"/>
                <w:lang w:val="es-419"/>
              </w:rPr>
              <w:t xml:space="preserve">, Punto Focal de Activos </w:t>
            </w:r>
            <w:r w:rsidR="006571B1">
              <w:rPr>
                <w:sz w:val="20"/>
                <w:szCs w:val="20"/>
                <w:lang w:val="es-419"/>
              </w:rPr>
              <w:t>(</w:t>
            </w:r>
            <w:r w:rsidR="006571B1" w:rsidRPr="00756410">
              <w:rPr>
                <w:i/>
                <w:iCs/>
                <w:sz w:val="20"/>
                <w:szCs w:val="20"/>
                <w:lang w:val="es-419"/>
              </w:rPr>
              <w:t>Asset Focal Point</w:t>
            </w:r>
            <w:r w:rsidR="006571B1">
              <w:rPr>
                <w:sz w:val="20"/>
                <w:szCs w:val="20"/>
                <w:lang w:val="es-419"/>
              </w:rPr>
              <w:t xml:space="preserve">) </w:t>
            </w:r>
            <w:r w:rsidRPr="3937432E">
              <w:rPr>
                <w:sz w:val="20"/>
                <w:szCs w:val="20"/>
                <w:lang w:val="es-419"/>
              </w:rPr>
              <w:t>y Coordinador de Verificación Física de Activos</w:t>
            </w:r>
            <w:r w:rsidR="009910BF">
              <w:rPr>
                <w:sz w:val="20"/>
                <w:szCs w:val="20"/>
                <w:lang w:val="es-419"/>
              </w:rPr>
              <w:t xml:space="preserve"> Fijos</w:t>
            </w:r>
            <w:r w:rsidR="006571B1">
              <w:rPr>
                <w:sz w:val="20"/>
                <w:szCs w:val="20"/>
                <w:lang w:val="es-419"/>
              </w:rPr>
              <w:t xml:space="preserve"> (</w:t>
            </w:r>
            <w:r w:rsidR="00E51355" w:rsidRPr="00756410">
              <w:rPr>
                <w:i/>
                <w:iCs/>
                <w:sz w:val="20"/>
                <w:szCs w:val="20"/>
                <w:lang w:val="es-ES"/>
              </w:rPr>
              <w:t>Asset Physical Verification Coordinator</w:t>
            </w:r>
            <w:r w:rsidR="00E51355" w:rsidRPr="00756410">
              <w:rPr>
                <w:sz w:val="20"/>
                <w:szCs w:val="20"/>
                <w:lang w:val="es-ES"/>
              </w:rPr>
              <w:t>)</w:t>
            </w:r>
            <w:r w:rsidRPr="3937432E">
              <w:rPr>
                <w:sz w:val="20"/>
                <w:szCs w:val="20"/>
                <w:lang w:val="es-419"/>
              </w:rPr>
              <w:t>.</w:t>
            </w:r>
            <w:r w:rsidR="00E51355">
              <w:rPr>
                <w:sz w:val="20"/>
                <w:szCs w:val="20"/>
                <w:lang w:val="es-419"/>
              </w:rPr>
              <w:t xml:space="preserve"> </w:t>
            </w:r>
            <w:r w:rsidRPr="3937432E">
              <w:rPr>
                <w:sz w:val="20"/>
                <w:szCs w:val="20"/>
                <w:lang w:val="es-419"/>
              </w:rPr>
              <w:t xml:space="preserve">El Jefe de Oficina/Unidad también debe designar a un </w:t>
            </w:r>
            <w:r w:rsidR="200A252E" w:rsidRPr="3937432E">
              <w:rPr>
                <w:sz w:val="20"/>
                <w:szCs w:val="20"/>
                <w:lang w:val="es-419"/>
              </w:rPr>
              <w:t xml:space="preserve">funcionario </w:t>
            </w:r>
            <w:r w:rsidRPr="3937432E">
              <w:rPr>
                <w:sz w:val="20"/>
                <w:szCs w:val="20"/>
                <w:lang w:val="es-419"/>
              </w:rPr>
              <w:t xml:space="preserve">para iniciar las transacciones de activos (generalmente </w:t>
            </w:r>
            <w:r w:rsidR="001408AA">
              <w:rPr>
                <w:sz w:val="20"/>
                <w:szCs w:val="20"/>
                <w:lang w:val="es-419"/>
              </w:rPr>
              <w:t xml:space="preserve">el </w:t>
            </w:r>
            <w:r w:rsidRPr="3937432E">
              <w:rPr>
                <w:sz w:val="20"/>
                <w:szCs w:val="20"/>
                <w:lang w:val="es-419"/>
              </w:rPr>
              <w:t xml:space="preserve">Punto Focal de Activos) y a un </w:t>
            </w:r>
            <w:r w:rsidR="3330BFD6" w:rsidRPr="3937432E">
              <w:rPr>
                <w:sz w:val="20"/>
                <w:szCs w:val="20"/>
                <w:lang w:val="es-419"/>
              </w:rPr>
              <w:t>funcionario</w:t>
            </w:r>
            <w:r w:rsidRPr="3937432E">
              <w:rPr>
                <w:sz w:val="20"/>
                <w:szCs w:val="20"/>
                <w:lang w:val="es-419"/>
              </w:rPr>
              <w:t xml:space="preserve"> para autorizar transacciones (generalmente </w:t>
            </w:r>
            <w:r w:rsidR="001408AA">
              <w:rPr>
                <w:sz w:val="20"/>
                <w:szCs w:val="20"/>
                <w:lang w:val="es-419"/>
              </w:rPr>
              <w:t xml:space="preserve">el </w:t>
            </w:r>
            <w:r w:rsidR="009910BF">
              <w:rPr>
                <w:sz w:val="20"/>
                <w:szCs w:val="20"/>
                <w:lang w:val="es-419"/>
              </w:rPr>
              <w:t>Administrador</w:t>
            </w:r>
            <w:r w:rsidRPr="3937432E">
              <w:rPr>
                <w:sz w:val="20"/>
                <w:szCs w:val="20"/>
                <w:lang w:val="es-419"/>
              </w:rPr>
              <w:t xml:space="preserve"> de Activos) para su posterior registro por BMS/GSSC en Quantum. </w:t>
            </w:r>
          </w:p>
        </w:tc>
      </w:tr>
      <w:tr w:rsidR="00FC6582" w:rsidRPr="00773863" w14:paraId="38ABAE81" w14:textId="77777777" w:rsidTr="48224A22">
        <w:trPr>
          <w:trHeight w:val="20"/>
        </w:trPr>
        <w:tc>
          <w:tcPr>
            <w:tcW w:w="9900" w:type="dxa"/>
          </w:tcPr>
          <w:p w14:paraId="38661523" w14:textId="77777777" w:rsidR="00106F90" w:rsidRPr="00DB1CA7" w:rsidRDefault="00106F90" w:rsidP="00756410">
            <w:pPr>
              <w:pStyle w:val="ListParagraph"/>
              <w:widowControl w:val="0"/>
              <w:numPr>
                <w:ilvl w:val="0"/>
                <w:numId w:val="55"/>
              </w:numPr>
              <w:autoSpaceDE w:val="0"/>
              <w:autoSpaceDN w:val="0"/>
              <w:spacing w:after="0" w:line="240" w:lineRule="auto"/>
              <w:ind w:left="360"/>
              <w:jc w:val="both"/>
              <w:rPr>
                <w:b/>
                <w:bCs/>
                <w:sz w:val="20"/>
                <w:szCs w:val="20"/>
                <w:lang w:val="es-419"/>
              </w:rPr>
            </w:pPr>
            <w:r w:rsidRPr="3937432E">
              <w:rPr>
                <w:b/>
                <w:sz w:val="20"/>
                <w:szCs w:val="20"/>
                <w:lang w:val="es-419"/>
              </w:rPr>
              <w:t>Garantiza que la verificación de activos se lleve a cabo dos veces al año:</w:t>
            </w:r>
            <w:r w:rsidRPr="3937432E">
              <w:rPr>
                <w:sz w:val="20"/>
                <w:szCs w:val="20"/>
                <w:lang w:val="es-419"/>
              </w:rPr>
              <w:t xml:space="preserve"> Al final del ejercicio de verificación de activos, el Jefe de Oficina/Unidad firma personalmente el informe detallado de gestión de activos de Quantum en servicio, el informe de adquisición, el informe de enajenación, el informe de ajuste y el informe resumido para certificar que todos son precisos, que los elementos de estos informes coinciden con el recuento físico de los elementos en las instalaciones de la oficina/unidad,  y que el informe de enajenación esté respaldado por las actas del CAPC o ACP y aprobado por el Jefe de Oficina/Unidad o el CPO según sea necesario. Los informes deben mantenerse y archivarse de forma segura como prueba de revisión.</w:t>
            </w:r>
          </w:p>
        </w:tc>
      </w:tr>
      <w:tr w:rsidR="00FC6582" w:rsidRPr="00773863" w14:paraId="117778E5" w14:textId="77777777" w:rsidTr="48224A22">
        <w:trPr>
          <w:trHeight w:val="20"/>
        </w:trPr>
        <w:tc>
          <w:tcPr>
            <w:tcW w:w="9900" w:type="dxa"/>
          </w:tcPr>
          <w:p w14:paraId="4D109D83" w14:textId="27A1F28F" w:rsidR="00106F90" w:rsidRPr="00756410" w:rsidRDefault="00106F90" w:rsidP="00756410">
            <w:pPr>
              <w:pStyle w:val="ListParagraph"/>
              <w:widowControl w:val="0"/>
              <w:numPr>
                <w:ilvl w:val="0"/>
                <w:numId w:val="55"/>
              </w:numPr>
              <w:autoSpaceDE w:val="0"/>
              <w:autoSpaceDN w:val="0"/>
              <w:spacing w:after="0" w:line="240" w:lineRule="auto"/>
              <w:ind w:left="360"/>
              <w:jc w:val="both"/>
              <w:rPr>
                <w:sz w:val="20"/>
                <w:szCs w:val="20"/>
                <w:lang w:val="es-419"/>
              </w:rPr>
            </w:pPr>
            <w:r w:rsidRPr="3937432E">
              <w:rPr>
                <w:b/>
                <w:sz w:val="20"/>
                <w:szCs w:val="20"/>
                <w:lang w:val="es-419"/>
              </w:rPr>
              <w:t>Asegura que se tomen medidas para abordar las discrepancias de activos identificadas durante las verificaciones:</w:t>
            </w:r>
            <w:r w:rsidRPr="3937432E">
              <w:rPr>
                <w:sz w:val="20"/>
                <w:szCs w:val="20"/>
                <w:lang w:val="es-419"/>
              </w:rPr>
              <w:t xml:space="preserve"> El Jefe de Oficina/Unidad se asegura: (i) que los elementos que no se pueden ubicar se marquen como excepciones, y que se documenten las discrepancias en los activos, el número de elemento del activo, la descripción, las ubicaciones y la conciliación realizada; ii) que se adopten medidas para llevar a cabo una revisión y recomendaciones de cancelación con la justificación adecuada a través de</w:t>
            </w:r>
            <w:r w:rsidR="00B44E02">
              <w:rPr>
                <w:sz w:val="20"/>
                <w:szCs w:val="20"/>
                <w:lang w:val="es-419"/>
              </w:rPr>
              <w:t>l CAP</w:t>
            </w:r>
            <w:r w:rsidRPr="3937432E">
              <w:rPr>
                <w:sz w:val="20"/>
                <w:szCs w:val="20"/>
                <w:lang w:val="es-419"/>
              </w:rPr>
              <w:t xml:space="preserve">, el RACP o el ACP; iii) apruebe la cancelación cuando sea competencia del Jefe de Oficina/Unidad o se asegure de que el CPO haya aprobado la cancelación (véase </w:t>
            </w:r>
            <w:hyperlink r:id="rId172">
              <w:r w:rsidRPr="00756410">
                <w:rPr>
                  <w:rStyle w:val="Hyperlink"/>
                  <w:sz w:val="20"/>
                  <w:szCs w:val="20"/>
                  <w:lang w:val="es-419"/>
                </w:rPr>
                <w:t>Enajenación y cancelación de activos de POPP</w:t>
              </w:r>
            </w:hyperlink>
            <w:r w:rsidRPr="00756410">
              <w:rPr>
                <w:sz w:val="20"/>
                <w:szCs w:val="20"/>
                <w:lang w:val="es-419"/>
              </w:rPr>
              <w:t>); y iv) comunica el paso a pérdidas  aprobado al BMS/GSSC para su inscripción en Quantum.</w:t>
            </w:r>
          </w:p>
        </w:tc>
      </w:tr>
      <w:tr w:rsidR="00FC6582" w:rsidRPr="00773863" w14:paraId="5FBA8285" w14:textId="77777777" w:rsidTr="48224A22">
        <w:trPr>
          <w:trHeight w:val="20"/>
        </w:trPr>
        <w:tc>
          <w:tcPr>
            <w:tcW w:w="9900" w:type="dxa"/>
          </w:tcPr>
          <w:p w14:paraId="67270A14" w14:textId="67725436" w:rsidR="00106F90" w:rsidRPr="00756410" w:rsidRDefault="00106F90">
            <w:pPr>
              <w:pStyle w:val="ListParagraph"/>
              <w:widowControl w:val="0"/>
              <w:numPr>
                <w:ilvl w:val="0"/>
                <w:numId w:val="55"/>
              </w:numPr>
              <w:autoSpaceDE w:val="0"/>
              <w:autoSpaceDN w:val="0"/>
              <w:spacing w:after="0" w:line="240" w:lineRule="auto"/>
              <w:ind w:left="360"/>
              <w:rPr>
                <w:sz w:val="20"/>
                <w:szCs w:val="20"/>
                <w:lang w:val="es-419"/>
              </w:rPr>
            </w:pPr>
            <w:r w:rsidRPr="3937432E">
              <w:rPr>
                <w:b/>
                <w:sz w:val="20"/>
                <w:szCs w:val="20"/>
                <w:lang w:val="es-419"/>
              </w:rPr>
              <w:t xml:space="preserve">Autoriza la enajenación y cancelación de activos dentro de los límites asignados por </w:t>
            </w:r>
            <w:r w:rsidR="62D1B805" w:rsidRPr="3937432E">
              <w:rPr>
                <w:b/>
                <w:bCs/>
                <w:sz w:val="20"/>
                <w:szCs w:val="20"/>
                <w:lang w:val="es-419"/>
              </w:rPr>
              <w:t xml:space="preserve">el Jefe de Adquisiciones </w:t>
            </w:r>
            <w:r w:rsidR="43946C26" w:rsidRPr="3937432E">
              <w:rPr>
                <w:b/>
                <w:bCs/>
                <w:sz w:val="20"/>
                <w:szCs w:val="20"/>
                <w:lang w:val="es-419"/>
              </w:rPr>
              <w:t>(</w:t>
            </w:r>
            <w:r w:rsidRPr="3937432E">
              <w:rPr>
                <w:b/>
                <w:sz w:val="20"/>
                <w:szCs w:val="20"/>
                <w:lang w:val="es-419"/>
              </w:rPr>
              <w:t>CPO</w:t>
            </w:r>
            <w:r w:rsidR="10B6DF47" w:rsidRPr="3937432E">
              <w:rPr>
                <w:b/>
                <w:bCs/>
                <w:sz w:val="20"/>
                <w:szCs w:val="20"/>
                <w:lang w:val="es-419"/>
              </w:rPr>
              <w:t>)</w:t>
            </w:r>
            <w:r w:rsidR="37F538B6" w:rsidRPr="3937432E">
              <w:rPr>
                <w:b/>
                <w:bCs/>
                <w:sz w:val="20"/>
                <w:szCs w:val="20"/>
                <w:lang w:val="es-419"/>
              </w:rPr>
              <w:t>:</w:t>
            </w:r>
            <w:r w:rsidRPr="3937432E">
              <w:rPr>
                <w:b/>
                <w:sz w:val="20"/>
                <w:szCs w:val="20"/>
                <w:lang w:val="es-419"/>
              </w:rPr>
              <w:t xml:space="preserve"> </w:t>
            </w:r>
            <w:r w:rsidRPr="3937432E">
              <w:rPr>
                <w:sz w:val="20"/>
                <w:szCs w:val="20"/>
                <w:lang w:val="es-419"/>
              </w:rPr>
              <w:t xml:space="preserve">de acuerdo con </w:t>
            </w:r>
            <w:r w:rsidR="0086023F">
              <w:rPr>
                <w:sz w:val="20"/>
                <w:szCs w:val="20"/>
                <w:lang w:val="es-419"/>
              </w:rPr>
              <w:t>l</w:t>
            </w:r>
            <w:r w:rsidR="0086023F" w:rsidRPr="00756410">
              <w:rPr>
                <w:lang w:val="es-ES"/>
              </w:rPr>
              <w:t>as políticas de</w:t>
            </w:r>
            <w:r w:rsidR="0086023F">
              <w:rPr>
                <w:sz w:val="20"/>
                <w:szCs w:val="20"/>
                <w:lang w:val="es-419"/>
              </w:rPr>
              <w:t xml:space="preserve"> </w:t>
            </w:r>
            <w:hyperlink r:id="rId173">
              <w:r w:rsidR="00976C53">
                <w:rPr>
                  <w:rStyle w:val="Hyperlink"/>
                  <w:sz w:val="20"/>
                  <w:szCs w:val="20"/>
                  <w:lang w:val="es-419"/>
                </w:rPr>
                <w:t>Enajenación y</w:t>
              </w:r>
              <w:r w:rsidR="0086023F">
                <w:rPr>
                  <w:rStyle w:val="Hyperlink"/>
                  <w:sz w:val="20"/>
                  <w:szCs w:val="20"/>
                  <w:lang w:val="es-419"/>
                </w:rPr>
                <w:t xml:space="preserve"> </w:t>
              </w:r>
              <w:r w:rsidR="00757D90">
                <w:rPr>
                  <w:rStyle w:val="Hyperlink"/>
                  <w:sz w:val="20"/>
                  <w:szCs w:val="20"/>
                  <w:lang w:val="es-419"/>
                </w:rPr>
                <w:t>cancelación</w:t>
              </w:r>
              <w:r w:rsidR="0086023F">
                <w:rPr>
                  <w:rStyle w:val="Hyperlink"/>
                  <w:sz w:val="20"/>
                  <w:szCs w:val="20"/>
                  <w:lang w:val="es-419"/>
                </w:rPr>
                <w:t xml:space="preserve"> de activos</w:t>
              </w:r>
            </w:hyperlink>
            <w:r w:rsidR="0086023F" w:rsidRPr="00756410">
              <w:rPr>
                <w:lang w:val="es-ES"/>
              </w:rPr>
              <w:t xml:space="preserve"> </w:t>
            </w:r>
            <w:r w:rsidRPr="00756410">
              <w:rPr>
                <w:sz w:val="20"/>
                <w:szCs w:val="20"/>
                <w:lang w:val="es-419"/>
              </w:rPr>
              <w:t xml:space="preserve">y </w:t>
            </w:r>
            <w:hyperlink r:id="rId174">
              <w:r w:rsidR="001E0915">
                <w:rPr>
                  <w:rStyle w:val="Hyperlink"/>
                  <w:sz w:val="20"/>
                  <w:szCs w:val="20"/>
                  <w:lang w:val="es-419"/>
                </w:rPr>
                <w:t>Cuentas por Cobrar</w:t>
              </w:r>
            </w:hyperlink>
            <w:r w:rsidRPr="00756410">
              <w:rPr>
                <w:rStyle w:val="Hyperlink"/>
                <w:sz w:val="20"/>
                <w:szCs w:val="20"/>
                <w:lang w:val="es-419"/>
              </w:rPr>
              <w:t>.</w:t>
            </w:r>
          </w:p>
        </w:tc>
      </w:tr>
      <w:tr w:rsidR="00FC6582" w:rsidRPr="00773863" w14:paraId="66C2BF33" w14:textId="77777777" w:rsidTr="48224A22">
        <w:trPr>
          <w:trHeight w:val="20"/>
        </w:trPr>
        <w:tc>
          <w:tcPr>
            <w:tcW w:w="9900" w:type="dxa"/>
          </w:tcPr>
          <w:p w14:paraId="31821740" w14:textId="79DB7D58" w:rsidR="00106F90" w:rsidRPr="00756410" w:rsidRDefault="00106F90" w:rsidP="00756410">
            <w:pPr>
              <w:pStyle w:val="ListParagraph"/>
              <w:widowControl w:val="0"/>
              <w:numPr>
                <w:ilvl w:val="0"/>
                <w:numId w:val="55"/>
              </w:numPr>
              <w:autoSpaceDE w:val="0"/>
              <w:autoSpaceDN w:val="0"/>
              <w:spacing w:after="0" w:line="240" w:lineRule="auto"/>
              <w:ind w:left="360"/>
              <w:jc w:val="both"/>
              <w:rPr>
                <w:b/>
                <w:sz w:val="20"/>
                <w:szCs w:val="20"/>
                <w:lang w:val="es-ES"/>
              </w:rPr>
            </w:pPr>
            <w:r w:rsidRPr="3937432E">
              <w:rPr>
                <w:b/>
                <w:sz w:val="20"/>
                <w:szCs w:val="20"/>
                <w:lang w:val="es-419"/>
              </w:rPr>
              <w:t>Certifica la integridad y exactitud de los activos de la oficina/unidad:</w:t>
            </w:r>
            <w:r w:rsidRPr="3937432E">
              <w:rPr>
                <w:sz w:val="20"/>
                <w:szCs w:val="20"/>
                <w:lang w:val="es-419"/>
              </w:rPr>
              <w:t xml:space="preserve"> tal como se </w:t>
            </w:r>
            <w:r w:rsidR="016BE09F" w:rsidRPr="3937432E">
              <w:rPr>
                <w:sz w:val="20"/>
                <w:szCs w:val="20"/>
                <w:lang w:val="es-419"/>
              </w:rPr>
              <w:t xml:space="preserve">ingresa </w:t>
            </w:r>
            <w:r w:rsidRPr="3937432E">
              <w:rPr>
                <w:sz w:val="20"/>
                <w:szCs w:val="20"/>
                <w:lang w:val="es-419"/>
              </w:rPr>
              <w:t>en el registro de activos basado en Quantum, incluida la certificación personal de la carta de certificación de activos de mitad de año (30 de junio) y anual (31 de diciembre). Esta carta incluye la certificación de los activos utilizados y controlados por el PNUD, como equipo y mobiliario, arrendamientos de edificios, arrendamientos de equipo, terrenos y edificios propiedad del PNUD y mejoras en los arrendamientos.</w:t>
            </w:r>
          </w:p>
        </w:tc>
      </w:tr>
      <w:tr w:rsidR="00B13F42" w:rsidRPr="00773863" w14:paraId="73DF6375" w14:textId="77777777" w:rsidTr="48224A22">
        <w:trPr>
          <w:trHeight w:val="20"/>
        </w:trPr>
        <w:tc>
          <w:tcPr>
            <w:tcW w:w="9900" w:type="dxa"/>
            <w:shd w:val="clear" w:color="auto" w:fill="000000" w:themeFill="text1"/>
          </w:tcPr>
          <w:p w14:paraId="4B2F626A" w14:textId="379BE20E"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t>Gestión de cuentas por cobrar del personal</w:t>
            </w:r>
          </w:p>
        </w:tc>
      </w:tr>
      <w:tr w:rsidR="00FC6582" w:rsidRPr="00773863" w14:paraId="6CEA8448" w14:textId="77777777" w:rsidTr="48224A22">
        <w:trPr>
          <w:trHeight w:val="20"/>
        </w:trPr>
        <w:tc>
          <w:tcPr>
            <w:tcW w:w="9900" w:type="dxa"/>
          </w:tcPr>
          <w:p w14:paraId="52283E4A" w14:textId="7A1FCA5C" w:rsidR="00106F90" w:rsidRPr="00756410" w:rsidRDefault="00106F90" w:rsidP="00756410">
            <w:pPr>
              <w:pStyle w:val="ListParagraph"/>
              <w:widowControl w:val="0"/>
              <w:numPr>
                <w:ilvl w:val="0"/>
                <w:numId w:val="98"/>
              </w:numPr>
              <w:autoSpaceDE w:val="0"/>
              <w:autoSpaceDN w:val="0"/>
              <w:spacing w:after="0" w:line="240" w:lineRule="auto"/>
              <w:jc w:val="both"/>
              <w:rPr>
                <w:b/>
                <w:sz w:val="20"/>
                <w:szCs w:val="20"/>
                <w:lang w:val="es-419"/>
              </w:rPr>
            </w:pPr>
            <w:r w:rsidRPr="00756410">
              <w:rPr>
                <w:b/>
                <w:sz w:val="20"/>
                <w:szCs w:val="20"/>
                <w:lang w:val="es-419"/>
              </w:rPr>
              <w:t>Aprueba las cuentas por cobrar del personal:</w:t>
            </w:r>
            <w:r w:rsidRPr="00756410">
              <w:rPr>
                <w:sz w:val="20"/>
                <w:szCs w:val="20"/>
                <w:lang w:val="es-419"/>
              </w:rPr>
              <w:t xml:space="preserve"> incluidos los anticipos salariales de conformidad con </w:t>
            </w:r>
            <w:hyperlink r:id="rId175">
              <w:r w:rsidRPr="00756410">
                <w:rPr>
                  <w:rStyle w:val="Hyperlink"/>
                  <w:sz w:val="20"/>
                  <w:szCs w:val="20"/>
                  <w:lang w:val="es-419"/>
                </w:rPr>
                <w:t>los anticipos salariales</w:t>
              </w:r>
            </w:hyperlink>
            <w:r w:rsidRPr="00756410">
              <w:rPr>
                <w:sz w:val="20"/>
                <w:szCs w:val="20"/>
                <w:lang w:val="es-419"/>
              </w:rPr>
              <w:t xml:space="preserve"> POPP. Puede delegar autoridad para aprobar anticipos salariales a</w:t>
            </w:r>
            <w:r w:rsidR="004E17C6">
              <w:rPr>
                <w:sz w:val="20"/>
                <w:szCs w:val="20"/>
                <w:lang w:val="es-419"/>
              </w:rPr>
              <w:t>l</w:t>
            </w:r>
            <w:r w:rsidRPr="00756410">
              <w:rPr>
                <w:sz w:val="20"/>
                <w:szCs w:val="20"/>
                <w:lang w:val="es-419"/>
              </w:rPr>
              <w:t xml:space="preserve"> </w:t>
            </w:r>
            <w:r w:rsidR="37F538B6" w:rsidRPr="00756410">
              <w:rPr>
                <w:sz w:val="20"/>
                <w:szCs w:val="20"/>
                <w:lang w:val="es-419"/>
              </w:rPr>
              <w:t>RR</w:t>
            </w:r>
            <w:r w:rsidR="2676930F" w:rsidRPr="3937432E">
              <w:rPr>
                <w:sz w:val="20"/>
                <w:szCs w:val="20"/>
                <w:lang w:val="es-419"/>
              </w:rPr>
              <w:t>A</w:t>
            </w:r>
            <w:r w:rsidR="37F538B6" w:rsidRPr="00756410">
              <w:rPr>
                <w:sz w:val="20"/>
                <w:szCs w:val="20"/>
                <w:lang w:val="es-419"/>
              </w:rPr>
              <w:t xml:space="preserve"> (Op</w:t>
            </w:r>
            <w:r w:rsidR="6DE04B4B" w:rsidRPr="3937432E">
              <w:rPr>
                <w:sz w:val="20"/>
                <w:szCs w:val="20"/>
                <w:lang w:val="es-419"/>
              </w:rPr>
              <w:t>eraciones</w:t>
            </w:r>
            <w:r w:rsidRPr="3937432E">
              <w:rPr>
                <w:sz w:val="20"/>
                <w:szCs w:val="20"/>
                <w:lang w:val="es-419"/>
              </w:rPr>
              <w:t xml:space="preserve">) o </w:t>
            </w:r>
            <w:r w:rsidR="005E2CCC">
              <w:rPr>
                <w:sz w:val="20"/>
                <w:szCs w:val="20"/>
                <w:lang w:val="es-419"/>
              </w:rPr>
              <w:t xml:space="preserve">a una </w:t>
            </w:r>
            <w:r w:rsidRPr="3937432E">
              <w:rPr>
                <w:sz w:val="20"/>
                <w:szCs w:val="20"/>
                <w:lang w:val="es-419"/>
              </w:rPr>
              <w:t xml:space="preserve">función similar. </w:t>
            </w:r>
            <w:r w:rsidRPr="3937432E">
              <w:rPr>
                <w:b/>
                <w:sz w:val="20"/>
                <w:szCs w:val="20"/>
                <w:lang w:val="es-419"/>
              </w:rPr>
              <w:t>Garantiza que</w:t>
            </w:r>
            <w:r w:rsidRPr="3937432E">
              <w:rPr>
                <w:sz w:val="20"/>
                <w:szCs w:val="20"/>
                <w:lang w:val="es-419"/>
              </w:rPr>
              <w:t xml:space="preserve"> </w:t>
            </w:r>
            <w:r w:rsidRPr="00756410">
              <w:rPr>
                <w:b/>
                <w:bCs/>
                <w:sz w:val="20"/>
                <w:szCs w:val="20"/>
                <w:lang w:val="es-419"/>
              </w:rPr>
              <w:t>se establezcan mecanismos adecuados de supervisión</w:t>
            </w:r>
            <w:r w:rsidRPr="3937432E">
              <w:rPr>
                <w:sz w:val="20"/>
                <w:szCs w:val="20"/>
                <w:lang w:val="es-419"/>
              </w:rPr>
              <w:t xml:space="preserve"> y cobro oportunos, incluida la garantía de cobro de las cuentas por cobrar del personal existentes durante los procesos de transición o separación del personal, ya que una vez que el personal ha dejado la organización, el cobro se vuelve significativamente más complejo.</w:t>
            </w:r>
          </w:p>
        </w:tc>
      </w:tr>
      <w:tr w:rsidR="00FC6582" w:rsidRPr="00773863" w14:paraId="00402688" w14:textId="77777777" w:rsidTr="48224A22">
        <w:trPr>
          <w:trHeight w:val="20"/>
        </w:trPr>
        <w:tc>
          <w:tcPr>
            <w:tcW w:w="9900" w:type="dxa"/>
          </w:tcPr>
          <w:p w14:paraId="499F5301" w14:textId="6C0CBD1F" w:rsidR="00106F90" w:rsidRPr="00756410" w:rsidRDefault="00106F90" w:rsidP="00756410">
            <w:pPr>
              <w:pStyle w:val="ListParagraph"/>
              <w:widowControl w:val="0"/>
              <w:numPr>
                <w:ilvl w:val="0"/>
                <w:numId w:val="98"/>
              </w:numPr>
              <w:autoSpaceDE w:val="0"/>
              <w:autoSpaceDN w:val="0"/>
              <w:spacing w:after="0" w:line="240" w:lineRule="auto"/>
              <w:jc w:val="both"/>
              <w:rPr>
                <w:b/>
                <w:sz w:val="20"/>
                <w:szCs w:val="20"/>
                <w:lang w:val="es-ES"/>
              </w:rPr>
            </w:pPr>
            <w:r w:rsidRPr="00756410">
              <w:rPr>
                <w:b/>
                <w:sz w:val="20"/>
                <w:szCs w:val="20"/>
                <w:lang w:val="es-419"/>
              </w:rPr>
              <w:t>Garantiza que el estado de representación anual sea completo</w:t>
            </w:r>
            <w:r w:rsidRPr="00756410">
              <w:rPr>
                <w:sz w:val="20"/>
                <w:szCs w:val="20"/>
                <w:lang w:val="es-419"/>
              </w:rPr>
              <w:t xml:space="preserve"> y preciso en lo que respecta al estado y la capacidad de cobro de las cuentas por cobrar del personal.</w:t>
            </w:r>
          </w:p>
        </w:tc>
      </w:tr>
      <w:tr w:rsidR="00B13F42" w:rsidRPr="00773863" w14:paraId="2CE4E10B" w14:textId="77777777" w:rsidTr="48224A22">
        <w:trPr>
          <w:trHeight w:val="20"/>
        </w:trPr>
        <w:tc>
          <w:tcPr>
            <w:tcW w:w="9900" w:type="dxa"/>
            <w:shd w:val="clear" w:color="auto" w:fill="000000" w:themeFill="text1"/>
          </w:tcPr>
          <w:p w14:paraId="4C85323B" w14:textId="66400170"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t>Gestión de la información financiera</w:t>
            </w:r>
          </w:p>
        </w:tc>
      </w:tr>
      <w:tr w:rsidR="00AE51B4" w:rsidRPr="00773863" w14:paraId="74040C25" w14:textId="77777777" w:rsidTr="48224A22">
        <w:trPr>
          <w:trHeight w:val="20"/>
        </w:trPr>
        <w:tc>
          <w:tcPr>
            <w:tcW w:w="9900" w:type="dxa"/>
          </w:tcPr>
          <w:p w14:paraId="5CE90F7D" w14:textId="77098382" w:rsidR="00CC7A58" w:rsidRPr="00756410" w:rsidRDefault="00CC7A58" w:rsidP="00756410">
            <w:pPr>
              <w:pStyle w:val="ListParagraph"/>
              <w:widowControl w:val="0"/>
              <w:numPr>
                <w:ilvl w:val="0"/>
                <w:numId w:val="56"/>
              </w:numPr>
              <w:autoSpaceDE w:val="0"/>
              <w:autoSpaceDN w:val="0"/>
              <w:spacing w:after="0" w:line="240" w:lineRule="auto"/>
              <w:ind w:left="360"/>
              <w:jc w:val="both"/>
              <w:rPr>
                <w:sz w:val="20"/>
                <w:szCs w:val="20"/>
                <w:lang w:val="es-419"/>
              </w:rPr>
            </w:pPr>
            <w:r w:rsidRPr="3937432E">
              <w:rPr>
                <w:b/>
                <w:sz w:val="20"/>
                <w:szCs w:val="20"/>
                <w:lang w:val="es-419"/>
              </w:rPr>
              <w:t>Certifica la información financiera de fin de año para su uso en los estados financieros y conserva la documentación de respaldo requerida para la información financiera de fin de año:</w:t>
            </w:r>
            <w:r w:rsidRPr="3937432E">
              <w:rPr>
                <w:sz w:val="20"/>
                <w:szCs w:val="20"/>
                <w:lang w:val="es-419"/>
              </w:rPr>
              <w:t xml:space="preserve"> revisa, certifica y envía todas las certificaciones de fin de año a BMS/OFRM/Jefe de Gestión e Informes de Desempeño Financiero (FPMR) de manera oportuna y conserva localmente todos los análisis y conciliaciones que puedan especificarse en las </w:t>
            </w:r>
            <w:hyperlink r:id="rId176">
              <w:r w:rsidRPr="00756410">
                <w:rPr>
                  <w:rStyle w:val="Hyperlink"/>
                  <w:sz w:val="20"/>
                  <w:szCs w:val="20"/>
                  <w:lang w:val="es-419"/>
                </w:rPr>
                <w:t>instrucciones de cierre de fin de año</w:t>
              </w:r>
            </w:hyperlink>
            <w:r w:rsidRPr="00756410">
              <w:rPr>
                <w:sz w:val="20"/>
                <w:szCs w:val="20"/>
                <w:lang w:val="es-419"/>
              </w:rPr>
              <w:t xml:space="preserve"> de BMS/OFRM.</w:t>
            </w:r>
          </w:p>
        </w:tc>
      </w:tr>
      <w:tr w:rsidR="00FC6582" w:rsidRPr="00773863" w14:paraId="51068048" w14:textId="77777777" w:rsidTr="48224A22">
        <w:trPr>
          <w:trHeight w:val="20"/>
        </w:trPr>
        <w:tc>
          <w:tcPr>
            <w:tcW w:w="9900" w:type="dxa"/>
          </w:tcPr>
          <w:p w14:paraId="06AA5EE1" w14:textId="52C0F11C" w:rsidR="00106F90" w:rsidRPr="00756410" w:rsidRDefault="00106F90" w:rsidP="00756410">
            <w:pPr>
              <w:pStyle w:val="ListParagraph"/>
              <w:widowControl w:val="0"/>
              <w:numPr>
                <w:ilvl w:val="0"/>
                <w:numId w:val="56"/>
              </w:numPr>
              <w:autoSpaceDE w:val="0"/>
              <w:autoSpaceDN w:val="0"/>
              <w:spacing w:after="0" w:line="240" w:lineRule="auto"/>
              <w:ind w:left="360"/>
              <w:jc w:val="both"/>
              <w:rPr>
                <w:b/>
                <w:sz w:val="20"/>
                <w:szCs w:val="20"/>
                <w:lang w:val="es-ES"/>
              </w:rPr>
            </w:pPr>
            <w:r w:rsidRPr="3937432E">
              <w:rPr>
                <w:b/>
                <w:sz w:val="20"/>
                <w:szCs w:val="20"/>
                <w:lang w:val="es-419"/>
              </w:rPr>
              <w:t>Completa la Declaración de Representación Anual:</w:t>
            </w:r>
            <w:r w:rsidRPr="3937432E">
              <w:rPr>
                <w:sz w:val="20"/>
                <w:szCs w:val="20"/>
                <w:lang w:val="es-419"/>
              </w:rPr>
              <w:t xml:space="preserve"> de manera oportuna, obteniendo garantías similares de</w:t>
            </w:r>
            <w:r w:rsidRPr="004E17C6">
              <w:rPr>
                <w:sz w:val="20"/>
                <w:szCs w:val="20"/>
                <w:lang w:val="es-419"/>
              </w:rPr>
              <w:t xml:space="preserve">l personal </w:t>
            </w:r>
            <w:r w:rsidRPr="004E17C6">
              <w:rPr>
                <w:sz w:val="20"/>
                <w:szCs w:val="20"/>
                <w:lang w:val="es-419"/>
              </w:rPr>
              <w:lastRenderedPageBreak/>
              <w:t>relevante de la oficina/unidad, identificando así los problemas y acordando los plazos de resolución. El Jefe de Oficina/Unidad es responsable de garantizar que todas las secciones de la Declaración Anual de Representación sean completas y precisas.</w:t>
            </w:r>
          </w:p>
        </w:tc>
      </w:tr>
      <w:tr w:rsidR="00B13F42" w:rsidRPr="00773863" w14:paraId="38F134FA" w14:textId="77777777" w:rsidTr="48224A22">
        <w:trPr>
          <w:trHeight w:val="20"/>
        </w:trPr>
        <w:tc>
          <w:tcPr>
            <w:tcW w:w="9900" w:type="dxa"/>
            <w:shd w:val="clear" w:color="auto" w:fill="000000" w:themeFill="text1"/>
          </w:tcPr>
          <w:p w14:paraId="14987C9C" w14:textId="73244663"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lastRenderedPageBreak/>
              <w:t>Gestión de acceso a la tecnología</w:t>
            </w:r>
          </w:p>
        </w:tc>
      </w:tr>
      <w:tr w:rsidR="00FC6582" w:rsidRPr="00773863" w14:paraId="167E362E" w14:textId="77777777" w:rsidTr="48224A22">
        <w:trPr>
          <w:trHeight w:val="20"/>
        </w:trPr>
        <w:tc>
          <w:tcPr>
            <w:tcW w:w="9900" w:type="dxa"/>
          </w:tcPr>
          <w:p w14:paraId="132F3E85" w14:textId="57FD94CC" w:rsidR="001765C7" w:rsidRPr="00756410" w:rsidRDefault="001765C7" w:rsidP="00756410">
            <w:pPr>
              <w:pStyle w:val="ListParagraph"/>
              <w:widowControl w:val="0"/>
              <w:numPr>
                <w:ilvl w:val="0"/>
                <w:numId w:val="57"/>
              </w:numPr>
              <w:spacing w:after="0" w:line="240" w:lineRule="auto"/>
              <w:jc w:val="both"/>
              <w:rPr>
                <w:sz w:val="20"/>
                <w:szCs w:val="20"/>
                <w:lang w:val="es-419"/>
              </w:rPr>
            </w:pPr>
            <w:r w:rsidRPr="3937432E">
              <w:rPr>
                <w:b/>
                <w:sz w:val="20"/>
                <w:szCs w:val="20"/>
                <w:lang w:val="es-419"/>
              </w:rPr>
              <w:t xml:space="preserve">Aprueba los perfiles de </w:t>
            </w:r>
            <w:r w:rsidR="00D06ABF">
              <w:rPr>
                <w:b/>
                <w:bCs/>
                <w:sz w:val="20"/>
                <w:szCs w:val="20"/>
                <w:lang w:val="es-419"/>
              </w:rPr>
              <w:t>Usuario</w:t>
            </w:r>
            <w:r w:rsidR="64DD3529" w:rsidRPr="3937432E">
              <w:rPr>
                <w:b/>
                <w:bCs/>
                <w:sz w:val="20"/>
                <w:szCs w:val="20"/>
                <w:lang w:val="es-419"/>
              </w:rPr>
              <w:t xml:space="preserve"> </w:t>
            </w:r>
            <w:r w:rsidR="0679C923" w:rsidRPr="3937432E">
              <w:rPr>
                <w:b/>
                <w:bCs/>
                <w:sz w:val="20"/>
                <w:szCs w:val="20"/>
                <w:lang w:val="es-419"/>
              </w:rPr>
              <w:t xml:space="preserve">de </w:t>
            </w:r>
            <w:r w:rsidRPr="3937432E">
              <w:rPr>
                <w:b/>
                <w:sz w:val="20"/>
                <w:szCs w:val="20"/>
                <w:lang w:val="es-419"/>
              </w:rPr>
              <w:t>Quantum y los roles complementarios asignados al personal para garantizar un control efectivo:</w:t>
            </w:r>
            <w:r w:rsidRPr="3937432E">
              <w:rPr>
                <w:sz w:val="20"/>
                <w:szCs w:val="20"/>
                <w:lang w:val="es-419"/>
              </w:rPr>
              <w:t xml:space="preserve"> El Jefe de Oficina/Unidad debe autorizar todas las solicitudes de acceso del personal a Quantum. El Jefe de Oficina/Unidad debe designar un punto focal de IDAM que sea responsable de iniciar las solicitudes de perfil de usuario (es decir, nuevo/modificar/eliminar), y un Aprobador de Solicitudes de IDAM (generalmente RR/</w:t>
            </w:r>
            <w:r w:rsidR="0679C923" w:rsidRPr="3937432E">
              <w:rPr>
                <w:sz w:val="20"/>
                <w:szCs w:val="20"/>
                <w:lang w:val="es-419"/>
              </w:rPr>
              <w:t>RR</w:t>
            </w:r>
            <w:r w:rsidR="216EACFE" w:rsidRPr="3937432E">
              <w:rPr>
                <w:sz w:val="20"/>
                <w:szCs w:val="20"/>
                <w:lang w:val="es-419"/>
              </w:rPr>
              <w:t>A</w:t>
            </w:r>
            <w:r w:rsidRPr="3937432E">
              <w:rPr>
                <w:sz w:val="20"/>
                <w:szCs w:val="20"/>
                <w:lang w:val="es-419"/>
              </w:rPr>
              <w:t>/OM o equivalente a la Sede), que apruebe la solicitud de acceso a través del flujo de trabajo electrónico de IDAM. Cuando se necesite una aprobación previa del propietario del proceso global (GBPO) para las asignaciones de roles de alto riesgo (por ejemplo, Administrador de fondos, Anulación de presupuesto), el flujo de trabajo electrónico de IDAM enrutará la solicitud al GPO antes del paso Aprobador de IDAM.</w:t>
            </w:r>
            <w:r w:rsidR="00912272">
              <w:rPr>
                <w:sz w:val="20"/>
                <w:szCs w:val="20"/>
                <w:lang w:val="es-419"/>
              </w:rPr>
              <w:t xml:space="preserve"> </w:t>
            </w:r>
            <w:hyperlink w:anchor="_Annex_3:_Overview" w:history="1">
              <w:r w:rsidRPr="00756410">
                <w:rPr>
                  <w:rStyle w:val="Hyperlink"/>
                  <w:sz w:val="20"/>
                  <w:szCs w:val="20"/>
                  <w:lang w:val="es-419"/>
                </w:rPr>
                <w:t>El Anexo 3</w:t>
              </w:r>
            </w:hyperlink>
            <w:r w:rsidR="00876EB0" w:rsidRPr="00756410">
              <w:rPr>
                <w:sz w:val="20"/>
                <w:szCs w:val="20"/>
                <w:lang w:val="es-419"/>
              </w:rPr>
              <w:t xml:space="preserve"> ilustra las capacidades de proceso otorgadas con la asignación de cada perfil de </w:t>
            </w:r>
            <w:r w:rsidR="00D06ABF">
              <w:rPr>
                <w:sz w:val="20"/>
                <w:szCs w:val="20"/>
                <w:lang w:val="es-419"/>
              </w:rPr>
              <w:t>usuario</w:t>
            </w:r>
            <w:r w:rsidR="00D06ABF" w:rsidRPr="00756410">
              <w:rPr>
                <w:sz w:val="20"/>
                <w:szCs w:val="20"/>
                <w:lang w:val="es-419"/>
              </w:rPr>
              <w:t xml:space="preserve"> </w:t>
            </w:r>
            <w:r w:rsidR="00876EB0" w:rsidRPr="00756410">
              <w:rPr>
                <w:sz w:val="20"/>
                <w:szCs w:val="20"/>
                <w:lang w:val="es-419"/>
              </w:rPr>
              <w:t xml:space="preserve">y rol complementario de IDAM. </w:t>
            </w:r>
          </w:p>
        </w:tc>
      </w:tr>
      <w:tr w:rsidR="00FC6582" w:rsidRPr="00773863" w14:paraId="4848AA24" w14:textId="77777777" w:rsidTr="48224A22">
        <w:trPr>
          <w:trHeight w:val="20"/>
        </w:trPr>
        <w:tc>
          <w:tcPr>
            <w:tcW w:w="9900" w:type="dxa"/>
          </w:tcPr>
          <w:p w14:paraId="723A7934" w14:textId="736E17B8" w:rsidR="00106F90" w:rsidRPr="00756410" w:rsidRDefault="00106F90" w:rsidP="00756410">
            <w:pPr>
              <w:pStyle w:val="ListParagraph"/>
              <w:widowControl w:val="0"/>
              <w:numPr>
                <w:ilvl w:val="0"/>
                <w:numId w:val="57"/>
              </w:numPr>
              <w:autoSpaceDE w:val="0"/>
              <w:autoSpaceDN w:val="0"/>
              <w:spacing w:after="0" w:line="240" w:lineRule="auto"/>
              <w:jc w:val="both"/>
              <w:rPr>
                <w:sz w:val="20"/>
                <w:szCs w:val="20"/>
                <w:lang w:val="es-ES"/>
              </w:rPr>
            </w:pPr>
            <w:r w:rsidRPr="3937432E">
              <w:rPr>
                <w:b/>
                <w:sz w:val="20"/>
                <w:szCs w:val="20"/>
                <w:lang w:val="es-419"/>
              </w:rPr>
              <w:t>Supervisa periódicamente las asignaciones de usuarios de IDAM:</w:t>
            </w:r>
            <w:r w:rsidRPr="3937432E">
              <w:rPr>
                <w:sz w:val="20"/>
                <w:szCs w:val="20"/>
                <w:lang w:val="es-419"/>
              </w:rPr>
              <w:t xml:space="preserve"> El Jefe de Oficina/Unidad debe proporcionar instrucciones por escrito al Punto Focal de IDAM y a los Aprobadores de IDAM que sean </w:t>
            </w:r>
            <w:r w:rsidR="5C3332E3" w:rsidRPr="3937432E">
              <w:rPr>
                <w:sz w:val="20"/>
                <w:szCs w:val="20"/>
                <w:lang w:val="es-419"/>
              </w:rPr>
              <w:t xml:space="preserve">acordes a </w:t>
            </w:r>
            <w:r w:rsidRPr="3937432E">
              <w:rPr>
                <w:sz w:val="20"/>
                <w:szCs w:val="20"/>
                <w:lang w:val="es-419"/>
              </w:rPr>
              <w:t xml:space="preserve"> los requisitos de esta Guía y, mensualmente, revisar la lista de miembros del personal y sus perfiles </w:t>
            </w:r>
            <w:r w:rsidR="00E56C13">
              <w:rPr>
                <w:sz w:val="20"/>
                <w:szCs w:val="20"/>
                <w:lang w:val="es-419"/>
              </w:rPr>
              <w:t>de usuario</w:t>
            </w:r>
            <w:r w:rsidR="00E56C13" w:rsidRPr="3937432E">
              <w:rPr>
                <w:sz w:val="20"/>
                <w:szCs w:val="20"/>
                <w:lang w:val="es-419"/>
              </w:rPr>
              <w:t xml:space="preserve"> </w:t>
            </w:r>
            <w:r w:rsidRPr="3937432E">
              <w:rPr>
                <w:sz w:val="20"/>
                <w:szCs w:val="20"/>
                <w:lang w:val="es-419"/>
              </w:rPr>
              <w:t xml:space="preserve">y </w:t>
            </w:r>
            <w:r w:rsidR="00792F01">
              <w:rPr>
                <w:sz w:val="20"/>
                <w:szCs w:val="20"/>
                <w:lang w:val="es-419"/>
              </w:rPr>
              <w:t>roles</w:t>
            </w:r>
            <w:r w:rsidR="00792F01" w:rsidRPr="3937432E">
              <w:rPr>
                <w:sz w:val="20"/>
                <w:szCs w:val="20"/>
                <w:lang w:val="es-419"/>
              </w:rPr>
              <w:t xml:space="preserve"> </w:t>
            </w:r>
            <w:r w:rsidRPr="3937432E">
              <w:rPr>
                <w:sz w:val="20"/>
                <w:szCs w:val="20"/>
                <w:lang w:val="es-419"/>
              </w:rPr>
              <w:t>complementari</w:t>
            </w:r>
            <w:r w:rsidR="00792F01">
              <w:rPr>
                <w:sz w:val="20"/>
                <w:szCs w:val="20"/>
                <w:lang w:val="es-419"/>
              </w:rPr>
              <w:t>o</w:t>
            </w:r>
            <w:r w:rsidRPr="3937432E">
              <w:rPr>
                <w:sz w:val="20"/>
                <w:szCs w:val="20"/>
                <w:lang w:val="es-419"/>
              </w:rPr>
              <w:t xml:space="preserve">s de IDAM (si corresponde) para asegurarse de que permanezcan actualizados y </w:t>
            </w:r>
            <w:r w:rsidR="08D6236C" w:rsidRPr="3937432E">
              <w:rPr>
                <w:sz w:val="20"/>
                <w:szCs w:val="20"/>
                <w:lang w:val="es-419"/>
              </w:rPr>
              <w:t>adecuados</w:t>
            </w:r>
            <w:r w:rsidRPr="3937432E">
              <w:rPr>
                <w:sz w:val="20"/>
                <w:szCs w:val="20"/>
                <w:lang w:val="es-419"/>
              </w:rPr>
              <w:t>.</w:t>
            </w:r>
          </w:p>
        </w:tc>
      </w:tr>
      <w:tr w:rsidR="00FC6582" w:rsidRPr="00773863" w14:paraId="1FA8C471" w14:textId="77777777" w:rsidTr="48224A22">
        <w:trPr>
          <w:trHeight w:val="20"/>
        </w:trPr>
        <w:tc>
          <w:tcPr>
            <w:tcW w:w="9900" w:type="dxa"/>
          </w:tcPr>
          <w:p w14:paraId="3F45A865" w14:textId="46DF0EC2" w:rsidR="00106F90" w:rsidRPr="00DB1CA7" w:rsidRDefault="3B9B8ED2" w:rsidP="00756410">
            <w:pPr>
              <w:pStyle w:val="ListParagraph"/>
              <w:widowControl w:val="0"/>
              <w:numPr>
                <w:ilvl w:val="0"/>
                <w:numId w:val="57"/>
              </w:numPr>
              <w:autoSpaceDE w:val="0"/>
              <w:autoSpaceDN w:val="0"/>
              <w:spacing w:after="0" w:line="240" w:lineRule="auto"/>
              <w:jc w:val="both"/>
              <w:rPr>
                <w:b/>
                <w:bCs/>
                <w:sz w:val="20"/>
                <w:szCs w:val="20"/>
                <w:lang w:val="es-419"/>
              </w:rPr>
            </w:pPr>
            <w:r w:rsidRPr="3937432E">
              <w:rPr>
                <w:b/>
                <w:bCs/>
                <w:sz w:val="20"/>
                <w:szCs w:val="20"/>
                <w:lang w:val="es-419"/>
              </w:rPr>
              <w:t>Asegura</w:t>
            </w:r>
            <w:r w:rsidR="00106F90" w:rsidRPr="3937432E">
              <w:rPr>
                <w:b/>
                <w:sz w:val="20"/>
                <w:szCs w:val="20"/>
                <w:lang w:val="es-419"/>
              </w:rPr>
              <w:t xml:space="preserve"> </w:t>
            </w:r>
            <w:r w:rsidR="00106F90" w:rsidRPr="00756410">
              <w:rPr>
                <w:b/>
                <w:bCs/>
                <w:sz w:val="20"/>
                <w:szCs w:val="20"/>
                <w:lang w:val="es-419"/>
              </w:rPr>
              <w:t xml:space="preserve"> la aprobación del CFO para las excepciones de ICF:</w:t>
            </w:r>
            <w:r w:rsidR="00106F90" w:rsidRPr="00756410">
              <w:rPr>
                <w:sz w:val="20"/>
                <w:szCs w:val="20"/>
                <w:lang w:val="es-419"/>
              </w:rPr>
              <w:t xml:space="preserve"> presenta solicitudes de excepciones en Finanzas y ciertos roles transaccionales de recursos humanos a través del punto focal de </w:t>
            </w:r>
            <w:r w:rsidR="0E663F86" w:rsidRPr="3937432E">
              <w:rPr>
                <w:sz w:val="20"/>
                <w:szCs w:val="20"/>
                <w:lang w:val="es-419"/>
              </w:rPr>
              <w:t xml:space="preserve">los buros centrales y regionales. </w:t>
            </w:r>
            <w:r w:rsidR="00106F90" w:rsidRPr="00756410">
              <w:rPr>
                <w:sz w:val="20"/>
                <w:szCs w:val="20"/>
                <w:lang w:val="es-419"/>
              </w:rPr>
              <w:t xml:space="preserve"> ICF a 'Finance Business Advisors (</w:t>
            </w:r>
            <w:hyperlink r:id="rId177">
              <w:r w:rsidR="00AB5BD2" w:rsidRPr="00756410">
                <w:rPr>
                  <w:rStyle w:val="Hyperlink"/>
                  <w:sz w:val="20"/>
                  <w:szCs w:val="20"/>
                  <w:lang w:val="es-419"/>
                </w:rPr>
                <w:t>fba.all@undp.org</w:t>
              </w:r>
            </w:hyperlink>
            <w:r w:rsidR="00106F90" w:rsidRPr="3937432E">
              <w:rPr>
                <w:sz w:val="20"/>
                <w:szCs w:val="20"/>
                <w:lang w:val="es-419"/>
              </w:rPr>
              <w:t xml:space="preserve">). En cada solicitud se indicará: i) qué excepción se solicita (separación de funciones, asignación de funciones del personal a personas que no son del personal, etc.); ii) por qué es necesaria la excepción con plazos determinados; y (iii) qué controles/medidas de revisión compensatoria implementará la oficina/unidad (o </w:t>
            </w:r>
            <w:r w:rsidR="0072714E">
              <w:rPr>
                <w:sz w:val="20"/>
                <w:szCs w:val="20"/>
                <w:lang w:val="es-419"/>
              </w:rPr>
              <w:t>buros</w:t>
            </w:r>
            <w:r w:rsidR="00106F90" w:rsidRPr="3937432E">
              <w:rPr>
                <w:sz w:val="20"/>
                <w:szCs w:val="20"/>
                <w:lang w:val="es-419"/>
              </w:rPr>
              <w:t>, según corresponda) durante el período de la excepción; y iv) qué medidas adoptará la oficina o dependencia para eliminar gradualmente la necesidad de la excepción a mediano y largo plaz</w:t>
            </w:r>
            <w:r w:rsidR="00106F90" w:rsidRPr="3937432E">
              <w:rPr>
                <w:lang w:val="es-419"/>
              </w:rPr>
              <w:t>o</w:t>
            </w:r>
            <w:r w:rsidR="00106F90" w:rsidRPr="3937432E">
              <w:rPr>
                <w:sz w:val="20"/>
                <w:szCs w:val="20"/>
                <w:lang w:val="es-419"/>
              </w:rPr>
              <w:t>. La aprobación de la solicitud por parte del CFO (si se concede) debe adjuntarse a la solicitud de acceso a IDAM como documento de respaldo al solicitar el acceso especial en IDAM.</w:t>
            </w:r>
          </w:p>
        </w:tc>
      </w:tr>
      <w:tr w:rsidR="00FC6582" w:rsidRPr="00773863" w14:paraId="7585E325" w14:textId="77777777" w:rsidTr="48224A22">
        <w:trPr>
          <w:trHeight w:val="20"/>
        </w:trPr>
        <w:tc>
          <w:tcPr>
            <w:tcW w:w="9900" w:type="dxa"/>
          </w:tcPr>
          <w:p w14:paraId="0E4E8661" w14:textId="0FE3F820" w:rsidR="00106F90" w:rsidRPr="00756410" w:rsidRDefault="00106F90" w:rsidP="00756410">
            <w:pPr>
              <w:pStyle w:val="ListParagraph"/>
              <w:widowControl w:val="0"/>
              <w:numPr>
                <w:ilvl w:val="0"/>
                <w:numId w:val="57"/>
              </w:numPr>
              <w:autoSpaceDE w:val="0"/>
              <w:autoSpaceDN w:val="0"/>
              <w:spacing w:after="0" w:line="240" w:lineRule="auto"/>
              <w:jc w:val="both"/>
              <w:rPr>
                <w:b/>
                <w:sz w:val="20"/>
                <w:szCs w:val="20"/>
                <w:lang w:val="es-419"/>
              </w:rPr>
            </w:pPr>
            <w:r w:rsidRPr="3937432E">
              <w:rPr>
                <w:b/>
                <w:sz w:val="20"/>
                <w:szCs w:val="20"/>
                <w:lang w:val="es-419"/>
              </w:rPr>
              <w:t xml:space="preserve">Garantiza que las transacciones de emergencia sigan esta Guía: </w:t>
            </w:r>
            <w:r w:rsidRPr="3937432E">
              <w:rPr>
                <w:sz w:val="20"/>
                <w:szCs w:val="20"/>
                <w:lang w:val="es-419"/>
              </w:rPr>
              <w:t>incluida la implementación de requisitos de segregación de funciones y roles exclusivos del personal, como se establece en las secciones 2.1 y 2.3 de esta Guía.</w:t>
            </w:r>
          </w:p>
        </w:tc>
      </w:tr>
      <w:tr w:rsidR="00B13F42" w:rsidRPr="00773863" w14:paraId="64BCB90B" w14:textId="77777777" w:rsidTr="48224A22">
        <w:trPr>
          <w:trHeight w:val="20"/>
        </w:trPr>
        <w:tc>
          <w:tcPr>
            <w:tcW w:w="9900" w:type="dxa"/>
            <w:shd w:val="clear" w:color="auto" w:fill="000000" w:themeFill="text1"/>
          </w:tcPr>
          <w:p w14:paraId="6B603421" w14:textId="72648B09" w:rsidR="00011B58" w:rsidRPr="00756410" w:rsidRDefault="00011B58" w:rsidP="068E6479">
            <w:pPr>
              <w:pStyle w:val="ListParagraph"/>
              <w:widowControl w:val="0"/>
              <w:numPr>
                <w:ilvl w:val="0"/>
                <w:numId w:val="49"/>
              </w:numPr>
              <w:autoSpaceDE w:val="0"/>
              <w:autoSpaceDN w:val="0"/>
              <w:spacing w:after="0" w:line="240" w:lineRule="auto"/>
              <w:rPr>
                <w:b/>
                <w:sz w:val="20"/>
                <w:szCs w:val="20"/>
                <w:lang w:val="es-ES"/>
              </w:rPr>
            </w:pPr>
            <w:r w:rsidRPr="00756410">
              <w:rPr>
                <w:b/>
                <w:sz w:val="20"/>
                <w:szCs w:val="20"/>
                <w:lang w:val="es-419"/>
              </w:rPr>
              <w:t xml:space="preserve">Gestión de anulación de presupuesto </w:t>
            </w:r>
          </w:p>
        </w:tc>
      </w:tr>
      <w:tr w:rsidR="00FC6582" w:rsidRPr="00773863" w14:paraId="1E6A37AE" w14:textId="77777777" w:rsidTr="48224A22">
        <w:trPr>
          <w:trHeight w:val="20"/>
        </w:trPr>
        <w:tc>
          <w:tcPr>
            <w:tcW w:w="9900" w:type="dxa"/>
          </w:tcPr>
          <w:p w14:paraId="4253A83E" w14:textId="0C7EC8C1" w:rsidR="00CC7A58" w:rsidRPr="00756410" w:rsidRDefault="3A41F621" w:rsidP="00756410">
            <w:pPr>
              <w:pStyle w:val="ListParagraph"/>
              <w:widowControl w:val="0"/>
              <w:numPr>
                <w:ilvl w:val="0"/>
                <w:numId w:val="59"/>
              </w:numPr>
              <w:autoSpaceDE w:val="0"/>
              <w:autoSpaceDN w:val="0"/>
              <w:spacing w:after="0" w:line="240" w:lineRule="auto"/>
              <w:ind w:right="110"/>
              <w:jc w:val="both"/>
              <w:rPr>
                <w:sz w:val="20"/>
                <w:szCs w:val="20"/>
                <w:lang w:val="es-419"/>
              </w:rPr>
            </w:pPr>
            <w:r w:rsidRPr="008B529A">
              <w:rPr>
                <w:rStyle w:val="normaltextrun"/>
                <w:b/>
                <w:bCs/>
                <w:sz w:val="20"/>
                <w:szCs w:val="20"/>
                <w:shd w:val="clear" w:color="auto" w:fill="FFFFFF"/>
                <w:lang w:val="es-419"/>
              </w:rPr>
              <w:t>Prepara</w:t>
            </w:r>
            <w:r w:rsidR="00CC7A58" w:rsidRPr="008B529A">
              <w:rPr>
                <w:rStyle w:val="normaltextrun"/>
                <w:b/>
                <w:sz w:val="20"/>
                <w:szCs w:val="20"/>
                <w:shd w:val="clear" w:color="auto" w:fill="FFFFFF"/>
                <w:lang w:val="es-419"/>
              </w:rPr>
              <w:t xml:space="preserve"> una guía de anulación presupuestaria</w:t>
            </w:r>
            <w:r w:rsidR="004E63DA" w:rsidRPr="008B529A">
              <w:rPr>
                <w:rStyle w:val="normaltextrun"/>
                <w:b/>
                <w:sz w:val="20"/>
                <w:szCs w:val="20"/>
                <w:lang w:val="es-419"/>
              </w:rPr>
              <w:t xml:space="preserve"> </w:t>
            </w:r>
            <w:r w:rsidR="00CC7A58" w:rsidRPr="008B529A">
              <w:rPr>
                <w:rStyle w:val="normaltextrun"/>
                <w:b/>
                <w:sz w:val="20"/>
                <w:szCs w:val="20"/>
                <w:shd w:val="clear" w:color="auto" w:fill="FFFFFF"/>
                <w:lang w:val="es-419"/>
              </w:rPr>
              <w:t xml:space="preserve">para la oficina/unidad: </w:t>
            </w:r>
            <w:r w:rsidR="00CC7A58" w:rsidRPr="008B529A">
              <w:rPr>
                <w:sz w:val="20"/>
                <w:szCs w:val="20"/>
                <w:lang w:val="es-419"/>
              </w:rPr>
              <w:t>En Quantum, todos los costos compartidos y las contribuciones de la UE se definen como "fondos controlados en efectivo". Según los</w:t>
            </w:r>
            <w:r w:rsidR="29F00810" w:rsidRPr="008B529A">
              <w:rPr>
                <w:sz w:val="20"/>
                <w:szCs w:val="20"/>
                <w:lang w:val="es-419"/>
              </w:rPr>
              <w:t xml:space="preserve"> RRF </w:t>
            </w:r>
            <w:r w:rsidR="00CC7A58" w:rsidRPr="008B529A">
              <w:rPr>
                <w:sz w:val="20"/>
                <w:szCs w:val="20"/>
                <w:lang w:val="es-419"/>
              </w:rPr>
              <w:t xml:space="preserve">del PNUD, las oficinas y </w:t>
            </w:r>
            <w:r w:rsidR="65D14EC7" w:rsidRPr="008B529A">
              <w:rPr>
                <w:sz w:val="20"/>
                <w:szCs w:val="20"/>
                <w:lang w:val="es-419"/>
              </w:rPr>
              <w:t xml:space="preserve">unidades </w:t>
            </w:r>
            <w:r w:rsidR="00CC7A58" w:rsidRPr="008B529A">
              <w:rPr>
                <w:sz w:val="20"/>
                <w:szCs w:val="20"/>
                <w:lang w:val="es-419"/>
              </w:rPr>
              <w:t xml:space="preserve">no están facultadas para contraer compromisos en ausencia de efectivo disponible. El control presupuestario </w:t>
            </w:r>
            <w:r w:rsidR="211BA517" w:rsidRPr="008B529A">
              <w:rPr>
                <w:sz w:val="20"/>
                <w:szCs w:val="20"/>
                <w:lang w:val="es-419"/>
              </w:rPr>
              <w:t xml:space="preserve">en Quantum </w:t>
            </w:r>
            <w:r w:rsidR="5FAA6E1E" w:rsidRPr="008B529A">
              <w:rPr>
                <w:sz w:val="20"/>
                <w:szCs w:val="20"/>
                <w:lang w:val="es-419"/>
              </w:rPr>
              <w:t>garantizar</w:t>
            </w:r>
            <w:r w:rsidR="00CF7731">
              <w:rPr>
                <w:sz w:val="20"/>
                <w:szCs w:val="20"/>
                <w:lang w:val="es-419"/>
              </w:rPr>
              <w:t xml:space="preserve"> </w:t>
            </w:r>
            <w:r w:rsidR="00CC7A58" w:rsidRPr="008B529A">
              <w:rPr>
                <w:sz w:val="20"/>
                <w:szCs w:val="20"/>
                <w:lang w:val="es-419"/>
              </w:rPr>
              <w:t xml:space="preserve">que solo se puedan finalizar las órdenes de compra, las facturas y las entradas de diario que </w:t>
            </w:r>
            <w:r w:rsidR="59507121" w:rsidRPr="008B529A">
              <w:rPr>
                <w:sz w:val="20"/>
                <w:szCs w:val="20"/>
                <w:lang w:val="es-419"/>
              </w:rPr>
              <w:t xml:space="preserve">tengan </w:t>
            </w:r>
            <w:r w:rsidR="00CC7A58" w:rsidRPr="008B529A">
              <w:rPr>
                <w:sz w:val="20"/>
                <w:szCs w:val="20"/>
                <w:lang w:val="es-419"/>
              </w:rPr>
              <w:t xml:space="preserve">fondos disponibles (es decir, </w:t>
            </w:r>
            <w:r w:rsidR="13F3EFA2" w:rsidRPr="008B529A">
              <w:rPr>
                <w:sz w:val="20"/>
                <w:szCs w:val="20"/>
                <w:lang w:val="es-419"/>
              </w:rPr>
              <w:t xml:space="preserve">que pasen </w:t>
            </w:r>
            <w:r w:rsidR="00CC7A58" w:rsidRPr="008B529A">
              <w:rPr>
                <w:sz w:val="20"/>
                <w:szCs w:val="20"/>
                <w:lang w:val="es-419"/>
              </w:rPr>
              <w:t xml:space="preserve">la verificación del presupuesto). Sin embargo, dado que las circunstancias especiales en una oficina/unidad en particular pueden justificar déficits a corto plazo, el Jefe de Oficina/Unidad es responsable de definir una guía de anulación presupuestaria </w:t>
            </w:r>
            <w:r w:rsidR="00CC7A58" w:rsidRPr="008B529A">
              <w:rPr>
                <w:rStyle w:val="normaltextrun"/>
                <w:sz w:val="20"/>
                <w:szCs w:val="20"/>
                <w:shd w:val="clear" w:color="auto" w:fill="FFFFFF"/>
                <w:lang w:val="es-419"/>
              </w:rPr>
              <w:t xml:space="preserve">que esté en línea con la Guía de </w:t>
            </w:r>
            <w:hyperlink r:id="rId178" w:history="1">
              <w:r w:rsidR="00CC7A58" w:rsidRPr="00756410">
                <w:rPr>
                  <w:rStyle w:val="Hyperlink"/>
                  <w:sz w:val="20"/>
                  <w:szCs w:val="20"/>
                  <w:shd w:val="clear" w:color="auto" w:fill="FFFFFF"/>
                  <w:lang w:val="es-419"/>
                </w:rPr>
                <w:t>Anulación Presupuestaria corporativa</w:t>
              </w:r>
            </w:hyperlink>
            <w:r w:rsidR="00C83F1F" w:rsidRPr="00756410">
              <w:rPr>
                <w:rStyle w:val="normaltextrun"/>
                <w:sz w:val="20"/>
                <w:szCs w:val="20"/>
                <w:shd w:val="clear" w:color="auto" w:fill="FFFFFF"/>
                <w:lang w:val="es-419"/>
              </w:rPr>
              <w:t xml:space="preserve">. La guía de anulación de presupuesto de oficina/unidad </w:t>
            </w:r>
            <w:r w:rsidR="00791F83" w:rsidRPr="00756410">
              <w:rPr>
                <w:rStyle w:val="normaltextrun"/>
                <w:sz w:val="20"/>
                <w:szCs w:val="20"/>
                <w:lang w:val="es-419"/>
              </w:rPr>
              <w:t xml:space="preserve"> </w:t>
            </w:r>
            <w:r w:rsidR="00CC7A58" w:rsidRPr="00756410">
              <w:rPr>
                <w:rStyle w:val="normaltextrun"/>
                <w:sz w:val="20"/>
                <w:szCs w:val="20"/>
                <w:shd w:val="clear" w:color="auto" w:fill="FFFFFF"/>
                <w:lang w:val="es-419"/>
              </w:rPr>
              <w:t xml:space="preserve">debe ser aprobada previamente por BMS/OFRM y cargada en el </w:t>
            </w:r>
            <w:hyperlink r:id="rId179" w:history="1">
              <w:r w:rsidR="00CC7A58" w:rsidRPr="00756410">
                <w:rPr>
                  <w:rStyle w:val="Hyperlink"/>
                  <w:lang w:val="es-419"/>
                </w:rPr>
                <w:t>repositorio ICF de SharePoint de BMS/OFRM</w:t>
              </w:r>
            </w:hyperlink>
            <w:r w:rsidR="0004107A" w:rsidRPr="00773863">
              <w:rPr>
                <w:lang w:val="es-419"/>
              </w:rPr>
              <w:t xml:space="preserve">. </w:t>
            </w:r>
            <w:r w:rsidR="00CC7A58" w:rsidRPr="00756410">
              <w:rPr>
                <w:sz w:val="20"/>
                <w:szCs w:val="20"/>
                <w:lang w:val="es-419"/>
              </w:rPr>
              <w:t xml:space="preserve">Esta guía debe describir las circunstancias bajo las cuales una anulación presupuestaria es aceptable, quién está autorizado para aprobar la anulación presupuestaria y quién es responsable de monitorear el uso de la anulación presupuestaria. Para la mayoría de las oficinas/unidades, la guía asigna la responsabilidad </w:t>
            </w:r>
            <w:r w:rsidR="00215333">
              <w:rPr>
                <w:sz w:val="20"/>
                <w:szCs w:val="20"/>
                <w:lang w:val="es-419"/>
              </w:rPr>
              <w:t xml:space="preserve">al </w:t>
            </w:r>
            <w:r w:rsidR="5958B839" w:rsidRPr="00756410">
              <w:rPr>
                <w:sz w:val="20"/>
                <w:szCs w:val="20"/>
                <w:lang w:val="es-419"/>
              </w:rPr>
              <w:t>RR</w:t>
            </w:r>
            <w:r w:rsidR="7BA40A7D" w:rsidRPr="008B529A">
              <w:rPr>
                <w:sz w:val="20"/>
                <w:szCs w:val="20"/>
                <w:lang w:val="es-419"/>
              </w:rPr>
              <w:t xml:space="preserve">A </w:t>
            </w:r>
            <w:r w:rsidR="5958B839" w:rsidRPr="00756410">
              <w:rPr>
                <w:sz w:val="20"/>
                <w:szCs w:val="20"/>
                <w:lang w:val="es-419"/>
              </w:rPr>
              <w:t>(O</w:t>
            </w:r>
            <w:r w:rsidR="0889B330" w:rsidRPr="008B529A">
              <w:rPr>
                <w:sz w:val="20"/>
                <w:szCs w:val="20"/>
                <w:lang w:val="es-419"/>
              </w:rPr>
              <w:t>peraciones</w:t>
            </w:r>
            <w:r w:rsidR="00CC7A58" w:rsidRPr="00756410">
              <w:rPr>
                <w:sz w:val="20"/>
                <w:szCs w:val="20"/>
                <w:lang w:val="es-419"/>
              </w:rPr>
              <w:t xml:space="preserve">) para monitorear los gastos de anulación, con el apoyo de la Unidad de Finanzas; y el </w:t>
            </w:r>
            <w:r w:rsidR="5958B839" w:rsidRPr="00756410">
              <w:rPr>
                <w:sz w:val="20"/>
                <w:szCs w:val="20"/>
                <w:lang w:val="es-419"/>
              </w:rPr>
              <w:t>RR</w:t>
            </w:r>
            <w:r w:rsidR="7D64FA2B" w:rsidRPr="008B529A">
              <w:rPr>
                <w:sz w:val="20"/>
                <w:szCs w:val="20"/>
                <w:lang w:val="es-419"/>
              </w:rPr>
              <w:t>A</w:t>
            </w:r>
            <w:r w:rsidR="00CF7731">
              <w:rPr>
                <w:sz w:val="20"/>
                <w:szCs w:val="20"/>
                <w:lang w:val="es-419"/>
              </w:rPr>
              <w:t xml:space="preserve"> </w:t>
            </w:r>
            <w:r w:rsidR="5958B839" w:rsidRPr="00756410">
              <w:rPr>
                <w:sz w:val="20"/>
                <w:szCs w:val="20"/>
                <w:lang w:val="es-419"/>
              </w:rPr>
              <w:t>(O</w:t>
            </w:r>
            <w:r w:rsidR="59F19854" w:rsidRPr="008B529A">
              <w:rPr>
                <w:sz w:val="20"/>
                <w:szCs w:val="20"/>
                <w:lang w:val="es-419"/>
              </w:rPr>
              <w:t>peraciones</w:t>
            </w:r>
            <w:r w:rsidR="00CC7A58" w:rsidRPr="00756410">
              <w:rPr>
                <w:sz w:val="20"/>
                <w:szCs w:val="20"/>
                <w:lang w:val="es-419"/>
              </w:rPr>
              <w:t xml:space="preserve">) actualiza </w:t>
            </w:r>
            <w:r w:rsidR="107FEA42" w:rsidRPr="008B529A">
              <w:rPr>
                <w:sz w:val="20"/>
                <w:szCs w:val="20"/>
                <w:lang w:val="es-419"/>
              </w:rPr>
              <w:t xml:space="preserve">al </w:t>
            </w:r>
            <w:r w:rsidR="00CC7A58" w:rsidRPr="00756410">
              <w:rPr>
                <w:sz w:val="20"/>
                <w:szCs w:val="20"/>
                <w:lang w:val="es-419"/>
              </w:rPr>
              <w:t>RR de forma periódica.</w:t>
            </w:r>
          </w:p>
        </w:tc>
      </w:tr>
      <w:tr w:rsidR="00FC6582" w:rsidRPr="00773863" w14:paraId="085BC15C" w14:textId="77777777" w:rsidTr="48224A22">
        <w:trPr>
          <w:trHeight w:val="20"/>
        </w:trPr>
        <w:tc>
          <w:tcPr>
            <w:tcW w:w="9900" w:type="dxa"/>
          </w:tcPr>
          <w:p w14:paraId="75D7348C" w14:textId="658B37AF" w:rsidR="00106F90" w:rsidRPr="00756410" w:rsidRDefault="00106F90">
            <w:pPr>
              <w:pStyle w:val="ListParagraph"/>
              <w:widowControl w:val="0"/>
              <w:numPr>
                <w:ilvl w:val="0"/>
                <w:numId w:val="59"/>
              </w:numPr>
              <w:autoSpaceDE w:val="0"/>
              <w:autoSpaceDN w:val="0"/>
              <w:spacing w:line="240" w:lineRule="auto"/>
              <w:rPr>
                <w:rStyle w:val="normaltextrun"/>
                <w:sz w:val="20"/>
                <w:szCs w:val="20"/>
                <w:lang w:val="es-419"/>
              </w:rPr>
            </w:pPr>
            <w:r w:rsidRPr="00756410">
              <w:rPr>
                <w:rStyle w:val="eop"/>
                <w:b/>
                <w:bCs/>
                <w:sz w:val="20"/>
                <w:szCs w:val="20"/>
                <w:shd w:val="clear" w:color="auto" w:fill="FFFFFF"/>
                <w:lang w:val="es-419"/>
              </w:rPr>
              <w:t>Aprueba las anulaciones presupuestarias para la oficina/unidad</w:t>
            </w:r>
            <w:r w:rsidRPr="363CA695">
              <w:rPr>
                <w:rStyle w:val="FootnoteReference"/>
                <w:sz w:val="20"/>
                <w:szCs w:val="20"/>
                <w:shd w:val="clear" w:color="auto" w:fill="FFFFFF"/>
              </w:rPr>
              <w:footnoteReference w:id="38"/>
            </w:r>
            <w:r w:rsidRPr="48224A22">
              <w:rPr>
                <w:rStyle w:val="eop"/>
                <w:b/>
                <w:sz w:val="20"/>
                <w:szCs w:val="20"/>
                <w:shd w:val="clear" w:color="auto" w:fill="FFFFFF"/>
                <w:lang w:val="es-419"/>
              </w:rPr>
              <w:t xml:space="preserve">:  </w:t>
            </w:r>
            <w:r w:rsidR="7332E64E" w:rsidRPr="48224A22">
              <w:rPr>
                <w:rStyle w:val="eop"/>
                <w:b/>
                <w:bCs/>
                <w:sz w:val="20"/>
                <w:szCs w:val="20"/>
                <w:shd w:val="clear" w:color="auto" w:fill="FFFFFF"/>
                <w:lang w:val="es-419"/>
              </w:rPr>
              <w:t>conforme a lo previsto en la Gu</w:t>
            </w:r>
            <w:r w:rsidR="00E81A2D">
              <w:rPr>
                <w:rStyle w:val="eop"/>
                <w:b/>
                <w:bCs/>
                <w:sz w:val="20"/>
                <w:szCs w:val="20"/>
                <w:shd w:val="clear" w:color="auto" w:fill="FFFFFF"/>
                <w:lang w:val="es-ES"/>
              </w:rPr>
              <w:t>í</w:t>
            </w:r>
            <w:r w:rsidR="7332E64E" w:rsidRPr="48224A22">
              <w:rPr>
                <w:rStyle w:val="eop"/>
                <w:b/>
                <w:bCs/>
                <w:sz w:val="20"/>
                <w:szCs w:val="20"/>
                <w:shd w:val="clear" w:color="auto" w:fill="FFFFFF"/>
                <w:lang w:val="es-419"/>
              </w:rPr>
              <w:t xml:space="preserve">a de Anulación Presupuestaria </w:t>
            </w:r>
            <w:r w:rsidR="076F61D1" w:rsidRPr="48224A22">
              <w:rPr>
                <w:rStyle w:val="eop"/>
                <w:b/>
                <w:bCs/>
                <w:sz w:val="20"/>
                <w:szCs w:val="20"/>
                <w:shd w:val="clear" w:color="auto" w:fill="FFFFFF"/>
                <w:lang w:val="es-419"/>
              </w:rPr>
              <w:t xml:space="preserve">y la plantilla correspondiente, </w:t>
            </w:r>
            <w:r w:rsidRPr="008E52B5">
              <w:rPr>
                <w:rStyle w:val="eop"/>
                <w:sz w:val="20"/>
                <w:szCs w:val="20"/>
                <w:shd w:val="clear" w:color="auto" w:fill="FFFFFF"/>
                <w:lang w:val="es-419"/>
              </w:rPr>
              <w:t xml:space="preserve"> </w:t>
            </w:r>
            <w:r w:rsidR="03B02B95" w:rsidRPr="008E52B5">
              <w:rPr>
                <w:rStyle w:val="eop"/>
                <w:sz w:val="20"/>
                <w:szCs w:val="20"/>
                <w:shd w:val="clear" w:color="auto" w:fill="FFFFFF"/>
                <w:lang w:val="es-419"/>
              </w:rPr>
              <w:t>e</w:t>
            </w:r>
            <w:r w:rsidRPr="008E52B5">
              <w:rPr>
                <w:rStyle w:val="normaltextrun"/>
                <w:color w:val="000000"/>
                <w:sz w:val="20"/>
                <w:szCs w:val="20"/>
                <w:shd w:val="clear" w:color="auto" w:fill="FFFFFF"/>
                <w:lang w:val="es-419"/>
              </w:rPr>
              <w:t xml:space="preserve">l Jefe de la Oficina/Unidad puede emitir una delegación por escrito para la función de autorización a la </w:t>
            </w:r>
            <w:r w:rsidR="37F538B6" w:rsidRPr="008E52B5">
              <w:rPr>
                <w:rStyle w:val="normaltextrun"/>
                <w:color w:val="000000"/>
                <w:sz w:val="20"/>
                <w:szCs w:val="20"/>
                <w:shd w:val="clear" w:color="auto" w:fill="FFFFFF"/>
                <w:lang w:val="es-419"/>
              </w:rPr>
              <w:t>RR</w:t>
            </w:r>
            <w:r w:rsidR="4E968F36" w:rsidRPr="008E52B5">
              <w:rPr>
                <w:rStyle w:val="normaltextrun"/>
                <w:color w:val="000000"/>
                <w:sz w:val="20"/>
                <w:szCs w:val="20"/>
                <w:shd w:val="clear" w:color="auto" w:fill="FFFFFF"/>
                <w:lang w:val="es-419"/>
              </w:rPr>
              <w:t xml:space="preserve">A </w:t>
            </w:r>
            <w:r w:rsidRPr="008E52B5">
              <w:rPr>
                <w:rStyle w:val="normaltextrun"/>
                <w:color w:val="000000"/>
                <w:sz w:val="20"/>
                <w:szCs w:val="20"/>
                <w:shd w:val="clear" w:color="auto" w:fill="FFFFFF"/>
                <w:lang w:val="es-419"/>
              </w:rPr>
              <w:t xml:space="preserve"> (o equivalente a la Sede) o </w:t>
            </w:r>
            <w:r w:rsidR="37F538B6" w:rsidRPr="008E52B5">
              <w:rPr>
                <w:rStyle w:val="normaltextrun"/>
                <w:color w:val="000000"/>
                <w:sz w:val="20"/>
                <w:szCs w:val="20"/>
                <w:shd w:val="clear" w:color="auto" w:fill="FFFFFF"/>
                <w:lang w:val="es-419"/>
              </w:rPr>
              <w:t>a</w:t>
            </w:r>
            <w:r w:rsidR="32A12195" w:rsidRPr="008E52B5">
              <w:rPr>
                <w:rStyle w:val="normaltextrun"/>
                <w:color w:val="000000"/>
                <w:sz w:val="20"/>
                <w:szCs w:val="20"/>
                <w:shd w:val="clear" w:color="auto" w:fill="FFFFFF"/>
                <w:lang w:val="es-419"/>
              </w:rPr>
              <w:t>l Oficial a Cargo</w:t>
            </w:r>
            <w:r w:rsidR="00E81A2D">
              <w:rPr>
                <w:rStyle w:val="normaltextrun"/>
                <w:color w:val="000000"/>
                <w:sz w:val="20"/>
                <w:szCs w:val="20"/>
                <w:shd w:val="clear" w:color="auto" w:fill="FFFFFF"/>
                <w:lang w:val="es-419"/>
              </w:rPr>
              <w:t xml:space="preserve"> </w:t>
            </w:r>
            <w:r w:rsidRPr="008E52B5">
              <w:rPr>
                <w:rStyle w:val="normaltextrun"/>
                <w:color w:val="000000"/>
                <w:sz w:val="20"/>
                <w:szCs w:val="20"/>
                <w:shd w:val="clear" w:color="auto" w:fill="FFFFFF"/>
                <w:lang w:val="es-419"/>
              </w:rPr>
              <w:t>de la oficina/unidad.</w:t>
            </w:r>
          </w:p>
          <w:p w14:paraId="1488BF6F" w14:textId="1E00F4B5" w:rsidR="00106F90" w:rsidRPr="3937432E" w:rsidRDefault="00106F90" w:rsidP="363CA695">
            <w:pPr>
              <w:pStyle w:val="ListParagraph"/>
              <w:widowControl w:val="0"/>
              <w:autoSpaceDE w:val="0"/>
              <w:autoSpaceDN w:val="0"/>
              <w:spacing w:line="240" w:lineRule="auto"/>
              <w:ind w:left="360"/>
              <w:rPr>
                <w:sz w:val="20"/>
                <w:szCs w:val="20"/>
                <w:lang w:val="es-419"/>
              </w:rPr>
            </w:pPr>
            <w:r w:rsidRPr="3937432E">
              <w:rPr>
                <w:b/>
                <w:sz w:val="20"/>
                <w:szCs w:val="20"/>
                <w:lang w:val="es-419"/>
              </w:rPr>
              <w:t>Excepción de anulación general permitida:</w:t>
            </w:r>
            <w:r w:rsidRPr="3937432E">
              <w:rPr>
                <w:sz w:val="20"/>
                <w:szCs w:val="20"/>
                <w:lang w:val="es-419"/>
              </w:rPr>
              <w:t xml:space="preserve"> Para los proyectos financiados por la Unión Europea (UE), el Jefe de Oficina/Unidad tiene autorización general para aprobar anulaciones presupuestarias cuando se cumplan las </w:t>
            </w:r>
            <w:r w:rsidRPr="3937432E">
              <w:rPr>
                <w:sz w:val="20"/>
                <w:szCs w:val="20"/>
                <w:lang w:val="es-419"/>
              </w:rPr>
              <w:lastRenderedPageBreak/>
              <w:t>siguientes condiciones: (i) la autorización de anulación general del presupuesto se aplica solo al monto retenido (cuota final) de la financiación de la UE; y (ii) en caso de que el pago final del monto retenido por la UE permanezca impago por cualquier motivo,  por ejemplo, debido al incumplimiento del acuerdo de la UE (informes inadecuados de los donantes, etc.), la oficina/unidad repondrá cualquier déficit creado a partir de sus propios recursos alternativos. </w:t>
            </w:r>
          </w:p>
          <w:p w14:paraId="13167A7E" w14:textId="3509AF4B" w:rsidR="005D41D5" w:rsidRPr="00756410" w:rsidRDefault="005D41D5" w:rsidP="363CA695">
            <w:pPr>
              <w:pStyle w:val="ListParagraph"/>
              <w:widowControl w:val="0"/>
              <w:autoSpaceDE w:val="0"/>
              <w:autoSpaceDN w:val="0"/>
              <w:spacing w:line="240" w:lineRule="auto"/>
              <w:ind w:left="360"/>
              <w:rPr>
                <w:sz w:val="20"/>
                <w:szCs w:val="20"/>
                <w:lang w:val="es-419"/>
              </w:rPr>
            </w:pPr>
            <w:r w:rsidRPr="008B529A">
              <w:rPr>
                <w:b/>
                <w:sz w:val="20"/>
                <w:szCs w:val="20"/>
                <w:lang w:val="es-419"/>
              </w:rPr>
              <w:t xml:space="preserve">Nota: </w:t>
            </w:r>
            <w:r w:rsidRPr="008B529A">
              <w:rPr>
                <w:rStyle w:val="normaltextrun"/>
                <w:rFonts w:ascii="Calibri" w:hAnsi="Calibri" w:cs="Calibri"/>
                <w:sz w:val="20"/>
                <w:szCs w:val="20"/>
                <w:shd w:val="clear" w:color="auto" w:fill="FFFFFF"/>
                <w:lang w:val="es-419"/>
              </w:rPr>
              <w:t xml:space="preserve">Quantum </w:t>
            </w:r>
            <w:r w:rsidRPr="008B529A">
              <w:rPr>
                <w:rStyle w:val="normaltextrun"/>
                <w:sz w:val="20"/>
                <w:szCs w:val="20"/>
                <w:shd w:val="clear" w:color="auto" w:fill="FFFFFF"/>
                <w:lang w:val="es-419"/>
              </w:rPr>
              <w:t xml:space="preserve">no puede restringir las aprobaciones de anulación de presupuesto </w:t>
            </w:r>
            <w:r w:rsidRPr="008B529A">
              <w:rPr>
                <w:rStyle w:val="normaltextrun"/>
                <w:rFonts w:ascii="Calibri" w:hAnsi="Calibri" w:cs="Calibri"/>
                <w:sz w:val="20"/>
                <w:szCs w:val="20"/>
                <w:shd w:val="clear" w:color="auto" w:fill="FFFFFF"/>
                <w:lang w:val="es-419"/>
              </w:rPr>
              <w:t xml:space="preserve">a una unidad de negocio y/o </w:t>
            </w:r>
            <w:r w:rsidR="1D3C54A4" w:rsidRPr="008B529A">
              <w:rPr>
                <w:rStyle w:val="normaltextrun"/>
                <w:rFonts w:ascii="Calibri" w:hAnsi="Calibri" w:cs="Calibri"/>
                <w:sz w:val="20"/>
                <w:szCs w:val="20"/>
                <w:shd w:val="clear" w:color="auto" w:fill="FFFFFF"/>
                <w:lang w:val="es-419"/>
              </w:rPr>
              <w:t>unidad</w:t>
            </w:r>
            <w:r w:rsidR="00A84AF8">
              <w:rPr>
                <w:rStyle w:val="normaltextrun"/>
                <w:rFonts w:ascii="Calibri" w:hAnsi="Calibri" w:cs="Calibri"/>
                <w:sz w:val="20"/>
                <w:szCs w:val="20"/>
                <w:shd w:val="clear" w:color="auto" w:fill="FFFFFF"/>
                <w:lang w:val="es-419"/>
              </w:rPr>
              <w:t xml:space="preserve"> </w:t>
            </w:r>
            <w:r w:rsidR="36766AD5" w:rsidRPr="008B529A">
              <w:rPr>
                <w:rStyle w:val="normaltextrun"/>
                <w:rFonts w:ascii="Calibri" w:hAnsi="Calibri" w:cs="Calibri"/>
                <w:sz w:val="20"/>
                <w:szCs w:val="20"/>
                <w:shd w:val="clear" w:color="auto" w:fill="FFFFFF"/>
                <w:lang w:val="es-419"/>
              </w:rPr>
              <w:t>en</w:t>
            </w:r>
            <w:r w:rsidRPr="008B529A">
              <w:rPr>
                <w:rStyle w:val="normaltextrun"/>
                <w:rFonts w:ascii="Calibri" w:hAnsi="Calibri" w:cs="Calibri"/>
                <w:sz w:val="20"/>
                <w:szCs w:val="20"/>
                <w:shd w:val="clear" w:color="auto" w:fill="FFFFFF"/>
                <w:lang w:val="es-419"/>
              </w:rPr>
              <w:t xml:space="preserve"> particular y, por lo tanto, debe implementarse a nivel de la Oficina. Cada Oficina</w:t>
            </w:r>
            <w:r w:rsidRPr="008B529A">
              <w:rPr>
                <w:rStyle w:val="normaltextrun"/>
                <w:sz w:val="20"/>
                <w:szCs w:val="20"/>
                <w:shd w:val="clear" w:color="auto" w:fill="FFFFFF"/>
                <w:lang w:val="es-419"/>
              </w:rPr>
              <w:t xml:space="preserve"> ha</w:t>
            </w:r>
            <w:r w:rsidRPr="008B529A">
              <w:rPr>
                <w:rStyle w:val="normaltextrun"/>
                <w:rFonts w:ascii="Calibri" w:hAnsi="Calibri" w:cs="Calibri"/>
                <w:sz w:val="20"/>
                <w:szCs w:val="20"/>
                <w:shd w:val="clear" w:color="auto" w:fill="FFFFFF"/>
                <w:lang w:val="es-419"/>
              </w:rPr>
              <w:t xml:space="preserve"> identificado un pequeño grupo de funcionarios que están autorizados a aprobar las transacciones de anulación presupuestaria en Quantum para las oficinas/unidades de su competencia (por ejemplo, </w:t>
            </w:r>
            <w:r w:rsidR="6E136555" w:rsidRPr="008B529A">
              <w:rPr>
                <w:rStyle w:val="normaltextrun"/>
                <w:rFonts w:ascii="Calibri" w:hAnsi="Calibri" w:cs="Calibri"/>
                <w:sz w:val="20"/>
                <w:szCs w:val="20"/>
                <w:shd w:val="clear" w:color="auto" w:fill="FFFFFF"/>
                <w:lang w:val="es-419"/>
              </w:rPr>
              <w:t xml:space="preserve">buros </w:t>
            </w:r>
            <w:r w:rsidRPr="008B529A">
              <w:rPr>
                <w:rStyle w:val="normaltextrun"/>
                <w:rFonts w:ascii="Calibri" w:hAnsi="Calibri" w:cs="Calibri"/>
                <w:sz w:val="20"/>
                <w:szCs w:val="20"/>
                <w:shd w:val="clear" w:color="auto" w:fill="FFFFFF"/>
                <w:lang w:val="es-419"/>
              </w:rPr>
              <w:t xml:space="preserve">regionales para </w:t>
            </w:r>
            <w:r w:rsidR="36766AD5" w:rsidRPr="008B529A">
              <w:rPr>
                <w:rStyle w:val="normaltextrun"/>
                <w:rFonts w:ascii="Calibri" w:hAnsi="Calibri" w:cs="Calibri"/>
                <w:sz w:val="20"/>
                <w:szCs w:val="20"/>
                <w:shd w:val="clear" w:color="auto" w:fill="FFFFFF"/>
                <w:lang w:val="es-419"/>
              </w:rPr>
              <w:t>O</w:t>
            </w:r>
            <w:r w:rsidR="2DD0E073" w:rsidRPr="008B529A">
              <w:rPr>
                <w:rStyle w:val="normaltextrun"/>
                <w:rFonts w:ascii="Calibri" w:hAnsi="Calibri" w:cs="Calibri"/>
                <w:sz w:val="20"/>
                <w:szCs w:val="20"/>
                <w:shd w:val="clear" w:color="auto" w:fill="FFFFFF"/>
                <w:lang w:val="es-419"/>
              </w:rPr>
              <w:t>P/CO</w:t>
            </w:r>
            <w:r w:rsidRPr="008B529A">
              <w:rPr>
                <w:rStyle w:val="normaltextrun"/>
                <w:rFonts w:ascii="Calibri" w:hAnsi="Calibri" w:cs="Calibri"/>
                <w:sz w:val="20"/>
                <w:szCs w:val="20"/>
                <w:shd w:val="clear" w:color="auto" w:fill="FFFFFF"/>
                <w:lang w:val="es-419"/>
              </w:rPr>
              <w:t xml:space="preserve">, </w:t>
            </w:r>
            <w:r w:rsidR="5C859A4C" w:rsidRPr="008B529A">
              <w:rPr>
                <w:rStyle w:val="normaltextrun"/>
                <w:rFonts w:ascii="Calibri" w:hAnsi="Calibri" w:cs="Calibri"/>
                <w:sz w:val="20"/>
                <w:szCs w:val="20"/>
                <w:shd w:val="clear" w:color="auto" w:fill="FFFFFF"/>
                <w:lang w:val="es-419"/>
              </w:rPr>
              <w:t>buros</w:t>
            </w:r>
            <w:r w:rsidR="004827C3">
              <w:rPr>
                <w:rStyle w:val="normaltextrun"/>
                <w:rFonts w:ascii="Calibri" w:hAnsi="Calibri" w:cs="Calibri"/>
                <w:sz w:val="20"/>
                <w:szCs w:val="20"/>
                <w:shd w:val="clear" w:color="auto" w:fill="FFFFFF"/>
                <w:lang w:val="es-419"/>
              </w:rPr>
              <w:t xml:space="preserve"> </w:t>
            </w:r>
            <w:r w:rsidR="36766AD5" w:rsidRPr="008B529A">
              <w:rPr>
                <w:rStyle w:val="normaltextrun"/>
                <w:rFonts w:ascii="Calibri" w:hAnsi="Calibri" w:cs="Calibri"/>
                <w:sz w:val="20"/>
                <w:szCs w:val="20"/>
                <w:shd w:val="clear" w:color="auto" w:fill="FFFFFF"/>
                <w:lang w:val="es-419"/>
              </w:rPr>
              <w:t>centrales</w:t>
            </w:r>
            <w:r w:rsidRPr="008B529A">
              <w:rPr>
                <w:rStyle w:val="normaltextrun"/>
                <w:rFonts w:ascii="Calibri" w:hAnsi="Calibri" w:cs="Calibri"/>
                <w:sz w:val="20"/>
                <w:szCs w:val="20"/>
                <w:shd w:val="clear" w:color="auto" w:fill="FFFFFF"/>
                <w:lang w:val="es-419"/>
              </w:rPr>
              <w:t xml:space="preserve"> para </w:t>
            </w:r>
            <w:r w:rsidR="0062733C" w:rsidRPr="3937432E">
              <w:rPr>
                <w:sz w:val="20"/>
                <w:szCs w:val="20"/>
                <w:lang w:val="es-419"/>
              </w:rPr>
              <w:t>unidades de la sede fuera de Nueva York</w:t>
            </w:r>
            <w:r w:rsidR="0062733C" w:rsidRPr="008B529A" w:rsidDel="0062733C">
              <w:rPr>
                <w:rStyle w:val="normaltextrun"/>
                <w:rFonts w:ascii="Calibri" w:hAnsi="Calibri" w:cs="Calibri"/>
                <w:sz w:val="20"/>
                <w:szCs w:val="20"/>
                <w:shd w:val="clear" w:color="auto" w:fill="FFFFFF"/>
                <w:lang w:val="es-419"/>
              </w:rPr>
              <w:t xml:space="preserve"> </w:t>
            </w:r>
            <w:r w:rsidR="00714D0B">
              <w:rPr>
                <w:rStyle w:val="normaltextrun"/>
                <w:rFonts w:ascii="Calibri" w:hAnsi="Calibri" w:cs="Calibri"/>
                <w:sz w:val="20"/>
                <w:szCs w:val="20"/>
                <w:shd w:val="clear" w:color="auto" w:fill="FFFFFF"/>
                <w:lang w:val="es-419"/>
              </w:rPr>
              <w:t>(“</w:t>
            </w:r>
            <w:r w:rsidR="00714D0B" w:rsidRPr="00756410">
              <w:rPr>
                <w:rStyle w:val="normaltextrun"/>
                <w:rFonts w:ascii="Calibri" w:hAnsi="Calibri" w:cs="Calibri"/>
                <w:i/>
                <w:iCs/>
                <w:sz w:val="20"/>
                <w:szCs w:val="20"/>
                <w:shd w:val="clear" w:color="auto" w:fill="FFFFFF"/>
                <w:lang w:val="es-419"/>
              </w:rPr>
              <w:t>Outposted HQ locations</w:t>
            </w:r>
            <w:r w:rsidR="00714D0B">
              <w:rPr>
                <w:rStyle w:val="normaltextrun"/>
                <w:rFonts w:ascii="Calibri" w:hAnsi="Calibri" w:cs="Calibri"/>
                <w:sz w:val="20"/>
                <w:szCs w:val="20"/>
                <w:shd w:val="clear" w:color="auto" w:fill="FFFFFF"/>
                <w:lang w:val="es-419"/>
              </w:rPr>
              <w:t>”)</w:t>
            </w:r>
            <w:r w:rsidRPr="008B529A">
              <w:rPr>
                <w:rStyle w:val="normaltextrun"/>
                <w:rFonts w:ascii="Calibri" w:hAnsi="Calibri" w:cs="Calibri"/>
                <w:sz w:val="20"/>
                <w:szCs w:val="20"/>
                <w:shd w:val="clear" w:color="auto" w:fill="FFFFFF"/>
                <w:lang w:val="es-419"/>
              </w:rPr>
              <w:t xml:space="preserve">, sobre la base de las aprobaciones documentadas recibidas del RR/Jefe de Oficina/Unidad de </w:t>
            </w:r>
            <w:r w:rsidR="009413E3" w:rsidRPr="009413E3">
              <w:rPr>
                <w:rStyle w:val="normaltextrun"/>
                <w:rFonts w:ascii="Calibri" w:hAnsi="Calibri" w:cs="Calibri"/>
                <w:sz w:val="20"/>
                <w:szCs w:val="20"/>
                <w:shd w:val="clear" w:color="auto" w:fill="FFFFFF"/>
                <w:lang w:val="es-419"/>
              </w:rPr>
              <w:t>oficina de país</w:t>
            </w:r>
            <w:r w:rsidRPr="008B529A">
              <w:rPr>
                <w:rStyle w:val="normaltextrun"/>
                <w:rFonts w:ascii="Calibri" w:hAnsi="Calibri" w:cs="Calibri"/>
                <w:sz w:val="20"/>
                <w:szCs w:val="20"/>
                <w:shd w:val="clear" w:color="auto" w:fill="FFFFFF"/>
                <w:lang w:val="es-419"/>
              </w:rPr>
              <w:t xml:space="preserve"> correspondiente. Si bien las oficinas regionales/oficinas centrales ejecutan la aprobación de la anulación del presupuesto en Quantum, lo hacen sobre la base de la aprobación del RR/Jefe de Oficina/Unidad, y el RR/Jefe de Oficina/Unidad, por lo tanto, sigue siendo responsable de todas las transacciones de anulación del presupuesto dentro de su oficina/unidad. </w:t>
            </w:r>
            <w:r w:rsidR="640BB78D" w:rsidRPr="008B529A">
              <w:rPr>
                <w:rStyle w:val="normaltextrun"/>
                <w:rFonts w:ascii="Calibri" w:hAnsi="Calibri" w:cs="Calibri"/>
                <w:sz w:val="20"/>
                <w:szCs w:val="20"/>
                <w:shd w:val="clear" w:color="auto" w:fill="FFFFFF"/>
                <w:lang w:val="es-419"/>
              </w:rPr>
              <w:t>Los buros</w:t>
            </w:r>
            <w:r w:rsidRPr="008B529A">
              <w:rPr>
                <w:rStyle w:val="normaltextrun"/>
                <w:rFonts w:ascii="Calibri" w:hAnsi="Calibri" w:cs="Calibri"/>
                <w:sz w:val="20"/>
                <w:szCs w:val="20"/>
                <w:shd w:val="clear" w:color="auto" w:fill="FFFFFF"/>
                <w:lang w:val="es-419"/>
              </w:rPr>
              <w:t xml:space="preserve"> regionales y centrales deben garantizar que la revisión del cumplimiento de la anulación del presupuesto, incluida la posterior liquidación de los déficits de participación en la financiación de los gastos, se incluya en sus actividades de supervisión en curso para las oficinas y dependencias que son de su competencia.</w:t>
            </w:r>
          </w:p>
          <w:p w14:paraId="55D28596" w14:textId="59D79FC5" w:rsidR="00106F90" w:rsidRPr="00756410" w:rsidRDefault="00106F90">
            <w:pPr>
              <w:pStyle w:val="ListParagraph"/>
              <w:widowControl w:val="0"/>
              <w:numPr>
                <w:ilvl w:val="0"/>
                <w:numId w:val="59"/>
              </w:numPr>
              <w:autoSpaceDE w:val="0"/>
              <w:autoSpaceDN w:val="0"/>
              <w:spacing w:after="0" w:line="240" w:lineRule="auto"/>
              <w:ind w:right="110"/>
              <w:rPr>
                <w:rStyle w:val="normaltextrun"/>
                <w:b/>
                <w:sz w:val="20"/>
                <w:szCs w:val="20"/>
                <w:shd w:val="clear" w:color="auto" w:fill="FFFFFF"/>
                <w:lang w:val="es-419"/>
              </w:rPr>
            </w:pPr>
            <w:r w:rsidRPr="3937432E">
              <w:rPr>
                <w:b/>
                <w:sz w:val="20"/>
                <w:szCs w:val="20"/>
                <w:u w:val="single"/>
                <w:lang w:val="es-419"/>
              </w:rPr>
              <w:t xml:space="preserve">No se deben exceder los </w:t>
            </w:r>
            <w:r w:rsidR="18F597D9" w:rsidRPr="3937432E">
              <w:rPr>
                <w:b/>
                <w:bCs/>
                <w:sz w:val="20"/>
                <w:szCs w:val="20"/>
                <w:u w:val="single"/>
                <w:lang w:val="es-419"/>
              </w:rPr>
              <w:t>Limite</w:t>
            </w:r>
            <w:r w:rsidR="7658FC46" w:rsidRPr="3937432E">
              <w:rPr>
                <w:b/>
                <w:bCs/>
                <w:sz w:val="20"/>
                <w:szCs w:val="20"/>
                <w:u w:val="single"/>
                <w:lang w:val="es-419"/>
              </w:rPr>
              <w:t xml:space="preserve"> de Gasto </w:t>
            </w:r>
            <w:r w:rsidR="18F597D9" w:rsidRPr="3937432E">
              <w:rPr>
                <w:b/>
                <w:bCs/>
                <w:sz w:val="20"/>
                <w:szCs w:val="20"/>
                <w:u w:val="single"/>
                <w:lang w:val="es-419"/>
              </w:rPr>
              <w:t>Autoriza</w:t>
            </w:r>
            <w:r w:rsidR="444324F1" w:rsidRPr="3937432E">
              <w:rPr>
                <w:b/>
                <w:bCs/>
                <w:sz w:val="20"/>
                <w:szCs w:val="20"/>
                <w:u w:val="single"/>
                <w:lang w:val="es-419"/>
              </w:rPr>
              <w:t xml:space="preserve">do </w:t>
            </w:r>
            <w:r w:rsidR="18F597D9" w:rsidRPr="3937432E">
              <w:rPr>
                <w:b/>
                <w:bCs/>
                <w:sz w:val="20"/>
                <w:szCs w:val="20"/>
                <w:u w:val="single"/>
                <w:lang w:val="es-419"/>
              </w:rPr>
              <w:t xml:space="preserve"> (ASL por sus siglas en inglés)</w:t>
            </w:r>
            <w:r w:rsidRPr="3937432E">
              <w:rPr>
                <w:b/>
                <w:sz w:val="20"/>
                <w:szCs w:val="20"/>
                <w:u w:val="single"/>
                <w:lang w:val="es-419"/>
              </w:rPr>
              <w:t>:</w:t>
            </w:r>
            <w:r w:rsidRPr="3937432E">
              <w:rPr>
                <w:sz w:val="20"/>
                <w:szCs w:val="20"/>
                <w:lang w:val="es-419"/>
              </w:rPr>
              <w:t xml:space="preserve"> En Quantum, todos los recursos básicos y algunos recursos </w:t>
            </w:r>
            <w:r w:rsidR="01AF2322" w:rsidRPr="3937432E">
              <w:rPr>
                <w:sz w:val="20"/>
                <w:szCs w:val="20"/>
                <w:lang w:val="es-419"/>
              </w:rPr>
              <w:t>complementarios (c</w:t>
            </w:r>
            <w:r w:rsidR="01AF2322" w:rsidRPr="00756410">
              <w:rPr>
                <w:i/>
                <w:iCs/>
                <w:sz w:val="20"/>
                <w:szCs w:val="20"/>
                <w:lang w:val="es-419"/>
              </w:rPr>
              <w:t>ore, non core</w:t>
            </w:r>
            <w:r w:rsidR="01AF2322" w:rsidRPr="3937432E">
              <w:rPr>
                <w:sz w:val="20"/>
                <w:szCs w:val="20"/>
                <w:lang w:val="es-419"/>
              </w:rPr>
              <w:t>)</w:t>
            </w:r>
            <w:r w:rsidRPr="3937432E">
              <w:rPr>
                <w:sz w:val="20"/>
                <w:szCs w:val="20"/>
                <w:lang w:val="es-419"/>
              </w:rPr>
              <w:t xml:space="preserve"> (por ejemplo, f</w:t>
            </w:r>
            <w:r w:rsidR="1D84AAD0" w:rsidRPr="3937432E">
              <w:rPr>
                <w:sz w:val="20"/>
                <w:szCs w:val="20"/>
                <w:lang w:val="es-419"/>
              </w:rPr>
              <w:t>fideicomi</w:t>
            </w:r>
            <w:r w:rsidR="2C79A40A" w:rsidRPr="3937432E">
              <w:rPr>
                <w:sz w:val="20"/>
                <w:szCs w:val="20"/>
                <w:lang w:val="es-419"/>
              </w:rPr>
              <w:t>so</w:t>
            </w:r>
            <w:r w:rsidR="1D84AAD0" w:rsidRPr="3937432E">
              <w:rPr>
                <w:sz w:val="20"/>
                <w:szCs w:val="20"/>
                <w:lang w:val="es-419"/>
              </w:rPr>
              <w:t xml:space="preserve">s </w:t>
            </w:r>
            <w:r w:rsidR="37F538B6" w:rsidRPr="3937432E">
              <w:rPr>
                <w:sz w:val="20"/>
                <w:szCs w:val="20"/>
                <w:lang w:val="es-419"/>
              </w:rPr>
              <w:t xml:space="preserve"> abiertos y </w:t>
            </w:r>
            <w:r w:rsidR="78F500E9" w:rsidRPr="3937432E">
              <w:rPr>
                <w:sz w:val="20"/>
                <w:szCs w:val="20"/>
                <w:lang w:val="es-419"/>
              </w:rPr>
              <w:t xml:space="preserve"> fideicomisos</w:t>
            </w:r>
            <w:r w:rsidRPr="3937432E">
              <w:rPr>
                <w:sz w:val="20"/>
                <w:szCs w:val="20"/>
                <w:lang w:val="es-419"/>
              </w:rPr>
              <w:t xml:space="preserve">  temáticos) se definen como "controlados por ASL" y se financian a través de un límite de gasto autorizado (ASL). </w:t>
            </w:r>
            <w:r w:rsidR="28E79758" w:rsidRPr="3937432E">
              <w:rPr>
                <w:sz w:val="20"/>
                <w:szCs w:val="20"/>
                <w:lang w:val="es-419"/>
              </w:rPr>
              <w:t>El</w:t>
            </w:r>
            <w:r w:rsidRPr="3937432E">
              <w:rPr>
                <w:sz w:val="20"/>
                <w:szCs w:val="20"/>
                <w:lang w:val="es-419"/>
              </w:rPr>
              <w:t xml:space="preserve"> ASL representa una "autorización para gastar" del administrador del fondo. Las oficinas/unidades no deben contraer compromisos que excedan </w:t>
            </w:r>
            <w:r w:rsidR="37F538B6" w:rsidRPr="3937432E">
              <w:rPr>
                <w:sz w:val="20"/>
                <w:szCs w:val="20"/>
                <w:lang w:val="es-419"/>
              </w:rPr>
              <w:t>l</w:t>
            </w:r>
            <w:r w:rsidR="55D9ECEE" w:rsidRPr="3937432E">
              <w:rPr>
                <w:sz w:val="20"/>
                <w:szCs w:val="20"/>
                <w:lang w:val="es-419"/>
              </w:rPr>
              <w:t>o</w:t>
            </w:r>
            <w:r w:rsidR="37F538B6" w:rsidRPr="3937432E">
              <w:rPr>
                <w:sz w:val="20"/>
                <w:szCs w:val="20"/>
                <w:lang w:val="es-419"/>
              </w:rPr>
              <w:t>s</w:t>
            </w:r>
            <w:r w:rsidRPr="3937432E">
              <w:rPr>
                <w:sz w:val="20"/>
                <w:szCs w:val="20"/>
                <w:lang w:val="es-419"/>
              </w:rPr>
              <w:t xml:space="preserve"> ASL.</w:t>
            </w:r>
          </w:p>
        </w:tc>
      </w:tr>
      <w:tr w:rsidR="00FC6582" w:rsidRPr="00773863" w14:paraId="0AB0B3E6" w14:textId="77777777" w:rsidTr="48224A22">
        <w:trPr>
          <w:trHeight w:val="20"/>
        </w:trPr>
        <w:tc>
          <w:tcPr>
            <w:tcW w:w="9900" w:type="dxa"/>
          </w:tcPr>
          <w:p w14:paraId="1493F1D2" w14:textId="3431CD2C" w:rsidR="00106F90" w:rsidRPr="00756410" w:rsidRDefault="00106F90">
            <w:pPr>
              <w:pStyle w:val="ListParagraph"/>
              <w:widowControl w:val="0"/>
              <w:numPr>
                <w:ilvl w:val="0"/>
                <w:numId w:val="59"/>
              </w:numPr>
              <w:autoSpaceDE w:val="0"/>
              <w:autoSpaceDN w:val="0"/>
              <w:spacing w:after="0" w:line="240" w:lineRule="auto"/>
              <w:ind w:right="110"/>
              <w:rPr>
                <w:rStyle w:val="normaltextrun"/>
                <w:b/>
                <w:sz w:val="20"/>
                <w:szCs w:val="20"/>
                <w:shd w:val="clear" w:color="auto" w:fill="FFFFFF"/>
                <w:lang w:val="es-419"/>
              </w:rPr>
            </w:pPr>
            <w:r w:rsidRPr="3937432E">
              <w:rPr>
                <w:b/>
                <w:sz w:val="20"/>
                <w:szCs w:val="20"/>
                <w:lang w:val="es-419"/>
              </w:rPr>
              <w:lastRenderedPageBreak/>
              <w:t>Garantiza que existan mecanismos de monitoreo de anulación de presupuesto:</w:t>
            </w:r>
            <w:r w:rsidRPr="3937432E">
              <w:rPr>
                <w:sz w:val="20"/>
                <w:szCs w:val="20"/>
                <w:lang w:val="es-419"/>
              </w:rPr>
              <w:t xml:space="preserve"> para la liquidación oportuna de las transacciones de anulación de presupuesto. Cuando se ha ejercido una anulación, el Jefe de la Oficina o Unidad es responsable de garantizar que los fondos se reciban dentro de los 30 días, a menos que el donante acuerde y aplique condiciones especiales. Sin embargo, dichas condiciones especiales deben ser aprobadas previamente por el CFO e incluidas en la guía de anulación del presupuesto de la oficina/unidad. Si los fondos no se reciben dentro de los 30 días, a menos que se indique lo contrario anteriormente, esta situación debe comunicarse al </w:t>
            </w:r>
            <w:r w:rsidR="19601FF1" w:rsidRPr="3937432E">
              <w:rPr>
                <w:sz w:val="20"/>
                <w:szCs w:val="20"/>
                <w:lang w:val="es-419"/>
              </w:rPr>
              <w:t xml:space="preserve">director </w:t>
            </w:r>
            <w:r w:rsidRPr="3937432E">
              <w:rPr>
                <w:sz w:val="20"/>
                <w:szCs w:val="20"/>
                <w:lang w:val="es-419"/>
              </w:rPr>
              <w:t xml:space="preserve">de la </w:t>
            </w:r>
            <w:r w:rsidR="69230AF8" w:rsidRPr="3937432E">
              <w:rPr>
                <w:sz w:val="20"/>
                <w:szCs w:val="20"/>
                <w:lang w:val="es-419"/>
              </w:rPr>
              <w:t xml:space="preserve">buro </w:t>
            </w:r>
            <w:r w:rsidRPr="3937432E">
              <w:rPr>
                <w:sz w:val="20"/>
                <w:szCs w:val="20"/>
                <w:lang w:val="es-419"/>
              </w:rPr>
              <w:t xml:space="preserve">regional respectiva, así como al CFO. Para garantizar que se eliminen las anulaciones presupuestarias, los gerentes de proyecto deben monitorear de cerca </w:t>
            </w:r>
            <w:r w:rsidR="37F538B6" w:rsidRPr="3937432E">
              <w:rPr>
                <w:sz w:val="20"/>
                <w:szCs w:val="20"/>
                <w:lang w:val="es-419"/>
              </w:rPr>
              <w:t>l</w:t>
            </w:r>
            <w:r w:rsidR="490C6E46" w:rsidRPr="3937432E">
              <w:rPr>
                <w:sz w:val="20"/>
                <w:szCs w:val="20"/>
                <w:lang w:val="es-419"/>
              </w:rPr>
              <w:t xml:space="preserve">as contribuciones </w:t>
            </w:r>
            <w:r w:rsidR="006E4D89" w:rsidRPr="3937432E">
              <w:rPr>
                <w:sz w:val="20"/>
                <w:szCs w:val="20"/>
                <w:lang w:val="es-419"/>
              </w:rPr>
              <w:t>recibid</w:t>
            </w:r>
            <w:r w:rsidR="006E4D89">
              <w:rPr>
                <w:sz w:val="20"/>
                <w:szCs w:val="20"/>
                <w:lang w:val="es-419"/>
              </w:rPr>
              <w:t>a</w:t>
            </w:r>
            <w:r w:rsidR="006E4D89" w:rsidRPr="3937432E">
              <w:rPr>
                <w:sz w:val="20"/>
                <w:szCs w:val="20"/>
                <w:lang w:val="es-419"/>
              </w:rPr>
              <w:t>s</w:t>
            </w:r>
            <w:r w:rsidRPr="3937432E">
              <w:rPr>
                <w:sz w:val="20"/>
                <w:szCs w:val="20"/>
                <w:lang w:val="es-419"/>
              </w:rPr>
              <w:t xml:space="preserve"> con respecto a los cronogramas de cuotas acordados y hacer un seguimiento proactivo de los pagos con los donantes.</w:t>
            </w:r>
            <w:bookmarkStart w:id="102" w:name="_Hlk183185512"/>
            <w:bookmarkEnd w:id="102"/>
          </w:p>
        </w:tc>
      </w:tr>
      <w:tr w:rsidR="00C27124" w:rsidRPr="005D2478" w14:paraId="5C1ED198" w14:textId="77777777" w:rsidTr="48224A22">
        <w:trPr>
          <w:trHeight w:val="20"/>
        </w:trPr>
        <w:tc>
          <w:tcPr>
            <w:tcW w:w="9900" w:type="dxa"/>
            <w:shd w:val="clear" w:color="auto" w:fill="000000" w:themeFill="text1"/>
          </w:tcPr>
          <w:p w14:paraId="6B133D2D"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Gestión de registros</w:t>
            </w:r>
          </w:p>
        </w:tc>
      </w:tr>
      <w:tr w:rsidR="003C2B04" w:rsidRPr="00773863" w14:paraId="47AD015C" w14:textId="77777777" w:rsidTr="48224A22">
        <w:trPr>
          <w:trHeight w:val="20"/>
        </w:trPr>
        <w:tc>
          <w:tcPr>
            <w:tcW w:w="9900" w:type="dxa"/>
          </w:tcPr>
          <w:p w14:paraId="255BA3F0" w14:textId="0A185BF1" w:rsidR="00011B58" w:rsidRPr="00756410" w:rsidRDefault="00011B58">
            <w:pPr>
              <w:pStyle w:val="ListParagraph"/>
              <w:widowControl w:val="0"/>
              <w:numPr>
                <w:ilvl w:val="0"/>
                <w:numId w:val="58"/>
              </w:numPr>
              <w:autoSpaceDE w:val="0"/>
              <w:autoSpaceDN w:val="0"/>
              <w:spacing w:after="0" w:line="240" w:lineRule="auto"/>
              <w:rPr>
                <w:sz w:val="20"/>
                <w:szCs w:val="20"/>
                <w:lang w:val="es-419"/>
              </w:rPr>
            </w:pPr>
            <w:r w:rsidRPr="3937432E">
              <w:rPr>
                <w:sz w:val="20"/>
                <w:szCs w:val="20"/>
                <w:lang w:val="es-419"/>
              </w:rPr>
              <w:t>Garantiza que existan procedimientos para cumplir con las políticas de gestión y retención de documentación, como se articula en la sección 2.10 de esta Guía.</w:t>
            </w:r>
          </w:p>
        </w:tc>
      </w:tr>
      <w:tr w:rsidR="00AE51B4" w:rsidRPr="00773863" w14:paraId="255B351A" w14:textId="77777777" w:rsidTr="48224A22">
        <w:trPr>
          <w:trHeight w:val="20"/>
        </w:trPr>
        <w:tc>
          <w:tcPr>
            <w:tcW w:w="9900" w:type="dxa"/>
            <w:shd w:val="clear" w:color="auto" w:fill="E2EFD9" w:themeFill="accent6" w:themeFillTint="33"/>
          </w:tcPr>
          <w:p w14:paraId="5319F1B9" w14:textId="25810C7D" w:rsidR="00011B58" w:rsidRPr="00756410" w:rsidRDefault="00011B58" w:rsidP="00011B58">
            <w:pPr>
              <w:spacing w:after="0" w:line="240" w:lineRule="auto"/>
              <w:rPr>
                <w:sz w:val="20"/>
                <w:szCs w:val="20"/>
                <w:lang w:val="es-419"/>
              </w:rPr>
            </w:pPr>
            <w:r w:rsidRPr="3937432E">
              <w:rPr>
                <w:b/>
                <w:sz w:val="20"/>
                <w:szCs w:val="20"/>
                <w:lang w:val="es-419"/>
              </w:rPr>
              <w:t xml:space="preserve">Perfil de </w:t>
            </w:r>
            <w:r w:rsidR="00906222">
              <w:rPr>
                <w:b/>
                <w:sz w:val="20"/>
                <w:szCs w:val="20"/>
                <w:lang w:val="es-419"/>
              </w:rPr>
              <w:t>usuario</w:t>
            </w:r>
            <w:r w:rsidR="00906222" w:rsidRPr="3937432E">
              <w:rPr>
                <w:b/>
                <w:sz w:val="20"/>
                <w:szCs w:val="20"/>
                <w:lang w:val="es-419"/>
              </w:rPr>
              <w:t xml:space="preserve"> </w:t>
            </w:r>
            <w:r w:rsidRPr="3937432E">
              <w:rPr>
                <w:b/>
                <w:sz w:val="20"/>
                <w:szCs w:val="20"/>
                <w:lang w:val="es-419"/>
              </w:rPr>
              <w:t xml:space="preserve">de IDAM: Por lo general, </w:t>
            </w:r>
            <w:r w:rsidR="00906222">
              <w:rPr>
                <w:b/>
                <w:sz w:val="20"/>
                <w:szCs w:val="20"/>
                <w:lang w:val="es-419"/>
              </w:rPr>
              <w:t>G</w:t>
            </w:r>
            <w:r w:rsidRPr="3937432E">
              <w:rPr>
                <w:b/>
                <w:sz w:val="20"/>
                <w:szCs w:val="20"/>
                <w:lang w:val="es-419"/>
              </w:rPr>
              <w:t xml:space="preserve">erente </w:t>
            </w:r>
            <w:r w:rsidR="00906222">
              <w:rPr>
                <w:b/>
                <w:sz w:val="20"/>
                <w:szCs w:val="20"/>
                <w:lang w:val="es-419"/>
              </w:rPr>
              <w:t>S</w:t>
            </w:r>
            <w:r w:rsidRPr="3937432E">
              <w:rPr>
                <w:b/>
                <w:sz w:val="20"/>
                <w:szCs w:val="20"/>
                <w:lang w:val="es-419"/>
              </w:rPr>
              <w:t xml:space="preserve">enior </w:t>
            </w:r>
            <w:r w:rsidR="00906222">
              <w:rPr>
                <w:b/>
                <w:sz w:val="20"/>
                <w:szCs w:val="20"/>
                <w:lang w:val="es-419"/>
              </w:rPr>
              <w:t>[</w:t>
            </w:r>
            <w:r w:rsidR="00906222" w:rsidRPr="00756410">
              <w:rPr>
                <w:b/>
                <w:i/>
                <w:iCs/>
                <w:sz w:val="20"/>
                <w:szCs w:val="20"/>
                <w:lang w:val="es-419"/>
              </w:rPr>
              <w:t>Senior Manager</w:t>
            </w:r>
            <w:r w:rsidR="00906222">
              <w:rPr>
                <w:b/>
                <w:sz w:val="20"/>
                <w:szCs w:val="20"/>
                <w:lang w:val="es-419"/>
              </w:rPr>
              <w:t xml:space="preserve">] </w:t>
            </w:r>
            <w:r w:rsidRPr="3937432E">
              <w:rPr>
                <w:b/>
                <w:sz w:val="20"/>
                <w:szCs w:val="20"/>
                <w:lang w:val="es-419"/>
              </w:rPr>
              <w:t>(debe ser un</w:t>
            </w:r>
            <w:r w:rsidR="00876052">
              <w:rPr>
                <w:b/>
                <w:sz w:val="20"/>
                <w:szCs w:val="20"/>
                <w:lang w:val="es-419"/>
              </w:rPr>
              <w:t xml:space="preserve"> </w:t>
            </w:r>
            <w:r w:rsidR="0042481B">
              <w:rPr>
                <w:b/>
                <w:sz w:val="20"/>
                <w:szCs w:val="20"/>
                <w:lang w:val="es-419"/>
              </w:rPr>
              <w:t xml:space="preserve">personal </w:t>
            </w:r>
            <w:r w:rsidR="5397E2BD" w:rsidRPr="3937432E">
              <w:rPr>
                <w:b/>
                <w:bCs/>
                <w:sz w:val="20"/>
                <w:szCs w:val="20"/>
                <w:lang w:val="es-419"/>
              </w:rPr>
              <w:t xml:space="preserve">funcionario </w:t>
            </w:r>
            <w:r w:rsidRPr="3937432E">
              <w:rPr>
                <w:b/>
                <w:sz w:val="20"/>
                <w:szCs w:val="20"/>
                <w:lang w:val="es-419"/>
              </w:rPr>
              <w:t>del PNUD)</w:t>
            </w:r>
          </w:p>
        </w:tc>
      </w:tr>
    </w:tbl>
    <w:p w14:paraId="0E8ABE2A" w14:textId="7B69773A" w:rsidR="00231F3A" w:rsidRPr="00756410" w:rsidRDefault="00A51D00">
      <w:pPr>
        <w:pStyle w:val="Heading1"/>
        <w:numPr>
          <w:ilvl w:val="0"/>
          <w:numId w:val="92"/>
        </w:numPr>
        <w:spacing w:after="240"/>
        <w:rPr>
          <w:lang w:val="es-419"/>
        </w:rPr>
      </w:pPr>
      <w:bookmarkStart w:id="103" w:name="_Toc210052787"/>
      <w:r w:rsidRPr="00756410">
        <w:rPr>
          <w:lang w:val="es-419"/>
        </w:rPr>
        <w:t>Otras funciones de control interno</w:t>
      </w:r>
      <w:bookmarkEnd w:id="103"/>
    </w:p>
    <w:p w14:paraId="238B0AE6" w14:textId="09A504D8" w:rsidR="00A51D00" w:rsidRPr="00756410" w:rsidRDefault="00A51D00">
      <w:pPr>
        <w:pStyle w:val="Heading2"/>
        <w:numPr>
          <w:ilvl w:val="1"/>
          <w:numId w:val="92"/>
        </w:numPr>
        <w:spacing w:after="240"/>
        <w:ind w:left="360"/>
        <w:rPr>
          <w:lang w:val="es-ES"/>
        </w:rPr>
      </w:pPr>
      <w:bookmarkStart w:id="104" w:name="_Toc134134786"/>
      <w:bookmarkStart w:id="105" w:name="_Toc210052788"/>
      <w:r w:rsidRPr="00756410">
        <w:rPr>
          <w:lang w:val="es-ES"/>
        </w:rPr>
        <w:t>Funcionarios designados para presentar solicitudes de servicio a BMS/GSSC</w:t>
      </w:r>
      <w:bookmarkEnd w:id="104"/>
      <w:bookmarkEnd w:id="105"/>
    </w:p>
    <w:p w14:paraId="282DDBCB" w14:textId="3D82AC71" w:rsidR="00A51D00" w:rsidRPr="00756410" w:rsidRDefault="00A51D00" w:rsidP="00A51D00">
      <w:pPr>
        <w:spacing w:line="240" w:lineRule="auto"/>
        <w:rPr>
          <w:lang w:val="es-419"/>
        </w:rPr>
      </w:pPr>
      <w:r w:rsidRPr="3937432E">
        <w:rPr>
          <w:lang w:val="es-419"/>
        </w:rPr>
        <w:t xml:space="preserve">El Jefe de Oficina/Unidad asigna </w:t>
      </w:r>
      <w:r w:rsidR="221A37B5" w:rsidRPr="3937432E">
        <w:rPr>
          <w:lang w:val="es-419"/>
        </w:rPr>
        <w:t xml:space="preserve">a funcionarios y </w:t>
      </w:r>
      <w:r w:rsidR="07B37D90" w:rsidRPr="3937432E">
        <w:rPr>
          <w:lang w:val="es-419"/>
        </w:rPr>
        <w:t xml:space="preserve">no funcionarios </w:t>
      </w:r>
      <w:r w:rsidR="07AACD68" w:rsidRPr="3937432E">
        <w:rPr>
          <w:lang w:val="es-419"/>
        </w:rPr>
        <w:t>responsable</w:t>
      </w:r>
      <w:r w:rsidRPr="3937432E">
        <w:rPr>
          <w:lang w:val="es-419"/>
        </w:rPr>
        <w:t xml:space="preserve"> de introducir información en las plataformas de solicitud de servicio del BMS/GSSC/Quantum y </w:t>
      </w:r>
      <w:r w:rsidR="20350E4D" w:rsidRPr="3937432E">
        <w:rPr>
          <w:lang w:val="es-419"/>
        </w:rPr>
        <w:t xml:space="preserve">a los funcionarios </w:t>
      </w:r>
      <w:r w:rsidR="07AACD68" w:rsidRPr="3937432E">
        <w:rPr>
          <w:lang w:val="es-419"/>
        </w:rPr>
        <w:t>responsable</w:t>
      </w:r>
      <w:r w:rsidRPr="3937432E">
        <w:rPr>
          <w:lang w:val="es-419"/>
        </w:rPr>
        <w:t xml:space="preserve"> de verificar la exactitud e integridad de la información para que el BMS/GSSC </w:t>
      </w:r>
      <w:r w:rsidR="221A0670" w:rsidRPr="3937432E">
        <w:rPr>
          <w:lang w:val="es-419"/>
        </w:rPr>
        <w:t>preste</w:t>
      </w:r>
      <w:r w:rsidR="00876052">
        <w:rPr>
          <w:lang w:val="es-419"/>
        </w:rPr>
        <w:t xml:space="preserve"> </w:t>
      </w:r>
      <w:r w:rsidR="221A0670" w:rsidRPr="3937432E">
        <w:rPr>
          <w:lang w:val="es-419"/>
        </w:rPr>
        <w:t>el</w:t>
      </w:r>
      <w:r w:rsidRPr="3937432E">
        <w:rPr>
          <w:lang w:val="es-419"/>
        </w:rPr>
        <w:t xml:space="preserve"> servicio. Las designaciones deben </w:t>
      </w:r>
      <w:r w:rsidR="6AD76444" w:rsidRPr="3937432E">
        <w:rPr>
          <w:lang w:val="es-419"/>
        </w:rPr>
        <w:t xml:space="preserve">ser acordes </w:t>
      </w:r>
      <w:r w:rsidRPr="3937432E">
        <w:rPr>
          <w:lang w:val="es-419"/>
        </w:rPr>
        <w:t xml:space="preserve">con </w:t>
      </w:r>
      <w:hyperlink r:id="rId180">
        <w:r w:rsidR="00494060" w:rsidRPr="00756410">
          <w:rPr>
            <w:rStyle w:val="Hyperlink"/>
            <w:lang w:val="es-419"/>
          </w:rPr>
          <w:t>los procedimientos operativos estándar de BMS/GSSC y otras guías de usuario</w:t>
        </w:r>
      </w:hyperlink>
      <w:r w:rsidRPr="3937432E">
        <w:rPr>
          <w:lang w:val="es-419"/>
        </w:rPr>
        <w:t xml:space="preserve">. Se recomienda que se designe a dos miembros del personal como responsables de examinar y garantizar que las solicitudes de servicio presentadas al BMS/GSSC sean válidas, completas, exactas, conformes con el POPP y el </w:t>
      </w:r>
      <w:r w:rsidR="0792D777" w:rsidRPr="3937432E">
        <w:rPr>
          <w:lang w:val="es-419"/>
        </w:rPr>
        <w:t xml:space="preserve">POE </w:t>
      </w:r>
      <w:r w:rsidRPr="3937432E">
        <w:rPr>
          <w:lang w:val="es-419"/>
        </w:rPr>
        <w:t xml:space="preserve"> pertinente del BMS/GSSC, y que se demuestren adecuadamente con la documentación </w:t>
      </w:r>
      <w:r w:rsidR="673F6921" w:rsidRPr="3937432E">
        <w:rPr>
          <w:lang w:val="es-419"/>
        </w:rPr>
        <w:t>pertinente</w:t>
      </w:r>
      <w:r w:rsidRPr="3937432E">
        <w:rPr>
          <w:lang w:val="es-419"/>
        </w:rPr>
        <w:t>.</w:t>
      </w:r>
    </w:p>
    <w:p w14:paraId="0255C41B" w14:textId="1F0D4F74" w:rsidR="00A51D00" w:rsidRPr="00756410" w:rsidRDefault="00A51D00">
      <w:pPr>
        <w:pStyle w:val="Heading2"/>
        <w:numPr>
          <w:ilvl w:val="1"/>
          <w:numId w:val="92"/>
        </w:numPr>
        <w:spacing w:after="240"/>
        <w:ind w:left="360"/>
        <w:rPr>
          <w:lang w:val="es-ES"/>
        </w:rPr>
      </w:pPr>
      <w:bookmarkStart w:id="106" w:name="11.2_Argus_Focal_Point"/>
      <w:bookmarkStart w:id="107" w:name="_Toc134134787"/>
      <w:bookmarkStart w:id="108" w:name="_Toc210052789"/>
      <w:bookmarkEnd w:id="106"/>
      <w:r w:rsidRPr="00756410">
        <w:rPr>
          <w:lang w:val="es-ES"/>
        </w:rPr>
        <w:lastRenderedPageBreak/>
        <w:t>Puntos focales de IDAM y aprobadores de solicitudes de IDAM</w:t>
      </w:r>
      <w:bookmarkEnd w:id="107"/>
      <w:bookmarkEnd w:id="108"/>
    </w:p>
    <w:p w14:paraId="3F95A462" w14:textId="35E64EC3" w:rsidR="00A51D00" w:rsidRPr="00756410" w:rsidRDefault="00A51D00" w:rsidP="00A51D00">
      <w:pPr>
        <w:spacing w:line="240" w:lineRule="auto"/>
        <w:rPr>
          <w:lang w:val="es-419"/>
        </w:rPr>
      </w:pPr>
      <w:r w:rsidRPr="3937432E">
        <w:rPr>
          <w:lang w:val="es-419"/>
        </w:rPr>
        <w:t xml:space="preserve">El Punto Focal IDAM (Solicitante IDAM) y el Aprobador de Solicitudes IDAM se designan en cada oficina/unidad para facilitar y promulgar la aprobación del Jefe de Oficina/Unidad para las solicitudes de perfil de usuario de Quantum. El Punto Focal IDAM y el Aprobador de Solicitudes IDAM deben tener conocimiento de las diversas funciones laborales dentro de la oficina/unidad, un conocimiento profundo de </w:t>
      </w:r>
      <w:r w:rsidR="7C1FACD4" w:rsidRPr="3937432E">
        <w:rPr>
          <w:lang w:val="es-419"/>
        </w:rPr>
        <w:t xml:space="preserve">esta Guía Operativa </w:t>
      </w:r>
      <w:r w:rsidRPr="3937432E">
        <w:rPr>
          <w:lang w:val="es-419"/>
        </w:rPr>
        <w:t xml:space="preserve"> y una apreciación de las consideraciones de gestión de riesgos, para garantizar que las solicitudes de acceso sean necesarias y apropiadas en el contexto de las actividades de la oficina/unidad.</w:t>
      </w:r>
    </w:p>
    <w:p w14:paraId="2764B18F" w14:textId="5F685D70" w:rsidR="00003931" w:rsidRPr="00756410" w:rsidRDefault="00016669">
      <w:pPr>
        <w:pStyle w:val="Heading1"/>
        <w:numPr>
          <w:ilvl w:val="0"/>
          <w:numId w:val="92"/>
        </w:numPr>
        <w:spacing w:after="240"/>
        <w:rPr>
          <w:lang w:val="es-ES"/>
        </w:rPr>
      </w:pPr>
      <w:bookmarkStart w:id="109" w:name="_Toc210052790"/>
      <w:r w:rsidRPr="3937432E">
        <w:rPr>
          <w:lang w:val="es-419"/>
        </w:rPr>
        <w:t>Transacciones realizadas a petición de las oficinas/</w:t>
      </w:r>
      <w:r w:rsidR="746D01FB" w:rsidRPr="3937432E">
        <w:rPr>
          <w:lang w:val="es-419"/>
        </w:rPr>
        <w:t>unidades</w:t>
      </w:r>
      <w:r w:rsidR="00F63E2F">
        <w:rPr>
          <w:lang w:val="es-419"/>
        </w:rPr>
        <w:t xml:space="preserve"> </w:t>
      </w:r>
      <w:r w:rsidR="62528C26" w:rsidRPr="3937432E">
        <w:rPr>
          <w:lang w:val="es-419"/>
        </w:rPr>
        <w:t>del</w:t>
      </w:r>
      <w:r w:rsidRPr="3937432E">
        <w:rPr>
          <w:lang w:val="es-419"/>
        </w:rPr>
        <w:t xml:space="preserve"> PNUD o de los organismos de las Naciones Unidas</w:t>
      </w:r>
      <w:bookmarkEnd w:id="109"/>
    </w:p>
    <w:p w14:paraId="6499F8EB" w14:textId="48B38FD2" w:rsidR="0077104B" w:rsidRPr="00756410" w:rsidRDefault="0077104B" w:rsidP="00775292">
      <w:pPr>
        <w:spacing w:line="240" w:lineRule="auto"/>
        <w:rPr>
          <w:lang w:val="es-ES"/>
        </w:rPr>
      </w:pPr>
      <w:r w:rsidRPr="00756410">
        <w:rPr>
          <w:lang w:val="es-419"/>
        </w:rPr>
        <w:t>Las oficinas/dependencias del PNUD prestan determinados servicios administrativos y transaccionales para otras oficinas/dependencias del PNUD u otras organizaciones de las Naciones Unidas, entre ellos:</w:t>
      </w:r>
    </w:p>
    <w:p w14:paraId="01EF4264" w14:textId="1E2F32CD" w:rsidR="0077104B" w:rsidRPr="00756410" w:rsidRDefault="0077104B">
      <w:pPr>
        <w:pStyle w:val="ListParagraph"/>
        <w:numPr>
          <w:ilvl w:val="0"/>
          <w:numId w:val="83"/>
        </w:numPr>
        <w:spacing w:line="240" w:lineRule="auto"/>
        <w:rPr>
          <w:lang w:val="es-ES"/>
        </w:rPr>
      </w:pPr>
      <w:r w:rsidRPr="00756410">
        <w:rPr>
          <w:lang w:val="es-419"/>
        </w:rPr>
        <w:t>Realizar pagos para oficinas/unidades o agencias de la ONU que no tienen servicios bancarios en ciertos países.</w:t>
      </w:r>
    </w:p>
    <w:p w14:paraId="52D2A2D6" w14:textId="3EBF2F27" w:rsidR="0077104B" w:rsidRPr="00756410" w:rsidRDefault="0077104B">
      <w:pPr>
        <w:pStyle w:val="ListParagraph"/>
        <w:numPr>
          <w:ilvl w:val="0"/>
          <w:numId w:val="83"/>
        </w:numPr>
        <w:spacing w:line="240" w:lineRule="auto"/>
        <w:rPr>
          <w:lang w:val="es-419"/>
        </w:rPr>
      </w:pPr>
      <w:r w:rsidRPr="00756410">
        <w:rPr>
          <w:lang w:val="es-419"/>
        </w:rPr>
        <w:t>Firmar contratos de agencias de la ONU a solicitud de otra oficina/unidad u organización de la ONU.</w:t>
      </w:r>
    </w:p>
    <w:p w14:paraId="75BDC189" w14:textId="3F8A6B7A" w:rsidR="0077104B" w:rsidRPr="00756410" w:rsidRDefault="0077104B">
      <w:pPr>
        <w:pStyle w:val="ListParagraph"/>
        <w:numPr>
          <w:ilvl w:val="0"/>
          <w:numId w:val="83"/>
        </w:numPr>
        <w:spacing w:line="240" w:lineRule="auto"/>
        <w:rPr>
          <w:lang w:val="es-419"/>
        </w:rPr>
      </w:pPr>
      <w:r w:rsidRPr="00756410">
        <w:rPr>
          <w:lang w:val="es-419"/>
        </w:rPr>
        <w:t>adquisiciones, contratación</w:t>
      </w:r>
      <w:r w:rsidR="00399E9F" w:rsidRPr="3937432E">
        <w:rPr>
          <w:lang w:val="es-419"/>
        </w:rPr>
        <w:t xml:space="preserve"> de personal o nombramiento de funcionarios</w:t>
      </w:r>
      <w:r w:rsidRPr="00756410">
        <w:rPr>
          <w:lang w:val="es-419"/>
        </w:rPr>
        <w:t>, viajes y otros servicios en nombre de otra oficina/unidad u organización de las Naciones Unidas y celebración de contratos para organizaciones de las Naciones Unidas en nombre del PNUD.</w:t>
      </w:r>
    </w:p>
    <w:p w14:paraId="65ABC344" w14:textId="3C4A0D60" w:rsidR="0077104B" w:rsidRPr="00756410" w:rsidRDefault="0077104B" w:rsidP="00775292">
      <w:pPr>
        <w:spacing w:line="240" w:lineRule="auto"/>
        <w:rPr>
          <w:lang w:val="es-419"/>
        </w:rPr>
      </w:pPr>
      <w:r w:rsidRPr="00756410">
        <w:rPr>
          <w:lang w:val="es-419"/>
        </w:rPr>
        <w:t xml:space="preserve">A </w:t>
      </w:r>
      <w:r w:rsidR="72B14E7E" w:rsidRPr="3937432E">
        <w:rPr>
          <w:lang w:val="es-419"/>
        </w:rPr>
        <w:t>continuación,</w:t>
      </w:r>
      <w:r w:rsidRPr="00756410">
        <w:rPr>
          <w:lang w:val="es-419"/>
        </w:rPr>
        <w:t xml:space="preserve"> se describe cada uno de estos escenarios, incluidos los puntos clave de control interno que deben observarse.</w:t>
      </w:r>
    </w:p>
    <w:tbl>
      <w:tblPr>
        <w:tblStyle w:val="TableGrid"/>
        <w:tblW w:w="0" w:type="auto"/>
        <w:tblCellMar>
          <w:left w:w="72" w:type="dxa"/>
          <w:bottom w:w="43" w:type="dxa"/>
          <w:right w:w="72" w:type="dxa"/>
        </w:tblCellMar>
        <w:tblLook w:val="04A0" w:firstRow="1" w:lastRow="0" w:firstColumn="1" w:lastColumn="0" w:noHBand="0" w:noVBand="1"/>
      </w:tblPr>
      <w:tblGrid>
        <w:gridCol w:w="1353"/>
        <w:gridCol w:w="8550"/>
      </w:tblGrid>
      <w:tr w:rsidR="0077104B" w:rsidRPr="00773863" w14:paraId="1C4E7C34" w14:textId="77777777" w:rsidTr="0004107A">
        <w:trPr>
          <w:trHeight w:val="20"/>
          <w:tblHeader/>
        </w:trPr>
        <w:tc>
          <w:tcPr>
            <w:tcW w:w="9895" w:type="dxa"/>
            <w:gridSpan w:val="2"/>
            <w:tcBorders>
              <w:top w:val="single" w:sz="4" w:space="0" w:color="auto"/>
              <w:left w:val="single" w:sz="4" w:space="0" w:color="auto"/>
              <w:bottom w:val="single" w:sz="4" w:space="0" w:color="auto"/>
              <w:right w:val="single" w:sz="4" w:space="0" w:color="auto"/>
            </w:tcBorders>
            <w:shd w:val="clear" w:color="auto" w:fill="002060"/>
          </w:tcPr>
          <w:p w14:paraId="5135E993" w14:textId="6B46EF7A" w:rsidR="0077104B" w:rsidRPr="00756410" w:rsidRDefault="0077104B" w:rsidP="068E6479">
            <w:pPr>
              <w:pStyle w:val="ListParagraph"/>
              <w:widowControl w:val="0"/>
              <w:numPr>
                <w:ilvl w:val="0"/>
                <w:numId w:val="80"/>
              </w:numPr>
              <w:autoSpaceDE w:val="0"/>
              <w:autoSpaceDN w:val="0"/>
              <w:rPr>
                <w:b/>
                <w:sz w:val="20"/>
                <w:szCs w:val="20"/>
                <w:lang w:val="es-419"/>
              </w:rPr>
            </w:pPr>
            <w:r w:rsidRPr="00756410">
              <w:rPr>
                <w:b/>
                <w:sz w:val="20"/>
                <w:szCs w:val="20"/>
                <w:lang w:val="es-419"/>
              </w:rPr>
              <w:t>Realizar pagos para otras oficinas/unidades del PNUD o agencias de la ONU</w:t>
            </w:r>
          </w:p>
        </w:tc>
      </w:tr>
      <w:tr w:rsidR="0077104B" w:rsidRPr="00773863" w14:paraId="0FBE4FA5"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09FF9B87" w14:textId="77777777" w:rsidR="0077104B" w:rsidRPr="00194657" w:rsidRDefault="0077104B" w:rsidP="00CF32EB">
            <w:pPr>
              <w:rPr>
                <w:sz w:val="20"/>
                <w:szCs w:val="20"/>
              </w:rPr>
            </w:pPr>
            <w:r w:rsidRPr="00194657">
              <w:rPr>
                <w:sz w:val="20"/>
                <w:szCs w:val="20"/>
              </w:rPr>
              <w:t>Qué cubre</w:t>
            </w:r>
          </w:p>
        </w:tc>
        <w:tc>
          <w:tcPr>
            <w:tcW w:w="8550" w:type="dxa"/>
            <w:tcBorders>
              <w:top w:val="single" w:sz="4" w:space="0" w:color="auto"/>
              <w:left w:val="single" w:sz="4" w:space="0" w:color="auto"/>
              <w:bottom w:val="single" w:sz="4" w:space="0" w:color="auto"/>
              <w:right w:val="single" w:sz="4" w:space="0" w:color="auto"/>
            </w:tcBorders>
          </w:tcPr>
          <w:p w14:paraId="2DFE4C35" w14:textId="227E9428" w:rsidR="0077104B" w:rsidRPr="00756410" w:rsidRDefault="0077104B" w:rsidP="00CF32EB">
            <w:pPr>
              <w:rPr>
                <w:sz w:val="20"/>
                <w:szCs w:val="20"/>
                <w:lang w:val="es-419"/>
              </w:rPr>
            </w:pPr>
            <w:r w:rsidRPr="00756410">
              <w:rPr>
                <w:sz w:val="20"/>
                <w:szCs w:val="20"/>
                <w:lang w:val="es-419"/>
              </w:rPr>
              <w:t>Servicios de pago para agencias que no disponen de servicios bancarios en determinados países</w:t>
            </w:r>
          </w:p>
        </w:tc>
      </w:tr>
      <w:tr w:rsidR="0077104B" w:rsidRPr="00773863" w14:paraId="75E9EF9A"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13021DDF" w14:textId="77777777" w:rsidR="0077104B" w:rsidRPr="00194657" w:rsidRDefault="0077104B" w:rsidP="00CF32EB">
            <w:pPr>
              <w:rPr>
                <w:sz w:val="20"/>
                <w:szCs w:val="20"/>
              </w:rPr>
            </w:pPr>
            <w:r w:rsidRPr="00194657">
              <w:rPr>
                <w:sz w:val="20"/>
                <w:szCs w:val="20"/>
              </w:rPr>
              <w:t>Implicaciones de la ICF</w:t>
            </w:r>
          </w:p>
        </w:tc>
        <w:tc>
          <w:tcPr>
            <w:tcW w:w="8550" w:type="dxa"/>
            <w:tcBorders>
              <w:top w:val="single" w:sz="4" w:space="0" w:color="auto"/>
              <w:left w:val="single" w:sz="4" w:space="0" w:color="auto"/>
              <w:bottom w:val="single" w:sz="4" w:space="0" w:color="auto"/>
              <w:right w:val="single" w:sz="4" w:space="0" w:color="auto"/>
            </w:tcBorders>
          </w:tcPr>
          <w:p w14:paraId="5340BEF0" w14:textId="196CA9C2" w:rsidR="0077104B" w:rsidRPr="00756410" w:rsidRDefault="0077104B" w:rsidP="00354C59">
            <w:pPr>
              <w:rPr>
                <w:sz w:val="20"/>
                <w:szCs w:val="20"/>
                <w:lang w:val="es-419"/>
              </w:rPr>
            </w:pPr>
            <w:r w:rsidRPr="3937432E">
              <w:rPr>
                <w:sz w:val="20"/>
                <w:szCs w:val="20"/>
                <w:lang w:val="es-419"/>
              </w:rPr>
              <w:t>El concepto de autoridades no se aplica a BMS/GSSC y BMS/OFRM/Tesorería (las oficinas/unidades de desembolso) cuando realizan un desembolso (es decir, ejecutan PPR) a solicitud de la otra organización (la oficina/unidad solicitante). Sin embargo, realizan las acciones mencionadas a continuación con fines de gestión de riesgos.</w:t>
            </w:r>
          </w:p>
        </w:tc>
      </w:tr>
      <w:tr w:rsidR="0077104B" w:rsidRPr="00773863" w14:paraId="699F38A8"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99CECC" w14:textId="7FEFDE7C" w:rsidR="0077104B" w:rsidRPr="00756410" w:rsidRDefault="0077104B" w:rsidP="00CF32EB">
            <w:pPr>
              <w:rPr>
                <w:b/>
                <w:sz w:val="20"/>
                <w:szCs w:val="20"/>
                <w:lang w:val="es-419"/>
              </w:rPr>
            </w:pPr>
            <w:r w:rsidRPr="00756410">
              <w:rPr>
                <w:b/>
                <w:sz w:val="20"/>
                <w:szCs w:val="20"/>
                <w:lang w:val="es-419"/>
              </w:rPr>
              <w:t xml:space="preserve">Responsabilidades de las agencias </w:t>
            </w:r>
            <w:r w:rsidR="49796343" w:rsidRPr="3937432E">
              <w:rPr>
                <w:b/>
                <w:bCs/>
                <w:sz w:val="20"/>
                <w:szCs w:val="20"/>
                <w:lang w:val="es-419"/>
              </w:rPr>
              <w:t xml:space="preserve">Quantum </w:t>
            </w:r>
            <w:r w:rsidRPr="00756410">
              <w:rPr>
                <w:b/>
                <w:sz w:val="20"/>
                <w:szCs w:val="20"/>
                <w:lang w:val="es-419"/>
              </w:rPr>
              <w:t xml:space="preserve"> (como el FNUDC, el UNFPA, ONU Mujeres, la UNU, el UNITAR y el UNSSC)</w:t>
            </w:r>
          </w:p>
        </w:tc>
      </w:tr>
      <w:tr w:rsidR="0077104B" w:rsidRPr="00773863" w14:paraId="78218433"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1C4D68FD" w14:textId="57E9D5BD" w:rsidR="0077104B" w:rsidRPr="00194657" w:rsidRDefault="0077104B" w:rsidP="00CF32EB">
            <w:pPr>
              <w:rPr>
                <w:sz w:val="20"/>
                <w:szCs w:val="20"/>
              </w:rPr>
            </w:pPr>
            <w:r w:rsidRPr="00194657">
              <w:rPr>
                <w:sz w:val="20"/>
                <w:szCs w:val="20"/>
              </w:rPr>
              <w:t>Oficina/unidad solicitante</w:t>
            </w:r>
          </w:p>
        </w:tc>
        <w:tc>
          <w:tcPr>
            <w:tcW w:w="8550" w:type="dxa"/>
            <w:tcBorders>
              <w:top w:val="single" w:sz="4" w:space="0" w:color="auto"/>
              <w:left w:val="single" w:sz="4" w:space="0" w:color="auto"/>
              <w:bottom w:val="single" w:sz="4" w:space="0" w:color="auto"/>
              <w:right w:val="single" w:sz="4" w:space="0" w:color="auto"/>
            </w:tcBorders>
          </w:tcPr>
          <w:p w14:paraId="61568292" w14:textId="391E763E" w:rsidR="00A0634F" w:rsidRPr="00756410" w:rsidRDefault="00A0634F" w:rsidP="068E6479">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Prefinancia la cuenta bancaria del PNUD antes de generar la factura para su desembolso a través del PNUD.</w:t>
            </w:r>
          </w:p>
          <w:p w14:paraId="60C17139" w14:textId="7B37A725"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Asegura que se sigan los propios procedimientos en la creación y aprobación de facturas de proveedores y AP en Quantum.</w:t>
            </w:r>
          </w:p>
        </w:tc>
      </w:tr>
      <w:tr w:rsidR="0077104B" w:rsidRPr="00773863" w14:paraId="2B2AB5B2"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38D99954" w14:textId="77777777" w:rsidR="0077104B" w:rsidRPr="00194657" w:rsidRDefault="0077104B" w:rsidP="00CF32EB">
            <w:pPr>
              <w:rPr>
                <w:sz w:val="20"/>
                <w:szCs w:val="20"/>
              </w:rPr>
            </w:pPr>
            <w:r w:rsidRPr="00194657">
              <w:rPr>
                <w:sz w:val="20"/>
                <w:szCs w:val="20"/>
              </w:rPr>
              <w:t>BMS (GSSC o Tesorería)</w:t>
            </w:r>
          </w:p>
        </w:tc>
        <w:tc>
          <w:tcPr>
            <w:tcW w:w="8550" w:type="dxa"/>
            <w:tcBorders>
              <w:top w:val="single" w:sz="4" w:space="0" w:color="auto"/>
              <w:left w:val="single" w:sz="4" w:space="0" w:color="auto"/>
              <w:bottom w:val="single" w:sz="4" w:space="0" w:color="auto"/>
              <w:right w:val="single" w:sz="4" w:space="0" w:color="auto"/>
            </w:tcBorders>
          </w:tcPr>
          <w:p w14:paraId="0EDC0EA6" w14:textId="6ABD9B96" w:rsidR="0077104B" w:rsidRPr="00756410" w:rsidRDefault="0077104B">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Comprueba que la factura de AP se asigna a la cuenta bancaria correcta PayGroup y al método de pago antes de realizar el pago.</w:t>
            </w:r>
          </w:p>
        </w:tc>
      </w:tr>
      <w:tr w:rsidR="0077104B" w:rsidRPr="00773863" w14:paraId="4BA04785"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893AC4" w14:textId="693FE151" w:rsidR="0077104B" w:rsidRPr="00194657" w:rsidRDefault="0077104B" w:rsidP="00CF32EB">
            <w:pPr>
              <w:rPr>
                <w:b/>
                <w:sz w:val="20"/>
                <w:szCs w:val="20"/>
                <w:lang w:val="es-ES"/>
              </w:rPr>
            </w:pPr>
            <w:r w:rsidRPr="3937432E">
              <w:rPr>
                <w:b/>
                <w:sz w:val="20"/>
                <w:szCs w:val="20"/>
                <w:lang w:val="es-ES"/>
              </w:rPr>
              <w:t xml:space="preserve">Responsabilidades de </w:t>
            </w:r>
            <w:r w:rsidR="33B90FF7" w:rsidRPr="3937432E">
              <w:rPr>
                <w:b/>
                <w:bCs/>
                <w:sz w:val="20"/>
                <w:szCs w:val="20"/>
                <w:lang w:val="es-ES"/>
              </w:rPr>
              <w:t>l</w:t>
            </w:r>
            <w:r w:rsidR="7FB9C6A9" w:rsidRPr="3937432E">
              <w:rPr>
                <w:b/>
                <w:bCs/>
                <w:sz w:val="20"/>
                <w:szCs w:val="20"/>
                <w:lang w:val="es-ES"/>
              </w:rPr>
              <w:t xml:space="preserve">as Agencias que no usan Quantum </w:t>
            </w:r>
            <w:r w:rsidRPr="3937432E">
              <w:rPr>
                <w:b/>
                <w:sz w:val="20"/>
                <w:szCs w:val="20"/>
                <w:lang w:val="es-ES"/>
              </w:rPr>
              <w:t xml:space="preserve"> (como ONUSIDA, UNESCO, OCAH, FAO, etc.)</w:t>
            </w:r>
          </w:p>
        </w:tc>
      </w:tr>
      <w:tr w:rsidR="0077104B" w:rsidRPr="00773863" w14:paraId="4DFD9149"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5EE49CBF" w14:textId="36C6BEB4" w:rsidR="0077104B" w:rsidRPr="00194657" w:rsidRDefault="0077104B" w:rsidP="00CF32EB">
            <w:pPr>
              <w:rPr>
                <w:sz w:val="20"/>
                <w:szCs w:val="20"/>
              </w:rPr>
            </w:pPr>
            <w:r w:rsidRPr="00194657">
              <w:rPr>
                <w:sz w:val="20"/>
                <w:szCs w:val="20"/>
              </w:rPr>
              <w:t>Oficina/unidad solicitante</w:t>
            </w:r>
          </w:p>
        </w:tc>
        <w:tc>
          <w:tcPr>
            <w:tcW w:w="8550" w:type="dxa"/>
            <w:tcBorders>
              <w:top w:val="single" w:sz="4" w:space="0" w:color="auto"/>
              <w:left w:val="single" w:sz="4" w:space="0" w:color="auto"/>
              <w:bottom w:val="single" w:sz="4" w:space="0" w:color="auto"/>
              <w:right w:val="single" w:sz="4" w:space="0" w:color="auto"/>
            </w:tcBorders>
          </w:tcPr>
          <w:p w14:paraId="035E26A7" w14:textId="6AC15EBC"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Envía un formulario de solicitud de servicio de la agencia (ASR) aprobado con documentación de respaldo a la oficina / unidad de país a través del Portal de servicios de la agencia, incluida la factura de pago.</w:t>
            </w:r>
          </w:p>
        </w:tc>
      </w:tr>
      <w:tr w:rsidR="0077104B" w:rsidRPr="00773863" w14:paraId="2FF00DEC"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13BB7557" w14:textId="52B3BDB6" w:rsidR="0077104B" w:rsidRPr="00194657" w:rsidRDefault="4C3A836D" w:rsidP="00CF32EB">
            <w:pPr>
              <w:rPr>
                <w:sz w:val="20"/>
                <w:szCs w:val="20"/>
              </w:rPr>
            </w:pPr>
            <w:r w:rsidRPr="3937432E">
              <w:rPr>
                <w:sz w:val="20"/>
                <w:szCs w:val="20"/>
              </w:rPr>
              <w:t>OP/CO</w:t>
            </w:r>
          </w:p>
        </w:tc>
        <w:tc>
          <w:tcPr>
            <w:tcW w:w="8550" w:type="dxa"/>
            <w:tcBorders>
              <w:top w:val="single" w:sz="4" w:space="0" w:color="auto"/>
              <w:left w:val="single" w:sz="4" w:space="0" w:color="auto"/>
              <w:bottom w:val="single" w:sz="4" w:space="0" w:color="auto"/>
              <w:right w:val="single" w:sz="4" w:space="0" w:color="auto"/>
            </w:tcBorders>
          </w:tcPr>
          <w:p w14:paraId="19913997" w14:textId="75BB1F91"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Crea proveedores en Quantum siguiendo el POPP del PNUD para la creación de proveedores.</w:t>
            </w:r>
          </w:p>
          <w:p w14:paraId="3EB70446" w14:textId="3B0991BC" w:rsidR="00B6095F" w:rsidRPr="00756410" w:rsidRDefault="00B6095F"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 xml:space="preserve">Verifica que el ASR haya sido aprobado por un funcionario autorizado incluido en la </w:t>
            </w:r>
            <w:hyperlink r:id="rId181">
              <w:r w:rsidRPr="00756410">
                <w:rPr>
                  <w:sz w:val="20"/>
                  <w:szCs w:val="20"/>
                  <w:lang w:val="es-419"/>
                </w:rPr>
                <w:t xml:space="preserve">'Lista de signatarios autorizados de agencias' </w:t>
              </w:r>
            </w:hyperlink>
            <w:r w:rsidRPr="00756410">
              <w:rPr>
                <w:sz w:val="20"/>
                <w:szCs w:val="20"/>
                <w:lang w:val="es-419"/>
              </w:rPr>
              <w:t>mantenida por las agencias BMS / GSSC.</w:t>
            </w:r>
          </w:p>
          <w:p w14:paraId="050D309A" w14:textId="1BCA2977" w:rsidR="00B6095F" w:rsidRPr="00756410" w:rsidRDefault="00B6095F"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Crea una factura en Quantum basada en el ASR, adjuntando el ASR a la transacción de factura de Quantum. La transacción se registra en la Cuenta de Compensación de Servicios (SCA), prefinanciada por la Agencia.</w:t>
            </w:r>
          </w:p>
          <w:p w14:paraId="05DDFAED" w14:textId="2C16CF71" w:rsidR="0077104B" w:rsidRPr="00756410" w:rsidRDefault="00B6095F" w:rsidP="068E6479">
            <w:pPr>
              <w:pStyle w:val="ListParagraph"/>
              <w:widowControl w:val="0"/>
              <w:numPr>
                <w:ilvl w:val="0"/>
                <w:numId w:val="81"/>
              </w:numPr>
              <w:autoSpaceDE w:val="0"/>
              <w:autoSpaceDN w:val="0"/>
              <w:ind w:left="250" w:hanging="270"/>
              <w:rPr>
                <w:color w:val="ED7D31" w:themeColor="accent2"/>
                <w:sz w:val="20"/>
                <w:szCs w:val="20"/>
                <w:lang w:val="es-419"/>
              </w:rPr>
            </w:pPr>
            <w:r w:rsidRPr="3937432E">
              <w:rPr>
                <w:sz w:val="20"/>
                <w:szCs w:val="20"/>
                <w:lang w:val="es-419"/>
              </w:rPr>
              <w:t xml:space="preserve">Realiza la primera aprobación de la factura de AP en Quantum, asegurando que el servicio se ha </w:t>
            </w:r>
            <w:r w:rsidRPr="3937432E">
              <w:rPr>
                <w:sz w:val="20"/>
                <w:szCs w:val="20"/>
                <w:lang w:val="es-419"/>
              </w:rPr>
              <w:lastRenderedPageBreak/>
              <w:t>prestado de acuerdo con la solicitud/acuerdo con la agencia que no es de Quantum, y que se han aplicado los cargos de recuperación de costos relevantes marcando la solicitud en el Portal de Servicios de Agencia como "cumplida" (las tarifas son calculadas automáticamente por el Portal de Servicios de Agencia durante la presentación de la solicitud en función de una selección de servicios (,  categoría de servicio y paquete de servicios) elegidos por el remitente).</w:t>
            </w:r>
          </w:p>
        </w:tc>
      </w:tr>
      <w:tr w:rsidR="0077104B" w:rsidRPr="00773863" w14:paraId="41B1EEAB" w14:textId="77777777" w:rsidTr="0004107A">
        <w:trPr>
          <w:trHeight w:val="20"/>
        </w:trPr>
        <w:tc>
          <w:tcPr>
            <w:tcW w:w="1345" w:type="dxa"/>
            <w:tcBorders>
              <w:top w:val="single" w:sz="4" w:space="0" w:color="auto"/>
              <w:left w:val="single" w:sz="4" w:space="0" w:color="auto"/>
              <w:bottom w:val="single" w:sz="4" w:space="0" w:color="auto"/>
              <w:right w:val="single" w:sz="4" w:space="0" w:color="auto"/>
            </w:tcBorders>
          </w:tcPr>
          <w:p w14:paraId="2752D693" w14:textId="77777777" w:rsidR="0077104B" w:rsidRPr="00194657" w:rsidRDefault="0077104B" w:rsidP="00CF32EB">
            <w:pPr>
              <w:rPr>
                <w:sz w:val="20"/>
                <w:szCs w:val="20"/>
              </w:rPr>
            </w:pPr>
            <w:r w:rsidRPr="00194657">
              <w:rPr>
                <w:sz w:val="20"/>
                <w:szCs w:val="20"/>
              </w:rPr>
              <w:lastRenderedPageBreak/>
              <w:t>BMS/GSSC</w:t>
            </w:r>
          </w:p>
        </w:tc>
        <w:tc>
          <w:tcPr>
            <w:tcW w:w="8550" w:type="dxa"/>
            <w:tcBorders>
              <w:top w:val="single" w:sz="4" w:space="0" w:color="auto"/>
              <w:left w:val="single" w:sz="4" w:space="0" w:color="auto"/>
              <w:bottom w:val="single" w:sz="4" w:space="0" w:color="auto"/>
              <w:right w:val="single" w:sz="4" w:space="0" w:color="auto"/>
            </w:tcBorders>
          </w:tcPr>
          <w:p w14:paraId="2FFE95F4" w14:textId="62215EFF"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Revisa y aprueba al proveedor en Quantum siguiendo el POPP del PNUD para la aprobación del proveedor.</w:t>
            </w:r>
          </w:p>
          <w:p w14:paraId="54CB6F3B" w14:textId="095AD049" w:rsidR="0077104B" w:rsidRPr="00756410" w:rsidRDefault="0077104B">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 xml:space="preserve">Verifica la factura de AP en Quantum, verificando que: (i) el monto de ASR y la información bancaria coincidan con la factura proporcionada como documentación de respaldo; y (ii) ASR haya sido aprobado por un funcionario autorizado incluido en la </w:t>
            </w:r>
            <w:hyperlink r:id="rId182">
              <w:r w:rsidRPr="00756410">
                <w:rPr>
                  <w:sz w:val="20"/>
                  <w:szCs w:val="20"/>
                  <w:lang w:val="es-419"/>
                </w:rPr>
                <w:t xml:space="preserve">'Lista de signatarios autorizados de agencias' </w:t>
              </w:r>
            </w:hyperlink>
            <w:r w:rsidRPr="00756410">
              <w:rPr>
                <w:sz w:val="20"/>
                <w:szCs w:val="20"/>
                <w:lang w:val="es-419"/>
              </w:rPr>
              <w:t>mantenida por BMS / OFRM / CFRA; antes de aprobar la factura para el pago en Quantum.</w:t>
            </w:r>
          </w:p>
          <w:p w14:paraId="1B77101D" w14:textId="424AEC0E" w:rsidR="0077104B" w:rsidRPr="00756410" w:rsidRDefault="0077104B" w:rsidP="068E6479">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Confirma que el ASR aprobado y la factura de respaldo se adjunta en Quantum como evidencia.</w:t>
            </w:r>
          </w:p>
        </w:tc>
      </w:tr>
    </w:tbl>
    <w:p w14:paraId="621DF08F" w14:textId="77777777" w:rsidR="0077104B" w:rsidRPr="00756410" w:rsidRDefault="0077104B" w:rsidP="0077104B">
      <w:pPr>
        <w:rPr>
          <w:sz w:val="8"/>
          <w:szCs w:val="8"/>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43" w:type="dxa"/>
          <w:right w:w="72" w:type="dxa"/>
        </w:tblCellMar>
        <w:tblLook w:val="04A0" w:firstRow="1" w:lastRow="0" w:firstColumn="1" w:lastColumn="0" w:noHBand="0" w:noVBand="1"/>
      </w:tblPr>
      <w:tblGrid>
        <w:gridCol w:w="1345"/>
        <w:gridCol w:w="8550"/>
      </w:tblGrid>
      <w:tr w:rsidR="0077104B" w:rsidRPr="00773863" w14:paraId="423BE226" w14:textId="77777777" w:rsidTr="0004107A">
        <w:trPr>
          <w:trHeight w:val="20"/>
        </w:trPr>
        <w:tc>
          <w:tcPr>
            <w:tcW w:w="9895" w:type="dxa"/>
            <w:gridSpan w:val="2"/>
            <w:shd w:val="clear" w:color="auto" w:fill="002060"/>
          </w:tcPr>
          <w:p w14:paraId="31A28101" w14:textId="1F3437FD" w:rsidR="0077104B" w:rsidRPr="00756410" w:rsidRDefault="0077104B" w:rsidP="068E6479">
            <w:pPr>
              <w:pStyle w:val="ListParagraph"/>
              <w:widowControl w:val="0"/>
              <w:numPr>
                <w:ilvl w:val="0"/>
                <w:numId w:val="80"/>
              </w:numPr>
              <w:autoSpaceDE w:val="0"/>
              <w:autoSpaceDN w:val="0"/>
              <w:rPr>
                <w:b/>
                <w:sz w:val="20"/>
                <w:szCs w:val="20"/>
                <w:lang w:val="es-419"/>
              </w:rPr>
            </w:pPr>
            <w:r w:rsidRPr="00756410">
              <w:rPr>
                <w:b/>
                <w:sz w:val="20"/>
                <w:szCs w:val="20"/>
                <w:lang w:val="es-419"/>
              </w:rPr>
              <w:t>Firmar contratos ajenos al PNUD a petición de otra organización de las Naciones Unidas</w:t>
            </w:r>
          </w:p>
        </w:tc>
      </w:tr>
      <w:tr w:rsidR="0077104B" w:rsidRPr="00773863" w14:paraId="01B1DB01" w14:textId="77777777" w:rsidTr="0004107A">
        <w:trPr>
          <w:trHeight w:val="20"/>
        </w:trPr>
        <w:tc>
          <w:tcPr>
            <w:tcW w:w="1345" w:type="dxa"/>
          </w:tcPr>
          <w:p w14:paraId="0E5F9D08" w14:textId="77777777" w:rsidR="0077104B" w:rsidRPr="00BB337C" w:rsidRDefault="0077104B" w:rsidP="00CF32EB">
            <w:pPr>
              <w:rPr>
                <w:sz w:val="20"/>
                <w:szCs w:val="20"/>
              </w:rPr>
            </w:pPr>
            <w:r w:rsidRPr="00BB337C">
              <w:rPr>
                <w:sz w:val="20"/>
                <w:szCs w:val="20"/>
              </w:rPr>
              <w:t>Qué cubre</w:t>
            </w:r>
          </w:p>
        </w:tc>
        <w:tc>
          <w:tcPr>
            <w:tcW w:w="8550" w:type="dxa"/>
          </w:tcPr>
          <w:p w14:paraId="0517EB7D" w14:textId="48CCCD84" w:rsidR="0077104B" w:rsidRPr="00756410" w:rsidRDefault="0077104B" w:rsidP="00CF32EB">
            <w:pPr>
              <w:rPr>
                <w:sz w:val="20"/>
                <w:szCs w:val="20"/>
                <w:lang w:val="es-419"/>
              </w:rPr>
            </w:pPr>
            <w:r w:rsidRPr="3937432E">
              <w:rPr>
                <w:sz w:val="20"/>
                <w:szCs w:val="20"/>
                <w:lang w:val="es-419"/>
              </w:rPr>
              <w:t>Se puede pedir a los RR del PNUD que firmen un contrato de bienes y/o servicios entre una entidad de las Naciones Unidas representada por el PNUD y un contratista.</w:t>
            </w:r>
          </w:p>
        </w:tc>
      </w:tr>
      <w:tr w:rsidR="0077104B" w:rsidRPr="00773863" w14:paraId="51CCFD38" w14:textId="77777777" w:rsidTr="0004107A">
        <w:trPr>
          <w:trHeight w:val="20"/>
        </w:trPr>
        <w:tc>
          <w:tcPr>
            <w:tcW w:w="1345" w:type="dxa"/>
          </w:tcPr>
          <w:p w14:paraId="1F2B5882" w14:textId="77777777" w:rsidR="0077104B" w:rsidRPr="00BB337C" w:rsidRDefault="0077104B" w:rsidP="00CF32EB">
            <w:pPr>
              <w:rPr>
                <w:sz w:val="20"/>
                <w:szCs w:val="20"/>
              </w:rPr>
            </w:pPr>
            <w:r w:rsidRPr="00BB337C">
              <w:rPr>
                <w:sz w:val="20"/>
                <w:szCs w:val="20"/>
              </w:rPr>
              <w:t>Implicaciones de la ICF</w:t>
            </w:r>
          </w:p>
        </w:tc>
        <w:tc>
          <w:tcPr>
            <w:tcW w:w="8550" w:type="dxa"/>
          </w:tcPr>
          <w:p w14:paraId="5CEF2DF9" w14:textId="56F4228C" w:rsidR="0077104B" w:rsidRPr="00756410" w:rsidRDefault="0077104B" w:rsidP="363CA695">
            <w:pPr>
              <w:rPr>
                <w:sz w:val="20"/>
                <w:szCs w:val="20"/>
                <w:lang w:val="es-419"/>
              </w:rPr>
            </w:pPr>
            <w:r w:rsidRPr="3937432E">
              <w:rPr>
                <w:sz w:val="20"/>
                <w:szCs w:val="20"/>
                <w:lang w:val="es-419"/>
              </w:rPr>
              <w:t xml:space="preserve">Cuando el RR firma un contrato en nombre de otra organización, el contrato no debe referirse al PNUD. El contrato debe prepararse con el membrete u otro modelo de la organización para la que actúa el RR y no con membrete del PNUD, a fin de no dar a entender que se trata de un contrato del PNUD. Véanse las </w:t>
            </w:r>
            <w:hyperlink r:id="rId183">
              <w:r w:rsidRPr="00756410">
                <w:rPr>
                  <w:rStyle w:val="Hyperlink"/>
                  <w:sz w:val="20"/>
                  <w:szCs w:val="20"/>
                  <w:lang w:val="es-419"/>
                </w:rPr>
                <w:t xml:space="preserve">Consideraciones generales de la contratación </w:t>
              </w:r>
            </w:hyperlink>
            <w:r w:rsidRPr="00756410">
              <w:rPr>
                <w:sz w:val="20"/>
                <w:szCs w:val="20"/>
                <w:lang w:val="es-419"/>
              </w:rPr>
              <w:t>(párrafo 20). Las copias de este contrato deben conservarse y archivarse de forma segura.</w:t>
            </w:r>
          </w:p>
          <w:p w14:paraId="5EC38385" w14:textId="77777777" w:rsidR="0077104B" w:rsidRPr="00756410" w:rsidRDefault="0077104B" w:rsidP="00CF32EB">
            <w:pPr>
              <w:rPr>
                <w:sz w:val="20"/>
                <w:szCs w:val="20"/>
                <w:lang w:val="es-419"/>
              </w:rPr>
            </w:pPr>
          </w:p>
          <w:p w14:paraId="0D996BE6" w14:textId="1140ACA1" w:rsidR="0077104B" w:rsidRPr="00756410" w:rsidRDefault="0077104B" w:rsidP="00CF32EB">
            <w:pPr>
              <w:rPr>
                <w:sz w:val="20"/>
                <w:szCs w:val="20"/>
                <w:lang w:val="es-419"/>
              </w:rPr>
            </w:pPr>
            <w:r w:rsidRPr="3937432E">
              <w:rPr>
                <w:sz w:val="20"/>
                <w:szCs w:val="20"/>
                <w:lang w:val="es-419"/>
              </w:rPr>
              <w:t>Nota: Estos contratos no deben registrarse en Quantum, al menos no dentro de la unidad de operaciones del PNUD, porque estos contratos pertenecen a otras organizaciones de las Naciones Unidas y deben registrarse dentro del sistema contable de las respectivas organizaciones.</w:t>
            </w:r>
          </w:p>
        </w:tc>
      </w:tr>
    </w:tbl>
    <w:p w14:paraId="401B1CB1" w14:textId="77777777" w:rsidR="0077104B" w:rsidRPr="00756410" w:rsidRDefault="0077104B" w:rsidP="0077104B">
      <w:pPr>
        <w:rPr>
          <w:sz w:val="8"/>
          <w:szCs w:val="8"/>
          <w:lang w:val="es-419"/>
        </w:rPr>
      </w:pPr>
    </w:p>
    <w:tbl>
      <w:tblPr>
        <w:tblStyle w:val="TableGrid"/>
        <w:tblW w:w="0" w:type="auto"/>
        <w:tblCellMar>
          <w:left w:w="72" w:type="dxa"/>
          <w:bottom w:w="43" w:type="dxa"/>
          <w:right w:w="72" w:type="dxa"/>
        </w:tblCellMar>
        <w:tblLook w:val="04A0" w:firstRow="1" w:lastRow="0" w:firstColumn="1" w:lastColumn="0" w:noHBand="0" w:noVBand="1"/>
      </w:tblPr>
      <w:tblGrid>
        <w:gridCol w:w="1387"/>
        <w:gridCol w:w="8539"/>
      </w:tblGrid>
      <w:tr w:rsidR="0077104B" w:rsidRPr="00773863" w14:paraId="0FA31B16" w14:textId="77777777" w:rsidTr="0004107A">
        <w:trPr>
          <w:trHeight w:val="20"/>
          <w:tblHeader/>
        </w:trPr>
        <w:tc>
          <w:tcPr>
            <w:tcW w:w="9895" w:type="dxa"/>
            <w:gridSpan w:val="2"/>
            <w:tcBorders>
              <w:top w:val="single" w:sz="4" w:space="0" w:color="auto"/>
              <w:left w:val="single" w:sz="4" w:space="0" w:color="auto"/>
              <w:bottom w:val="single" w:sz="4" w:space="0" w:color="auto"/>
              <w:right w:val="single" w:sz="4" w:space="0" w:color="auto"/>
            </w:tcBorders>
            <w:shd w:val="clear" w:color="auto" w:fill="002060"/>
          </w:tcPr>
          <w:p w14:paraId="6B2899D9" w14:textId="34B942E3" w:rsidR="0077104B" w:rsidRPr="00756410" w:rsidRDefault="0077104B" w:rsidP="4ADA6C0E">
            <w:pPr>
              <w:pStyle w:val="ListParagraph"/>
              <w:widowControl w:val="0"/>
              <w:numPr>
                <w:ilvl w:val="0"/>
                <w:numId w:val="80"/>
              </w:numPr>
              <w:autoSpaceDE w:val="0"/>
              <w:autoSpaceDN w:val="0"/>
              <w:rPr>
                <w:b/>
                <w:sz w:val="20"/>
                <w:szCs w:val="20"/>
                <w:lang w:val="es-419"/>
              </w:rPr>
            </w:pPr>
            <w:r w:rsidRPr="00756410">
              <w:rPr>
                <w:b/>
                <w:sz w:val="20"/>
                <w:szCs w:val="20"/>
                <w:lang w:val="es-419"/>
              </w:rPr>
              <w:t>Firmar contratos del PNUD para adquisiciones, viajes y otros servicios prestados en nombre de otra oficina/unidad u organización de las Naciones Unidas y celebrar contratos para organizaciones de las Naciones Unidas en nombre del PNUD</w:t>
            </w:r>
          </w:p>
        </w:tc>
      </w:tr>
      <w:tr w:rsidR="0077104B" w:rsidRPr="00773863" w14:paraId="0E919282"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7F52DB34" w14:textId="77777777" w:rsidR="0077104B" w:rsidRPr="00FC4670" w:rsidRDefault="0077104B" w:rsidP="00CF32EB">
            <w:pPr>
              <w:rPr>
                <w:sz w:val="20"/>
                <w:szCs w:val="20"/>
              </w:rPr>
            </w:pPr>
            <w:r w:rsidRPr="00FC4670">
              <w:rPr>
                <w:sz w:val="20"/>
                <w:szCs w:val="20"/>
              </w:rPr>
              <w:t>Qué cubre</w:t>
            </w:r>
          </w:p>
        </w:tc>
        <w:tc>
          <w:tcPr>
            <w:tcW w:w="8730" w:type="dxa"/>
            <w:tcBorders>
              <w:top w:val="single" w:sz="4" w:space="0" w:color="auto"/>
              <w:left w:val="single" w:sz="4" w:space="0" w:color="auto"/>
              <w:bottom w:val="single" w:sz="4" w:space="0" w:color="auto"/>
              <w:right w:val="single" w:sz="4" w:space="0" w:color="auto"/>
            </w:tcBorders>
          </w:tcPr>
          <w:p w14:paraId="28B04D48" w14:textId="651F8D90" w:rsidR="0077104B" w:rsidRPr="00756410" w:rsidRDefault="0077104B" w:rsidP="363CA695">
            <w:pPr>
              <w:rPr>
                <w:sz w:val="20"/>
                <w:szCs w:val="20"/>
                <w:lang w:val="es-419"/>
              </w:rPr>
            </w:pPr>
            <w:r w:rsidRPr="3937432E">
              <w:rPr>
                <w:sz w:val="20"/>
                <w:szCs w:val="20"/>
                <w:lang w:val="es-419"/>
              </w:rPr>
              <w:t>Cuando la oficina/unidad, denominada 'oficina/unidad contratante', celebra un contrato con el PNUD a solicitud de otra oficina/unidad u organización, denominada 'oficina/unidad solicitante'.</w:t>
            </w:r>
          </w:p>
        </w:tc>
      </w:tr>
      <w:tr w:rsidR="0077104B" w:rsidRPr="00773863" w14:paraId="6E1DA831"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01AE466B" w14:textId="77777777" w:rsidR="0077104B" w:rsidRPr="00FC4670" w:rsidRDefault="0077104B" w:rsidP="00CF32EB">
            <w:pPr>
              <w:rPr>
                <w:sz w:val="20"/>
                <w:szCs w:val="20"/>
              </w:rPr>
            </w:pPr>
            <w:r w:rsidRPr="00FC4670">
              <w:rPr>
                <w:sz w:val="20"/>
                <w:szCs w:val="20"/>
              </w:rPr>
              <w:t>Implicaciones de la ICF</w:t>
            </w:r>
          </w:p>
        </w:tc>
        <w:tc>
          <w:tcPr>
            <w:tcW w:w="8730" w:type="dxa"/>
            <w:tcBorders>
              <w:top w:val="single" w:sz="4" w:space="0" w:color="auto"/>
              <w:left w:val="single" w:sz="4" w:space="0" w:color="auto"/>
              <w:bottom w:val="single" w:sz="4" w:space="0" w:color="auto"/>
              <w:right w:val="single" w:sz="4" w:space="0" w:color="auto"/>
            </w:tcBorders>
          </w:tcPr>
          <w:p w14:paraId="15D02B66" w14:textId="5481CE6D" w:rsidR="0077104B" w:rsidRPr="00756410" w:rsidRDefault="0077104B" w:rsidP="00CF32EB">
            <w:pPr>
              <w:rPr>
                <w:sz w:val="20"/>
                <w:szCs w:val="20"/>
                <w:lang w:val="es-419"/>
              </w:rPr>
            </w:pPr>
            <w:r w:rsidRPr="00756410">
              <w:rPr>
                <w:sz w:val="20"/>
                <w:szCs w:val="20"/>
                <w:lang w:val="es-419"/>
              </w:rPr>
              <w:t xml:space="preserve">En estos casos, </w:t>
            </w:r>
            <w:hyperlink r:id="rId184">
              <w:r w:rsidRPr="00756410">
                <w:rPr>
                  <w:rStyle w:val="Hyperlink"/>
                  <w:sz w:val="20"/>
                  <w:szCs w:val="20"/>
                  <w:lang w:val="es-419"/>
                </w:rPr>
                <w:t xml:space="preserve"> </w:t>
              </w:r>
            </w:hyperlink>
            <w:r w:rsidRPr="3937432E">
              <w:rPr>
                <w:sz w:val="20"/>
                <w:szCs w:val="20"/>
                <w:lang w:val="es-419"/>
              </w:rPr>
              <w:t xml:space="preserve">deben seguirse las políticas y procedimientos de adquisiciones del PNUD. Esta sección también se aplica a las solicitudes para organizar viajes (es decir, boleto y </w:t>
            </w:r>
            <w:r w:rsidR="007734B2">
              <w:rPr>
                <w:sz w:val="20"/>
                <w:szCs w:val="20"/>
                <w:lang w:val="es-419"/>
              </w:rPr>
              <w:t>dietas</w:t>
            </w:r>
            <w:r w:rsidRPr="3937432E">
              <w:rPr>
                <w:sz w:val="20"/>
                <w:szCs w:val="20"/>
                <w:lang w:val="es-419"/>
              </w:rPr>
              <w:t>).</w:t>
            </w:r>
          </w:p>
        </w:tc>
      </w:tr>
      <w:tr w:rsidR="0077104B" w:rsidRPr="00773863" w14:paraId="294D72A0"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CA633B" w14:textId="12D9073D" w:rsidR="0077104B" w:rsidRPr="00756410" w:rsidRDefault="0077104B" w:rsidP="00CF32EB">
            <w:pPr>
              <w:rPr>
                <w:b/>
                <w:sz w:val="20"/>
                <w:szCs w:val="20"/>
                <w:lang w:val="es-419"/>
              </w:rPr>
            </w:pPr>
            <w:r w:rsidRPr="00756410">
              <w:rPr>
                <w:b/>
                <w:sz w:val="20"/>
                <w:szCs w:val="20"/>
                <w:lang w:val="es-419"/>
              </w:rPr>
              <w:t xml:space="preserve">Responsabilidades de las agencias </w:t>
            </w:r>
            <w:r w:rsidR="37DD0A66" w:rsidRPr="3937432E">
              <w:rPr>
                <w:b/>
                <w:bCs/>
                <w:sz w:val="20"/>
                <w:szCs w:val="20"/>
                <w:lang w:val="es-419"/>
              </w:rPr>
              <w:t>Quantum</w:t>
            </w:r>
            <w:r w:rsidRPr="00756410">
              <w:rPr>
                <w:b/>
                <w:sz w:val="20"/>
                <w:szCs w:val="20"/>
                <w:lang w:val="es-419"/>
              </w:rPr>
              <w:t>(como el FNUDC, el UNFPA, ONU Mujeres, la UNU, el UNITAR y el UNSSC)</w:t>
            </w:r>
          </w:p>
        </w:tc>
      </w:tr>
      <w:tr w:rsidR="0077104B" w:rsidRPr="00773863" w14:paraId="13DC5C16"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1B3333B4" w14:textId="3F9FD643" w:rsidR="0077104B" w:rsidRPr="00FC4670" w:rsidRDefault="0077104B" w:rsidP="00CF32EB">
            <w:pPr>
              <w:rPr>
                <w:sz w:val="20"/>
                <w:szCs w:val="20"/>
              </w:rPr>
            </w:pPr>
            <w:r w:rsidRPr="00FC4670">
              <w:rPr>
                <w:sz w:val="20"/>
                <w:szCs w:val="20"/>
              </w:rPr>
              <w:t>Oficina/unidad solicitante</w:t>
            </w:r>
          </w:p>
        </w:tc>
        <w:tc>
          <w:tcPr>
            <w:tcW w:w="8730" w:type="dxa"/>
            <w:tcBorders>
              <w:top w:val="single" w:sz="4" w:space="0" w:color="auto"/>
              <w:left w:val="single" w:sz="4" w:space="0" w:color="auto"/>
              <w:bottom w:val="single" w:sz="4" w:space="0" w:color="auto"/>
              <w:right w:val="single" w:sz="4" w:space="0" w:color="auto"/>
            </w:tcBorders>
          </w:tcPr>
          <w:p w14:paraId="16534720" w14:textId="457F0FC8"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Actúa como primera autoridad al crear y aprobar solicitudes de compra o solicitudes de viaje en Quantum.</w:t>
            </w:r>
          </w:p>
        </w:tc>
      </w:tr>
      <w:tr w:rsidR="0077104B" w:rsidRPr="00773863" w14:paraId="70072C7B"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07C57A15" w14:textId="658F9509" w:rsidR="0077104B" w:rsidRPr="00FC4670" w:rsidRDefault="188B3EA9" w:rsidP="00CF32EB">
            <w:pPr>
              <w:rPr>
                <w:sz w:val="20"/>
                <w:szCs w:val="20"/>
              </w:rPr>
            </w:pPr>
            <w:r w:rsidRPr="3937432E">
              <w:rPr>
                <w:sz w:val="20"/>
                <w:szCs w:val="20"/>
              </w:rPr>
              <w:t>OP/</w:t>
            </w:r>
            <w:r w:rsidR="0077104B">
              <w:rPr>
                <w:sz w:val="20"/>
                <w:szCs w:val="20"/>
              </w:rPr>
              <w:t>CO</w:t>
            </w:r>
          </w:p>
        </w:tc>
        <w:tc>
          <w:tcPr>
            <w:tcW w:w="8730" w:type="dxa"/>
            <w:tcBorders>
              <w:top w:val="single" w:sz="4" w:space="0" w:color="auto"/>
              <w:left w:val="single" w:sz="4" w:space="0" w:color="auto"/>
              <w:bottom w:val="single" w:sz="4" w:space="0" w:color="auto"/>
              <w:right w:val="single" w:sz="4" w:space="0" w:color="auto"/>
            </w:tcBorders>
          </w:tcPr>
          <w:p w14:paraId="3DE9330C" w14:textId="64E7E922"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Realiza adquisiciones de acuerdo con el POPP del PNUD.</w:t>
            </w:r>
          </w:p>
          <w:p w14:paraId="0652EFF3" w14:textId="2AF76842" w:rsidR="00721FC3" w:rsidRPr="00756410" w:rsidRDefault="7344938D" w:rsidP="3937432E">
            <w:pPr>
              <w:pStyle w:val="ListParagraph"/>
              <w:widowControl w:val="0"/>
              <w:numPr>
                <w:ilvl w:val="0"/>
                <w:numId w:val="81"/>
              </w:numPr>
              <w:autoSpaceDE w:val="0"/>
              <w:autoSpaceDN w:val="0"/>
              <w:ind w:left="250" w:hanging="270"/>
              <w:rPr>
                <w:sz w:val="20"/>
                <w:szCs w:val="20"/>
                <w:lang w:val="es-ES"/>
              </w:rPr>
            </w:pPr>
            <w:r w:rsidRPr="00756410">
              <w:rPr>
                <w:sz w:val="20"/>
                <w:szCs w:val="20"/>
                <w:lang w:val="es-ES"/>
              </w:rPr>
              <w:t xml:space="preserve">Crea </w:t>
            </w:r>
            <w:r w:rsidR="3DBAB76E" w:rsidRPr="00756410">
              <w:rPr>
                <w:sz w:val="20"/>
                <w:szCs w:val="20"/>
                <w:lang w:val="es-ES"/>
              </w:rPr>
              <w:t>la Orden de Compra</w:t>
            </w:r>
          </w:p>
          <w:p w14:paraId="36582EC6" w14:textId="65049B02" w:rsidR="0077104B" w:rsidRPr="00756410" w:rsidRDefault="0077104B">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El gerente de aprobación aprueba la orden de compra o la solicitud de viaje en Quantum y firma la orden de compra impresa.</w:t>
            </w:r>
          </w:p>
        </w:tc>
      </w:tr>
      <w:tr w:rsidR="0077104B" w:rsidRPr="00773863" w14:paraId="33818A01"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42609F" w14:textId="4B215BA7" w:rsidR="0077104B" w:rsidRPr="00FC4670" w:rsidRDefault="0077104B" w:rsidP="363CA695">
            <w:pPr>
              <w:rPr>
                <w:b/>
                <w:sz w:val="20"/>
                <w:szCs w:val="20"/>
                <w:lang w:val="es-ES"/>
              </w:rPr>
            </w:pPr>
            <w:r w:rsidRPr="3937432E">
              <w:rPr>
                <w:b/>
                <w:sz w:val="20"/>
                <w:szCs w:val="20"/>
                <w:lang w:val="es-ES"/>
              </w:rPr>
              <w:t xml:space="preserve">Responsabilidades de </w:t>
            </w:r>
            <w:r w:rsidR="2DC121A8" w:rsidRPr="3937432E">
              <w:rPr>
                <w:b/>
                <w:bCs/>
                <w:sz w:val="20"/>
                <w:szCs w:val="20"/>
                <w:lang w:val="es-ES"/>
              </w:rPr>
              <w:t xml:space="preserve">Agencias que no usan Quantum </w:t>
            </w:r>
            <w:r w:rsidRPr="3937432E">
              <w:rPr>
                <w:b/>
                <w:sz w:val="20"/>
                <w:szCs w:val="20"/>
                <w:lang w:val="es-ES"/>
              </w:rPr>
              <w:t>(como ONUSIDA, UNESCO, OCAH, FAO, etc.)</w:t>
            </w:r>
            <w:r w:rsidRPr="3937432E">
              <w:rPr>
                <w:rStyle w:val="FootnoteReference"/>
                <w:b/>
                <w:sz w:val="20"/>
                <w:szCs w:val="20"/>
                <w:lang w:val="es-ES"/>
              </w:rPr>
              <w:footnoteReference w:id="39"/>
            </w:r>
          </w:p>
        </w:tc>
      </w:tr>
      <w:tr w:rsidR="0077104B" w:rsidRPr="00773863" w14:paraId="5DF445E0"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0B9824D4" w14:textId="225B5A53" w:rsidR="0077104B" w:rsidRPr="00FC4670" w:rsidRDefault="0077104B" w:rsidP="00CF32EB">
            <w:pPr>
              <w:rPr>
                <w:sz w:val="20"/>
                <w:szCs w:val="20"/>
              </w:rPr>
            </w:pPr>
            <w:r w:rsidRPr="00FC4670">
              <w:rPr>
                <w:sz w:val="20"/>
                <w:szCs w:val="20"/>
              </w:rPr>
              <w:t>Oficina/unidad solicitante</w:t>
            </w:r>
          </w:p>
        </w:tc>
        <w:tc>
          <w:tcPr>
            <w:tcW w:w="8730" w:type="dxa"/>
            <w:tcBorders>
              <w:top w:val="single" w:sz="4" w:space="0" w:color="auto"/>
              <w:left w:val="single" w:sz="4" w:space="0" w:color="auto"/>
              <w:bottom w:val="single" w:sz="4" w:space="0" w:color="auto"/>
              <w:right w:val="single" w:sz="4" w:space="0" w:color="auto"/>
            </w:tcBorders>
          </w:tcPr>
          <w:p w14:paraId="38443D1C" w14:textId="2F64BFFE"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Envía el memorando entre oficinas (opcional) y el formulario de solicitud de servicio de la agencia (ASR) aprobado con documentación de respaldo a la oficina / unidad de contratación (oficina de país / unidad).</w:t>
            </w:r>
          </w:p>
          <w:p w14:paraId="66C99209" w14:textId="67526EC6" w:rsidR="00CA7534" w:rsidRPr="00756410" w:rsidRDefault="00CA7534" w:rsidP="4ADA6C0E">
            <w:pPr>
              <w:pStyle w:val="ListParagraph"/>
              <w:widowControl w:val="0"/>
              <w:numPr>
                <w:ilvl w:val="0"/>
                <w:numId w:val="81"/>
              </w:numPr>
              <w:autoSpaceDE w:val="0"/>
              <w:autoSpaceDN w:val="0"/>
              <w:ind w:left="250" w:hanging="270"/>
              <w:rPr>
                <w:sz w:val="20"/>
                <w:szCs w:val="20"/>
                <w:lang w:val="es-419"/>
              </w:rPr>
            </w:pPr>
            <w:r w:rsidRPr="3937432E">
              <w:rPr>
                <w:sz w:val="20"/>
                <w:szCs w:val="20"/>
                <w:lang w:val="es-419"/>
              </w:rPr>
              <w:t>Confirma la recepción de bienes/servicios.</w:t>
            </w:r>
          </w:p>
        </w:tc>
      </w:tr>
      <w:tr w:rsidR="0077104B" w:rsidRPr="00773863" w14:paraId="0F3A9C80"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7F297DB6" w14:textId="59C5FFFD" w:rsidR="0077104B" w:rsidRPr="00756410" w:rsidRDefault="009413E3" w:rsidP="00CF32EB">
            <w:pPr>
              <w:rPr>
                <w:sz w:val="20"/>
                <w:szCs w:val="20"/>
                <w:lang w:val="es-419"/>
              </w:rPr>
            </w:pPr>
            <w:r w:rsidRPr="009413E3">
              <w:rPr>
                <w:sz w:val="20"/>
                <w:szCs w:val="20"/>
                <w:lang w:val="es-419"/>
              </w:rPr>
              <w:lastRenderedPageBreak/>
              <w:t xml:space="preserve">oficina de país </w:t>
            </w:r>
            <w:r w:rsidR="0077104B" w:rsidRPr="00756410">
              <w:rPr>
                <w:sz w:val="20"/>
                <w:szCs w:val="20"/>
                <w:lang w:val="es-419"/>
              </w:rPr>
              <w:t>(oficina/unidad de contratación)</w:t>
            </w:r>
          </w:p>
        </w:tc>
        <w:tc>
          <w:tcPr>
            <w:tcW w:w="8730" w:type="dxa"/>
            <w:tcBorders>
              <w:top w:val="single" w:sz="4" w:space="0" w:color="auto"/>
              <w:left w:val="single" w:sz="4" w:space="0" w:color="auto"/>
              <w:bottom w:val="single" w:sz="4" w:space="0" w:color="auto"/>
              <w:right w:val="single" w:sz="4" w:space="0" w:color="auto"/>
            </w:tcBorders>
          </w:tcPr>
          <w:p w14:paraId="75C89910" w14:textId="12F0BC04"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 xml:space="preserve">Verifica la firma del formulario ASR con la </w:t>
            </w:r>
            <w:hyperlink r:id="rId185" w:history="1">
              <w:r w:rsidRPr="0032599A">
                <w:rPr>
                  <w:rStyle w:val="Hyperlink"/>
                  <w:sz w:val="20"/>
                  <w:szCs w:val="20"/>
                  <w:lang w:val="es-419"/>
                </w:rPr>
                <w:t>'Lista de signatarios autorizados de las agencias'</w:t>
              </w:r>
            </w:hyperlink>
            <w:r w:rsidRPr="0032599A">
              <w:rPr>
                <w:sz w:val="20"/>
                <w:szCs w:val="20"/>
                <w:lang w:val="es-419"/>
              </w:rPr>
              <w:t xml:space="preserve"> </w:t>
            </w:r>
            <w:r w:rsidRPr="00756410">
              <w:rPr>
                <w:sz w:val="20"/>
                <w:szCs w:val="20"/>
                <w:lang w:val="es-419"/>
              </w:rPr>
              <w:t>mantenida por BMS / OFRM / CFRA.</w:t>
            </w:r>
          </w:p>
          <w:p w14:paraId="2BA4F506" w14:textId="31D0A699" w:rsidR="0077104B" w:rsidRPr="00756410" w:rsidRDefault="0077104B">
            <w:pPr>
              <w:pStyle w:val="ListParagraph"/>
              <w:widowControl w:val="0"/>
              <w:numPr>
                <w:ilvl w:val="0"/>
                <w:numId w:val="81"/>
              </w:numPr>
              <w:autoSpaceDE w:val="0"/>
              <w:autoSpaceDN w:val="0"/>
              <w:ind w:left="250" w:hanging="270"/>
              <w:contextualSpacing w:val="0"/>
              <w:rPr>
                <w:sz w:val="20"/>
                <w:szCs w:val="20"/>
                <w:lang w:val="es-419"/>
              </w:rPr>
            </w:pPr>
            <w:r w:rsidRPr="00756410">
              <w:rPr>
                <w:sz w:val="20"/>
                <w:szCs w:val="20"/>
                <w:lang w:val="es-419"/>
              </w:rPr>
              <w:t>Crea y aprueba la solicitud de compra en nombre de la oficina/unidad solicitante</w:t>
            </w:r>
            <w:r w:rsidR="00CA7534">
              <w:rPr>
                <w:rStyle w:val="FootnoteReference"/>
                <w:sz w:val="20"/>
                <w:szCs w:val="20"/>
              </w:rPr>
              <w:footnoteReference w:id="40"/>
            </w:r>
            <w:r w:rsidRPr="00756410">
              <w:rPr>
                <w:sz w:val="20"/>
                <w:szCs w:val="20"/>
                <w:lang w:val="es-419"/>
              </w:rPr>
              <w:t>.</w:t>
            </w:r>
          </w:p>
          <w:p w14:paraId="7258A48B" w14:textId="749193E3" w:rsidR="0077104B" w:rsidRPr="00756410" w:rsidRDefault="0077104B" w:rsidP="4ADA6C0E">
            <w:pPr>
              <w:pStyle w:val="ListParagraph"/>
              <w:widowControl w:val="0"/>
              <w:numPr>
                <w:ilvl w:val="0"/>
                <w:numId w:val="81"/>
              </w:numPr>
              <w:autoSpaceDE w:val="0"/>
              <w:autoSpaceDN w:val="0"/>
              <w:ind w:left="250" w:hanging="270"/>
              <w:rPr>
                <w:sz w:val="20"/>
                <w:szCs w:val="20"/>
                <w:lang w:val="es-419"/>
              </w:rPr>
            </w:pPr>
            <w:r w:rsidRPr="00756410">
              <w:rPr>
                <w:sz w:val="20"/>
                <w:szCs w:val="20"/>
                <w:lang w:val="es-419"/>
              </w:rPr>
              <w:t>Lleva a cabo el proceso de adquisición de con</w:t>
            </w:r>
            <w:r w:rsidRPr="3937432E">
              <w:rPr>
                <w:sz w:val="20"/>
                <w:szCs w:val="20"/>
                <w:lang w:val="es-419"/>
              </w:rPr>
              <w:t xml:space="preserve">formidad con el </w:t>
            </w:r>
            <w:r w:rsidR="70E58B91" w:rsidRPr="3937432E">
              <w:rPr>
                <w:sz w:val="20"/>
                <w:szCs w:val="20"/>
                <w:lang w:val="es-419"/>
              </w:rPr>
              <w:t xml:space="preserve">POPP. </w:t>
            </w:r>
          </w:p>
          <w:p w14:paraId="3C391F36" w14:textId="0FE365C0" w:rsidR="00550E92" w:rsidRPr="00756410" w:rsidRDefault="463BE0E5" w:rsidP="3937432E">
            <w:pPr>
              <w:pStyle w:val="ListParagraph"/>
              <w:widowControl w:val="0"/>
              <w:numPr>
                <w:ilvl w:val="0"/>
                <w:numId w:val="81"/>
              </w:numPr>
              <w:autoSpaceDE w:val="0"/>
              <w:autoSpaceDN w:val="0"/>
              <w:ind w:left="250" w:hanging="270"/>
              <w:rPr>
                <w:sz w:val="20"/>
                <w:szCs w:val="20"/>
                <w:lang w:val="es-ES"/>
              </w:rPr>
            </w:pPr>
            <w:r w:rsidRPr="00756410">
              <w:rPr>
                <w:sz w:val="20"/>
                <w:szCs w:val="20"/>
                <w:lang w:val="es-ES"/>
              </w:rPr>
              <w:t xml:space="preserve">Crea </w:t>
            </w:r>
            <w:r w:rsidR="15F2B1D6" w:rsidRPr="00756410">
              <w:rPr>
                <w:sz w:val="20"/>
                <w:szCs w:val="20"/>
                <w:lang w:val="es-ES"/>
              </w:rPr>
              <w:t>la Orden de Compra</w:t>
            </w:r>
          </w:p>
          <w:p w14:paraId="4DAD5FA2" w14:textId="4ECC7CCF" w:rsidR="0077104B" w:rsidRPr="00756410" w:rsidRDefault="0077104B" w:rsidP="4ADA6C0E">
            <w:pPr>
              <w:pStyle w:val="ListParagraph"/>
              <w:widowControl w:val="0"/>
              <w:numPr>
                <w:ilvl w:val="0"/>
                <w:numId w:val="81"/>
              </w:numPr>
              <w:autoSpaceDE w:val="0"/>
              <w:autoSpaceDN w:val="0"/>
              <w:ind w:left="250" w:hanging="270"/>
              <w:rPr>
                <w:lang w:val="es-419"/>
              </w:rPr>
            </w:pPr>
            <w:r w:rsidRPr="00756410">
              <w:rPr>
                <w:sz w:val="20"/>
                <w:szCs w:val="20"/>
                <w:lang w:val="es-419"/>
              </w:rPr>
              <w:t>El gerente de aprobación aprueba la orden de compra en Quantum y firma la orden de compra impresa del PNUD o aprueba la solicitud de viaje.</w:t>
            </w:r>
          </w:p>
        </w:tc>
      </w:tr>
      <w:tr w:rsidR="0077104B" w:rsidRPr="00773863" w14:paraId="115F65C8" w14:textId="77777777" w:rsidTr="0004107A">
        <w:trPr>
          <w:trHeight w:val="20"/>
        </w:trPr>
        <w:tc>
          <w:tcPr>
            <w:tcW w:w="1165" w:type="dxa"/>
            <w:tcBorders>
              <w:top w:val="single" w:sz="4" w:space="0" w:color="auto"/>
              <w:left w:val="single" w:sz="4" w:space="0" w:color="auto"/>
              <w:bottom w:val="single" w:sz="4" w:space="0" w:color="auto"/>
              <w:right w:val="single" w:sz="4" w:space="0" w:color="auto"/>
            </w:tcBorders>
          </w:tcPr>
          <w:p w14:paraId="56929B63" w14:textId="77777777" w:rsidR="0077104B" w:rsidRPr="00FC4670" w:rsidRDefault="0077104B" w:rsidP="00CF32EB">
            <w:pPr>
              <w:rPr>
                <w:sz w:val="20"/>
                <w:szCs w:val="20"/>
              </w:rPr>
            </w:pPr>
            <w:r w:rsidRPr="00FC4670">
              <w:rPr>
                <w:sz w:val="20"/>
                <w:szCs w:val="20"/>
              </w:rPr>
              <w:t>BMS/GSSC</w:t>
            </w:r>
          </w:p>
        </w:tc>
        <w:tc>
          <w:tcPr>
            <w:tcW w:w="1165" w:type="dxa"/>
            <w:tcBorders>
              <w:top w:val="single" w:sz="4" w:space="0" w:color="auto"/>
              <w:left w:val="single" w:sz="4" w:space="0" w:color="auto"/>
              <w:bottom w:val="single" w:sz="4" w:space="0" w:color="auto"/>
              <w:right w:val="single" w:sz="4" w:space="0" w:color="auto"/>
            </w:tcBorders>
          </w:tcPr>
          <w:p w14:paraId="51600A58" w14:textId="27B24732" w:rsidR="0077104B" w:rsidRPr="00756410" w:rsidRDefault="0077104B" w:rsidP="4ADA6C0E">
            <w:pPr>
              <w:pStyle w:val="ListParagraph"/>
              <w:widowControl w:val="0"/>
              <w:numPr>
                <w:ilvl w:val="0"/>
                <w:numId w:val="82"/>
              </w:numPr>
              <w:autoSpaceDE w:val="0"/>
              <w:autoSpaceDN w:val="0"/>
              <w:ind w:left="250" w:hanging="250"/>
              <w:rPr>
                <w:sz w:val="20"/>
                <w:szCs w:val="20"/>
                <w:lang w:val="es-419"/>
              </w:rPr>
            </w:pPr>
            <w:r w:rsidRPr="3937432E">
              <w:rPr>
                <w:sz w:val="20"/>
                <w:szCs w:val="20"/>
                <w:lang w:val="es-419"/>
              </w:rPr>
              <w:t>Para las solicitudes de pago, el oficial de desembolso verifica la firma del formulario ASR con la lista de firmas autorizadas mantenida por BMS / OFRM / CFRA antes de desembolsar el pago. Para pagos de mayor riesgo, se recomienda obtener una segunda confirmación de la agencia.</w:t>
            </w:r>
          </w:p>
          <w:p w14:paraId="6E5A0BDF" w14:textId="77777777" w:rsidR="0077104B" w:rsidRPr="00756410" w:rsidRDefault="0077104B" w:rsidP="4ADA6C0E">
            <w:pPr>
              <w:pStyle w:val="ListParagraph"/>
              <w:widowControl w:val="0"/>
              <w:numPr>
                <w:ilvl w:val="0"/>
                <w:numId w:val="82"/>
              </w:numPr>
              <w:autoSpaceDE w:val="0"/>
              <w:autoSpaceDN w:val="0"/>
              <w:ind w:left="250" w:hanging="250"/>
              <w:rPr>
                <w:sz w:val="20"/>
                <w:szCs w:val="20"/>
                <w:lang w:val="es-419"/>
              </w:rPr>
            </w:pPr>
            <w:r w:rsidRPr="3937432E">
              <w:rPr>
                <w:sz w:val="20"/>
                <w:szCs w:val="20"/>
                <w:lang w:val="es-419"/>
              </w:rPr>
              <w:t>Antes de ejecutar las solicitudes de pago realizadas por fax, correo electrónico u otro método fuera de Quantum, el PNUD debe dar garantías razonables (por ejemplo, volver a confirmar la recepción de las instrucciones de pago con el remitente) antes de ejecutar el pago.</w:t>
            </w:r>
          </w:p>
        </w:tc>
      </w:tr>
    </w:tbl>
    <w:p w14:paraId="6FCB47DA" w14:textId="09A4A499" w:rsidR="001D7873" w:rsidRPr="00756410" w:rsidRDefault="00E52424">
      <w:pPr>
        <w:pStyle w:val="Heading1"/>
        <w:numPr>
          <w:ilvl w:val="0"/>
          <w:numId w:val="92"/>
        </w:numPr>
        <w:spacing w:after="240"/>
        <w:rPr>
          <w:color w:val="4472C4" w:themeColor="accent1"/>
          <w:lang w:val="es-ES"/>
        </w:rPr>
      </w:pPr>
      <w:bookmarkStart w:id="110" w:name="_Toc210052791"/>
      <w:bookmarkStart w:id="111" w:name="_Hlk189494495"/>
      <w:bookmarkStart w:id="112" w:name="_Hlk189497274"/>
      <w:r w:rsidRPr="00756410">
        <w:rPr>
          <w:color w:val="4472C4" w:themeColor="accent1"/>
          <w:lang w:val="es-ES"/>
        </w:rPr>
        <w:t>Modalidades de transferencia de efectivo para socios</w:t>
      </w:r>
      <w:bookmarkEnd w:id="110"/>
    </w:p>
    <w:p w14:paraId="64905BB9" w14:textId="57A390B4" w:rsidR="001D7873" w:rsidRPr="00756410" w:rsidRDefault="00824124" w:rsidP="4ADA6C0E">
      <w:pPr>
        <w:shd w:val="clear" w:color="auto" w:fill="FFFFFF" w:themeFill="background1"/>
        <w:spacing w:after="0" w:line="240" w:lineRule="auto"/>
        <w:jc w:val="both"/>
        <w:textAlignment w:val="top"/>
        <w:rPr>
          <w:rFonts w:eastAsia="Times New Roman" w:cs="Arial"/>
          <w:lang w:val="es-419"/>
        </w:rPr>
      </w:pPr>
      <w:r w:rsidRPr="00756410">
        <w:rPr>
          <w:rFonts w:eastAsia="Times New Roman" w:cs="Arial"/>
          <w:lang w:val="es-419"/>
        </w:rPr>
        <w:t xml:space="preserve">El </w:t>
      </w:r>
      <w:r w:rsidR="60FA9F27" w:rsidRPr="3937432E">
        <w:rPr>
          <w:rFonts w:eastAsia="Times New Roman" w:cs="Arial"/>
          <w:lang w:val="es-419"/>
        </w:rPr>
        <w:t>Método Armonizado para las Transferencias</w:t>
      </w:r>
      <w:r w:rsidR="2DEB53E2" w:rsidRPr="3937432E">
        <w:rPr>
          <w:rFonts w:eastAsia="Times New Roman" w:cs="Arial"/>
          <w:lang w:val="es-419"/>
        </w:rPr>
        <w:t xml:space="preserve"> en Efectivo (HACT por sus siglas en inglés) CTm</w:t>
      </w:r>
      <w:r w:rsidRPr="00756410">
        <w:rPr>
          <w:rFonts w:eastAsia="Times New Roman" w:cs="Arial"/>
          <w:lang w:val="es-419"/>
        </w:rPr>
        <w:t xml:space="preserve"> aplica a los Socios Implementadores y las Partes Responsables, que se denominan colectivamente Socios en esta sección de la Guía. Hay tres modalidades de transferencia de efectivo disponibles en el marco HACT:</w:t>
      </w:r>
    </w:p>
    <w:p w14:paraId="65880E22" w14:textId="77777777" w:rsidR="001D7873" w:rsidRPr="00756410" w:rsidRDefault="001D7873" w:rsidP="001D7873">
      <w:pPr>
        <w:shd w:val="clear" w:color="auto" w:fill="FFFFFF"/>
        <w:spacing w:after="0" w:line="240" w:lineRule="auto"/>
        <w:jc w:val="both"/>
        <w:textAlignment w:val="top"/>
        <w:rPr>
          <w:rFonts w:eastAsia="Times New Roman" w:cs="Arial"/>
          <w:bCs/>
          <w:lang w:val="es-419"/>
        </w:rPr>
      </w:pPr>
    </w:p>
    <w:p w14:paraId="111BA6D8" w14:textId="67DE3416" w:rsidR="001D7873" w:rsidRPr="00756410" w:rsidRDefault="001D7873" w:rsidP="4ADA6C0E">
      <w:pPr>
        <w:pStyle w:val="ListParagraph"/>
        <w:numPr>
          <w:ilvl w:val="0"/>
          <w:numId w:val="108"/>
        </w:numPr>
        <w:shd w:val="clear" w:color="auto" w:fill="FFFFFF" w:themeFill="background1"/>
        <w:spacing w:after="80" w:line="240" w:lineRule="auto"/>
        <w:ind w:left="540" w:hanging="270"/>
        <w:jc w:val="both"/>
        <w:textAlignment w:val="top"/>
        <w:rPr>
          <w:rFonts w:eastAsia="Times New Roman" w:cs="Arial"/>
          <w:lang w:val="es-419"/>
        </w:rPr>
      </w:pPr>
      <w:r w:rsidRPr="3937432E">
        <w:rPr>
          <w:rFonts w:eastAsia="Times New Roman" w:cs="Arial"/>
          <w:b/>
          <w:i/>
          <w:lang w:val="es-419"/>
        </w:rPr>
        <w:t>Transferencias directas de efectivo:</w:t>
      </w:r>
      <w:r w:rsidRPr="3937432E">
        <w:rPr>
          <w:rFonts w:eastAsia="Times New Roman" w:cs="Arial"/>
          <w:lang w:val="es-419"/>
        </w:rPr>
        <w:t xml:space="preserve"> el PNUD transfiere fondos al socio antes de que el socio incurra en obligaciones y gastos para apoyar las actividades acordadas en el plan de trabajo (es decir, anticipos).</w:t>
      </w:r>
    </w:p>
    <w:p w14:paraId="6CDC6FC0" w14:textId="647B6A82" w:rsidR="001D7873" w:rsidRPr="00756410" w:rsidRDefault="001D7873">
      <w:pPr>
        <w:pStyle w:val="ListParagraph"/>
        <w:numPr>
          <w:ilvl w:val="0"/>
          <w:numId w:val="108"/>
        </w:numPr>
        <w:shd w:val="clear" w:color="auto" w:fill="FFFFFF" w:themeFill="background1"/>
        <w:spacing w:after="80" w:line="240" w:lineRule="auto"/>
        <w:ind w:left="540" w:hanging="270"/>
        <w:jc w:val="both"/>
        <w:textAlignment w:val="top"/>
        <w:rPr>
          <w:rFonts w:eastAsia="Times New Roman" w:cs="Arial"/>
          <w:lang w:val="es-419"/>
        </w:rPr>
      </w:pPr>
      <w:r w:rsidRPr="3937432E">
        <w:rPr>
          <w:rFonts w:eastAsia="Times New Roman" w:cs="Arial"/>
          <w:b/>
          <w:i/>
          <w:lang w:val="es-419"/>
        </w:rPr>
        <w:t xml:space="preserve">Pagos </w:t>
      </w:r>
      <w:r w:rsidR="1C6884B9" w:rsidRPr="3937432E">
        <w:rPr>
          <w:rFonts w:eastAsia="Times New Roman" w:cs="Arial"/>
          <w:i/>
          <w:iCs/>
          <w:lang w:val="es-419"/>
        </w:rPr>
        <w:t>directos</w:t>
      </w:r>
      <w:r w:rsidRPr="3937432E">
        <w:rPr>
          <w:rFonts w:eastAsia="Times New Roman" w:cs="Arial"/>
          <w:i/>
          <w:lang w:val="es-419"/>
        </w:rPr>
        <w:t xml:space="preserve">: </w:t>
      </w:r>
      <w:r w:rsidRPr="3937432E">
        <w:rPr>
          <w:rFonts w:eastAsia="Times New Roman" w:cs="Arial"/>
          <w:lang w:val="es-419"/>
        </w:rPr>
        <w:t>el PNUD paga los fondos directamente a los proveedores y otros terceros por las obligaciones y gastos incurridos por el Socio para apoyar las actividades acordadas en el plan de trabajo (es decir, pagos directos como se describe en la sección 15 a continuación).</w:t>
      </w:r>
    </w:p>
    <w:p w14:paraId="5FB81D4C" w14:textId="5A83FF59" w:rsidR="001D7873" w:rsidRPr="00756410" w:rsidRDefault="001D7873">
      <w:pPr>
        <w:pStyle w:val="ListParagraph"/>
        <w:numPr>
          <w:ilvl w:val="0"/>
          <w:numId w:val="108"/>
        </w:numPr>
        <w:shd w:val="clear" w:color="auto" w:fill="FFFFFF" w:themeFill="background1"/>
        <w:spacing w:after="0" w:line="240" w:lineRule="auto"/>
        <w:ind w:left="540" w:hanging="270"/>
        <w:jc w:val="both"/>
        <w:textAlignment w:val="top"/>
        <w:rPr>
          <w:rFonts w:eastAsia="Times New Roman" w:cs="Arial"/>
          <w:lang w:val="es-419"/>
        </w:rPr>
      </w:pPr>
      <w:r w:rsidRPr="3937432E">
        <w:rPr>
          <w:rFonts w:eastAsia="Times New Roman" w:cs="Arial"/>
          <w:b/>
          <w:i/>
          <w:lang w:val="es-419"/>
        </w:rPr>
        <w:t>Reembolsos –</w:t>
      </w:r>
      <w:r w:rsidRPr="3937432E">
        <w:rPr>
          <w:rFonts w:eastAsia="Times New Roman" w:cs="Arial"/>
          <w:lang w:val="es-419"/>
        </w:rPr>
        <w:t xml:space="preserve"> El PNUD proporciona fondos al asociado por las obligaciones contraídas y los gastos incurridos en apoyo de las actividades acordadas en el plan de trabajo. </w:t>
      </w:r>
    </w:p>
    <w:p w14:paraId="181764EF" w14:textId="77777777" w:rsidR="001D7873" w:rsidRPr="00756410" w:rsidRDefault="001D7873" w:rsidP="001D7873">
      <w:pPr>
        <w:pStyle w:val="ListParagraph"/>
        <w:shd w:val="clear" w:color="auto" w:fill="FFFFFF"/>
        <w:spacing w:after="0" w:line="240" w:lineRule="auto"/>
        <w:ind w:left="540"/>
        <w:jc w:val="both"/>
        <w:textAlignment w:val="top"/>
        <w:rPr>
          <w:rFonts w:eastAsia="Times New Roman" w:cs="Arial"/>
          <w:lang w:val="es-419"/>
        </w:rPr>
      </w:pPr>
    </w:p>
    <w:p w14:paraId="5311FDC6" w14:textId="3EAD3392" w:rsidR="001D7873" w:rsidRPr="00756410" w:rsidRDefault="001D7873" w:rsidP="363CA695">
      <w:pPr>
        <w:rPr>
          <w:lang w:val="es-419"/>
        </w:rPr>
      </w:pPr>
      <w:r w:rsidRPr="00756410">
        <w:rPr>
          <w:lang w:val="es-419"/>
        </w:rPr>
        <w:t xml:space="preserve">Al seleccionar las modalidades de transferencia de efectivo apropiadas para el socio, </w:t>
      </w:r>
      <w:hyperlink r:id="rId186">
        <w:r w:rsidRPr="00756410">
          <w:rPr>
            <w:rStyle w:val="Hyperlink"/>
            <w:color w:val="4472C4" w:themeColor="accent1"/>
            <w:lang w:val="es-419"/>
          </w:rPr>
          <w:t xml:space="preserve"> se debe cumplir con la política de HACT de</w:t>
        </w:r>
        <w:r w:rsidR="00647D84">
          <w:rPr>
            <w:rStyle w:val="Hyperlink"/>
            <w:color w:val="4472C4" w:themeColor="accent1"/>
            <w:lang w:val="es-419"/>
          </w:rPr>
          <w:t>l</w:t>
        </w:r>
        <w:r w:rsidRPr="00756410">
          <w:rPr>
            <w:rStyle w:val="Hyperlink"/>
            <w:color w:val="4472C4" w:themeColor="accent1"/>
            <w:lang w:val="es-419"/>
          </w:rPr>
          <w:t xml:space="preserve"> </w:t>
        </w:r>
        <w:r w:rsidR="005820CD">
          <w:rPr>
            <w:rStyle w:val="Hyperlink"/>
            <w:color w:val="4472C4" w:themeColor="accent1"/>
            <w:lang w:val="es-419"/>
          </w:rPr>
          <w:t>P</w:t>
        </w:r>
        <w:r w:rsidR="005820CD" w:rsidRPr="00756410">
          <w:rPr>
            <w:rStyle w:val="Hyperlink"/>
            <w:color w:val="4472C4" w:themeColor="accent1"/>
            <w:lang w:val="es-419"/>
          </w:rPr>
          <w:t xml:space="preserve">OPP </w:t>
        </w:r>
        <w:r w:rsidRPr="00756410">
          <w:rPr>
            <w:rStyle w:val="Hyperlink"/>
            <w:color w:val="4472C4" w:themeColor="accent1"/>
            <w:lang w:val="es-419"/>
          </w:rPr>
          <w:t>y las pautas asociadas</w:t>
        </w:r>
      </w:hyperlink>
      <w:r w:rsidR="0036789A" w:rsidRPr="3937432E">
        <w:rPr>
          <w:lang w:val="es-419"/>
        </w:rPr>
        <w:t>. La evaluación HACT y las actividades de aseguramiento posteriores son aplicables a las tres modalidades de transferencia de efectivo.</w:t>
      </w:r>
    </w:p>
    <w:p w14:paraId="5CE8F7DC" w14:textId="59FC84C5" w:rsidR="001D7873" w:rsidRPr="00756410" w:rsidRDefault="00E173C1" w:rsidP="363CA695">
      <w:pPr>
        <w:rPr>
          <w:lang w:val="es-419"/>
        </w:rPr>
      </w:pPr>
      <w:r w:rsidRPr="3937432E">
        <w:rPr>
          <w:lang w:val="es-419"/>
        </w:rPr>
        <w:t>Las evaluaciones HACT son necesarias cuando:</w:t>
      </w:r>
    </w:p>
    <w:p w14:paraId="639F9A33" w14:textId="346B7423" w:rsidR="00E173C1" w:rsidRPr="00756410" w:rsidRDefault="00E173C1">
      <w:pPr>
        <w:pStyle w:val="ListParagraph"/>
        <w:numPr>
          <w:ilvl w:val="0"/>
          <w:numId w:val="109"/>
        </w:numPr>
        <w:rPr>
          <w:lang w:val="es-419"/>
        </w:rPr>
      </w:pPr>
      <w:r w:rsidRPr="3937432E">
        <w:rPr>
          <w:lang w:val="es-419"/>
        </w:rPr>
        <w:t xml:space="preserve">Se espera que el socio reciba </w:t>
      </w:r>
      <w:r w:rsidRPr="3937432E">
        <w:rPr>
          <w:b/>
          <w:lang w:val="es-419"/>
        </w:rPr>
        <w:t>transferencias de efectivo de más de 150.000 dólares por año</w:t>
      </w:r>
      <w:r w:rsidRPr="3937432E">
        <w:rPr>
          <w:lang w:val="es-419"/>
        </w:rPr>
        <w:t xml:space="preserve"> del PNUD: se requiere una </w:t>
      </w:r>
      <w:r w:rsidR="00BB77F1" w:rsidRPr="3937432E">
        <w:rPr>
          <w:lang w:val="es-419"/>
        </w:rPr>
        <w:t>micro evaluación</w:t>
      </w:r>
      <w:r w:rsidRPr="3937432E">
        <w:rPr>
          <w:lang w:val="es-419"/>
        </w:rPr>
        <w:t xml:space="preserve"> HACT por parte de un proveedor de servicios externo calificado. </w:t>
      </w:r>
    </w:p>
    <w:p w14:paraId="27095D72" w14:textId="77777777" w:rsidR="00E173C1" w:rsidRPr="00756410" w:rsidRDefault="00E173C1" w:rsidP="00E173C1">
      <w:pPr>
        <w:pStyle w:val="ListParagraph"/>
        <w:ind w:left="360"/>
        <w:rPr>
          <w:lang w:val="es-419"/>
        </w:rPr>
      </w:pPr>
    </w:p>
    <w:p w14:paraId="45E9E265" w14:textId="5FA80C9D" w:rsidR="001D7873" w:rsidRPr="00756410" w:rsidRDefault="00E173C1">
      <w:pPr>
        <w:pStyle w:val="ListParagraph"/>
        <w:numPr>
          <w:ilvl w:val="0"/>
          <w:numId w:val="109"/>
        </w:numPr>
        <w:rPr>
          <w:lang w:val="es-419"/>
        </w:rPr>
      </w:pPr>
      <w:r w:rsidRPr="3937432E">
        <w:rPr>
          <w:lang w:val="es-419"/>
        </w:rPr>
        <w:t xml:space="preserve">Se espera que el socio reciba </w:t>
      </w:r>
      <w:r w:rsidRPr="3937432E">
        <w:rPr>
          <w:b/>
          <w:lang w:val="es-419"/>
        </w:rPr>
        <w:t>transferencias de efectivo de menos de 150.000 por año</w:t>
      </w:r>
      <w:r w:rsidRPr="3937432E">
        <w:rPr>
          <w:lang w:val="es-419"/>
        </w:rPr>
        <w:t xml:space="preserve"> del PNUD: no se requiere una </w:t>
      </w:r>
      <w:r w:rsidR="00BB77F1" w:rsidRPr="3937432E">
        <w:rPr>
          <w:lang w:val="es-419"/>
        </w:rPr>
        <w:t>micro evaluación</w:t>
      </w:r>
      <w:r w:rsidRPr="3937432E">
        <w:rPr>
          <w:lang w:val="es-419"/>
        </w:rPr>
        <w:t xml:space="preserve"> HACT a menos que, a discreción de la oficina/unidad, se considere necesaria una </w:t>
      </w:r>
      <w:r w:rsidR="00BB77F1" w:rsidRPr="3937432E">
        <w:rPr>
          <w:lang w:val="es-419"/>
        </w:rPr>
        <w:t>micro evaluación</w:t>
      </w:r>
      <w:r w:rsidRPr="3937432E">
        <w:rPr>
          <w:lang w:val="es-419"/>
        </w:rPr>
        <w:t xml:space="preserve"> debido a otras consideraciones de riesgo (por ejemplo, la oficina/unidad no tiene experiencia previa con el socio o el entorno operativo se considera de alto riesgo). Se recomienda encarecidamente a las oficinas y </w:t>
      </w:r>
      <w:r w:rsidR="5604705A" w:rsidRPr="3937432E">
        <w:rPr>
          <w:lang w:val="es-419"/>
        </w:rPr>
        <w:t xml:space="preserve">unidades </w:t>
      </w:r>
      <w:r w:rsidRPr="3937432E">
        <w:rPr>
          <w:lang w:val="es-419"/>
        </w:rPr>
        <w:t xml:space="preserve">que realicen una </w:t>
      </w:r>
      <w:r w:rsidR="00BB77F1" w:rsidRPr="3937432E">
        <w:rPr>
          <w:lang w:val="es-419"/>
        </w:rPr>
        <w:t>micro evaluación</w:t>
      </w:r>
      <w:r w:rsidRPr="3937432E">
        <w:rPr>
          <w:lang w:val="es-419"/>
        </w:rPr>
        <w:t xml:space="preserve"> de los </w:t>
      </w:r>
      <w:r w:rsidR="1FB0EC25" w:rsidRPr="3937432E">
        <w:rPr>
          <w:lang w:val="es-419"/>
        </w:rPr>
        <w:t xml:space="preserve">socios </w:t>
      </w:r>
      <w:r w:rsidRPr="3937432E">
        <w:rPr>
          <w:lang w:val="es-419"/>
        </w:rPr>
        <w:t xml:space="preserve">que estén por </w:t>
      </w:r>
      <w:r w:rsidRPr="3937432E">
        <w:rPr>
          <w:lang w:val="es-419"/>
        </w:rPr>
        <w:lastRenderedPageBreak/>
        <w:t xml:space="preserve">debajo del umbral anual pero que se espera que reciban más de 150.000 dólares en efectivo en un ciclo de programación. </w:t>
      </w:r>
    </w:p>
    <w:p w14:paraId="35D7F07F" w14:textId="7A1C1CC1" w:rsidR="001D7873" w:rsidRPr="00756410" w:rsidRDefault="00E173C1">
      <w:pPr>
        <w:pStyle w:val="Heading1"/>
        <w:numPr>
          <w:ilvl w:val="0"/>
          <w:numId w:val="92"/>
        </w:numPr>
        <w:spacing w:after="240"/>
        <w:rPr>
          <w:lang w:val="es-419"/>
        </w:rPr>
      </w:pPr>
      <w:bookmarkStart w:id="113" w:name="_Toc210052792"/>
      <w:r w:rsidRPr="3937432E">
        <w:rPr>
          <w:lang w:val="es-419"/>
        </w:rPr>
        <w:t xml:space="preserve">Servicios </w:t>
      </w:r>
      <w:r w:rsidR="4BBEE55B" w:rsidRPr="3937432E">
        <w:rPr>
          <w:lang w:val="es-419"/>
        </w:rPr>
        <w:t xml:space="preserve">transaccionales prestados a socios </w:t>
      </w:r>
      <w:r w:rsidRPr="3937432E">
        <w:rPr>
          <w:lang w:val="es-419"/>
        </w:rPr>
        <w:t xml:space="preserve"> </w:t>
      </w:r>
      <w:bookmarkEnd w:id="113"/>
    </w:p>
    <w:p w14:paraId="75F9281E" w14:textId="73021F98" w:rsidR="00714DA8" w:rsidRPr="00756410" w:rsidRDefault="00714DA8" w:rsidP="004943D0">
      <w:pPr>
        <w:spacing w:line="240" w:lineRule="auto"/>
        <w:rPr>
          <w:lang w:val="es-419"/>
        </w:rPr>
      </w:pPr>
      <w:r w:rsidRPr="3937432E">
        <w:rPr>
          <w:lang w:val="es-419"/>
        </w:rPr>
        <w:t>Las oficinas/</w:t>
      </w:r>
      <w:r w:rsidR="563A2E71" w:rsidRPr="3937432E">
        <w:rPr>
          <w:lang w:val="es-419"/>
        </w:rPr>
        <w:t>unidades</w:t>
      </w:r>
      <w:r w:rsidR="006408EC">
        <w:rPr>
          <w:lang w:val="es-419"/>
        </w:rPr>
        <w:t xml:space="preserve"> </w:t>
      </w:r>
      <w:r w:rsidR="7AEB5E2D" w:rsidRPr="3937432E">
        <w:rPr>
          <w:lang w:val="es-419"/>
        </w:rPr>
        <w:t>del</w:t>
      </w:r>
      <w:r w:rsidRPr="3937432E">
        <w:rPr>
          <w:lang w:val="es-419"/>
        </w:rPr>
        <w:t xml:space="preserve"> PNUD prestan determinados servicios administrativos y transaccionales a los </w:t>
      </w:r>
      <w:r w:rsidR="6E213079" w:rsidRPr="3937432E">
        <w:rPr>
          <w:lang w:val="es-419"/>
        </w:rPr>
        <w:t>socios</w:t>
      </w:r>
      <w:r w:rsidR="7AEB5E2D" w:rsidRPr="3937432E">
        <w:rPr>
          <w:lang w:val="es-419"/>
        </w:rPr>
        <w:t xml:space="preserve">, </w:t>
      </w:r>
      <w:r w:rsidR="0AEAD853" w:rsidRPr="3937432E">
        <w:rPr>
          <w:lang w:val="es-419"/>
        </w:rPr>
        <w:t>tales como</w:t>
      </w:r>
      <w:r w:rsidRPr="3937432E">
        <w:rPr>
          <w:lang w:val="es-419"/>
        </w:rPr>
        <w:t>:</w:t>
      </w:r>
    </w:p>
    <w:p w14:paraId="728506A6" w14:textId="4589DF1A" w:rsidR="00714DA8" w:rsidRPr="00756410" w:rsidRDefault="00714DA8">
      <w:pPr>
        <w:pStyle w:val="ListParagraph"/>
        <w:numPr>
          <w:ilvl w:val="0"/>
          <w:numId w:val="84"/>
        </w:numPr>
        <w:spacing w:line="240" w:lineRule="auto"/>
        <w:rPr>
          <w:lang w:val="es-419"/>
        </w:rPr>
      </w:pPr>
      <w:r w:rsidRPr="3937432E">
        <w:rPr>
          <w:b/>
          <w:lang w:val="es-419"/>
        </w:rPr>
        <w:t>Realizar pagos directos</w:t>
      </w:r>
      <w:r w:rsidRPr="3937432E">
        <w:rPr>
          <w:lang w:val="es-419"/>
        </w:rPr>
        <w:t xml:space="preserve"> a solicitud de un Socio o como resultado del perfil de riesgo del Socio determinado a través de la </w:t>
      </w:r>
      <w:r w:rsidR="00E36774" w:rsidRPr="3937432E">
        <w:rPr>
          <w:lang w:val="es-419"/>
        </w:rPr>
        <w:t>micro evaluación</w:t>
      </w:r>
      <w:r w:rsidRPr="3937432E">
        <w:rPr>
          <w:lang w:val="es-419"/>
        </w:rPr>
        <w:t xml:space="preserve"> </w:t>
      </w:r>
      <w:r w:rsidR="3E55336C" w:rsidRPr="3937432E">
        <w:rPr>
          <w:lang w:val="es-419"/>
        </w:rPr>
        <w:t>HACT</w:t>
      </w:r>
      <w:r w:rsidRPr="3937432E">
        <w:rPr>
          <w:lang w:val="es-419"/>
        </w:rPr>
        <w:t xml:space="preserve">. En los "pagos directos", el Socio realiza la contratación o adquisición y firma el contrato de acuerdo con sus propias regulaciones y reglas. </w:t>
      </w:r>
      <w:r w:rsidR="00B95305" w:rsidRPr="3937432E">
        <w:rPr>
          <w:b/>
          <w:u w:val="single"/>
          <w:lang w:val="es-419"/>
        </w:rPr>
        <w:t>El Socio asume la responsabilidad del proceso de contratación</w:t>
      </w:r>
      <w:r w:rsidR="00B95305" w:rsidRPr="3937432E">
        <w:rPr>
          <w:lang w:val="es-419"/>
        </w:rPr>
        <w:t xml:space="preserve"> y es responsable de los gastos del proyecto.</w:t>
      </w:r>
    </w:p>
    <w:p w14:paraId="1ADB2DE7" w14:textId="77777777" w:rsidR="001D7873" w:rsidRPr="00756410" w:rsidRDefault="001D7873" w:rsidP="001D7873">
      <w:pPr>
        <w:pStyle w:val="ListParagraph"/>
        <w:spacing w:line="240" w:lineRule="auto"/>
        <w:ind w:left="360"/>
        <w:rPr>
          <w:lang w:val="es-419"/>
        </w:rPr>
      </w:pPr>
    </w:p>
    <w:p w14:paraId="2F47B6E4" w14:textId="4D58998D" w:rsidR="00714DA8" w:rsidRPr="00756410" w:rsidRDefault="00714DA8">
      <w:pPr>
        <w:pStyle w:val="ListParagraph"/>
        <w:numPr>
          <w:ilvl w:val="0"/>
          <w:numId w:val="84"/>
        </w:numPr>
        <w:spacing w:line="240" w:lineRule="auto"/>
        <w:rPr>
          <w:lang w:val="es-419"/>
        </w:rPr>
      </w:pPr>
      <w:r w:rsidRPr="00756410">
        <w:rPr>
          <w:b/>
          <w:bCs/>
          <w:lang w:val="es-419"/>
        </w:rPr>
        <w:t>Proporcionar servicios de apoyo de</w:t>
      </w:r>
      <w:r w:rsidRPr="3937432E">
        <w:rPr>
          <w:b/>
          <w:lang w:val="es-419"/>
        </w:rPr>
        <w:t xml:space="preserve"> </w:t>
      </w:r>
      <w:r w:rsidR="008B29EA">
        <w:rPr>
          <w:b/>
          <w:lang w:val="es-419"/>
        </w:rPr>
        <w:t xml:space="preserve">la </w:t>
      </w:r>
      <w:r w:rsidR="008B29EA" w:rsidRPr="008B29EA">
        <w:rPr>
          <w:b/>
          <w:lang w:val="es-419"/>
        </w:rPr>
        <w:t xml:space="preserve">oficina de país </w:t>
      </w:r>
      <w:r w:rsidR="00B95305" w:rsidRPr="3937432E">
        <w:rPr>
          <w:lang w:val="es-419"/>
        </w:rPr>
        <w:t xml:space="preserve">a solicitud del Socio, incluidos los servicios de adquisición, contratación y viajes. En los "servicios de apoyo de OC", </w:t>
      </w:r>
      <w:r w:rsidR="00B95305" w:rsidRPr="3937432E">
        <w:rPr>
          <w:b/>
          <w:u w:val="single"/>
          <w:lang w:val="es-419"/>
        </w:rPr>
        <w:t>la oficina/unidad del PNUD asume la responsabilidad del proceso de contratación</w:t>
      </w:r>
      <w:r w:rsidR="00B95305" w:rsidRPr="3937432E">
        <w:rPr>
          <w:lang w:val="es-419"/>
        </w:rPr>
        <w:t xml:space="preserve"> realizado de acuerdo con las normas y reglamentos del PNUD.</w:t>
      </w:r>
    </w:p>
    <w:p w14:paraId="31834EAD" w14:textId="4CD2601D" w:rsidR="00210523" w:rsidRPr="00756410" w:rsidRDefault="001D7873" w:rsidP="00AD810D">
      <w:pPr>
        <w:spacing w:after="0" w:line="240" w:lineRule="auto"/>
        <w:rPr>
          <w:lang w:val="es-419"/>
        </w:rPr>
      </w:pPr>
      <w:r w:rsidRPr="3937432E">
        <w:rPr>
          <w:lang w:val="es-419"/>
        </w:rPr>
        <w:t>Estos dos escenarios se describen a continuación, incluidos los puntos clave de control interno que deben observarse.</w:t>
      </w:r>
      <w:r w:rsidR="00210523" w:rsidRPr="3937432E">
        <w:rPr>
          <w:b/>
          <w:lang w:val="es-419"/>
        </w:rPr>
        <w:t xml:space="preserve"> Los pagos directos no deben confundirse con los "servicios de apoyo </w:t>
      </w:r>
      <w:r w:rsidR="50B78A48" w:rsidRPr="3937432E">
        <w:rPr>
          <w:b/>
          <w:bCs/>
          <w:lang w:val="es-419"/>
        </w:rPr>
        <w:t>a</w:t>
      </w:r>
      <w:r w:rsidR="139A63B5" w:rsidRPr="3937432E">
        <w:rPr>
          <w:b/>
          <w:bCs/>
          <w:lang w:val="es-419"/>
        </w:rPr>
        <w:t xml:space="preserve"> la OP/</w:t>
      </w:r>
      <w:r w:rsidR="00210523" w:rsidRPr="3937432E">
        <w:rPr>
          <w:b/>
          <w:lang w:val="es-419"/>
        </w:rPr>
        <w:t xml:space="preserve">", ya que existe una diferencia muy importante en la rendición de cuentas.  </w:t>
      </w:r>
    </w:p>
    <w:p w14:paraId="73666F94" w14:textId="4B855DE1" w:rsidR="3937432E" w:rsidRPr="00756410" w:rsidRDefault="3937432E" w:rsidP="3937432E">
      <w:pPr>
        <w:spacing w:after="0" w:line="240" w:lineRule="auto"/>
        <w:rPr>
          <w:b/>
          <w:bCs/>
          <w:lang w:val="es-419"/>
        </w:rPr>
      </w:pPr>
    </w:p>
    <w:p w14:paraId="6392536F" w14:textId="11926DDC" w:rsidR="005C5A21" w:rsidRPr="00756410" w:rsidRDefault="005C5A21" w:rsidP="363CA695">
      <w:pPr>
        <w:pStyle w:val="NormalWeb"/>
        <w:rPr>
          <w:rFonts w:asciiTheme="minorHAnsi" w:hAnsiTheme="minorHAnsi" w:cstheme="minorBidi"/>
          <w:sz w:val="22"/>
          <w:szCs w:val="22"/>
          <w:lang w:val="es-419"/>
        </w:rPr>
      </w:pPr>
      <w:r w:rsidRPr="3937432E">
        <w:rPr>
          <w:rFonts w:asciiTheme="minorHAnsi" w:hAnsiTheme="minorHAnsi" w:cstheme="minorBidi"/>
          <w:sz w:val="22"/>
          <w:szCs w:val="22"/>
          <w:lang w:val="es-419"/>
        </w:rPr>
        <w:t xml:space="preserve">Las oficinas y </w:t>
      </w:r>
      <w:r w:rsidR="03209870" w:rsidRPr="3937432E">
        <w:rPr>
          <w:rFonts w:asciiTheme="minorHAnsi" w:hAnsiTheme="minorHAnsi" w:cstheme="minorBidi"/>
          <w:sz w:val="22"/>
          <w:szCs w:val="22"/>
          <w:lang w:val="es-419"/>
        </w:rPr>
        <w:t xml:space="preserve">unidades </w:t>
      </w:r>
      <w:r w:rsidRPr="3937432E">
        <w:rPr>
          <w:rFonts w:asciiTheme="minorHAnsi" w:hAnsiTheme="minorHAnsi" w:cstheme="minorBidi"/>
          <w:sz w:val="22"/>
          <w:szCs w:val="22"/>
          <w:lang w:val="es-419"/>
        </w:rPr>
        <w:t xml:space="preserve">del PNUD deben velar por que se recuperen todos los costos de la tramitación de los pagos directos o de la prestación de servicios de apoyo a la </w:t>
      </w:r>
      <w:r w:rsidR="008B29EA" w:rsidRPr="008B29EA">
        <w:rPr>
          <w:rFonts w:asciiTheme="minorHAnsi" w:hAnsiTheme="minorHAnsi" w:cstheme="minorBidi"/>
          <w:sz w:val="22"/>
          <w:szCs w:val="22"/>
          <w:lang w:val="es-419"/>
        </w:rPr>
        <w:t xml:space="preserve">oficina de país </w:t>
      </w:r>
      <w:r w:rsidRPr="3937432E">
        <w:rPr>
          <w:rFonts w:asciiTheme="minorHAnsi" w:hAnsiTheme="minorHAnsi" w:cstheme="minorBidi"/>
          <w:sz w:val="22"/>
          <w:szCs w:val="22"/>
          <w:lang w:val="es-419"/>
        </w:rPr>
        <w:t xml:space="preserve">cargándolos directamente al presupuesto del proyecto. Estos costos deben incorporarse en el presupuesto inicial del proyecto aprobado por el donante o el </w:t>
      </w:r>
      <w:r w:rsidR="07B475AA" w:rsidRPr="3937432E">
        <w:rPr>
          <w:rFonts w:asciiTheme="minorHAnsi" w:hAnsiTheme="minorHAnsi" w:cstheme="minorBidi"/>
          <w:sz w:val="22"/>
          <w:szCs w:val="22"/>
          <w:lang w:val="es-419"/>
        </w:rPr>
        <w:t xml:space="preserve">socio </w:t>
      </w:r>
      <w:r w:rsidR="00E36774" w:rsidRPr="3937432E">
        <w:rPr>
          <w:rFonts w:asciiTheme="minorHAnsi" w:hAnsiTheme="minorHAnsi" w:cstheme="minorBidi"/>
          <w:sz w:val="22"/>
          <w:szCs w:val="22"/>
          <w:lang w:val="es-419"/>
        </w:rPr>
        <w:t>implementador.</w:t>
      </w:r>
      <w:r w:rsidRPr="3937432E">
        <w:rPr>
          <w:rFonts w:asciiTheme="minorHAnsi" w:hAnsiTheme="minorHAnsi" w:cstheme="minorBidi"/>
          <w:sz w:val="22"/>
          <w:szCs w:val="22"/>
          <w:lang w:val="es-419"/>
        </w:rPr>
        <w:t xml:space="preserve"> Si esos gastos no se incluyen en el presupuesto aprobado del proyecto, las oficinas o </w:t>
      </w:r>
      <w:r w:rsidR="1DDD976C" w:rsidRPr="3937432E">
        <w:rPr>
          <w:rFonts w:asciiTheme="minorHAnsi" w:hAnsiTheme="minorHAnsi" w:cstheme="minorBidi"/>
          <w:sz w:val="22"/>
          <w:szCs w:val="22"/>
          <w:lang w:val="es-419"/>
        </w:rPr>
        <w:t xml:space="preserve">unidades </w:t>
      </w:r>
      <w:r w:rsidRPr="3937432E">
        <w:rPr>
          <w:rFonts w:asciiTheme="minorHAnsi" w:hAnsiTheme="minorHAnsi" w:cstheme="minorBidi"/>
          <w:sz w:val="22"/>
          <w:szCs w:val="22"/>
          <w:lang w:val="es-419"/>
        </w:rPr>
        <w:t>deben entablar negociaciones de enmienda del presupuesto</w:t>
      </w:r>
      <w:r w:rsidRPr="3937432E">
        <w:rPr>
          <w:lang w:val="es-419"/>
        </w:rPr>
        <w:t xml:space="preserve"> </w:t>
      </w:r>
      <w:r w:rsidRPr="3937432E">
        <w:rPr>
          <w:rFonts w:asciiTheme="minorHAnsi" w:hAnsiTheme="minorHAnsi" w:cstheme="minorBidi"/>
          <w:sz w:val="22"/>
          <w:szCs w:val="22"/>
          <w:lang w:val="es-419"/>
        </w:rPr>
        <w:t xml:space="preserve">con el donante o el </w:t>
      </w:r>
      <w:r w:rsidR="43B07D41" w:rsidRPr="3937432E">
        <w:rPr>
          <w:rFonts w:asciiTheme="minorHAnsi" w:hAnsiTheme="minorHAnsi" w:cstheme="minorBidi"/>
          <w:sz w:val="22"/>
          <w:szCs w:val="22"/>
          <w:lang w:val="es-419"/>
        </w:rPr>
        <w:t xml:space="preserve"> socio </w:t>
      </w:r>
      <w:r w:rsidR="00E36774" w:rsidRPr="3937432E">
        <w:rPr>
          <w:rFonts w:asciiTheme="minorHAnsi" w:hAnsiTheme="minorHAnsi" w:cstheme="minorBidi"/>
          <w:sz w:val="22"/>
          <w:szCs w:val="22"/>
          <w:lang w:val="es-419"/>
        </w:rPr>
        <w:t>implementador. Si</w:t>
      </w:r>
      <w:r w:rsidRPr="3937432E">
        <w:rPr>
          <w:rFonts w:asciiTheme="minorHAnsi" w:hAnsiTheme="minorHAnsi" w:cstheme="minorBidi"/>
          <w:sz w:val="22"/>
          <w:szCs w:val="22"/>
          <w:lang w:val="es-419"/>
        </w:rPr>
        <w:t xml:space="preserve"> los costos se excluyen explícitamente por no ser elegibles según las políticas de los donantes, se debe identificar una fuente de financiamiento alternativa. En todos los casos, la financiación de estos costos debe planificarse antes de incurrir en los costos.</w:t>
      </w:r>
    </w:p>
    <w:p w14:paraId="63DCD9C6" w14:textId="01EC337A" w:rsidR="3937432E" w:rsidRPr="00756410" w:rsidRDefault="3937432E" w:rsidP="3937432E">
      <w:pPr>
        <w:pStyle w:val="NormalWeb"/>
        <w:rPr>
          <w:rFonts w:asciiTheme="minorHAnsi" w:hAnsiTheme="minorHAnsi" w:cstheme="minorBidi"/>
          <w:sz w:val="22"/>
          <w:szCs w:val="22"/>
          <w:lang w:val="es-419"/>
        </w:rPr>
      </w:pPr>
    </w:p>
    <w:tbl>
      <w:tblPr>
        <w:tblStyle w:val="TableGrid"/>
        <w:tblW w:w="0" w:type="auto"/>
        <w:tblCellMar>
          <w:left w:w="72" w:type="dxa"/>
          <w:bottom w:w="43" w:type="dxa"/>
          <w:right w:w="72" w:type="dxa"/>
        </w:tblCellMar>
        <w:tblLook w:val="04A0" w:firstRow="1" w:lastRow="0" w:firstColumn="1" w:lastColumn="0" w:noHBand="0" w:noVBand="1"/>
      </w:tblPr>
      <w:tblGrid>
        <w:gridCol w:w="1082"/>
        <w:gridCol w:w="8813"/>
      </w:tblGrid>
      <w:tr w:rsidR="00714DA8" w:rsidRPr="00773863" w14:paraId="0392FB08" w14:textId="77777777" w:rsidTr="0004107A">
        <w:trPr>
          <w:trHeight w:val="20"/>
          <w:tblHeader/>
        </w:trPr>
        <w:tc>
          <w:tcPr>
            <w:tcW w:w="9895" w:type="dxa"/>
            <w:gridSpan w:val="2"/>
            <w:tcBorders>
              <w:top w:val="single" w:sz="4" w:space="0" w:color="auto"/>
              <w:left w:val="single" w:sz="4" w:space="0" w:color="auto"/>
              <w:bottom w:val="single" w:sz="4" w:space="0" w:color="auto"/>
              <w:right w:val="single" w:sz="4" w:space="0" w:color="auto"/>
            </w:tcBorders>
            <w:shd w:val="clear" w:color="auto" w:fill="002060"/>
          </w:tcPr>
          <w:p w14:paraId="2344057B" w14:textId="3884C0C0" w:rsidR="00714DA8" w:rsidRPr="00756410" w:rsidRDefault="00714DA8">
            <w:pPr>
              <w:pStyle w:val="ListParagraph"/>
              <w:widowControl w:val="0"/>
              <w:numPr>
                <w:ilvl w:val="0"/>
                <w:numId w:val="85"/>
              </w:numPr>
              <w:autoSpaceDE w:val="0"/>
              <w:autoSpaceDN w:val="0"/>
              <w:rPr>
                <w:b/>
                <w:sz w:val="20"/>
                <w:szCs w:val="20"/>
                <w:lang w:val="es-419"/>
              </w:rPr>
            </w:pPr>
            <w:r w:rsidRPr="00756410">
              <w:rPr>
                <w:b/>
                <w:bCs/>
                <w:sz w:val="20"/>
                <w:szCs w:val="20"/>
                <w:lang w:val="es-419"/>
              </w:rPr>
              <w:t>Realizar pagos directos para un socio</w:t>
            </w:r>
          </w:p>
        </w:tc>
      </w:tr>
      <w:tr w:rsidR="00714DA8" w:rsidRPr="00773863" w14:paraId="671BE8B0"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8B50FFD" w14:textId="77777777" w:rsidR="00714DA8" w:rsidRPr="00714DA8" w:rsidRDefault="00714DA8" w:rsidP="004943D0">
            <w:pPr>
              <w:rPr>
                <w:sz w:val="20"/>
                <w:szCs w:val="20"/>
              </w:rPr>
            </w:pPr>
            <w:r w:rsidRPr="00714DA8">
              <w:rPr>
                <w:sz w:val="20"/>
                <w:szCs w:val="20"/>
              </w:rPr>
              <w:t>Qué cubre</w:t>
            </w:r>
          </w:p>
        </w:tc>
        <w:tc>
          <w:tcPr>
            <w:tcW w:w="8813" w:type="dxa"/>
            <w:tcBorders>
              <w:top w:val="single" w:sz="4" w:space="0" w:color="auto"/>
              <w:left w:val="single" w:sz="4" w:space="0" w:color="auto"/>
              <w:bottom w:val="single" w:sz="4" w:space="0" w:color="auto"/>
              <w:right w:val="single" w:sz="4" w:space="0" w:color="auto"/>
            </w:tcBorders>
          </w:tcPr>
          <w:p w14:paraId="15332B96" w14:textId="7EDE682F" w:rsidR="00714DA8" w:rsidRPr="00756410" w:rsidRDefault="00714DA8" w:rsidP="363CA695">
            <w:pPr>
              <w:rPr>
                <w:sz w:val="20"/>
                <w:szCs w:val="20"/>
                <w:lang w:val="es-419"/>
              </w:rPr>
            </w:pPr>
            <w:r w:rsidRPr="00756410">
              <w:rPr>
                <w:sz w:val="20"/>
                <w:szCs w:val="20"/>
                <w:lang w:val="es-419"/>
              </w:rPr>
              <w:t>La oficina/</w:t>
            </w:r>
            <w:r w:rsidR="1D52C8CE" w:rsidRPr="3937432E">
              <w:rPr>
                <w:sz w:val="20"/>
                <w:szCs w:val="20"/>
                <w:lang w:val="es-419"/>
              </w:rPr>
              <w:t xml:space="preserve">unidad </w:t>
            </w:r>
            <w:r w:rsidRPr="00756410">
              <w:rPr>
                <w:sz w:val="20"/>
                <w:szCs w:val="20"/>
                <w:lang w:val="es-419"/>
              </w:rPr>
              <w:t xml:space="preserve">del PNUD sólo presta servicios contables y bancarios al </w:t>
            </w:r>
            <w:r w:rsidR="4447DBA2" w:rsidRPr="3937432E">
              <w:rPr>
                <w:sz w:val="20"/>
                <w:szCs w:val="20"/>
                <w:lang w:val="es-419"/>
              </w:rPr>
              <w:t>Socio</w:t>
            </w:r>
            <w:r w:rsidR="7AEB5E2D" w:rsidRPr="3937432E">
              <w:rPr>
                <w:sz w:val="20"/>
                <w:szCs w:val="20"/>
                <w:lang w:val="es-419"/>
              </w:rPr>
              <w:t>.</w:t>
            </w:r>
            <w:r w:rsidRPr="3937432E">
              <w:rPr>
                <w:sz w:val="20"/>
                <w:szCs w:val="20"/>
                <w:lang w:val="es-419"/>
              </w:rPr>
              <w:t xml:space="preserve"> El Socio realiza el reclutamiento o la adquisición y firma el contrato de acuerdo con sus propias regulaciones y reglas. El Socio asume la responsabilidad del proceso de contratación y es responsable de los gastos del proyecto. </w:t>
            </w:r>
          </w:p>
        </w:tc>
      </w:tr>
      <w:tr w:rsidR="00714DA8" w:rsidRPr="00773863" w14:paraId="3981633E"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222D7C4" w14:textId="7D12FF06" w:rsidR="00714DA8" w:rsidRPr="00714DA8" w:rsidRDefault="00512AE1" w:rsidP="004943D0">
            <w:pPr>
              <w:rPr>
                <w:sz w:val="20"/>
                <w:szCs w:val="20"/>
              </w:rPr>
            </w:pPr>
            <w:r>
              <w:rPr>
                <w:sz w:val="20"/>
                <w:szCs w:val="20"/>
              </w:rPr>
              <w:t>Evaluación del control interno</w:t>
            </w:r>
          </w:p>
        </w:tc>
        <w:tc>
          <w:tcPr>
            <w:tcW w:w="8813" w:type="dxa"/>
            <w:tcBorders>
              <w:top w:val="single" w:sz="4" w:space="0" w:color="auto"/>
              <w:left w:val="single" w:sz="4" w:space="0" w:color="auto"/>
              <w:bottom w:val="single" w:sz="4" w:space="0" w:color="auto"/>
              <w:right w:val="single" w:sz="4" w:space="0" w:color="auto"/>
            </w:tcBorders>
          </w:tcPr>
          <w:p w14:paraId="7DBC3D1C" w14:textId="354FD261" w:rsidR="00714DA8" w:rsidRPr="00756410" w:rsidRDefault="00512AE1" w:rsidP="363CA695">
            <w:pPr>
              <w:rPr>
                <w:sz w:val="20"/>
                <w:szCs w:val="20"/>
                <w:lang w:val="es-419"/>
              </w:rPr>
            </w:pPr>
            <w:r w:rsidRPr="3937432E">
              <w:rPr>
                <w:sz w:val="20"/>
                <w:szCs w:val="20"/>
                <w:u w:val="single"/>
                <w:lang w:val="es-419"/>
              </w:rPr>
              <w:t xml:space="preserve">Prerrequisito de pago directo: </w:t>
            </w:r>
            <w:r w:rsidR="00714DA8" w:rsidRPr="3937432E">
              <w:rPr>
                <w:sz w:val="20"/>
                <w:szCs w:val="20"/>
                <w:lang w:val="es-419"/>
              </w:rPr>
              <w:t xml:space="preserve">La modalidad de pago directo puede ser a solicitud del Socio, o como resultado del perfil de riesgo del Socio determinado a través de la </w:t>
            </w:r>
            <w:r w:rsidR="005820CD" w:rsidRPr="3937432E">
              <w:rPr>
                <w:sz w:val="20"/>
                <w:szCs w:val="20"/>
                <w:lang w:val="es-419"/>
              </w:rPr>
              <w:t>micro evaluación</w:t>
            </w:r>
            <w:r w:rsidR="00714DA8" w:rsidRPr="3937432E">
              <w:rPr>
                <w:sz w:val="20"/>
                <w:szCs w:val="20"/>
                <w:lang w:val="es-419"/>
              </w:rPr>
              <w:t xml:space="preserve"> HACT, que incluye una evaluación del control interno.</w:t>
            </w:r>
          </w:p>
        </w:tc>
      </w:tr>
      <w:tr w:rsidR="00714DA8" w:rsidRPr="00714DA8" w14:paraId="290149B9" w14:textId="77777777" w:rsidTr="0004107A">
        <w:trPr>
          <w:trHeight w:val="20"/>
        </w:trPr>
        <w:tc>
          <w:tcPr>
            <w:tcW w:w="98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F5B3D8" w14:textId="185BB317" w:rsidR="00714DA8" w:rsidRPr="00714DA8" w:rsidRDefault="00714DA8" w:rsidP="00CF32EB">
            <w:pPr>
              <w:rPr>
                <w:b/>
                <w:bCs/>
                <w:sz w:val="20"/>
                <w:szCs w:val="20"/>
              </w:rPr>
            </w:pPr>
            <w:r w:rsidRPr="00714DA8">
              <w:rPr>
                <w:b/>
                <w:bCs/>
                <w:sz w:val="20"/>
                <w:szCs w:val="20"/>
              </w:rPr>
              <w:t>Responsabilidades del socio</w:t>
            </w:r>
          </w:p>
        </w:tc>
      </w:tr>
      <w:tr w:rsidR="00714DA8" w:rsidRPr="00773863" w14:paraId="25C2901C"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176198C" w14:textId="59960091" w:rsidR="00714DA8" w:rsidRPr="00714DA8" w:rsidRDefault="0036789A" w:rsidP="00CF32EB">
            <w:pPr>
              <w:rPr>
                <w:sz w:val="20"/>
                <w:szCs w:val="20"/>
              </w:rPr>
            </w:pPr>
            <w:r>
              <w:rPr>
                <w:sz w:val="20"/>
                <w:szCs w:val="20"/>
              </w:rPr>
              <w:t>Socio</w:t>
            </w:r>
          </w:p>
        </w:tc>
        <w:tc>
          <w:tcPr>
            <w:tcW w:w="8813" w:type="dxa"/>
            <w:tcBorders>
              <w:top w:val="single" w:sz="4" w:space="0" w:color="auto"/>
              <w:left w:val="single" w:sz="4" w:space="0" w:color="auto"/>
              <w:bottom w:val="single" w:sz="4" w:space="0" w:color="auto"/>
              <w:right w:val="single" w:sz="4" w:space="0" w:color="auto"/>
            </w:tcBorders>
          </w:tcPr>
          <w:p w14:paraId="4251E1A9" w14:textId="737E7FD7" w:rsidR="00512AE1" w:rsidRPr="00756410" w:rsidRDefault="00512AE1">
            <w:pPr>
              <w:pStyle w:val="ListParagraph"/>
              <w:numPr>
                <w:ilvl w:val="0"/>
                <w:numId w:val="86"/>
              </w:numPr>
              <w:rPr>
                <w:sz w:val="20"/>
                <w:szCs w:val="20"/>
                <w:lang w:val="es-419"/>
              </w:rPr>
            </w:pPr>
            <w:r w:rsidRPr="00756410">
              <w:rPr>
                <w:sz w:val="20"/>
                <w:szCs w:val="20"/>
                <w:lang w:val="es-419"/>
              </w:rPr>
              <w:t>Mantiene toda la documentación de respaldo para compromisos y gastos.</w:t>
            </w:r>
          </w:p>
          <w:p w14:paraId="33D9C769" w14:textId="2CA39484" w:rsidR="001D34C9" w:rsidRPr="00756410" w:rsidRDefault="001D34C9">
            <w:pPr>
              <w:pStyle w:val="ListParagraph"/>
              <w:numPr>
                <w:ilvl w:val="0"/>
                <w:numId w:val="86"/>
              </w:numPr>
              <w:rPr>
                <w:sz w:val="20"/>
                <w:szCs w:val="20"/>
                <w:lang w:val="es-419"/>
              </w:rPr>
            </w:pPr>
            <w:r w:rsidRPr="3937432E">
              <w:rPr>
                <w:sz w:val="20"/>
                <w:szCs w:val="20"/>
                <w:lang w:val="es-419"/>
              </w:rPr>
              <w:t xml:space="preserve">Se comunica con </w:t>
            </w:r>
            <w:r w:rsidR="6A2A5D1F" w:rsidRPr="3937432E">
              <w:rPr>
                <w:sz w:val="20"/>
                <w:szCs w:val="20"/>
                <w:lang w:val="es-419"/>
              </w:rPr>
              <w:t xml:space="preserve">la </w:t>
            </w:r>
            <w:r w:rsidR="008B29EA" w:rsidRPr="008B29EA">
              <w:rPr>
                <w:sz w:val="20"/>
                <w:szCs w:val="20"/>
                <w:lang w:val="es-419"/>
              </w:rPr>
              <w:t xml:space="preserve">oficina de país </w:t>
            </w:r>
            <w:r w:rsidRPr="3937432E">
              <w:rPr>
                <w:sz w:val="20"/>
                <w:szCs w:val="20"/>
                <w:lang w:val="es-419"/>
              </w:rPr>
              <w:t>del PNUD, quien está autorizado a aprobar las solicitudes de pago para su presentación al PNUD.</w:t>
            </w:r>
          </w:p>
          <w:p w14:paraId="5A4AE8E2" w14:textId="1A85462D" w:rsidR="00512AE1" w:rsidRPr="00756410" w:rsidRDefault="00512AE1">
            <w:pPr>
              <w:pStyle w:val="ListParagraph"/>
              <w:numPr>
                <w:ilvl w:val="0"/>
                <w:numId w:val="86"/>
              </w:numPr>
              <w:rPr>
                <w:sz w:val="20"/>
                <w:szCs w:val="20"/>
                <w:lang w:val="es-ES"/>
              </w:rPr>
            </w:pPr>
            <w:r w:rsidRPr="3937432E">
              <w:rPr>
                <w:sz w:val="20"/>
                <w:szCs w:val="20"/>
                <w:lang w:val="es-ES"/>
              </w:rPr>
              <w:t xml:space="preserve">Envía las solicitudes de pago directo aprobadas </w:t>
            </w:r>
            <w:r w:rsidR="008B29EA">
              <w:rPr>
                <w:sz w:val="20"/>
                <w:szCs w:val="20"/>
                <w:lang w:val="es-ES"/>
              </w:rPr>
              <w:t>a la</w:t>
            </w:r>
            <w:r w:rsidR="008B29EA" w:rsidRPr="00756410">
              <w:rPr>
                <w:lang w:val="es-419"/>
              </w:rPr>
              <w:t xml:space="preserve"> </w:t>
            </w:r>
            <w:r w:rsidR="008B29EA" w:rsidRPr="008B29EA">
              <w:rPr>
                <w:sz w:val="20"/>
                <w:szCs w:val="20"/>
                <w:lang w:val="es-ES"/>
              </w:rPr>
              <w:t>oficina de país</w:t>
            </w:r>
            <w:r w:rsidR="008B29EA">
              <w:rPr>
                <w:sz w:val="20"/>
                <w:szCs w:val="20"/>
                <w:lang w:val="es-ES"/>
              </w:rPr>
              <w:t xml:space="preserve"> </w:t>
            </w:r>
            <w:r w:rsidRPr="3937432E">
              <w:rPr>
                <w:sz w:val="20"/>
                <w:szCs w:val="20"/>
                <w:lang w:val="es-ES"/>
              </w:rPr>
              <w:t xml:space="preserve"> del PNUD a través del Director Nacional de Proyectos del Socio.</w:t>
            </w:r>
          </w:p>
          <w:p w14:paraId="1ABED373" w14:textId="2CEE10B7" w:rsidR="00714DA8" w:rsidRPr="00756410" w:rsidRDefault="00512AE1">
            <w:pPr>
              <w:pStyle w:val="ListParagraph"/>
              <w:numPr>
                <w:ilvl w:val="0"/>
                <w:numId w:val="86"/>
              </w:numPr>
              <w:rPr>
                <w:sz w:val="20"/>
                <w:szCs w:val="20"/>
                <w:lang w:val="es-419"/>
              </w:rPr>
            </w:pPr>
            <w:r w:rsidRPr="00756410">
              <w:rPr>
                <w:sz w:val="20"/>
                <w:szCs w:val="20"/>
                <w:lang w:val="es-ES"/>
              </w:rPr>
              <w:t xml:space="preserve">A su elección, la </w:t>
            </w:r>
            <w:r w:rsidR="008B29EA" w:rsidRPr="008B29EA">
              <w:rPr>
                <w:sz w:val="20"/>
                <w:szCs w:val="20"/>
                <w:lang w:val="es-ES"/>
              </w:rPr>
              <w:t>oficina de país</w:t>
            </w:r>
            <w:r w:rsidRPr="00756410">
              <w:rPr>
                <w:sz w:val="20"/>
                <w:szCs w:val="20"/>
                <w:lang w:val="es-ES"/>
              </w:rPr>
              <w:t xml:space="preserve"> del PNUD puede exigir al </w:t>
            </w:r>
            <w:r w:rsidR="29A63E61" w:rsidRPr="00756410">
              <w:rPr>
                <w:sz w:val="20"/>
                <w:szCs w:val="20"/>
                <w:lang w:val="es-ES"/>
              </w:rPr>
              <w:t xml:space="preserve">Socio </w:t>
            </w:r>
            <w:r w:rsidRPr="00756410">
              <w:rPr>
                <w:sz w:val="20"/>
                <w:szCs w:val="20"/>
                <w:lang w:val="es-ES"/>
              </w:rPr>
              <w:t xml:space="preserve">que presente documentación justificativa del pago para que la oficina o </w:t>
            </w:r>
            <w:r w:rsidR="74458C64" w:rsidRPr="00756410">
              <w:rPr>
                <w:sz w:val="20"/>
                <w:szCs w:val="20"/>
                <w:lang w:val="es-ES"/>
              </w:rPr>
              <w:t xml:space="preserve">unidad </w:t>
            </w:r>
            <w:r w:rsidRPr="00756410">
              <w:rPr>
                <w:sz w:val="20"/>
                <w:szCs w:val="20"/>
                <w:lang w:val="es-ES"/>
              </w:rPr>
              <w:t xml:space="preserve">pueda supervisar las actividades del proyecto sobre </w:t>
            </w:r>
            <w:r w:rsidRPr="00756410">
              <w:rPr>
                <w:sz w:val="20"/>
                <w:szCs w:val="20"/>
                <w:lang w:val="es-ES"/>
              </w:rPr>
              <w:lastRenderedPageBreak/>
              <w:t>una base transaccional. Independientemente, el socio debe enviar solo copias y debe conservar los documentos originales en la oficina del socio para su auditoría.</w:t>
            </w:r>
          </w:p>
        </w:tc>
      </w:tr>
      <w:tr w:rsidR="00714DA8" w:rsidRPr="00773863" w14:paraId="6D7E423E" w14:textId="77777777" w:rsidTr="0004107A">
        <w:trPr>
          <w:trHeight w:val="20"/>
        </w:trPr>
        <w:tc>
          <w:tcPr>
            <w:tcW w:w="1082" w:type="dxa"/>
            <w:tcBorders>
              <w:top w:val="single" w:sz="4" w:space="0" w:color="auto"/>
              <w:left w:val="single" w:sz="4" w:space="0" w:color="auto"/>
              <w:bottom w:val="single" w:sz="4" w:space="0" w:color="auto"/>
              <w:right w:val="single" w:sz="4" w:space="0" w:color="auto"/>
            </w:tcBorders>
          </w:tcPr>
          <w:p w14:paraId="341F57E4" w14:textId="685884DB" w:rsidR="00714DA8" w:rsidRPr="00714DA8" w:rsidRDefault="4311853B" w:rsidP="00CF32EB">
            <w:pPr>
              <w:rPr>
                <w:sz w:val="20"/>
                <w:szCs w:val="20"/>
              </w:rPr>
            </w:pPr>
            <w:r w:rsidRPr="3937432E">
              <w:rPr>
                <w:sz w:val="20"/>
                <w:szCs w:val="20"/>
              </w:rPr>
              <w:lastRenderedPageBreak/>
              <w:t>OP/</w:t>
            </w:r>
            <w:r w:rsidR="00512AE1">
              <w:rPr>
                <w:sz w:val="20"/>
                <w:szCs w:val="20"/>
              </w:rPr>
              <w:t>CO</w:t>
            </w:r>
          </w:p>
        </w:tc>
        <w:tc>
          <w:tcPr>
            <w:tcW w:w="8813" w:type="dxa"/>
            <w:tcBorders>
              <w:top w:val="single" w:sz="4" w:space="0" w:color="auto"/>
              <w:left w:val="single" w:sz="4" w:space="0" w:color="auto"/>
              <w:bottom w:val="single" w:sz="4" w:space="0" w:color="auto"/>
              <w:right w:val="single" w:sz="4" w:space="0" w:color="auto"/>
            </w:tcBorders>
          </w:tcPr>
          <w:p w14:paraId="5ACC5433" w14:textId="19061152" w:rsidR="00512AE1" w:rsidRPr="00756410" w:rsidRDefault="00512AE1" w:rsidP="00512AE1">
            <w:pPr>
              <w:rPr>
                <w:sz w:val="20"/>
                <w:szCs w:val="20"/>
                <w:lang w:val="es-419"/>
              </w:rPr>
            </w:pPr>
            <w:r w:rsidRPr="00756410">
              <w:rPr>
                <w:sz w:val="20"/>
                <w:szCs w:val="20"/>
                <w:lang w:val="es-419"/>
              </w:rPr>
              <w:t>Con la autorización del Jefe de Oficina/Unidad o del Jefe Adjunto de Oficina/Unidad (o su designado):</w:t>
            </w:r>
          </w:p>
          <w:p w14:paraId="6BC707E9" w14:textId="180DB69A" w:rsidR="00512AE1" w:rsidRPr="00756410" w:rsidRDefault="001D34C9">
            <w:pPr>
              <w:pStyle w:val="ListParagraph"/>
              <w:numPr>
                <w:ilvl w:val="0"/>
                <w:numId w:val="87"/>
              </w:numPr>
              <w:rPr>
                <w:sz w:val="20"/>
                <w:szCs w:val="20"/>
                <w:lang w:val="es-419"/>
              </w:rPr>
            </w:pPr>
            <w:r w:rsidRPr="3937432E">
              <w:rPr>
                <w:sz w:val="20"/>
                <w:szCs w:val="20"/>
                <w:lang w:val="es-419"/>
              </w:rPr>
              <w:t>Confirma que la solicitud de pago está firmada por un funcionario autorizado del Socio y, en función de la solicitud de pago directo aprobada por el Socio, crea y realiza la primera aprobación de la factura para el pago, ya que el Socio no tiene acceso a Quantum.</w:t>
            </w:r>
          </w:p>
          <w:p w14:paraId="4D875840" w14:textId="3FC24197" w:rsidR="00512AE1" w:rsidRPr="00756410" w:rsidRDefault="00512AE1">
            <w:pPr>
              <w:pStyle w:val="ListParagraph"/>
              <w:numPr>
                <w:ilvl w:val="0"/>
                <w:numId w:val="87"/>
              </w:numPr>
              <w:rPr>
                <w:sz w:val="20"/>
                <w:szCs w:val="20"/>
                <w:lang w:val="es-419"/>
              </w:rPr>
            </w:pPr>
            <w:r w:rsidRPr="3937432E">
              <w:rPr>
                <w:sz w:val="20"/>
                <w:szCs w:val="20"/>
                <w:lang w:val="es-419"/>
              </w:rPr>
              <w:t>Supervisar las actividades del proyecto para garantizar la pronta detección de desviaciones del plan de trabajo/presupuesto del proyecto.</w:t>
            </w:r>
          </w:p>
          <w:p w14:paraId="317B97E0" w14:textId="2D8D5098" w:rsidR="00714DA8" w:rsidRPr="00756410" w:rsidRDefault="00512AE1">
            <w:pPr>
              <w:pStyle w:val="ListParagraph"/>
              <w:numPr>
                <w:ilvl w:val="0"/>
                <w:numId w:val="87"/>
              </w:numPr>
              <w:rPr>
                <w:sz w:val="20"/>
                <w:szCs w:val="20"/>
                <w:lang w:val="es-419"/>
              </w:rPr>
            </w:pPr>
            <w:r w:rsidRPr="3937432E">
              <w:rPr>
                <w:sz w:val="20"/>
                <w:szCs w:val="20"/>
                <w:lang w:val="es-419"/>
              </w:rPr>
              <w:t xml:space="preserve">Organizar actividades de garantía del Socio de acuerdo con </w:t>
            </w:r>
            <w:hyperlink r:id="rId187">
              <w:r w:rsidR="00824124" w:rsidRPr="00756410">
                <w:rPr>
                  <w:rStyle w:val="Hyperlink"/>
                  <w:sz w:val="20"/>
                  <w:szCs w:val="20"/>
                  <w:lang w:val="es-419"/>
                </w:rPr>
                <w:t>POPP HACT</w:t>
              </w:r>
            </w:hyperlink>
            <w:r w:rsidR="00824124" w:rsidRPr="00756410">
              <w:rPr>
                <w:sz w:val="20"/>
                <w:szCs w:val="20"/>
                <w:lang w:val="es-419"/>
              </w:rPr>
              <w:t xml:space="preserve"> para garantizar que los controles internos sean adecuados y que los recursos del PNUD se utilicen para los fines previstos. </w:t>
            </w:r>
          </w:p>
        </w:tc>
      </w:tr>
    </w:tbl>
    <w:p w14:paraId="418ED5D0" w14:textId="77777777" w:rsidR="00D92DFE" w:rsidRPr="00756410" w:rsidRDefault="00D92DFE" w:rsidP="00714DA8">
      <w:pPr>
        <w:pStyle w:val="ListParagraph"/>
        <w:ind w:left="360"/>
        <w:rPr>
          <w:lang w:val="es-419"/>
        </w:rPr>
      </w:pPr>
    </w:p>
    <w:tbl>
      <w:tblPr>
        <w:tblStyle w:val="TableGrid"/>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bottom w:w="43" w:type="dxa"/>
          <w:right w:w="72" w:type="dxa"/>
        </w:tblCellMar>
        <w:tblLook w:val="04A0" w:firstRow="1" w:lastRow="0" w:firstColumn="1" w:lastColumn="0" w:noHBand="0" w:noVBand="1"/>
      </w:tblPr>
      <w:tblGrid>
        <w:gridCol w:w="1435"/>
        <w:gridCol w:w="8460"/>
      </w:tblGrid>
      <w:tr w:rsidR="00B95305" w:rsidRPr="00773863" w14:paraId="0D600CC7" w14:textId="77777777" w:rsidTr="0004107A">
        <w:trPr>
          <w:trHeight w:val="20"/>
          <w:tblHeader/>
        </w:trPr>
        <w:tc>
          <w:tcPr>
            <w:tcW w:w="9895" w:type="dxa"/>
            <w:gridSpan w:val="2"/>
            <w:shd w:val="clear" w:color="auto" w:fill="002060"/>
          </w:tcPr>
          <w:p w14:paraId="1C33E189" w14:textId="5DF41E82" w:rsidR="00B95305" w:rsidRPr="00756410" w:rsidRDefault="00B95305" w:rsidP="3937432E">
            <w:pPr>
              <w:pStyle w:val="ListParagraph"/>
              <w:widowControl w:val="0"/>
              <w:numPr>
                <w:ilvl w:val="0"/>
                <w:numId w:val="85"/>
              </w:numPr>
              <w:autoSpaceDE w:val="0"/>
              <w:autoSpaceDN w:val="0"/>
              <w:rPr>
                <w:b/>
                <w:sz w:val="20"/>
                <w:szCs w:val="20"/>
                <w:lang w:val="es-ES"/>
              </w:rPr>
            </w:pPr>
            <w:r w:rsidRPr="00756410">
              <w:rPr>
                <w:b/>
                <w:sz w:val="20"/>
                <w:szCs w:val="20"/>
                <w:lang w:val="es-ES"/>
              </w:rPr>
              <w:t xml:space="preserve">Servicios de soporte de </w:t>
            </w:r>
            <w:r w:rsidR="00DB0F51">
              <w:rPr>
                <w:b/>
                <w:sz w:val="20"/>
                <w:szCs w:val="20"/>
                <w:lang w:val="es-ES"/>
              </w:rPr>
              <w:t xml:space="preserve">la </w:t>
            </w:r>
            <w:r w:rsidR="00DB0F51" w:rsidRPr="00DB0F51">
              <w:rPr>
                <w:b/>
                <w:sz w:val="20"/>
                <w:szCs w:val="20"/>
                <w:lang w:val="es-ES"/>
              </w:rPr>
              <w:t xml:space="preserve">oficina de país </w:t>
            </w:r>
            <w:r w:rsidRPr="00756410">
              <w:rPr>
                <w:b/>
                <w:sz w:val="20"/>
                <w:szCs w:val="20"/>
                <w:lang w:val="es-ES"/>
              </w:rPr>
              <w:t>proporcionados a un socio</w:t>
            </w:r>
          </w:p>
        </w:tc>
      </w:tr>
      <w:tr w:rsidR="00B95305" w:rsidRPr="00773863" w14:paraId="2A992464" w14:textId="77777777" w:rsidTr="0004107A">
        <w:trPr>
          <w:trHeight w:val="20"/>
        </w:trPr>
        <w:tc>
          <w:tcPr>
            <w:tcW w:w="1435" w:type="dxa"/>
          </w:tcPr>
          <w:p w14:paraId="38D6F720" w14:textId="77777777" w:rsidR="00B95305" w:rsidRPr="007732BA" w:rsidRDefault="00B95305">
            <w:pPr>
              <w:rPr>
                <w:sz w:val="20"/>
                <w:szCs w:val="20"/>
              </w:rPr>
            </w:pPr>
            <w:r w:rsidRPr="007732BA">
              <w:rPr>
                <w:sz w:val="20"/>
                <w:szCs w:val="20"/>
              </w:rPr>
              <w:t>Qué cubre</w:t>
            </w:r>
          </w:p>
        </w:tc>
        <w:tc>
          <w:tcPr>
            <w:tcW w:w="8460" w:type="dxa"/>
          </w:tcPr>
          <w:p w14:paraId="29D34F62" w14:textId="4BDD0382" w:rsidR="00B95305" w:rsidRPr="00756410" w:rsidRDefault="00B95305">
            <w:pPr>
              <w:rPr>
                <w:sz w:val="20"/>
                <w:szCs w:val="20"/>
                <w:lang w:val="es-419"/>
              </w:rPr>
            </w:pPr>
            <w:r w:rsidRPr="008B529A">
              <w:rPr>
                <w:sz w:val="20"/>
                <w:szCs w:val="20"/>
                <w:lang w:val="es-419"/>
              </w:rPr>
              <w:t xml:space="preserve">Esta sección se aplica solo a los "servicios de apoyo de </w:t>
            </w:r>
            <w:r w:rsidR="73C432AC" w:rsidRPr="008B529A">
              <w:rPr>
                <w:sz w:val="20"/>
                <w:szCs w:val="20"/>
                <w:lang w:val="es-419"/>
              </w:rPr>
              <w:t>OP/</w:t>
            </w:r>
            <w:r w:rsidRPr="008B529A">
              <w:rPr>
                <w:sz w:val="20"/>
                <w:szCs w:val="20"/>
                <w:lang w:val="es-419"/>
              </w:rPr>
              <w:t xml:space="preserve">CO" (como adquisiciones, contratación y viajes) proporcionados al Socio a solicitud del Socio, es decir: casos en los que </w:t>
            </w:r>
            <w:r w:rsidR="00D70281">
              <w:rPr>
                <w:sz w:val="20"/>
                <w:szCs w:val="20"/>
                <w:lang w:val="es-419"/>
              </w:rPr>
              <w:t>la</w:t>
            </w:r>
            <w:r w:rsidR="00D70281" w:rsidRPr="008B529A">
              <w:rPr>
                <w:sz w:val="20"/>
                <w:szCs w:val="20"/>
                <w:lang w:val="es-419"/>
              </w:rPr>
              <w:t xml:space="preserve"> </w:t>
            </w:r>
            <w:r w:rsidR="00DB0F51" w:rsidRPr="00DB0F51">
              <w:rPr>
                <w:sz w:val="20"/>
                <w:szCs w:val="20"/>
                <w:lang w:val="es-419"/>
              </w:rPr>
              <w:t>oficina de país</w:t>
            </w:r>
            <w:r w:rsidRPr="008B529A">
              <w:rPr>
                <w:sz w:val="20"/>
                <w:szCs w:val="20"/>
                <w:lang w:val="es-419"/>
              </w:rPr>
              <w:t xml:space="preserve"> del PNUD asume la responsabilidad del proceso de contratación realizado de acuerdo con los </w:t>
            </w:r>
            <w:r w:rsidR="39066573" w:rsidRPr="008B529A">
              <w:rPr>
                <w:sz w:val="20"/>
                <w:szCs w:val="20"/>
                <w:lang w:val="es-419"/>
              </w:rPr>
              <w:t>RR</w:t>
            </w:r>
            <w:r w:rsidR="4D4E62E8" w:rsidRPr="008B529A">
              <w:rPr>
                <w:sz w:val="20"/>
                <w:szCs w:val="20"/>
                <w:lang w:val="es-419"/>
              </w:rPr>
              <w:t>F</w:t>
            </w:r>
            <w:r w:rsidRPr="008B529A">
              <w:rPr>
                <w:sz w:val="20"/>
                <w:szCs w:val="20"/>
                <w:lang w:val="es-419"/>
              </w:rPr>
              <w:t xml:space="preserve"> y POPP del PNUD</w:t>
            </w:r>
            <w:r w:rsidRPr="007732BA">
              <w:rPr>
                <w:rStyle w:val="FootnoteReference"/>
                <w:sz w:val="20"/>
                <w:szCs w:val="20"/>
              </w:rPr>
              <w:footnoteReference w:id="41"/>
            </w:r>
            <w:r w:rsidRPr="00756410">
              <w:rPr>
                <w:sz w:val="20"/>
                <w:szCs w:val="20"/>
                <w:lang w:val="es-419"/>
              </w:rPr>
              <w:t>.</w:t>
            </w:r>
          </w:p>
        </w:tc>
      </w:tr>
      <w:tr w:rsidR="00B95305" w:rsidRPr="007732BA" w14:paraId="70C8A7B1" w14:textId="77777777" w:rsidTr="0004107A">
        <w:trPr>
          <w:trHeight w:val="20"/>
        </w:trPr>
        <w:tc>
          <w:tcPr>
            <w:tcW w:w="9895" w:type="dxa"/>
            <w:gridSpan w:val="2"/>
            <w:shd w:val="clear" w:color="auto" w:fill="BFBFBF" w:themeFill="background1" w:themeFillShade="BF"/>
          </w:tcPr>
          <w:p w14:paraId="5015D63C" w14:textId="4E8B8332" w:rsidR="00B95305" w:rsidRPr="00756410" w:rsidRDefault="006D76E5">
            <w:pPr>
              <w:rPr>
                <w:b/>
                <w:bCs/>
                <w:sz w:val="20"/>
                <w:szCs w:val="20"/>
                <w:lang w:val="es-419"/>
              </w:rPr>
            </w:pPr>
            <w:r w:rsidRPr="00756410">
              <w:rPr>
                <w:b/>
                <w:bCs/>
                <w:sz w:val="20"/>
                <w:szCs w:val="20"/>
                <w:lang w:val="es-419"/>
              </w:rPr>
              <w:t>Responsabilidades del PNUD</w:t>
            </w:r>
            <w:r w:rsidR="009B4AEE" w:rsidRPr="00756410">
              <w:rPr>
                <w:rStyle w:val="FootnoteReference"/>
                <w:b/>
                <w:bCs/>
                <w:sz w:val="20"/>
                <w:szCs w:val="20"/>
                <w:lang w:val="es-419"/>
              </w:rPr>
              <w:footnoteReference w:id="42"/>
            </w:r>
          </w:p>
        </w:tc>
      </w:tr>
      <w:tr w:rsidR="00B95305" w:rsidRPr="00773863" w14:paraId="626E13F8" w14:textId="77777777" w:rsidTr="0004107A">
        <w:trPr>
          <w:trHeight w:val="20"/>
        </w:trPr>
        <w:tc>
          <w:tcPr>
            <w:tcW w:w="1435" w:type="dxa"/>
          </w:tcPr>
          <w:p w14:paraId="2FD6D1C2" w14:textId="5E476199" w:rsidR="00B95305" w:rsidRPr="00D2258D" w:rsidRDefault="0DDCAAFD">
            <w:pPr>
              <w:rPr>
                <w:sz w:val="20"/>
                <w:szCs w:val="20"/>
              </w:rPr>
            </w:pPr>
            <w:r w:rsidRPr="3937432E">
              <w:rPr>
                <w:sz w:val="20"/>
                <w:szCs w:val="20"/>
              </w:rPr>
              <w:t>OP/</w:t>
            </w:r>
            <w:r w:rsidR="00B95305" w:rsidRPr="00D2258D">
              <w:rPr>
                <w:sz w:val="20"/>
                <w:szCs w:val="20"/>
              </w:rPr>
              <w:t>CO</w:t>
            </w:r>
          </w:p>
        </w:tc>
        <w:tc>
          <w:tcPr>
            <w:tcW w:w="8460" w:type="dxa"/>
          </w:tcPr>
          <w:p w14:paraId="5F39CE26" w14:textId="1ADD7098" w:rsidR="00B95305" w:rsidRPr="00756410" w:rsidRDefault="00B95305">
            <w:pPr>
              <w:pStyle w:val="ListParagraph"/>
              <w:numPr>
                <w:ilvl w:val="0"/>
                <w:numId w:val="87"/>
              </w:numPr>
              <w:rPr>
                <w:sz w:val="20"/>
                <w:szCs w:val="20"/>
                <w:lang w:val="es-419"/>
              </w:rPr>
            </w:pPr>
            <w:r w:rsidRPr="00756410">
              <w:rPr>
                <w:sz w:val="20"/>
                <w:szCs w:val="20"/>
                <w:lang w:val="es-419"/>
              </w:rPr>
              <w:t>Lleva a cabo el proceso de adquisición.</w:t>
            </w:r>
          </w:p>
          <w:p w14:paraId="47A67D5E" w14:textId="392DD0BD" w:rsidR="00B95305" w:rsidRPr="00756410" w:rsidRDefault="00B95305">
            <w:pPr>
              <w:pStyle w:val="ListParagraph"/>
              <w:numPr>
                <w:ilvl w:val="0"/>
                <w:numId w:val="87"/>
              </w:numPr>
              <w:rPr>
                <w:sz w:val="20"/>
                <w:szCs w:val="20"/>
                <w:lang w:val="es-419"/>
              </w:rPr>
            </w:pPr>
            <w:r w:rsidRPr="00756410">
              <w:rPr>
                <w:sz w:val="20"/>
                <w:szCs w:val="20"/>
                <w:lang w:val="es-419"/>
              </w:rPr>
              <w:t xml:space="preserve">Crea un proveedor y realiza la aprobación </w:t>
            </w:r>
            <w:r w:rsidR="008B6575">
              <w:rPr>
                <w:sz w:val="20"/>
                <w:szCs w:val="20"/>
                <w:lang w:val="es-419"/>
              </w:rPr>
              <w:t>L</w:t>
            </w:r>
            <w:r w:rsidRPr="00756410">
              <w:rPr>
                <w:sz w:val="20"/>
                <w:szCs w:val="20"/>
                <w:lang w:val="es-419"/>
              </w:rPr>
              <w:t>1 de acuerdo con la gestión de proveedores de POPP.</w:t>
            </w:r>
          </w:p>
          <w:p w14:paraId="592458C3" w14:textId="7D2B0BE9" w:rsidR="00B95305" w:rsidRPr="00756410" w:rsidRDefault="00B95305">
            <w:pPr>
              <w:pStyle w:val="ListParagraph"/>
              <w:numPr>
                <w:ilvl w:val="0"/>
                <w:numId w:val="87"/>
              </w:numPr>
              <w:rPr>
                <w:sz w:val="20"/>
                <w:szCs w:val="20"/>
                <w:lang w:val="es-419"/>
              </w:rPr>
            </w:pPr>
            <w:r w:rsidRPr="00756410">
              <w:rPr>
                <w:sz w:val="20"/>
                <w:szCs w:val="20"/>
                <w:lang w:val="es-419"/>
              </w:rPr>
              <w:t>Crea</w:t>
            </w:r>
            <w:r w:rsidRPr="3937432E">
              <w:rPr>
                <w:sz w:val="20"/>
                <w:szCs w:val="20"/>
                <w:lang w:val="es-419"/>
              </w:rPr>
              <w:t xml:space="preserve"> y aprueba </w:t>
            </w:r>
            <w:r w:rsidR="59445AC9" w:rsidRPr="3937432E">
              <w:rPr>
                <w:sz w:val="20"/>
                <w:szCs w:val="20"/>
                <w:lang w:val="es-419"/>
              </w:rPr>
              <w:t xml:space="preserve">la Orden de Compra </w:t>
            </w:r>
          </w:p>
        </w:tc>
      </w:tr>
      <w:tr w:rsidR="00B95305" w:rsidRPr="007732BA" w14:paraId="4EE0087D" w14:textId="77777777" w:rsidTr="0004107A">
        <w:trPr>
          <w:trHeight w:val="20"/>
        </w:trPr>
        <w:tc>
          <w:tcPr>
            <w:tcW w:w="1435" w:type="dxa"/>
          </w:tcPr>
          <w:p w14:paraId="3400F6D9" w14:textId="77777777" w:rsidR="00B95305" w:rsidRPr="007732BA" w:rsidRDefault="00B95305">
            <w:pPr>
              <w:rPr>
                <w:sz w:val="20"/>
                <w:szCs w:val="20"/>
              </w:rPr>
            </w:pPr>
            <w:r w:rsidRPr="007732BA">
              <w:rPr>
                <w:sz w:val="20"/>
                <w:szCs w:val="20"/>
              </w:rPr>
              <w:t>BMS/GSSC</w:t>
            </w:r>
          </w:p>
        </w:tc>
        <w:tc>
          <w:tcPr>
            <w:tcW w:w="8460" w:type="dxa"/>
          </w:tcPr>
          <w:p w14:paraId="240AAFEF" w14:textId="59EE8A94" w:rsidR="00B95305" w:rsidRPr="00756410" w:rsidRDefault="00B95305">
            <w:pPr>
              <w:pStyle w:val="ListParagraph"/>
              <w:numPr>
                <w:ilvl w:val="0"/>
                <w:numId w:val="87"/>
              </w:numPr>
              <w:rPr>
                <w:sz w:val="20"/>
                <w:szCs w:val="20"/>
                <w:lang w:val="es-419"/>
              </w:rPr>
            </w:pPr>
            <w:r w:rsidRPr="00756410">
              <w:rPr>
                <w:sz w:val="20"/>
                <w:szCs w:val="20"/>
                <w:lang w:val="es-419"/>
              </w:rPr>
              <w:t xml:space="preserve">Realiza la aprobación </w:t>
            </w:r>
            <w:r w:rsidR="0070408B">
              <w:rPr>
                <w:sz w:val="20"/>
                <w:szCs w:val="20"/>
                <w:lang w:val="es-419"/>
              </w:rPr>
              <w:t>L</w:t>
            </w:r>
            <w:r w:rsidRPr="00756410">
              <w:rPr>
                <w:sz w:val="20"/>
                <w:szCs w:val="20"/>
                <w:lang w:val="es-419"/>
              </w:rPr>
              <w:t>2 del proveedor.</w:t>
            </w:r>
          </w:p>
          <w:p w14:paraId="490C3A24" w14:textId="5BB74714" w:rsidR="00B95305" w:rsidRPr="00756410" w:rsidRDefault="00B95305">
            <w:pPr>
              <w:pStyle w:val="ListParagraph"/>
              <w:numPr>
                <w:ilvl w:val="0"/>
                <w:numId w:val="87"/>
              </w:numPr>
              <w:rPr>
                <w:sz w:val="20"/>
                <w:szCs w:val="20"/>
                <w:lang w:val="es-419"/>
              </w:rPr>
            </w:pPr>
            <w:r w:rsidRPr="3937432E">
              <w:rPr>
                <w:sz w:val="20"/>
                <w:szCs w:val="20"/>
                <w:lang w:val="es-419"/>
              </w:rPr>
              <w:t xml:space="preserve">Aprueba la factura basada en órdenes de compra para el pago a través de la </w:t>
            </w:r>
            <w:r w:rsidR="00886725">
              <w:rPr>
                <w:sz w:val="20"/>
                <w:szCs w:val="20"/>
                <w:lang w:val="es-419"/>
              </w:rPr>
              <w:t xml:space="preserve">conciliación </w:t>
            </w:r>
            <w:r w:rsidRPr="3937432E">
              <w:rPr>
                <w:sz w:val="20"/>
                <w:szCs w:val="20"/>
                <w:lang w:val="es-419"/>
              </w:rPr>
              <w:t xml:space="preserve">automatizada de </w:t>
            </w:r>
            <w:r w:rsidR="00886725">
              <w:rPr>
                <w:sz w:val="20"/>
                <w:szCs w:val="20"/>
                <w:lang w:val="es-419"/>
              </w:rPr>
              <w:t>tres</w:t>
            </w:r>
            <w:r w:rsidR="00886725" w:rsidRPr="3937432E">
              <w:rPr>
                <w:sz w:val="20"/>
                <w:szCs w:val="20"/>
                <w:lang w:val="es-419"/>
              </w:rPr>
              <w:t xml:space="preserve"> </w:t>
            </w:r>
            <w:r w:rsidRPr="3937432E">
              <w:rPr>
                <w:sz w:val="20"/>
                <w:szCs w:val="20"/>
                <w:lang w:val="es-419"/>
              </w:rPr>
              <w:t>vías de Quantum.</w:t>
            </w:r>
          </w:p>
          <w:p w14:paraId="751F5A81" w14:textId="77777777" w:rsidR="00B95305" w:rsidRPr="007732BA" w:rsidRDefault="00B95305">
            <w:pPr>
              <w:pStyle w:val="ListParagraph"/>
              <w:numPr>
                <w:ilvl w:val="0"/>
                <w:numId w:val="87"/>
              </w:numPr>
              <w:rPr>
                <w:sz w:val="20"/>
                <w:szCs w:val="20"/>
              </w:rPr>
            </w:pPr>
            <w:r w:rsidRPr="007732BA">
              <w:rPr>
                <w:sz w:val="20"/>
                <w:szCs w:val="20"/>
              </w:rPr>
              <w:t>Desembolsa el pago.</w:t>
            </w:r>
          </w:p>
        </w:tc>
      </w:tr>
      <w:bookmarkEnd w:id="111"/>
    </w:tbl>
    <w:p w14:paraId="25C88CB9" w14:textId="77777777" w:rsidR="001D7873" w:rsidRDefault="001D7873" w:rsidP="001D7873"/>
    <w:p w14:paraId="6F83CBE4" w14:textId="479B36CC" w:rsidR="00245AD3" w:rsidRDefault="4C202FE7">
      <w:pPr>
        <w:pStyle w:val="Heading1"/>
        <w:numPr>
          <w:ilvl w:val="0"/>
          <w:numId w:val="92"/>
        </w:numPr>
        <w:spacing w:after="240"/>
      </w:pPr>
      <w:bookmarkStart w:id="114" w:name="_Toc210052793"/>
      <w:bookmarkEnd w:id="112"/>
      <w:r>
        <w:t xml:space="preserve">Facultad </w:t>
      </w:r>
      <w:r w:rsidR="00CD46A1">
        <w:t xml:space="preserve">de </w:t>
      </w:r>
      <w:r w:rsidR="002340B2">
        <w:t xml:space="preserve">Acceso </w:t>
      </w:r>
      <w:bookmarkEnd w:id="114"/>
      <w:r w:rsidR="004E316E">
        <w:t>Externo</w:t>
      </w:r>
    </w:p>
    <w:p w14:paraId="3179D955" w14:textId="3FDA58C3" w:rsidR="00CD46A1" w:rsidRPr="00756410" w:rsidRDefault="00CD46A1" w:rsidP="00756410">
      <w:pPr>
        <w:spacing w:line="240" w:lineRule="auto"/>
        <w:jc w:val="both"/>
        <w:rPr>
          <w:color w:val="ED7D31" w:themeColor="accent2"/>
          <w:lang w:val="es-419"/>
        </w:rPr>
      </w:pPr>
      <w:r w:rsidRPr="00756410">
        <w:rPr>
          <w:lang w:val="es-419"/>
        </w:rPr>
        <w:t>Es posible que los representan</w:t>
      </w:r>
      <w:r w:rsidRPr="3937432E">
        <w:rPr>
          <w:lang w:val="es-419"/>
        </w:rPr>
        <w:t>tes</w:t>
      </w:r>
      <w:r w:rsidR="65D59D85" w:rsidRPr="3937432E">
        <w:rPr>
          <w:lang w:val="es-419"/>
        </w:rPr>
        <w:t xml:space="preserve"> de los socios implementadores</w:t>
      </w:r>
      <w:r w:rsidRPr="3937432E">
        <w:rPr>
          <w:lang w:val="es-419"/>
        </w:rPr>
        <w:t xml:space="preserve"> (gerentes de proyectos, usuarios generales) necesiten acceder y realizar transacciones en Quantum para cumplir con sus responsabilidades de gestión de proyectos. Sin embargo, dado que no son miembros del personal del PNUD, no pueden acceder a Quantum a través de un acceso de "inicio de sesión único". Para poder desempeñar sus responsabilidades, a estos representantes de IP se les puede otorgar acceso externo a Quantum a través de un flujo de trabajo POI (</w:t>
      </w:r>
      <w:r w:rsidRPr="00756410">
        <w:rPr>
          <w:i/>
          <w:iCs/>
          <w:lang w:val="es-419"/>
        </w:rPr>
        <w:t>Contingent Worker</w:t>
      </w:r>
      <w:r w:rsidRPr="3937432E">
        <w:rPr>
          <w:lang w:val="es-419"/>
        </w:rPr>
        <w:t xml:space="preserve">) en IDAM. Consulte la </w:t>
      </w:r>
      <w:hyperlink r:id="rId188">
        <w:r w:rsidR="00C00376" w:rsidRPr="00756410">
          <w:rPr>
            <w:rStyle w:val="Hyperlink"/>
            <w:lang w:val="es-419"/>
          </w:rPr>
          <w:t xml:space="preserve"> Guía paso a paso de acceso externo</w:t>
        </w:r>
      </w:hyperlink>
      <w:r w:rsidR="00EC70BF" w:rsidRPr="00756410">
        <w:rPr>
          <w:lang w:val="es-419"/>
        </w:rPr>
        <w:t>. Hay dos perfiles de usuario de acceso externo que se pueden establecer, como se indica a continuación:</w:t>
      </w:r>
    </w:p>
    <w:tbl>
      <w:tblPr>
        <w:tblStyle w:val="TableGrid"/>
        <w:tblW w:w="9432" w:type="dxa"/>
        <w:tblInd w:w="-5" w:type="dxa"/>
        <w:tblCellMar>
          <w:bottom w:w="43" w:type="dxa"/>
        </w:tblCellMar>
        <w:tblLook w:val="04A0" w:firstRow="1" w:lastRow="0" w:firstColumn="1" w:lastColumn="0" w:noHBand="0" w:noVBand="1"/>
      </w:tblPr>
      <w:tblGrid>
        <w:gridCol w:w="5760"/>
        <w:gridCol w:w="3672"/>
      </w:tblGrid>
      <w:tr w:rsidR="001B27F1" w:rsidRPr="00773863" w14:paraId="5380566A" w14:textId="77777777" w:rsidTr="0004107A">
        <w:trPr>
          <w:trHeight w:val="20"/>
          <w:tblHeader/>
        </w:trPr>
        <w:tc>
          <w:tcPr>
            <w:tcW w:w="5760" w:type="dxa"/>
            <w:tcBorders>
              <w:top w:val="single" w:sz="4" w:space="0" w:color="auto"/>
              <w:left w:val="single" w:sz="4" w:space="0" w:color="auto"/>
              <w:bottom w:val="single" w:sz="4" w:space="0" w:color="auto"/>
              <w:right w:val="single" w:sz="4" w:space="0" w:color="auto"/>
            </w:tcBorders>
            <w:shd w:val="clear" w:color="auto" w:fill="002060"/>
          </w:tcPr>
          <w:p w14:paraId="5F00E3AC" w14:textId="762ACBBC" w:rsidR="00016669" w:rsidRPr="00756410" w:rsidRDefault="00016669" w:rsidP="00016669">
            <w:pPr>
              <w:rPr>
                <w:b/>
                <w:bCs/>
                <w:sz w:val="20"/>
                <w:szCs w:val="20"/>
                <w:lang w:val="es-419"/>
              </w:rPr>
            </w:pPr>
            <w:r w:rsidRPr="00756410">
              <w:rPr>
                <w:b/>
                <w:bCs/>
                <w:sz w:val="20"/>
                <w:szCs w:val="20"/>
                <w:lang w:val="es-419"/>
              </w:rPr>
              <w:t>Usuario operativo (socio implementador)</w:t>
            </w:r>
          </w:p>
        </w:tc>
        <w:tc>
          <w:tcPr>
            <w:tcW w:w="3672" w:type="dxa"/>
            <w:tcBorders>
              <w:top w:val="single" w:sz="4" w:space="0" w:color="auto"/>
              <w:left w:val="single" w:sz="4" w:space="0" w:color="auto"/>
              <w:bottom w:val="single" w:sz="4" w:space="0" w:color="auto"/>
              <w:right w:val="single" w:sz="4" w:space="0" w:color="auto"/>
            </w:tcBorders>
            <w:shd w:val="clear" w:color="auto" w:fill="002060"/>
          </w:tcPr>
          <w:p w14:paraId="402B2D94" w14:textId="0927CC9D" w:rsidR="00016669" w:rsidRPr="00756410" w:rsidRDefault="00016669" w:rsidP="00016669">
            <w:pPr>
              <w:rPr>
                <w:b/>
                <w:sz w:val="20"/>
                <w:szCs w:val="20"/>
                <w:lang w:val="es-419"/>
              </w:rPr>
            </w:pPr>
            <w:r w:rsidRPr="00756410">
              <w:rPr>
                <w:b/>
                <w:sz w:val="20"/>
                <w:szCs w:val="20"/>
                <w:lang w:val="es-419"/>
              </w:rPr>
              <w:t>Gerente de Proyecto (Socio Implementador)</w:t>
            </w:r>
          </w:p>
        </w:tc>
      </w:tr>
      <w:tr w:rsidR="00016669" w:rsidRPr="00016669" w14:paraId="665E9B20" w14:textId="77777777" w:rsidTr="0004107A">
        <w:trPr>
          <w:trHeight w:val="20"/>
        </w:trPr>
        <w:tc>
          <w:tcPr>
            <w:tcW w:w="5760" w:type="dxa"/>
            <w:tcBorders>
              <w:top w:val="single" w:sz="4" w:space="0" w:color="auto"/>
              <w:left w:val="single" w:sz="4" w:space="0" w:color="auto"/>
              <w:bottom w:val="single" w:sz="4" w:space="0" w:color="auto"/>
              <w:right w:val="single" w:sz="4" w:space="0" w:color="auto"/>
            </w:tcBorders>
          </w:tcPr>
          <w:p w14:paraId="4ACBB18C" w14:textId="61985053" w:rsidR="00016669" w:rsidRPr="00756410" w:rsidRDefault="00016669">
            <w:pPr>
              <w:pStyle w:val="ListParagraph"/>
              <w:numPr>
                <w:ilvl w:val="0"/>
                <w:numId w:val="96"/>
              </w:numPr>
              <w:rPr>
                <w:sz w:val="20"/>
                <w:szCs w:val="20"/>
                <w:lang w:val="es-419"/>
              </w:rPr>
            </w:pPr>
            <w:r w:rsidRPr="00756410">
              <w:rPr>
                <w:sz w:val="20"/>
                <w:szCs w:val="20"/>
                <w:lang w:val="es-419"/>
              </w:rPr>
              <w:t>Cree y administre datos de proveedores.</w:t>
            </w:r>
          </w:p>
          <w:p w14:paraId="03672D64" w14:textId="1F99786C" w:rsidR="00016669" w:rsidRPr="00756410" w:rsidRDefault="00016669">
            <w:pPr>
              <w:pStyle w:val="ListParagraph"/>
              <w:numPr>
                <w:ilvl w:val="0"/>
                <w:numId w:val="96"/>
              </w:numPr>
              <w:rPr>
                <w:sz w:val="20"/>
                <w:szCs w:val="20"/>
                <w:lang w:val="es-419"/>
              </w:rPr>
            </w:pPr>
            <w:r w:rsidRPr="00756410">
              <w:rPr>
                <w:sz w:val="20"/>
                <w:szCs w:val="20"/>
                <w:lang w:val="es-419"/>
              </w:rPr>
              <w:t>Crea y gestiona facturas.</w:t>
            </w:r>
          </w:p>
          <w:p w14:paraId="28450D87" w14:textId="0767007B" w:rsidR="00016669" w:rsidRPr="00756410" w:rsidRDefault="00016669">
            <w:pPr>
              <w:pStyle w:val="ListParagraph"/>
              <w:numPr>
                <w:ilvl w:val="0"/>
                <w:numId w:val="96"/>
              </w:numPr>
              <w:rPr>
                <w:sz w:val="20"/>
                <w:szCs w:val="20"/>
                <w:lang w:val="es-419"/>
              </w:rPr>
            </w:pPr>
            <w:r w:rsidRPr="00756410">
              <w:rPr>
                <w:sz w:val="20"/>
                <w:szCs w:val="20"/>
                <w:lang w:val="es-419"/>
              </w:rPr>
              <w:lastRenderedPageBreak/>
              <w:t>Cree y administre solicitudes electrónicas.</w:t>
            </w:r>
          </w:p>
          <w:p w14:paraId="7C24B05B" w14:textId="480D606B" w:rsidR="00016669" w:rsidRPr="00756410" w:rsidRDefault="00016669">
            <w:pPr>
              <w:pStyle w:val="ListParagraph"/>
              <w:numPr>
                <w:ilvl w:val="0"/>
                <w:numId w:val="96"/>
              </w:numPr>
              <w:rPr>
                <w:sz w:val="20"/>
                <w:szCs w:val="20"/>
                <w:lang w:val="es-419"/>
              </w:rPr>
            </w:pPr>
            <w:r w:rsidRPr="00756410">
              <w:rPr>
                <w:sz w:val="20"/>
                <w:szCs w:val="20"/>
                <w:lang w:val="es-419"/>
              </w:rPr>
              <w:t>Aplique recibos en la orden de compra relacionados con la solicitud creada por el usuario.</w:t>
            </w:r>
          </w:p>
          <w:p w14:paraId="268E9BBB" w14:textId="4826ACB9" w:rsidR="00016669" w:rsidRPr="00756410" w:rsidRDefault="00016669">
            <w:pPr>
              <w:pStyle w:val="ListParagraph"/>
              <w:numPr>
                <w:ilvl w:val="0"/>
                <w:numId w:val="96"/>
              </w:numPr>
              <w:rPr>
                <w:sz w:val="20"/>
                <w:szCs w:val="20"/>
                <w:lang w:val="es-419"/>
              </w:rPr>
            </w:pPr>
            <w:r w:rsidRPr="00756410">
              <w:rPr>
                <w:sz w:val="20"/>
                <w:szCs w:val="20"/>
                <w:lang w:val="es-419"/>
              </w:rPr>
              <w:t>Verifique el presupuesto tras la aprobación de las solicitudes electrónicas.</w:t>
            </w:r>
          </w:p>
          <w:p w14:paraId="7D7FFD91" w14:textId="480529F7" w:rsidR="00016669" w:rsidRPr="00756410" w:rsidRDefault="00016669">
            <w:pPr>
              <w:pStyle w:val="ListParagraph"/>
              <w:numPr>
                <w:ilvl w:val="0"/>
                <w:numId w:val="96"/>
              </w:numPr>
              <w:rPr>
                <w:sz w:val="20"/>
                <w:szCs w:val="20"/>
                <w:lang w:val="es-419"/>
              </w:rPr>
            </w:pPr>
            <w:r w:rsidRPr="00756410">
              <w:rPr>
                <w:sz w:val="20"/>
                <w:szCs w:val="20"/>
                <w:lang w:val="es-419"/>
              </w:rPr>
              <w:t>Generar y revisar informes.</w:t>
            </w:r>
          </w:p>
        </w:tc>
        <w:tc>
          <w:tcPr>
            <w:tcW w:w="3672" w:type="dxa"/>
            <w:tcBorders>
              <w:top w:val="single" w:sz="4" w:space="0" w:color="auto"/>
              <w:left w:val="single" w:sz="4" w:space="0" w:color="auto"/>
              <w:bottom w:val="single" w:sz="4" w:space="0" w:color="auto"/>
              <w:right w:val="single" w:sz="4" w:space="0" w:color="auto"/>
            </w:tcBorders>
          </w:tcPr>
          <w:p w14:paraId="0A7E4675" w14:textId="530F32BA" w:rsidR="00016669" w:rsidRPr="00756410" w:rsidRDefault="00016669">
            <w:pPr>
              <w:pStyle w:val="ListParagraph"/>
              <w:numPr>
                <w:ilvl w:val="0"/>
                <w:numId w:val="97"/>
              </w:numPr>
              <w:rPr>
                <w:sz w:val="20"/>
                <w:szCs w:val="20"/>
                <w:lang w:val="es-419"/>
              </w:rPr>
            </w:pPr>
            <w:r w:rsidRPr="00756410">
              <w:rPr>
                <w:sz w:val="20"/>
                <w:szCs w:val="20"/>
                <w:lang w:val="es-419"/>
              </w:rPr>
              <w:lastRenderedPageBreak/>
              <w:t>Aprobar solicitudes electrónicas.</w:t>
            </w:r>
          </w:p>
          <w:p w14:paraId="2961A99B" w14:textId="0919F5D8" w:rsidR="00016669" w:rsidRPr="00756410" w:rsidRDefault="00016669">
            <w:pPr>
              <w:pStyle w:val="ListParagraph"/>
              <w:numPr>
                <w:ilvl w:val="0"/>
                <w:numId w:val="97"/>
              </w:numPr>
              <w:rPr>
                <w:sz w:val="20"/>
                <w:szCs w:val="20"/>
                <w:lang w:val="es-419"/>
              </w:rPr>
            </w:pPr>
            <w:r w:rsidRPr="00756410">
              <w:rPr>
                <w:sz w:val="20"/>
                <w:szCs w:val="20"/>
                <w:lang w:val="es-419"/>
              </w:rPr>
              <w:t>Gestión y supervisión de proyectos.</w:t>
            </w:r>
          </w:p>
          <w:p w14:paraId="22B47481" w14:textId="43F92501" w:rsidR="00016669" w:rsidRPr="00756410" w:rsidRDefault="00016669">
            <w:pPr>
              <w:pStyle w:val="ListParagraph"/>
              <w:numPr>
                <w:ilvl w:val="0"/>
                <w:numId w:val="97"/>
              </w:numPr>
              <w:rPr>
                <w:sz w:val="20"/>
                <w:szCs w:val="20"/>
                <w:lang w:val="es-419"/>
              </w:rPr>
            </w:pPr>
            <w:r w:rsidRPr="00756410">
              <w:rPr>
                <w:sz w:val="20"/>
                <w:szCs w:val="20"/>
                <w:lang w:val="es-419"/>
              </w:rPr>
              <w:lastRenderedPageBreak/>
              <w:t>Generar y revisar informes.</w:t>
            </w:r>
          </w:p>
          <w:p w14:paraId="322F9472" w14:textId="77777777" w:rsidR="00016669" w:rsidRPr="00756410" w:rsidRDefault="00016669" w:rsidP="00016669">
            <w:pPr>
              <w:rPr>
                <w:sz w:val="20"/>
                <w:szCs w:val="20"/>
                <w:lang w:val="es-419"/>
              </w:rPr>
            </w:pPr>
          </w:p>
        </w:tc>
      </w:tr>
      <w:tr w:rsidR="001B27F1" w:rsidRPr="00773863" w14:paraId="564C2DAE" w14:textId="77777777" w:rsidTr="0004107A">
        <w:trPr>
          <w:trHeight w:val="20"/>
        </w:trPr>
        <w:tc>
          <w:tcPr>
            <w:tcW w:w="57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2D975F" w14:textId="77777777" w:rsidR="00847DD5" w:rsidRDefault="1D9FCC5F" w:rsidP="00756410">
            <w:pPr>
              <w:jc w:val="both"/>
              <w:rPr>
                <w:i/>
                <w:iCs/>
                <w:sz w:val="20"/>
                <w:szCs w:val="20"/>
                <w:lang w:val="es-ES"/>
              </w:rPr>
            </w:pPr>
            <w:r w:rsidRPr="3937432E">
              <w:rPr>
                <w:b/>
                <w:bCs/>
                <w:sz w:val="20"/>
                <w:szCs w:val="20"/>
                <w:lang w:val="es-419"/>
              </w:rPr>
              <w:lastRenderedPageBreak/>
              <w:t xml:space="preserve">Perfil de </w:t>
            </w:r>
            <w:r w:rsidR="00D5088B">
              <w:rPr>
                <w:b/>
                <w:bCs/>
                <w:sz w:val="20"/>
                <w:szCs w:val="20"/>
                <w:lang w:val="es-419"/>
              </w:rPr>
              <w:t>usuario de</w:t>
            </w:r>
            <w:r w:rsidRPr="3937432E">
              <w:rPr>
                <w:b/>
                <w:bCs/>
                <w:sz w:val="20"/>
                <w:szCs w:val="20"/>
                <w:lang w:val="es-419"/>
              </w:rPr>
              <w:t xml:space="preserve"> IDAM</w:t>
            </w:r>
            <w:r w:rsidR="00D5088B" w:rsidRPr="00756410">
              <w:rPr>
                <w:sz w:val="20"/>
                <w:szCs w:val="20"/>
                <w:lang w:val="es-419"/>
              </w:rPr>
              <w:t>:</w:t>
            </w:r>
            <w:r w:rsidR="00C00376" w:rsidRPr="00756410">
              <w:rPr>
                <w:sz w:val="20"/>
                <w:szCs w:val="20"/>
                <w:lang w:val="es-419"/>
              </w:rPr>
              <w:t xml:space="preserve"> Solicitante de adquisiciones de la ONU</w:t>
            </w:r>
            <w:r w:rsidR="009872F9">
              <w:rPr>
                <w:sz w:val="20"/>
                <w:szCs w:val="20"/>
                <w:lang w:val="es-419"/>
              </w:rPr>
              <w:t xml:space="preserve"> [</w:t>
            </w:r>
            <w:r w:rsidR="009872F9" w:rsidRPr="00756410">
              <w:rPr>
                <w:i/>
                <w:iCs/>
                <w:sz w:val="20"/>
                <w:szCs w:val="20"/>
                <w:lang w:val="es-419"/>
              </w:rPr>
              <w:t>U</w:t>
            </w:r>
            <w:r w:rsidR="009872F9" w:rsidRPr="00756410">
              <w:rPr>
                <w:i/>
                <w:iCs/>
                <w:sz w:val="20"/>
                <w:szCs w:val="20"/>
                <w:lang w:val="es-ES"/>
              </w:rPr>
              <w:t xml:space="preserve">N </w:t>
            </w:r>
          </w:p>
          <w:p w14:paraId="3D7B003F" w14:textId="110F0B34" w:rsidR="00C00376" w:rsidRPr="00756410" w:rsidRDefault="009872F9" w:rsidP="00756410">
            <w:pPr>
              <w:jc w:val="both"/>
              <w:rPr>
                <w:sz w:val="20"/>
                <w:szCs w:val="20"/>
                <w:lang w:val="es-419"/>
              </w:rPr>
            </w:pPr>
            <w:r w:rsidRPr="00756410">
              <w:rPr>
                <w:i/>
                <w:iCs/>
                <w:sz w:val="20"/>
                <w:szCs w:val="20"/>
                <w:lang w:val="es-ES"/>
              </w:rPr>
              <w:t>Requestor</w:t>
            </w:r>
            <w:r w:rsidRPr="00756410">
              <w:rPr>
                <w:sz w:val="20"/>
                <w:szCs w:val="20"/>
                <w:lang w:val="es-ES"/>
              </w:rPr>
              <w:t>]</w:t>
            </w:r>
            <w:r w:rsidR="00C00376" w:rsidRPr="00756410">
              <w:rPr>
                <w:sz w:val="20"/>
                <w:szCs w:val="20"/>
                <w:lang w:val="es-419"/>
              </w:rPr>
              <w:t>; Administrador de proveedores asociados de las Naciones Unidas</w:t>
            </w:r>
            <w:r w:rsidR="00D86C85">
              <w:rPr>
                <w:sz w:val="20"/>
                <w:szCs w:val="20"/>
                <w:lang w:val="es-419"/>
              </w:rPr>
              <w:t xml:space="preserve"> [</w:t>
            </w:r>
            <w:r w:rsidR="00D86C85" w:rsidRPr="00756410">
              <w:rPr>
                <w:i/>
                <w:iCs/>
                <w:sz w:val="20"/>
                <w:szCs w:val="20"/>
                <w:lang w:val="es-ES"/>
              </w:rPr>
              <w:t>UN Partner Supplier Administrator</w:t>
            </w:r>
            <w:r w:rsidR="00D86C85" w:rsidRPr="00756410">
              <w:rPr>
                <w:sz w:val="20"/>
                <w:szCs w:val="20"/>
                <w:lang w:val="es-ES"/>
              </w:rPr>
              <w:t>]</w:t>
            </w:r>
            <w:r w:rsidR="00C00376" w:rsidRPr="00756410">
              <w:rPr>
                <w:sz w:val="20"/>
                <w:szCs w:val="20"/>
                <w:lang w:val="es-419"/>
              </w:rPr>
              <w:t xml:space="preserve">; Acceso Externo </w:t>
            </w:r>
            <w:r w:rsidR="1BFF8DC1" w:rsidRPr="3937432E">
              <w:rPr>
                <w:sz w:val="20"/>
                <w:szCs w:val="20"/>
                <w:lang w:val="es-419"/>
              </w:rPr>
              <w:t xml:space="preserve">Quantum </w:t>
            </w:r>
            <w:r w:rsidR="00C00376" w:rsidRPr="00756410">
              <w:rPr>
                <w:sz w:val="20"/>
                <w:szCs w:val="20"/>
                <w:lang w:val="es-419"/>
              </w:rPr>
              <w:t>de las Naciones Unidas</w:t>
            </w:r>
            <w:r w:rsidR="0094148E">
              <w:rPr>
                <w:sz w:val="20"/>
                <w:szCs w:val="20"/>
                <w:lang w:val="es-419"/>
              </w:rPr>
              <w:t xml:space="preserve"> [</w:t>
            </w:r>
            <w:r w:rsidR="0094148E" w:rsidRPr="00756410">
              <w:rPr>
                <w:i/>
                <w:iCs/>
                <w:sz w:val="20"/>
                <w:szCs w:val="20"/>
                <w:lang w:val="es-419"/>
              </w:rPr>
              <w:t>U</w:t>
            </w:r>
            <w:r w:rsidR="0094148E" w:rsidRPr="00756410">
              <w:rPr>
                <w:i/>
                <w:iCs/>
                <w:sz w:val="20"/>
                <w:szCs w:val="20"/>
                <w:lang w:val="es-ES"/>
              </w:rPr>
              <w:t>N Quantum External Access</w:t>
            </w:r>
            <w:r w:rsidR="0094148E" w:rsidRPr="00756410">
              <w:rPr>
                <w:sz w:val="20"/>
                <w:szCs w:val="20"/>
                <w:lang w:val="es-ES"/>
              </w:rPr>
              <w:t>]</w:t>
            </w:r>
            <w:r w:rsidR="00C00376" w:rsidRPr="00756410">
              <w:rPr>
                <w:sz w:val="20"/>
                <w:szCs w:val="20"/>
                <w:lang w:val="es-419"/>
              </w:rPr>
              <w:t>; Especialista en cuentas por pagar de acceso externo de las Naciones Unidas</w:t>
            </w:r>
            <w:r w:rsidR="0094148E">
              <w:rPr>
                <w:sz w:val="20"/>
                <w:szCs w:val="20"/>
                <w:lang w:val="es-419"/>
              </w:rPr>
              <w:t xml:space="preserve"> [</w:t>
            </w:r>
            <w:r w:rsidR="0094148E" w:rsidRPr="00756410">
              <w:rPr>
                <w:i/>
                <w:iCs/>
                <w:sz w:val="20"/>
                <w:szCs w:val="20"/>
                <w:lang w:val="es-ES"/>
              </w:rPr>
              <w:t>UN External Access Accounts Payable Specialist</w:t>
            </w:r>
            <w:r w:rsidR="0094148E" w:rsidRPr="00756410">
              <w:rPr>
                <w:sz w:val="20"/>
                <w:szCs w:val="20"/>
                <w:lang w:val="es-ES"/>
              </w:rPr>
              <w:t>]</w:t>
            </w:r>
          </w:p>
        </w:tc>
        <w:tc>
          <w:tcPr>
            <w:tcW w:w="36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54DF3" w14:textId="033217A1" w:rsidR="00C00376" w:rsidRPr="00756410" w:rsidRDefault="00C00376" w:rsidP="00C00376">
            <w:pPr>
              <w:rPr>
                <w:sz w:val="20"/>
                <w:szCs w:val="20"/>
                <w:lang w:val="es-ES"/>
              </w:rPr>
            </w:pPr>
            <w:r w:rsidRPr="00756410">
              <w:rPr>
                <w:b/>
                <w:sz w:val="20"/>
                <w:szCs w:val="20"/>
                <w:lang w:val="es-ES"/>
              </w:rPr>
              <w:t xml:space="preserve">Perfil de </w:t>
            </w:r>
            <w:r w:rsidR="009872F9">
              <w:rPr>
                <w:b/>
                <w:sz w:val="20"/>
                <w:szCs w:val="20"/>
                <w:lang w:val="es-ES"/>
              </w:rPr>
              <w:t>usuario</w:t>
            </w:r>
            <w:r w:rsidR="5A314770" w:rsidRPr="00756410">
              <w:rPr>
                <w:b/>
                <w:sz w:val="20"/>
                <w:szCs w:val="20"/>
                <w:lang w:val="es-ES"/>
              </w:rPr>
              <w:t xml:space="preserve"> </w:t>
            </w:r>
            <w:r w:rsidR="77915562" w:rsidRPr="00756410">
              <w:rPr>
                <w:b/>
                <w:sz w:val="20"/>
                <w:szCs w:val="20"/>
                <w:lang w:val="es-ES"/>
              </w:rPr>
              <w:t xml:space="preserve">de </w:t>
            </w:r>
            <w:r w:rsidRPr="00756410">
              <w:rPr>
                <w:b/>
                <w:sz w:val="20"/>
                <w:szCs w:val="20"/>
                <w:lang w:val="es-ES"/>
              </w:rPr>
              <w:t>IDAM:</w:t>
            </w:r>
            <w:r w:rsidRPr="00756410">
              <w:rPr>
                <w:sz w:val="20"/>
                <w:szCs w:val="20"/>
                <w:lang w:val="es-ES"/>
              </w:rPr>
              <w:t xml:space="preserve"> Acceso externo de la ONU Quantum</w:t>
            </w:r>
            <w:r w:rsidR="00D86C85">
              <w:rPr>
                <w:sz w:val="20"/>
                <w:szCs w:val="20"/>
                <w:lang w:val="es-ES"/>
              </w:rPr>
              <w:t xml:space="preserve"> [</w:t>
            </w:r>
            <w:r w:rsidR="00D86C85" w:rsidRPr="00756410">
              <w:rPr>
                <w:i/>
                <w:iCs/>
                <w:sz w:val="20"/>
                <w:szCs w:val="20"/>
                <w:lang w:val="es-ES"/>
              </w:rPr>
              <w:t>UN Quantum External Access</w:t>
            </w:r>
            <w:r w:rsidR="00D86C85">
              <w:rPr>
                <w:sz w:val="20"/>
                <w:szCs w:val="20"/>
                <w:lang w:val="es-ES"/>
              </w:rPr>
              <w:t>]</w:t>
            </w:r>
          </w:p>
        </w:tc>
      </w:tr>
    </w:tbl>
    <w:p w14:paraId="162EED2E" w14:textId="7293CF75" w:rsidR="000A2DF8" w:rsidRDefault="000A2DF8">
      <w:pPr>
        <w:pStyle w:val="Heading1"/>
        <w:numPr>
          <w:ilvl w:val="0"/>
          <w:numId w:val="92"/>
        </w:numPr>
        <w:spacing w:after="240"/>
      </w:pPr>
      <w:bookmarkStart w:id="115" w:name="_Management_Reports"/>
      <w:bookmarkStart w:id="116" w:name="_Toc210052794"/>
      <w:bookmarkEnd w:id="115"/>
      <w:r>
        <w:t>Informes de gestión</w:t>
      </w:r>
      <w:bookmarkEnd w:id="116"/>
    </w:p>
    <w:p w14:paraId="701AB75F" w14:textId="46FA884A" w:rsidR="000A2DF8" w:rsidRPr="00756410" w:rsidRDefault="000A2DF8" w:rsidP="00756410">
      <w:pPr>
        <w:spacing w:line="240" w:lineRule="auto"/>
        <w:jc w:val="both"/>
        <w:rPr>
          <w:lang w:val="es-419"/>
        </w:rPr>
      </w:pPr>
      <w:r w:rsidRPr="3937432E">
        <w:rPr>
          <w:lang w:val="es-419"/>
        </w:rPr>
        <w:t xml:space="preserve">Quantum </w:t>
      </w:r>
      <w:r w:rsidR="20ED6922" w:rsidRPr="3937432E">
        <w:rPr>
          <w:lang w:val="es-419"/>
        </w:rPr>
        <w:t xml:space="preserve">tiene una variedad de informes </w:t>
      </w:r>
      <w:r w:rsidR="007C0DB0" w:rsidRPr="007C0DB0">
        <w:rPr>
          <w:lang w:val="es-419"/>
        </w:rPr>
        <w:t>en todos los procesos para mejorar el análisis y el monitoreo operativo.</w:t>
      </w:r>
      <w:r w:rsidR="007C0DB0">
        <w:rPr>
          <w:lang w:val="es-419"/>
        </w:rPr>
        <w:t xml:space="preserve"> Si </w:t>
      </w:r>
      <w:r w:rsidRPr="3937432E">
        <w:rPr>
          <w:lang w:val="es-419"/>
        </w:rPr>
        <w:t>bien Quantum proporciona amplias capacidades de generación de informes "</w:t>
      </w:r>
      <w:r w:rsidR="266CFAE2" w:rsidRPr="3937432E">
        <w:rPr>
          <w:lang w:val="es-419"/>
        </w:rPr>
        <w:t>list</w:t>
      </w:r>
      <w:r w:rsidR="7904CE22" w:rsidRPr="3937432E">
        <w:rPr>
          <w:lang w:val="es-419"/>
        </w:rPr>
        <w:t>os</w:t>
      </w:r>
      <w:r w:rsidR="266CFAE2" w:rsidRPr="3937432E">
        <w:rPr>
          <w:lang w:val="es-419"/>
        </w:rPr>
        <w:t xml:space="preserve"> para usar", algunos informes se complementan con informes de Power BI generados a través de la </w:t>
      </w:r>
      <w:hyperlink r:id="rId189">
        <w:r w:rsidR="266CFAE2" w:rsidRPr="00756410">
          <w:rPr>
            <w:rStyle w:val="Hyperlink"/>
            <w:color w:val="4472C4" w:themeColor="accent1"/>
            <w:lang w:val="es-419"/>
          </w:rPr>
          <w:t>Plataforma de Datos Unificados del PNUD</w:t>
        </w:r>
      </w:hyperlink>
      <w:r w:rsidR="266CFAE2" w:rsidRPr="00756410">
        <w:rPr>
          <w:lang w:val="es-419"/>
        </w:rPr>
        <w:t xml:space="preserve">, basándose en datos históricos de proyectos, por ejemplo. </w:t>
      </w:r>
      <w:r w:rsidRPr="00756410">
        <w:rPr>
          <w:lang w:val="es-419"/>
        </w:rPr>
        <w:t xml:space="preserve">En general, los informes </w:t>
      </w:r>
      <w:r w:rsidRPr="3937432E">
        <w:rPr>
          <w:lang w:val="es-419"/>
        </w:rPr>
        <w:t xml:space="preserve">operativos </w:t>
      </w:r>
      <w:r w:rsidRPr="00756410">
        <w:rPr>
          <w:lang w:val="es-419"/>
        </w:rPr>
        <w:t>se generan a partir de Quantum, mientras que los informes analíticos están disponibles a través de Power BI. algunos recursos clave para la presentación de informes</w:t>
      </w:r>
      <w:r w:rsidR="7D4F684A" w:rsidRPr="3937432E">
        <w:rPr>
          <w:lang w:val="es-419"/>
        </w:rPr>
        <w:t xml:space="preserve"> son</w:t>
      </w:r>
      <w:r w:rsidRPr="00756410">
        <w:rPr>
          <w:lang w:val="es-419"/>
        </w:rPr>
        <w:t>:</w:t>
      </w:r>
    </w:p>
    <w:p w14:paraId="4BF9A9ED" w14:textId="144B47CB" w:rsidR="000A2DF8" w:rsidRPr="00756410" w:rsidRDefault="266CFAE2">
      <w:pPr>
        <w:pStyle w:val="ListParagraph"/>
        <w:numPr>
          <w:ilvl w:val="0"/>
          <w:numId w:val="95"/>
        </w:numPr>
        <w:rPr>
          <w:lang w:val="es-419"/>
        </w:rPr>
      </w:pPr>
      <w:hyperlink r:id="rId190">
        <w:r w:rsidRPr="00756410">
          <w:rPr>
            <w:rStyle w:val="Hyperlink"/>
            <w:color w:val="4472C4" w:themeColor="accent1"/>
            <w:lang w:val="es-419"/>
          </w:rPr>
          <w:t>Sitio de SharePoint de BMS / ITM Reports</w:t>
        </w:r>
      </w:hyperlink>
      <w:r w:rsidRPr="00756410">
        <w:rPr>
          <w:lang w:val="es-419"/>
        </w:rPr>
        <w:t xml:space="preserve"> : proporciona rutas de navegación </w:t>
      </w:r>
      <w:r w:rsidR="3457A88D" w:rsidRPr="3937432E">
        <w:rPr>
          <w:lang w:val="es-419"/>
        </w:rPr>
        <w:t>para Quantum</w:t>
      </w:r>
      <w:r w:rsidR="00B43D75">
        <w:rPr>
          <w:lang w:val="es-419"/>
        </w:rPr>
        <w:t xml:space="preserve"> </w:t>
      </w:r>
      <w:r w:rsidRPr="00756410">
        <w:rPr>
          <w:lang w:val="es-419"/>
        </w:rPr>
        <w:t>y enlaces directos a una variedad de informes para finanzas, adquisiciones, recursos humanos, gestión de proyectos y carteras y viajes. Tenga en cuenta que algunos informes solo son accesibles para especialistas funcionales.</w:t>
      </w:r>
    </w:p>
    <w:p w14:paraId="43F8D106" w14:textId="77777777" w:rsidR="000A2DF8" w:rsidRPr="00756410" w:rsidRDefault="000A2DF8" w:rsidP="000A2DF8">
      <w:pPr>
        <w:pStyle w:val="ListParagraph"/>
        <w:ind w:left="360"/>
        <w:rPr>
          <w:lang w:val="es-419"/>
        </w:rPr>
      </w:pPr>
    </w:p>
    <w:p w14:paraId="3B77AA8C" w14:textId="270DE01C" w:rsidR="000A2DF8" w:rsidRPr="00756410" w:rsidRDefault="000A2DF8">
      <w:pPr>
        <w:pStyle w:val="ListParagraph"/>
        <w:numPr>
          <w:ilvl w:val="0"/>
          <w:numId w:val="95"/>
        </w:numPr>
        <w:spacing w:after="0"/>
        <w:rPr>
          <w:lang w:val="es-419"/>
        </w:rPr>
      </w:pPr>
      <w:hyperlink r:id="rId191">
        <w:r w:rsidRPr="00756410">
          <w:rPr>
            <w:rStyle w:val="Hyperlink"/>
            <w:color w:val="4472C4" w:themeColor="accent1"/>
            <w:lang w:val="es-419"/>
          </w:rPr>
          <w:t>Sitio de SharePoint de BMS/OFRM</w:t>
        </w:r>
      </w:hyperlink>
      <w:r w:rsidRPr="00756410">
        <w:rPr>
          <w:lang w:val="es-419"/>
        </w:rPr>
        <w:t>: proporciona una descripción general de 20 informes clave de gestión financiera y su propósito, con enlaces al informe y las guías de usuario asociadas.</w:t>
      </w:r>
    </w:p>
    <w:p w14:paraId="5046D955" w14:textId="7DE90B91" w:rsidR="00175238" w:rsidRPr="00756410" w:rsidRDefault="00175238" w:rsidP="00175238">
      <w:pPr>
        <w:spacing w:after="0"/>
        <w:rPr>
          <w:lang w:val="es-419"/>
        </w:rPr>
      </w:pPr>
    </w:p>
    <w:p w14:paraId="517F5D7B" w14:textId="742C0B56" w:rsidR="00175238" w:rsidRPr="00756410" w:rsidRDefault="00175238" w:rsidP="00175238">
      <w:pPr>
        <w:spacing w:after="0"/>
        <w:rPr>
          <w:lang w:val="es-419"/>
        </w:rPr>
      </w:pPr>
      <w:r w:rsidRPr="00756410">
        <w:rPr>
          <w:lang w:val="es-419"/>
        </w:rPr>
        <w:t xml:space="preserve">Los informes de </w:t>
      </w:r>
      <w:r w:rsidR="00400434">
        <w:rPr>
          <w:lang w:val="es-419"/>
        </w:rPr>
        <w:t>ATLAS</w:t>
      </w:r>
      <w:r w:rsidR="00400434" w:rsidRPr="00756410">
        <w:rPr>
          <w:lang w:val="es-419"/>
        </w:rPr>
        <w:t xml:space="preserve"> </w:t>
      </w:r>
      <w:r w:rsidRPr="00756410">
        <w:rPr>
          <w:lang w:val="es-419"/>
        </w:rPr>
        <w:t>se pueden encontrar en los siguientes sitios:</w:t>
      </w:r>
    </w:p>
    <w:p w14:paraId="44CCBF79" w14:textId="77777777" w:rsidR="00175238" w:rsidRPr="00756410" w:rsidRDefault="00175238" w:rsidP="00175238">
      <w:pPr>
        <w:spacing w:after="0"/>
        <w:rPr>
          <w:lang w:val="es-419"/>
        </w:rPr>
      </w:pPr>
    </w:p>
    <w:p w14:paraId="2D659F53" w14:textId="58BBE37E" w:rsidR="00175238" w:rsidRPr="00756410" w:rsidRDefault="00175238">
      <w:pPr>
        <w:pStyle w:val="ListParagraph"/>
        <w:numPr>
          <w:ilvl w:val="0"/>
          <w:numId w:val="111"/>
        </w:numPr>
        <w:spacing w:after="0"/>
        <w:ind w:left="360"/>
        <w:rPr>
          <w:lang w:val="es-419"/>
        </w:rPr>
      </w:pPr>
      <w:hyperlink r:id="rId192" w:history="1">
        <w:r w:rsidRPr="00756410">
          <w:rPr>
            <w:rStyle w:val="Hyperlink"/>
            <w:color w:val="4472C4" w:themeColor="accent1"/>
            <w:lang w:val="es-419"/>
          </w:rPr>
          <w:t>Sitio de SharePoint de BMS/OFRM Business Analytics</w:t>
        </w:r>
      </w:hyperlink>
      <w:r w:rsidRPr="00756410">
        <w:rPr>
          <w:lang w:val="es-419"/>
        </w:rPr>
        <w:t xml:space="preserve">: proporciona una lista de informes clave, junto con un enlace a muchos más informes en la pestaña "Recursos y enlaces rápidos" en el lado izquierdo de la página. </w:t>
      </w:r>
    </w:p>
    <w:p w14:paraId="4222E9F7" w14:textId="77777777" w:rsidR="00175238" w:rsidRPr="00756410" w:rsidRDefault="00175238" w:rsidP="00175238">
      <w:pPr>
        <w:spacing w:after="0"/>
        <w:rPr>
          <w:lang w:val="es-419"/>
        </w:rPr>
      </w:pPr>
    </w:p>
    <w:p w14:paraId="6E33208A" w14:textId="4A2E1317" w:rsidR="00175238" w:rsidRPr="00D2258D" w:rsidRDefault="00175238">
      <w:pPr>
        <w:pStyle w:val="ListParagraph"/>
        <w:numPr>
          <w:ilvl w:val="0"/>
          <w:numId w:val="111"/>
        </w:numPr>
        <w:spacing w:after="0"/>
        <w:ind w:left="360"/>
        <w:rPr>
          <w:color w:val="4472C4" w:themeColor="accent1"/>
        </w:rPr>
      </w:pPr>
      <w:hyperlink r:id="rId193" w:history="1">
        <w:r w:rsidRPr="00D2258D">
          <w:rPr>
            <w:rStyle w:val="Hyperlink"/>
            <w:color w:val="4472C4" w:themeColor="accent1"/>
          </w:rPr>
          <w:t>Instantánea ejecutiva</w:t>
        </w:r>
      </w:hyperlink>
      <w:r w:rsidRPr="00D2258D">
        <w:rPr>
          <w:color w:val="4472C4" w:themeColor="accent1"/>
        </w:rPr>
        <w:t xml:space="preserve"> </w:t>
      </w:r>
      <w:r w:rsidR="00062143">
        <w:rPr>
          <w:color w:val="4472C4" w:themeColor="accent1"/>
        </w:rPr>
        <w:t>[</w:t>
      </w:r>
      <w:r w:rsidR="00062143" w:rsidRPr="00756410">
        <w:rPr>
          <w:i/>
          <w:iCs/>
          <w:color w:val="4472C4" w:themeColor="accent1"/>
        </w:rPr>
        <w:t>Executive Snapshot</w:t>
      </w:r>
      <w:r w:rsidR="00062143">
        <w:rPr>
          <w:color w:val="4472C4" w:themeColor="accent1"/>
        </w:rPr>
        <w:t>]</w:t>
      </w:r>
    </w:p>
    <w:p w14:paraId="2D15A592" w14:textId="77777777" w:rsidR="00491939" w:rsidRDefault="00491939">
      <w:pPr>
        <w:rPr>
          <w:rFonts w:asciiTheme="majorHAnsi" w:eastAsiaTheme="majorEastAsia" w:hAnsiTheme="majorHAnsi" w:cstheme="majorBidi"/>
          <w:color w:val="2F5496" w:themeColor="accent1" w:themeShade="BF"/>
          <w:sz w:val="32"/>
          <w:szCs w:val="32"/>
        </w:rPr>
      </w:pPr>
      <w:r>
        <w:br w:type="page"/>
      </w:r>
    </w:p>
    <w:p w14:paraId="25771B73" w14:textId="2E377AF1" w:rsidR="0004107A" w:rsidRPr="00773863" w:rsidRDefault="0004107A" w:rsidP="00CF32EB">
      <w:pPr>
        <w:tabs>
          <w:tab w:val="left" w:pos="703"/>
          <w:tab w:val="left" w:pos="2048"/>
          <w:tab w:val="left" w:pos="4875"/>
        </w:tabs>
        <w:ind w:left="113"/>
        <w:rPr>
          <w:b/>
          <w:bCs/>
          <w:sz w:val="20"/>
          <w:szCs w:val="20"/>
          <w:lang w:val="es-419"/>
        </w:rPr>
      </w:pPr>
      <w:r w:rsidRPr="00756410">
        <w:rPr>
          <w:rFonts w:asciiTheme="majorHAnsi" w:eastAsiaTheme="majorEastAsia" w:hAnsiTheme="majorHAnsi" w:cstheme="majorBidi"/>
          <w:color w:val="2F5496" w:themeColor="accent1" w:themeShade="BF"/>
          <w:sz w:val="32"/>
          <w:szCs w:val="32"/>
          <w:lang w:val="es-419"/>
        </w:rPr>
        <w:lastRenderedPageBreak/>
        <w:t xml:space="preserve">Anexo 1: </w:t>
      </w:r>
      <w:r w:rsidRPr="0004107A">
        <w:rPr>
          <w:rFonts w:asciiTheme="majorHAnsi" w:eastAsiaTheme="majorEastAsia" w:hAnsiTheme="majorHAnsi" w:cstheme="majorBidi"/>
          <w:color w:val="2F5496" w:themeColor="accent1" w:themeShade="BF"/>
          <w:sz w:val="32"/>
          <w:szCs w:val="32"/>
          <w:lang w:val="es-419"/>
        </w:rPr>
        <w:t xml:space="preserve">Descripción </w:t>
      </w:r>
      <w:r w:rsidRPr="00756410">
        <w:rPr>
          <w:rFonts w:asciiTheme="majorHAnsi" w:eastAsiaTheme="majorEastAsia" w:hAnsiTheme="majorHAnsi" w:cstheme="majorBidi"/>
          <w:color w:val="2F5496" w:themeColor="accent1" w:themeShade="BF"/>
          <w:sz w:val="32"/>
          <w:szCs w:val="32"/>
          <w:lang w:val="es-419"/>
        </w:rPr>
        <w:t>general de los informes de seguimiento de</w:t>
      </w:r>
      <w:r w:rsidRPr="0004107A">
        <w:rPr>
          <w:rFonts w:asciiTheme="majorHAnsi" w:eastAsiaTheme="majorEastAsia" w:hAnsiTheme="majorHAnsi" w:cstheme="majorBidi"/>
          <w:color w:val="2F5496" w:themeColor="accent1" w:themeShade="BF"/>
          <w:sz w:val="32"/>
          <w:szCs w:val="32"/>
          <w:lang w:val="es-419"/>
        </w:rPr>
        <w:t>l</w:t>
      </w:r>
      <w:r w:rsidRPr="0004107A">
        <w:rPr>
          <w:rFonts w:asciiTheme="majorHAnsi" w:eastAsiaTheme="majorEastAsia" w:hAnsiTheme="majorHAnsi" w:cstheme="majorBidi"/>
          <w:color w:val="2F5496" w:themeColor="accent1" w:themeShade="BF"/>
          <w:sz w:val="32"/>
          <w:szCs w:val="32"/>
          <w:lang w:val="es-419"/>
        </w:rPr>
        <w:tab/>
      </w:r>
    </w:p>
    <w:tbl>
      <w:tblPr>
        <w:tblStyle w:val="TableGrid"/>
        <w:tblW w:w="10088" w:type="dxa"/>
        <w:tblCellMar>
          <w:bottom w:w="43" w:type="dxa"/>
        </w:tblCellMar>
        <w:tblLook w:val="04A0" w:firstRow="1" w:lastRow="0" w:firstColumn="1" w:lastColumn="0" w:noHBand="0" w:noVBand="1"/>
      </w:tblPr>
      <w:tblGrid>
        <w:gridCol w:w="590"/>
        <w:gridCol w:w="1345"/>
        <w:gridCol w:w="2827"/>
        <w:gridCol w:w="5326"/>
      </w:tblGrid>
      <w:tr w:rsidR="009B585B" w14:paraId="2B5A7533" w14:textId="77777777" w:rsidTr="0004107A">
        <w:trPr>
          <w:trHeight w:val="20"/>
          <w:tblHeader/>
        </w:trPr>
        <w:tc>
          <w:tcPr>
            <w:tcW w:w="590" w:type="dxa"/>
            <w:tcBorders>
              <w:top w:val="single" w:sz="4" w:space="0" w:color="auto"/>
              <w:left w:val="single" w:sz="4" w:space="0" w:color="auto"/>
              <w:bottom w:val="single" w:sz="4" w:space="0" w:color="auto"/>
              <w:right w:val="single" w:sz="4" w:space="0" w:color="auto"/>
            </w:tcBorders>
            <w:shd w:val="clear" w:color="auto" w:fill="002060"/>
          </w:tcPr>
          <w:p w14:paraId="143F2395" w14:textId="6545688A" w:rsidR="009B585B" w:rsidRPr="0072475F" w:rsidRDefault="7C8896F6" w:rsidP="00CF32EB">
            <w:pPr>
              <w:rPr>
                <w:b/>
                <w:bCs/>
                <w:sz w:val="20"/>
                <w:szCs w:val="20"/>
              </w:rPr>
            </w:pPr>
            <w:bookmarkStart w:id="117" w:name="_Annex_1:_Overview"/>
            <w:bookmarkStart w:id="118" w:name="_Toc210052795"/>
            <w:bookmarkEnd w:id="117"/>
            <w:r w:rsidRPr="1B8D45C2">
              <w:rPr>
                <w:lang w:val="es-419"/>
              </w:rPr>
              <w:t>ICF</w:t>
            </w:r>
            <w:bookmarkEnd w:id="118"/>
            <w:r w:rsidR="009B585B" w:rsidRPr="0072475F">
              <w:rPr>
                <w:b/>
                <w:bCs/>
                <w:sz w:val="20"/>
                <w:szCs w:val="20"/>
              </w:rPr>
              <w:t>#</w:t>
            </w:r>
          </w:p>
        </w:tc>
        <w:tc>
          <w:tcPr>
            <w:tcW w:w="1345" w:type="dxa"/>
            <w:tcBorders>
              <w:top w:val="single" w:sz="4" w:space="0" w:color="auto"/>
              <w:left w:val="single" w:sz="4" w:space="0" w:color="auto"/>
              <w:bottom w:val="single" w:sz="4" w:space="0" w:color="auto"/>
              <w:right w:val="single" w:sz="4" w:space="0" w:color="auto"/>
            </w:tcBorders>
            <w:shd w:val="clear" w:color="auto" w:fill="002060"/>
          </w:tcPr>
          <w:p w14:paraId="5544D382" w14:textId="77777777" w:rsidR="009B585B" w:rsidRPr="0072475F" w:rsidRDefault="009B585B" w:rsidP="00CF32EB">
            <w:pPr>
              <w:rPr>
                <w:b/>
                <w:bCs/>
                <w:sz w:val="20"/>
                <w:szCs w:val="20"/>
              </w:rPr>
            </w:pPr>
            <w:r>
              <w:rPr>
                <w:b/>
                <w:bCs/>
                <w:sz w:val="20"/>
                <w:szCs w:val="20"/>
              </w:rPr>
              <w:t xml:space="preserve">Informe ICF </w:t>
            </w:r>
          </w:p>
        </w:tc>
        <w:tc>
          <w:tcPr>
            <w:tcW w:w="2827" w:type="dxa"/>
            <w:tcBorders>
              <w:top w:val="single" w:sz="4" w:space="0" w:color="auto"/>
              <w:left w:val="single" w:sz="4" w:space="0" w:color="auto"/>
              <w:bottom w:val="single" w:sz="4" w:space="0" w:color="auto"/>
              <w:right w:val="single" w:sz="4" w:space="0" w:color="auto"/>
            </w:tcBorders>
            <w:shd w:val="clear" w:color="auto" w:fill="002060"/>
          </w:tcPr>
          <w:p w14:paraId="4C730DE6" w14:textId="77777777" w:rsidR="009B585B" w:rsidRPr="0072475F" w:rsidRDefault="009B585B" w:rsidP="00CF32EB">
            <w:pPr>
              <w:rPr>
                <w:b/>
                <w:bCs/>
                <w:sz w:val="20"/>
                <w:szCs w:val="20"/>
              </w:rPr>
            </w:pPr>
            <w:r w:rsidRPr="0072475F">
              <w:rPr>
                <w:b/>
                <w:bCs/>
                <w:sz w:val="20"/>
                <w:szCs w:val="20"/>
              </w:rPr>
              <w:t xml:space="preserve">Propósito </w:t>
            </w:r>
          </w:p>
        </w:tc>
        <w:tc>
          <w:tcPr>
            <w:tcW w:w="5326" w:type="dxa"/>
            <w:tcBorders>
              <w:top w:val="single" w:sz="4" w:space="0" w:color="auto"/>
              <w:left w:val="single" w:sz="4" w:space="0" w:color="auto"/>
              <w:bottom w:val="single" w:sz="4" w:space="0" w:color="auto"/>
              <w:right w:val="single" w:sz="4" w:space="0" w:color="auto"/>
            </w:tcBorders>
            <w:shd w:val="clear" w:color="auto" w:fill="002060"/>
          </w:tcPr>
          <w:p w14:paraId="74E90B11" w14:textId="77777777" w:rsidR="009B585B" w:rsidRPr="0072475F" w:rsidRDefault="009B585B" w:rsidP="00CF32EB">
            <w:pPr>
              <w:rPr>
                <w:b/>
                <w:bCs/>
                <w:sz w:val="20"/>
                <w:szCs w:val="20"/>
              </w:rPr>
            </w:pPr>
            <w:r w:rsidRPr="0072475F">
              <w:rPr>
                <w:b/>
                <w:bCs/>
                <w:sz w:val="20"/>
                <w:szCs w:val="20"/>
              </w:rPr>
              <w:t>Acciones requeridas</w:t>
            </w:r>
          </w:p>
        </w:tc>
      </w:tr>
      <w:tr w:rsidR="009B585B" w:rsidRPr="00773863" w14:paraId="2BDBB4DF"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484F0044" w14:textId="77777777" w:rsidR="009B585B" w:rsidRPr="00D2258D" w:rsidRDefault="009B585B">
            <w:pPr>
              <w:pStyle w:val="ListParagraph"/>
              <w:numPr>
                <w:ilvl w:val="0"/>
                <w:numId w:val="15"/>
              </w:numPr>
              <w:rPr>
                <w:sz w:val="20"/>
                <w:szCs w:val="20"/>
              </w:rPr>
            </w:pPr>
          </w:p>
        </w:tc>
        <w:tc>
          <w:tcPr>
            <w:tcW w:w="1345" w:type="dxa"/>
            <w:tcBorders>
              <w:top w:val="single" w:sz="4" w:space="0" w:color="auto"/>
              <w:left w:val="single" w:sz="4" w:space="0" w:color="auto"/>
              <w:bottom w:val="single" w:sz="4" w:space="0" w:color="auto"/>
              <w:right w:val="single" w:sz="4" w:space="0" w:color="auto"/>
            </w:tcBorders>
          </w:tcPr>
          <w:p w14:paraId="19CA0945" w14:textId="62C11808" w:rsidR="009B585B" w:rsidRPr="00756410" w:rsidRDefault="009B585B" w:rsidP="00CF32EB">
            <w:pPr>
              <w:rPr>
                <w:sz w:val="20"/>
                <w:szCs w:val="20"/>
                <w:lang w:val="es-419"/>
              </w:rPr>
            </w:pPr>
            <w:r w:rsidRPr="00756410">
              <w:rPr>
                <w:sz w:val="20"/>
                <w:szCs w:val="20"/>
                <w:lang w:val="es-419"/>
              </w:rPr>
              <w:t xml:space="preserve">Roles duales de </w:t>
            </w:r>
            <w:r w:rsidR="3494065A" w:rsidRPr="4E11D8A6">
              <w:rPr>
                <w:sz w:val="20"/>
                <w:szCs w:val="20"/>
                <w:lang w:val="es-419"/>
              </w:rPr>
              <w:t>G</w:t>
            </w:r>
            <w:r w:rsidRPr="00756410">
              <w:rPr>
                <w:sz w:val="20"/>
                <w:szCs w:val="20"/>
                <w:lang w:val="es-419"/>
              </w:rPr>
              <w:t xml:space="preserve">erente de </w:t>
            </w:r>
            <w:r w:rsidR="5BEEE4C2" w:rsidRPr="4E11D8A6">
              <w:rPr>
                <w:sz w:val="20"/>
                <w:szCs w:val="20"/>
                <w:lang w:val="es-419"/>
              </w:rPr>
              <w:t>A</w:t>
            </w:r>
            <w:r w:rsidRPr="00756410">
              <w:rPr>
                <w:sz w:val="20"/>
                <w:szCs w:val="20"/>
                <w:lang w:val="es-419"/>
              </w:rPr>
              <w:t xml:space="preserve">probación y </w:t>
            </w:r>
            <w:r w:rsidR="39F070A4" w:rsidRPr="0890DAAF">
              <w:rPr>
                <w:sz w:val="20"/>
                <w:szCs w:val="20"/>
                <w:lang w:val="es-419"/>
              </w:rPr>
              <w:t>G</w:t>
            </w:r>
            <w:r w:rsidRPr="00756410">
              <w:rPr>
                <w:sz w:val="20"/>
                <w:szCs w:val="20"/>
                <w:lang w:val="es-419"/>
              </w:rPr>
              <w:t xml:space="preserve">erente de </w:t>
            </w:r>
            <w:r w:rsidR="1045C511" w:rsidRPr="0890DAAF">
              <w:rPr>
                <w:sz w:val="20"/>
                <w:szCs w:val="20"/>
                <w:lang w:val="es-419"/>
              </w:rPr>
              <w:t>P</w:t>
            </w:r>
            <w:r w:rsidRPr="00756410">
              <w:rPr>
                <w:sz w:val="20"/>
                <w:szCs w:val="20"/>
                <w:lang w:val="es-419"/>
              </w:rPr>
              <w:t xml:space="preserve">royectos </w:t>
            </w:r>
          </w:p>
        </w:tc>
        <w:tc>
          <w:tcPr>
            <w:tcW w:w="2827" w:type="dxa"/>
            <w:tcBorders>
              <w:top w:val="single" w:sz="4" w:space="0" w:color="auto"/>
              <w:left w:val="single" w:sz="4" w:space="0" w:color="auto"/>
              <w:bottom w:val="single" w:sz="4" w:space="0" w:color="auto"/>
              <w:right w:val="single" w:sz="4" w:space="0" w:color="auto"/>
            </w:tcBorders>
          </w:tcPr>
          <w:p w14:paraId="76D26A5D" w14:textId="50859802" w:rsidR="009B585B" w:rsidRPr="00756410" w:rsidRDefault="009B585B" w:rsidP="00CF32EB">
            <w:pPr>
              <w:rPr>
                <w:sz w:val="20"/>
                <w:szCs w:val="20"/>
                <w:lang w:val="es-419"/>
              </w:rPr>
            </w:pPr>
            <w:r w:rsidRPr="00756410">
              <w:rPr>
                <w:sz w:val="20"/>
                <w:szCs w:val="20"/>
                <w:lang w:val="es-419"/>
              </w:rPr>
              <w:t>Muestra al personal que no es RR/</w:t>
            </w:r>
            <w:r w:rsidR="4D07D1DD" w:rsidRPr="752835C2">
              <w:rPr>
                <w:sz w:val="20"/>
                <w:szCs w:val="20"/>
                <w:lang w:val="es-419"/>
              </w:rPr>
              <w:t>R</w:t>
            </w:r>
            <w:r w:rsidRPr="00756410">
              <w:rPr>
                <w:sz w:val="20"/>
                <w:szCs w:val="20"/>
                <w:lang w:val="es-419"/>
              </w:rPr>
              <w:t>R</w:t>
            </w:r>
            <w:r w:rsidR="549B1B2F" w:rsidRPr="752835C2">
              <w:rPr>
                <w:sz w:val="20"/>
                <w:szCs w:val="20"/>
                <w:lang w:val="es-419"/>
              </w:rPr>
              <w:t>D</w:t>
            </w:r>
            <w:r w:rsidRPr="00756410">
              <w:rPr>
                <w:sz w:val="20"/>
                <w:szCs w:val="20"/>
                <w:lang w:val="es-419"/>
              </w:rPr>
              <w:t xml:space="preserve">/OM (o equivalente </w:t>
            </w:r>
            <w:r w:rsidR="33E15A1E" w:rsidRPr="2AFDEEE9">
              <w:rPr>
                <w:sz w:val="20"/>
                <w:szCs w:val="20"/>
                <w:lang w:val="es-419"/>
              </w:rPr>
              <w:t>en la sede</w:t>
            </w:r>
            <w:r w:rsidRPr="00756410">
              <w:rPr>
                <w:sz w:val="20"/>
                <w:szCs w:val="20"/>
                <w:lang w:val="es-419"/>
              </w:rPr>
              <w:t xml:space="preserve">) con perfiles duales de </w:t>
            </w:r>
            <w:r w:rsidR="7CC3915C" w:rsidRPr="2AFDEEE9">
              <w:rPr>
                <w:sz w:val="20"/>
                <w:szCs w:val="20"/>
                <w:lang w:val="es-419"/>
              </w:rPr>
              <w:t>G</w:t>
            </w:r>
            <w:r w:rsidRPr="00756410">
              <w:rPr>
                <w:sz w:val="20"/>
                <w:szCs w:val="20"/>
                <w:lang w:val="es-419"/>
              </w:rPr>
              <w:t xml:space="preserve">erente de </w:t>
            </w:r>
            <w:r w:rsidR="5BD516FE" w:rsidRPr="2AFDEEE9">
              <w:rPr>
                <w:sz w:val="20"/>
                <w:szCs w:val="20"/>
                <w:lang w:val="es-419"/>
              </w:rPr>
              <w:t>A</w:t>
            </w:r>
            <w:r w:rsidRPr="00756410">
              <w:rPr>
                <w:sz w:val="20"/>
                <w:szCs w:val="20"/>
                <w:lang w:val="es-419"/>
              </w:rPr>
              <w:t xml:space="preserve">probación en los roles IDAM y </w:t>
            </w:r>
            <w:r w:rsidR="50EC2442" w:rsidRPr="2AFDEEE9">
              <w:rPr>
                <w:sz w:val="20"/>
                <w:szCs w:val="20"/>
                <w:lang w:val="es-419"/>
              </w:rPr>
              <w:t>G</w:t>
            </w:r>
            <w:r w:rsidR="764627A1" w:rsidRPr="2AFDEEE9">
              <w:rPr>
                <w:sz w:val="20"/>
                <w:szCs w:val="20"/>
                <w:lang w:val="es-419"/>
              </w:rPr>
              <w:t>erente</w:t>
            </w:r>
            <w:r w:rsidR="764627A1" w:rsidRPr="4BA92339">
              <w:rPr>
                <w:sz w:val="20"/>
                <w:szCs w:val="20"/>
                <w:lang w:val="es-419"/>
              </w:rPr>
              <w:t xml:space="preserve"> de </w:t>
            </w:r>
            <w:r w:rsidR="4E0F06C4" w:rsidRPr="158A7444">
              <w:rPr>
                <w:sz w:val="20"/>
                <w:szCs w:val="20"/>
                <w:lang w:val="es-419"/>
              </w:rPr>
              <w:t>P</w:t>
            </w:r>
            <w:r w:rsidR="764627A1" w:rsidRPr="158A7444">
              <w:rPr>
                <w:sz w:val="20"/>
                <w:szCs w:val="20"/>
                <w:lang w:val="es-419"/>
              </w:rPr>
              <w:t>royectos</w:t>
            </w:r>
            <w:r w:rsidR="764627A1" w:rsidRPr="3096DBF7">
              <w:rPr>
                <w:sz w:val="20"/>
                <w:szCs w:val="20"/>
                <w:lang w:val="es-419"/>
              </w:rPr>
              <w:t xml:space="preserve"> </w:t>
            </w:r>
            <w:r w:rsidRPr="00756410">
              <w:rPr>
                <w:sz w:val="20"/>
                <w:szCs w:val="20"/>
                <w:lang w:val="es-419"/>
              </w:rPr>
              <w:t xml:space="preserve"> asignados directamente para proyectos específicos en el módulo Quantum PPM. </w:t>
            </w:r>
          </w:p>
        </w:tc>
        <w:tc>
          <w:tcPr>
            <w:tcW w:w="5326" w:type="dxa"/>
            <w:tcBorders>
              <w:top w:val="single" w:sz="4" w:space="0" w:color="auto"/>
              <w:left w:val="single" w:sz="4" w:space="0" w:color="auto"/>
              <w:bottom w:val="single" w:sz="4" w:space="0" w:color="auto"/>
              <w:right w:val="single" w:sz="4" w:space="0" w:color="auto"/>
            </w:tcBorders>
          </w:tcPr>
          <w:p w14:paraId="0F865A68" w14:textId="269DDBD9" w:rsidR="009B585B" w:rsidRPr="00DB1CA7" w:rsidRDefault="009B585B" w:rsidP="363CA695">
            <w:pPr>
              <w:rPr>
                <w:sz w:val="20"/>
                <w:szCs w:val="20"/>
                <w:lang w:val="es-419"/>
              </w:rPr>
            </w:pPr>
            <w:r w:rsidRPr="00756410">
              <w:rPr>
                <w:sz w:val="20"/>
                <w:szCs w:val="20"/>
                <w:lang w:val="es-419"/>
              </w:rPr>
              <w:t>Si un miembro del personal que aparece en el informe no es el RR/RR</w:t>
            </w:r>
            <w:r w:rsidR="13A5A182" w:rsidRPr="1B8D45C2">
              <w:rPr>
                <w:sz w:val="20"/>
                <w:szCs w:val="20"/>
                <w:lang w:val="es-419"/>
              </w:rPr>
              <w:t>A</w:t>
            </w:r>
            <w:r w:rsidRPr="00756410">
              <w:rPr>
                <w:sz w:val="20"/>
                <w:szCs w:val="20"/>
                <w:lang w:val="es-419"/>
              </w:rPr>
              <w:t>/OM (o el equivalente de la sede) para la unidad de negocio correspondiente, entonces uno de los roles asignados debe cambiarse o desactivarse inmediatamente (es decir, IDAM o Quantum). Además, la asignación de los roles duales (Gerente de aprobación y Gerente de proyecto) a los RR</w:t>
            </w:r>
            <w:r w:rsidR="0F1F45CD" w:rsidRPr="0A3F62B3">
              <w:rPr>
                <w:sz w:val="20"/>
                <w:szCs w:val="20"/>
                <w:lang w:val="es-419"/>
              </w:rPr>
              <w:t>A</w:t>
            </w:r>
            <w:r w:rsidRPr="00756410">
              <w:rPr>
                <w:sz w:val="20"/>
                <w:szCs w:val="20"/>
                <w:lang w:val="es-419"/>
              </w:rPr>
              <w:t xml:space="preserve"> y OM (y equivalentes de la sede) debe ser aprobada formalmente por el RR como parte del ICF local de la BU.</w:t>
            </w:r>
          </w:p>
        </w:tc>
      </w:tr>
      <w:tr w:rsidR="009B585B" w:rsidRPr="00773863" w14:paraId="3A691278"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26B689E9" w14:textId="77777777" w:rsidR="009B585B" w:rsidRPr="00756410" w:rsidRDefault="009B585B">
            <w:pPr>
              <w:pStyle w:val="ListParagraph"/>
              <w:numPr>
                <w:ilvl w:val="0"/>
                <w:numId w:val="15"/>
              </w:numPr>
              <w:rPr>
                <w:sz w:val="20"/>
                <w:szCs w:val="20"/>
                <w:lang w:val="es-419"/>
              </w:rPr>
            </w:pPr>
          </w:p>
        </w:tc>
        <w:tc>
          <w:tcPr>
            <w:tcW w:w="1345" w:type="dxa"/>
            <w:tcBorders>
              <w:top w:val="single" w:sz="4" w:space="0" w:color="auto"/>
              <w:left w:val="single" w:sz="4" w:space="0" w:color="auto"/>
              <w:bottom w:val="single" w:sz="4" w:space="0" w:color="auto"/>
              <w:right w:val="single" w:sz="4" w:space="0" w:color="auto"/>
            </w:tcBorders>
          </w:tcPr>
          <w:p w14:paraId="43D565C8" w14:textId="77777777" w:rsidR="009B585B" w:rsidRPr="00756410" w:rsidRDefault="009B585B" w:rsidP="00CF32EB">
            <w:pPr>
              <w:rPr>
                <w:sz w:val="20"/>
                <w:szCs w:val="20"/>
                <w:lang w:val="es-419"/>
              </w:rPr>
            </w:pPr>
            <w:r w:rsidRPr="00756410">
              <w:rPr>
                <w:sz w:val="20"/>
                <w:szCs w:val="20"/>
                <w:lang w:val="es-419"/>
              </w:rPr>
              <w:t xml:space="preserve">Facturas aprobadas por el director de proyecto para el propio proyecto </w:t>
            </w:r>
          </w:p>
        </w:tc>
        <w:tc>
          <w:tcPr>
            <w:tcW w:w="2827" w:type="dxa"/>
            <w:tcBorders>
              <w:top w:val="single" w:sz="4" w:space="0" w:color="auto"/>
              <w:left w:val="single" w:sz="4" w:space="0" w:color="auto"/>
              <w:bottom w:val="single" w:sz="4" w:space="0" w:color="auto"/>
              <w:right w:val="single" w:sz="4" w:space="0" w:color="auto"/>
            </w:tcBorders>
          </w:tcPr>
          <w:p w14:paraId="6CAE7957" w14:textId="74DFC926" w:rsidR="009B585B" w:rsidRPr="00756410" w:rsidRDefault="009B585B" w:rsidP="363CA695">
            <w:pPr>
              <w:pStyle w:val="ListParagraph"/>
              <w:tabs>
                <w:tab w:val="left" w:pos="540"/>
              </w:tabs>
              <w:ind w:left="0"/>
              <w:rPr>
                <w:sz w:val="20"/>
                <w:szCs w:val="20"/>
                <w:lang w:val="es-419"/>
              </w:rPr>
            </w:pPr>
            <w:r w:rsidRPr="00756410">
              <w:rPr>
                <w:sz w:val="20"/>
                <w:szCs w:val="20"/>
                <w:lang w:val="es-419"/>
              </w:rPr>
              <w:t>Muestra los casos en los que un Gerente de Proyecto con roles duales de Gerente de Proyecto y Gerente de Aprobación (Gerente de Nivel 1, Nivel 2 o Gerente Senior) ha aprobado una factura en su propio proyecto (desarrollo o gestión), lo cual es un conflicto de intereses, como se articula en la sección 2.1 de esta Guía.</w:t>
            </w:r>
          </w:p>
        </w:tc>
        <w:tc>
          <w:tcPr>
            <w:tcW w:w="5326" w:type="dxa"/>
            <w:tcBorders>
              <w:top w:val="single" w:sz="4" w:space="0" w:color="auto"/>
              <w:left w:val="single" w:sz="4" w:space="0" w:color="auto"/>
              <w:bottom w:val="single" w:sz="4" w:space="0" w:color="auto"/>
              <w:right w:val="single" w:sz="4" w:space="0" w:color="auto"/>
            </w:tcBorders>
          </w:tcPr>
          <w:p w14:paraId="30470CF1" w14:textId="1107D2B3" w:rsidR="009B585B" w:rsidRPr="00DB1CA7" w:rsidRDefault="009B585B" w:rsidP="363CA695">
            <w:pPr>
              <w:tabs>
                <w:tab w:val="left" w:pos="540"/>
              </w:tabs>
              <w:rPr>
                <w:sz w:val="20"/>
                <w:szCs w:val="20"/>
                <w:lang w:val="es-419"/>
              </w:rPr>
            </w:pPr>
            <w:r w:rsidRPr="00756410">
              <w:rPr>
                <w:sz w:val="20"/>
                <w:szCs w:val="20"/>
                <w:lang w:val="es-419"/>
              </w:rPr>
              <w:t xml:space="preserve">Un miembro del personal independiente de su </w:t>
            </w:r>
            <w:r w:rsidR="00E9186D">
              <w:rPr>
                <w:sz w:val="20"/>
                <w:szCs w:val="20"/>
                <w:lang w:val="es-419"/>
              </w:rPr>
              <w:t xml:space="preserve">unidad de negocio </w:t>
            </w:r>
            <w:r w:rsidRPr="00756410">
              <w:rPr>
                <w:sz w:val="20"/>
                <w:szCs w:val="20"/>
                <w:lang w:val="es-419"/>
              </w:rPr>
              <w:t>debe realizar una revisión inmediata a posteriori de las transacciones enumeradas en el informe para garantizar que las transacciones sean legítimas y precisas. Si lo fueran, se debe recordar al miembro del personal que observe los requisitos de ICF establecidos en las secciones 2.1 y 2.2 de esta Guía cuando desempeñe funciones duales de Gerente de Proyecto y Gerente de Aprobación. Si los pagos no fueron legítimos y se ha identificado un riesgo potencial de fraude, se deben seguir los canales de denuncia habituales, como se describe en la sección 2.7 de esta Guía.</w:t>
            </w:r>
          </w:p>
        </w:tc>
      </w:tr>
      <w:tr w:rsidR="009B585B" w:rsidRPr="00773863" w14:paraId="602C6BD1"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6BF65CBC" w14:textId="77777777" w:rsidR="009B585B" w:rsidRPr="00D2258D" w:rsidRDefault="009B585B" w:rsidP="00CF32EB">
            <w:pPr>
              <w:rPr>
                <w:sz w:val="20"/>
                <w:szCs w:val="20"/>
              </w:rPr>
            </w:pPr>
            <w:r w:rsidRPr="00D2258D">
              <w:rPr>
                <w:sz w:val="20"/>
                <w:szCs w:val="20"/>
              </w:rPr>
              <w:t>3.</w:t>
            </w:r>
          </w:p>
        </w:tc>
        <w:tc>
          <w:tcPr>
            <w:tcW w:w="1345" w:type="dxa"/>
            <w:tcBorders>
              <w:top w:val="single" w:sz="4" w:space="0" w:color="auto"/>
              <w:left w:val="single" w:sz="4" w:space="0" w:color="auto"/>
              <w:bottom w:val="single" w:sz="4" w:space="0" w:color="auto"/>
              <w:right w:val="single" w:sz="4" w:space="0" w:color="auto"/>
            </w:tcBorders>
          </w:tcPr>
          <w:p w14:paraId="65507BA6" w14:textId="2BD53C49" w:rsidR="009B585B" w:rsidRPr="00756410" w:rsidRDefault="09A1EA2D" w:rsidP="00CF32EB">
            <w:pPr>
              <w:rPr>
                <w:sz w:val="20"/>
                <w:szCs w:val="20"/>
                <w:lang w:val="es-ES"/>
              </w:rPr>
            </w:pPr>
            <w:r w:rsidRPr="156D484A">
              <w:rPr>
                <w:sz w:val="20"/>
                <w:szCs w:val="20"/>
                <w:lang w:val="es-ES"/>
              </w:rPr>
              <w:t>Desajuste</w:t>
            </w:r>
            <w:r w:rsidR="009B585B" w:rsidRPr="00756410">
              <w:rPr>
                <w:sz w:val="20"/>
                <w:szCs w:val="20"/>
                <w:lang w:val="es-ES"/>
              </w:rPr>
              <w:t xml:space="preserve"> entre IDAM y PPM para perfiles de </w:t>
            </w:r>
            <w:r w:rsidR="447F664F" w:rsidRPr="78817B89">
              <w:rPr>
                <w:sz w:val="20"/>
                <w:szCs w:val="20"/>
                <w:lang w:val="es-ES"/>
              </w:rPr>
              <w:t>Gerente de Proyecto</w:t>
            </w:r>
          </w:p>
        </w:tc>
        <w:tc>
          <w:tcPr>
            <w:tcW w:w="2827" w:type="dxa"/>
            <w:tcBorders>
              <w:top w:val="single" w:sz="4" w:space="0" w:color="auto"/>
              <w:left w:val="single" w:sz="4" w:space="0" w:color="auto"/>
              <w:bottom w:val="single" w:sz="4" w:space="0" w:color="auto"/>
              <w:right w:val="single" w:sz="4" w:space="0" w:color="auto"/>
            </w:tcBorders>
          </w:tcPr>
          <w:p w14:paraId="5BA48A1C" w14:textId="3F2F16A4" w:rsidR="009B585B" w:rsidRPr="00756410" w:rsidRDefault="009B585B" w:rsidP="00CF32EB">
            <w:pPr>
              <w:tabs>
                <w:tab w:val="left" w:pos="540"/>
              </w:tabs>
              <w:rPr>
                <w:sz w:val="20"/>
                <w:szCs w:val="20"/>
                <w:lang w:val="es-419"/>
              </w:rPr>
            </w:pPr>
            <w:r w:rsidRPr="00756410">
              <w:rPr>
                <w:sz w:val="20"/>
                <w:szCs w:val="20"/>
                <w:lang w:val="es-419"/>
              </w:rPr>
              <w:t xml:space="preserve">Muestra el personal de la unidad de negocio que no tiene un perfil de </w:t>
            </w:r>
            <w:r w:rsidR="12B1DF72" w:rsidRPr="78817B89">
              <w:rPr>
                <w:sz w:val="20"/>
                <w:szCs w:val="20"/>
                <w:lang w:val="es-419"/>
              </w:rPr>
              <w:t>G</w:t>
            </w:r>
            <w:r w:rsidRPr="00756410">
              <w:rPr>
                <w:sz w:val="20"/>
                <w:szCs w:val="20"/>
                <w:lang w:val="es-419"/>
              </w:rPr>
              <w:t xml:space="preserve">estor de </w:t>
            </w:r>
            <w:r w:rsidR="42B70D94" w:rsidRPr="78817B89">
              <w:rPr>
                <w:sz w:val="20"/>
                <w:szCs w:val="20"/>
                <w:lang w:val="es-419"/>
              </w:rPr>
              <w:t>P</w:t>
            </w:r>
            <w:r w:rsidRPr="00756410">
              <w:rPr>
                <w:sz w:val="20"/>
                <w:szCs w:val="20"/>
                <w:lang w:val="es-419"/>
              </w:rPr>
              <w:t xml:space="preserve">royectos aprobado asignado en IDAM, pero que tiene un rol de </w:t>
            </w:r>
            <w:r w:rsidR="07FDA1BF" w:rsidRPr="78817B89">
              <w:rPr>
                <w:sz w:val="20"/>
                <w:szCs w:val="20"/>
                <w:lang w:val="es-419"/>
              </w:rPr>
              <w:t>G</w:t>
            </w:r>
            <w:r w:rsidRPr="00756410">
              <w:rPr>
                <w:sz w:val="20"/>
                <w:szCs w:val="20"/>
                <w:lang w:val="es-419"/>
              </w:rPr>
              <w:t xml:space="preserve">estor de </w:t>
            </w:r>
            <w:r w:rsidR="4A28C95F" w:rsidRPr="78817B89">
              <w:rPr>
                <w:sz w:val="20"/>
                <w:szCs w:val="20"/>
                <w:lang w:val="es-419"/>
              </w:rPr>
              <w:t>P</w:t>
            </w:r>
            <w:r w:rsidRPr="00756410">
              <w:rPr>
                <w:sz w:val="20"/>
                <w:szCs w:val="20"/>
                <w:lang w:val="es-419"/>
              </w:rPr>
              <w:t>royectos asignado directamente en Quantum PPM.</w:t>
            </w:r>
          </w:p>
        </w:tc>
        <w:tc>
          <w:tcPr>
            <w:tcW w:w="5326" w:type="dxa"/>
            <w:tcBorders>
              <w:top w:val="single" w:sz="4" w:space="0" w:color="auto"/>
              <w:left w:val="single" w:sz="4" w:space="0" w:color="auto"/>
              <w:bottom w:val="single" w:sz="4" w:space="0" w:color="auto"/>
              <w:right w:val="single" w:sz="4" w:space="0" w:color="auto"/>
            </w:tcBorders>
          </w:tcPr>
          <w:p w14:paraId="30C84621" w14:textId="715C80E0" w:rsidR="009B585B" w:rsidRPr="00DB1CA7" w:rsidRDefault="009B585B" w:rsidP="00CF32EB">
            <w:pPr>
              <w:rPr>
                <w:sz w:val="20"/>
                <w:szCs w:val="20"/>
                <w:lang w:val="es-419"/>
              </w:rPr>
            </w:pPr>
            <w:r w:rsidRPr="00756410">
              <w:rPr>
                <w:sz w:val="20"/>
                <w:szCs w:val="20"/>
                <w:lang w:val="es-419"/>
              </w:rPr>
              <w:t xml:space="preserve">Para el personal de </w:t>
            </w:r>
            <w:r w:rsidR="50ADA8AA" w:rsidRPr="24F5DBB9">
              <w:rPr>
                <w:sz w:val="20"/>
                <w:szCs w:val="20"/>
                <w:lang w:val="es-419"/>
              </w:rPr>
              <w:t>la unidad de ne</w:t>
            </w:r>
            <w:r w:rsidR="197D1239" w:rsidRPr="24F5DBB9">
              <w:rPr>
                <w:sz w:val="20"/>
                <w:szCs w:val="20"/>
                <w:lang w:val="es-419"/>
              </w:rPr>
              <w:t>gocio</w:t>
            </w:r>
            <w:r w:rsidRPr="00756410">
              <w:rPr>
                <w:sz w:val="20"/>
                <w:szCs w:val="20"/>
                <w:lang w:val="es-419"/>
              </w:rPr>
              <w:t xml:space="preserve"> que aparece en el informe, desactive o modifique inmediatamente uno de los roles asignados: el perfil IDAM debe cambiarse a Gerente de </w:t>
            </w:r>
            <w:r w:rsidR="32CDA5D8" w:rsidRPr="24F5DBB9">
              <w:rPr>
                <w:sz w:val="20"/>
                <w:szCs w:val="20"/>
                <w:lang w:val="es-419"/>
              </w:rPr>
              <w:t>P</w:t>
            </w:r>
            <w:r w:rsidRPr="00756410">
              <w:rPr>
                <w:sz w:val="20"/>
                <w:szCs w:val="20"/>
                <w:lang w:val="es-419"/>
              </w:rPr>
              <w:t xml:space="preserve">royecto para alinearse con las asignaciones de roles de Gerente de </w:t>
            </w:r>
            <w:r w:rsidR="698967A2" w:rsidRPr="24F5DBB9">
              <w:rPr>
                <w:sz w:val="20"/>
                <w:szCs w:val="20"/>
                <w:lang w:val="es-419"/>
              </w:rPr>
              <w:t>P</w:t>
            </w:r>
            <w:r w:rsidRPr="00756410">
              <w:rPr>
                <w:sz w:val="20"/>
                <w:szCs w:val="20"/>
                <w:lang w:val="es-419"/>
              </w:rPr>
              <w:t xml:space="preserve">royecto de PPM, o el rol de Gerente de </w:t>
            </w:r>
            <w:r w:rsidR="207DDE13" w:rsidRPr="24F5DBB9">
              <w:rPr>
                <w:sz w:val="20"/>
                <w:szCs w:val="20"/>
                <w:lang w:val="es-419"/>
              </w:rPr>
              <w:t>P</w:t>
            </w:r>
            <w:r w:rsidRPr="00756410">
              <w:rPr>
                <w:sz w:val="20"/>
                <w:szCs w:val="20"/>
                <w:lang w:val="es-419"/>
              </w:rPr>
              <w:t xml:space="preserve">royecto en Quantum PPM debe eliminarse, según las necesidades de la oficina / </w:t>
            </w:r>
            <w:r w:rsidR="00085DDE" w:rsidRPr="00085DDE">
              <w:rPr>
                <w:sz w:val="20"/>
                <w:szCs w:val="20"/>
                <w:lang w:val="es-419"/>
              </w:rPr>
              <w:t>unidad, de</w:t>
            </w:r>
            <w:r w:rsidRPr="00756410">
              <w:rPr>
                <w:sz w:val="20"/>
                <w:szCs w:val="20"/>
                <w:lang w:val="es-419"/>
              </w:rPr>
              <w:t xml:space="preserve"> </w:t>
            </w:r>
            <w:r w:rsidR="151999D2" w:rsidRPr="24F5DBB9">
              <w:rPr>
                <w:sz w:val="20"/>
                <w:szCs w:val="20"/>
                <w:lang w:val="es-419"/>
              </w:rPr>
              <w:t xml:space="preserve">negocio, de </w:t>
            </w:r>
            <w:r w:rsidRPr="00756410">
              <w:rPr>
                <w:sz w:val="20"/>
                <w:szCs w:val="20"/>
                <w:lang w:val="es-419"/>
              </w:rPr>
              <w:t xml:space="preserve">modo que el personal de su </w:t>
            </w:r>
            <w:r w:rsidR="00E9186D">
              <w:rPr>
                <w:sz w:val="20"/>
                <w:szCs w:val="20"/>
                <w:lang w:val="es-419"/>
              </w:rPr>
              <w:t>unidad de negocio</w:t>
            </w:r>
            <w:r w:rsidR="00E9186D" w:rsidRPr="00E9186D" w:rsidDel="00E9186D">
              <w:rPr>
                <w:sz w:val="20"/>
                <w:szCs w:val="20"/>
                <w:lang w:val="es-419"/>
              </w:rPr>
              <w:t xml:space="preserve"> </w:t>
            </w:r>
            <w:r w:rsidRPr="00756410">
              <w:rPr>
                <w:sz w:val="20"/>
                <w:szCs w:val="20"/>
                <w:lang w:val="es-419"/>
              </w:rPr>
              <w:t>tenga solo uno de estos roles.</w:t>
            </w:r>
          </w:p>
        </w:tc>
      </w:tr>
      <w:tr w:rsidR="009B585B" w:rsidRPr="00773863" w14:paraId="1D506E9C"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23310A8B" w14:textId="77777777" w:rsidR="009B585B" w:rsidRPr="00D2258D" w:rsidRDefault="009B585B" w:rsidP="00CF32EB">
            <w:pPr>
              <w:rPr>
                <w:sz w:val="20"/>
                <w:szCs w:val="20"/>
              </w:rPr>
            </w:pPr>
            <w:r w:rsidRPr="00D2258D">
              <w:rPr>
                <w:sz w:val="20"/>
                <w:szCs w:val="20"/>
              </w:rPr>
              <w:t>4.</w:t>
            </w:r>
          </w:p>
        </w:tc>
        <w:tc>
          <w:tcPr>
            <w:tcW w:w="1345" w:type="dxa"/>
            <w:tcBorders>
              <w:top w:val="single" w:sz="4" w:space="0" w:color="auto"/>
              <w:left w:val="single" w:sz="4" w:space="0" w:color="auto"/>
              <w:bottom w:val="single" w:sz="4" w:space="0" w:color="auto"/>
              <w:right w:val="single" w:sz="4" w:space="0" w:color="auto"/>
            </w:tcBorders>
          </w:tcPr>
          <w:p w14:paraId="2B6E3344" w14:textId="77777777" w:rsidR="009B585B" w:rsidRPr="00756410" w:rsidRDefault="009B585B" w:rsidP="00CF32EB">
            <w:pPr>
              <w:rPr>
                <w:sz w:val="20"/>
                <w:szCs w:val="20"/>
                <w:lang w:val="es-419"/>
              </w:rPr>
            </w:pPr>
            <w:r w:rsidRPr="00756410">
              <w:rPr>
                <w:sz w:val="20"/>
                <w:szCs w:val="20"/>
                <w:lang w:val="es-419"/>
              </w:rPr>
              <w:t xml:space="preserve">El número de aprobadores de proveedores supera los límites de ICF </w:t>
            </w:r>
          </w:p>
        </w:tc>
        <w:tc>
          <w:tcPr>
            <w:tcW w:w="2827" w:type="dxa"/>
            <w:tcBorders>
              <w:top w:val="single" w:sz="4" w:space="0" w:color="auto"/>
              <w:left w:val="single" w:sz="4" w:space="0" w:color="auto"/>
              <w:bottom w:val="single" w:sz="4" w:space="0" w:color="auto"/>
              <w:right w:val="single" w:sz="4" w:space="0" w:color="auto"/>
            </w:tcBorders>
          </w:tcPr>
          <w:p w14:paraId="3DB17718" w14:textId="04C8F602" w:rsidR="009B585B" w:rsidRPr="00756410" w:rsidRDefault="009B585B" w:rsidP="363CA695">
            <w:pPr>
              <w:rPr>
                <w:sz w:val="20"/>
                <w:szCs w:val="20"/>
                <w:lang w:val="es-419"/>
              </w:rPr>
            </w:pPr>
            <w:r w:rsidRPr="00756410">
              <w:rPr>
                <w:sz w:val="20"/>
                <w:szCs w:val="20"/>
                <w:lang w:val="es-419"/>
              </w:rPr>
              <w:t xml:space="preserve">Muestra el número de roles complementarios de Mantenimiento de Proveedores (L1) y Aprobador de Proveedores (L2) asignados en IDAM para cada </w:t>
            </w:r>
            <w:r w:rsidR="00E9186D">
              <w:rPr>
                <w:sz w:val="20"/>
                <w:szCs w:val="20"/>
                <w:lang w:val="es-419"/>
              </w:rPr>
              <w:t>unidad de negocio</w:t>
            </w:r>
            <w:r w:rsidR="00E9186D" w:rsidRPr="00E9186D" w:rsidDel="00E9186D">
              <w:rPr>
                <w:sz w:val="20"/>
                <w:szCs w:val="20"/>
                <w:lang w:val="es-419"/>
              </w:rPr>
              <w:t xml:space="preserve"> </w:t>
            </w:r>
            <w:r w:rsidRPr="00756410">
              <w:rPr>
                <w:sz w:val="20"/>
                <w:szCs w:val="20"/>
                <w:lang w:val="es-419"/>
              </w:rPr>
              <w:t>que exceda los límites de ICF establecidos en la sección 2.1 de esta Guía.</w:t>
            </w:r>
          </w:p>
        </w:tc>
        <w:tc>
          <w:tcPr>
            <w:tcW w:w="5326" w:type="dxa"/>
            <w:tcBorders>
              <w:top w:val="single" w:sz="4" w:space="0" w:color="auto"/>
              <w:left w:val="single" w:sz="4" w:space="0" w:color="auto"/>
              <w:bottom w:val="single" w:sz="4" w:space="0" w:color="auto"/>
              <w:right w:val="single" w:sz="4" w:space="0" w:color="auto"/>
            </w:tcBorders>
          </w:tcPr>
          <w:p w14:paraId="0E372BE5" w14:textId="2C925C1B" w:rsidR="009B585B" w:rsidRPr="00DB1CA7" w:rsidRDefault="009B585B" w:rsidP="363CA695">
            <w:pPr>
              <w:rPr>
                <w:sz w:val="20"/>
                <w:szCs w:val="20"/>
                <w:lang w:val="es-419"/>
              </w:rPr>
            </w:pPr>
            <w:r w:rsidRPr="00756410">
              <w:rPr>
                <w:sz w:val="20"/>
                <w:szCs w:val="20"/>
                <w:lang w:val="es-419"/>
              </w:rPr>
              <w:t xml:space="preserve">Tome medidas inmediatas en IDAM para reducir el número de asignaciones de roles complementarios de mantenimiento de proveedores (L1) en su unidad de negocio a 2 o 3, según el valor de la entrega del año anterior. Asegúrese de que no existan asignaciones de roles complementarios de aprobador de proveedores (L2) en IDAM para su unidad de negocio (se permiten excepciones para BMS/GSSC y para oficinas/unidades de la sede central seleccionadas, según lo aprobado previamente por el </w:t>
            </w:r>
            <w:r w:rsidR="00B93A81">
              <w:rPr>
                <w:sz w:val="20"/>
                <w:szCs w:val="20"/>
                <w:lang w:val="es-419"/>
              </w:rPr>
              <w:t>CFO</w:t>
            </w:r>
            <w:r w:rsidRPr="00756410">
              <w:rPr>
                <w:sz w:val="20"/>
                <w:szCs w:val="20"/>
                <w:lang w:val="es-419"/>
              </w:rPr>
              <w:t>).</w:t>
            </w:r>
          </w:p>
        </w:tc>
      </w:tr>
      <w:tr w:rsidR="009B585B" w:rsidRPr="00773863" w14:paraId="63BEB635" w14:textId="77777777" w:rsidTr="0004107A">
        <w:trPr>
          <w:trHeight w:val="20"/>
        </w:trPr>
        <w:tc>
          <w:tcPr>
            <w:tcW w:w="590" w:type="dxa"/>
            <w:tcBorders>
              <w:top w:val="single" w:sz="4" w:space="0" w:color="auto"/>
              <w:left w:val="single" w:sz="4" w:space="0" w:color="auto"/>
              <w:bottom w:val="single" w:sz="4" w:space="0" w:color="auto"/>
              <w:right w:val="single" w:sz="4" w:space="0" w:color="auto"/>
            </w:tcBorders>
          </w:tcPr>
          <w:p w14:paraId="31B013BD" w14:textId="77777777" w:rsidR="009B585B" w:rsidRPr="00D2258D" w:rsidRDefault="009B585B" w:rsidP="00CF32EB">
            <w:pPr>
              <w:rPr>
                <w:sz w:val="20"/>
                <w:szCs w:val="20"/>
              </w:rPr>
            </w:pPr>
            <w:r w:rsidRPr="00D2258D">
              <w:rPr>
                <w:sz w:val="20"/>
                <w:szCs w:val="20"/>
              </w:rPr>
              <w:t>5.</w:t>
            </w:r>
          </w:p>
        </w:tc>
        <w:tc>
          <w:tcPr>
            <w:tcW w:w="1345" w:type="dxa"/>
            <w:tcBorders>
              <w:top w:val="single" w:sz="4" w:space="0" w:color="auto"/>
              <w:left w:val="single" w:sz="4" w:space="0" w:color="auto"/>
              <w:bottom w:val="single" w:sz="4" w:space="0" w:color="auto"/>
              <w:right w:val="single" w:sz="4" w:space="0" w:color="auto"/>
            </w:tcBorders>
          </w:tcPr>
          <w:p w14:paraId="4AF214EC" w14:textId="77777777" w:rsidR="009B585B" w:rsidRPr="00756410" w:rsidRDefault="009B585B" w:rsidP="00CF32EB">
            <w:pPr>
              <w:rPr>
                <w:sz w:val="20"/>
                <w:szCs w:val="20"/>
                <w:lang w:val="es-419"/>
              </w:rPr>
            </w:pPr>
            <w:r w:rsidRPr="00756410">
              <w:rPr>
                <w:sz w:val="20"/>
                <w:szCs w:val="20"/>
                <w:lang w:val="es-419"/>
              </w:rPr>
              <w:t xml:space="preserve">Mismo aprobador de facturas y proveedor pagado </w:t>
            </w:r>
          </w:p>
        </w:tc>
        <w:tc>
          <w:tcPr>
            <w:tcW w:w="2827" w:type="dxa"/>
            <w:tcBorders>
              <w:top w:val="single" w:sz="4" w:space="0" w:color="auto"/>
              <w:left w:val="single" w:sz="4" w:space="0" w:color="auto"/>
              <w:bottom w:val="single" w:sz="4" w:space="0" w:color="auto"/>
              <w:right w:val="single" w:sz="4" w:space="0" w:color="auto"/>
            </w:tcBorders>
          </w:tcPr>
          <w:p w14:paraId="441984B7" w14:textId="782ED1C7" w:rsidR="009B585B" w:rsidRPr="00756410" w:rsidRDefault="009B585B" w:rsidP="363CA695">
            <w:pPr>
              <w:rPr>
                <w:sz w:val="20"/>
                <w:szCs w:val="20"/>
                <w:lang w:val="es-419"/>
              </w:rPr>
            </w:pPr>
            <w:r w:rsidRPr="00756410">
              <w:rPr>
                <w:sz w:val="20"/>
                <w:szCs w:val="20"/>
                <w:lang w:val="es-419"/>
              </w:rPr>
              <w:t>Muestra las transacciones en las que el aprobador de facturas en Quantum (Gerente Nivel 1, Nivel 2 o Gerente Senior) también era el proveedor al que se le pagaba (es decir, aprobador de facturas = proveedor pagado). Aprobar un pago a uno mismo es un conflicto de intereses.</w:t>
            </w:r>
          </w:p>
          <w:p w14:paraId="2205384C" w14:textId="77777777" w:rsidR="009B585B" w:rsidRPr="00756410" w:rsidRDefault="009B585B" w:rsidP="00CF32EB">
            <w:pPr>
              <w:rPr>
                <w:sz w:val="20"/>
                <w:szCs w:val="20"/>
                <w:lang w:val="es-419"/>
              </w:rPr>
            </w:pPr>
          </w:p>
        </w:tc>
        <w:tc>
          <w:tcPr>
            <w:tcW w:w="5326" w:type="dxa"/>
            <w:tcBorders>
              <w:top w:val="single" w:sz="4" w:space="0" w:color="auto"/>
              <w:left w:val="single" w:sz="4" w:space="0" w:color="auto"/>
              <w:bottom w:val="single" w:sz="4" w:space="0" w:color="auto"/>
              <w:right w:val="single" w:sz="4" w:space="0" w:color="auto"/>
            </w:tcBorders>
          </w:tcPr>
          <w:p w14:paraId="759BA3BD" w14:textId="05E44630" w:rsidR="009B585B" w:rsidRPr="00DB1CA7" w:rsidRDefault="009B585B" w:rsidP="363CA695">
            <w:pPr>
              <w:rPr>
                <w:sz w:val="20"/>
                <w:szCs w:val="20"/>
                <w:lang w:val="es-419"/>
              </w:rPr>
            </w:pPr>
            <w:r w:rsidRPr="00756410">
              <w:rPr>
                <w:sz w:val="20"/>
                <w:szCs w:val="20"/>
                <w:lang w:val="es-419"/>
              </w:rPr>
              <w:t xml:space="preserve">Un miembro del personal independiente de su </w:t>
            </w:r>
            <w:r w:rsidR="00E9186D">
              <w:rPr>
                <w:sz w:val="20"/>
                <w:szCs w:val="20"/>
                <w:lang w:val="es-419"/>
              </w:rPr>
              <w:t>unidad de negocio</w:t>
            </w:r>
            <w:r w:rsidR="00E9186D" w:rsidRPr="00E9186D" w:rsidDel="00E9186D">
              <w:rPr>
                <w:sz w:val="20"/>
                <w:szCs w:val="20"/>
                <w:lang w:val="es-419"/>
              </w:rPr>
              <w:t xml:space="preserve"> </w:t>
            </w:r>
            <w:r w:rsidRPr="00756410">
              <w:rPr>
                <w:sz w:val="20"/>
                <w:szCs w:val="20"/>
                <w:lang w:val="es-419"/>
              </w:rPr>
              <w:t>debe realizar una revisión inmediata a posteriori de las transacciones enumeradas en el informe para garantizar que las transacciones sean legítimas y precisas. Si lo fueran, se debe recordar al miembro del personal que observe los requisitos de ICF establecidos en las secciones 2.1 y 2.2 de esta Guía cuando desempeñe funciones duales de Gerente de Proyecto y Gerente de Aprobación. Si los pagos no fueron legítimos y se ha identificado un riesgo potencial de fraude, se deben seguir los canales de denuncia habituales, como se describe en la sección 2.7 de esta Guía.</w:t>
            </w:r>
          </w:p>
        </w:tc>
      </w:tr>
    </w:tbl>
    <w:p w14:paraId="4876E515" w14:textId="302070D5" w:rsidR="009B585B" w:rsidRPr="00756410" w:rsidRDefault="009B585B">
      <w:pPr>
        <w:rPr>
          <w:rFonts w:asciiTheme="majorHAnsi" w:eastAsiaTheme="majorEastAsia" w:hAnsiTheme="majorHAnsi" w:cstheme="majorBidi"/>
          <w:color w:val="2F5496" w:themeColor="accent1" w:themeShade="BF"/>
          <w:sz w:val="32"/>
          <w:szCs w:val="32"/>
          <w:lang w:val="es-419"/>
        </w:rPr>
      </w:pPr>
    </w:p>
    <w:p w14:paraId="75388013" w14:textId="04DAD553" w:rsidR="002F02D8" w:rsidRPr="0004107A" w:rsidRDefault="009B585B" w:rsidP="0004107A">
      <w:pPr>
        <w:tabs>
          <w:tab w:val="left" w:pos="703"/>
          <w:tab w:val="left" w:pos="2048"/>
          <w:tab w:val="left" w:pos="4875"/>
        </w:tabs>
        <w:ind w:left="113"/>
        <w:rPr>
          <w:rFonts w:asciiTheme="majorHAnsi" w:eastAsiaTheme="majorEastAsia" w:hAnsiTheme="majorHAnsi" w:cstheme="majorBidi"/>
          <w:color w:val="2F5496" w:themeColor="accent1" w:themeShade="BF"/>
          <w:sz w:val="32"/>
          <w:szCs w:val="32"/>
          <w:lang w:val="es-419"/>
        </w:rPr>
      </w:pPr>
      <w:r w:rsidRPr="00756410">
        <w:rPr>
          <w:rFonts w:asciiTheme="majorHAnsi" w:eastAsiaTheme="majorEastAsia" w:hAnsiTheme="majorHAnsi" w:cstheme="majorBidi"/>
          <w:color w:val="2F5496" w:themeColor="accent1" w:themeShade="BF"/>
          <w:sz w:val="32"/>
          <w:szCs w:val="32"/>
          <w:lang w:val="es-419"/>
        </w:rPr>
        <w:br w:type="page"/>
      </w:r>
      <w:bookmarkStart w:id="119" w:name="_Annex_2:_Overview"/>
      <w:bookmarkStart w:id="120" w:name="_Toc210052796"/>
      <w:bookmarkEnd w:id="119"/>
      <w:r w:rsidR="002F02D8" w:rsidRPr="0004107A">
        <w:rPr>
          <w:rFonts w:asciiTheme="majorHAnsi" w:eastAsiaTheme="majorEastAsia" w:hAnsiTheme="majorHAnsi" w:cstheme="majorBidi"/>
          <w:color w:val="2F5496" w:themeColor="accent1" w:themeShade="BF"/>
          <w:sz w:val="32"/>
          <w:szCs w:val="32"/>
          <w:lang w:val="es-419"/>
        </w:rPr>
        <w:lastRenderedPageBreak/>
        <w:t xml:space="preserve">Anexo 2: Descripción general de los perfiles </w:t>
      </w:r>
      <w:r w:rsidR="00E56C13" w:rsidRPr="0004107A">
        <w:rPr>
          <w:rFonts w:asciiTheme="majorHAnsi" w:eastAsiaTheme="majorEastAsia" w:hAnsiTheme="majorHAnsi" w:cstheme="majorBidi"/>
          <w:color w:val="2F5496" w:themeColor="accent1" w:themeShade="BF"/>
          <w:sz w:val="32"/>
          <w:szCs w:val="32"/>
          <w:lang w:val="es-419"/>
        </w:rPr>
        <w:t xml:space="preserve">de usuario de Recursos Humanos (HR) </w:t>
      </w:r>
      <w:r w:rsidR="002F02D8" w:rsidRPr="0004107A">
        <w:rPr>
          <w:rFonts w:asciiTheme="majorHAnsi" w:eastAsiaTheme="majorEastAsia" w:hAnsiTheme="majorHAnsi" w:cstheme="majorBidi"/>
          <w:color w:val="2F5496" w:themeColor="accent1" w:themeShade="BF"/>
          <w:sz w:val="32"/>
          <w:szCs w:val="32"/>
          <w:lang w:val="es-419"/>
        </w:rPr>
        <w:t>de IDAM y su propósito</w:t>
      </w:r>
      <w:bookmarkEnd w:id="120"/>
    </w:p>
    <w:p w14:paraId="139647F3" w14:textId="4115B78B" w:rsidR="002F02D8" w:rsidRPr="00756410" w:rsidRDefault="002F02D8" w:rsidP="363CA695">
      <w:pPr>
        <w:spacing w:line="240" w:lineRule="auto"/>
        <w:rPr>
          <w:rFonts w:ascii="Calibri" w:hAnsi="Calibri" w:cs="Calibri"/>
          <w:lang w:val="es-419"/>
        </w:rPr>
      </w:pPr>
      <w:r w:rsidRPr="00756410">
        <w:rPr>
          <w:rFonts w:ascii="Calibri" w:hAnsi="Calibri" w:cs="Calibri"/>
          <w:lang w:val="es-419"/>
        </w:rPr>
        <w:t xml:space="preserve">En el cuadro que figura a continuación se ofrece un panorama general de los perfiles institucionales de recursos humanos del IDAM a disposición de las oficinas y </w:t>
      </w:r>
      <w:r w:rsidR="52D7C350" w:rsidRPr="24F5DBB9">
        <w:rPr>
          <w:rFonts w:ascii="Calibri" w:hAnsi="Calibri" w:cs="Calibri"/>
          <w:lang w:val="es-419"/>
        </w:rPr>
        <w:t xml:space="preserve">unidades </w:t>
      </w:r>
      <w:r w:rsidRPr="00756410">
        <w:rPr>
          <w:rFonts w:ascii="Calibri" w:hAnsi="Calibri" w:cs="Calibri"/>
          <w:lang w:val="es-419"/>
        </w:rPr>
        <w:t>del PNUD y su finalidad. En general, el acceso a las funciones de RR</w:t>
      </w:r>
      <w:r w:rsidR="009E07C3" w:rsidRPr="24F5DBB9">
        <w:rPr>
          <w:rFonts w:ascii="Calibri" w:hAnsi="Calibri" w:cs="Calibri"/>
          <w:lang w:val="es-419"/>
        </w:rPr>
        <w:t>.</w:t>
      </w:r>
      <w:r w:rsidRPr="00756410">
        <w:rPr>
          <w:rFonts w:ascii="Calibri" w:hAnsi="Calibri" w:cs="Calibri"/>
          <w:lang w:val="es-419"/>
        </w:rPr>
        <w:t>HH</w:t>
      </w:r>
      <w:r w:rsidR="6C9B563D" w:rsidRPr="24F5DBB9">
        <w:rPr>
          <w:rFonts w:ascii="Calibri" w:hAnsi="Calibri" w:cs="Calibri"/>
          <w:lang w:val="es-419"/>
        </w:rPr>
        <w:t>.</w:t>
      </w:r>
      <w:r w:rsidRPr="00756410">
        <w:rPr>
          <w:rFonts w:ascii="Calibri" w:hAnsi="Calibri" w:cs="Calibri"/>
          <w:lang w:val="es-419"/>
        </w:rPr>
        <w:t xml:space="preserve"> </w:t>
      </w:r>
      <w:r w:rsidR="391FAE2A" w:rsidRPr="24F5DBB9">
        <w:rPr>
          <w:rFonts w:ascii="Calibri" w:hAnsi="Calibri" w:cs="Calibri"/>
          <w:lang w:val="es-419"/>
        </w:rPr>
        <w:t>se hace a través de los</w:t>
      </w:r>
      <w:r w:rsidRPr="00756410">
        <w:rPr>
          <w:rFonts w:ascii="Calibri" w:hAnsi="Calibri" w:cs="Calibri"/>
          <w:lang w:val="es-419"/>
        </w:rPr>
        <w:t xml:space="preserve"> roles de Analista, Gerente y Administrador para garantizar un uso seguro y adecuado del sistema. </w:t>
      </w:r>
    </w:p>
    <w:p w14:paraId="5D24B37B" w14:textId="4F72B86A" w:rsidR="002F02D8" w:rsidRPr="00756410" w:rsidRDefault="002F02D8">
      <w:pPr>
        <w:pStyle w:val="ListParagraph"/>
        <w:numPr>
          <w:ilvl w:val="0"/>
          <w:numId w:val="16"/>
        </w:numPr>
        <w:spacing w:line="240" w:lineRule="auto"/>
        <w:rPr>
          <w:rFonts w:ascii="Calibri" w:hAnsi="Calibri" w:cs="Calibri"/>
          <w:lang w:val="es-419"/>
        </w:rPr>
      </w:pPr>
      <w:r w:rsidRPr="00756410">
        <w:rPr>
          <w:rFonts w:ascii="Calibri" w:hAnsi="Calibri" w:cs="Calibri"/>
          <w:lang w:val="es-419"/>
        </w:rPr>
        <w:t xml:space="preserve">Los analistas tienen acceso de </w:t>
      </w:r>
      <w:r w:rsidR="6A483EEE" w:rsidRPr="24F5DBB9">
        <w:rPr>
          <w:rFonts w:ascii="Calibri" w:hAnsi="Calibri" w:cs="Calibri"/>
          <w:lang w:val="es-419"/>
        </w:rPr>
        <w:t xml:space="preserve">solo </w:t>
      </w:r>
      <w:r w:rsidR="00FD4D46" w:rsidRPr="24F5DBB9">
        <w:rPr>
          <w:rFonts w:ascii="Calibri" w:hAnsi="Calibri" w:cs="Calibri"/>
          <w:lang w:val="es-419"/>
        </w:rPr>
        <w:t xml:space="preserve">visualización </w:t>
      </w:r>
      <w:r w:rsidR="00FD4D46" w:rsidRPr="00FD4D46">
        <w:rPr>
          <w:rFonts w:ascii="Calibri" w:hAnsi="Calibri" w:cs="Calibri"/>
          <w:lang w:val="es-419"/>
        </w:rPr>
        <w:t>limitada</w:t>
      </w:r>
      <w:r w:rsidRPr="00756410">
        <w:rPr>
          <w:rFonts w:ascii="Calibri" w:hAnsi="Calibri" w:cs="Calibri"/>
          <w:lang w:val="es-419"/>
        </w:rPr>
        <w:t xml:space="preserve"> a sus respectivas áreas, lo que les permite revisar datos, informes y otra información relevante sin la capacidad de realizar cambios. </w:t>
      </w:r>
    </w:p>
    <w:p w14:paraId="13D778DB" w14:textId="45AAC19A" w:rsidR="002F02D8" w:rsidRPr="00756410" w:rsidRDefault="002F02D8">
      <w:pPr>
        <w:pStyle w:val="ListParagraph"/>
        <w:numPr>
          <w:ilvl w:val="0"/>
          <w:numId w:val="16"/>
        </w:numPr>
        <w:spacing w:line="240" w:lineRule="auto"/>
        <w:rPr>
          <w:rFonts w:ascii="Calibri" w:hAnsi="Calibri" w:cs="Calibri"/>
          <w:lang w:val="es-419"/>
        </w:rPr>
      </w:pPr>
      <w:r w:rsidRPr="00756410">
        <w:rPr>
          <w:rFonts w:ascii="Calibri" w:hAnsi="Calibri" w:cs="Calibri"/>
          <w:lang w:val="es-419"/>
        </w:rPr>
        <w:t>Los gerentes manejan las operaciones diarias. El rol tiene capacidad para realizar transacciones.</w:t>
      </w:r>
    </w:p>
    <w:p w14:paraId="4C44267A" w14:textId="27D54584" w:rsidR="002F02D8" w:rsidRPr="00756410" w:rsidRDefault="002F02D8">
      <w:pPr>
        <w:pStyle w:val="ListParagraph"/>
        <w:numPr>
          <w:ilvl w:val="0"/>
          <w:numId w:val="16"/>
        </w:numPr>
        <w:spacing w:line="240" w:lineRule="auto"/>
        <w:rPr>
          <w:rFonts w:ascii="Calibri" w:hAnsi="Calibri" w:cs="Calibri"/>
          <w:lang w:val="es-419"/>
        </w:rPr>
      </w:pPr>
      <w:r w:rsidRPr="00756410">
        <w:rPr>
          <w:rFonts w:ascii="Calibri" w:hAnsi="Calibri" w:cs="Calibri"/>
          <w:lang w:val="es-419"/>
        </w:rPr>
        <w:t xml:space="preserve">Los administradores son responsables de la configuración y el mantenimiento. </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DB72C3" w:rsidRPr="00773863" w14:paraId="53810E09" w14:textId="77777777" w:rsidTr="24F5DBB9">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DC9BD90" w14:textId="7F19AABF" w:rsidR="00A95453" w:rsidRPr="00756410" w:rsidRDefault="00A95453" w:rsidP="00756410">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 xml:space="preserve">Perfiles de </w:t>
            </w:r>
            <w:r w:rsidR="00912272" w:rsidRPr="00756410">
              <w:rPr>
                <w:rFonts w:eastAsia="Times New Roman" w:cstheme="minorHAnsi"/>
                <w:b/>
                <w:color w:val="FFFFFF" w:themeColor="background1"/>
                <w:kern w:val="0"/>
                <w:sz w:val="20"/>
                <w:szCs w:val="20"/>
                <w:lang w:val="es-419"/>
                <w14:ligatures w14:val="none"/>
              </w:rPr>
              <w:t xml:space="preserve">usuario </w:t>
            </w:r>
            <w:r w:rsidRPr="00756410">
              <w:rPr>
                <w:rFonts w:eastAsia="Times New Roman" w:cstheme="minorHAnsi"/>
                <w:b/>
                <w:color w:val="FFFFFF" w:themeColor="background1"/>
                <w:kern w:val="0"/>
                <w:sz w:val="20"/>
                <w:szCs w:val="20"/>
                <w:lang w:val="es-419"/>
                <w14:ligatures w14:val="none"/>
              </w:rPr>
              <w:t>de RRHH disponibles para que las Oficinas de País los asignen en IDAM</w:t>
            </w:r>
          </w:p>
        </w:tc>
        <w:tc>
          <w:tcPr>
            <w:tcW w:w="4590" w:type="dxa"/>
            <w:tcBorders>
              <w:top w:val="single" w:sz="4" w:space="0" w:color="auto"/>
              <w:left w:val="nil"/>
              <w:bottom w:val="single" w:sz="4" w:space="0" w:color="auto"/>
              <w:right w:val="single" w:sz="4" w:space="0" w:color="auto"/>
            </w:tcBorders>
            <w:shd w:val="clear" w:color="auto" w:fill="0070C0"/>
            <w:vAlign w:val="center"/>
            <w:hideMark/>
          </w:tcPr>
          <w:p w14:paraId="3F7A2A42" w14:textId="77777777" w:rsidR="00A95453" w:rsidRPr="00756410" w:rsidRDefault="00A95453" w:rsidP="00756410">
            <w:pPr>
              <w:spacing w:after="0" w:line="240" w:lineRule="auto"/>
              <w:jc w:val="center"/>
              <w:rPr>
                <w:rFonts w:eastAsia="Times New Roman" w:cstheme="minorHAnsi"/>
                <w:b/>
                <w:bCs/>
                <w:color w:val="FFFFFF" w:themeColor="background1"/>
                <w:kern w:val="0"/>
                <w:sz w:val="20"/>
                <w:szCs w:val="20"/>
                <w:lang w:val="es-419"/>
                <w14:ligatures w14:val="none"/>
              </w:rPr>
            </w:pPr>
            <w:r w:rsidRPr="00756410">
              <w:rPr>
                <w:rFonts w:eastAsia="Times New Roman" w:cstheme="minorHAnsi"/>
                <w:b/>
                <w:bCs/>
                <w:color w:val="FFFFFF" w:themeColor="background1"/>
                <w:kern w:val="0"/>
                <w:sz w:val="20"/>
                <w:szCs w:val="20"/>
                <w:lang w:val="es-419"/>
                <w14:ligatures w14:val="none"/>
              </w:rPr>
              <w:t>Descripción</w:t>
            </w:r>
          </w:p>
        </w:tc>
        <w:tc>
          <w:tcPr>
            <w:tcW w:w="1170" w:type="dxa"/>
            <w:tcBorders>
              <w:top w:val="single" w:sz="4" w:space="0" w:color="auto"/>
              <w:left w:val="nil"/>
              <w:bottom w:val="single" w:sz="4" w:space="0" w:color="auto"/>
              <w:right w:val="single" w:sz="4" w:space="0" w:color="auto"/>
            </w:tcBorders>
            <w:shd w:val="clear" w:color="auto" w:fill="0070C0"/>
            <w:vAlign w:val="center"/>
            <w:hideMark/>
          </w:tcPr>
          <w:p w14:paraId="4CB40403" w14:textId="77777777" w:rsidR="00A95453" w:rsidRPr="00756410" w:rsidRDefault="00A95453" w:rsidP="00912272">
            <w:pPr>
              <w:spacing w:after="0" w:line="240" w:lineRule="auto"/>
              <w:jc w:val="center"/>
              <w:rPr>
                <w:rFonts w:eastAsia="Times New Roman" w:cstheme="minorHAnsi"/>
                <w:b/>
                <w:bCs/>
                <w:color w:val="FFFFFF" w:themeColor="background1"/>
                <w:kern w:val="0"/>
                <w:sz w:val="20"/>
                <w:szCs w:val="20"/>
                <w14:ligatures w14:val="none"/>
              </w:rPr>
            </w:pPr>
            <w:r w:rsidRPr="00756410">
              <w:rPr>
                <w:rFonts w:eastAsia="Times New Roman" w:cstheme="minorHAnsi"/>
                <w:b/>
                <w:bCs/>
                <w:color w:val="FFFFFF" w:themeColor="background1"/>
                <w:kern w:val="0"/>
                <w:sz w:val="20"/>
                <w:szCs w:val="20"/>
                <w14:ligatures w14:val="none"/>
              </w:rPr>
              <w:t>Acceso a la nómina</w:t>
            </w:r>
          </w:p>
        </w:tc>
        <w:tc>
          <w:tcPr>
            <w:tcW w:w="872" w:type="dxa"/>
            <w:tcBorders>
              <w:top w:val="single" w:sz="4" w:space="0" w:color="auto"/>
              <w:left w:val="nil"/>
              <w:bottom w:val="single" w:sz="4" w:space="0" w:color="auto"/>
              <w:right w:val="single" w:sz="4" w:space="0" w:color="auto"/>
            </w:tcBorders>
            <w:shd w:val="clear" w:color="auto" w:fill="0070C0"/>
            <w:vAlign w:val="center"/>
            <w:hideMark/>
          </w:tcPr>
          <w:p w14:paraId="310ABF5B" w14:textId="77777777" w:rsidR="00A95453" w:rsidRPr="00756410" w:rsidRDefault="00A95453" w:rsidP="00912272">
            <w:pPr>
              <w:spacing w:after="0" w:line="240" w:lineRule="auto"/>
              <w:jc w:val="center"/>
              <w:rPr>
                <w:rFonts w:eastAsia="Times New Roman" w:cstheme="minorHAnsi"/>
                <w:b/>
                <w:bCs/>
                <w:color w:val="FFFFFF" w:themeColor="background1"/>
                <w:kern w:val="0"/>
                <w:sz w:val="20"/>
                <w:szCs w:val="20"/>
                <w14:ligatures w14:val="none"/>
              </w:rPr>
            </w:pPr>
            <w:r w:rsidRPr="00756410">
              <w:rPr>
                <w:rFonts w:eastAsia="Times New Roman" w:cstheme="minorHAnsi"/>
                <w:b/>
                <w:bCs/>
                <w:color w:val="FFFFFF" w:themeColor="background1"/>
                <w:kern w:val="0"/>
                <w:sz w:val="20"/>
                <w:szCs w:val="20"/>
                <w14:ligatures w14:val="none"/>
              </w:rPr>
              <w:t>Acceso a PMD</w:t>
            </w:r>
          </w:p>
        </w:tc>
        <w:tc>
          <w:tcPr>
            <w:tcW w:w="1288" w:type="dxa"/>
            <w:tcBorders>
              <w:top w:val="single" w:sz="4" w:space="0" w:color="auto"/>
              <w:left w:val="nil"/>
              <w:bottom w:val="single" w:sz="4" w:space="0" w:color="auto"/>
              <w:right w:val="single" w:sz="4" w:space="0" w:color="auto"/>
            </w:tcBorders>
            <w:shd w:val="clear" w:color="auto" w:fill="0070C0"/>
            <w:vAlign w:val="center"/>
          </w:tcPr>
          <w:p w14:paraId="045BDEDA" w14:textId="77777777" w:rsidR="00A95453" w:rsidRPr="00756410" w:rsidRDefault="00A95453" w:rsidP="00912272">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IDAM permite la asignación a personas que no son del personal</w:t>
            </w:r>
          </w:p>
        </w:tc>
      </w:tr>
      <w:tr w:rsidR="00DB72C3" w:rsidRPr="00A95453" w14:paraId="3DB6106D"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9045BFE" w14:textId="77777777" w:rsidR="00A95453" w:rsidRPr="00756410" w:rsidRDefault="00A95453">
            <w:pPr>
              <w:spacing w:after="0" w:line="240" w:lineRule="auto"/>
              <w:rPr>
                <w:rFonts w:eastAsia="Times New Roman" w:cstheme="minorHAnsi"/>
                <w:b/>
                <w:bCs/>
                <w:kern w:val="0"/>
                <w:sz w:val="20"/>
                <w:szCs w:val="20"/>
                <w:lang w:val="es-419"/>
                <w14:ligatures w14:val="none"/>
              </w:rPr>
            </w:pPr>
            <w:r w:rsidRPr="00756410">
              <w:rPr>
                <w:rFonts w:eastAsia="Times New Roman" w:cstheme="minorHAnsi"/>
                <w:b/>
                <w:bCs/>
                <w:kern w:val="0"/>
                <w:sz w:val="20"/>
                <w:szCs w:val="20"/>
                <w:lang w:val="es-419"/>
                <w14:ligatures w14:val="none"/>
              </w:rPr>
              <w:t>Administración de beneficios</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5749E841" w14:textId="77777777" w:rsidR="00A95453" w:rsidRPr="00756410" w:rsidRDefault="00A95453">
            <w:pPr>
              <w:spacing w:after="0" w:line="240" w:lineRule="auto"/>
              <w:rPr>
                <w:rFonts w:eastAsia="Times New Roman" w:cstheme="minorHAnsi"/>
                <w:b/>
                <w:bCs/>
                <w:kern w:val="0"/>
                <w:sz w:val="20"/>
                <w:szCs w:val="20"/>
                <w:lang w:val="es-419"/>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495FDC4E"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7D937C3E"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1E12438C"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0C9C84A8" w14:textId="77777777" w:rsidTr="24F5DBB9">
        <w:trPr>
          <w:trHeight w:val="20"/>
        </w:trPr>
        <w:tc>
          <w:tcPr>
            <w:tcW w:w="2970" w:type="dxa"/>
            <w:tcBorders>
              <w:top w:val="nil"/>
              <w:left w:val="single" w:sz="4" w:space="0" w:color="auto"/>
              <w:bottom w:val="single" w:sz="4" w:space="0" w:color="auto"/>
              <w:right w:val="single" w:sz="4" w:space="0" w:color="auto"/>
            </w:tcBorders>
          </w:tcPr>
          <w:p w14:paraId="0CA0F2C7"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beneficios - Acceso a datos a nivel de unidad operativa</w:t>
            </w:r>
          </w:p>
        </w:tc>
        <w:tc>
          <w:tcPr>
            <w:tcW w:w="4590" w:type="dxa"/>
            <w:tcBorders>
              <w:top w:val="nil"/>
              <w:left w:val="nil"/>
              <w:bottom w:val="single" w:sz="4" w:space="0" w:color="auto"/>
              <w:right w:val="single" w:sz="4" w:space="0" w:color="auto"/>
            </w:tcBorders>
          </w:tcPr>
          <w:p w14:paraId="158E7338" w14:textId="16B86557" w:rsidR="00A95453" w:rsidRPr="00756410" w:rsidRDefault="658A50F1"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Este rol ayudará a proporcionar acceso transaccional para la inscripción en beneficios de salud y dentales. Este rol es necesario para actualizar las inscripciones.</w:t>
            </w:r>
          </w:p>
        </w:tc>
        <w:tc>
          <w:tcPr>
            <w:tcW w:w="1170" w:type="dxa"/>
            <w:tcBorders>
              <w:top w:val="nil"/>
              <w:left w:val="nil"/>
              <w:bottom w:val="single" w:sz="4" w:space="0" w:color="auto"/>
              <w:right w:val="single" w:sz="4" w:space="0" w:color="auto"/>
            </w:tcBorders>
          </w:tcPr>
          <w:p w14:paraId="14E6E44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78D0C68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C5CBBC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C27124" w:rsidRPr="00773863" w14:paraId="282D02F0" w14:textId="77777777" w:rsidTr="24F5DBB9">
        <w:trPr>
          <w:trHeight w:val="20"/>
        </w:trPr>
        <w:tc>
          <w:tcPr>
            <w:tcW w:w="2970" w:type="dxa"/>
            <w:tcBorders>
              <w:top w:val="nil"/>
              <w:left w:val="single" w:sz="4" w:space="0" w:color="auto"/>
              <w:bottom w:val="single" w:sz="4" w:space="0" w:color="auto"/>
              <w:right w:val="single" w:sz="4" w:space="0" w:color="auto"/>
            </w:tcBorders>
          </w:tcPr>
          <w:p w14:paraId="6B99DFE5" w14:textId="51A78DEC" w:rsidR="00A95453" w:rsidRPr="00756410" w:rsidRDefault="658A50F1"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Gerente de RR</w:t>
            </w:r>
            <w:r w:rsidR="2A1AEDFD" w:rsidRPr="00756410">
              <w:rPr>
                <w:rFonts w:eastAsia="Times New Roman"/>
                <w:kern w:val="0"/>
                <w:sz w:val="20"/>
                <w:szCs w:val="20"/>
                <w:lang w:val="es-419"/>
                <w14:ligatures w14:val="none"/>
              </w:rPr>
              <w:t>.</w:t>
            </w:r>
            <w:r w:rsidRPr="00756410">
              <w:rPr>
                <w:rFonts w:eastAsia="Times New Roman"/>
                <w:kern w:val="0"/>
                <w:sz w:val="20"/>
                <w:szCs w:val="20"/>
                <w:lang w:val="es-419"/>
                <w14:ligatures w14:val="none"/>
              </w:rPr>
              <w:t>HH</w:t>
            </w:r>
            <w:r w:rsidR="7184B965" w:rsidRPr="00756410">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 Contratista de servicios</w:t>
            </w:r>
          </w:p>
        </w:tc>
        <w:tc>
          <w:tcPr>
            <w:tcW w:w="4590" w:type="dxa"/>
            <w:tcBorders>
              <w:top w:val="nil"/>
              <w:left w:val="nil"/>
              <w:bottom w:val="single" w:sz="4" w:space="0" w:color="auto"/>
              <w:right w:val="single" w:sz="4" w:space="0" w:color="auto"/>
            </w:tcBorders>
          </w:tcPr>
          <w:p w14:paraId="4EC67DD4" w14:textId="732249B8" w:rsidR="00A95453" w:rsidRPr="00085DDE" w:rsidRDefault="658A50F1"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Este rol permite al usuario administrar el contrato de servicio como administrador de recursos humanos. Proporciona acceso a las transacciones de RR</w:t>
            </w:r>
            <w:r w:rsidR="7D452074" w:rsidRPr="00085DDE">
              <w:rPr>
                <w:rFonts w:eastAsia="Times New Roman"/>
                <w:kern w:val="0"/>
                <w:sz w:val="20"/>
                <w:szCs w:val="20"/>
                <w:lang w:val="es-419"/>
                <w14:ligatures w14:val="none"/>
              </w:rPr>
              <w:t>.</w:t>
            </w:r>
            <w:r w:rsidRPr="00756410">
              <w:rPr>
                <w:rFonts w:eastAsia="Times New Roman"/>
                <w:kern w:val="0"/>
                <w:sz w:val="20"/>
                <w:szCs w:val="20"/>
                <w:lang w:val="es-419"/>
                <w14:ligatures w14:val="none"/>
              </w:rPr>
              <w:t>HH</w:t>
            </w:r>
            <w:r w:rsidR="68D85C13" w:rsidRPr="00085DDE">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para introducir y actualizar la información del personal sólo para los contratos SC. También proporciona acceso de solo lectura para ver a todos los demás usuarios excepto SC en la unidad operativa.</w:t>
            </w:r>
          </w:p>
        </w:tc>
        <w:tc>
          <w:tcPr>
            <w:tcW w:w="1170" w:type="dxa"/>
            <w:tcBorders>
              <w:top w:val="nil"/>
              <w:left w:val="nil"/>
              <w:bottom w:val="single" w:sz="4" w:space="0" w:color="auto"/>
              <w:right w:val="single" w:sz="4" w:space="0" w:color="auto"/>
            </w:tcBorders>
          </w:tcPr>
          <w:p w14:paraId="744D407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Sí (parcial) </w:t>
            </w:r>
          </w:p>
          <w:p w14:paraId="52AF50B3" w14:textId="77777777" w:rsidR="00A95453" w:rsidRPr="00D2258D" w:rsidRDefault="00A95453">
            <w:pPr>
              <w:spacing w:after="0" w:line="240" w:lineRule="auto"/>
              <w:jc w:val="center"/>
              <w:rPr>
                <w:rFonts w:eastAsia="Times New Roman" w:cstheme="minorHAnsi"/>
                <w:kern w:val="0"/>
                <w:sz w:val="20"/>
                <w:szCs w:val="20"/>
                <w14:ligatures w14:val="none"/>
              </w:rPr>
            </w:pPr>
          </w:p>
        </w:tc>
        <w:tc>
          <w:tcPr>
            <w:tcW w:w="872" w:type="dxa"/>
            <w:tcBorders>
              <w:top w:val="nil"/>
              <w:left w:val="nil"/>
              <w:bottom w:val="single" w:sz="4" w:space="0" w:color="auto"/>
              <w:right w:val="single" w:sz="4" w:space="0" w:color="auto"/>
            </w:tcBorders>
          </w:tcPr>
          <w:p w14:paraId="2AB7CED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8874348" w14:textId="67FCE11A" w:rsidR="00A95453" w:rsidRPr="00756410" w:rsidRDefault="00BF4471">
            <w:pPr>
              <w:spacing w:after="0" w:line="240" w:lineRule="auto"/>
              <w:jc w:val="center"/>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Sí (en vigor a partir del 1 de enero de 2026)</w:t>
            </w:r>
          </w:p>
        </w:tc>
      </w:tr>
      <w:tr w:rsidR="003C2B04" w:rsidRPr="00A95453" w14:paraId="11C8FF2D" w14:textId="77777777" w:rsidTr="24F5DBB9">
        <w:trPr>
          <w:trHeight w:val="20"/>
        </w:trPr>
        <w:tc>
          <w:tcPr>
            <w:tcW w:w="2970" w:type="dxa"/>
            <w:tcBorders>
              <w:top w:val="nil"/>
              <w:left w:val="single" w:sz="4" w:space="0" w:color="auto"/>
              <w:bottom w:val="single" w:sz="4" w:space="0" w:color="auto"/>
              <w:right w:val="single" w:sz="4" w:space="0" w:color="auto"/>
            </w:tcBorders>
          </w:tcPr>
          <w:p w14:paraId="61D68C99"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Gerente de Compensación de las Naciones Unidas - Acceso a los datos a nivel de unidad operativa</w:t>
            </w:r>
          </w:p>
        </w:tc>
        <w:tc>
          <w:tcPr>
            <w:tcW w:w="4590" w:type="dxa"/>
            <w:tcBorders>
              <w:top w:val="nil"/>
              <w:left w:val="nil"/>
              <w:bottom w:val="single" w:sz="4" w:space="0" w:color="auto"/>
              <w:right w:val="single" w:sz="4" w:space="0" w:color="auto"/>
            </w:tcBorders>
          </w:tcPr>
          <w:p w14:paraId="7EDCBA7F" w14:textId="23F51A7E" w:rsidR="00A95453" w:rsidRPr="00756410" w:rsidRDefault="658A50F1"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Este rol deberá ingresar componentes adicionales como </w:t>
            </w:r>
            <w:r w:rsidR="5A267122" w:rsidRPr="00085DDE">
              <w:rPr>
                <w:rFonts w:eastAsia="Times New Roman"/>
                <w:kern w:val="0"/>
                <w:sz w:val="20"/>
                <w:szCs w:val="20"/>
                <w:lang w:val="es-419"/>
                <w14:ligatures w14:val="none"/>
              </w:rPr>
              <w:t xml:space="preserve">prestación </w:t>
            </w:r>
            <w:r w:rsidRPr="00756410">
              <w:rPr>
                <w:rFonts w:eastAsia="Times New Roman"/>
                <w:kern w:val="0"/>
                <w:sz w:val="20"/>
                <w:szCs w:val="20"/>
                <w:lang w:val="es-419"/>
                <w14:ligatures w14:val="none"/>
              </w:rPr>
              <w:t xml:space="preserve">de idioma, </w:t>
            </w:r>
            <w:r w:rsidR="0AF28DD7" w:rsidRPr="00085DDE">
              <w:rPr>
                <w:rFonts w:eastAsia="Times New Roman"/>
                <w:kern w:val="0"/>
                <w:sz w:val="20"/>
                <w:szCs w:val="20"/>
                <w:lang w:val="es-419"/>
                <w14:ligatures w14:val="none"/>
              </w:rPr>
              <w:t>a</w:t>
            </w:r>
            <w:r w:rsidRPr="00756410">
              <w:rPr>
                <w:rFonts w:eastAsia="Times New Roman"/>
                <w:kern w:val="0"/>
                <w:sz w:val="20"/>
                <w:szCs w:val="20"/>
                <w:lang w:val="es-419"/>
                <w14:ligatures w14:val="none"/>
              </w:rPr>
              <w:t xml:space="preserve">sociación de personal, </w:t>
            </w:r>
            <w:r w:rsidR="3B0E7F3F" w:rsidRPr="00085DDE">
              <w:rPr>
                <w:rFonts w:eastAsia="Times New Roman"/>
                <w:kern w:val="0"/>
                <w:sz w:val="20"/>
                <w:szCs w:val="20"/>
                <w:lang w:val="es-419"/>
                <w14:ligatures w14:val="none"/>
              </w:rPr>
              <w:t>s</w:t>
            </w:r>
            <w:r w:rsidRPr="00756410">
              <w:rPr>
                <w:rFonts w:eastAsia="Times New Roman"/>
                <w:kern w:val="0"/>
                <w:sz w:val="20"/>
                <w:szCs w:val="20"/>
                <w:lang w:val="es-419"/>
                <w14:ligatures w14:val="none"/>
              </w:rPr>
              <w:t>olicitudes</w:t>
            </w:r>
            <w:r w:rsidR="0A1195C4" w:rsidRPr="00085DDE">
              <w:rPr>
                <w:rFonts w:eastAsia="Times New Roman"/>
                <w:kern w:val="0"/>
                <w:sz w:val="20"/>
                <w:szCs w:val="20"/>
                <w:lang w:val="es-419"/>
                <w14:ligatures w14:val="none"/>
              </w:rPr>
              <w:t xml:space="preserve"> de </w:t>
            </w:r>
            <w:r w:rsidR="0B5907B9" w:rsidRPr="00085DDE">
              <w:rPr>
                <w:rFonts w:eastAsia="Times New Roman"/>
                <w:kern w:val="0"/>
                <w:sz w:val="20"/>
                <w:szCs w:val="20"/>
                <w:lang w:val="es-419"/>
                <w14:ligatures w14:val="none"/>
              </w:rPr>
              <w:t>personal</w:t>
            </w:r>
            <w:r w:rsidR="0A1195C4" w:rsidRPr="00085DDE">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anticipadas y otras inscripciones opcionales.</w:t>
            </w:r>
          </w:p>
        </w:tc>
        <w:tc>
          <w:tcPr>
            <w:tcW w:w="1170" w:type="dxa"/>
            <w:tcBorders>
              <w:top w:val="nil"/>
              <w:left w:val="nil"/>
              <w:bottom w:val="single" w:sz="4" w:space="0" w:color="auto"/>
              <w:right w:val="single" w:sz="4" w:space="0" w:color="auto"/>
            </w:tcBorders>
          </w:tcPr>
          <w:p w14:paraId="74EB90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0C02FF2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A030AF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2438CE70" w14:textId="77777777" w:rsidTr="24F5DBB9">
        <w:trPr>
          <w:trHeight w:val="20"/>
        </w:trPr>
        <w:tc>
          <w:tcPr>
            <w:tcW w:w="2970" w:type="dxa"/>
            <w:tcBorders>
              <w:top w:val="nil"/>
              <w:left w:val="single" w:sz="4" w:space="0" w:color="auto"/>
              <w:bottom w:val="single" w:sz="4" w:space="0" w:color="auto"/>
              <w:right w:val="single" w:sz="4" w:space="0" w:color="auto"/>
            </w:tcBorders>
          </w:tcPr>
          <w:p w14:paraId="66F21978"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Oficial certificador de subsidios de alquiler - Acceso a datos a nivel de unidad operativa</w:t>
            </w:r>
          </w:p>
        </w:tc>
        <w:tc>
          <w:tcPr>
            <w:tcW w:w="4590" w:type="dxa"/>
            <w:tcBorders>
              <w:top w:val="nil"/>
              <w:left w:val="nil"/>
              <w:bottom w:val="single" w:sz="4" w:space="0" w:color="auto"/>
              <w:right w:val="single" w:sz="4" w:space="0" w:color="auto"/>
            </w:tcBorders>
          </w:tcPr>
          <w:p w14:paraId="70C7EC4E" w14:textId="0D060AA0" w:rsidR="00A95453" w:rsidRPr="00756410" w:rsidRDefault="658A50F1" w:rsidP="24F5DBB9">
            <w:pPr>
              <w:spacing w:after="0" w:line="240" w:lineRule="auto"/>
              <w:rPr>
                <w:rFonts w:eastAsia="Times New Roman"/>
                <w:kern w:val="0"/>
                <w:sz w:val="20"/>
                <w:szCs w:val="20"/>
                <w:lang w:val="es-ES"/>
                <w14:ligatures w14:val="none"/>
              </w:rPr>
            </w:pPr>
            <w:r w:rsidRPr="00756410">
              <w:rPr>
                <w:rFonts w:eastAsia="Times New Roman"/>
                <w:kern w:val="0"/>
                <w:sz w:val="20"/>
                <w:szCs w:val="20"/>
                <w:lang w:val="es-ES"/>
                <w14:ligatures w14:val="none"/>
              </w:rPr>
              <w:t xml:space="preserve">Rol de Oficial Certificador de Subsidios de Alquiler por </w:t>
            </w:r>
            <w:r w:rsidR="0E390B09" w:rsidRPr="24F5DBB9">
              <w:rPr>
                <w:rFonts w:eastAsia="Times New Roman"/>
                <w:kern w:val="0"/>
                <w:sz w:val="20"/>
                <w:szCs w:val="20"/>
                <w:lang w:val="es-ES"/>
                <w14:ligatures w14:val="none"/>
              </w:rPr>
              <w:t>j</w:t>
            </w:r>
            <w:r w:rsidRPr="00756410">
              <w:rPr>
                <w:rFonts w:eastAsia="Times New Roman"/>
                <w:kern w:val="0"/>
                <w:sz w:val="20"/>
                <w:szCs w:val="20"/>
                <w:lang w:val="es-ES"/>
                <w14:ligatures w14:val="none"/>
              </w:rPr>
              <w:t>erarquía de OU/Departamento</w:t>
            </w:r>
          </w:p>
        </w:tc>
        <w:tc>
          <w:tcPr>
            <w:tcW w:w="1170" w:type="dxa"/>
            <w:tcBorders>
              <w:top w:val="nil"/>
              <w:left w:val="nil"/>
              <w:bottom w:val="single" w:sz="4" w:space="0" w:color="auto"/>
              <w:right w:val="single" w:sz="4" w:space="0" w:color="auto"/>
            </w:tcBorders>
          </w:tcPr>
          <w:p w14:paraId="40C152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390E8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92F3CB4" w14:textId="4B5F7213"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No</w:t>
            </w:r>
          </w:p>
        </w:tc>
      </w:tr>
      <w:tr w:rsidR="003C2B04" w:rsidRPr="00A95453" w14:paraId="21D8A939" w14:textId="77777777" w:rsidTr="24F5DBB9">
        <w:trPr>
          <w:trHeight w:val="20"/>
        </w:trPr>
        <w:tc>
          <w:tcPr>
            <w:tcW w:w="2970" w:type="dxa"/>
            <w:tcBorders>
              <w:top w:val="nil"/>
              <w:left w:val="single" w:sz="4" w:space="0" w:color="auto"/>
              <w:bottom w:val="single" w:sz="4" w:space="0" w:color="auto"/>
              <w:right w:val="single" w:sz="4" w:space="0" w:color="auto"/>
            </w:tcBorders>
          </w:tcPr>
          <w:p w14:paraId="32545AB5"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Revisor avanzado del personal - Acceso a datos a nivel de unidad operativa</w:t>
            </w:r>
          </w:p>
        </w:tc>
        <w:tc>
          <w:tcPr>
            <w:tcW w:w="4590" w:type="dxa"/>
            <w:tcBorders>
              <w:top w:val="nil"/>
              <w:left w:val="nil"/>
              <w:bottom w:val="single" w:sz="4" w:space="0" w:color="auto"/>
              <w:right w:val="single" w:sz="4" w:space="0" w:color="auto"/>
            </w:tcBorders>
          </w:tcPr>
          <w:p w14:paraId="6928982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Revisor avanzado del personal por jerarquía de OU / Departamento. Para obtener más información, consulte SOP </w:t>
            </w:r>
            <w:hyperlink r:id="rId194" w:history="1">
              <w:r w:rsidRPr="00756410">
                <w:rPr>
                  <w:rStyle w:val="Hyperlink"/>
                  <w:rFonts w:eastAsia="Times New Roman" w:cstheme="minorHAnsi"/>
                  <w:color w:val="auto"/>
                  <w:kern w:val="0"/>
                  <w:sz w:val="20"/>
                  <w:szCs w:val="20"/>
                  <w:lang w:val="es-419"/>
                  <w14:ligatures w14:val="none"/>
                </w:rPr>
                <w:t>sobre anticipos salariales</w:t>
              </w:r>
            </w:hyperlink>
            <w:r w:rsidRPr="00756410">
              <w:rPr>
                <w:rFonts w:eastAsia="Times New Roman" w:cstheme="minorHAnsi"/>
                <w:kern w:val="0"/>
                <w:sz w:val="20"/>
                <w:szCs w:val="20"/>
                <w:lang w:val="es-419"/>
                <w14:ligatures w14:val="none"/>
              </w:rPr>
              <w:t xml:space="preserve">. </w:t>
            </w:r>
          </w:p>
        </w:tc>
        <w:tc>
          <w:tcPr>
            <w:tcW w:w="1170" w:type="dxa"/>
            <w:tcBorders>
              <w:top w:val="nil"/>
              <w:left w:val="nil"/>
              <w:bottom w:val="single" w:sz="4" w:space="0" w:color="auto"/>
              <w:right w:val="single" w:sz="4" w:space="0" w:color="auto"/>
            </w:tcBorders>
          </w:tcPr>
          <w:p w14:paraId="5563396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A9D5D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21A310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7A7FE796" w14:textId="77777777" w:rsidTr="24F5DBB9">
        <w:trPr>
          <w:trHeight w:val="20"/>
        </w:trPr>
        <w:tc>
          <w:tcPr>
            <w:tcW w:w="2970" w:type="dxa"/>
            <w:tcBorders>
              <w:top w:val="nil"/>
              <w:left w:val="single" w:sz="4" w:space="0" w:color="auto"/>
              <w:bottom w:val="single" w:sz="4" w:space="0" w:color="auto"/>
              <w:right w:val="single" w:sz="4" w:space="0" w:color="auto"/>
            </w:tcBorders>
          </w:tcPr>
          <w:p w14:paraId="0FE0BFF5"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Avance del Personal - Acceso a Datos a Nivel de Unidad Operativa</w:t>
            </w:r>
          </w:p>
        </w:tc>
        <w:tc>
          <w:tcPr>
            <w:tcW w:w="4590" w:type="dxa"/>
            <w:tcBorders>
              <w:top w:val="nil"/>
              <w:left w:val="nil"/>
              <w:bottom w:val="single" w:sz="4" w:space="0" w:color="auto"/>
              <w:right w:val="single" w:sz="4" w:space="0" w:color="auto"/>
            </w:tcBorders>
          </w:tcPr>
          <w:p w14:paraId="3C30E21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Aprobador de anticipos de personal por jerarquía de OU / Departamento. Para obtener más información, consulte SOP </w:t>
            </w:r>
            <w:hyperlink r:id="rId195" w:history="1">
              <w:r w:rsidRPr="00756410">
                <w:rPr>
                  <w:rStyle w:val="Hyperlink"/>
                  <w:rFonts w:eastAsia="Times New Roman" w:cstheme="minorHAnsi"/>
                  <w:color w:val="auto"/>
                  <w:kern w:val="0"/>
                  <w:sz w:val="20"/>
                  <w:szCs w:val="20"/>
                  <w:lang w:val="es-419"/>
                  <w14:ligatures w14:val="none"/>
                </w:rPr>
                <w:t>sobre anticipos salariales</w:t>
              </w:r>
            </w:hyperlink>
            <w:r w:rsidRPr="00756410">
              <w:rPr>
                <w:rFonts w:eastAsia="Times New Roman" w:cstheme="minorHAnsi"/>
                <w:kern w:val="0"/>
                <w:sz w:val="20"/>
                <w:szCs w:val="20"/>
                <w:lang w:val="es-419"/>
                <w14:ligatures w14:val="none"/>
              </w:rPr>
              <w:t>.</w:t>
            </w:r>
          </w:p>
        </w:tc>
        <w:tc>
          <w:tcPr>
            <w:tcW w:w="1170" w:type="dxa"/>
            <w:tcBorders>
              <w:top w:val="nil"/>
              <w:left w:val="nil"/>
              <w:bottom w:val="single" w:sz="4" w:space="0" w:color="auto"/>
              <w:right w:val="single" w:sz="4" w:space="0" w:color="auto"/>
            </w:tcBorders>
          </w:tcPr>
          <w:p w14:paraId="3A5E35C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B42716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F047E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7087A736" w14:textId="77777777" w:rsidTr="24F5DBB9">
        <w:trPr>
          <w:trHeight w:val="20"/>
        </w:trPr>
        <w:tc>
          <w:tcPr>
            <w:tcW w:w="2970" w:type="dxa"/>
            <w:tcBorders>
              <w:top w:val="nil"/>
              <w:left w:val="single" w:sz="4" w:space="0" w:color="auto"/>
              <w:bottom w:val="single" w:sz="4" w:space="0" w:color="auto"/>
              <w:right w:val="single" w:sz="4" w:space="0" w:color="auto"/>
            </w:tcBorders>
          </w:tcPr>
          <w:p w14:paraId="17E4632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Monitor de Licencias - Nivel de Unidad Operativa PNUD</w:t>
            </w:r>
          </w:p>
        </w:tc>
        <w:tc>
          <w:tcPr>
            <w:tcW w:w="4590" w:type="dxa"/>
            <w:tcBorders>
              <w:top w:val="nil"/>
              <w:left w:val="nil"/>
              <w:bottom w:val="single" w:sz="4" w:space="0" w:color="auto"/>
              <w:right w:val="single" w:sz="4" w:space="0" w:color="auto"/>
            </w:tcBorders>
          </w:tcPr>
          <w:p w14:paraId="2FBC73CF" w14:textId="0E0B1B35" w:rsidR="00A95453" w:rsidRPr="00756410" w:rsidRDefault="634CF809" w:rsidP="24F5DBB9">
            <w:pPr>
              <w:spacing w:after="0" w:line="240" w:lineRule="auto"/>
              <w:rPr>
                <w:rFonts w:eastAsia="Times New Roman"/>
                <w:kern w:val="0"/>
                <w:sz w:val="20"/>
                <w:szCs w:val="20"/>
                <w:lang w:val="es-419"/>
                <w14:ligatures w14:val="none"/>
              </w:rPr>
            </w:pPr>
            <w:r w:rsidRPr="24F5DBB9">
              <w:rPr>
                <w:rFonts w:eastAsia="Times New Roman"/>
                <w:kern w:val="0"/>
                <w:sz w:val="20"/>
                <w:szCs w:val="20"/>
                <w:lang w:val="es-419"/>
                <w14:ligatures w14:val="none"/>
              </w:rPr>
              <w:t xml:space="preserve">Acceso </w:t>
            </w:r>
            <w:r w:rsidR="658A50F1" w:rsidRPr="00756410">
              <w:rPr>
                <w:rFonts w:eastAsia="Times New Roman"/>
                <w:kern w:val="0"/>
                <w:sz w:val="20"/>
                <w:szCs w:val="20"/>
                <w:lang w:val="es-419"/>
                <w14:ligatures w14:val="none"/>
              </w:rPr>
              <w:t xml:space="preserve"> a las actualizaciones </w:t>
            </w:r>
            <w:r w:rsidR="2C28AF00" w:rsidRPr="24F5DBB9">
              <w:rPr>
                <w:rFonts w:eastAsia="Times New Roman"/>
                <w:kern w:val="0"/>
                <w:sz w:val="20"/>
                <w:szCs w:val="20"/>
                <w:lang w:val="es-419"/>
                <w14:ligatures w14:val="none"/>
              </w:rPr>
              <w:t xml:space="preserve">de </w:t>
            </w:r>
            <w:r w:rsidR="658A50F1" w:rsidRPr="00756410">
              <w:rPr>
                <w:rFonts w:eastAsia="Times New Roman"/>
                <w:kern w:val="0"/>
                <w:sz w:val="20"/>
                <w:szCs w:val="20"/>
                <w:lang w:val="es-419"/>
                <w14:ligatures w14:val="none"/>
              </w:rPr>
              <w:t>saldos</w:t>
            </w:r>
            <w:r w:rsidR="4A17C7CE" w:rsidRPr="24F5DBB9">
              <w:rPr>
                <w:rFonts w:eastAsia="Times New Roman"/>
                <w:kern w:val="0"/>
                <w:sz w:val="20"/>
                <w:szCs w:val="20"/>
                <w:lang w:val="es-419"/>
                <w14:ligatures w14:val="none"/>
              </w:rPr>
              <w:t xml:space="preserve"> de licencia</w:t>
            </w:r>
            <w:r w:rsidR="658A50F1" w:rsidRPr="00756410">
              <w:rPr>
                <w:rFonts w:eastAsia="Times New Roman"/>
                <w:kern w:val="0"/>
                <w:sz w:val="20"/>
                <w:szCs w:val="20"/>
                <w:lang w:val="es-419"/>
                <w14:ligatures w14:val="none"/>
              </w:rPr>
              <w:t xml:space="preserve"> dentro de una unidad operativa en particular.</w:t>
            </w:r>
          </w:p>
        </w:tc>
        <w:tc>
          <w:tcPr>
            <w:tcW w:w="1170" w:type="dxa"/>
            <w:tcBorders>
              <w:top w:val="nil"/>
              <w:left w:val="nil"/>
              <w:bottom w:val="single" w:sz="4" w:space="0" w:color="auto"/>
              <w:right w:val="single" w:sz="4" w:space="0" w:color="auto"/>
            </w:tcBorders>
          </w:tcPr>
          <w:p w14:paraId="6BB39F3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64F00B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7E5A8BF"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3C2B04" w:rsidRPr="00A95453" w14:paraId="65E92C96"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1F26BE2D"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Usuario de la herramienta de validación de nómina - Nivel de unidad operativa </w:t>
            </w:r>
          </w:p>
        </w:tc>
        <w:tc>
          <w:tcPr>
            <w:tcW w:w="4590" w:type="dxa"/>
            <w:tcBorders>
              <w:top w:val="nil"/>
              <w:left w:val="nil"/>
              <w:bottom w:val="single" w:sz="4" w:space="0" w:color="auto"/>
              <w:right w:val="single" w:sz="4" w:space="0" w:color="auto"/>
            </w:tcBorders>
            <w:hideMark/>
          </w:tcPr>
          <w:p w14:paraId="2C5A8C0E" w14:textId="6170D58D"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 xml:space="preserve">Permita que el usuario acceda a las páginas de validación de nómina y flujo de trabajo en la herramienta de validación de nómina. Este rol solo está disponible para BMS/GSSC y </w:t>
            </w:r>
            <w:r w:rsidR="0062733C" w:rsidRPr="3937432E">
              <w:rPr>
                <w:sz w:val="20"/>
                <w:szCs w:val="20"/>
                <w:lang w:val="es-419"/>
              </w:rPr>
              <w:t>unidades de la sede fuera de Nueva York</w:t>
            </w:r>
            <w:r w:rsidR="007445B4">
              <w:rPr>
                <w:rFonts w:eastAsia="Times New Roman" w:cstheme="minorHAnsi"/>
                <w:kern w:val="0"/>
                <w:sz w:val="20"/>
                <w:szCs w:val="20"/>
                <w:lang w:val="es-419"/>
                <w14:ligatures w14:val="none"/>
              </w:rPr>
              <w:t xml:space="preserve"> (“</w:t>
            </w:r>
            <w:r w:rsidR="007445B4" w:rsidRPr="00756410">
              <w:rPr>
                <w:rFonts w:eastAsia="Times New Roman" w:cstheme="minorHAnsi"/>
                <w:i/>
                <w:iCs/>
                <w:kern w:val="0"/>
                <w:sz w:val="20"/>
                <w:szCs w:val="20"/>
                <w:lang w:val="es-419"/>
                <w14:ligatures w14:val="none"/>
              </w:rPr>
              <w:t>Outposted HQ locations</w:t>
            </w:r>
            <w:r w:rsidR="007445B4">
              <w:rPr>
                <w:rFonts w:eastAsia="Times New Roman" w:cstheme="minorHAnsi"/>
                <w:kern w:val="0"/>
                <w:sz w:val="20"/>
                <w:szCs w:val="20"/>
                <w:lang w:val="es-419"/>
                <w14:ligatures w14:val="none"/>
              </w:rPr>
              <w:t>”)</w:t>
            </w:r>
            <w:r w:rsidRPr="00756410">
              <w:rPr>
                <w:rFonts w:eastAsia="Times New Roman" w:cstheme="minorHAnsi"/>
                <w:kern w:val="0"/>
                <w:sz w:val="20"/>
                <w:szCs w:val="20"/>
                <w:lang w:val="es-419"/>
                <w14:ligatures w14:val="none"/>
              </w:rPr>
              <w:t>.</w:t>
            </w:r>
          </w:p>
        </w:tc>
        <w:tc>
          <w:tcPr>
            <w:tcW w:w="1170" w:type="dxa"/>
            <w:tcBorders>
              <w:top w:val="nil"/>
              <w:left w:val="nil"/>
              <w:bottom w:val="single" w:sz="4" w:space="0" w:color="auto"/>
              <w:right w:val="single" w:sz="4" w:space="0" w:color="auto"/>
            </w:tcBorders>
            <w:hideMark/>
          </w:tcPr>
          <w:p w14:paraId="28BBC86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c>
          <w:tcPr>
            <w:tcW w:w="872" w:type="dxa"/>
            <w:tcBorders>
              <w:top w:val="nil"/>
              <w:left w:val="nil"/>
              <w:bottom w:val="single" w:sz="4" w:space="0" w:color="auto"/>
              <w:right w:val="single" w:sz="4" w:space="0" w:color="auto"/>
            </w:tcBorders>
            <w:hideMark/>
          </w:tcPr>
          <w:p w14:paraId="4704170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02F4017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32CDDF52" w14:textId="77777777" w:rsidTr="24F5DBB9">
        <w:trPr>
          <w:trHeight w:val="20"/>
        </w:trPr>
        <w:tc>
          <w:tcPr>
            <w:tcW w:w="2970" w:type="dxa"/>
            <w:tcBorders>
              <w:top w:val="nil"/>
              <w:left w:val="single" w:sz="4" w:space="0" w:color="auto"/>
              <w:bottom w:val="single" w:sz="4" w:space="0" w:color="auto"/>
              <w:right w:val="single" w:sz="4" w:space="0" w:color="auto"/>
            </w:tcBorders>
          </w:tcPr>
          <w:p w14:paraId="3D60681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lastRenderedPageBreak/>
              <w:t>Perfil de descarga de UFF de la ONU</w:t>
            </w:r>
          </w:p>
        </w:tc>
        <w:tc>
          <w:tcPr>
            <w:tcW w:w="4590" w:type="dxa"/>
            <w:tcBorders>
              <w:top w:val="nil"/>
              <w:left w:val="nil"/>
              <w:bottom w:val="single" w:sz="4" w:space="0" w:color="auto"/>
              <w:right w:val="single" w:sz="4" w:space="0" w:color="auto"/>
            </w:tcBorders>
          </w:tcPr>
          <w:p w14:paraId="3685EC8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Acceso a la descarga de archivos UFF</w:t>
            </w:r>
          </w:p>
        </w:tc>
        <w:tc>
          <w:tcPr>
            <w:tcW w:w="1170" w:type="dxa"/>
            <w:tcBorders>
              <w:top w:val="nil"/>
              <w:left w:val="nil"/>
              <w:bottom w:val="single" w:sz="4" w:space="0" w:color="auto"/>
              <w:right w:val="single" w:sz="4" w:space="0" w:color="auto"/>
            </w:tcBorders>
          </w:tcPr>
          <w:p w14:paraId="4AD0F840"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D081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316F550" w14:textId="4CF18102"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Sí, solo PSA</w:t>
            </w:r>
          </w:p>
        </w:tc>
      </w:tr>
      <w:tr w:rsidR="00DB72C3" w:rsidRPr="00A95453" w14:paraId="27A886FD"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EFD1DCA" w14:textId="110FFB96"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Administración de puestos</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6F6C8F6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2C6EF30"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14D2CCE5"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60B3977"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061F38A2"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074F5C06"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puestos - Acceso a datos a nivel de unidad operativa</w:t>
            </w:r>
          </w:p>
        </w:tc>
        <w:tc>
          <w:tcPr>
            <w:tcW w:w="4590" w:type="dxa"/>
            <w:tcBorders>
              <w:top w:val="nil"/>
              <w:left w:val="nil"/>
              <w:bottom w:val="single" w:sz="4" w:space="0" w:color="auto"/>
              <w:right w:val="single" w:sz="4" w:space="0" w:color="auto"/>
            </w:tcBorders>
            <w:hideMark/>
          </w:tcPr>
          <w:p w14:paraId="0A8A09EE" w14:textId="40BD6E0B" w:rsidR="00A95453" w:rsidRPr="00756410" w:rsidRDefault="00A95453">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Acceso para crear y actualizar puestos por </w:t>
            </w:r>
            <w:r w:rsidR="4EE73A2A" w:rsidRPr="54925B76">
              <w:rPr>
                <w:rFonts w:eastAsia="Times New Roman"/>
                <w:kern w:val="0"/>
                <w:sz w:val="20"/>
                <w:szCs w:val="20"/>
                <w:lang w:val="es-419"/>
                <w14:ligatures w14:val="none"/>
              </w:rPr>
              <w:t>j</w:t>
            </w:r>
            <w:r w:rsidRPr="00756410">
              <w:rPr>
                <w:rFonts w:eastAsia="Times New Roman"/>
                <w:kern w:val="0"/>
                <w:sz w:val="20"/>
                <w:szCs w:val="20"/>
                <w:lang w:val="es-419"/>
                <w14:ligatures w14:val="none"/>
              </w:rPr>
              <w:t>erarquía de Unidad/Departamento Operativo</w:t>
            </w:r>
          </w:p>
        </w:tc>
        <w:tc>
          <w:tcPr>
            <w:tcW w:w="1170" w:type="dxa"/>
            <w:tcBorders>
              <w:top w:val="nil"/>
              <w:left w:val="nil"/>
              <w:bottom w:val="single" w:sz="4" w:space="0" w:color="auto"/>
              <w:right w:val="single" w:sz="4" w:space="0" w:color="auto"/>
            </w:tcBorders>
            <w:hideMark/>
          </w:tcPr>
          <w:p w14:paraId="6CABA85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1065998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24C07397" w14:textId="5EA16A30"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Sí</w:t>
            </w:r>
          </w:p>
        </w:tc>
      </w:tr>
      <w:tr w:rsidR="003C2B04" w:rsidRPr="00A95453" w14:paraId="76EC3FF0" w14:textId="77777777" w:rsidTr="24F5DBB9">
        <w:trPr>
          <w:trHeight w:val="20"/>
        </w:trPr>
        <w:tc>
          <w:tcPr>
            <w:tcW w:w="2970" w:type="dxa"/>
            <w:tcBorders>
              <w:top w:val="nil"/>
              <w:left w:val="single" w:sz="4" w:space="0" w:color="auto"/>
              <w:bottom w:val="single" w:sz="4" w:space="0" w:color="auto"/>
              <w:right w:val="single" w:sz="4" w:space="0" w:color="auto"/>
            </w:tcBorders>
          </w:tcPr>
          <w:p w14:paraId="76CC4AFB" w14:textId="48920EB9" w:rsidR="00A95453" w:rsidRPr="00756410" w:rsidRDefault="658A50F1" w:rsidP="24F5DBB9">
            <w:pPr>
              <w:spacing w:after="0" w:line="240" w:lineRule="auto"/>
              <w:rPr>
                <w:rFonts w:eastAsia="Times New Roman"/>
                <w:kern w:val="0"/>
                <w:sz w:val="20"/>
                <w:szCs w:val="20"/>
                <w:lang w:val="es-ES"/>
                <w14:ligatures w14:val="none"/>
              </w:rPr>
            </w:pPr>
            <w:r w:rsidRPr="00756410">
              <w:rPr>
                <w:rFonts w:eastAsia="Times New Roman"/>
                <w:kern w:val="0"/>
                <w:sz w:val="20"/>
                <w:szCs w:val="20"/>
                <w:lang w:val="es-ES"/>
                <w14:ligatures w14:val="none"/>
              </w:rPr>
              <w:t>Aprobador de puestos Gerente de RR</w:t>
            </w:r>
            <w:r w:rsidR="1EEE0108"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HH</w:t>
            </w:r>
            <w:r w:rsidR="74821DEE"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 xml:space="preserve"> por departamento</w:t>
            </w:r>
          </w:p>
        </w:tc>
        <w:tc>
          <w:tcPr>
            <w:tcW w:w="4590" w:type="dxa"/>
            <w:tcBorders>
              <w:top w:val="nil"/>
              <w:left w:val="nil"/>
              <w:bottom w:val="single" w:sz="4" w:space="0" w:color="auto"/>
              <w:right w:val="single" w:sz="4" w:space="0" w:color="auto"/>
            </w:tcBorders>
          </w:tcPr>
          <w:p w14:paraId="16657EDD" w14:textId="3E338472"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Para colegas en departamentos/</w:t>
            </w:r>
            <w:r w:rsidR="00DB0F51" w:rsidRPr="00DB0F51">
              <w:rPr>
                <w:rFonts w:eastAsia="Times New Roman" w:cstheme="minorHAnsi"/>
                <w:kern w:val="0"/>
                <w:sz w:val="20"/>
                <w:szCs w:val="20"/>
                <w:lang w:val="es-419"/>
                <w14:ligatures w14:val="none"/>
              </w:rPr>
              <w:t>oficina de país</w:t>
            </w:r>
            <w:r w:rsidRPr="00756410">
              <w:rPr>
                <w:rFonts w:eastAsia="Times New Roman" w:cstheme="minorHAnsi"/>
                <w:kern w:val="0"/>
                <w:sz w:val="20"/>
                <w:szCs w:val="20"/>
                <w:lang w:val="es-419"/>
                <w14:ligatures w14:val="none"/>
              </w:rPr>
              <w:t xml:space="preserve"> que actúan como la primera línea de revisores para cualquier solicitud de puesto. Para obtener más información, consulte </w:t>
            </w:r>
            <w:hyperlink r:id="rId196" w:history="1">
              <w:r w:rsidRPr="00756410">
                <w:rPr>
                  <w:rStyle w:val="Hyperlink"/>
                  <w:rFonts w:eastAsia="Times New Roman" w:cstheme="minorHAnsi"/>
                  <w:color w:val="auto"/>
                  <w:kern w:val="0"/>
                  <w:sz w:val="20"/>
                  <w:szCs w:val="20"/>
                  <w:lang w:val="es-419"/>
                  <w14:ligatures w14:val="none"/>
                </w:rPr>
                <w:t>el artículo de conocimiento de UNall</w:t>
              </w:r>
            </w:hyperlink>
            <w:r w:rsidRPr="00756410">
              <w:rPr>
                <w:rFonts w:eastAsia="Times New Roman" w:cstheme="minorHAnsi"/>
                <w:kern w:val="0"/>
                <w:sz w:val="20"/>
                <w:szCs w:val="20"/>
                <w:lang w:val="es-419"/>
                <w14:ligatures w14:val="none"/>
              </w:rPr>
              <w:t>.</w:t>
            </w:r>
          </w:p>
        </w:tc>
        <w:tc>
          <w:tcPr>
            <w:tcW w:w="1170" w:type="dxa"/>
            <w:tcBorders>
              <w:top w:val="nil"/>
              <w:left w:val="nil"/>
              <w:bottom w:val="single" w:sz="4" w:space="0" w:color="auto"/>
              <w:right w:val="single" w:sz="4" w:space="0" w:color="auto"/>
            </w:tcBorders>
          </w:tcPr>
          <w:p w14:paraId="4EC0AB8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081C3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D30DF1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3C2B04" w:rsidRPr="00A95453" w14:paraId="318AEB9B"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605DC34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puestos Revisor de presupuesto por departamento</w:t>
            </w:r>
          </w:p>
        </w:tc>
        <w:tc>
          <w:tcPr>
            <w:tcW w:w="4590" w:type="dxa"/>
            <w:tcBorders>
              <w:top w:val="nil"/>
              <w:left w:val="nil"/>
              <w:bottom w:val="single" w:sz="4" w:space="0" w:color="auto"/>
              <w:right w:val="single" w:sz="4" w:space="0" w:color="auto"/>
            </w:tcBorders>
            <w:hideMark/>
          </w:tcPr>
          <w:p w14:paraId="081AA7E9" w14:textId="77777777" w:rsidR="00A95453" w:rsidRPr="00756410" w:rsidRDefault="00A95453"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Para los colegas de finanzas responsables de determinar si hay fondos adecuados disponibles para la solicitud de puesto en un departamento o una oficina en el país. Para obtener más información, consulte </w:t>
            </w:r>
            <w:hyperlink r:id="rId197" w:history="1">
              <w:r w:rsidRPr="00756410">
                <w:rPr>
                  <w:rStyle w:val="Hyperlink"/>
                  <w:rFonts w:eastAsia="Times New Roman"/>
                  <w:color w:val="auto"/>
                  <w:kern w:val="0"/>
                  <w:sz w:val="20"/>
                  <w:szCs w:val="20"/>
                  <w:lang w:val="es-419"/>
                  <w14:ligatures w14:val="none"/>
                </w:rPr>
                <w:t>el artículo de conocimiento de UNall</w:t>
              </w:r>
            </w:hyperlink>
            <w:r w:rsidRPr="00756410">
              <w:rPr>
                <w:rFonts w:eastAsia="Times New Roman"/>
                <w:kern w:val="0"/>
                <w:sz w:val="20"/>
                <w:szCs w:val="20"/>
                <w:lang w:val="es-419"/>
                <w14:ligatures w14:val="none"/>
              </w:rPr>
              <w:t>.</w:t>
            </w:r>
          </w:p>
          <w:p w14:paraId="01A852F1" w14:textId="77777777" w:rsidR="00A95453" w:rsidRPr="00756410" w:rsidRDefault="00A95453">
            <w:pPr>
              <w:spacing w:after="0" w:line="240" w:lineRule="auto"/>
              <w:rPr>
                <w:rFonts w:eastAsia="Times New Roman" w:cstheme="minorHAnsi"/>
                <w:kern w:val="0"/>
                <w:sz w:val="20"/>
                <w:szCs w:val="20"/>
                <w:lang w:val="es-419"/>
                <w14:ligatures w14:val="none"/>
              </w:rPr>
            </w:pPr>
          </w:p>
        </w:tc>
        <w:tc>
          <w:tcPr>
            <w:tcW w:w="1170" w:type="dxa"/>
            <w:tcBorders>
              <w:top w:val="nil"/>
              <w:left w:val="nil"/>
              <w:bottom w:val="single" w:sz="4" w:space="0" w:color="auto"/>
              <w:right w:val="single" w:sz="4" w:space="0" w:color="auto"/>
            </w:tcBorders>
            <w:hideMark/>
          </w:tcPr>
          <w:p w14:paraId="31828AF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781B08E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030F74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3C2B04" w:rsidRPr="00A95453" w14:paraId="38E36BBF"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397D7579"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puestos Jefe de oficina</w:t>
            </w:r>
          </w:p>
        </w:tc>
        <w:tc>
          <w:tcPr>
            <w:tcW w:w="4590" w:type="dxa"/>
            <w:tcBorders>
              <w:top w:val="nil"/>
              <w:left w:val="nil"/>
              <w:bottom w:val="single" w:sz="4" w:space="0" w:color="auto"/>
              <w:right w:val="single" w:sz="4" w:space="0" w:color="auto"/>
            </w:tcBorders>
            <w:hideMark/>
          </w:tcPr>
          <w:p w14:paraId="1D106678" w14:textId="4287B894" w:rsidR="00A95453" w:rsidRPr="00756410" w:rsidRDefault="658A50F1"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Para los delegados de RR/RR</w:t>
            </w:r>
            <w:r w:rsidR="270C3A76" w:rsidRPr="00083EC4">
              <w:rPr>
                <w:rFonts w:eastAsia="Times New Roman"/>
                <w:kern w:val="0"/>
                <w:sz w:val="20"/>
                <w:szCs w:val="20"/>
                <w:lang w:val="es-419"/>
                <w14:ligatures w14:val="none"/>
              </w:rPr>
              <w:t>D</w:t>
            </w:r>
            <w:r w:rsidRPr="00756410">
              <w:rPr>
                <w:rFonts w:eastAsia="Times New Roman"/>
                <w:kern w:val="0"/>
                <w:sz w:val="20"/>
                <w:szCs w:val="20"/>
                <w:lang w:val="es-419"/>
                <w14:ligatures w14:val="none"/>
              </w:rPr>
              <w:t xml:space="preserve">/Jefes de oficina o Jefes de oficina </w:t>
            </w:r>
            <w:r w:rsidR="78672B50" w:rsidRPr="00083EC4">
              <w:rPr>
                <w:rFonts w:eastAsia="Times New Roman"/>
                <w:kern w:val="0"/>
                <w:sz w:val="20"/>
                <w:szCs w:val="20"/>
                <w:lang w:val="es-419"/>
                <w14:ligatures w14:val="none"/>
              </w:rPr>
              <w:t xml:space="preserve">delegados </w:t>
            </w:r>
            <w:r w:rsidRPr="00756410">
              <w:rPr>
                <w:rFonts w:eastAsia="Times New Roman"/>
                <w:kern w:val="0"/>
                <w:sz w:val="20"/>
                <w:szCs w:val="20"/>
                <w:lang w:val="es-419"/>
                <w14:ligatures w14:val="none"/>
              </w:rPr>
              <w:t>que confirmen la solicitud de un puesto en sus respectivos departamentos/O</w:t>
            </w:r>
            <w:r w:rsidR="6696FFD4" w:rsidRPr="00083EC4">
              <w:rPr>
                <w:rFonts w:eastAsia="Times New Roman"/>
                <w:kern w:val="0"/>
                <w:sz w:val="20"/>
                <w:szCs w:val="20"/>
                <w:lang w:val="es-419"/>
                <w14:ligatures w14:val="none"/>
              </w:rPr>
              <w:t>P</w:t>
            </w:r>
            <w:r w:rsidRPr="00756410">
              <w:rPr>
                <w:rFonts w:eastAsia="Times New Roman"/>
                <w:kern w:val="0"/>
                <w:sz w:val="20"/>
                <w:szCs w:val="20"/>
                <w:lang w:val="es-419"/>
                <w14:ligatures w14:val="none"/>
              </w:rPr>
              <w:t xml:space="preserve">. Para obtener más información, consulte </w:t>
            </w:r>
            <w:hyperlink r:id="rId198" w:history="1">
              <w:r w:rsidRPr="00756410">
                <w:rPr>
                  <w:rStyle w:val="Hyperlink"/>
                  <w:rFonts w:eastAsia="Times New Roman"/>
                  <w:color w:val="auto"/>
                  <w:kern w:val="0"/>
                  <w:sz w:val="20"/>
                  <w:szCs w:val="20"/>
                  <w:lang w:val="es-419"/>
                  <w14:ligatures w14:val="none"/>
                </w:rPr>
                <w:t>el artículo de conocimiento de UNall</w:t>
              </w:r>
            </w:hyperlink>
            <w:r w:rsidRPr="00756410">
              <w:rPr>
                <w:rFonts w:eastAsia="Times New Roman"/>
                <w:kern w:val="0"/>
                <w:sz w:val="20"/>
                <w:szCs w:val="20"/>
                <w:lang w:val="es-419"/>
                <w14:ligatures w14:val="none"/>
              </w:rPr>
              <w:t>.</w:t>
            </w:r>
          </w:p>
          <w:p w14:paraId="1937D653" w14:textId="77777777" w:rsidR="00A95453" w:rsidRPr="00756410" w:rsidRDefault="00A95453">
            <w:pPr>
              <w:spacing w:after="0" w:line="240" w:lineRule="auto"/>
              <w:rPr>
                <w:rFonts w:eastAsia="Times New Roman" w:cstheme="minorHAnsi"/>
                <w:kern w:val="0"/>
                <w:sz w:val="20"/>
                <w:szCs w:val="20"/>
                <w:lang w:val="es-419"/>
                <w14:ligatures w14:val="none"/>
              </w:rPr>
            </w:pPr>
          </w:p>
        </w:tc>
        <w:tc>
          <w:tcPr>
            <w:tcW w:w="1170" w:type="dxa"/>
            <w:tcBorders>
              <w:top w:val="nil"/>
              <w:left w:val="nil"/>
              <w:bottom w:val="single" w:sz="4" w:space="0" w:color="auto"/>
              <w:right w:val="single" w:sz="4" w:space="0" w:color="auto"/>
            </w:tcBorders>
            <w:hideMark/>
          </w:tcPr>
          <w:p w14:paraId="0E25E1A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E4DAF2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545914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3C2B04" w:rsidRPr="00A95453" w14:paraId="5840184A" w14:textId="77777777" w:rsidTr="24F5DBB9">
        <w:trPr>
          <w:trHeight w:val="20"/>
        </w:trPr>
        <w:tc>
          <w:tcPr>
            <w:tcW w:w="2970" w:type="dxa"/>
            <w:tcBorders>
              <w:top w:val="nil"/>
              <w:left w:val="single" w:sz="4" w:space="0" w:color="auto"/>
              <w:bottom w:val="single" w:sz="4" w:space="0" w:color="auto"/>
              <w:right w:val="single" w:sz="4" w:space="0" w:color="auto"/>
            </w:tcBorders>
          </w:tcPr>
          <w:p w14:paraId="07A94A25" w14:textId="77777777" w:rsidR="00A95453" w:rsidRPr="00756410" w:rsidRDefault="00A95453">
            <w:pPr>
              <w:spacing w:after="0" w:line="240" w:lineRule="auto"/>
              <w:rPr>
                <w:rFonts w:eastAsia="Times New Roman" w:cstheme="minorHAnsi"/>
                <w:kern w:val="0"/>
                <w:sz w:val="20"/>
                <w:szCs w:val="20"/>
                <w:lang w:val="es-ES"/>
                <w14:ligatures w14:val="none"/>
              </w:rPr>
            </w:pPr>
            <w:r w:rsidRPr="00756410">
              <w:rPr>
                <w:rFonts w:eastAsia="Times New Roman" w:cstheme="minorHAnsi"/>
                <w:kern w:val="0"/>
                <w:sz w:val="20"/>
                <w:szCs w:val="20"/>
                <w:lang w:val="es-ES"/>
                <w14:ligatures w14:val="none"/>
              </w:rPr>
              <w:t>Administrador de Cronograma Laboral - Nivel Unidad Operativa PNUD</w:t>
            </w:r>
          </w:p>
        </w:tc>
        <w:tc>
          <w:tcPr>
            <w:tcW w:w="4590" w:type="dxa"/>
            <w:tcBorders>
              <w:top w:val="nil"/>
              <w:left w:val="nil"/>
              <w:bottom w:val="single" w:sz="4" w:space="0" w:color="auto"/>
              <w:right w:val="single" w:sz="4" w:space="0" w:color="auto"/>
            </w:tcBorders>
          </w:tcPr>
          <w:p w14:paraId="048E130F" w14:textId="10036DC0" w:rsidR="00A95453" w:rsidRPr="00756410" w:rsidRDefault="658A50F1"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Este es un rol discrecional aprovisionado a los usuarios finales según sea necesario con el fin de administrar los horarios laborales para las personas que pertenecen a los departamentos designados. Los horarios de trabajo se definen para distribuir el esfuerzo </w:t>
            </w:r>
            <w:r w:rsidR="3408422C" w:rsidRPr="24F5DBB9">
              <w:rPr>
                <w:rFonts w:eastAsia="Times New Roman"/>
                <w:kern w:val="0"/>
                <w:sz w:val="20"/>
                <w:szCs w:val="20"/>
                <w:lang w:val="es-419"/>
                <w14:ligatures w14:val="none"/>
              </w:rPr>
              <w:t xml:space="preserve">que </w:t>
            </w:r>
            <w:r w:rsidRPr="00756410">
              <w:rPr>
                <w:rFonts w:eastAsia="Times New Roman"/>
                <w:kern w:val="0"/>
                <w:sz w:val="20"/>
                <w:szCs w:val="20"/>
                <w:lang w:val="es-419"/>
                <w14:ligatures w14:val="none"/>
              </w:rPr>
              <w:t>una persona</w:t>
            </w:r>
            <w:r w:rsidR="21B25D4A" w:rsidRPr="24F5DBB9">
              <w:rPr>
                <w:rFonts w:eastAsia="Times New Roman"/>
                <w:kern w:val="0"/>
                <w:sz w:val="20"/>
                <w:szCs w:val="20"/>
                <w:lang w:val="es-419"/>
                <w14:ligatures w14:val="none"/>
              </w:rPr>
              <w:t xml:space="preserve"> pone en el</w:t>
            </w:r>
            <w:r w:rsidR="06B00D37" w:rsidRPr="24F5DBB9">
              <w:rPr>
                <w:rFonts w:eastAsia="Times New Roman"/>
                <w:kern w:val="0"/>
                <w:sz w:val="20"/>
                <w:szCs w:val="20"/>
                <w:lang w:val="es-419"/>
                <w14:ligatures w14:val="none"/>
              </w:rPr>
              <w:t xml:space="preserve"> </w:t>
            </w:r>
            <w:r w:rsidR="2CC3C156" w:rsidRPr="24F5DBB9">
              <w:rPr>
                <w:rFonts w:eastAsia="Times New Roman"/>
                <w:kern w:val="0"/>
                <w:sz w:val="20"/>
                <w:szCs w:val="20"/>
                <w:lang w:val="es-419"/>
                <w14:ligatures w14:val="none"/>
              </w:rPr>
              <w:t>t</w:t>
            </w:r>
            <w:r w:rsidR="1EB4C1C7" w:rsidRPr="24F5DBB9">
              <w:rPr>
                <w:rFonts w:eastAsia="Times New Roman"/>
                <w:kern w:val="0"/>
                <w:sz w:val="20"/>
                <w:szCs w:val="20"/>
                <w:lang w:val="es-419"/>
                <w14:ligatures w14:val="none"/>
              </w:rPr>
              <w:t xml:space="preserve">rabajo relacionado con un proyecto o </w:t>
            </w:r>
            <w:r w:rsidR="566C0B62" w:rsidRPr="24F5DBB9">
              <w:rPr>
                <w:rFonts w:eastAsia="Times New Roman"/>
                <w:kern w:val="0"/>
                <w:sz w:val="20"/>
                <w:szCs w:val="20"/>
                <w:lang w:val="es-419"/>
                <w14:ligatures w14:val="none"/>
              </w:rPr>
              <w:t xml:space="preserve">trabajo </w:t>
            </w:r>
            <w:r w:rsidR="1EB4C1C7" w:rsidRPr="24F5DBB9">
              <w:rPr>
                <w:rFonts w:eastAsia="Times New Roman"/>
                <w:kern w:val="0"/>
                <w:sz w:val="20"/>
                <w:szCs w:val="20"/>
                <w:lang w:val="es-419"/>
                <w14:ligatures w14:val="none"/>
              </w:rPr>
              <w:t>no</w:t>
            </w:r>
            <w:r w:rsidR="757042EF" w:rsidRPr="24F5DBB9">
              <w:rPr>
                <w:rFonts w:eastAsia="Times New Roman"/>
                <w:kern w:val="0"/>
                <w:sz w:val="20"/>
                <w:szCs w:val="20"/>
                <w:lang w:val="es-419"/>
                <w14:ligatures w14:val="none"/>
              </w:rPr>
              <w:t xml:space="preserve"> relacionado con proyecto</w:t>
            </w:r>
            <w:r w:rsidR="1EB4C1C7" w:rsidRPr="24F5DBB9">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 xml:space="preserve"> durante una duración específica. Este rol tendrá acceso a la jerarquía del departamento del PNUD.</w:t>
            </w:r>
          </w:p>
        </w:tc>
        <w:tc>
          <w:tcPr>
            <w:tcW w:w="1170" w:type="dxa"/>
            <w:tcBorders>
              <w:top w:val="nil"/>
              <w:left w:val="nil"/>
              <w:bottom w:val="single" w:sz="4" w:space="0" w:color="auto"/>
              <w:right w:val="single" w:sz="4" w:space="0" w:color="auto"/>
            </w:tcBorders>
          </w:tcPr>
          <w:p w14:paraId="597DE0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2C5E9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3A3682A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DB72C3" w:rsidRPr="00A95453" w14:paraId="58A049D4"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2DF0A8E0"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Reclutamiento</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048B52A0"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6FED6EE8"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02C4AF9F"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4E922B9F"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2086E0E4"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183D3D68" w14:textId="77777777" w:rsidR="00A95453" w:rsidRPr="00D2258D" w:rsidRDefault="00A95453">
            <w:pPr>
              <w:spacing w:after="0" w:line="240" w:lineRule="auto"/>
              <w:rPr>
                <w:rFonts w:eastAsia="Times New Roman"/>
                <w:kern w:val="0"/>
                <w:sz w:val="20"/>
                <w:szCs w:val="20"/>
                <w14:ligatures w14:val="none"/>
              </w:rPr>
            </w:pPr>
            <w:r w:rsidRPr="00D2258D">
              <w:rPr>
                <w:rFonts w:eastAsia="Times New Roman"/>
                <w:kern w:val="0"/>
                <w:sz w:val="20"/>
                <w:szCs w:val="20"/>
                <w14:ligatures w14:val="none"/>
              </w:rPr>
              <w:t>Reclutador PNUD</w:t>
            </w:r>
          </w:p>
        </w:tc>
        <w:tc>
          <w:tcPr>
            <w:tcW w:w="4590" w:type="dxa"/>
            <w:tcBorders>
              <w:top w:val="nil"/>
              <w:left w:val="nil"/>
              <w:bottom w:val="single" w:sz="4" w:space="0" w:color="auto"/>
              <w:right w:val="single" w:sz="4" w:space="0" w:color="auto"/>
            </w:tcBorders>
            <w:hideMark/>
          </w:tcPr>
          <w:p w14:paraId="2FD61E1C" w14:textId="77777777" w:rsidR="00A95453" w:rsidRPr="00083EC4"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Persona que apoya el proceso de reclutamiento buscando y evaluando candidatos potenciales. También gestiona los sitios de contratación y las ofertas de empleo para los datos relacionados con la Organización del PNUD</w:t>
            </w:r>
          </w:p>
        </w:tc>
        <w:tc>
          <w:tcPr>
            <w:tcW w:w="1170" w:type="dxa"/>
            <w:tcBorders>
              <w:top w:val="nil"/>
              <w:left w:val="nil"/>
              <w:bottom w:val="single" w:sz="4" w:space="0" w:color="auto"/>
              <w:right w:val="single" w:sz="4" w:space="0" w:color="auto"/>
            </w:tcBorders>
            <w:hideMark/>
          </w:tcPr>
          <w:p w14:paraId="6C7E6F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4989DC0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8CAA0C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DB72C3" w:rsidRPr="00A95453" w14:paraId="388F22C2"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716E4233"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Aprendizaje, Desarrollo, PMD</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2DEE8149"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1E29095"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5BD16D6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0C5F215A"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3A19DC13" w14:textId="77777777" w:rsidTr="24F5DBB9">
        <w:trPr>
          <w:trHeight w:val="20"/>
        </w:trPr>
        <w:tc>
          <w:tcPr>
            <w:tcW w:w="2970" w:type="dxa"/>
            <w:tcBorders>
              <w:top w:val="nil"/>
              <w:left w:val="single" w:sz="4" w:space="0" w:color="auto"/>
              <w:bottom w:val="single" w:sz="4" w:space="0" w:color="auto"/>
              <w:right w:val="single" w:sz="4" w:space="0" w:color="auto"/>
            </w:tcBorders>
          </w:tcPr>
          <w:p w14:paraId="663534A1"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PMD Focal Point - Acceso a datos a nivel de unidad operativa</w:t>
            </w:r>
          </w:p>
        </w:tc>
        <w:tc>
          <w:tcPr>
            <w:tcW w:w="4590" w:type="dxa"/>
            <w:tcBorders>
              <w:top w:val="nil"/>
              <w:left w:val="nil"/>
              <w:bottom w:val="single" w:sz="4" w:space="0" w:color="auto"/>
              <w:right w:val="single" w:sz="4" w:space="0" w:color="auto"/>
            </w:tcBorders>
          </w:tcPr>
          <w:p w14:paraId="2231019F"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Ver documento de rendimiento, crear documento de rendimiento (para TMRG), cambiar las fechas de vencimiento del documento de rendimiento, imprimir documento de rendimiento - Nivel de unidad operativa</w:t>
            </w:r>
          </w:p>
        </w:tc>
        <w:tc>
          <w:tcPr>
            <w:tcW w:w="1170" w:type="dxa"/>
            <w:tcBorders>
              <w:top w:val="nil"/>
              <w:left w:val="nil"/>
              <w:bottom w:val="single" w:sz="4" w:space="0" w:color="auto"/>
              <w:right w:val="single" w:sz="4" w:space="0" w:color="auto"/>
            </w:tcBorders>
          </w:tcPr>
          <w:p w14:paraId="4D17F14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2A8FF35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c>
          <w:tcPr>
            <w:tcW w:w="1288" w:type="dxa"/>
            <w:tcBorders>
              <w:top w:val="nil"/>
              <w:left w:val="nil"/>
              <w:bottom w:val="single" w:sz="4" w:space="0" w:color="auto"/>
              <w:right w:val="single" w:sz="4" w:space="0" w:color="auto"/>
            </w:tcBorders>
          </w:tcPr>
          <w:p w14:paraId="6F76C2B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3C2B04" w:rsidRPr="00A95453" w14:paraId="34426D40"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0D1C91DB"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Gerente de Desarrollo de Talentos - Nivel de Unidad Operativa PNUD</w:t>
            </w:r>
          </w:p>
        </w:tc>
        <w:tc>
          <w:tcPr>
            <w:tcW w:w="4590" w:type="dxa"/>
            <w:tcBorders>
              <w:top w:val="nil"/>
              <w:left w:val="nil"/>
              <w:bottom w:val="single" w:sz="4" w:space="0" w:color="auto"/>
              <w:right w:val="single" w:sz="4" w:space="0" w:color="auto"/>
            </w:tcBorders>
            <w:hideMark/>
          </w:tcPr>
          <w:p w14:paraId="1C1446F1"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Permite el acceso para ejecutar múltiples trabajos de ESS de informes de aprendizaje por departamento:</w:t>
            </w:r>
          </w:p>
          <w:p w14:paraId="50F250DC"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lastRenderedPageBreak/>
              <w:t>Informe de usuarios activos inactivos de la ONU</w:t>
            </w:r>
          </w:p>
          <w:p w14:paraId="7B14E26F"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Informe de competencias del curso de la ONU</w:t>
            </w:r>
          </w:p>
          <w:p w14:paraId="6B3FA658"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Informe de utilización de cursos de la ONU</w:t>
            </w:r>
          </w:p>
          <w:p w14:paraId="03DD7F13" w14:textId="77777777" w:rsidR="00A95453" w:rsidRPr="00756410" w:rsidRDefault="00A95453">
            <w:pPr>
              <w:pStyle w:val="ListParagraph"/>
              <w:numPr>
                <w:ilvl w:val="0"/>
                <w:numId w:val="31"/>
              </w:num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Informe de estado del curso obligatorio de la ONU</w:t>
            </w:r>
          </w:p>
        </w:tc>
        <w:tc>
          <w:tcPr>
            <w:tcW w:w="1170" w:type="dxa"/>
            <w:tcBorders>
              <w:top w:val="nil"/>
              <w:left w:val="nil"/>
              <w:bottom w:val="single" w:sz="4" w:space="0" w:color="auto"/>
              <w:right w:val="single" w:sz="4" w:space="0" w:color="auto"/>
            </w:tcBorders>
            <w:hideMark/>
          </w:tcPr>
          <w:p w14:paraId="6360AE2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lastRenderedPageBreak/>
              <w:t>No</w:t>
            </w:r>
          </w:p>
        </w:tc>
        <w:tc>
          <w:tcPr>
            <w:tcW w:w="872" w:type="dxa"/>
            <w:tcBorders>
              <w:top w:val="nil"/>
              <w:left w:val="nil"/>
              <w:bottom w:val="single" w:sz="4" w:space="0" w:color="auto"/>
              <w:right w:val="single" w:sz="4" w:space="0" w:color="auto"/>
            </w:tcBorders>
            <w:hideMark/>
          </w:tcPr>
          <w:p w14:paraId="0F06EFFC"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8313EC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3C2B04" w:rsidRPr="00A95453" w14:paraId="103C67D7" w14:textId="77777777" w:rsidTr="24F5DBB9">
        <w:trPr>
          <w:trHeight w:val="20"/>
        </w:trPr>
        <w:tc>
          <w:tcPr>
            <w:tcW w:w="2970" w:type="dxa"/>
            <w:tcBorders>
              <w:top w:val="nil"/>
              <w:left w:val="single" w:sz="4" w:space="0" w:color="auto"/>
              <w:bottom w:val="single" w:sz="4" w:space="0" w:color="auto"/>
              <w:right w:val="single" w:sz="4" w:space="0" w:color="auto"/>
            </w:tcBorders>
            <w:hideMark/>
          </w:tcPr>
          <w:p w14:paraId="73660DFC"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Revisión de Talentos - Nivel de Unidad Operativa PNUD</w:t>
            </w:r>
          </w:p>
        </w:tc>
        <w:tc>
          <w:tcPr>
            <w:tcW w:w="4590" w:type="dxa"/>
            <w:tcBorders>
              <w:top w:val="nil"/>
              <w:left w:val="nil"/>
              <w:bottom w:val="single" w:sz="4" w:space="0" w:color="auto"/>
              <w:right w:val="single" w:sz="4" w:space="0" w:color="auto"/>
            </w:tcBorders>
            <w:hideMark/>
          </w:tcPr>
          <w:p w14:paraId="2D335F4E"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Perfil de administrador de revisión de talentos con acceso al departamento y nodos a continuación. Permite configurar y ejecutar una reunión de revisión de talentos</w:t>
            </w:r>
          </w:p>
        </w:tc>
        <w:tc>
          <w:tcPr>
            <w:tcW w:w="1170" w:type="dxa"/>
            <w:tcBorders>
              <w:top w:val="nil"/>
              <w:left w:val="nil"/>
              <w:bottom w:val="single" w:sz="4" w:space="0" w:color="auto"/>
              <w:right w:val="single" w:sz="4" w:space="0" w:color="auto"/>
            </w:tcBorders>
            <w:hideMark/>
          </w:tcPr>
          <w:p w14:paraId="26DBF66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F88705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04A5F7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DB72C3" w:rsidRPr="00A95453" w14:paraId="38A84B88" w14:textId="77777777" w:rsidTr="24F5DBB9">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78686B42"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Roles de solo lectura</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58E7C01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4DC1B2D6"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1AF68C3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F6DF6F7" w14:textId="77777777" w:rsidR="00A95453" w:rsidRPr="00D2258D" w:rsidRDefault="00A95453">
            <w:pPr>
              <w:spacing w:after="0" w:line="240" w:lineRule="auto"/>
              <w:rPr>
                <w:rFonts w:eastAsia="Times New Roman" w:cstheme="minorHAnsi"/>
                <w:b/>
                <w:bCs/>
                <w:kern w:val="0"/>
                <w:sz w:val="20"/>
                <w:szCs w:val="20"/>
                <w14:ligatures w14:val="none"/>
              </w:rPr>
            </w:pPr>
          </w:p>
        </w:tc>
      </w:tr>
      <w:tr w:rsidR="003C2B04" w:rsidRPr="00A95453" w14:paraId="092A0A82" w14:textId="77777777" w:rsidTr="24F5DBB9">
        <w:trPr>
          <w:trHeight w:val="20"/>
        </w:trPr>
        <w:tc>
          <w:tcPr>
            <w:tcW w:w="2970" w:type="dxa"/>
            <w:tcBorders>
              <w:top w:val="nil"/>
              <w:left w:val="single" w:sz="4" w:space="0" w:color="auto"/>
              <w:bottom w:val="single" w:sz="4" w:space="0" w:color="auto"/>
              <w:right w:val="single" w:sz="4" w:space="0" w:color="auto"/>
            </w:tcBorders>
          </w:tcPr>
          <w:p w14:paraId="2B66662B" w14:textId="1A3145AF" w:rsidR="00A95453" w:rsidRPr="00756410" w:rsidRDefault="658A50F1" w:rsidP="24F5DBB9">
            <w:pPr>
              <w:spacing w:after="0" w:line="240" w:lineRule="auto"/>
              <w:rPr>
                <w:rFonts w:eastAsia="Times New Roman"/>
                <w:kern w:val="0"/>
                <w:sz w:val="20"/>
                <w:szCs w:val="20"/>
                <w:lang w:val="es-ES"/>
                <w14:ligatures w14:val="none"/>
              </w:rPr>
            </w:pPr>
            <w:r w:rsidRPr="00756410">
              <w:rPr>
                <w:rFonts w:eastAsia="Times New Roman"/>
                <w:kern w:val="0"/>
                <w:sz w:val="20"/>
                <w:szCs w:val="20"/>
                <w:lang w:val="es-ES"/>
                <w14:ligatures w14:val="none"/>
              </w:rPr>
              <w:t>Analista de RR</w:t>
            </w:r>
            <w:r w:rsidR="158C743C"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HH</w:t>
            </w:r>
            <w:r w:rsidR="0B9DB520" w:rsidRPr="24F5DBB9">
              <w:rPr>
                <w:rFonts w:eastAsia="Times New Roman"/>
                <w:kern w:val="0"/>
                <w:sz w:val="20"/>
                <w:szCs w:val="20"/>
                <w:lang w:val="es-ES"/>
                <w14:ligatures w14:val="none"/>
              </w:rPr>
              <w:t>.</w:t>
            </w:r>
            <w:r w:rsidRPr="00756410">
              <w:rPr>
                <w:rFonts w:eastAsia="Times New Roman"/>
                <w:kern w:val="0"/>
                <w:sz w:val="20"/>
                <w:szCs w:val="20"/>
                <w:lang w:val="es-ES"/>
                <w14:ligatures w14:val="none"/>
              </w:rPr>
              <w:t xml:space="preserve"> - Contratista de servicios</w:t>
            </w:r>
          </w:p>
        </w:tc>
        <w:tc>
          <w:tcPr>
            <w:tcW w:w="4590" w:type="dxa"/>
            <w:tcBorders>
              <w:top w:val="nil"/>
              <w:left w:val="nil"/>
              <w:bottom w:val="single" w:sz="4" w:space="0" w:color="auto"/>
              <w:right w:val="single" w:sz="4" w:space="0" w:color="auto"/>
            </w:tcBorders>
          </w:tcPr>
          <w:p w14:paraId="444DE7D2" w14:textId="6E961AFD" w:rsidR="00A95453" w:rsidRPr="005B20E7" w:rsidRDefault="658A50F1" w:rsidP="24F5DBB9">
            <w:pPr>
              <w:spacing w:after="0" w:line="240" w:lineRule="auto"/>
              <w:rPr>
                <w:rFonts w:eastAsia="Times New Roman"/>
                <w:kern w:val="0"/>
                <w:sz w:val="20"/>
                <w:szCs w:val="20"/>
                <w:lang w:val="es-419"/>
                <w14:ligatures w14:val="none"/>
              </w:rPr>
            </w:pPr>
            <w:r w:rsidRPr="24F5DBB9">
              <w:rPr>
                <w:rFonts w:eastAsia="Times New Roman"/>
                <w:kern w:val="0"/>
                <w:sz w:val="20"/>
                <w:szCs w:val="20"/>
                <w:lang w:val="es-419"/>
                <w14:ligatures w14:val="none"/>
              </w:rPr>
              <w:t xml:space="preserve">Este rol es un rol de solo lectura que permitirá al usuario revisar los datos que se han ingresado en el registro de asignación de un miembro del personal para la unidad operativa. El acceso incluye el acceso de solo </w:t>
            </w:r>
            <w:r w:rsidR="50EA9E19" w:rsidRPr="24F5DBB9">
              <w:rPr>
                <w:rFonts w:eastAsia="Times New Roman"/>
                <w:kern w:val="0"/>
                <w:sz w:val="20"/>
                <w:szCs w:val="20"/>
                <w:lang w:val="es-419"/>
                <w14:ligatures w14:val="none"/>
              </w:rPr>
              <w:t xml:space="preserve">visualización </w:t>
            </w:r>
            <w:r w:rsidRPr="24F5DBB9">
              <w:rPr>
                <w:rFonts w:eastAsia="Times New Roman"/>
                <w:kern w:val="0"/>
                <w:sz w:val="20"/>
                <w:szCs w:val="20"/>
                <w:lang w:val="es-419"/>
                <w14:ligatures w14:val="none"/>
              </w:rPr>
              <w:t>a los titulares de contratos SC en el UNFPA y UNW también.</w:t>
            </w:r>
          </w:p>
        </w:tc>
        <w:tc>
          <w:tcPr>
            <w:tcW w:w="1170" w:type="dxa"/>
            <w:tcBorders>
              <w:top w:val="nil"/>
              <w:left w:val="nil"/>
              <w:bottom w:val="single" w:sz="4" w:space="0" w:color="auto"/>
              <w:right w:val="single" w:sz="4" w:space="0" w:color="auto"/>
            </w:tcBorders>
          </w:tcPr>
          <w:p w14:paraId="0FD530A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p w14:paraId="00B7E07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(solo lectura)</w:t>
            </w:r>
          </w:p>
        </w:tc>
        <w:tc>
          <w:tcPr>
            <w:tcW w:w="872" w:type="dxa"/>
            <w:tcBorders>
              <w:top w:val="nil"/>
              <w:left w:val="nil"/>
              <w:bottom w:val="single" w:sz="4" w:space="0" w:color="auto"/>
              <w:right w:val="single" w:sz="4" w:space="0" w:color="auto"/>
            </w:tcBorders>
          </w:tcPr>
          <w:p w14:paraId="292BFE3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7C55A6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3C2B04" w:rsidRPr="00A95453" w14:paraId="6E8D0583" w14:textId="77777777" w:rsidTr="24F5DBB9">
        <w:trPr>
          <w:trHeight w:val="20"/>
        </w:trPr>
        <w:tc>
          <w:tcPr>
            <w:tcW w:w="2970" w:type="dxa"/>
            <w:tcBorders>
              <w:top w:val="nil"/>
              <w:left w:val="single" w:sz="4" w:space="0" w:color="auto"/>
              <w:bottom w:val="single" w:sz="4" w:space="0" w:color="auto"/>
              <w:right w:val="single" w:sz="4" w:space="0" w:color="auto"/>
            </w:tcBorders>
          </w:tcPr>
          <w:p w14:paraId="2CE1DA55"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Analista de recursos humanos (solo lectura) - Acceso a datos a nivel de unidad operativa PNUD</w:t>
            </w:r>
          </w:p>
        </w:tc>
        <w:tc>
          <w:tcPr>
            <w:tcW w:w="4590" w:type="dxa"/>
            <w:tcBorders>
              <w:top w:val="nil"/>
              <w:left w:val="nil"/>
              <w:bottom w:val="single" w:sz="4" w:space="0" w:color="auto"/>
              <w:right w:val="single" w:sz="4" w:space="0" w:color="auto"/>
            </w:tcBorders>
          </w:tcPr>
          <w:p w14:paraId="6F81BA71" w14:textId="77777777" w:rsidR="00A95453" w:rsidRPr="00756410" w:rsidRDefault="00A95453">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Este rol es un rol de solo lectura que permitirá al usuario revisar los datos que se han ingresado en el registro de asignación de un miembro del personal para la unidad operativa.</w:t>
            </w:r>
          </w:p>
        </w:tc>
        <w:tc>
          <w:tcPr>
            <w:tcW w:w="1170" w:type="dxa"/>
            <w:tcBorders>
              <w:top w:val="nil"/>
              <w:left w:val="nil"/>
              <w:bottom w:val="single" w:sz="4" w:space="0" w:color="auto"/>
              <w:right w:val="single" w:sz="4" w:space="0" w:color="auto"/>
            </w:tcBorders>
          </w:tcPr>
          <w:p w14:paraId="5EDA752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p w14:paraId="7DCD313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(solo lectura)</w:t>
            </w:r>
          </w:p>
        </w:tc>
        <w:tc>
          <w:tcPr>
            <w:tcW w:w="872" w:type="dxa"/>
            <w:tcBorders>
              <w:top w:val="nil"/>
              <w:left w:val="nil"/>
              <w:bottom w:val="single" w:sz="4" w:space="0" w:color="auto"/>
              <w:right w:val="single" w:sz="4" w:space="0" w:color="auto"/>
            </w:tcBorders>
          </w:tcPr>
          <w:p w14:paraId="43E5A88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C7E263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501DC4" w:rsidRPr="00A95453" w14:paraId="16547276"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33196442"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Informes de HCM</w:t>
            </w:r>
          </w:p>
        </w:tc>
        <w:tc>
          <w:tcPr>
            <w:tcW w:w="4590" w:type="dxa"/>
            <w:tcBorders>
              <w:top w:val="single" w:sz="4" w:space="0" w:color="auto"/>
              <w:left w:val="nil"/>
              <w:bottom w:val="single" w:sz="4" w:space="0" w:color="auto"/>
              <w:right w:val="single" w:sz="4" w:space="0" w:color="auto"/>
            </w:tcBorders>
          </w:tcPr>
          <w:p w14:paraId="70280094" w14:textId="77777777" w:rsidR="00A95453" w:rsidRPr="00756410" w:rsidRDefault="00A95453">
            <w:pPr>
              <w:spacing w:after="0" w:line="240" w:lineRule="auto"/>
              <w:rPr>
                <w:rFonts w:eastAsia="Times New Roman" w:cstheme="minorHAnsi"/>
                <w:kern w:val="0"/>
                <w:sz w:val="20"/>
                <w:szCs w:val="20"/>
                <w:lang w:val="es-ES"/>
                <w14:ligatures w14:val="none"/>
              </w:rPr>
            </w:pPr>
            <w:r w:rsidRPr="00756410">
              <w:rPr>
                <w:rFonts w:eastAsia="Times New Roman" w:cstheme="minorHAnsi"/>
                <w:kern w:val="0"/>
                <w:sz w:val="20"/>
                <w:szCs w:val="20"/>
                <w:lang w:val="es-ES"/>
                <w14:ligatures w14:val="none"/>
              </w:rPr>
              <w:t>Acceso a informes de HCM</w:t>
            </w:r>
          </w:p>
        </w:tc>
        <w:tc>
          <w:tcPr>
            <w:tcW w:w="1170" w:type="dxa"/>
            <w:tcBorders>
              <w:top w:val="single" w:sz="4" w:space="0" w:color="auto"/>
              <w:left w:val="nil"/>
              <w:bottom w:val="single" w:sz="4" w:space="0" w:color="auto"/>
              <w:right w:val="single" w:sz="4" w:space="0" w:color="auto"/>
            </w:tcBorders>
          </w:tcPr>
          <w:p w14:paraId="49AB2E5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471DB41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5993CE0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bl>
    <w:p w14:paraId="1EBC330A" w14:textId="77777777" w:rsidR="00BF1DC4" w:rsidRDefault="00BF1DC4" w:rsidP="00BF1DC4">
      <w:pPr>
        <w:ind w:left="-450"/>
      </w:pPr>
    </w:p>
    <w:p w14:paraId="25284AEB" w14:textId="2CA2FC3B" w:rsidR="00DD14E7" w:rsidRPr="00756410" w:rsidRDefault="00BF1DC4" w:rsidP="00BF1DC4">
      <w:pPr>
        <w:ind w:left="-450"/>
        <w:rPr>
          <w:lang w:val="es-419"/>
        </w:rPr>
      </w:pPr>
      <w:r w:rsidRPr="00756410">
        <w:rPr>
          <w:lang w:val="es-419"/>
        </w:rPr>
        <w:t>Además de lo anterior, también se pueden asignar oficinas/unidades de la sede (incluidas las oficinas de representación):</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5D6B59" w:rsidRPr="00773863" w14:paraId="73881CAC" w14:textId="77777777" w:rsidTr="24F5DBB9">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vAlign w:val="center"/>
          </w:tcPr>
          <w:p w14:paraId="51EFA727" w14:textId="0F965D9D" w:rsidR="00DD14E7" w:rsidRPr="00756410" w:rsidRDefault="00DD14E7" w:rsidP="00756410">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 xml:space="preserve">Perfiles de </w:t>
            </w:r>
            <w:r w:rsidR="00912272" w:rsidRPr="00756410">
              <w:rPr>
                <w:rFonts w:eastAsia="Times New Roman" w:cstheme="minorHAnsi"/>
                <w:b/>
                <w:color w:val="FFFFFF" w:themeColor="background1"/>
                <w:kern w:val="0"/>
                <w:sz w:val="20"/>
                <w:szCs w:val="20"/>
                <w:lang w:val="es-419"/>
                <w14:ligatures w14:val="none"/>
              </w:rPr>
              <w:t xml:space="preserve">usuario </w:t>
            </w:r>
            <w:r w:rsidRPr="00756410">
              <w:rPr>
                <w:rFonts w:eastAsia="Times New Roman" w:cstheme="minorHAnsi"/>
                <w:b/>
                <w:color w:val="FFFFFF" w:themeColor="background1"/>
                <w:kern w:val="0"/>
                <w:sz w:val="20"/>
                <w:szCs w:val="20"/>
                <w:lang w:val="es-419"/>
                <w14:ligatures w14:val="none"/>
              </w:rPr>
              <w:t>de RRHH disponibles para que las oficinas/unidades de la sede central los asignen en IDAM</w:t>
            </w:r>
          </w:p>
        </w:tc>
        <w:tc>
          <w:tcPr>
            <w:tcW w:w="4590" w:type="dxa"/>
            <w:tcBorders>
              <w:top w:val="single" w:sz="4" w:space="0" w:color="auto"/>
              <w:left w:val="nil"/>
              <w:bottom w:val="single" w:sz="4" w:space="0" w:color="auto"/>
              <w:right w:val="single" w:sz="4" w:space="0" w:color="auto"/>
            </w:tcBorders>
            <w:shd w:val="clear" w:color="auto" w:fill="0070C0"/>
            <w:vAlign w:val="center"/>
          </w:tcPr>
          <w:p w14:paraId="71EC68B1" w14:textId="686A925F" w:rsidR="00DD14E7" w:rsidRPr="00756410" w:rsidRDefault="00DD14E7" w:rsidP="00756410">
            <w:pPr>
              <w:spacing w:after="0" w:line="240" w:lineRule="auto"/>
              <w:jc w:val="center"/>
              <w:rPr>
                <w:rFonts w:eastAsia="Times New Roman" w:cstheme="minorHAnsi"/>
                <w:b/>
                <w:bCs/>
                <w:color w:val="FFFFFF" w:themeColor="background1"/>
                <w:kern w:val="0"/>
                <w:sz w:val="20"/>
                <w:szCs w:val="20"/>
                <w14:ligatures w14:val="none"/>
              </w:rPr>
            </w:pPr>
            <w:r w:rsidRPr="00756410">
              <w:rPr>
                <w:rFonts w:eastAsia="Times New Roman" w:cstheme="minorHAnsi"/>
                <w:b/>
                <w:bCs/>
                <w:color w:val="FFFFFF" w:themeColor="background1"/>
                <w:kern w:val="0"/>
                <w:sz w:val="20"/>
                <w:szCs w:val="20"/>
                <w14:ligatures w14:val="none"/>
              </w:rPr>
              <w:t>Descripción</w:t>
            </w:r>
          </w:p>
        </w:tc>
        <w:tc>
          <w:tcPr>
            <w:tcW w:w="1170" w:type="dxa"/>
            <w:tcBorders>
              <w:top w:val="single" w:sz="4" w:space="0" w:color="auto"/>
              <w:left w:val="nil"/>
              <w:bottom w:val="single" w:sz="4" w:space="0" w:color="auto"/>
              <w:right w:val="single" w:sz="4" w:space="0" w:color="auto"/>
            </w:tcBorders>
            <w:shd w:val="clear" w:color="auto" w:fill="0070C0"/>
            <w:vAlign w:val="center"/>
          </w:tcPr>
          <w:p w14:paraId="1579533A" w14:textId="5B7E3E9F" w:rsidR="00DD14E7" w:rsidRPr="00756410" w:rsidRDefault="00DD14E7" w:rsidP="00912272">
            <w:pPr>
              <w:spacing w:after="0" w:line="240" w:lineRule="auto"/>
              <w:jc w:val="center"/>
              <w:rPr>
                <w:rFonts w:eastAsia="Times New Roman" w:cstheme="minorHAnsi"/>
                <w:b/>
                <w:bCs/>
                <w:color w:val="FFFFFF" w:themeColor="background1"/>
                <w:kern w:val="0"/>
                <w:sz w:val="20"/>
                <w:szCs w:val="20"/>
                <w14:ligatures w14:val="none"/>
              </w:rPr>
            </w:pPr>
            <w:r w:rsidRPr="00756410">
              <w:rPr>
                <w:rFonts w:eastAsia="Times New Roman" w:cstheme="minorHAnsi"/>
                <w:b/>
                <w:bCs/>
                <w:color w:val="FFFFFF" w:themeColor="background1"/>
                <w:kern w:val="0"/>
                <w:sz w:val="20"/>
                <w:szCs w:val="20"/>
                <w14:ligatures w14:val="none"/>
              </w:rPr>
              <w:t>Acceso a la nómina</w:t>
            </w:r>
          </w:p>
        </w:tc>
        <w:tc>
          <w:tcPr>
            <w:tcW w:w="872" w:type="dxa"/>
            <w:tcBorders>
              <w:top w:val="single" w:sz="4" w:space="0" w:color="auto"/>
              <w:left w:val="nil"/>
              <w:bottom w:val="single" w:sz="4" w:space="0" w:color="auto"/>
              <w:right w:val="single" w:sz="4" w:space="0" w:color="auto"/>
            </w:tcBorders>
            <w:shd w:val="clear" w:color="auto" w:fill="0070C0"/>
            <w:vAlign w:val="center"/>
          </w:tcPr>
          <w:p w14:paraId="6A7A9489" w14:textId="15353A1F" w:rsidR="00DD14E7" w:rsidRPr="00756410" w:rsidRDefault="00DD14E7" w:rsidP="00912272">
            <w:pPr>
              <w:spacing w:after="0" w:line="240" w:lineRule="auto"/>
              <w:jc w:val="center"/>
              <w:rPr>
                <w:rFonts w:eastAsia="Times New Roman" w:cstheme="minorHAnsi"/>
                <w:b/>
                <w:bCs/>
                <w:color w:val="FFFFFF" w:themeColor="background1"/>
                <w:kern w:val="0"/>
                <w:sz w:val="20"/>
                <w:szCs w:val="20"/>
                <w14:ligatures w14:val="none"/>
              </w:rPr>
            </w:pPr>
            <w:r w:rsidRPr="00756410">
              <w:rPr>
                <w:rFonts w:eastAsia="Times New Roman" w:cstheme="minorHAnsi"/>
                <w:b/>
                <w:bCs/>
                <w:color w:val="FFFFFF" w:themeColor="background1"/>
                <w:kern w:val="0"/>
                <w:sz w:val="20"/>
                <w:szCs w:val="20"/>
                <w14:ligatures w14:val="none"/>
              </w:rPr>
              <w:t>Acceso a PMD</w:t>
            </w:r>
          </w:p>
        </w:tc>
        <w:tc>
          <w:tcPr>
            <w:tcW w:w="1288" w:type="dxa"/>
            <w:tcBorders>
              <w:top w:val="single" w:sz="4" w:space="0" w:color="auto"/>
              <w:left w:val="nil"/>
              <w:bottom w:val="single" w:sz="4" w:space="0" w:color="auto"/>
              <w:right w:val="single" w:sz="4" w:space="0" w:color="auto"/>
            </w:tcBorders>
            <w:shd w:val="clear" w:color="auto" w:fill="0070C0"/>
            <w:vAlign w:val="center"/>
          </w:tcPr>
          <w:p w14:paraId="7BA13C02" w14:textId="3603815E" w:rsidR="00DD14E7" w:rsidRPr="00756410" w:rsidRDefault="00DD14E7" w:rsidP="00912272">
            <w:pPr>
              <w:spacing w:after="0" w:line="240" w:lineRule="auto"/>
              <w:jc w:val="center"/>
              <w:rPr>
                <w:rFonts w:eastAsia="Times New Roman" w:cstheme="minorHAnsi"/>
                <w:b/>
                <w:color w:val="FFFFFF" w:themeColor="background1"/>
                <w:kern w:val="0"/>
                <w:sz w:val="20"/>
                <w:szCs w:val="20"/>
                <w:lang w:val="es-419"/>
                <w14:ligatures w14:val="none"/>
              </w:rPr>
            </w:pPr>
            <w:r w:rsidRPr="00756410">
              <w:rPr>
                <w:rFonts w:eastAsia="Times New Roman" w:cstheme="minorHAnsi"/>
                <w:b/>
                <w:color w:val="FFFFFF" w:themeColor="background1"/>
                <w:kern w:val="0"/>
                <w:sz w:val="20"/>
                <w:szCs w:val="20"/>
                <w:lang w:val="es-419"/>
                <w14:ligatures w14:val="none"/>
              </w:rPr>
              <w:t>IDAM permite la asignación a personas que no son del personal</w:t>
            </w:r>
          </w:p>
        </w:tc>
      </w:tr>
      <w:tr w:rsidR="00A24F0F" w:rsidRPr="00A95453" w14:paraId="04F1140D"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155E679F"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Gerente de RRHH - Acceso a datos a nivel de unidad operativa</w:t>
            </w:r>
          </w:p>
        </w:tc>
        <w:tc>
          <w:tcPr>
            <w:tcW w:w="4590" w:type="dxa"/>
            <w:tcBorders>
              <w:top w:val="single" w:sz="4" w:space="0" w:color="auto"/>
              <w:left w:val="nil"/>
              <w:bottom w:val="single" w:sz="4" w:space="0" w:color="auto"/>
              <w:right w:val="single" w:sz="4" w:space="0" w:color="auto"/>
            </w:tcBorders>
          </w:tcPr>
          <w:p w14:paraId="61B9FCE0" w14:textId="548D3E61" w:rsidR="00DD14E7" w:rsidRPr="00756410" w:rsidRDefault="5738B2AA"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Esta función permite al usuario administrar usuarios para la unidad no agrupada</w:t>
            </w:r>
            <w:r w:rsidR="41A8A1F5" w:rsidRPr="24F5DBB9">
              <w:rPr>
                <w:rFonts w:eastAsia="Times New Roman"/>
                <w:kern w:val="0"/>
                <w:sz w:val="20"/>
                <w:szCs w:val="20"/>
                <w:lang w:val="es-419"/>
                <w14:ligatures w14:val="none"/>
              </w:rPr>
              <w:t xml:space="preserve"> </w:t>
            </w:r>
            <w:r w:rsidR="41A8A1F5" w:rsidRPr="00756410">
              <w:rPr>
                <w:rFonts w:eastAsia="Times New Roman"/>
                <w:i/>
                <w:iCs/>
                <w:kern w:val="0"/>
                <w:sz w:val="20"/>
                <w:szCs w:val="20"/>
                <w:lang w:val="es-419"/>
                <w14:ligatures w14:val="none"/>
              </w:rPr>
              <w:t>(non-clustered</w:t>
            </w:r>
            <w:r w:rsidR="41A8A1F5" w:rsidRPr="24F5DBB9">
              <w:rPr>
                <w:rFonts w:eastAsia="Times New Roman"/>
                <w:kern w:val="0"/>
                <w:sz w:val="20"/>
                <w:szCs w:val="20"/>
                <w:lang w:val="es-419"/>
                <w14:ligatures w14:val="none"/>
              </w:rPr>
              <w:t>)</w:t>
            </w:r>
            <w:r w:rsidRPr="00756410">
              <w:rPr>
                <w:rFonts w:eastAsia="Times New Roman"/>
                <w:kern w:val="0"/>
                <w:sz w:val="20"/>
                <w:szCs w:val="20"/>
                <w:lang w:val="es-419"/>
                <w14:ligatures w14:val="none"/>
              </w:rPr>
              <w:t>. Proporciona acceso a las transacciones de recursos humanos para ingresar y actualizar la información del personal para el departamento.</w:t>
            </w:r>
          </w:p>
        </w:tc>
        <w:tc>
          <w:tcPr>
            <w:tcW w:w="1170" w:type="dxa"/>
            <w:tcBorders>
              <w:top w:val="single" w:sz="4" w:space="0" w:color="auto"/>
              <w:left w:val="nil"/>
              <w:bottom w:val="single" w:sz="4" w:space="0" w:color="auto"/>
              <w:right w:val="single" w:sz="4" w:space="0" w:color="auto"/>
            </w:tcBorders>
          </w:tcPr>
          <w:p w14:paraId="37270D7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 (solo ver)</w:t>
            </w:r>
          </w:p>
        </w:tc>
        <w:tc>
          <w:tcPr>
            <w:tcW w:w="872" w:type="dxa"/>
            <w:tcBorders>
              <w:top w:val="single" w:sz="4" w:space="0" w:color="auto"/>
              <w:left w:val="nil"/>
              <w:bottom w:val="single" w:sz="4" w:space="0" w:color="auto"/>
              <w:right w:val="single" w:sz="4" w:space="0" w:color="auto"/>
            </w:tcBorders>
          </w:tcPr>
          <w:p w14:paraId="703C843D"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 (solo ver)</w:t>
            </w:r>
          </w:p>
        </w:tc>
        <w:tc>
          <w:tcPr>
            <w:tcW w:w="1288" w:type="dxa"/>
            <w:tcBorders>
              <w:top w:val="single" w:sz="4" w:space="0" w:color="auto"/>
              <w:left w:val="nil"/>
              <w:bottom w:val="single" w:sz="4" w:space="0" w:color="auto"/>
              <w:right w:val="single" w:sz="4" w:space="0" w:color="auto"/>
            </w:tcBorders>
          </w:tcPr>
          <w:p w14:paraId="5CAA1B9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A24F0F" w:rsidRPr="00A95453" w14:paraId="16B46C31"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2F9ADFEF" w14:textId="7D0A6E53" w:rsidR="00DD14E7" w:rsidRPr="00756410" w:rsidRDefault="5738B2AA"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Administrador de Horarios Laborales - PNUD a </w:t>
            </w:r>
            <w:r w:rsidR="5EB884EF" w:rsidRPr="24F5DBB9">
              <w:rPr>
                <w:rFonts w:eastAsia="Times New Roman"/>
                <w:kern w:val="0"/>
                <w:sz w:val="20"/>
                <w:szCs w:val="20"/>
                <w:lang w:val="es-419"/>
                <w14:ligatures w14:val="none"/>
              </w:rPr>
              <w:t>n</w:t>
            </w:r>
            <w:r w:rsidRPr="00756410">
              <w:rPr>
                <w:rFonts w:eastAsia="Times New Roman"/>
                <w:kern w:val="0"/>
                <w:sz w:val="20"/>
                <w:szCs w:val="20"/>
                <w:lang w:val="es-419"/>
                <w14:ligatures w14:val="none"/>
              </w:rPr>
              <w:t>ivel de</w:t>
            </w:r>
            <w:r w:rsidR="6733286B" w:rsidRPr="24F5DBB9">
              <w:rPr>
                <w:rFonts w:eastAsia="Times New Roman"/>
                <w:kern w:val="0"/>
                <w:sz w:val="20"/>
                <w:szCs w:val="20"/>
                <w:lang w:val="es-419"/>
                <w14:ligatures w14:val="none"/>
              </w:rPr>
              <w:t xml:space="preserve"> Bureau</w:t>
            </w:r>
          </w:p>
        </w:tc>
        <w:tc>
          <w:tcPr>
            <w:tcW w:w="4590" w:type="dxa"/>
            <w:tcBorders>
              <w:top w:val="single" w:sz="4" w:space="0" w:color="auto"/>
              <w:left w:val="nil"/>
              <w:bottom w:val="single" w:sz="4" w:space="0" w:color="auto"/>
              <w:right w:val="single" w:sz="4" w:space="0" w:color="auto"/>
            </w:tcBorders>
          </w:tcPr>
          <w:p w14:paraId="638DA9EA" w14:textId="5E8B7938" w:rsidR="00DD14E7" w:rsidRPr="00756410" w:rsidRDefault="5738B2AA" w:rsidP="24F5DBB9">
            <w:pPr>
              <w:spacing w:after="0" w:line="240" w:lineRule="auto"/>
              <w:rPr>
                <w:rFonts w:eastAsia="Times New Roman"/>
                <w:sz w:val="20"/>
                <w:szCs w:val="20"/>
                <w:lang w:val="es-419"/>
              </w:rPr>
            </w:pPr>
            <w:r w:rsidRPr="00756410">
              <w:rPr>
                <w:rFonts w:eastAsia="Times New Roman"/>
                <w:kern w:val="0"/>
                <w:sz w:val="20"/>
                <w:szCs w:val="20"/>
                <w:lang w:val="es-419"/>
                <w14:ligatures w14:val="none"/>
              </w:rPr>
              <w:t>Este es un rol discrecional aprovisionado a los usuarios finales</w:t>
            </w:r>
            <w:r w:rsidR="453D9EEA" w:rsidRPr="24F5DBB9">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según sea necesario</w:t>
            </w:r>
            <w:r w:rsidR="6E60D1A7" w:rsidRPr="24F5DBB9">
              <w:rPr>
                <w:rFonts w:eastAsia="Times New Roman"/>
                <w:kern w:val="0"/>
                <w:sz w:val="20"/>
                <w:szCs w:val="20"/>
                <w:lang w:val="es-419"/>
                <w14:ligatures w14:val="none"/>
              </w:rPr>
              <w:t>,</w:t>
            </w:r>
            <w:r w:rsidRPr="00756410">
              <w:rPr>
                <w:rFonts w:eastAsia="Times New Roman"/>
                <w:kern w:val="0"/>
                <w:sz w:val="20"/>
                <w:szCs w:val="20"/>
                <w:lang w:val="es-419"/>
                <w14:ligatures w14:val="none"/>
              </w:rPr>
              <w:t xml:space="preserve"> con el fin de administrar los horarios laborales para las personas que pertenecen a la oficina. Los horarios de trabajo se definen para distribuir el esfuerzo </w:t>
            </w:r>
            <w:r w:rsidR="7702235B" w:rsidRPr="24F5DBB9">
              <w:rPr>
                <w:rFonts w:eastAsia="Times New Roman"/>
                <w:sz w:val="20"/>
                <w:szCs w:val="20"/>
                <w:lang w:val="es-419"/>
              </w:rPr>
              <w:t xml:space="preserve">que </w:t>
            </w:r>
            <w:r w:rsidRPr="00756410">
              <w:rPr>
                <w:rFonts w:eastAsia="Times New Roman"/>
                <w:kern w:val="0"/>
                <w:sz w:val="20"/>
                <w:szCs w:val="20"/>
                <w:lang w:val="es-419"/>
                <w14:ligatures w14:val="none"/>
              </w:rPr>
              <w:t xml:space="preserve">una persona </w:t>
            </w:r>
            <w:r w:rsidR="12546DB9" w:rsidRPr="24F5DBB9">
              <w:rPr>
                <w:rFonts w:eastAsia="Times New Roman"/>
                <w:sz w:val="20"/>
                <w:szCs w:val="20"/>
                <w:lang w:val="es-419"/>
              </w:rPr>
              <w:t xml:space="preserve">pone en el </w:t>
            </w:r>
            <w:r w:rsidRPr="00756410">
              <w:rPr>
                <w:rFonts w:eastAsia="Times New Roman"/>
                <w:kern w:val="0"/>
                <w:sz w:val="20"/>
                <w:szCs w:val="20"/>
                <w:lang w:val="es-419"/>
                <w14:ligatures w14:val="none"/>
              </w:rPr>
              <w:t xml:space="preserve">trabajo de proyecto y </w:t>
            </w:r>
            <w:r w:rsidR="4F4B3423" w:rsidRPr="24F5DBB9">
              <w:rPr>
                <w:rFonts w:eastAsia="Times New Roman"/>
                <w:kern w:val="0"/>
                <w:sz w:val="20"/>
                <w:szCs w:val="20"/>
                <w:lang w:val="es-419"/>
                <w14:ligatures w14:val="none"/>
              </w:rPr>
              <w:t xml:space="preserve">trabajo </w:t>
            </w:r>
            <w:r w:rsidRPr="00756410">
              <w:rPr>
                <w:rFonts w:eastAsia="Times New Roman"/>
                <w:kern w:val="0"/>
                <w:sz w:val="20"/>
                <w:szCs w:val="20"/>
                <w:lang w:val="es-419"/>
                <w14:ligatures w14:val="none"/>
              </w:rPr>
              <w:t xml:space="preserve">no </w:t>
            </w:r>
            <w:r w:rsidR="19F750C9" w:rsidRPr="24F5DBB9">
              <w:rPr>
                <w:rFonts w:eastAsia="Times New Roman"/>
                <w:sz w:val="20"/>
                <w:szCs w:val="20"/>
                <w:lang w:val="es-419"/>
              </w:rPr>
              <w:lastRenderedPageBreak/>
              <w:t xml:space="preserve">relacionado con </w:t>
            </w:r>
            <w:r w:rsidRPr="00756410">
              <w:rPr>
                <w:rFonts w:eastAsia="Times New Roman"/>
                <w:kern w:val="0"/>
                <w:sz w:val="20"/>
                <w:szCs w:val="20"/>
                <w:lang w:val="es-419"/>
                <w14:ligatures w14:val="none"/>
              </w:rPr>
              <w:t>proyecto durante una duración específica.</w:t>
            </w:r>
          </w:p>
        </w:tc>
        <w:tc>
          <w:tcPr>
            <w:tcW w:w="1170" w:type="dxa"/>
            <w:tcBorders>
              <w:top w:val="single" w:sz="4" w:space="0" w:color="auto"/>
              <w:left w:val="nil"/>
              <w:bottom w:val="single" w:sz="4" w:space="0" w:color="auto"/>
              <w:right w:val="single" w:sz="4" w:space="0" w:color="auto"/>
            </w:tcBorders>
          </w:tcPr>
          <w:p w14:paraId="4CBC6AE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lastRenderedPageBreak/>
              <w:t>No</w:t>
            </w:r>
          </w:p>
        </w:tc>
        <w:tc>
          <w:tcPr>
            <w:tcW w:w="872" w:type="dxa"/>
            <w:tcBorders>
              <w:top w:val="single" w:sz="4" w:space="0" w:color="auto"/>
              <w:left w:val="nil"/>
              <w:bottom w:val="single" w:sz="4" w:space="0" w:color="auto"/>
              <w:right w:val="single" w:sz="4" w:space="0" w:color="auto"/>
            </w:tcBorders>
          </w:tcPr>
          <w:p w14:paraId="735DBAD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DD4C5C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A24F0F" w:rsidRPr="00A95453" w14:paraId="67104478"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22A741E2"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posición Revisor de presupuesto Nivel de oficina</w:t>
            </w:r>
          </w:p>
        </w:tc>
        <w:tc>
          <w:tcPr>
            <w:tcW w:w="4590" w:type="dxa"/>
            <w:tcBorders>
              <w:top w:val="single" w:sz="4" w:space="0" w:color="auto"/>
              <w:left w:val="nil"/>
              <w:bottom w:val="single" w:sz="4" w:space="0" w:color="auto"/>
              <w:right w:val="single" w:sz="4" w:space="0" w:color="auto"/>
            </w:tcBorders>
          </w:tcPr>
          <w:p w14:paraId="059749C8" w14:textId="77777777" w:rsidR="00DD14E7" w:rsidRPr="00756410" w:rsidRDefault="00DD14E7"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Colegas responsables de determinar si hay fondos adecuados disponibles para la solicitud de puesto en un departamento o una oficina en el país de la oficina regional. Para obtener más información, consulte el artículo de conocimiento de UNall.</w:t>
            </w:r>
          </w:p>
        </w:tc>
        <w:tc>
          <w:tcPr>
            <w:tcW w:w="1170" w:type="dxa"/>
            <w:tcBorders>
              <w:top w:val="single" w:sz="4" w:space="0" w:color="auto"/>
              <w:left w:val="nil"/>
              <w:bottom w:val="single" w:sz="4" w:space="0" w:color="auto"/>
              <w:right w:val="single" w:sz="4" w:space="0" w:color="auto"/>
            </w:tcBorders>
          </w:tcPr>
          <w:p w14:paraId="17F6267F"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92F8963"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0FB67E19"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A24F0F" w:rsidRPr="00A95453" w14:paraId="328B16C5"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761FA30E"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Posición Aprobador Oficina Revisor</w:t>
            </w:r>
          </w:p>
        </w:tc>
        <w:tc>
          <w:tcPr>
            <w:tcW w:w="4590" w:type="dxa"/>
            <w:tcBorders>
              <w:top w:val="single" w:sz="4" w:space="0" w:color="auto"/>
              <w:left w:val="nil"/>
              <w:bottom w:val="single" w:sz="4" w:space="0" w:color="auto"/>
              <w:right w:val="single" w:sz="4" w:space="0" w:color="auto"/>
            </w:tcBorders>
          </w:tcPr>
          <w:p w14:paraId="7BC34059" w14:textId="5106DAD1" w:rsidR="00DD14E7" w:rsidRPr="00255BF3" w:rsidRDefault="5738B2AA"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 xml:space="preserve">Delegados a nivel de </w:t>
            </w:r>
            <w:r w:rsidR="790D327B" w:rsidRPr="00255BF3">
              <w:rPr>
                <w:rFonts w:eastAsia="Times New Roman"/>
                <w:kern w:val="0"/>
                <w:sz w:val="20"/>
                <w:szCs w:val="20"/>
                <w:lang w:val="es-419"/>
                <w14:ligatures w14:val="none"/>
              </w:rPr>
              <w:t>Bur</w:t>
            </w:r>
            <w:r w:rsidR="00FD4D46" w:rsidRPr="00255BF3">
              <w:rPr>
                <w:rFonts w:eastAsia="Times New Roman"/>
                <w:kern w:val="0"/>
                <w:sz w:val="20"/>
                <w:szCs w:val="20"/>
                <w:lang w:val="es-419"/>
                <w14:ligatures w14:val="none"/>
              </w:rPr>
              <w:t>o</w:t>
            </w:r>
            <w:r w:rsidR="790D327B" w:rsidRPr="00255BF3">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que aprobarán en caso de puestos básicos, no básicos o de gestión del cambio. Para obtener más información, consulte el artículo de conocimiento de UNall. UN</w:t>
            </w:r>
          </w:p>
        </w:tc>
        <w:tc>
          <w:tcPr>
            <w:tcW w:w="1170" w:type="dxa"/>
            <w:tcBorders>
              <w:top w:val="single" w:sz="4" w:space="0" w:color="auto"/>
              <w:left w:val="nil"/>
              <w:bottom w:val="single" w:sz="4" w:space="0" w:color="auto"/>
              <w:right w:val="single" w:sz="4" w:space="0" w:color="auto"/>
            </w:tcBorders>
          </w:tcPr>
          <w:p w14:paraId="63F0DEA2"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A99C81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89EE383"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A24F0F" w:rsidRPr="00A95453" w14:paraId="49D41FE6"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1CF558EA"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puestos Jefe de Oficina Nivel de Oficina</w:t>
            </w:r>
          </w:p>
        </w:tc>
        <w:tc>
          <w:tcPr>
            <w:tcW w:w="4590" w:type="dxa"/>
            <w:tcBorders>
              <w:top w:val="single" w:sz="4" w:space="0" w:color="auto"/>
              <w:left w:val="nil"/>
              <w:bottom w:val="single" w:sz="4" w:space="0" w:color="auto"/>
              <w:right w:val="single" w:sz="4" w:space="0" w:color="auto"/>
            </w:tcBorders>
          </w:tcPr>
          <w:p w14:paraId="0B60B837" w14:textId="5C5834F6" w:rsidR="00DD14E7" w:rsidRPr="00756410" w:rsidRDefault="5738B2AA"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Para la oficina regional, actuar como RR/</w:t>
            </w:r>
            <w:r w:rsidR="006E4323" w:rsidRPr="00255BF3">
              <w:rPr>
                <w:rFonts w:eastAsia="Times New Roman"/>
                <w:sz w:val="20"/>
                <w:szCs w:val="20"/>
                <w:lang w:val="es-419"/>
              </w:rPr>
              <w:t>RRDs</w:t>
            </w:r>
            <w:r w:rsidRPr="00756410">
              <w:rPr>
                <w:rFonts w:eastAsia="Times New Roman"/>
                <w:kern w:val="0"/>
                <w:sz w:val="20"/>
                <w:szCs w:val="20"/>
                <w:lang w:val="es-419"/>
                <w14:ligatures w14:val="none"/>
              </w:rPr>
              <w:t>/Jefe de oficina/ o Jefe de oficina delegados confirmando la solicitud de un puesto en sus respectivos departamentos/O</w:t>
            </w:r>
            <w:r w:rsidR="4805A008" w:rsidRPr="00255BF3">
              <w:rPr>
                <w:rFonts w:eastAsia="Times New Roman"/>
                <w:kern w:val="0"/>
                <w:sz w:val="20"/>
                <w:szCs w:val="20"/>
                <w:lang w:val="es-419"/>
                <w14:ligatures w14:val="none"/>
              </w:rPr>
              <w:t>P</w:t>
            </w:r>
            <w:r w:rsidRPr="00756410">
              <w:rPr>
                <w:rFonts w:eastAsia="Times New Roman"/>
                <w:kern w:val="0"/>
                <w:sz w:val="20"/>
                <w:szCs w:val="20"/>
                <w:lang w:val="es-419"/>
                <w14:ligatures w14:val="none"/>
              </w:rPr>
              <w:t>. Para obtener más información, consulte el artículo de conocimiento de UNall.</w:t>
            </w:r>
          </w:p>
        </w:tc>
        <w:tc>
          <w:tcPr>
            <w:tcW w:w="1170" w:type="dxa"/>
            <w:tcBorders>
              <w:top w:val="single" w:sz="4" w:space="0" w:color="auto"/>
              <w:left w:val="nil"/>
              <w:bottom w:val="single" w:sz="4" w:space="0" w:color="auto"/>
              <w:right w:val="single" w:sz="4" w:space="0" w:color="auto"/>
            </w:tcBorders>
          </w:tcPr>
          <w:p w14:paraId="1887DA1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EC6827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087EE7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A24F0F" w:rsidRPr="00A95453" w14:paraId="2D6B7C59"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69D89E22"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Aprobador de puestos Gerente de recursos humanos Nivel de oficina</w:t>
            </w:r>
          </w:p>
        </w:tc>
        <w:tc>
          <w:tcPr>
            <w:tcW w:w="4590" w:type="dxa"/>
            <w:tcBorders>
              <w:top w:val="single" w:sz="4" w:space="0" w:color="auto"/>
              <w:left w:val="nil"/>
              <w:bottom w:val="single" w:sz="4" w:space="0" w:color="auto"/>
              <w:right w:val="single" w:sz="4" w:space="0" w:color="auto"/>
            </w:tcBorders>
          </w:tcPr>
          <w:p w14:paraId="0C88871A" w14:textId="3EF4979C" w:rsidR="00DD14E7" w:rsidRPr="00255BF3" w:rsidRDefault="5738B2AA" w:rsidP="363CA695">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Para los colegas de la oficina regional, actú</w:t>
            </w:r>
            <w:r w:rsidR="55591743" w:rsidRPr="00255BF3">
              <w:rPr>
                <w:rFonts w:eastAsia="Times New Roman"/>
                <w:kern w:val="0"/>
                <w:sz w:val="20"/>
                <w:szCs w:val="20"/>
                <w:lang w:val="es-419"/>
                <w14:ligatures w14:val="none"/>
              </w:rPr>
              <w:t>a</w:t>
            </w:r>
            <w:r w:rsidRPr="00756410">
              <w:rPr>
                <w:rFonts w:eastAsia="Times New Roman"/>
                <w:kern w:val="0"/>
                <w:sz w:val="20"/>
                <w:szCs w:val="20"/>
                <w:lang w:val="es-419"/>
                <w14:ligatures w14:val="none"/>
              </w:rPr>
              <w:t xml:space="preserve"> como la primera línea de revisores para cualquier solicitud de puesto. Para obtener más información, consulte el artículo de conocimiento de UNall.</w:t>
            </w:r>
          </w:p>
        </w:tc>
        <w:tc>
          <w:tcPr>
            <w:tcW w:w="1170" w:type="dxa"/>
            <w:tcBorders>
              <w:top w:val="single" w:sz="4" w:space="0" w:color="auto"/>
              <w:left w:val="nil"/>
              <w:bottom w:val="single" w:sz="4" w:space="0" w:color="auto"/>
              <w:right w:val="single" w:sz="4" w:space="0" w:color="auto"/>
            </w:tcBorders>
          </w:tcPr>
          <w:p w14:paraId="068C66F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56C3E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42A7762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r w:rsidR="00A24F0F" w:rsidRPr="00A95453" w14:paraId="6A434031" w14:textId="77777777" w:rsidTr="24F5DBB9">
        <w:trPr>
          <w:trHeight w:val="20"/>
        </w:trPr>
        <w:tc>
          <w:tcPr>
            <w:tcW w:w="2970" w:type="dxa"/>
            <w:tcBorders>
              <w:top w:val="single" w:sz="4" w:space="0" w:color="auto"/>
              <w:left w:val="single" w:sz="4" w:space="0" w:color="auto"/>
              <w:bottom w:val="single" w:sz="4" w:space="0" w:color="auto"/>
              <w:right w:val="single" w:sz="4" w:space="0" w:color="auto"/>
            </w:tcBorders>
          </w:tcPr>
          <w:p w14:paraId="0F8E2A31" w14:textId="77777777" w:rsidR="00DD14E7" w:rsidRPr="00756410" w:rsidRDefault="00DD14E7" w:rsidP="00DD14E7">
            <w:pPr>
              <w:spacing w:after="0" w:line="240" w:lineRule="auto"/>
              <w:rPr>
                <w:rFonts w:eastAsia="Times New Roman" w:cstheme="minorHAnsi"/>
                <w:kern w:val="0"/>
                <w:sz w:val="20"/>
                <w:szCs w:val="20"/>
                <w:lang w:val="es-419"/>
                <w14:ligatures w14:val="none"/>
              </w:rPr>
            </w:pPr>
            <w:r w:rsidRPr="00756410">
              <w:rPr>
                <w:rFonts w:eastAsia="Times New Roman" w:cstheme="minorHAnsi"/>
                <w:kern w:val="0"/>
                <w:sz w:val="20"/>
                <w:szCs w:val="20"/>
                <w:lang w:val="es-419"/>
                <w14:ligatures w14:val="none"/>
              </w:rPr>
              <w:t>Administrador de Revisión de Talentos - Oficina Regional del PNUD</w:t>
            </w:r>
          </w:p>
        </w:tc>
        <w:tc>
          <w:tcPr>
            <w:tcW w:w="4590" w:type="dxa"/>
            <w:tcBorders>
              <w:top w:val="single" w:sz="4" w:space="0" w:color="auto"/>
              <w:left w:val="nil"/>
              <w:bottom w:val="single" w:sz="4" w:space="0" w:color="auto"/>
              <w:right w:val="single" w:sz="4" w:space="0" w:color="auto"/>
            </w:tcBorders>
          </w:tcPr>
          <w:p w14:paraId="5BF554B1" w14:textId="27A41C91" w:rsidR="00DD14E7" w:rsidRPr="00756410" w:rsidRDefault="5738B2AA" w:rsidP="24F5DBB9">
            <w:pPr>
              <w:spacing w:after="0" w:line="240" w:lineRule="auto"/>
              <w:rPr>
                <w:rFonts w:eastAsia="Times New Roman"/>
                <w:kern w:val="0"/>
                <w:sz w:val="20"/>
                <w:szCs w:val="20"/>
                <w:lang w:val="es-419"/>
                <w14:ligatures w14:val="none"/>
              </w:rPr>
            </w:pPr>
            <w:r w:rsidRPr="00756410">
              <w:rPr>
                <w:rFonts w:eastAsia="Times New Roman"/>
                <w:kern w:val="0"/>
                <w:sz w:val="20"/>
                <w:szCs w:val="20"/>
                <w:lang w:val="es-419"/>
                <w14:ligatures w14:val="none"/>
              </w:rPr>
              <w:t>Perfil de administrador de revisión de talentos con acceso al departamento y n</w:t>
            </w:r>
            <w:r w:rsidR="3C4507CC" w:rsidRPr="00255BF3">
              <w:rPr>
                <w:rFonts w:eastAsia="Times New Roman"/>
                <w:kern w:val="0"/>
                <w:sz w:val="20"/>
                <w:szCs w:val="20"/>
                <w:lang w:val="es-419"/>
                <w14:ligatures w14:val="none"/>
              </w:rPr>
              <w:t xml:space="preserve">ódulos bajo </w:t>
            </w:r>
            <w:r w:rsidRPr="00756410">
              <w:rPr>
                <w:rFonts w:eastAsia="Times New Roman"/>
                <w:kern w:val="0"/>
                <w:sz w:val="20"/>
                <w:szCs w:val="20"/>
                <w:lang w:val="es-419"/>
                <w14:ligatures w14:val="none"/>
              </w:rPr>
              <w:t>e</w:t>
            </w:r>
            <w:r w:rsidR="73083264" w:rsidRPr="00255BF3">
              <w:rPr>
                <w:rFonts w:eastAsia="Times New Roman"/>
                <w:kern w:val="0"/>
                <w:sz w:val="20"/>
                <w:szCs w:val="20"/>
                <w:lang w:val="es-419"/>
                <w14:ligatures w14:val="none"/>
              </w:rPr>
              <w:t>l Bur</w:t>
            </w:r>
            <w:r w:rsidR="003A4857">
              <w:rPr>
                <w:rFonts w:eastAsia="Times New Roman"/>
                <w:kern w:val="0"/>
                <w:sz w:val="20"/>
                <w:szCs w:val="20"/>
                <w:lang w:val="es-419"/>
                <w14:ligatures w14:val="none"/>
              </w:rPr>
              <w:t>o</w:t>
            </w:r>
            <w:r w:rsidR="0071045A">
              <w:rPr>
                <w:rFonts w:eastAsia="Times New Roman"/>
                <w:kern w:val="0"/>
                <w:sz w:val="20"/>
                <w:szCs w:val="20"/>
                <w:lang w:val="es-419"/>
                <w14:ligatures w14:val="none"/>
              </w:rPr>
              <w:t>.</w:t>
            </w:r>
            <w:r w:rsidR="003A4857">
              <w:rPr>
                <w:rFonts w:eastAsia="Times New Roman"/>
                <w:kern w:val="0"/>
                <w:sz w:val="20"/>
                <w:szCs w:val="20"/>
                <w:lang w:val="es-419"/>
                <w14:ligatures w14:val="none"/>
              </w:rPr>
              <w:t xml:space="preserve"> </w:t>
            </w:r>
            <w:r w:rsidRPr="00756410">
              <w:rPr>
                <w:rFonts w:eastAsia="Times New Roman"/>
                <w:kern w:val="0"/>
                <w:sz w:val="20"/>
                <w:szCs w:val="20"/>
                <w:lang w:val="es-419"/>
                <w14:ligatures w14:val="none"/>
              </w:rPr>
              <w:t>Permite configurar y ejecutar una reunión de revisión de talentos</w:t>
            </w:r>
          </w:p>
        </w:tc>
        <w:tc>
          <w:tcPr>
            <w:tcW w:w="1170" w:type="dxa"/>
            <w:tcBorders>
              <w:top w:val="single" w:sz="4" w:space="0" w:color="auto"/>
              <w:left w:val="nil"/>
              <w:bottom w:val="single" w:sz="4" w:space="0" w:color="auto"/>
              <w:right w:val="single" w:sz="4" w:space="0" w:color="auto"/>
            </w:tcBorders>
          </w:tcPr>
          <w:p w14:paraId="6DBF01A9"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AF97CB"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25F3A1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Sí</w:t>
            </w:r>
          </w:p>
        </w:tc>
      </w:tr>
    </w:tbl>
    <w:p w14:paraId="20AFC58B" w14:textId="77777777" w:rsidR="00DD14E7" w:rsidRDefault="00DD14E7" w:rsidP="002F02D8">
      <w:pPr>
        <w:sectPr w:rsidR="00DD14E7" w:rsidSect="005A0F76">
          <w:headerReference w:type="default" r:id="rId199"/>
          <w:footerReference w:type="default" r:id="rId200"/>
          <w:pgSz w:w="12240" w:h="15840"/>
          <w:pgMar w:top="1152" w:right="1152" w:bottom="1152" w:left="1152" w:header="720" w:footer="720" w:gutter="0"/>
          <w:cols w:space="720"/>
          <w:docGrid w:linePitch="360"/>
        </w:sectPr>
      </w:pPr>
    </w:p>
    <w:p w14:paraId="5FF6F8B3" w14:textId="61C3CE8E" w:rsidR="00EB1DDF" w:rsidRPr="00756410" w:rsidRDefault="00EB1DDF" w:rsidP="004539AF">
      <w:pPr>
        <w:pStyle w:val="Heading1"/>
        <w:spacing w:after="240"/>
        <w:rPr>
          <w:lang w:val="es-419"/>
        </w:rPr>
      </w:pPr>
      <w:bookmarkStart w:id="121" w:name="_Annex_3:_Overview"/>
      <w:bookmarkStart w:id="122" w:name="_Toc210052797"/>
      <w:bookmarkEnd w:id="121"/>
      <w:r w:rsidRPr="00756410">
        <w:rPr>
          <w:lang w:val="es-419"/>
        </w:rPr>
        <w:lastRenderedPageBreak/>
        <w:t xml:space="preserve">Anexo 3: Descripción general de los perfiles </w:t>
      </w:r>
      <w:r w:rsidR="00876052">
        <w:rPr>
          <w:lang w:val="es-419"/>
        </w:rPr>
        <w:t>de finanzas</w:t>
      </w:r>
      <w:r w:rsidRPr="00756410">
        <w:rPr>
          <w:lang w:val="es-419"/>
        </w:rPr>
        <w:t xml:space="preserve"> y </w:t>
      </w:r>
      <w:r w:rsidR="006360B7">
        <w:rPr>
          <w:lang w:val="es-419"/>
        </w:rPr>
        <w:t>los</w:t>
      </w:r>
      <w:r w:rsidR="006360B7" w:rsidRPr="00756410">
        <w:rPr>
          <w:lang w:val="es-419"/>
        </w:rPr>
        <w:t xml:space="preserve"> </w:t>
      </w:r>
      <w:r w:rsidR="006360B7">
        <w:rPr>
          <w:lang w:val="es-419"/>
        </w:rPr>
        <w:t>roles</w:t>
      </w:r>
      <w:r w:rsidRPr="00756410">
        <w:rPr>
          <w:lang w:val="es-419"/>
        </w:rPr>
        <w:t xml:space="preserve"> complementari</w:t>
      </w:r>
      <w:r w:rsidR="006360B7">
        <w:rPr>
          <w:lang w:val="es-419"/>
        </w:rPr>
        <w:t>o</w:t>
      </w:r>
      <w:r w:rsidRPr="00756410">
        <w:rPr>
          <w:lang w:val="es-419"/>
        </w:rPr>
        <w:t xml:space="preserve">s y las capacidades </w:t>
      </w:r>
      <w:bookmarkEnd w:id="122"/>
      <w:r w:rsidR="00F4632F">
        <w:rPr>
          <w:lang w:val="es-419"/>
        </w:rPr>
        <w:t>en Quantum</w:t>
      </w:r>
    </w:p>
    <w:p w14:paraId="0D17060F" w14:textId="60BDB3C8" w:rsidR="00EB1DDF" w:rsidRDefault="00F9541B" w:rsidP="00DD590A">
      <w:pPr>
        <w:ind w:hanging="450"/>
      </w:pPr>
      <w:r w:rsidRPr="00F9541B">
        <w:rPr>
          <w:noProof/>
        </w:rPr>
        <w:drawing>
          <wp:inline distT="0" distB="0" distL="0" distR="0" wp14:anchorId="68A6DBD1" wp14:editId="1F40ADAE">
            <wp:extent cx="8595360" cy="2030889"/>
            <wp:effectExtent l="0" t="0" r="0" b="7620"/>
            <wp:docPr id="124256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8595360" cy="2030889"/>
                    </a:xfrm>
                    <a:prstGeom prst="rect">
                      <a:avLst/>
                    </a:prstGeom>
                    <a:noFill/>
                    <a:ln>
                      <a:noFill/>
                    </a:ln>
                  </pic:spPr>
                </pic:pic>
              </a:graphicData>
            </a:graphic>
          </wp:inline>
        </w:drawing>
      </w:r>
    </w:p>
    <w:p w14:paraId="0878DA06" w14:textId="36ABA34E" w:rsidR="00F9541B" w:rsidRDefault="00F9541B" w:rsidP="00DD590A">
      <w:pPr>
        <w:ind w:hanging="450"/>
      </w:pPr>
      <w:r w:rsidRPr="00F9541B">
        <w:rPr>
          <w:noProof/>
        </w:rPr>
        <w:drawing>
          <wp:inline distT="0" distB="0" distL="0" distR="0" wp14:anchorId="7DB6C3A7" wp14:editId="5C0BE366">
            <wp:extent cx="8595360" cy="2938462"/>
            <wp:effectExtent l="0" t="0" r="0" b="0"/>
            <wp:docPr id="502220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8598130" cy="2939409"/>
                    </a:xfrm>
                    <a:prstGeom prst="rect">
                      <a:avLst/>
                    </a:prstGeom>
                    <a:noFill/>
                    <a:ln>
                      <a:noFill/>
                    </a:ln>
                  </pic:spPr>
                </pic:pic>
              </a:graphicData>
            </a:graphic>
          </wp:inline>
        </w:drawing>
      </w:r>
    </w:p>
    <w:p w14:paraId="7193984B" w14:textId="30110F0F" w:rsidR="00590F19" w:rsidRPr="00756410" w:rsidRDefault="00590F19" w:rsidP="00590F19">
      <w:pPr>
        <w:spacing w:after="0"/>
        <w:rPr>
          <w:sz w:val="20"/>
          <w:szCs w:val="20"/>
          <w:lang w:val="es-419"/>
        </w:rPr>
        <w:sectPr w:rsidR="00590F19" w:rsidRPr="00756410" w:rsidSect="00EB1DDF">
          <w:pgSz w:w="15840" w:h="12240" w:orient="landscape"/>
          <w:pgMar w:top="1152" w:right="1152" w:bottom="1152" w:left="1152" w:header="720" w:footer="720" w:gutter="0"/>
          <w:cols w:space="720"/>
          <w:docGrid w:linePitch="360"/>
        </w:sectPr>
      </w:pPr>
      <w:r w:rsidRPr="00756410">
        <w:rPr>
          <w:sz w:val="20"/>
          <w:szCs w:val="20"/>
          <w:lang w:val="es-419"/>
        </w:rPr>
        <w:t xml:space="preserve">Nota: Es posible que durante el año fiscal 2025, </w:t>
      </w:r>
      <w:r w:rsidR="006360B7">
        <w:rPr>
          <w:sz w:val="20"/>
          <w:szCs w:val="20"/>
          <w:lang w:val="es-419"/>
        </w:rPr>
        <w:t>el rol</w:t>
      </w:r>
      <w:r w:rsidR="006360B7" w:rsidRPr="00756410">
        <w:rPr>
          <w:sz w:val="20"/>
          <w:szCs w:val="20"/>
          <w:lang w:val="es-419"/>
        </w:rPr>
        <w:t xml:space="preserve"> </w:t>
      </w:r>
      <w:r w:rsidRPr="00756410">
        <w:rPr>
          <w:sz w:val="20"/>
          <w:szCs w:val="20"/>
          <w:lang w:val="es-419"/>
        </w:rPr>
        <w:t>complementari</w:t>
      </w:r>
      <w:r w:rsidR="006360B7">
        <w:rPr>
          <w:sz w:val="20"/>
          <w:szCs w:val="20"/>
          <w:lang w:val="es-419"/>
        </w:rPr>
        <w:t>o</w:t>
      </w:r>
      <w:r w:rsidRPr="00756410">
        <w:rPr>
          <w:sz w:val="20"/>
          <w:szCs w:val="20"/>
          <w:lang w:val="es-419"/>
        </w:rPr>
        <w:t xml:space="preserve"> de aprobador GLJE solo se asigne al personal de BMS/GSSC, BMS/OFRM, MPTFO y VNU.</w:t>
      </w:r>
    </w:p>
    <w:p w14:paraId="53341D26" w14:textId="197B7A02" w:rsidR="007802E1" w:rsidRPr="00756410" w:rsidRDefault="007802E1" w:rsidP="00A22E73">
      <w:pPr>
        <w:pStyle w:val="Heading1"/>
        <w:spacing w:after="240"/>
        <w:rPr>
          <w:lang w:val="es-419"/>
        </w:rPr>
      </w:pPr>
      <w:bookmarkStart w:id="123" w:name="_Annex_4:_Overview"/>
      <w:bookmarkStart w:id="124" w:name="_Toc210052798"/>
      <w:bookmarkEnd w:id="123"/>
      <w:r w:rsidRPr="00756410">
        <w:rPr>
          <w:lang w:val="es-419"/>
        </w:rPr>
        <w:lastRenderedPageBreak/>
        <w:t xml:space="preserve">Anexo 4: </w:t>
      </w:r>
      <w:r w:rsidR="1704D797" w:rsidRPr="22517BC1">
        <w:rPr>
          <w:lang w:val="es-419"/>
        </w:rPr>
        <w:t xml:space="preserve">Descripción </w:t>
      </w:r>
      <w:r w:rsidRPr="00756410">
        <w:rPr>
          <w:lang w:val="es-419"/>
        </w:rPr>
        <w:t>general de las funciones de control interno por área funcional</w:t>
      </w:r>
      <w:bookmarkEnd w:id="124"/>
    </w:p>
    <w:p w14:paraId="114F19D1" w14:textId="0810AD13" w:rsidR="007802E1" w:rsidRPr="00756410" w:rsidRDefault="007802E1" w:rsidP="363CA695">
      <w:pPr>
        <w:spacing w:line="240" w:lineRule="auto"/>
        <w:rPr>
          <w:lang w:val="es-419"/>
        </w:rPr>
      </w:pPr>
      <w:r w:rsidRPr="22B40BB7">
        <w:rPr>
          <w:lang w:val="es-ES"/>
        </w:rPr>
        <w:t>A continuación</w:t>
      </w:r>
      <w:r w:rsidR="2D0A6DE2" w:rsidRPr="22517BC1">
        <w:rPr>
          <w:lang w:val="es-ES"/>
        </w:rPr>
        <w:t>,</w:t>
      </w:r>
      <w:r w:rsidRPr="22B40BB7">
        <w:rPr>
          <w:lang w:val="es-ES"/>
        </w:rPr>
        <w:t xml:space="preserve"> se muestra una descripción general de los perfiles </w:t>
      </w:r>
      <w:r w:rsidR="52B51013" w:rsidRPr="22B40BB7">
        <w:rPr>
          <w:lang w:val="es-ES"/>
        </w:rPr>
        <w:t xml:space="preserve">de </w:t>
      </w:r>
      <w:r w:rsidR="00EB4E19">
        <w:rPr>
          <w:lang w:val="es-ES"/>
        </w:rPr>
        <w:t>us</w:t>
      </w:r>
      <w:r w:rsidR="0001612D">
        <w:rPr>
          <w:lang w:val="es-ES"/>
        </w:rPr>
        <w:t>uario</w:t>
      </w:r>
      <w:r w:rsidR="52B51013" w:rsidRPr="22B40BB7">
        <w:rPr>
          <w:lang w:val="es-ES"/>
        </w:rPr>
        <w:t xml:space="preserve"> </w:t>
      </w:r>
      <w:r w:rsidRPr="22B40BB7">
        <w:rPr>
          <w:lang w:val="es-ES"/>
        </w:rPr>
        <w:t>de IDAM y los roles complementarios para cada área funcional, así como los roles que se designan fuera del ERP. El cuadro que figura a continuación refleja las operaciones cotidianas</w:t>
      </w:r>
      <w:r w:rsidR="45DF6E47" w:rsidRPr="22B40BB7">
        <w:rPr>
          <w:lang w:val="es-ES"/>
        </w:rPr>
        <w:t>, sin embargo</w:t>
      </w:r>
      <w:r w:rsidRPr="22B40BB7">
        <w:rPr>
          <w:lang w:val="es-ES"/>
        </w:rPr>
        <w:t xml:space="preserve"> no refleja las asignaciones de funciones excepcionales para procesar las transacciones de emergencia, que se destacan en las secciones pertinentes de la presente Guía.</w:t>
      </w:r>
    </w:p>
    <w:tbl>
      <w:tblPr>
        <w:tblStyle w:val="TableGrid"/>
        <w:tblpPr w:leftFromText="180" w:rightFromText="180" w:vertAnchor="text" w:tblpY="1"/>
        <w:tblOverlap w:val="never"/>
        <w:tblW w:w="10075" w:type="dxa"/>
        <w:tblCellMar>
          <w:bottom w:w="43" w:type="dxa"/>
        </w:tblCellMar>
        <w:tblLook w:val="04A0" w:firstRow="1" w:lastRow="0" w:firstColumn="1" w:lastColumn="0" w:noHBand="0" w:noVBand="1"/>
      </w:tblPr>
      <w:tblGrid>
        <w:gridCol w:w="3685"/>
        <w:gridCol w:w="2700"/>
        <w:gridCol w:w="3690"/>
      </w:tblGrid>
      <w:tr w:rsidR="007802E1" w:rsidRPr="00773863" w14:paraId="3BAC98DE" w14:textId="77777777" w:rsidTr="0004107A">
        <w:trPr>
          <w:trHeight w:val="20"/>
          <w:tblHeader/>
        </w:trPr>
        <w:tc>
          <w:tcPr>
            <w:tcW w:w="3685" w:type="dxa"/>
            <w:tcBorders>
              <w:top w:val="single" w:sz="4" w:space="0" w:color="auto"/>
              <w:left w:val="single" w:sz="4" w:space="0" w:color="auto"/>
              <w:bottom w:val="single" w:sz="4" w:space="0" w:color="auto"/>
              <w:right w:val="single" w:sz="4" w:space="0" w:color="auto"/>
            </w:tcBorders>
            <w:shd w:val="clear" w:color="auto" w:fill="002060"/>
          </w:tcPr>
          <w:p w14:paraId="229E26B1" w14:textId="65F5475A" w:rsidR="007802E1" w:rsidRPr="00756410" w:rsidRDefault="007802E1" w:rsidP="00491939">
            <w:pPr>
              <w:rPr>
                <w:rFonts w:cstheme="minorHAnsi"/>
                <w:b/>
                <w:sz w:val="20"/>
                <w:szCs w:val="20"/>
                <w:lang w:val="es-419"/>
              </w:rPr>
            </w:pPr>
            <w:r w:rsidRPr="00756410">
              <w:rPr>
                <w:rFonts w:cstheme="minorHAnsi"/>
                <w:b/>
                <w:sz w:val="20"/>
                <w:szCs w:val="20"/>
                <w:lang w:val="es-419"/>
              </w:rPr>
              <w:t>Función descrita en esta guía</w:t>
            </w:r>
          </w:p>
        </w:tc>
        <w:tc>
          <w:tcPr>
            <w:tcW w:w="2700" w:type="dxa"/>
            <w:tcBorders>
              <w:top w:val="single" w:sz="4" w:space="0" w:color="auto"/>
              <w:left w:val="single" w:sz="4" w:space="0" w:color="auto"/>
              <w:bottom w:val="single" w:sz="4" w:space="0" w:color="auto"/>
              <w:right w:val="single" w:sz="4" w:space="0" w:color="auto"/>
            </w:tcBorders>
            <w:shd w:val="clear" w:color="auto" w:fill="002060"/>
          </w:tcPr>
          <w:p w14:paraId="283F1DE2" w14:textId="02CC5BB7" w:rsidR="007802E1" w:rsidRPr="00756410" w:rsidRDefault="007802E1" w:rsidP="00491939">
            <w:pPr>
              <w:rPr>
                <w:rFonts w:cstheme="minorHAnsi"/>
                <w:b/>
                <w:sz w:val="20"/>
                <w:szCs w:val="20"/>
                <w:lang w:val="pt-PT"/>
              </w:rPr>
            </w:pPr>
            <w:r w:rsidRPr="00756410">
              <w:rPr>
                <w:rFonts w:cstheme="minorHAnsi"/>
                <w:b/>
                <w:sz w:val="20"/>
                <w:szCs w:val="20"/>
                <w:lang w:val="pt-PT"/>
              </w:rPr>
              <w:t xml:space="preserve">Perfil de </w:t>
            </w:r>
            <w:r w:rsidR="0001612D">
              <w:rPr>
                <w:rFonts w:cstheme="minorHAnsi"/>
                <w:b/>
                <w:sz w:val="20"/>
                <w:szCs w:val="20"/>
                <w:lang w:val="pt-PT"/>
              </w:rPr>
              <w:t>usuario</w:t>
            </w:r>
            <w:r w:rsidR="0001612D" w:rsidRPr="00756410">
              <w:rPr>
                <w:rFonts w:cstheme="minorHAnsi"/>
                <w:b/>
                <w:sz w:val="20"/>
                <w:szCs w:val="20"/>
                <w:lang w:val="pt-PT"/>
              </w:rPr>
              <w:t xml:space="preserve"> </w:t>
            </w:r>
            <w:r w:rsidRPr="00756410">
              <w:rPr>
                <w:rFonts w:cstheme="minorHAnsi"/>
                <w:b/>
                <w:sz w:val="20"/>
                <w:szCs w:val="20"/>
                <w:lang w:val="pt-PT"/>
              </w:rPr>
              <w:t>(BP) o rol complementario (SR) de IDAM</w:t>
            </w:r>
          </w:p>
        </w:tc>
        <w:tc>
          <w:tcPr>
            <w:tcW w:w="3690" w:type="dxa"/>
            <w:tcBorders>
              <w:top w:val="single" w:sz="4" w:space="0" w:color="auto"/>
              <w:left w:val="single" w:sz="4" w:space="0" w:color="auto"/>
              <w:bottom w:val="single" w:sz="4" w:space="0" w:color="auto"/>
              <w:right w:val="single" w:sz="4" w:space="0" w:color="auto"/>
            </w:tcBorders>
            <w:shd w:val="clear" w:color="auto" w:fill="002060"/>
          </w:tcPr>
          <w:p w14:paraId="186A28D1" w14:textId="74E73C97" w:rsidR="007802E1" w:rsidRPr="00756410" w:rsidRDefault="00953D70" w:rsidP="00491939">
            <w:pPr>
              <w:rPr>
                <w:rFonts w:cstheme="minorHAnsi"/>
                <w:b/>
                <w:bCs/>
                <w:sz w:val="20"/>
                <w:szCs w:val="20"/>
                <w:lang w:val="es-ES"/>
              </w:rPr>
            </w:pPr>
            <w:r w:rsidRPr="00756410">
              <w:rPr>
                <w:rFonts w:cstheme="minorHAnsi"/>
                <w:b/>
                <w:bCs/>
                <w:sz w:val="20"/>
                <w:szCs w:val="20"/>
                <w:lang w:val="es-ES"/>
              </w:rPr>
              <w:t>BP o SR se pueden asignar en IDAM dentro de cada oficina</w:t>
            </w:r>
            <w:r w:rsidR="0000736A">
              <w:rPr>
                <w:rFonts w:cstheme="minorHAnsi"/>
                <w:b/>
                <w:bCs/>
                <w:sz w:val="20"/>
                <w:szCs w:val="20"/>
                <w:lang w:val="es-ES"/>
              </w:rPr>
              <w:t xml:space="preserve"> o </w:t>
            </w:r>
            <w:r w:rsidRPr="00756410">
              <w:rPr>
                <w:rFonts w:cstheme="minorHAnsi"/>
                <w:b/>
                <w:bCs/>
                <w:sz w:val="20"/>
                <w:szCs w:val="20"/>
                <w:lang w:val="es-ES"/>
              </w:rPr>
              <w:t>unidad</w:t>
            </w:r>
          </w:p>
        </w:tc>
      </w:tr>
      <w:tr w:rsidR="007802E1" w:rsidRPr="00773863" w14:paraId="7FA2E703"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6771464D" w14:textId="2386EBF1" w:rsidR="007802E1" w:rsidRPr="00756410" w:rsidRDefault="007802E1" w:rsidP="363CA695">
            <w:pPr>
              <w:rPr>
                <w:sz w:val="20"/>
                <w:szCs w:val="20"/>
                <w:lang w:val="es-419"/>
              </w:rPr>
            </w:pPr>
            <w:r w:rsidRPr="00756410">
              <w:rPr>
                <w:b/>
                <w:sz w:val="20"/>
                <w:szCs w:val="20"/>
                <w:lang w:val="es-419"/>
              </w:rPr>
              <w:t>Gestión de programas y proyectos</w:t>
            </w:r>
          </w:p>
        </w:tc>
      </w:tr>
      <w:tr w:rsidR="007802E1" w:rsidRPr="00F133DC" w14:paraId="10E5394C"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78565A3"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Gerente de proyecto </w:t>
            </w:r>
          </w:p>
          <w:p w14:paraId="4398E852" w14:textId="660C6724" w:rsidR="001316C1" w:rsidRPr="00756410" w:rsidRDefault="007802E1" w:rsidP="00491939">
            <w:pPr>
              <w:rPr>
                <w:rFonts w:cstheme="minorHAnsi"/>
                <w:i/>
                <w:iCs/>
                <w:sz w:val="20"/>
                <w:szCs w:val="20"/>
                <w:lang w:val="es-ES"/>
              </w:rPr>
            </w:pPr>
            <w:r w:rsidRPr="00756410">
              <w:rPr>
                <w:rFonts w:cstheme="minorHAnsi"/>
                <w:i/>
                <w:iCs/>
                <w:sz w:val="20"/>
                <w:szCs w:val="20"/>
                <w:lang w:val="es-ES"/>
              </w:rPr>
              <w:t xml:space="preserve">(primera autoridad, </w:t>
            </w:r>
            <w:r w:rsidR="0011665D" w:rsidRPr="00756410">
              <w:rPr>
                <w:i/>
                <w:iCs/>
                <w:sz w:val="20"/>
                <w:szCs w:val="20"/>
                <w:lang w:val="es-419"/>
              </w:rPr>
              <w:t>personal autorizado para contraer compromisos</w:t>
            </w:r>
            <w:r w:rsidRPr="00756410">
              <w:rPr>
                <w:rFonts w:cstheme="minorHAnsi"/>
                <w:i/>
                <w:iCs/>
                <w:sz w:val="20"/>
                <w:szCs w:val="20"/>
                <w:lang w:val="es-ES"/>
              </w:rPr>
              <w:t>)</w:t>
            </w:r>
          </w:p>
        </w:tc>
        <w:tc>
          <w:tcPr>
            <w:tcW w:w="2700" w:type="dxa"/>
            <w:tcBorders>
              <w:top w:val="single" w:sz="4" w:space="0" w:color="auto"/>
              <w:left w:val="single" w:sz="4" w:space="0" w:color="auto"/>
              <w:bottom w:val="single" w:sz="4" w:space="0" w:color="auto"/>
              <w:right w:val="single" w:sz="4" w:space="0" w:color="auto"/>
            </w:tcBorders>
          </w:tcPr>
          <w:p w14:paraId="6769646F" w14:textId="77777777" w:rsidR="007802E1" w:rsidRDefault="007802E1" w:rsidP="00491939">
            <w:pPr>
              <w:rPr>
                <w:rFonts w:cstheme="minorHAnsi"/>
                <w:sz w:val="20"/>
                <w:szCs w:val="20"/>
              </w:rPr>
            </w:pPr>
            <w:r w:rsidRPr="00D2258D">
              <w:rPr>
                <w:rFonts w:cstheme="minorHAnsi"/>
                <w:sz w:val="20"/>
                <w:szCs w:val="20"/>
              </w:rPr>
              <w:t>Gerente de Proyecto (BP)</w:t>
            </w:r>
          </w:p>
          <w:p w14:paraId="5C155DEA" w14:textId="2EFC228E" w:rsidR="001316C1" w:rsidRPr="00D2258D" w:rsidRDefault="001316C1" w:rsidP="00491939">
            <w:pPr>
              <w:rPr>
                <w:rFonts w:cstheme="minorHAnsi"/>
                <w:sz w:val="20"/>
                <w:szCs w:val="20"/>
              </w:rPr>
            </w:pPr>
            <w:r>
              <w:rPr>
                <w:rFonts w:cstheme="minorHAnsi"/>
                <w:i/>
                <w:iCs/>
                <w:sz w:val="20"/>
                <w:szCs w:val="20"/>
                <w:lang w:val="es-ES"/>
              </w:rPr>
              <w:t>[Project Manager]</w:t>
            </w:r>
          </w:p>
        </w:tc>
        <w:tc>
          <w:tcPr>
            <w:tcW w:w="3690" w:type="dxa"/>
            <w:tcBorders>
              <w:top w:val="single" w:sz="4" w:space="0" w:color="auto"/>
              <w:left w:val="single" w:sz="4" w:space="0" w:color="auto"/>
              <w:bottom w:val="single" w:sz="4" w:space="0" w:color="auto"/>
              <w:right w:val="single" w:sz="4" w:space="0" w:color="auto"/>
            </w:tcBorders>
          </w:tcPr>
          <w:p w14:paraId="3AC0C8D4"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F133DC" w14:paraId="4C2CFEB4"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4D3C8A3" w14:textId="39CA521D" w:rsidR="007802E1" w:rsidRPr="00D2258D" w:rsidRDefault="007802E1" w:rsidP="363CA695">
            <w:pPr>
              <w:rPr>
                <w:sz w:val="20"/>
                <w:szCs w:val="20"/>
              </w:rPr>
            </w:pPr>
            <w:r w:rsidRPr="00D2258D">
              <w:rPr>
                <w:sz w:val="20"/>
                <w:szCs w:val="20"/>
              </w:rPr>
              <w:t>Oficial de programas</w:t>
            </w:r>
          </w:p>
        </w:tc>
        <w:tc>
          <w:tcPr>
            <w:tcW w:w="2700" w:type="dxa"/>
            <w:tcBorders>
              <w:top w:val="single" w:sz="4" w:space="0" w:color="auto"/>
              <w:left w:val="single" w:sz="4" w:space="0" w:color="auto"/>
              <w:bottom w:val="single" w:sz="4" w:space="0" w:color="auto"/>
              <w:right w:val="single" w:sz="4" w:space="0" w:color="auto"/>
            </w:tcBorders>
          </w:tcPr>
          <w:p w14:paraId="781747F9" w14:textId="77777777" w:rsidR="007802E1" w:rsidRPr="00756410" w:rsidRDefault="007802E1" w:rsidP="00491939">
            <w:pPr>
              <w:rPr>
                <w:rFonts w:cstheme="minorHAnsi"/>
                <w:sz w:val="20"/>
                <w:szCs w:val="20"/>
                <w:lang w:val="es-ES"/>
              </w:rPr>
            </w:pPr>
            <w:r w:rsidRPr="00756410">
              <w:rPr>
                <w:rFonts w:cstheme="minorHAnsi"/>
                <w:sz w:val="20"/>
                <w:szCs w:val="20"/>
                <w:lang w:val="es-ES"/>
              </w:rPr>
              <w:t>Usuario general (BP)</w:t>
            </w:r>
          </w:p>
          <w:p w14:paraId="0BC4FF9E" w14:textId="4E7466B7" w:rsidR="001316C1" w:rsidRPr="00756410" w:rsidRDefault="001316C1"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General User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F8F012E"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773863" w14:paraId="6F79A2B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53413AF" w14:textId="77777777" w:rsidR="007802E1" w:rsidRPr="00D2258D" w:rsidRDefault="007802E1" w:rsidP="00491939">
            <w:pPr>
              <w:rPr>
                <w:rFonts w:cstheme="minorHAnsi"/>
                <w:sz w:val="20"/>
                <w:szCs w:val="20"/>
              </w:rPr>
            </w:pPr>
            <w:r w:rsidRPr="00D2258D">
              <w:rPr>
                <w:rFonts w:cstheme="minorHAnsi"/>
                <w:sz w:val="20"/>
                <w:szCs w:val="20"/>
              </w:rPr>
              <w:t>Administrador de fondos fiduciarios</w:t>
            </w:r>
          </w:p>
        </w:tc>
        <w:tc>
          <w:tcPr>
            <w:tcW w:w="2700" w:type="dxa"/>
            <w:tcBorders>
              <w:top w:val="single" w:sz="4" w:space="0" w:color="auto"/>
              <w:left w:val="single" w:sz="4" w:space="0" w:color="auto"/>
              <w:bottom w:val="single" w:sz="4" w:space="0" w:color="auto"/>
              <w:right w:val="single" w:sz="4" w:space="0" w:color="auto"/>
            </w:tcBorders>
          </w:tcPr>
          <w:p w14:paraId="58EACE76" w14:textId="77777777" w:rsidR="007802E1" w:rsidRPr="00756410" w:rsidRDefault="007802E1" w:rsidP="00491939">
            <w:pPr>
              <w:rPr>
                <w:rFonts w:cstheme="minorHAnsi"/>
                <w:sz w:val="20"/>
                <w:szCs w:val="20"/>
                <w:lang w:val="es-ES"/>
              </w:rPr>
            </w:pPr>
            <w:r w:rsidRPr="00756410">
              <w:rPr>
                <w:rFonts w:cstheme="minorHAnsi"/>
                <w:sz w:val="20"/>
                <w:szCs w:val="20"/>
                <w:lang w:val="es-ES"/>
              </w:rPr>
              <w:t>Gestor de fondos (SR)</w:t>
            </w:r>
          </w:p>
          <w:p w14:paraId="69E407AC" w14:textId="6416CA83" w:rsidR="001316C1" w:rsidRPr="00756410" w:rsidRDefault="001316C1" w:rsidP="00491939">
            <w:pPr>
              <w:rPr>
                <w:rFonts w:cstheme="minorHAnsi"/>
                <w:sz w:val="20"/>
                <w:szCs w:val="20"/>
                <w:lang w:val="es-ES"/>
              </w:rPr>
            </w:pPr>
            <w:r w:rsidRPr="00756410">
              <w:rPr>
                <w:rFonts w:cstheme="minorHAnsi"/>
                <w:sz w:val="20"/>
                <w:szCs w:val="20"/>
                <w:lang w:val="es-ES"/>
              </w:rPr>
              <w:t>[</w:t>
            </w:r>
            <w:r w:rsidRPr="00756410">
              <w:rPr>
                <w:rFonts w:cstheme="minorHAnsi"/>
                <w:i/>
                <w:sz w:val="20"/>
                <w:szCs w:val="20"/>
                <w:lang w:val="es-ES"/>
              </w:rPr>
              <w:t>Fund Manager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6C074F49" w14:textId="31788A09" w:rsidR="007802E1" w:rsidRPr="00756410" w:rsidRDefault="007802E1" w:rsidP="22B40BB7">
            <w:pPr>
              <w:rPr>
                <w:sz w:val="20"/>
                <w:szCs w:val="20"/>
                <w:lang w:val="es-419"/>
              </w:rPr>
            </w:pPr>
            <w:r w:rsidRPr="00756410">
              <w:rPr>
                <w:sz w:val="20"/>
                <w:szCs w:val="20"/>
                <w:lang w:val="es-419"/>
              </w:rPr>
              <w:t>Sí, pero requiere aprobación previa de BMS/OFRM, que está integrada en el flujo de trabajo de IDAM</w:t>
            </w:r>
          </w:p>
        </w:tc>
      </w:tr>
      <w:tr w:rsidR="002876E5" w:rsidRPr="00F133DC" w14:paraId="3A31844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8A1CFAA" w14:textId="49CED597" w:rsidR="002876E5" w:rsidRPr="00D2258D" w:rsidRDefault="002876E5" w:rsidP="00491939">
            <w:pPr>
              <w:rPr>
                <w:rFonts w:cstheme="minorHAnsi"/>
                <w:sz w:val="20"/>
                <w:szCs w:val="20"/>
              </w:rPr>
            </w:pPr>
            <w:r>
              <w:rPr>
                <w:rFonts w:cstheme="minorHAnsi"/>
                <w:sz w:val="20"/>
                <w:szCs w:val="20"/>
              </w:rPr>
              <w:t>RRA - Programas</w:t>
            </w:r>
          </w:p>
        </w:tc>
        <w:tc>
          <w:tcPr>
            <w:tcW w:w="2700" w:type="dxa"/>
            <w:tcBorders>
              <w:top w:val="single" w:sz="4" w:space="0" w:color="auto"/>
              <w:left w:val="single" w:sz="4" w:space="0" w:color="auto"/>
              <w:bottom w:val="single" w:sz="4" w:space="0" w:color="auto"/>
              <w:right w:val="single" w:sz="4" w:space="0" w:color="auto"/>
            </w:tcBorders>
          </w:tcPr>
          <w:p w14:paraId="72A89415" w14:textId="4926BB33" w:rsidR="002876E5" w:rsidRPr="00756410" w:rsidRDefault="1AEE4400" w:rsidP="22B40BB7">
            <w:pPr>
              <w:rPr>
                <w:sz w:val="20"/>
                <w:szCs w:val="20"/>
                <w:lang w:val="es-419"/>
              </w:rPr>
            </w:pPr>
            <w:r w:rsidRPr="00756410">
              <w:rPr>
                <w:sz w:val="20"/>
                <w:szCs w:val="20"/>
                <w:lang w:val="es-419"/>
              </w:rPr>
              <w:t xml:space="preserve">Por lo general, </w:t>
            </w:r>
            <w:r w:rsidR="001316C1">
              <w:rPr>
                <w:sz w:val="20"/>
                <w:szCs w:val="20"/>
                <w:lang w:val="es-419"/>
              </w:rPr>
              <w:t>G</w:t>
            </w:r>
            <w:r w:rsidRPr="00756410">
              <w:rPr>
                <w:sz w:val="20"/>
                <w:szCs w:val="20"/>
                <w:lang w:val="es-419"/>
              </w:rPr>
              <w:t xml:space="preserve">erente </w:t>
            </w:r>
            <w:r w:rsidR="001316C1">
              <w:rPr>
                <w:sz w:val="20"/>
                <w:szCs w:val="20"/>
                <w:lang w:val="es-419"/>
              </w:rPr>
              <w:t>S</w:t>
            </w:r>
            <w:r w:rsidR="1C7B66CD" w:rsidRPr="00756410">
              <w:rPr>
                <w:sz w:val="20"/>
                <w:szCs w:val="20"/>
                <w:lang w:val="es-419"/>
              </w:rPr>
              <w:t>enior</w:t>
            </w:r>
            <w:r w:rsidR="001316C1">
              <w:rPr>
                <w:sz w:val="20"/>
                <w:szCs w:val="20"/>
                <w:lang w:val="es-419"/>
              </w:rPr>
              <w:t xml:space="preserve"> [</w:t>
            </w:r>
            <w:r w:rsidR="001316C1" w:rsidRPr="00756410">
              <w:rPr>
                <w:i/>
                <w:iCs/>
                <w:sz w:val="20"/>
                <w:szCs w:val="20"/>
                <w:lang w:val="es-419"/>
              </w:rPr>
              <w:t>Senior Manager</w:t>
            </w:r>
            <w:r w:rsidR="001316C1">
              <w:rPr>
                <w:sz w:val="20"/>
                <w:szCs w:val="20"/>
                <w:lang w:val="es-419"/>
              </w:rPr>
              <w:t>]</w:t>
            </w:r>
          </w:p>
        </w:tc>
        <w:tc>
          <w:tcPr>
            <w:tcW w:w="3690" w:type="dxa"/>
            <w:tcBorders>
              <w:top w:val="single" w:sz="4" w:space="0" w:color="auto"/>
              <w:left w:val="single" w:sz="4" w:space="0" w:color="auto"/>
              <w:bottom w:val="single" w:sz="4" w:space="0" w:color="auto"/>
              <w:right w:val="single" w:sz="4" w:space="0" w:color="auto"/>
            </w:tcBorders>
          </w:tcPr>
          <w:p w14:paraId="4845D60D" w14:textId="6A781F6A" w:rsidR="002876E5" w:rsidRPr="00D2258D" w:rsidRDefault="002876E5" w:rsidP="00491939">
            <w:pPr>
              <w:rPr>
                <w:rFonts w:cstheme="minorHAnsi"/>
                <w:sz w:val="20"/>
                <w:szCs w:val="20"/>
              </w:rPr>
            </w:pPr>
            <w:r>
              <w:rPr>
                <w:rFonts w:cstheme="minorHAnsi"/>
                <w:sz w:val="20"/>
                <w:szCs w:val="20"/>
              </w:rPr>
              <w:t>Sí</w:t>
            </w:r>
          </w:p>
        </w:tc>
      </w:tr>
      <w:tr w:rsidR="007802E1" w:rsidRPr="00F133DC" w14:paraId="5DD6823B"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shd w:val="clear" w:color="auto" w:fill="00B0F0"/>
          </w:tcPr>
          <w:p w14:paraId="286563B6" w14:textId="77777777" w:rsidR="007802E1" w:rsidRPr="00F133DC" w:rsidRDefault="007802E1" w:rsidP="00491939">
            <w:pPr>
              <w:rPr>
                <w:rFonts w:cstheme="minorHAnsi"/>
                <w:b/>
                <w:bCs/>
                <w:sz w:val="20"/>
                <w:szCs w:val="20"/>
              </w:rPr>
            </w:pPr>
            <w:r w:rsidRPr="00F133DC">
              <w:rPr>
                <w:rFonts w:cstheme="minorHAnsi"/>
                <w:b/>
                <w:bCs/>
                <w:sz w:val="20"/>
                <w:szCs w:val="20"/>
              </w:rPr>
              <w:t>Adquirir y pagar</w:t>
            </w:r>
          </w:p>
        </w:tc>
        <w:tc>
          <w:tcPr>
            <w:tcW w:w="2700" w:type="dxa"/>
            <w:tcBorders>
              <w:top w:val="single" w:sz="4" w:space="0" w:color="auto"/>
              <w:left w:val="single" w:sz="4" w:space="0" w:color="auto"/>
              <w:bottom w:val="single" w:sz="4" w:space="0" w:color="auto"/>
              <w:right w:val="single" w:sz="4" w:space="0" w:color="auto"/>
            </w:tcBorders>
            <w:shd w:val="clear" w:color="auto" w:fill="00B0F0"/>
          </w:tcPr>
          <w:p w14:paraId="54AF0D5D" w14:textId="77777777" w:rsidR="007802E1" w:rsidRPr="00F133DC" w:rsidRDefault="007802E1" w:rsidP="00491939">
            <w:pPr>
              <w:rPr>
                <w:rFonts w:cstheme="minorHAnsi"/>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00B0F0"/>
          </w:tcPr>
          <w:p w14:paraId="5AA0973A" w14:textId="77777777" w:rsidR="007802E1" w:rsidRPr="00F133DC" w:rsidRDefault="007802E1" w:rsidP="00491939">
            <w:pPr>
              <w:rPr>
                <w:rFonts w:cstheme="minorHAnsi"/>
                <w:sz w:val="20"/>
                <w:szCs w:val="20"/>
              </w:rPr>
            </w:pPr>
          </w:p>
        </w:tc>
      </w:tr>
      <w:tr w:rsidR="007802E1" w:rsidRPr="00F133DC" w14:paraId="527C426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94EFC6F" w14:textId="77777777" w:rsidR="007802E1" w:rsidRPr="00D2258D" w:rsidRDefault="007802E1" w:rsidP="00491939">
            <w:pPr>
              <w:rPr>
                <w:rFonts w:cstheme="minorHAnsi"/>
                <w:sz w:val="20"/>
                <w:szCs w:val="20"/>
              </w:rPr>
            </w:pPr>
            <w:r w:rsidRPr="00D2258D">
              <w:rPr>
                <w:rFonts w:cstheme="minorHAnsi"/>
                <w:sz w:val="20"/>
                <w:szCs w:val="20"/>
              </w:rPr>
              <w:t>Comprador</w:t>
            </w:r>
          </w:p>
        </w:tc>
        <w:tc>
          <w:tcPr>
            <w:tcW w:w="2700" w:type="dxa"/>
            <w:tcBorders>
              <w:top w:val="single" w:sz="4" w:space="0" w:color="auto"/>
              <w:left w:val="single" w:sz="4" w:space="0" w:color="auto"/>
              <w:bottom w:val="single" w:sz="4" w:space="0" w:color="auto"/>
              <w:right w:val="single" w:sz="4" w:space="0" w:color="auto"/>
            </w:tcBorders>
          </w:tcPr>
          <w:p w14:paraId="66397BD5" w14:textId="6DE8693E" w:rsidR="007802E1" w:rsidRPr="00756410" w:rsidRDefault="007802E1" w:rsidP="00491939">
            <w:pPr>
              <w:rPr>
                <w:rFonts w:cstheme="minorHAnsi"/>
                <w:sz w:val="20"/>
                <w:szCs w:val="20"/>
                <w:lang w:val="es-ES"/>
              </w:rPr>
            </w:pPr>
            <w:r w:rsidRPr="00756410">
              <w:rPr>
                <w:rFonts w:cstheme="minorHAnsi"/>
                <w:sz w:val="20"/>
                <w:szCs w:val="20"/>
                <w:lang w:val="es-ES"/>
              </w:rPr>
              <w:t xml:space="preserve">Comprador de </w:t>
            </w:r>
            <w:r w:rsidR="0059178C" w:rsidRPr="00756410">
              <w:rPr>
                <w:rFonts w:cstheme="minorHAnsi"/>
                <w:sz w:val="20"/>
                <w:szCs w:val="20"/>
                <w:lang w:val="es-ES"/>
              </w:rPr>
              <w:t xml:space="preserve">aquisiciones </w:t>
            </w:r>
            <w:r w:rsidRPr="00756410">
              <w:rPr>
                <w:rFonts w:cstheme="minorHAnsi"/>
                <w:sz w:val="20"/>
                <w:szCs w:val="20"/>
                <w:lang w:val="es-ES"/>
              </w:rPr>
              <w:t>(BP)</w:t>
            </w:r>
          </w:p>
          <w:p w14:paraId="3636F07D" w14:textId="0E963DA2" w:rsidR="001316C1" w:rsidRPr="00756410" w:rsidRDefault="001316C1"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Procuremet Buyer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74B4ADCB"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F133DC" w14:paraId="795613B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40C346D" w14:textId="77777777" w:rsidR="007802E1" w:rsidRPr="00756410" w:rsidRDefault="007802E1" w:rsidP="00491939">
            <w:pPr>
              <w:rPr>
                <w:rFonts w:cstheme="minorHAnsi"/>
                <w:sz w:val="20"/>
                <w:szCs w:val="20"/>
                <w:lang w:val="es-ES"/>
              </w:rPr>
            </w:pPr>
            <w:r w:rsidRPr="00756410">
              <w:rPr>
                <w:rFonts w:cstheme="minorHAnsi"/>
                <w:sz w:val="20"/>
                <w:szCs w:val="20"/>
                <w:lang w:val="es-ES"/>
              </w:rPr>
              <w:t>Mantenimiento de proveedores (aprobador L1)</w:t>
            </w:r>
          </w:p>
        </w:tc>
        <w:tc>
          <w:tcPr>
            <w:tcW w:w="2700" w:type="dxa"/>
            <w:tcBorders>
              <w:top w:val="single" w:sz="4" w:space="0" w:color="auto"/>
              <w:left w:val="single" w:sz="4" w:space="0" w:color="auto"/>
              <w:bottom w:val="single" w:sz="4" w:space="0" w:color="auto"/>
              <w:right w:val="single" w:sz="4" w:space="0" w:color="auto"/>
            </w:tcBorders>
          </w:tcPr>
          <w:p w14:paraId="65035A84" w14:textId="77777777" w:rsidR="007802E1" w:rsidRPr="00756410" w:rsidRDefault="007802E1" w:rsidP="00491939">
            <w:pPr>
              <w:rPr>
                <w:rFonts w:cstheme="minorHAnsi"/>
                <w:sz w:val="20"/>
                <w:szCs w:val="20"/>
                <w:lang w:val="es-ES"/>
              </w:rPr>
            </w:pPr>
            <w:r w:rsidRPr="00756410">
              <w:rPr>
                <w:rFonts w:cstheme="minorHAnsi"/>
                <w:sz w:val="20"/>
                <w:szCs w:val="20"/>
                <w:lang w:val="es-ES"/>
              </w:rPr>
              <w:t>Mantenimiento de proveedores (SR)</w:t>
            </w:r>
          </w:p>
          <w:p w14:paraId="6343E641" w14:textId="6B5EAAEE" w:rsidR="0059178C" w:rsidRPr="00756410" w:rsidRDefault="0059178C"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Supplier Maintenance</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3EE52F58"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773863" w14:paraId="0ADC9AC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6403284" w14:textId="77777777" w:rsidR="007802E1" w:rsidRPr="00756410" w:rsidRDefault="007802E1" w:rsidP="00491939">
            <w:pPr>
              <w:rPr>
                <w:rFonts w:cstheme="minorHAnsi"/>
                <w:sz w:val="20"/>
                <w:szCs w:val="20"/>
                <w:lang w:val="es-ES"/>
              </w:rPr>
            </w:pPr>
            <w:r w:rsidRPr="00756410">
              <w:rPr>
                <w:rFonts w:cstheme="minorHAnsi"/>
                <w:sz w:val="20"/>
                <w:szCs w:val="20"/>
                <w:lang w:val="es-ES"/>
              </w:rPr>
              <w:t>Aprobador de proveedores (aprobador L2)</w:t>
            </w:r>
          </w:p>
        </w:tc>
        <w:tc>
          <w:tcPr>
            <w:tcW w:w="2700" w:type="dxa"/>
            <w:tcBorders>
              <w:top w:val="single" w:sz="4" w:space="0" w:color="auto"/>
              <w:left w:val="single" w:sz="4" w:space="0" w:color="auto"/>
              <w:bottom w:val="single" w:sz="4" w:space="0" w:color="auto"/>
              <w:right w:val="single" w:sz="4" w:space="0" w:color="auto"/>
            </w:tcBorders>
          </w:tcPr>
          <w:p w14:paraId="3190F588" w14:textId="77777777" w:rsidR="007802E1" w:rsidRPr="00756410" w:rsidRDefault="007802E1" w:rsidP="00491939">
            <w:pPr>
              <w:rPr>
                <w:rFonts w:cstheme="minorHAnsi"/>
                <w:sz w:val="20"/>
                <w:szCs w:val="20"/>
                <w:lang w:val="pt-PT"/>
              </w:rPr>
            </w:pPr>
            <w:r w:rsidRPr="00756410">
              <w:rPr>
                <w:rFonts w:cstheme="minorHAnsi"/>
                <w:sz w:val="20"/>
                <w:szCs w:val="20"/>
                <w:lang w:val="pt-PT"/>
              </w:rPr>
              <w:t>Aprobador de proveedores (SR)</w:t>
            </w:r>
          </w:p>
          <w:p w14:paraId="17DEF1B5" w14:textId="68EC816E" w:rsidR="0059178C" w:rsidRPr="00756410" w:rsidRDefault="0059178C" w:rsidP="00491939">
            <w:pPr>
              <w:rPr>
                <w:rFonts w:cstheme="minorHAnsi"/>
                <w:i/>
                <w:iCs/>
                <w:sz w:val="20"/>
                <w:szCs w:val="20"/>
                <w:lang w:val="pt-PT"/>
              </w:rPr>
            </w:pPr>
            <w:r w:rsidRPr="00756410">
              <w:rPr>
                <w:rFonts w:cstheme="minorHAnsi"/>
                <w:sz w:val="20"/>
                <w:szCs w:val="20"/>
                <w:lang w:val="pt-PT"/>
              </w:rPr>
              <w:t>[</w:t>
            </w:r>
            <w:r w:rsidRPr="00756410">
              <w:rPr>
                <w:rFonts w:cstheme="minorHAnsi"/>
                <w:i/>
                <w:iCs/>
                <w:sz w:val="20"/>
                <w:szCs w:val="20"/>
                <w:lang w:val="pt-PT"/>
              </w:rPr>
              <w:t>Supplier Approver</w:t>
            </w:r>
            <w:r w:rsidRPr="00756410">
              <w:rPr>
                <w:rFonts w:cstheme="minorHAnsi"/>
                <w:sz w:val="20"/>
                <w:szCs w:val="20"/>
                <w:lang w:val="pt-PT"/>
              </w:rPr>
              <w:t>]</w:t>
            </w:r>
          </w:p>
        </w:tc>
        <w:tc>
          <w:tcPr>
            <w:tcW w:w="3690" w:type="dxa"/>
            <w:tcBorders>
              <w:top w:val="single" w:sz="4" w:space="0" w:color="auto"/>
              <w:left w:val="single" w:sz="4" w:space="0" w:color="auto"/>
              <w:bottom w:val="single" w:sz="4" w:space="0" w:color="auto"/>
              <w:right w:val="single" w:sz="4" w:space="0" w:color="auto"/>
            </w:tcBorders>
          </w:tcPr>
          <w:p w14:paraId="5EEB7B0D" w14:textId="7D8198CC" w:rsidR="007802E1" w:rsidRPr="00756410" w:rsidRDefault="007802E1" w:rsidP="363CA695">
            <w:pPr>
              <w:rPr>
                <w:sz w:val="20"/>
                <w:szCs w:val="20"/>
                <w:lang w:val="es-419"/>
              </w:rPr>
            </w:pPr>
            <w:r w:rsidRPr="00756410">
              <w:rPr>
                <w:sz w:val="20"/>
                <w:szCs w:val="20"/>
                <w:lang w:val="es-419"/>
              </w:rPr>
              <w:t>No. Solo BMS/GSSC, a menos que BMS/OFRM haya otorgado una excepción justificada para oficinas/unidades de la sede seleccionadas.</w:t>
            </w:r>
          </w:p>
        </w:tc>
      </w:tr>
      <w:tr w:rsidR="007802E1" w:rsidRPr="00F133DC" w14:paraId="50AB154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C2BBF0E"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Gerente de aprobación </w:t>
            </w:r>
          </w:p>
          <w:p w14:paraId="454D5D58"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(segunda autoridad, oficial verificador)</w:t>
            </w:r>
          </w:p>
        </w:tc>
        <w:tc>
          <w:tcPr>
            <w:tcW w:w="2700" w:type="dxa"/>
            <w:tcBorders>
              <w:top w:val="single" w:sz="4" w:space="0" w:color="auto"/>
              <w:left w:val="single" w:sz="4" w:space="0" w:color="auto"/>
              <w:bottom w:val="single" w:sz="4" w:space="0" w:color="auto"/>
              <w:right w:val="single" w:sz="4" w:space="0" w:color="auto"/>
            </w:tcBorders>
          </w:tcPr>
          <w:p w14:paraId="59CD8FA1" w14:textId="77777777" w:rsidR="007802E1" w:rsidRDefault="007802E1" w:rsidP="00491939">
            <w:pPr>
              <w:rPr>
                <w:rFonts w:cstheme="minorHAnsi"/>
                <w:sz w:val="20"/>
                <w:szCs w:val="20"/>
                <w:lang w:val="es-ES"/>
              </w:rPr>
            </w:pPr>
            <w:r w:rsidRPr="00756410">
              <w:rPr>
                <w:rFonts w:cstheme="minorHAnsi"/>
                <w:sz w:val="20"/>
                <w:szCs w:val="20"/>
                <w:lang w:val="es-ES"/>
              </w:rPr>
              <w:t>Gerente Nivel 1, Gerente Nivel 2, Gerente Senior (BP)</w:t>
            </w:r>
          </w:p>
          <w:p w14:paraId="4402C9F7" w14:textId="3BD22B65" w:rsidR="0059178C" w:rsidRPr="0016440C" w:rsidRDefault="0059178C" w:rsidP="00491939">
            <w:pPr>
              <w:rPr>
                <w:rFonts w:cstheme="minorHAnsi"/>
                <w:sz w:val="20"/>
                <w:szCs w:val="20"/>
              </w:rPr>
            </w:pPr>
            <w:r w:rsidRPr="00756410">
              <w:rPr>
                <w:rFonts w:cstheme="minorHAnsi"/>
                <w:sz w:val="20"/>
                <w:szCs w:val="20"/>
              </w:rPr>
              <w:t>[</w:t>
            </w:r>
            <w:r w:rsidR="00024187" w:rsidRPr="00756410">
              <w:rPr>
                <w:rFonts w:cstheme="minorHAnsi"/>
                <w:i/>
                <w:iCs/>
                <w:sz w:val="20"/>
                <w:szCs w:val="20"/>
              </w:rPr>
              <w:t>Manager Level 2, Level 2, Senior Manager</w:t>
            </w:r>
            <w:r w:rsidR="00024187">
              <w:rPr>
                <w:rFonts w:cstheme="minorHAnsi"/>
                <w:sz w:val="20"/>
                <w:szCs w:val="20"/>
              </w:rPr>
              <w:t>]</w:t>
            </w:r>
          </w:p>
        </w:tc>
        <w:tc>
          <w:tcPr>
            <w:tcW w:w="3690" w:type="dxa"/>
            <w:tcBorders>
              <w:top w:val="single" w:sz="4" w:space="0" w:color="auto"/>
              <w:left w:val="single" w:sz="4" w:space="0" w:color="auto"/>
              <w:bottom w:val="single" w:sz="4" w:space="0" w:color="auto"/>
              <w:right w:val="single" w:sz="4" w:space="0" w:color="auto"/>
            </w:tcBorders>
          </w:tcPr>
          <w:p w14:paraId="3A0AF022"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773863" w14:paraId="427FA47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E5D19B7"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Oficial de Desembolso - Parte A </w:t>
            </w:r>
          </w:p>
          <w:p w14:paraId="64B06D27"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(tercera autoridad, oficial de desembolsos)</w:t>
            </w:r>
          </w:p>
        </w:tc>
        <w:tc>
          <w:tcPr>
            <w:tcW w:w="2700" w:type="dxa"/>
            <w:tcBorders>
              <w:top w:val="single" w:sz="4" w:space="0" w:color="auto"/>
              <w:left w:val="single" w:sz="4" w:space="0" w:color="auto"/>
              <w:bottom w:val="single" w:sz="4" w:space="0" w:color="auto"/>
              <w:right w:val="single" w:sz="4" w:space="0" w:color="auto"/>
            </w:tcBorders>
          </w:tcPr>
          <w:p w14:paraId="6D4D3CCC" w14:textId="77777777" w:rsidR="007802E1" w:rsidRDefault="00791265" w:rsidP="363CA695">
            <w:pPr>
              <w:rPr>
                <w:rStyle w:val="cf01"/>
                <w:rFonts w:asciiTheme="minorHAnsi" w:hAnsiTheme="minorHAnsi" w:cstheme="minorBidi"/>
                <w:sz w:val="20"/>
                <w:szCs w:val="20"/>
                <w:lang w:val="es-ES"/>
              </w:rPr>
            </w:pPr>
            <w:r w:rsidRPr="00756410">
              <w:rPr>
                <w:rStyle w:val="cf01"/>
                <w:rFonts w:asciiTheme="minorHAnsi" w:hAnsiTheme="minorHAnsi" w:cstheme="minorBidi"/>
                <w:sz w:val="20"/>
                <w:szCs w:val="20"/>
                <w:lang w:val="es-ES"/>
              </w:rPr>
              <w:t xml:space="preserve">Supervisor de Pagos de Cuentas por Pagar PNUD (adm) o Supervisor de Pagos de Cuentas por Pagar GSSC (adm) </w:t>
            </w:r>
          </w:p>
          <w:p w14:paraId="5F584BAE" w14:textId="10D2E200" w:rsidR="00024187" w:rsidRPr="00C51DCD" w:rsidRDefault="00024187" w:rsidP="363CA695">
            <w:pPr>
              <w:rPr>
                <w:sz w:val="20"/>
                <w:szCs w:val="20"/>
              </w:rPr>
            </w:pPr>
            <w:r w:rsidRPr="00756410">
              <w:rPr>
                <w:sz w:val="20"/>
                <w:szCs w:val="20"/>
              </w:rPr>
              <w:t>[</w:t>
            </w:r>
            <w:r w:rsidRPr="00756410">
              <w:rPr>
                <w:i/>
                <w:iCs/>
                <w:sz w:val="20"/>
                <w:szCs w:val="20"/>
              </w:rPr>
              <w:t>Accounts Payable Payment Supervisor UNDP (adm) or Accounts Payable Payment Supervisor GSSC (adm)</w:t>
            </w:r>
            <w:r w:rsidRPr="00C51DCD">
              <w:rPr>
                <w:sz w:val="20"/>
                <w:szCs w:val="20"/>
              </w:rPr>
              <w:t>]</w:t>
            </w:r>
          </w:p>
        </w:tc>
        <w:tc>
          <w:tcPr>
            <w:tcW w:w="3690" w:type="dxa"/>
            <w:tcBorders>
              <w:top w:val="single" w:sz="4" w:space="0" w:color="auto"/>
              <w:left w:val="single" w:sz="4" w:space="0" w:color="auto"/>
              <w:bottom w:val="single" w:sz="4" w:space="0" w:color="auto"/>
              <w:right w:val="single" w:sz="4" w:space="0" w:color="auto"/>
            </w:tcBorders>
          </w:tcPr>
          <w:p w14:paraId="595C3C3C" w14:textId="5D90CC7F" w:rsidR="007802E1" w:rsidRPr="00756410" w:rsidRDefault="007802E1" w:rsidP="22B40BB7">
            <w:pPr>
              <w:rPr>
                <w:sz w:val="20"/>
                <w:szCs w:val="20"/>
                <w:lang w:val="es-419"/>
              </w:rPr>
            </w:pPr>
            <w:r w:rsidRPr="00756410">
              <w:rPr>
                <w:sz w:val="20"/>
                <w:szCs w:val="20"/>
                <w:lang w:val="es-419"/>
              </w:rPr>
              <w:t xml:space="preserve">No. Sólo BMS/GSSC </w:t>
            </w:r>
            <w:r w:rsidR="0E6BCA84" w:rsidRPr="22517BC1">
              <w:rPr>
                <w:sz w:val="20"/>
                <w:szCs w:val="20"/>
                <w:lang w:val="es-419"/>
              </w:rPr>
              <w:t>(</w:t>
            </w:r>
            <w:r w:rsidRPr="00756410">
              <w:rPr>
                <w:sz w:val="20"/>
                <w:szCs w:val="20"/>
                <w:lang w:val="es-419"/>
              </w:rPr>
              <w:t xml:space="preserve"> </w:t>
            </w:r>
            <w:r w:rsidRPr="22517BC1">
              <w:rPr>
                <w:sz w:val="20"/>
                <w:szCs w:val="20"/>
                <w:lang w:val="es-419"/>
              </w:rPr>
              <w:t xml:space="preserve"> </w:t>
            </w:r>
            <w:r w:rsidR="768D0C57" w:rsidRPr="22517BC1">
              <w:rPr>
                <w:sz w:val="20"/>
                <w:szCs w:val="20"/>
                <w:lang w:val="es-419"/>
              </w:rPr>
              <w:t>CO</w:t>
            </w:r>
            <w:r w:rsidRPr="00756410">
              <w:rPr>
                <w:sz w:val="20"/>
                <w:szCs w:val="20"/>
                <w:lang w:val="es-419"/>
              </w:rPr>
              <w:t xml:space="preserve">) y BMS/OFRM/Tesorería ( oficinas de la sede), y VNU. </w:t>
            </w:r>
          </w:p>
        </w:tc>
      </w:tr>
      <w:tr w:rsidR="007802E1" w:rsidRPr="00773863" w14:paraId="1C28BCD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35D51477" w14:textId="77777777" w:rsidR="007802E1" w:rsidRPr="00756410" w:rsidRDefault="007802E1" w:rsidP="00491939">
            <w:pPr>
              <w:rPr>
                <w:rFonts w:cstheme="minorHAnsi"/>
                <w:sz w:val="20"/>
                <w:szCs w:val="20"/>
                <w:lang w:val="es-ES"/>
              </w:rPr>
            </w:pPr>
            <w:r w:rsidRPr="00756410">
              <w:rPr>
                <w:rFonts w:cstheme="minorHAnsi"/>
                <w:sz w:val="20"/>
                <w:szCs w:val="20"/>
                <w:lang w:val="es-ES"/>
              </w:rPr>
              <w:lastRenderedPageBreak/>
              <w:t xml:space="preserve">Oficial de desembolso – Parte B </w:t>
            </w:r>
            <w:r w:rsidRPr="00756410">
              <w:rPr>
                <w:rFonts w:cstheme="minorHAnsi"/>
                <w:i/>
                <w:iCs/>
                <w:sz w:val="20"/>
                <w:szCs w:val="20"/>
                <w:lang w:val="es-ES"/>
              </w:rPr>
              <w:t>(tercera autoridad, oficial de desembolso)</w:t>
            </w:r>
          </w:p>
        </w:tc>
        <w:tc>
          <w:tcPr>
            <w:tcW w:w="2700" w:type="dxa"/>
            <w:tcBorders>
              <w:top w:val="single" w:sz="4" w:space="0" w:color="auto"/>
              <w:left w:val="single" w:sz="4" w:space="0" w:color="auto"/>
              <w:bottom w:val="single" w:sz="4" w:space="0" w:color="auto"/>
              <w:right w:val="single" w:sz="4" w:space="0" w:color="auto"/>
            </w:tcBorders>
          </w:tcPr>
          <w:p w14:paraId="1CDB27F2" w14:textId="77777777" w:rsidR="007802E1" w:rsidRPr="00756410" w:rsidRDefault="006D20AA" w:rsidP="00491939">
            <w:pPr>
              <w:rPr>
                <w:sz w:val="20"/>
                <w:szCs w:val="20"/>
                <w:lang w:val="it-IT"/>
              </w:rPr>
            </w:pPr>
            <w:r w:rsidRPr="00756410">
              <w:rPr>
                <w:rFonts w:cstheme="minorHAnsi"/>
                <w:sz w:val="20"/>
                <w:szCs w:val="20"/>
                <w:lang w:val="es-419"/>
              </w:rPr>
              <w:t xml:space="preserve"> </w:t>
            </w:r>
            <w:r w:rsidRPr="00756410">
              <w:rPr>
                <w:sz w:val="20"/>
                <w:szCs w:val="20"/>
                <w:lang w:val="it-IT"/>
              </w:rPr>
              <w:t>Descarga de un archivo UFF</w:t>
            </w:r>
          </w:p>
          <w:p w14:paraId="4A7EEBA7" w14:textId="09E9AC07" w:rsidR="00024187" w:rsidRPr="00756410" w:rsidRDefault="00024187" w:rsidP="00491939">
            <w:pPr>
              <w:rPr>
                <w:rFonts w:cstheme="minorHAnsi"/>
                <w:sz w:val="20"/>
                <w:szCs w:val="20"/>
                <w:lang w:val="it-IT"/>
              </w:rPr>
            </w:pPr>
            <w:r w:rsidRPr="00756410">
              <w:rPr>
                <w:rFonts w:cstheme="minorHAnsi"/>
                <w:sz w:val="20"/>
                <w:szCs w:val="20"/>
                <w:lang w:val="it-IT"/>
              </w:rPr>
              <w:t>[</w:t>
            </w:r>
            <w:r w:rsidRPr="00756410">
              <w:rPr>
                <w:rFonts w:cstheme="minorHAnsi"/>
                <w:i/>
                <w:iCs/>
                <w:sz w:val="20"/>
                <w:szCs w:val="20"/>
                <w:lang w:val="it-IT"/>
              </w:rPr>
              <w:t>UN UFF File download</w:t>
            </w:r>
            <w:r w:rsidRPr="00756410">
              <w:rPr>
                <w:rFonts w:cstheme="minorHAnsi"/>
                <w:sz w:val="20"/>
                <w:szCs w:val="20"/>
                <w:lang w:val="it-IT"/>
              </w:rPr>
              <w:t>]</w:t>
            </w:r>
          </w:p>
        </w:tc>
        <w:tc>
          <w:tcPr>
            <w:tcW w:w="3690" w:type="dxa"/>
            <w:tcBorders>
              <w:top w:val="single" w:sz="4" w:space="0" w:color="auto"/>
              <w:left w:val="single" w:sz="4" w:space="0" w:color="auto"/>
              <w:bottom w:val="single" w:sz="4" w:space="0" w:color="auto"/>
              <w:right w:val="single" w:sz="4" w:space="0" w:color="auto"/>
            </w:tcBorders>
          </w:tcPr>
          <w:p w14:paraId="02233805" w14:textId="2BC7EF2A" w:rsidR="007802E1" w:rsidRPr="00756410" w:rsidRDefault="006D20AA" w:rsidP="00491939">
            <w:pPr>
              <w:rPr>
                <w:rFonts w:cstheme="minorHAnsi"/>
                <w:sz w:val="20"/>
                <w:szCs w:val="20"/>
                <w:lang w:val="es-419"/>
              </w:rPr>
            </w:pPr>
            <w:r w:rsidRPr="00756410">
              <w:rPr>
                <w:rFonts w:cstheme="minorHAnsi"/>
                <w:sz w:val="20"/>
                <w:szCs w:val="20"/>
                <w:lang w:val="es-419"/>
              </w:rPr>
              <w:t>El acceso a los archivos de pago se controla a través de IDAM y solo se puede asignar al personal.</w:t>
            </w:r>
          </w:p>
        </w:tc>
      </w:tr>
      <w:tr w:rsidR="007802E1" w:rsidRPr="00773863" w14:paraId="5D7C122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61E106E1" w14:textId="77777777" w:rsidR="007802E1" w:rsidRPr="00756410" w:rsidRDefault="007802E1" w:rsidP="00491939">
            <w:pPr>
              <w:rPr>
                <w:rFonts w:cstheme="minorHAnsi"/>
                <w:sz w:val="20"/>
                <w:szCs w:val="20"/>
                <w:lang w:val="es-ES"/>
              </w:rPr>
            </w:pPr>
            <w:r w:rsidRPr="00756410">
              <w:rPr>
                <w:rFonts w:cstheme="minorHAnsi"/>
                <w:sz w:val="20"/>
                <w:szCs w:val="20"/>
                <w:lang w:val="es-ES"/>
              </w:rPr>
              <w:t>Signatario de la cuenta bancaria</w:t>
            </w:r>
          </w:p>
        </w:tc>
        <w:tc>
          <w:tcPr>
            <w:tcW w:w="2700" w:type="dxa"/>
            <w:tcBorders>
              <w:top w:val="single" w:sz="4" w:space="0" w:color="auto"/>
              <w:left w:val="single" w:sz="4" w:space="0" w:color="auto"/>
              <w:bottom w:val="single" w:sz="4" w:space="0" w:color="auto"/>
              <w:right w:val="single" w:sz="4" w:space="0" w:color="auto"/>
            </w:tcBorders>
          </w:tcPr>
          <w:p w14:paraId="272E6A6F" w14:textId="77777777" w:rsidR="007802E1" w:rsidRPr="00756410" w:rsidRDefault="007802E1" w:rsidP="00491939">
            <w:pPr>
              <w:rPr>
                <w:rFonts w:cstheme="minorHAnsi"/>
                <w:sz w:val="20"/>
                <w:szCs w:val="20"/>
                <w:lang w:val="es-ES"/>
              </w:rPr>
            </w:pPr>
            <w:r w:rsidRPr="00756410">
              <w:rPr>
                <w:rFonts w:cstheme="minorHAnsi"/>
                <w:sz w:val="20"/>
                <w:szCs w:val="20"/>
                <w:lang w:val="es-ES"/>
              </w:rPr>
              <w:t>Signatario del Banco (SR)</w:t>
            </w:r>
          </w:p>
          <w:p w14:paraId="10D1CBDE" w14:textId="2E2FFFD3" w:rsidR="00024187" w:rsidRPr="00756410" w:rsidRDefault="00024187"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Bank Signatory</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5B86CD3A" w14:textId="6B04D161" w:rsidR="007802E1" w:rsidRPr="00756410" w:rsidRDefault="0023701B" w:rsidP="00491939">
            <w:pPr>
              <w:rPr>
                <w:rFonts w:cstheme="minorHAnsi"/>
                <w:sz w:val="20"/>
                <w:szCs w:val="20"/>
                <w:lang w:val="es-419"/>
              </w:rPr>
            </w:pPr>
            <w:r w:rsidRPr="00756410">
              <w:rPr>
                <w:rFonts w:cstheme="minorHAnsi"/>
                <w:sz w:val="20"/>
                <w:szCs w:val="20"/>
                <w:lang w:val="es-419"/>
              </w:rPr>
              <w:t xml:space="preserve">Sí, </w:t>
            </w:r>
            <w:r w:rsidR="00DB0F51" w:rsidRPr="00DB0F51">
              <w:rPr>
                <w:rFonts w:cstheme="minorHAnsi"/>
                <w:sz w:val="20"/>
                <w:szCs w:val="20"/>
                <w:lang w:val="es-419"/>
              </w:rPr>
              <w:t>oficina</w:t>
            </w:r>
            <w:r w:rsidR="00DB0F51">
              <w:rPr>
                <w:rFonts w:cstheme="minorHAnsi"/>
                <w:sz w:val="20"/>
                <w:szCs w:val="20"/>
                <w:lang w:val="es-419"/>
              </w:rPr>
              <w:t>s</w:t>
            </w:r>
            <w:r w:rsidR="00DB0F51" w:rsidRPr="00DB0F51">
              <w:rPr>
                <w:rFonts w:cstheme="minorHAnsi"/>
                <w:sz w:val="20"/>
                <w:szCs w:val="20"/>
                <w:lang w:val="es-419"/>
              </w:rPr>
              <w:t xml:space="preserve"> de país</w:t>
            </w:r>
            <w:r w:rsidRPr="00756410">
              <w:rPr>
                <w:rFonts w:cstheme="minorHAnsi"/>
                <w:sz w:val="20"/>
                <w:szCs w:val="20"/>
                <w:lang w:val="es-419"/>
              </w:rPr>
              <w:t xml:space="preserve"> y </w:t>
            </w:r>
            <w:r w:rsidR="0062733C" w:rsidRPr="3937432E">
              <w:rPr>
                <w:sz w:val="20"/>
                <w:szCs w:val="20"/>
                <w:lang w:val="es-419"/>
              </w:rPr>
              <w:t>unidades de la sede fuera de Nueva York</w:t>
            </w:r>
            <w:r w:rsidR="0062733C">
              <w:rPr>
                <w:rFonts w:cstheme="minorHAnsi"/>
                <w:sz w:val="20"/>
                <w:szCs w:val="20"/>
                <w:lang w:val="es-419"/>
              </w:rPr>
              <w:t xml:space="preserve"> </w:t>
            </w:r>
            <w:r w:rsidR="00A53EDB">
              <w:rPr>
                <w:rFonts w:cstheme="minorHAnsi"/>
                <w:sz w:val="20"/>
                <w:szCs w:val="20"/>
                <w:lang w:val="es-419"/>
              </w:rPr>
              <w:t>(“</w:t>
            </w:r>
            <w:r w:rsidR="00A53EDB" w:rsidRPr="00756410">
              <w:rPr>
                <w:rFonts w:cstheme="minorHAnsi"/>
                <w:i/>
                <w:iCs/>
                <w:sz w:val="20"/>
                <w:szCs w:val="20"/>
                <w:lang w:val="es-419"/>
              </w:rPr>
              <w:t>Outposted HQ locations</w:t>
            </w:r>
            <w:r w:rsidR="00A53EDB">
              <w:rPr>
                <w:rFonts w:cstheme="minorHAnsi"/>
                <w:sz w:val="20"/>
                <w:szCs w:val="20"/>
                <w:lang w:val="es-419"/>
              </w:rPr>
              <w:t>”)</w:t>
            </w:r>
            <w:r w:rsidR="00A53EDB" w:rsidRPr="00756410">
              <w:rPr>
                <w:rFonts w:cstheme="minorHAnsi"/>
                <w:sz w:val="20"/>
                <w:szCs w:val="20"/>
                <w:lang w:val="es-419"/>
              </w:rPr>
              <w:t xml:space="preserve"> </w:t>
            </w:r>
            <w:r w:rsidRPr="00756410">
              <w:rPr>
                <w:rFonts w:cstheme="minorHAnsi"/>
                <w:sz w:val="20"/>
                <w:szCs w:val="20"/>
                <w:lang w:val="es-419"/>
              </w:rPr>
              <w:t>de cuarteles generales salientes (para cuentas bancarias locales) y BMS / OFRM / Tesorería (para cuentas de cuartel general)</w:t>
            </w:r>
          </w:p>
        </w:tc>
      </w:tr>
      <w:tr w:rsidR="007802E1" w:rsidRPr="00F133DC" w14:paraId="1B303B0B"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7BD0FABE" w14:textId="77777777" w:rsidR="007802E1" w:rsidRPr="00F133DC" w:rsidRDefault="007802E1" w:rsidP="00491939">
            <w:pPr>
              <w:rPr>
                <w:rFonts w:cstheme="minorHAnsi"/>
                <w:sz w:val="20"/>
                <w:szCs w:val="20"/>
              </w:rPr>
            </w:pPr>
            <w:r w:rsidRPr="00F133DC">
              <w:rPr>
                <w:rFonts w:cstheme="minorHAnsi"/>
                <w:b/>
                <w:bCs/>
                <w:sz w:val="20"/>
                <w:szCs w:val="20"/>
              </w:rPr>
              <w:t>Recursos humanos</w:t>
            </w:r>
          </w:p>
        </w:tc>
      </w:tr>
      <w:tr w:rsidR="007802E1" w:rsidRPr="00773863" w14:paraId="20DCA78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455DDC1" w14:textId="2B43D2F6" w:rsidR="007802E1" w:rsidRPr="00756410" w:rsidRDefault="007802E1" w:rsidP="24F5DBB9">
            <w:pPr>
              <w:rPr>
                <w:sz w:val="20"/>
                <w:szCs w:val="20"/>
                <w:lang w:val="es-ES"/>
              </w:rPr>
            </w:pPr>
            <w:r w:rsidRPr="00756410">
              <w:rPr>
                <w:sz w:val="20"/>
                <w:szCs w:val="20"/>
                <w:lang w:val="es-ES"/>
              </w:rPr>
              <w:t>Punto focal local de RR</w:t>
            </w:r>
            <w:r w:rsidR="6AC08941" w:rsidRPr="24F5DBB9">
              <w:rPr>
                <w:sz w:val="20"/>
                <w:szCs w:val="20"/>
                <w:lang w:val="es-ES"/>
              </w:rPr>
              <w:t>.</w:t>
            </w:r>
            <w:r w:rsidRPr="00756410">
              <w:rPr>
                <w:sz w:val="20"/>
                <w:szCs w:val="20"/>
                <w:lang w:val="es-ES"/>
              </w:rPr>
              <w:t>HH</w:t>
            </w:r>
            <w:r w:rsidR="3510B5A5" w:rsidRPr="24F5DBB9">
              <w:rPr>
                <w:sz w:val="20"/>
                <w:szCs w:val="20"/>
                <w:lang w:val="es-ES"/>
              </w:rPr>
              <w:t>.</w:t>
            </w:r>
            <w:r w:rsidRPr="00756410">
              <w:rPr>
                <w:sz w:val="20"/>
                <w:szCs w:val="20"/>
                <w:lang w:val="es-ES"/>
              </w:rPr>
              <w:t xml:space="preserve"> </w:t>
            </w:r>
          </w:p>
        </w:tc>
        <w:tc>
          <w:tcPr>
            <w:tcW w:w="2700" w:type="dxa"/>
            <w:tcBorders>
              <w:top w:val="single" w:sz="4" w:space="0" w:color="auto"/>
              <w:left w:val="single" w:sz="4" w:space="0" w:color="auto"/>
              <w:bottom w:val="single" w:sz="4" w:space="0" w:color="auto"/>
              <w:right w:val="single" w:sz="4" w:space="0" w:color="auto"/>
            </w:tcBorders>
          </w:tcPr>
          <w:p w14:paraId="547567D3" w14:textId="32E15D1E" w:rsidR="007802E1" w:rsidRPr="00756410" w:rsidRDefault="007802E1" w:rsidP="00491939">
            <w:pPr>
              <w:rPr>
                <w:rFonts w:cstheme="minorHAnsi"/>
                <w:sz w:val="20"/>
                <w:szCs w:val="20"/>
                <w:lang w:val="es-ES"/>
              </w:rPr>
            </w:pPr>
            <w:r w:rsidRPr="00756410">
              <w:rPr>
                <w:rFonts w:cstheme="minorHAnsi"/>
                <w:sz w:val="20"/>
                <w:szCs w:val="20"/>
                <w:lang w:val="es-ES"/>
              </w:rPr>
              <w:t xml:space="preserve">Varios </w:t>
            </w:r>
            <w:r w:rsidR="0016440C" w:rsidRPr="00756410">
              <w:rPr>
                <w:rFonts w:cstheme="minorHAnsi"/>
                <w:sz w:val="20"/>
                <w:szCs w:val="20"/>
                <w:lang w:val="es-ES"/>
              </w:rPr>
              <w:t xml:space="preserve">perfiles de usuario </w:t>
            </w:r>
            <w:r w:rsidRPr="00756410">
              <w:rPr>
                <w:rFonts w:cstheme="minorHAnsi"/>
                <w:sz w:val="20"/>
                <w:szCs w:val="20"/>
                <w:lang w:val="es-ES"/>
              </w:rPr>
              <w:t xml:space="preserve">de RRHH </w:t>
            </w:r>
          </w:p>
          <w:p w14:paraId="0D28F6E7" w14:textId="77777777" w:rsidR="00024187" w:rsidRPr="00756410" w:rsidRDefault="00024187" w:rsidP="00491939">
            <w:pPr>
              <w:rPr>
                <w:rFonts w:cstheme="minorHAnsi"/>
                <w:sz w:val="20"/>
                <w:szCs w:val="20"/>
                <w:lang w:val="es-ES"/>
              </w:rPr>
            </w:pPr>
          </w:p>
        </w:tc>
        <w:tc>
          <w:tcPr>
            <w:tcW w:w="3690" w:type="dxa"/>
            <w:tcBorders>
              <w:top w:val="single" w:sz="4" w:space="0" w:color="auto"/>
              <w:left w:val="single" w:sz="4" w:space="0" w:color="auto"/>
              <w:bottom w:val="single" w:sz="4" w:space="0" w:color="auto"/>
              <w:right w:val="single" w:sz="4" w:space="0" w:color="auto"/>
            </w:tcBorders>
          </w:tcPr>
          <w:p w14:paraId="7794C1D3" w14:textId="0ABE0A83" w:rsidR="007802E1" w:rsidRPr="00756410" w:rsidRDefault="007802E1" w:rsidP="24F5DBB9">
            <w:pPr>
              <w:rPr>
                <w:sz w:val="20"/>
                <w:szCs w:val="20"/>
                <w:lang w:val="es-419"/>
              </w:rPr>
            </w:pPr>
            <w:r w:rsidRPr="00756410">
              <w:rPr>
                <w:sz w:val="20"/>
                <w:szCs w:val="20"/>
                <w:lang w:val="es-419"/>
              </w:rPr>
              <w:t xml:space="preserve">Sí. Véase el Anexo 2 para obtener más información sobre los </w:t>
            </w:r>
            <w:r w:rsidR="0179D3FE" w:rsidRPr="24F5DBB9">
              <w:rPr>
                <w:sz w:val="20"/>
                <w:szCs w:val="20"/>
                <w:lang w:val="es-419"/>
              </w:rPr>
              <w:t>perfiles de usuario</w:t>
            </w:r>
            <w:r w:rsidRPr="00756410">
              <w:rPr>
                <w:sz w:val="20"/>
                <w:szCs w:val="20"/>
                <w:lang w:val="es-419"/>
              </w:rPr>
              <w:t xml:space="preserve"> de recursos humanos.</w:t>
            </w:r>
          </w:p>
        </w:tc>
      </w:tr>
      <w:tr w:rsidR="007802E1" w:rsidRPr="00773863" w14:paraId="0943DF1C"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C149547"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Administrador de Recursos Humanos </w:t>
            </w:r>
          </w:p>
          <w:p w14:paraId="4CAFA274"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(primera autoridad, oficial que se compromete)</w:t>
            </w:r>
          </w:p>
        </w:tc>
        <w:tc>
          <w:tcPr>
            <w:tcW w:w="2700" w:type="dxa"/>
            <w:tcBorders>
              <w:top w:val="single" w:sz="4" w:space="0" w:color="auto"/>
              <w:left w:val="single" w:sz="4" w:space="0" w:color="auto"/>
              <w:bottom w:val="single" w:sz="4" w:space="0" w:color="auto"/>
              <w:right w:val="single" w:sz="4" w:space="0" w:color="auto"/>
            </w:tcBorders>
          </w:tcPr>
          <w:p w14:paraId="59CE05F5" w14:textId="77777777" w:rsidR="007802E1" w:rsidRPr="00756410" w:rsidRDefault="007802E1" w:rsidP="00491939">
            <w:pPr>
              <w:rPr>
                <w:rFonts w:cstheme="minorHAnsi"/>
                <w:sz w:val="20"/>
                <w:szCs w:val="20"/>
                <w:lang w:val="es-ES"/>
              </w:rPr>
            </w:pPr>
            <w:r w:rsidRPr="00756410">
              <w:rPr>
                <w:rFonts w:cstheme="minorHAnsi"/>
                <w:sz w:val="20"/>
                <w:szCs w:val="20"/>
                <w:lang w:val="es-ES"/>
              </w:rPr>
              <w:t>Administrador de Recursos Humanos</w:t>
            </w:r>
          </w:p>
          <w:p w14:paraId="08F817EE" w14:textId="593A833A" w:rsidR="0016440C" w:rsidRPr="00756410" w:rsidRDefault="0016440C"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Human Resources Administrator</w:t>
            </w:r>
            <w:r w:rsidRPr="00756410">
              <w:rPr>
                <w:rFonts w:cstheme="minorHAnsi"/>
                <w:sz w:val="20"/>
                <w:szCs w:val="20"/>
                <w:lang w:val="es-ES"/>
              </w:rPr>
              <w:t>]</w:t>
            </w:r>
          </w:p>
        </w:tc>
        <w:tc>
          <w:tcPr>
            <w:tcW w:w="3690" w:type="dxa"/>
            <w:vMerge w:val="restart"/>
            <w:tcBorders>
              <w:top w:val="single" w:sz="4" w:space="0" w:color="auto"/>
              <w:left w:val="single" w:sz="4" w:space="0" w:color="auto"/>
              <w:bottom w:val="single" w:sz="4" w:space="0" w:color="auto"/>
              <w:right w:val="single" w:sz="4" w:space="0" w:color="auto"/>
            </w:tcBorders>
          </w:tcPr>
          <w:p w14:paraId="30BACC7F" w14:textId="77C45929" w:rsidR="007802E1" w:rsidRPr="00756410" w:rsidRDefault="007802E1" w:rsidP="00491939">
            <w:pPr>
              <w:rPr>
                <w:rFonts w:cstheme="minorHAnsi"/>
                <w:sz w:val="20"/>
                <w:szCs w:val="20"/>
                <w:lang w:val="es-419"/>
              </w:rPr>
            </w:pPr>
            <w:r w:rsidRPr="00756410">
              <w:rPr>
                <w:rFonts w:cstheme="minorHAnsi"/>
                <w:sz w:val="20"/>
                <w:szCs w:val="20"/>
                <w:lang w:val="es-419"/>
              </w:rPr>
              <w:t xml:space="preserve">No, estas funciones de primera, segunda y tercera autoridad son desempeñadas por BMS/GSSC para todas las oficinas/unidades, excepto para las </w:t>
            </w:r>
            <w:r w:rsidR="0062733C" w:rsidRPr="3937432E">
              <w:rPr>
                <w:sz w:val="20"/>
                <w:szCs w:val="20"/>
                <w:lang w:val="es-419"/>
              </w:rPr>
              <w:t xml:space="preserve"> unidades de la sede fuera de Nueva York</w:t>
            </w:r>
            <w:r w:rsidR="0062733C">
              <w:rPr>
                <w:rFonts w:cstheme="minorHAnsi"/>
                <w:sz w:val="20"/>
                <w:szCs w:val="20"/>
                <w:lang w:val="es-419"/>
              </w:rPr>
              <w:t xml:space="preserve"> </w:t>
            </w:r>
            <w:r w:rsidR="00437FDB">
              <w:rPr>
                <w:rFonts w:cstheme="minorHAnsi"/>
                <w:sz w:val="20"/>
                <w:szCs w:val="20"/>
                <w:lang w:val="es-419"/>
              </w:rPr>
              <w:t>(“</w:t>
            </w:r>
            <w:r w:rsidR="00437FDB" w:rsidRPr="00756410">
              <w:rPr>
                <w:rFonts w:cstheme="minorHAnsi"/>
                <w:i/>
                <w:iCs/>
                <w:sz w:val="20"/>
                <w:szCs w:val="20"/>
                <w:lang w:val="es-419"/>
              </w:rPr>
              <w:t>Outposted HQ locations</w:t>
            </w:r>
            <w:r w:rsidR="00437FDB">
              <w:rPr>
                <w:rFonts w:cstheme="minorHAnsi"/>
                <w:sz w:val="20"/>
                <w:szCs w:val="20"/>
                <w:lang w:val="es-419"/>
              </w:rPr>
              <w:t>”)</w:t>
            </w:r>
            <w:r w:rsidRPr="00756410">
              <w:rPr>
                <w:rFonts w:cstheme="minorHAnsi"/>
                <w:sz w:val="20"/>
                <w:szCs w:val="20"/>
                <w:lang w:val="es-419"/>
              </w:rPr>
              <w:t xml:space="preserve"> (que pueden asignar estas tres funciones para las acciones de nómina local).</w:t>
            </w:r>
          </w:p>
        </w:tc>
      </w:tr>
      <w:tr w:rsidR="007802E1" w:rsidRPr="00244F9C" w14:paraId="674EB60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BD2E6C7" w14:textId="77777777" w:rsidR="007802E1" w:rsidRPr="00756410" w:rsidRDefault="007802E1" w:rsidP="00491939">
            <w:pPr>
              <w:rPr>
                <w:rFonts w:cstheme="minorHAnsi"/>
                <w:sz w:val="20"/>
                <w:szCs w:val="20"/>
                <w:lang w:val="es-ES"/>
              </w:rPr>
            </w:pPr>
            <w:r w:rsidRPr="00756410">
              <w:rPr>
                <w:rFonts w:cstheme="minorHAnsi"/>
                <w:sz w:val="20"/>
                <w:szCs w:val="20"/>
                <w:lang w:val="es-ES"/>
              </w:rPr>
              <w:t xml:space="preserve">Administrador de nómina </w:t>
            </w:r>
          </w:p>
          <w:p w14:paraId="34EC1D36"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(segunda autoridad, oficial verificador)</w:t>
            </w:r>
          </w:p>
        </w:tc>
        <w:tc>
          <w:tcPr>
            <w:tcW w:w="2700" w:type="dxa"/>
            <w:tcBorders>
              <w:top w:val="single" w:sz="4" w:space="0" w:color="auto"/>
              <w:left w:val="single" w:sz="4" w:space="0" w:color="auto"/>
              <w:bottom w:val="single" w:sz="4" w:space="0" w:color="auto"/>
              <w:right w:val="single" w:sz="4" w:space="0" w:color="auto"/>
            </w:tcBorders>
          </w:tcPr>
          <w:p w14:paraId="61296DF1" w14:textId="77777777" w:rsidR="007802E1" w:rsidRPr="00756410" w:rsidRDefault="007802E1" w:rsidP="00491939">
            <w:pPr>
              <w:rPr>
                <w:rFonts w:cstheme="minorHAnsi"/>
                <w:sz w:val="20"/>
                <w:szCs w:val="20"/>
                <w:lang w:val="pt-PT"/>
              </w:rPr>
            </w:pPr>
            <w:r w:rsidRPr="00756410">
              <w:rPr>
                <w:rFonts w:cstheme="minorHAnsi"/>
                <w:sz w:val="20"/>
                <w:szCs w:val="20"/>
                <w:lang w:val="pt-PT"/>
              </w:rPr>
              <w:t>Administrador de nómina</w:t>
            </w:r>
          </w:p>
          <w:p w14:paraId="0D6BA1C7" w14:textId="046F4AA1" w:rsidR="0016440C" w:rsidRPr="00756410" w:rsidRDefault="0016440C" w:rsidP="00491939">
            <w:pPr>
              <w:rPr>
                <w:rFonts w:cstheme="minorHAnsi"/>
                <w:sz w:val="20"/>
                <w:szCs w:val="20"/>
                <w:lang w:val="pt-PT"/>
              </w:rPr>
            </w:pPr>
            <w:r w:rsidRPr="00756410">
              <w:rPr>
                <w:rFonts w:cstheme="minorHAnsi"/>
                <w:sz w:val="20"/>
                <w:szCs w:val="20"/>
                <w:lang w:val="pt-PT"/>
              </w:rPr>
              <w:t>[</w:t>
            </w:r>
            <w:r w:rsidRPr="00756410">
              <w:rPr>
                <w:rFonts w:cstheme="minorHAnsi"/>
                <w:i/>
                <w:iCs/>
                <w:sz w:val="20"/>
                <w:szCs w:val="20"/>
                <w:lang w:val="pt-PT"/>
              </w:rPr>
              <w:t>Payroll Administrator</w:t>
            </w:r>
            <w:r w:rsidRPr="00756410">
              <w:rPr>
                <w:rFonts w:cstheme="minorHAnsi"/>
                <w:sz w:val="20"/>
                <w:szCs w:val="20"/>
                <w:lang w:val="pt-PT"/>
              </w:rPr>
              <w:t>]</w:t>
            </w:r>
          </w:p>
        </w:tc>
        <w:tc>
          <w:tcPr>
            <w:tcW w:w="3690" w:type="dxa"/>
            <w:vMerge/>
            <w:tcBorders>
              <w:top w:val="single" w:sz="4" w:space="0" w:color="auto"/>
              <w:left w:val="single" w:sz="4" w:space="0" w:color="auto"/>
              <w:bottom w:val="single" w:sz="4" w:space="0" w:color="auto"/>
              <w:right w:val="single" w:sz="4" w:space="0" w:color="auto"/>
            </w:tcBorders>
          </w:tcPr>
          <w:p w14:paraId="7529FFFE" w14:textId="77777777" w:rsidR="007802E1" w:rsidRPr="00756410" w:rsidRDefault="007802E1" w:rsidP="00491939">
            <w:pPr>
              <w:rPr>
                <w:rFonts w:cstheme="minorHAnsi"/>
                <w:sz w:val="20"/>
                <w:szCs w:val="20"/>
                <w:lang w:val="pt-PT"/>
              </w:rPr>
            </w:pPr>
          </w:p>
        </w:tc>
      </w:tr>
      <w:tr w:rsidR="007802E1" w:rsidRPr="006D14D7" w14:paraId="3A25E13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1A9DCAB" w14:textId="77777777" w:rsidR="007802E1" w:rsidRPr="00756410" w:rsidRDefault="007802E1" w:rsidP="00491939">
            <w:pPr>
              <w:rPr>
                <w:rFonts w:cstheme="minorHAnsi"/>
                <w:sz w:val="20"/>
                <w:szCs w:val="20"/>
                <w:lang w:val="es-419"/>
              </w:rPr>
            </w:pPr>
            <w:r w:rsidRPr="00756410">
              <w:rPr>
                <w:rFonts w:cstheme="minorHAnsi"/>
                <w:sz w:val="20"/>
                <w:szCs w:val="20"/>
                <w:lang w:val="es-419"/>
              </w:rPr>
              <w:t xml:space="preserve">Usuario de la herramienta de validación de nómina </w:t>
            </w:r>
          </w:p>
          <w:p w14:paraId="7C8379D0" w14:textId="77777777" w:rsidR="007802E1" w:rsidRPr="00756410" w:rsidRDefault="007802E1" w:rsidP="00491939">
            <w:pPr>
              <w:rPr>
                <w:rFonts w:cstheme="minorHAnsi"/>
                <w:sz w:val="20"/>
                <w:szCs w:val="20"/>
                <w:lang w:val="es-ES"/>
              </w:rPr>
            </w:pPr>
            <w:r w:rsidRPr="00756410">
              <w:rPr>
                <w:rFonts w:cstheme="minorHAnsi"/>
                <w:i/>
                <w:iCs/>
                <w:sz w:val="20"/>
                <w:szCs w:val="20"/>
                <w:lang w:val="es-ES"/>
              </w:rPr>
              <w:t>(tercera autoridad, oficial de desembolsos)</w:t>
            </w:r>
          </w:p>
        </w:tc>
        <w:tc>
          <w:tcPr>
            <w:tcW w:w="2700" w:type="dxa"/>
            <w:tcBorders>
              <w:top w:val="single" w:sz="4" w:space="0" w:color="auto"/>
              <w:left w:val="single" w:sz="4" w:space="0" w:color="auto"/>
              <w:bottom w:val="single" w:sz="4" w:space="0" w:color="auto"/>
              <w:right w:val="single" w:sz="4" w:space="0" w:color="auto"/>
            </w:tcBorders>
          </w:tcPr>
          <w:p w14:paraId="5AE51DC4" w14:textId="77777777" w:rsidR="007802E1" w:rsidRPr="00756410" w:rsidRDefault="007802E1" w:rsidP="00491939">
            <w:pPr>
              <w:rPr>
                <w:rFonts w:cstheme="minorHAnsi"/>
                <w:sz w:val="20"/>
                <w:szCs w:val="20"/>
                <w:lang w:val="es-419"/>
              </w:rPr>
            </w:pPr>
            <w:r w:rsidRPr="00756410">
              <w:rPr>
                <w:rFonts w:cstheme="minorHAnsi"/>
                <w:sz w:val="20"/>
                <w:szCs w:val="20"/>
                <w:lang w:val="es-419"/>
              </w:rPr>
              <w:t>Usuario de la herramienta de validación de nómina</w:t>
            </w:r>
          </w:p>
          <w:p w14:paraId="22B3D620" w14:textId="62D3EFC3" w:rsidR="007802E1" w:rsidRPr="00756410" w:rsidRDefault="0016440C" w:rsidP="00491939">
            <w:pPr>
              <w:rPr>
                <w:rFonts w:cstheme="minorHAnsi"/>
                <w:sz w:val="20"/>
                <w:szCs w:val="20"/>
                <w:lang w:val="es-419"/>
              </w:rPr>
            </w:pPr>
            <w:r>
              <w:rPr>
                <w:rFonts w:cstheme="minorHAnsi"/>
                <w:sz w:val="20"/>
                <w:szCs w:val="20"/>
                <w:lang w:val="es-419"/>
              </w:rPr>
              <w:t>[</w:t>
            </w:r>
            <w:r w:rsidRPr="00756410">
              <w:rPr>
                <w:rFonts w:cstheme="minorHAnsi"/>
                <w:i/>
                <w:iCs/>
                <w:sz w:val="20"/>
                <w:szCs w:val="20"/>
                <w:lang w:val="es-419"/>
              </w:rPr>
              <w:t>Payroll Validation Tool User</w:t>
            </w:r>
            <w:r>
              <w:rPr>
                <w:rFonts w:cstheme="minorHAnsi"/>
                <w:sz w:val="20"/>
                <w:szCs w:val="20"/>
                <w:lang w:val="es-419"/>
              </w:rPr>
              <w:t>]</w:t>
            </w:r>
          </w:p>
        </w:tc>
        <w:tc>
          <w:tcPr>
            <w:tcW w:w="3690" w:type="dxa"/>
            <w:vMerge/>
            <w:tcBorders>
              <w:top w:val="single" w:sz="4" w:space="0" w:color="auto"/>
              <w:left w:val="single" w:sz="4" w:space="0" w:color="auto"/>
              <w:bottom w:val="single" w:sz="4" w:space="0" w:color="auto"/>
              <w:right w:val="single" w:sz="4" w:space="0" w:color="auto"/>
            </w:tcBorders>
          </w:tcPr>
          <w:p w14:paraId="682A4F02" w14:textId="77777777" w:rsidR="007802E1" w:rsidRPr="00756410" w:rsidRDefault="007802E1" w:rsidP="00491939">
            <w:pPr>
              <w:rPr>
                <w:rFonts w:cstheme="minorHAnsi"/>
                <w:sz w:val="20"/>
                <w:szCs w:val="20"/>
                <w:lang w:val="es-419"/>
              </w:rPr>
            </w:pPr>
          </w:p>
        </w:tc>
      </w:tr>
      <w:tr w:rsidR="007802E1" w:rsidRPr="00773863" w14:paraId="0A7A14B8"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A3D9428" w14:textId="77777777" w:rsidR="007802E1" w:rsidRPr="00D2258D" w:rsidRDefault="007802E1" w:rsidP="00491939">
            <w:pPr>
              <w:rPr>
                <w:rFonts w:cstheme="minorHAnsi"/>
                <w:sz w:val="20"/>
                <w:szCs w:val="20"/>
              </w:rPr>
            </w:pPr>
            <w:r w:rsidRPr="00D2258D">
              <w:rPr>
                <w:rFonts w:cstheme="minorHAnsi"/>
                <w:sz w:val="20"/>
                <w:szCs w:val="20"/>
              </w:rPr>
              <w:t>Administrador de puestos</w:t>
            </w:r>
          </w:p>
        </w:tc>
        <w:tc>
          <w:tcPr>
            <w:tcW w:w="2700" w:type="dxa"/>
            <w:tcBorders>
              <w:top w:val="single" w:sz="4" w:space="0" w:color="auto"/>
              <w:left w:val="single" w:sz="4" w:space="0" w:color="auto"/>
              <w:bottom w:val="single" w:sz="4" w:space="0" w:color="auto"/>
              <w:right w:val="single" w:sz="4" w:space="0" w:color="auto"/>
            </w:tcBorders>
          </w:tcPr>
          <w:p w14:paraId="07699D93" w14:textId="70375B58" w:rsidR="007802E1" w:rsidRPr="00756410" w:rsidRDefault="007802E1" w:rsidP="363CA695">
            <w:pPr>
              <w:rPr>
                <w:sz w:val="20"/>
                <w:szCs w:val="20"/>
                <w:lang w:val="es-419"/>
              </w:rPr>
            </w:pPr>
            <w:r w:rsidRPr="00756410">
              <w:rPr>
                <w:sz w:val="20"/>
                <w:szCs w:val="20"/>
                <w:lang w:val="es-419"/>
              </w:rPr>
              <w:t xml:space="preserve">Varios, para facilitar las aprobaciones CO/Rbx/CBx. </w:t>
            </w:r>
          </w:p>
        </w:tc>
        <w:tc>
          <w:tcPr>
            <w:tcW w:w="3690" w:type="dxa"/>
            <w:tcBorders>
              <w:top w:val="single" w:sz="4" w:space="0" w:color="auto"/>
              <w:left w:val="single" w:sz="4" w:space="0" w:color="auto"/>
              <w:bottom w:val="single" w:sz="4" w:space="0" w:color="auto"/>
              <w:right w:val="single" w:sz="4" w:space="0" w:color="auto"/>
            </w:tcBorders>
          </w:tcPr>
          <w:p w14:paraId="79CEB81C" w14:textId="4DFD51BD" w:rsidR="007802E1" w:rsidRPr="00756410" w:rsidRDefault="007802E1" w:rsidP="00491939">
            <w:pPr>
              <w:rPr>
                <w:rFonts w:cstheme="minorHAnsi"/>
                <w:sz w:val="20"/>
                <w:szCs w:val="20"/>
                <w:lang w:val="es-419"/>
              </w:rPr>
            </w:pPr>
            <w:r w:rsidRPr="00756410">
              <w:rPr>
                <w:rFonts w:cstheme="minorHAnsi"/>
                <w:sz w:val="20"/>
                <w:szCs w:val="20"/>
                <w:lang w:val="es-419"/>
              </w:rPr>
              <w:t>Sí. Consulte la sección 8.5 para obtener más información sobre los roles de administración de puestos.</w:t>
            </w:r>
          </w:p>
        </w:tc>
      </w:tr>
      <w:tr w:rsidR="007802E1" w:rsidRPr="00773863" w14:paraId="5FA1E3D7"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2AF6F857" w14:textId="77777777" w:rsidR="007802E1" w:rsidRPr="00756410" w:rsidRDefault="007802E1" w:rsidP="00491939">
            <w:pPr>
              <w:rPr>
                <w:rFonts w:cstheme="minorHAnsi"/>
                <w:sz w:val="20"/>
                <w:szCs w:val="20"/>
                <w:lang w:val="es-419"/>
              </w:rPr>
            </w:pPr>
            <w:r w:rsidRPr="00756410">
              <w:rPr>
                <w:rFonts w:cstheme="minorHAnsi"/>
                <w:b/>
                <w:sz w:val="20"/>
                <w:szCs w:val="20"/>
                <w:lang w:val="es-419"/>
              </w:rPr>
              <w:t>Gestión de activos e inventario</w:t>
            </w:r>
          </w:p>
        </w:tc>
      </w:tr>
      <w:tr w:rsidR="007802E1" w:rsidRPr="00773863" w14:paraId="26A2C5BA"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FEBA8C0" w14:textId="2C7C18C3" w:rsidR="007802E1" w:rsidRPr="00756410" w:rsidRDefault="009910BF" w:rsidP="00491939">
            <w:pPr>
              <w:rPr>
                <w:rFonts w:cstheme="minorHAnsi"/>
                <w:sz w:val="20"/>
                <w:szCs w:val="20"/>
                <w:lang w:val="pt-PT"/>
              </w:rPr>
            </w:pPr>
            <w:r w:rsidRPr="00756410">
              <w:rPr>
                <w:rFonts w:cstheme="minorHAnsi"/>
                <w:sz w:val="20"/>
                <w:szCs w:val="20"/>
                <w:lang w:val="pt-PT"/>
              </w:rPr>
              <w:t>A</w:t>
            </w:r>
            <w:r w:rsidR="00CD6A3D" w:rsidRPr="00756410">
              <w:rPr>
                <w:rFonts w:cstheme="minorHAnsi"/>
                <w:sz w:val="20"/>
                <w:szCs w:val="20"/>
                <w:lang w:val="pt-PT"/>
              </w:rPr>
              <w:t>dministrador</w:t>
            </w:r>
            <w:r w:rsidRPr="00756410">
              <w:rPr>
                <w:rFonts w:cstheme="minorHAnsi"/>
                <w:sz w:val="20"/>
                <w:szCs w:val="20"/>
                <w:lang w:val="pt-PT"/>
              </w:rPr>
              <w:t xml:space="preserve"> </w:t>
            </w:r>
            <w:r w:rsidR="007802E1" w:rsidRPr="00756410">
              <w:rPr>
                <w:rFonts w:cstheme="minorHAnsi"/>
                <w:sz w:val="20"/>
                <w:szCs w:val="20"/>
                <w:lang w:val="pt-PT"/>
              </w:rPr>
              <w:t xml:space="preserve">de </w:t>
            </w:r>
            <w:r w:rsidR="002E117C" w:rsidRPr="00756410">
              <w:rPr>
                <w:rFonts w:cstheme="minorHAnsi"/>
                <w:sz w:val="20"/>
                <w:szCs w:val="20"/>
                <w:lang w:val="pt-PT"/>
              </w:rPr>
              <w:t>A</w:t>
            </w:r>
            <w:r w:rsidR="007802E1" w:rsidRPr="00756410">
              <w:rPr>
                <w:rFonts w:cstheme="minorHAnsi"/>
                <w:sz w:val="20"/>
                <w:szCs w:val="20"/>
                <w:lang w:val="pt-PT"/>
              </w:rPr>
              <w:t>ctivos</w:t>
            </w:r>
          </w:p>
          <w:p w14:paraId="60AE9ED2" w14:textId="1054A891" w:rsidR="0016440C" w:rsidRPr="00756410" w:rsidRDefault="0016440C" w:rsidP="00491939">
            <w:pPr>
              <w:rPr>
                <w:rFonts w:cstheme="minorHAnsi"/>
                <w:sz w:val="20"/>
                <w:szCs w:val="20"/>
                <w:lang w:val="pt-PT"/>
              </w:rPr>
            </w:pPr>
            <w:r w:rsidRPr="00756410">
              <w:rPr>
                <w:rFonts w:cstheme="minorHAnsi"/>
                <w:sz w:val="20"/>
                <w:szCs w:val="20"/>
                <w:lang w:val="pt-PT"/>
              </w:rPr>
              <w:t>[</w:t>
            </w:r>
            <w:r w:rsidRPr="00756410">
              <w:rPr>
                <w:rFonts w:cstheme="minorHAnsi"/>
                <w:i/>
                <w:iCs/>
                <w:sz w:val="20"/>
                <w:szCs w:val="20"/>
                <w:lang w:val="pt-PT"/>
              </w:rPr>
              <w:t>Asset Manager</w:t>
            </w:r>
            <w:r w:rsidRPr="00756410">
              <w:rPr>
                <w:rFonts w:cstheme="minorHAnsi"/>
                <w:sz w:val="20"/>
                <w:szCs w:val="20"/>
                <w:lang w:val="pt-PT"/>
              </w:rPr>
              <w:t>]</w:t>
            </w:r>
          </w:p>
        </w:tc>
        <w:tc>
          <w:tcPr>
            <w:tcW w:w="2700" w:type="dxa"/>
            <w:tcBorders>
              <w:top w:val="single" w:sz="4" w:space="0" w:color="auto"/>
              <w:left w:val="single" w:sz="4" w:space="0" w:color="auto"/>
              <w:bottom w:val="single" w:sz="4" w:space="0" w:color="auto"/>
              <w:right w:val="single" w:sz="4" w:space="0" w:color="auto"/>
            </w:tcBorders>
          </w:tcPr>
          <w:p w14:paraId="48D784F4" w14:textId="67F76CA5" w:rsidR="007802E1" w:rsidRPr="00D2258D" w:rsidRDefault="007802E1" w:rsidP="00491939">
            <w:pPr>
              <w:rPr>
                <w:rFonts w:cstheme="minorHAnsi"/>
                <w:sz w:val="20"/>
                <w:szCs w:val="20"/>
              </w:rPr>
            </w:pPr>
            <w:r w:rsidRPr="00D2258D">
              <w:rPr>
                <w:rFonts w:cstheme="minorHAnsi"/>
                <w:sz w:val="20"/>
                <w:szCs w:val="20"/>
              </w:rPr>
              <w:t>N/A</w:t>
            </w:r>
          </w:p>
        </w:tc>
        <w:tc>
          <w:tcPr>
            <w:tcW w:w="3690" w:type="dxa"/>
            <w:vMerge w:val="restart"/>
            <w:tcBorders>
              <w:top w:val="single" w:sz="4" w:space="0" w:color="auto"/>
              <w:left w:val="single" w:sz="4" w:space="0" w:color="auto"/>
              <w:bottom w:val="single" w:sz="4" w:space="0" w:color="auto"/>
              <w:right w:val="single" w:sz="4" w:space="0" w:color="auto"/>
            </w:tcBorders>
          </w:tcPr>
          <w:p w14:paraId="13180BA4" w14:textId="40ECD141" w:rsidR="007802E1" w:rsidRPr="00756410" w:rsidRDefault="007802E1" w:rsidP="363CA695">
            <w:pPr>
              <w:rPr>
                <w:sz w:val="20"/>
                <w:szCs w:val="20"/>
                <w:lang w:val="es-419"/>
              </w:rPr>
            </w:pPr>
            <w:r w:rsidRPr="00756410">
              <w:rPr>
                <w:sz w:val="20"/>
                <w:szCs w:val="20"/>
                <w:lang w:val="es-419"/>
              </w:rPr>
              <w:t>N/A – designado fuera del ERP.</w:t>
            </w:r>
          </w:p>
          <w:p w14:paraId="0F14738A" w14:textId="77777777" w:rsidR="007802E1" w:rsidRPr="00756410" w:rsidRDefault="007802E1" w:rsidP="00491939">
            <w:pPr>
              <w:rPr>
                <w:rFonts w:cstheme="minorHAnsi"/>
                <w:sz w:val="20"/>
                <w:szCs w:val="20"/>
                <w:lang w:val="es-419"/>
              </w:rPr>
            </w:pPr>
          </w:p>
          <w:p w14:paraId="1EA12204" w14:textId="77777777" w:rsidR="007802E1" w:rsidRPr="00756410" w:rsidRDefault="007802E1" w:rsidP="00491939">
            <w:pPr>
              <w:rPr>
                <w:rFonts w:cstheme="minorHAnsi"/>
                <w:sz w:val="20"/>
                <w:szCs w:val="20"/>
                <w:lang w:val="es-419"/>
              </w:rPr>
            </w:pPr>
          </w:p>
        </w:tc>
      </w:tr>
      <w:tr w:rsidR="007802E1" w:rsidRPr="00F133DC" w14:paraId="65421DBC"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B216E90" w14:textId="286B079B" w:rsidR="007802E1" w:rsidRPr="00756410" w:rsidRDefault="007802E1" w:rsidP="00491939">
            <w:pPr>
              <w:rPr>
                <w:rFonts w:cstheme="minorHAnsi"/>
                <w:sz w:val="20"/>
                <w:szCs w:val="20"/>
                <w:lang w:val="es-ES"/>
              </w:rPr>
            </w:pPr>
            <w:r w:rsidRPr="00756410">
              <w:rPr>
                <w:rFonts w:cstheme="minorHAnsi"/>
                <w:sz w:val="20"/>
                <w:szCs w:val="20"/>
                <w:lang w:val="es-ES"/>
              </w:rPr>
              <w:t xml:space="preserve">Punto </w:t>
            </w:r>
            <w:r w:rsidR="002E117C" w:rsidRPr="00756410">
              <w:rPr>
                <w:rFonts w:cstheme="minorHAnsi"/>
                <w:sz w:val="20"/>
                <w:szCs w:val="20"/>
                <w:lang w:val="es-ES"/>
              </w:rPr>
              <w:t>F</w:t>
            </w:r>
            <w:r w:rsidRPr="00756410">
              <w:rPr>
                <w:rFonts w:cstheme="minorHAnsi"/>
                <w:sz w:val="20"/>
                <w:szCs w:val="20"/>
                <w:lang w:val="es-ES"/>
              </w:rPr>
              <w:t xml:space="preserve">ocal de </w:t>
            </w:r>
            <w:r w:rsidR="002E117C" w:rsidRPr="00756410">
              <w:rPr>
                <w:rFonts w:cstheme="minorHAnsi"/>
                <w:sz w:val="20"/>
                <w:szCs w:val="20"/>
                <w:lang w:val="es-ES"/>
              </w:rPr>
              <w:t>A</w:t>
            </w:r>
            <w:r w:rsidRPr="00756410">
              <w:rPr>
                <w:rFonts w:cstheme="minorHAnsi"/>
                <w:sz w:val="20"/>
                <w:szCs w:val="20"/>
                <w:lang w:val="es-ES"/>
              </w:rPr>
              <w:t>ctivos</w:t>
            </w:r>
          </w:p>
          <w:p w14:paraId="4D8834FB" w14:textId="1349F22F" w:rsidR="0016440C" w:rsidRPr="00756410" w:rsidRDefault="0016440C"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Asset Focal Point</w:t>
            </w:r>
            <w:r w:rsidRPr="00756410">
              <w:rPr>
                <w:rFonts w:cstheme="minorHAnsi"/>
                <w:sz w:val="20"/>
                <w:szCs w:val="20"/>
                <w:lang w:val="es-ES"/>
              </w:rPr>
              <w:t>]</w:t>
            </w:r>
          </w:p>
        </w:tc>
        <w:tc>
          <w:tcPr>
            <w:tcW w:w="2700" w:type="dxa"/>
            <w:tcBorders>
              <w:top w:val="single" w:sz="4" w:space="0" w:color="auto"/>
              <w:left w:val="single" w:sz="4" w:space="0" w:color="auto"/>
              <w:bottom w:val="single" w:sz="4" w:space="0" w:color="auto"/>
              <w:right w:val="single" w:sz="4" w:space="0" w:color="auto"/>
            </w:tcBorders>
          </w:tcPr>
          <w:p w14:paraId="7D6554CD" w14:textId="6C49B5D3"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33733196" w14:textId="77777777" w:rsidR="007802E1" w:rsidRPr="00F133DC" w:rsidRDefault="007802E1" w:rsidP="00491939">
            <w:pPr>
              <w:rPr>
                <w:rFonts w:cstheme="minorHAnsi"/>
                <w:sz w:val="20"/>
                <w:szCs w:val="20"/>
              </w:rPr>
            </w:pPr>
          </w:p>
        </w:tc>
      </w:tr>
      <w:tr w:rsidR="007802E1" w:rsidRPr="00F133DC" w14:paraId="75B25661"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408CC01" w14:textId="77777777" w:rsidR="007802E1" w:rsidRDefault="007802E1" w:rsidP="00491939">
            <w:pPr>
              <w:rPr>
                <w:rFonts w:cstheme="minorHAnsi"/>
                <w:sz w:val="20"/>
                <w:szCs w:val="20"/>
                <w:lang w:val="es-419"/>
              </w:rPr>
            </w:pPr>
            <w:r w:rsidRPr="00756410">
              <w:rPr>
                <w:rFonts w:cstheme="minorHAnsi"/>
                <w:sz w:val="20"/>
                <w:szCs w:val="20"/>
                <w:lang w:val="es-419"/>
              </w:rPr>
              <w:t>Coordinador de Verificación Física de Activos Fijos</w:t>
            </w:r>
          </w:p>
          <w:p w14:paraId="347B91C2" w14:textId="3595EF56" w:rsidR="00A97F2E" w:rsidRPr="00246580" w:rsidRDefault="00A97F2E" w:rsidP="00491939">
            <w:pPr>
              <w:rPr>
                <w:rFonts w:cstheme="minorHAnsi"/>
                <w:sz w:val="20"/>
                <w:szCs w:val="20"/>
              </w:rPr>
            </w:pPr>
            <w:r w:rsidRPr="00756410">
              <w:rPr>
                <w:rFonts w:cstheme="minorHAnsi"/>
                <w:sz w:val="20"/>
                <w:szCs w:val="20"/>
              </w:rPr>
              <w:t>[</w:t>
            </w:r>
            <w:r w:rsidRPr="00756410">
              <w:rPr>
                <w:rFonts w:cstheme="minorHAnsi"/>
                <w:i/>
                <w:iCs/>
                <w:sz w:val="20"/>
                <w:szCs w:val="20"/>
              </w:rPr>
              <w:t>Fixed Asset Physical Verification Coordinator</w:t>
            </w:r>
            <w:r>
              <w:rPr>
                <w:rFonts w:cstheme="minorHAnsi"/>
                <w:sz w:val="20"/>
                <w:szCs w:val="20"/>
              </w:rPr>
              <w:t>]</w:t>
            </w:r>
          </w:p>
        </w:tc>
        <w:tc>
          <w:tcPr>
            <w:tcW w:w="2700" w:type="dxa"/>
            <w:tcBorders>
              <w:top w:val="single" w:sz="4" w:space="0" w:color="auto"/>
              <w:left w:val="single" w:sz="4" w:space="0" w:color="auto"/>
              <w:bottom w:val="single" w:sz="4" w:space="0" w:color="auto"/>
              <w:right w:val="single" w:sz="4" w:space="0" w:color="auto"/>
            </w:tcBorders>
          </w:tcPr>
          <w:p w14:paraId="03939EDD" w14:textId="62D1569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51424087" w14:textId="77777777" w:rsidR="007802E1" w:rsidRPr="00F133DC" w:rsidRDefault="007802E1" w:rsidP="00491939">
            <w:pPr>
              <w:rPr>
                <w:rFonts w:cstheme="minorHAnsi"/>
                <w:sz w:val="20"/>
                <w:szCs w:val="20"/>
              </w:rPr>
            </w:pPr>
          </w:p>
        </w:tc>
      </w:tr>
      <w:tr w:rsidR="007802E1" w:rsidRPr="00F133DC" w14:paraId="1570305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9B1C1E5" w14:textId="468DDDB3" w:rsidR="007802E1" w:rsidRPr="00756410" w:rsidRDefault="00C927FF" w:rsidP="00491939">
            <w:pPr>
              <w:rPr>
                <w:rFonts w:cstheme="minorHAnsi"/>
                <w:sz w:val="20"/>
                <w:szCs w:val="20"/>
                <w:lang w:val="es-ES"/>
              </w:rPr>
            </w:pPr>
            <w:r w:rsidRPr="00756410">
              <w:rPr>
                <w:rFonts w:cstheme="minorHAnsi"/>
                <w:sz w:val="20"/>
                <w:szCs w:val="20"/>
                <w:lang w:val="es-ES"/>
              </w:rPr>
              <w:t xml:space="preserve">Administrador </w:t>
            </w:r>
            <w:r w:rsidR="007802E1" w:rsidRPr="00756410">
              <w:rPr>
                <w:rFonts w:cstheme="minorHAnsi"/>
                <w:sz w:val="20"/>
                <w:szCs w:val="20"/>
                <w:lang w:val="es-ES"/>
              </w:rPr>
              <w:t xml:space="preserve">de </w:t>
            </w:r>
            <w:r w:rsidRPr="00756410">
              <w:rPr>
                <w:rFonts w:cstheme="minorHAnsi"/>
                <w:sz w:val="20"/>
                <w:szCs w:val="20"/>
                <w:lang w:val="es-ES"/>
              </w:rPr>
              <w:t>I</w:t>
            </w:r>
            <w:r w:rsidR="007802E1" w:rsidRPr="00756410">
              <w:rPr>
                <w:rFonts w:cstheme="minorHAnsi"/>
                <w:sz w:val="20"/>
                <w:szCs w:val="20"/>
                <w:lang w:val="es-ES"/>
              </w:rPr>
              <w:t>nventario</w:t>
            </w:r>
            <w:r w:rsidRPr="00756410">
              <w:rPr>
                <w:rFonts w:cstheme="minorHAnsi"/>
                <w:sz w:val="20"/>
                <w:szCs w:val="20"/>
                <w:lang w:val="es-ES"/>
              </w:rPr>
              <w:t>s</w:t>
            </w:r>
          </w:p>
          <w:p w14:paraId="55A8B130" w14:textId="0933E352" w:rsidR="00A97F2E" w:rsidRPr="00756410" w:rsidRDefault="00A97F2E"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Inventory Manager</w:t>
            </w:r>
            <w:r w:rsidRPr="00756410">
              <w:rPr>
                <w:rFonts w:cstheme="minorHAnsi"/>
                <w:sz w:val="20"/>
                <w:szCs w:val="20"/>
                <w:lang w:val="es-ES"/>
              </w:rPr>
              <w:t>]</w:t>
            </w:r>
          </w:p>
        </w:tc>
        <w:tc>
          <w:tcPr>
            <w:tcW w:w="2700" w:type="dxa"/>
            <w:tcBorders>
              <w:top w:val="single" w:sz="4" w:space="0" w:color="auto"/>
              <w:left w:val="single" w:sz="4" w:space="0" w:color="auto"/>
              <w:bottom w:val="single" w:sz="4" w:space="0" w:color="auto"/>
              <w:right w:val="single" w:sz="4" w:space="0" w:color="auto"/>
            </w:tcBorders>
          </w:tcPr>
          <w:p w14:paraId="43A25248" w14:textId="13F2B658"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453B77D0" w14:textId="77777777" w:rsidR="007802E1" w:rsidRPr="00F133DC" w:rsidRDefault="007802E1" w:rsidP="00491939">
            <w:pPr>
              <w:rPr>
                <w:rFonts w:cstheme="minorHAnsi"/>
                <w:sz w:val="20"/>
                <w:szCs w:val="20"/>
              </w:rPr>
            </w:pPr>
          </w:p>
        </w:tc>
      </w:tr>
      <w:tr w:rsidR="007802E1" w:rsidRPr="00F133DC" w14:paraId="28CE4AF9"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32DD187" w14:textId="4B7EF065" w:rsidR="007802E1" w:rsidRPr="00756410" w:rsidRDefault="007802E1" w:rsidP="00491939">
            <w:pPr>
              <w:rPr>
                <w:rFonts w:cstheme="minorHAnsi"/>
                <w:sz w:val="20"/>
                <w:szCs w:val="20"/>
                <w:lang w:val="es-ES"/>
              </w:rPr>
            </w:pPr>
            <w:r w:rsidRPr="00756410">
              <w:rPr>
                <w:rFonts w:cstheme="minorHAnsi"/>
                <w:sz w:val="20"/>
                <w:szCs w:val="20"/>
                <w:lang w:val="es-ES"/>
              </w:rPr>
              <w:t xml:space="preserve">Punto focal de </w:t>
            </w:r>
            <w:r w:rsidR="00C927FF" w:rsidRPr="00756410">
              <w:rPr>
                <w:rFonts w:cstheme="minorHAnsi"/>
                <w:sz w:val="20"/>
                <w:szCs w:val="20"/>
                <w:lang w:val="es-ES"/>
              </w:rPr>
              <w:t>In</w:t>
            </w:r>
            <w:r w:rsidRPr="00756410">
              <w:rPr>
                <w:rFonts w:cstheme="minorHAnsi"/>
                <w:sz w:val="20"/>
                <w:szCs w:val="20"/>
                <w:lang w:val="es-ES"/>
              </w:rPr>
              <w:t>ventario</w:t>
            </w:r>
          </w:p>
          <w:p w14:paraId="0BFC5CC5" w14:textId="58DB2529" w:rsidR="00A97F2E" w:rsidRPr="00756410" w:rsidRDefault="00A97F2E" w:rsidP="00491939">
            <w:pPr>
              <w:rPr>
                <w:rFonts w:cstheme="minorHAnsi"/>
                <w:i/>
                <w:iCs/>
                <w:sz w:val="20"/>
                <w:szCs w:val="20"/>
                <w:lang w:val="es-ES"/>
              </w:rPr>
            </w:pPr>
            <w:r w:rsidRPr="00756410">
              <w:rPr>
                <w:rFonts w:cstheme="minorHAnsi"/>
                <w:sz w:val="20"/>
                <w:szCs w:val="20"/>
                <w:lang w:val="es-ES"/>
              </w:rPr>
              <w:t>[</w:t>
            </w:r>
            <w:r w:rsidRPr="00756410">
              <w:rPr>
                <w:rFonts w:cstheme="minorHAnsi"/>
                <w:i/>
                <w:iCs/>
                <w:sz w:val="20"/>
                <w:szCs w:val="20"/>
                <w:lang w:val="es-ES"/>
              </w:rPr>
              <w:t>Inventory Focal Point]</w:t>
            </w:r>
          </w:p>
        </w:tc>
        <w:tc>
          <w:tcPr>
            <w:tcW w:w="2700" w:type="dxa"/>
            <w:tcBorders>
              <w:top w:val="single" w:sz="4" w:space="0" w:color="auto"/>
              <w:left w:val="single" w:sz="4" w:space="0" w:color="auto"/>
              <w:bottom w:val="single" w:sz="4" w:space="0" w:color="auto"/>
              <w:right w:val="single" w:sz="4" w:space="0" w:color="auto"/>
            </w:tcBorders>
          </w:tcPr>
          <w:p w14:paraId="6B7FA424" w14:textId="614A144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1AC8EA39" w14:textId="77777777" w:rsidR="007802E1" w:rsidRPr="00F133DC" w:rsidRDefault="007802E1" w:rsidP="00491939">
            <w:pPr>
              <w:rPr>
                <w:rFonts w:cstheme="minorHAnsi"/>
                <w:sz w:val="20"/>
                <w:szCs w:val="20"/>
              </w:rPr>
            </w:pPr>
          </w:p>
        </w:tc>
      </w:tr>
      <w:tr w:rsidR="007802E1" w:rsidRPr="00F133DC" w14:paraId="2C62C33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8A52A65" w14:textId="1CF49A23" w:rsidR="007802E1" w:rsidRDefault="007802E1" w:rsidP="00491939">
            <w:pPr>
              <w:rPr>
                <w:rFonts w:cstheme="minorHAnsi"/>
                <w:sz w:val="20"/>
                <w:szCs w:val="20"/>
                <w:lang w:val="es-ES"/>
              </w:rPr>
            </w:pPr>
            <w:r w:rsidRPr="00756410">
              <w:rPr>
                <w:rFonts w:cstheme="minorHAnsi"/>
                <w:sz w:val="20"/>
                <w:szCs w:val="20"/>
                <w:lang w:val="es-ES"/>
              </w:rPr>
              <w:t>Coordinador de</w:t>
            </w:r>
            <w:r w:rsidR="00AA2B24">
              <w:rPr>
                <w:rFonts w:cstheme="minorHAnsi"/>
                <w:sz w:val="20"/>
                <w:szCs w:val="20"/>
                <w:lang w:val="es-ES"/>
              </w:rPr>
              <w:t xml:space="preserve">l </w:t>
            </w:r>
            <w:r w:rsidR="00C927FF">
              <w:rPr>
                <w:rFonts w:cstheme="minorHAnsi"/>
                <w:sz w:val="20"/>
                <w:szCs w:val="20"/>
                <w:lang w:val="es-ES"/>
              </w:rPr>
              <w:t>R</w:t>
            </w:r>
            <w:r w:rsidR="00AA2B24">
              <w:rPr>
                <w:rFonts w:cstheme="minorHAnsi"/>
                <w:sz w:val="20"/>
                <w:szCs w:val="20"/>
                <w:lang w:val="es-ES"/>
              </w:rPr>
              <w:t xml:space="preserve">ecuento </w:t>
            </w:r>
            <w:r w:rsidR="00C927FF">
              <w:rPr>
                <w:rFonts w:cstheme="minorHAnsi"/>
                <w:sz w:val="20"/>
                <w:szCs w:val="20"/>
                <w:lang w:val="es-ES"/>
              </w:rPr>
              <w:t>F</w:t>
            </w:r>
            <w:r w:rsidRPr="00756410">
              <w:rPr>
                <w:rFonts w:cstheme="minorHAnsi"/>
                <w:sz w:val="20"/>
                <w:szCs w:val="20"/>
                <w:lang w:val="es-ES"/>
              </w:rPr>
              <w:t xml:space="preserve">ísico de </w:t>
            </w:r>
            <w:r w:rsidR="00C927FF">
              <w:rPr>
                <w:rFonts w:cstheme="minorHAnsi"/>
                <w:sz w:val="20"/>
                <w:szCs w:val="20"/>
                <w:lang w:val="es-ES"/>
              </w:rPr>
              <w:t>I</w:t>
            </w:r>
            <w:r w:rsidRPr="00756410">
              <w:rPr>
                <w:rFonts w:cstheme="minorHAnsi"/>
                <w:sz w:val="20"/>
                <w:szCs w:val="20"/>
                <w:lang w:val="es-ES"/>
              </w:rPr>
              <w:t>nventario</w:t>
            </w:r>
            <w:r w:rsidR="00AA2B24">
              <w:rPr>
                <w:rFonts w:cstheme="minorHAnsi"/>
                <w:sz w:val="20"/>
                <w:szCs w:val="20"/>
                <w:lang w:val="es-ES"/>
              </w:rPr>
              <w:t>s</w:t>
            </w:r>
          </w:p>
          <w:p w14:paraId="0D1F0A20" w14:textId="24B3C9D1" w:rsidR="00246580" w:rsidRPr="00756410" w:rsidRDefault="00246580" w:rsidP="00491939">
            <w:pPr>
              <w:rPr>
                <w:rFonts w:cstheme="minorHAnsi"/>
                <w:sz w:val="20"/>
                <w:szCs w:val="20"/>
                <w:lang w:val="es-ES"/>
              </w:rPr>
            </w:pPr>
            <w:r>
              <w:rPr>
                <w:rFonts w:cstheme="minorHAnsi"/>
                <w:sz w:val="20"/>
                <w:szCs w:val="20"/>
                <w:lang w:val="es-ES"/>
              </w:rPr>
              <w:t>[</w:t>
            </w:r>
            <w:r w:rsidRPr="00756410">
              <w:rPr>
                <w:rFonts w:cstheme="minorHAnsi"/>
                <w:i/>
                <w:iCs/>
                <w:sz w:val="20"/>
                <w:szCs w:val="20"/>
              </w:rPr>
              <w:t>Inventory Physical Count Coordinator</w:t>
            </w:r>
            <w:r>
              <w:rPr>
                <w:rFonts w:cstheme="minorHAnsi"/>
                <w:sz w:val="20"/>
                <w:szCs w:val="20"/>
              </w:rPr>
              <w:t>]</w:t>
            </w:r>
          </w:p>
        </w:tc>
        <w:tc>
          <w:tcPr>
            <w:tcW w:w="2700" w:type="dxa"/>
            <w:tcBorders>
              <w:top w:val="single" w:sz="4" w:space="0" w:color="auto"/>
              <w:left w:val="single" w:sz="4" w:space="0" w:color="auto"/>
              <w:bottom w:val="single" w:sz="4" w:space="0" w:color="auto"/>
              <w:right w:val="single" w:sz="4" w:space="0" w:color="auto"/>
            </w:tcBorders>
          </w:tcPr>
          <w:p w14:paraId="7AD43507" w14:textId="71F7C39F"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Borders>
              <w:top w:val="single" w:sz="4" w:space="0" w:color="auto"/>
              <w:left w:val="single" w:sz="4" w:space="0" w:color="auto"/>
              <w:bottom w:val="single" w:sz="4" w:space="0" w:color="auto"/>
              <w:right w:val="single" w:sz="4" w:space="0" w:color="auto"/>
            </w:tcBorders>
          </w:tcPr>
          <w:p w14:paraId="3A0351B8" w14:textId="77777777" w:rsidR="007802E1" w:rsidRPr="00F133DC" w:rsidRDefault="007802E1" w:rsidP="00491939">
            <w:pPr>
              <w:rPr>
                <w:rFonts w:cstheme="minorHAnsi"/>
                <w:sz w:val="20"/>
                <w:szCs w:val="20"/>
              </w:rPr>
            </w:pPr>
          </w:p>
        </w:tc>
      </w:tr>
      <w:tr w:rsidR="007802E1" w:rsidRPr="00F133DC" w14:paraId="44349314"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63E7870B" w14:textId="77777777" w:rsidR="007802E1" w:rsidRPr="00F133DC" w:rsidRDefault="007802E1" w:rsidP="00491939">
            <w:pPr>
              <w:rPr>
                <w:rFonts w:cstheme="minorHAnsi"/>
                <w:sz w:val="20"/>
                <w:szCs w:val="20"/>
              </w:rPr>
            </w:pPr>
            <w:r w:rsidRPr="00F133DC">
              <w:rPr>
                <w:rFonts w:cstheme="minorHAnsi"/>
                <w:b/>
                <w:bCs/>
                <w:sz w:val="20"/>
                <w:szCs w:val="20"/>
              </w:rPr>
              <w:t>Viajar</w:t>
            </w:r>
          </w:p>
        </w:tc>
      </w:tr>
      <w:tr w:rsidR="007802E1" w:rsidRPr="00F133DC" w14:paraId="21F24C00"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FFB3731" w14:textId="2AD10D66" w:rsidR="00246580" w:rsidRPr="00D2258D" w:rsidRDefault="007802E1" w:rsidP="00756410">
            <w:pPr>
              <w:tabs>
                <w:tab w:val="left" w:pos="2238"/>
              </w:tabs>
              <w:rPr>
                <w:rFonts w:cstheme="minorHAnsi"/>
                <w:sz w:val="20"/>
                <w:szCs w:val="20"/>
              </w:rPr>
            </w:pPr>
            <w:r w:rsidRPr="00D2258D">
              <w:rPr>
                <w:rFonts w:cstheme="minorHAnsi"/>
                <w:sz w:val="20"/>
                <w:szCs w:val="20"/>
              </w:rPr>
              <w:t>Organizador de viajes</w:t>
            </w:r>
            <w:r w:rsidR="00246580">
              <w:rPr>
                <w:rFonts w:cstheme="minorHAnsi"/>
                <w:sz w:val="20"/>
                <w:szCs w:val="20"/>
              </w:rPr>
              <w:tab/>
            </w:r>
          </w:p>
        </w:tc>
        <w:tc>
          <w:tcPr>
            <w:tcW w:w="2700" w:type="dxa"/>
            <w:tcBorders>
              <w:top w:val="single" w:sz="4" w:space="0" w:color="auto"/>
              <w:left w:val="single" w:sz="4" w:space="0" w:color="auto"/>
              <w:bottom w:val="single" w:sz="4" w:space="0" w:color="auto"/>
              <w:right w:val="single" w:sz="4" w:space="0" w:color="auto"/>
            </w:tcBorders>
          </w:tcPr>
          <w:p w14:paraId="1F1107E7" w14:textId="77777777" w:rsidR="007802E1" w:rsidRPr="00756410" w:rsidRDefault="007802E1" w:rsidP="00491939">
            <w:pPr>
              <w:rPr>
                <w:rFonts w:cstheme="minorHAnsi"/>
                <w:sz w:val="20"/>
                <w:szCs w:val="20"/>
                <w:lang w:val="es-ES"/>
              </w:rPr>
            </w:pPr>
            <w:r w:rsidRPr="00756410">
              <w:rPr>
                <w:rFonts w:cstheme="minorHAnsi"/>
                <w:sz w:val="20"/>
                <w:szCs w:val="20"/>
                <w:lang w:val="es-ES"/>
              </w:rPr>
              <w:t>Organizador de viajes</w:t>
            </w:r>
          </w:p>
          <w:p w14:paraId="53810CDF" w14:textId="5883D368" w:rsidR="00246580" w:rsidRPr="00756410" w:rsidRDefault="00246580"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Travel Arranger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8D79816"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F133DC" w14:paraId="4E8B62C5"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675A64D4" w14:textId="77777777" w:rsidR="007802E1" w:rsidRPr="00D2258D" w:rsidRDefault="007802E1" w:rsidP="00491939">
            <w:pPr>
              <w:rPr>
                <w:rFonts w:cstheme="minorHAnsi"/>
                <w:sz w:val="20"/>
                <w:szCs w:val="20"/>
              </w:rPr>
            </w:pPr>
            <w:r w:rsidRPr="00D2258D">
              <w:rPr>
                <w:rFonts w:cstheme="minorHAnsi"/>
                <w:sz w:val="20"/>
                <w:szCs w:val="20"/>
              </w:rPr>
              <w:t>Procesador de viaje</w:t>
            </w:r>
          </w:p>
        </w:tc>
        <w:tc>
          <w:tcPr>
            <w:tcW w:w="2700" w:type="dxa"/>
            <w:tcBorders>
              <w:top w:val="single" w:sz="4" w:space="0" w:color="auto"/>
              <w:left w:val="single" w:sz="4" w:space="0" w:color="auto"/>
              <w:bottom w:val="single" w:sz="4" w:space="0" w:color="auto"/>
              <w:right w:val="single" w:sz="4" w:space="0" w:color="auto"/>
            </w:tcBorders>
          </w:tcPr>
          <w:p w14:paraId="33C194F4" w14:textId="77777777" w:rsidR="007802E1" w:rsidRPr="00756410" w:rsidRDefault="007802E1" w:rsidP="00491939">
            <w:pPr>
              <w:rPr>
                <w:rFonts w:cstheme="minorHAnsi"/>
                <w:sz w:val="20"/>
                <w:szCs w:val="20"/>
                <w:lang w:val="es-ES"/>
              </w:rPr>
            </w:pPr>
            <w:r w:rsidRPr="00756410">
              <w:rPr>
                <w:rFonts w:cstheme="minorHAnsi"/>
                <w:sz w:val="20"/>
                <w:szCs w:val="20"/>
                <w:lang w:val="es-ES"/>
              </w:rPr>
              <w:t>Procesador de viaje</w:t>
            </w:r>
          </w:p>
          <w:p w14:paraId="11DB0823" w14:textId="5AA2D6A7" w:rsidR="00246580" w:rsidRPr="00756410" w:rsidRDefault="00246580"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Travel Processor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AD3E881"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F133DC" w14:paraId="0A52DBA7"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4590B76" w14:textId="77777777" w:rsidR="007802E1" w:rsidRPr="00D2258D" w:rsidRDefault="007802E1" w:rsidP="00491939">
            <w:pPr>
              <w:rPr>
                <w:rFonts w:cstheme="minorHAnsi"/>
                <w:sz w:val="20"/>
                <w:szCs w:val="20"/>
              </w:rPr>
            </w:pPr>
            <w:r w:rsidRPr="00D2258D">
              <w:rPr>
                <w:rFonts w:cstheme="minorHAnsi"/>
                <w:sz w:val="20"/>
                <w:szCs w:val="20"/>
              </w:rPr>
              <w:lastRenderedPageBreak/>
              <w:t>Aprobador de viajes</w:t>
            </w:r>
          </w:p>
        </w:tc>
        <w:tc>
          <w:tcPr>
            <w:tcW w:w="2700" w:type="dxa"/>
            <w:tcBorders>
              <w:top w:val="single" w:sz="4" w:space="0" w:color="auto"/>
              <w:left w:val="single" w:sz="4" w:space="0" w:color="auto"/>
              <w:bottom w:val="single" w:sz="4" w:space="0" w:color="auto"/>
              <w:right w:val="single" w:sz="4" w:space="0" w:color="auto"/>
            </w:tcBorders>
          </w:tcPr>
          <w:p w14:paraId="64BA526A" w14:textId="77777777" w:rsidR="007802E1" w:rsidRDefault="007802E1" w:rsidP="00491939">
            <w:pPr>
              <w:rPr>
                <w:rFonts w:cstheme="minorHAnsi"/>
                <w:sz w:val="20"/>
                <w:szCs w:val="20"/>
                <w:lang w:val="es-ES"/>
              </w:rPr>
            </w:pPr>
            <w:r w:rsidRPr="00756410">
              <w:rPr>
                <w:rFonts w:cstheme="minorHAnsi"/>
                <w:sz w:val="20"/>
                <w:szCs w:val="20"/>
                <w:lang w:val="es-ES"/>
              </w:rPr>
              <w:t>Gerente Nivel 1, Gerente Nivel 2, Gerente Senior (BP)</w:t>
            </w:r>
          </w:p>
          <w:p w14:paraId="77199D48" w14:textId="0413B660" w:rsidR="00246580" w:rsidRPr="001B445B" w:rsidRDefault="00246580" w:rsidP="00491939">
            <w:pPr>
              <w:rPr>
                <w:rFonts w:cstheme="minorHAnsi"/>
                <w:sz w:val="20"/>
                <w:szCs w:val="20"/>
              </w:rPr>
            </w:pPr>
            <w:r w:rsidRPr="00756410">
              <w:rPr>
                <w:rFonts w:cstheme="minorHAnsi"/>
                <w:sz w:val="20"/>
                <w:szCs w:val="20"/>
              </w:rPr>
              <w:t>[Manager Level 1, Level 2, Senior Manager]</w:t>
            </w:r>
          </w:p>
        </w:tc>
        <w:tc>
          <w:tcPr>
            <w:tcW w:w="3690" w:type="dxa"/>
            <w:tcBorders>
              <w:top w:val="single" w:sz="4" w:space="0" w:color="auto"/>
              <w:left w:val="single" w:sz="4" w:space="0" w:color="auto"/>
              <w:bottom w:val="single" w:sz="4" w:space="0" w:color="auto"/>
              <w:right w:val="single" w:sz="4" w:space="0" w:color="auto"/>
            </w:tcBorders>
          </w:tcPr>
          <w:p w14:paraId="2CB3D72E"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F133DC" w14:paraId="3C650A85"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27C14446" w14:textId="77777777" w:rsidR="007802E1" w:rsidRPr="00F133DC" w:rsidRDefault="007802E1" w:rsidP="00491939">
            <w:pPr>
              <w:rPr>
                <w:rFonts w:cstheme="minorHAnsi"/>
                <w:sz w:val="20"/>
                <w:szCs w:val="20"/>
              </w:rPr>
            </w:pPr>
            <w:r w:rsidRPr="00F133DC">
              <w:rPr>
                <w:rFonts w:cstheme="minorHAnsi"/>
                <w:b/>
                <w:bCs/>
                <w:sz w:val="20"/>
                <w:szCs w:val="20"/>
              </w:rPr>
              <w:t>Gestión financiera general</w:t>
            </w:r>
          </w:p>
        </w:tc>
      </w:tr>
      <w:tr w:rsidR="007802E1" w:rsidRPr="00F133DC" w14:paraId="5732DB57"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0B516909" w14:textId="77777777" w:rsidR="007802E1" w:rsidRPr="00756410" w:rsidRDefault="007802E1" w:rsidP="00491939">
            <w:pPr>
              <w:rPr>
                <w:rFonts w:cstheme="minorHAnsi"/>
                <w:sz w:val="20"/>
                <w:szCs w:val="20"/>
                <w:lang w:val="es-419"/>
              </w:rPr>
            </w:pPr>
            <w:r w:rsidRPr="00756410">
              <w:rPr>
                <w:rFonts w:cstheme="minorHAnsi"/>
                <w:sz w:val="20"/>
                <w:szCs w:val="20"/>
                <w:lang w:val="es-419"/>
              </w:rPr>
              <w:t>RRD (Operaciones) (o equivalente en la sede)</w:t>
            </w:r>
          </w:p>
        </w:tc>
        <w:tc>
          <w:tcPr>
            <w:tcW w:w="2700" w:type="dxa"/>
            <w:tcBorders>
              <w:top w:val="single" w:sz="4" w:space="0" w:color="auto"/>
              <w:left w:val="single" w:sz="4" w:space="0" w:color="auto"/>
              <w:bottom w:val="single" w:sz="4" w:space="0" w:color="auto"/>
              <w:right w:val="single" w:sz="4" w:space="0" w:color="auto"/>
            </w:tcBorders>
          </w:tcPr>
          <w:p w14:paraId="4D373424" w14:textId="6EC9F100" w:rsidR="007802E1" w:rsidRPr="00756410" w:rsidRDefault="007802E1" w:rsidP="00491939">
            <w:pPr>
              <w:rPr>
                <w:rFonts w:cstheme="minorHAnsi"/>
                <w:sz w:val="20"/>
                <w:szCs w:val="20"/>
                <w:lang w:val="es-419"/>
              </w:rPr>
            </w:pPr>
            <w:r w:rsidRPr="00756410">
              <w:rPr>
                <w:rFonts w:cstheme="minorHAnsi"/>
                <w:sz w:val="20"/>
                <w:szCs w:val="20"/>
                <w:lang w:val="es-419"/>
              </w:rPr>
              <w:t xml:space="preserve">Por lo general, el gerente </w:t>
            </w:r>
            <w:r w:rsidR="001B445B">
              <w:rPr>
                <w:rFonts w:cstheme="minorHAnsi"/>
                <w:sz w:val="20"/>
                <w:szCs w:val="20"/>
                <w:lang w:val="es-419"/>
              </w:rPr>
              <w:t>Se</w:t>
            </w:r>
            <w:r w:rsidRPr="00756410">
              <w:rPr>
                <w:rFonts w:cstheme="minorHAnsi"/>
                <w:sz w:val="20"/>
                <w:szCs w:val="20"/>
                <w:lang w:val="es-419"/>
              </w:rPr>
              <w:t>nior</w:t>
            </w:r>
            <w:r w:rsidR="001B445B">
              <w:rPr>
                <w:rFonts w:cstheme="minorHAnsi"/>
                <w:sz w:val="20"/>
                <w:szCs w:val="20"/>
                <w:lang w:val="es-419"/>
              </w:rPr>
              <w:t xml:space="preserve"> [</w:t>
            </w:r>
            <w:r w:rsidR="001B445B" w:rsidRPr="00756410">
              <w:rPr>
                <w:rFonts w:cstheme="minorHAnsi"/>
                <w:i/>
                <w:iCs/>
                <w:sz w:val="20"/>
                <w:szCs w:val="20"/>
                <w:lang w:val="es-419"/>
              </w:rPr>
              <w:t>Senior Manager</w:t>
            </w:r>
            <w:r w:rsidR="001B445B">
              <w:rPr>
                <w:rFonts w:cstheme="minorHAnsi"/>
                <w:sz w:val="20"/>
                <w:szCs w:val="20"/>
                <w:lang w:val="es-419"/>
              </w:rPr>
              <w:t xml:space="preserve">] </w:t>
            </w:r>
          </w:p>
        </w:tc>
        <w:tc>
          <w:tcPr>
            <w:tcW w:w="3690" w:type="dxa"/>
            <w:tcBorders>
              <w:top w:val="single" w:sz="4" w:space="0" w:color="auto"/>
              <w:left w:val="single" w:sz="4" w:space="0" w:color="auto"/>
              <w:bottom w:val="single" w:sz="4" w:space="0" w:color="auto"/>
              <w:right w:val="single" w:sz="4" w:space="0" w:color="auto"/>
            </w:tcBorders>
          </w:tcPr>
          <w:p w14:paraId="59D839EB"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F133DC" w14:paraId="7D7518D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51572D1" w14:textId="77777777" w:rsidR="007802E1" w:rsidRPr="00756410" w:rsidRDefault="007802E1" w:rsidP="00491939">
            <w:pPr>
              <w:rPr>
                <w:rFonts w:cstheme="minorHAnsi"/>
                <w:sz w:val="20"/>
                <w:szCs w:val="20"/>
                <w:lang w:val="es-419"/>
              </w:rPr>
            </w:pPr>
            <w:r w:rsidRPr="00756410">
              <w:rPr>
                <w:rFonts w:cstheme="minorHAnsi"/>
                <w:sz w:val="20"/>
                <w:szCs w:val="20"/>
                <w:lang w:val="es-419"/>
              </w:rPr>
              <w:t>Gerente de operaciones (o equivalente en la sede central)</w:t>
            </w:r>
          </w:p>
        </w:tc>
        <w:tc>
          <w:tcPr>
            <w:tcW w:w="2700" w:type="dxa"/>
            <w:tcBorders>
              <w:top w:val="single" w:sz="4" w:space="0" w:color="auto"/>
              <w:left w:val="single" w:sz="4" w:space="0" w:color="auto"/>
              <w:bottom w:val="single" w:sz="4" w:space="0" w:color="auto"/>
              <w:right w:val="single" w:sz="4" w:space="0" w:color="auto"/>
            </w:tcBorders>
          </w:tcPr>
          <w:p w14:paraId="32E2B071" w14:textId="6F1A777B" w:rsidR="007802E1" w:rsidRPr="00756410" w:rsidRDefault="007802E1" w:rsidP="00491939">
            <w:pPr>
              <w:rPr>
                <w:rFonts w:cstheme="minorHAnsi"/>
                <w:i/>
                <w:iCs/>
                <w:sz w:val="20"/>
                <w:szCs w:val="20"/>
                <w:lang w:val="es-ES"/>
              </w:rPr>
            </w:pPr>
            <w:r w:rsidRPr="00756410">
              <w:rPr>
                <w:rFonts w:cstheme="minorHAnsi"/>
                <w:sz w:val="20"/>
                <w:szCs w:val="20"/>
                <w:lang w:val="es-ES"/>
              </w:rPr>
              <w:t>Por lo general, Gerente Senior o Gerente Nivel 2</w:t>
            </w:r>
            <w:r w:rsidR="001B445B">
              <w:rPr>
                <w:rFonts w:cstheme="minorHAnsi"/>
                <w:sz w:val="20"/>
                <w:szCs w:val="20"/>
                <w:lang w:val="es-ES"/>
              </w:rPr>
              <w:t xml:space="preserve"> [</w:t>
            </w:r>
            <w:r w:rsidR="001B445B">
              <w:rPr>
                <w:rFonts w:cstheme="minorHAnsi"/>
                <w:i/>
                <w:iCs/>
                <w:sz w:val="20"/>
                <w:szCs w:val="20"/>
                <w:lang w:val="es-ES"/>
              </w:rPr>
              <w:t>Manager Level 2</w:t>
            </w:r>
            <w:r w:rsidR="001B445B"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3D97A3D6" w14:textId="77777777" w:rsidR="007802E1" w:rsidRPr="00D2258D" w:rsidRDefault="007802E1" w:rsidP="00491939">
            <w:pPr>
              <w:rPr>
                <w:rFonts w:cstheme="minorHAnsi"/>
                <w:sz w:val="20"/>
                <w:szCs w:val="20"/>
              </w:rPr>
            </w:pPr>
            <w:r w:rsidRPr="00D2258D">
              <w:rPr>
                <w:rFonts w:cstheme="minorHAnsi"/>
                <w:sz w:val="20"/>
                <w:szCs w:val="20"/>
              </w:rPr>
              <w:t>Sí</w:t>
            </w:r>
          </w:p>
        </w:tc>
      </w:tr>
      <w:tr w:rsidR="007802E1" w:rsidRPr="00F133DC" w14:paraId="65521F5F"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1046D09E" w14:textId="77777777" w:rsidR="007802E1" w:rsidRPr="00D2258D" w:rsidRDefault="007802E1" w:rsidP="00491939">
            <w:pPr>
              <w:rPr>
                <w:rFonts w:cstheme="minorHAnsi"/>
                <w:sz w:val="20"/>
                <w:szCs w:val="20"/>
              </w:rPr>
            </w:pPr>
            <w:r w:rsidRPr="00D2258D">
              <w:rPr>
                <w:rFonts w:cstheme="minorHAnsi"/>
                <w:sz w:val="20"/>
                <w:szCs w:val="20"/>
              </w:rPr>
              <w:t>Personal de Finanzas</w:t>
            </w:r>
          </w:p>
        </w:tc>
        <w:tc>
          <w:tcPr>
            <w:tcW w:w="2700" w:type="dxa"/>
            <w:tcBorders>
              <w:top w:val="single" w:sz="4" w:space="0" w:color="auto"/>
              <w:left w:val="single" w:sz="4" w:space="0" w:color="auto"/>
              <w:bottom w:val="single" w:sz="4" w:space="0" w:color="auto"/>
              <w:right w:val="single" w:sz="4" w:space="0" w:color="auto"/>
            </w:tcBorders>
          </w:tcPr>
          <w:p w14:paraId="6C3F0140" w14:textId="77777777" w:rsidR="007802E1" w:rsidRPr="00756410" w:rsidRDefault="007802E1" w:rsidP="00491939">
            <w:pPr>
              <w:rPr>
                <w:rFonts w:cstheme="minorHAnsi"/>
                <w:sz w:val="20"/>
                <w:szCs w:val="20"/>
                <w:lang w:val="es-ES"/>
              </w:rPr>
            </w:pPr>
            <w:r w:rsidRPr="00756410">
              <w:rPr>
                <w:rFonts w:cstheme="minorHAnsi"/>
                <w:sz w:val="20"/>
                <w:szCs w:val="20"/>
                <w:lang w:val="es-ES"/>
              </w:rPr>
              <w:t>Usuario de finanzas</w:t>
            </w:r>
          </w:p>
          <w:p w14:paraId="07BDEF14" w14:textId="5A790857" w:rsidR="001B445B" w:rsidRPr="00756410" w:rsidRDefault="001B445B"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Finance User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1C899627" w14:textId="77777777" w:rsidR="007802E1" w:rsidRPr="00D2258D" w:rsidRDefault="007802E1" w:rsidP="00491939">
            <w:pPr>
              <w:rPr>
                <w:rFonts w:cstheme="minorHAnsi"/>
                <w:sz w:val="20"/>
                <w:szCs w:val="20"/>
              </w:rPr>
            </w:pPr>
            <w:r w:rsidRPr="00D2258D">
              <w:rPr>
                <w:rFonts w:cstheme="minorHAnsi"/>
                <w:sz w:val="20"/>
                <w:szCs w:val="20"/>
              </w:rPr>
              <w:t>Sí</w:t>
            </w:r>
          </w:p>
        </w:tc>
      </w:tr>
      <w:tr w:rsidR="00953D70" w:rsidRPr="00773863" w14:paraId="057EC5F9"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CA8BE32" w14:textId="678DFC63" w:rsidR="00953D70" w:rsidRPr="00756410" w:rsidRDefault="00953D70" w:rsidP="00491939">
            <w:pPr>
              <w:rPr>
                <w:rFonts w:cstheme="minorHAnsi"/>
                <w:sz w:val="20"/>
                <w:szCs w:val="20"/>
                <w:lang w:val="es-419"/>
              </w:rPr>
            </w:pPr>
            <w:r w:rsidRPr="00756410">
              <w:rPr>
                <w:rFonts w:cstheme="minorHAnsi"/>
                <w:sz w:val="20"/>
                <w:szCs w:val="20"/>
                <w:lang w:val="es-419"/>
              </w:rPr>
              <w:t>Equipo financiero de BMS/GSSC</w:t>
            </w:r>
          </w:p>
        </w:tc>
        <w:tc>
          <w:tcPr>
            <w:tcW w:w="2700" w:type="dxa"/>
            <w:tcBorders>
              <w:top w:val="single" w:sz="4" w:space="0" w:color="auto"/>
              <w:left w:val="single" w:sz="4" w:space="0" w:color="auto"/>
              <w:bottom w:val="single" w:sz="4" w:space="0" w:color="auto"/>
              <w:right w:val="single" w:sz="4" w:space="0" w:color="auto"/>
            </w:tcBorders>
          </w:tcPr>
          <w:p w14:paraId="00957469" w14:textId="1E054766" w:rsidR="00953D70" w:rsidRPr="00D2258D" w:rsidRDefault="00953D70" w:rsidP="00491939">
            <w:pPr>
              <w:rPr>
                <w:rFonts w:cstheme="minorHAnsi"/>
                <w:sz w:val="20"/>
                <w:szCs w:val="20"/>
              </w:rPr>
            </w:pPr>
            <w:r w:rsidRPr="00D2258D">
              <w:rPr>
                <w:rFonts w:cstheme="minorHAnsi"/>
                <w:sz w:val="20"/>
                <w:szCs w:val="20"/>
              </w:rPr>
              <w:t>Varios</w:t>
            </w:r>
          </w:p>
        </w:tc>
        <w:tc>
          <w:tcPr>
            <w:tcW w:w="3690" w:type="dxa"/>
            <w:tcBorders>
              <w:top w:val="single" w:sz="4" w:space="0" w:color="auto"/>
              <w:left w:val="single" w:sz="4" w:space="0" w:color="auto"/>
              <w:bottom w:val="single" w:sz="4" w:space="0" w:color="auto"/>
              <w:right w:val="single" w:sz="4" w:space="0" w:color="auto"/>
            </w:tcBorders>
          </w:tcPr>
          <w:p w14:paraId="009F975F" w14:textId="6E96A365" w:rsidR="00953D70" w:rsidRPr="00756410" w:rsidRDefault="00953D70" w:rsidP="00491939">
            <w:pPr>
              <w:rPr>
                <w:rFonts w:cstheme="minorHAnsi"/>
                <w:sz w:val="20"/>
                <w:szCs w:val="20"/>
                <w:lang w:val="es-419"/>
              </w:rPr>
            </w:pPr>
            <w:r w:rsidRPr="00756410">
              <w:rPr>
                <w:rFonts w:cstheme="minorHAnsi"/>
                <w:sz w:val="20"/>
                <w:szCs w:val="20"/>
                <w:lang w:val="es-419"/>
              </w:rPr>
              <w:t>No, específico para la prestación de servicios BMS/GSSC</w:t>
            </w:r>
          </w:p>
        </w:tc>
      </w:tr>
      <w:tr w:rsidR="007802E1" w:rsidRPr="00F133DC" w14:paraId="4B3BE4B7"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1A8A6B1D" w14:textId="2AB4C42F" w:rsidR="007802E1" w:rsidRPr="00F133DC" w:rsidRDefault="007802E1" w:rsidP="22B40BB7">
            <w:pPr>
              <w:rPr>
                <w:sz w:val="20"/>
                <w:szCs w:val="20"/>
              </w:rPr>
            </w:pPr>
            <w:r w:rsidRPr="22B40BB7">
              <w:rPr>
                <w:b/>
                <w:bCs/>
                <w:sz w:val="20"/>
                <w:szCs w:val="20"/>
              </w:rPr>
              <w:t>Otro</w:t>
            </w:r>
            <w:r w:rsidR="2439D3C3" w:rsidRPr="22B40BB7">
              <w:rPr>
                <w:b/>
                <w:bCs/>
                <w:sz w:val="20"/>
                <w:szCs w:val="20"/>
              </w:rPr>
              <w:t>s</w:t>
            </w:r>
          </w:p>
        </w:tc>
      </w:tr>
      <w:tr w:rsidR="007802E1" w:rsidRPr="00F133DC" w14:paraId="24E6B627"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53C22EA0" w14:textId="77777777" w:rsidR="007802E1" w:rsidRPr="00756410" w:rsidRDefault="007802E1" w:rsidP="00491939">
            <w:pPr>
              <w:rPr>
                <w:rFonts w:cstheme="minorHAnsi"/>
                <w:sz w:val="20"/>
                <w:szCs w:val="20"/>
                <w:lang w:val="es-419"/>
              </w:rPr>
            </w:pPr>
            <w:r w:rsidRPr="00756410">
              <w:rPr>
                <w:rFonts w:cstheme="minorHAnsi"/>
                <w:sz w:val="20"/>
                <w:szCs w:val="20"/>
                <w:lang w:val="es-419"/>
              </w:rPr>
              <w:t>Punto focal de ubicación y aprobador de ubicación</w:t>
            </w:r>
          </w:p>
        </w:tc>
        <w:tc>
          <w:tcPr>
            <w:tcW w:w="2700" w:type="dxa"/>
            <w:tcBorders>
              <w:top w:val="single" w:sz="4" w:space="0" w:color="auto"/>
              <w:left w:val="single" w:sz="4" w:space="0" w:color="auto"/>
              <w:bottom w:val="single" w:sz="4" w:space="0" w:color="auto"/>
              <w:right w:val="single" w:sz="4" w:space="0" w:color="auto"/>
            </w:tcBorders>
          </w:tcPr>
          <w:p w14:paraId="54DC9649" w14:textId="77777777" w:rsidR="007802E1" w:rsidRDefault="007802E1" w:rsidP="00491939">
            <w:pPr>
              <w:rPr>
                <w:rFonts w:cstheme="minorHAnsi"/>
                <w:sz w:val="20"/>
                <w:szCs w:val="20"/>
                <w:lang w:val="pt-PT"/>
              </w:rPr>
            </w:pPr>
            <w:r w:rsidRPr="00756410">
              <w:rPr>
                <w:rFonts w:cstheme="minorHAnsi"/>
                <w:sz w:val="20"/>
                <w:szCs w:val="20"/>
                <w:lang w:val="pt-PT"/>
              </w:rPr>
              <w:t>Solicitante de IDAM, Aprobador de IDAM</w:t>
            </w:r>
          </w:p>
          <w:p w14:paraId="6744EA5F" w14:textId="77777777" w:rsidR="001B445B" w:rsidRDefault="001B445B" w:rsidP="00491939">
            <w:pPr>
              <w:rPr>
                <w:rFonts w:cstheme="minorHAnsi"/>
                <w:sz w:val="20"/>
                <w:szCs w:val="20"/>
                <w:lang w:val="pt-PT"/>
              </w:rPr>
            </w:pPr>
            <w:r>
              <w:rPr>
                <w:rFonts w:cstheme="minorHAnsi"/>
                <w:sz w:val="20"/>
                <w:szCs w:val="20"/>
                <w:lang w:val="pt-PT"/>
              </w:rPr>
              <w:t>[</w:t>
            </w:r>
            <w:r w:rsidRPr="00756410">
              <w:rPr>
                <w:rFonts w:cstheme="minorHAnsi"/>
                <w:i/>
                <w:iCs/>
                <w:sz w:val="20"/>
                <w:szCs w:val="20"/>
                <w:lang w:val="pt-PT"/>
              </w:rPr>
              <w:t>IDAM Requestor</w:t>
            </w:r>
            <w:r>
              <w:rPr>
                <w:rFonts w:cstheme="minorHAnsi"/>
                <w:sz w:val="20"/>
                <w:szCs w:val="20"/>
                <w:lang w:val="pt-PT"/>
              </w:rPr>
              <w:t>]</w:t>
            </w:r>
          </w:p>
          <w:p w14:paraId="5B838A6A" w14:textId="147F904F" w:rsidR="001B445B" w:rsidRPr="00756410" w:rsidRDefault="001B445B" w:rsidP="00491939">
            <w:pPr>
              <w:rPr>
                <w:rFonts w:cstheme="minorHAnsi"/>
                <w:sz w:val="20"/>
                <w:szCs w:val="20"/>
                <w:lang w:val="pt-PT"/>
              </w:rPr>
            </w:pPr>
            <w:r>
              <w:rPr>
                <w:rFonts w:cstheme="minorHAnsi"/>
                <w:sz w:val="20"/>
                <w:szCs w:val="20"/>
                <w:lang w:val="pt-PT"/>
              </w:rPr>
              <w:t>[</w:t>
            </w:r>
            <w:r w:rsidRPr="00756410">
              <w:rPr>
                <w:rFonts w:cstheme="minorHAnsi"/>
                <w:i/>
                <w:iCs/>
                <w:sz w:val="20"/>
                <w:szCs w:val="20"/>
                <w:lang w:val="pt-PT"/>
              </w:rPr>
              <w:t>IDAM Approver</w:t>
            </w:r>
            <w:r>
              <w:rPr>
                <w:rFonts w:cstheme="minorHAnsi"/>
                <w:sz w:val="20"/>
                <w:szCs w:val="20"/>
                <w:lang w:val="pt-PT"/>
              </w:rPr>
              <w:t>]</w:t>
            </w:r>
          </w:p>
        </w:tc>
        <w:tc>
          <w:tcPr>
            <w:tcW w:w="3690" w:type="dxa"/>
            <w:tcBorders>
              <w:top w:val="single" w:sz="4" w:space="0" w:color="auto"/>
              <w:left w:val="single" w:sz="4" w:space="0" w:color="auto"/>
              <w:bottom w:val="single" w:sz="4" w:space="0" w:color="auto"/>
              <w:right w:val="single" w:sz="4" w:space="0" w:color="auto"/>
            </w:tcBorders>
          </w:tcPr>
          <w:p w14:paraId="6061D9A0" w14:textId="79712728" w:rsidR="007802E1" w:rsidRPr="00D2258D" w:rsidRDefault="007802E1" w:rsidP="00491939">
            <w:pPr>
              <w:rPr>
                <w:rFonts w:cstheme="minorHAnsi"/>
                <w:sz w:val="20"/>
                <w:szCs w:val="20"/>
              </w:rPr>
            </w:pPr>
            <w:r w:rsidRPr="00D2258D">
              <w:rPr>
                <w:rFonts w:cstheme="minorHAnsi"/>
                <w:sz w:val="20"/>
                <w:szCs w:val="20"/>
              </w:rPr>
              <w:t>Sí</w:t>
            </w:r>
          </w:p>
        </w:tc>
      </w:tr>
      <w:tr w:rsidR="007802E1" w:rsidRPr="00773863" w14:paraId="5F93B24B"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1E6C6A4" w14:textId="36F64A5A" w:rsidR="007802E1" w:rsidRPr="00756410" w:rsidRDefault="007802E1" w:rsidP="363CA695">
            <w:pPr>
              <w:rPr>
                <w:sz w:val="20"/>
                <w:szCs w:val="20"/>
                <w:lang w:val="es-ES"/>
              </w:rPr>
            </w:pPr>
            <w:r w:rsidRPr="00756410">
              <w:rPr>
                <w:sz w:val="20"/>
                <w:szCs w:val="20"/>
                <w:lang w:val="es-ES"/>
              </w:rPr>
              <w:t>Funcionarios designados para presentar solicitudes de servicio a BMS/GSSC</w:t>
            </w:r>
          </w:p>
        </w:tc>
        <w:tc>
          <w:tcPr>
            <w:tcW w:w="2700" w:type="dxa"/>
            <w:tcBorders>
              <w:top w:val="single" w:sz="4" w:space="0" w:color="auto"/>
              <w:left w:val="single" w:sz="4" w:space="0" w:color="auto"/>
              <w:bottom w:val="single" w:sz="4" w:space="0" w:color="auto"/>
              <w:right w:val="single" w:sz="4" w:space="0" w:color="auto"/>
            </w:tcBorders>
          </w:tcPr>
          <w:p w14:paraId="4D5F5E90" w14:textId="7DD8683D" w:rsidR="007802E1" w:rsidRPr="00D2258D" w:rsidRDefault="007802E1" w:rsidP="00491939">
            <w:pPr>
              <w:rPr>
                <w:rFonts w:cstheme="minorHAnsi"/>
                <w:sz w:val="20"/>
                <w:szCs w:val="20"/>
              </w:rPr>
            </w:pPr>
            <w:r w:rsidRPr="00D2258D">
              <w:rPr>
                <w:rFonts w:cstheme="minorHAnsi"/>
                <w:sz w:val="20"/>
                <w:szCs w:val="20"/>
              </w:rPr>
              <w:t xml:space="preserve">N/A </w:t>
            </w:r>
          </w:p>
        </w:tc>
        <w:tc>
          <w:tcPr>
            <w:tcW w:w="3690" w:type="dxa"/>
            <w:tcBorders>
              <w:top w:val="single" w:sz="4" w:space="0" w:color="auto"/>
              <w:left w:val="single" w:sz="4" w:space="0" w:color="auto"/>
              <w:bottom w:val="single" w:sz="4" w:space="0" w:color="auto"/>
              <w:right w:val="single" w:sz="4" w:space="0" w:color="auto"/>
            </w:tcBorders>
          </w:tcPr>
          <w:p w14:paraId="5EBBA41C" w14:textId="59B4B222" w:rsidR="007802E1" w:rsidRPr="00756410" w:rsidRDefault="007802E1" w:rsidP="363CA695">
            <w:pPr>
              <w:rPr>
                <w:sz w:val="20"/>
                <w:szCs w:val="20"/>
                <w:lang w:val="es-419"/>
              </w:rPr>
            </w:pPr>
            <w:r w:rsidRPr="00756410">
              <w:rPr>
                <w:sz w:val="20"/>
                <w:szCs w:val="20"/>
                <w:lang w:val="es-419"/>
              </w:rPr>
              <w:t>N/A – designado fuera del ERP.</w:t>
            </w:r>
          </w:p>
        </w:tc>
      </w:tr>
      <w:tr w:rsidR="007802E1" w:rsidRPr="00F133DC" w14:paraId="6A39538D"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402BC535" w14:textId="77777777" w:rsidR="007802E1" w:rsidRPr="00F133DC" w:rsidRDefault="007802E1" w:rsidP="00491939">
            <w:pPr>
              <w:rPr>
                <w:rFonts w:cstheme="minorHAnsi"/>
                <w:sz w:val="20"/>
                <w:szCs w:val="20"/>
              </w:rPr>
            </w:pPr>
            <w:r w:rsidRPr="00F133DC">
              <w:rPr>
                <w:rFonts w:cstheme="minorHAnsi"/>
                <w:b/>
                <w:bCs/>
                <w:sz w:val="20"/>
                <w:szCs w:val="20"/>
              </w:rPr>
              <w:t>Gestión de oficinas</w:t>
            </w:r>
          </w:p>
        </w:tc>
      </w:tr>
      <w:tr w:rsidR="007802E1" w:rsidRPr="00F133DC" w14:paraId="48963E3A"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34472523" w14:textId="77777777" w:rsidR="007802E1" w:rsidRPr="00D2258D" w:rsidRDefault="007802E1" w:rsidP="00491939">
            <w:pPr>
              <w:rPr>
                <w:rFonts w:cstheme="minorHAnsi"/>
                <w:sz w:val="20"/>
                <w:szCs w:val="20"/>
              </w:rPr>
            </w:pPr>
            <w:r w:rsidRPr="00D2258D">
              <w:rPr>
                <w:rFonts w:cstheme="minorHAnsi"/>
                <w:sz w:val="20"/>
                <w:szCs w:val="20"/>
              </w:rPr>
              <w:t>Jefe de Oficina</w:t>
            </w:r>
          </w:p>
        </w:tc>
        <w:tc>
          <w:tcPr>
            <w:tcW w:w="2700" w:type="dxa"/>
            <w:tcBorders>
              <w:top w:val="single" w:sz="4" w:space="0" w:color="auto"/>
              <w:left w:val="single" w:sz="4" w:space="0" w:color="auto"/>
              <w:bottom w:val="single" w:sz="4" w:space="0" w:color="auto"/>
              <w:right w:val="single" w:sz="4" w:space="0" w:color="auto"/>
            </w:tcBorders>
          </w:tcPr>
          <w:p w14:paraId="28686C2F" w14:textId="542F875B" w:rsidR="007802E1" w:rsidRPr="00756410" w:rsidRDefault="007802E1" w:rsidP="00491939">
            <w:pPr>
              <w:rPr>
                <w:rFonts w:cstheme="minorHAnsi"/>
                <w:sz w:val="20"/>
                <w:szCs w:val="20"/>
                <w:lang w:val="es-419"/>
              </w:rPr>
            </w:pPr>
            <w:r w:rsidRPr="00756410">
              <w:rPr>
                <w:rFonts w:cstheme="minorHAnsi"/>
                <w:sz w:val="20"/>
                <w:szCs w:val="20"/>
                <w:lang w:val="es-419"/>
              </w:rPr>
              <w:t>Por lo general, el gerente s</w:t>
            </w:r>
            <w:r w:rsidR="001B445B">
              <w:rPr>
                <w:rFonts w:cstheme="minorHAnsi"/>
                <w:sz w:val="20"/>
                <w:szCs w:val="20"/>
                <w:lang w:val="es-419"/>
              </w:rPr>
              <w:t>e</w:t>
            </w:r>
            <w:r w:rsidRPr="00756410">
              <w:rPr>
                <w:rFonts w:cstheme="minorHAnsi"/>
                <w:sz w:val="20"/>
                <w:szCs w:val="20"/>
                <w:lang w:val="es-419"/>
              </w:rPr>
              <w:t>nior</w:t>
            </w:r>
            <w:r w:rsidR="001B445B">
              <w:rPr>
                <w:rFonts w:cstheme="minorHAnsi"/>
                <w:sz w:val="20"/>
                <w:szCs w:val="20"/>
                <w:lang w:val="es-419"/>
              </w:rPr>
              <w:t xml:space="preserve"> [</w:t>
            </w:r>
            <w:r w:rsidR="001B445B" w:rsidRPr="00756410">
              <w:rPr>
                <w:rFonts w:cstheme="minorHAnsi"/>
                <w:i/>
                <w:iCs/>
                <w:sz w:val="20"/>
                <w:szCs w:val="20"/>
                <w:lang w:val="es-419"/>
              </w:rPr>
              <w:t>Senior Manager</w:t>
            </w:r>
            <w:r w:rsidR="001B445B">
              <w:rPr>
                <w:rFonts w:cstheme="minorHAnsi"/>
                <w:sz w:val="20"/>
                <w:szCs w:val="20"/>
                <w:lang w:val="es-419"/>
              </w:rPr>
              <w:t>]</w:t>
            </w:r>
          </w:p>
        </w:tc>
        <w:tc>
          <w:tcPr>
            <w:tcW w:w="3690" w:type="dxa"/>
            <w:tcBorders>
              <w:top w:val="single" w:sz="4" w:space="0" w:color="auto"/>
              <w:left w:val="single" w:sz="4" w:space="0" w:color="auto"/>
              <w:bottom w:val="single" w:sz="4" w:space="0" w:color="auto"/>
              <w:right w:val="single" w:sz="4" w:space="0" w:color="auto"/>
            </w:tcBorders>
          </w:tcPr>
          <w:p w14:paraId="490B10F4" w14:textId="77777777" w:rsidR="007802E1" w:rsidRPr="00D2258D" w:rsidRDefault="007802E1" w:rsidP="00491939">
            <w:pPr>
              <w:rPr>
                <w:rFonts w:cstheme="minorHAnsi"/>
                <w:sz w:val="20"/>
                <w:szCs w:val="20"/>
              </w:rPr>
            </w:pPr>
            <w:r w:rsidRPr="00D2258D">
              <w:rPr>
                <w:rFonts w:cstheme="minorHAnsi"/>
                <w:sz w:val="20"/>
                <w:szCs w:val="20"/>
              </w:rPr>
              <w:t>Sí</w:t>
            </w:r>
          </w:p>
        </w:tc>
      </w:tr>
      <w:tr w:rsidR="00BC076E" w:rsidRPr="00773863" w14:paraId="50E7A02E" w14:textId="77777777" w:rsidTr="0004107A">
        <w:trPr>
          <w:trHeight w:val="20"/>
        </w:trPr>
        <w:tc>
          <w:tcPr>
            <w:tcW w:w="10075" w:type="dxa"/>
            <w:gridSpan w:val="3"/>
            <w:tcBorders>
              <w:top w:val="single" w:sz="4" w:space="0" w:color="auto"/>
              <w:left w:val="single" w:sz="4" w:space="0" w:color="auto"/>
              <w:bottom w:val="single" w:sz="4" w:space="0" w:color="auto"/>
              <w:right w:val="single" w:sz="4" w:space="0" w:color="auto"/>
            </w:tcBorders>
            <w:shd w:val="clear" w:color="auto" w:fill="00B0F0"/>
          </w:tcPr>
          <w:p w14:paraId="63947209" w14:textId="1B8D869E" w:rsidR="00BC076E" w:rsidRPr="00756410" w:rsidRDefault="00BC076E" w:rsidP="00491939">
            <w:pPr>
              <w:rPr>
                <w:rFonts w:cstheme="minorHAnsi"/>
                <w:sz w:val="20"/>
                <w:szCs w:val="20"/>
                <w:lang w:val="es-ES"/>
              </w:rPr>
            </w:pPr>
            <w:r w:rsidRPr="00756410">
              <w:rPr>
                <w:rFonts w:cstheme="minorHAnsi"/>
                <w:b/>
                <w:bCs/>
                <w:sz w:val="20"/>
                <w:szCs w:val="20"/>
                <w:lang w:val="es-ES"/>
              </w:rPr>
              <w:t>Otras funciones complementarias de IDAM</w:t>
            </w:r>
          </w:p>
        </w:tc>
      </w:tr>
      <w:tr w:rsidR="00BC076E" w:rsidRPr="00773863" w14:paraId="05EE668E"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3EE454B0" w14:textId="18A91752" w:rsidR="00BC076E" w:rsidRPr="00D2258D" w:rsidRDefault="00A22E73" w:rsidP="00491939">
            <w:pPr>
              <w:rPr>
                <w:rFonts w:cstheme="minorHAnsi"/>
                <w:sz w:val="20"/>
                <w:szCs w:val="20"/>
              </w:rPr>
            </w:pPr>
            <w:r w:rsidRPr="00D2258D">
              <w:rPr>
                <w:rFonts w:cstheme="minorHAnsi"/>
                <w:sz w:val="20"/>
                <w:szCs w:val="20"/>
              </w:rPr>
              <w:t>Ejecutar anulaciones de presupuesto</w:t>
            </w:r>
          </w:p>
        </w:tc>
        <w:tc>
          <w:tcPr>
            <w:tcW w:w="2700" w:type="dxa"/>
            <w:tcBorders>
              <w:top w:val="single" w:sz="4" w:space="0" w:color="auto"/>
              <w:left w:val="single" w:sz="4" w:space="0" w:color="auto"/>
              <w:bottom w:val="single" w:sz="4" w:space="0" w:color="auto"/>
              <w:right w:val="single" w:sz="4" w:space="0" w:color="auto"/>
            </w:tcBorders>
          </w:tcPr>
          <w:p w14:paraId="6AAE2848" w14:textId="77777777" w:rsidR="00BC076E" w:rsidRPr="00756410" w:rsidRDefault="00BC076E" w:rsidP="00491939">
            <w:pPr>
              <w:rPr>
                <w:rFonts w:cstheme="minorHAnsi"/>
                <w:sz w:val="20"/>
                <w:szCs w:val="20"/>
                <w:lang w:val="es-ES"/>
              </w:rPr>
            </w:pPr>
            <w:r w:rsidRPr="00756410">
              <w:rPr>
                <w:rFonts w:cstheme="minorHAnsi"/>
                <w:sz w:val="20"/>
                <w:szCs w:val="20"/>
                <w:lang w:val="es-ES"/>
              </w:rPr>
              <w:t>Anulación de presupuesto (SR)</w:t>
            </w:r>
          </w:p>
          <w:p w14:paraId="5891AF17" w14:textId="2398D34B" w:rsidR="001B445B" w:rsidRPr="00756410" w:rsidRDefault="001B445B"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Budget Override</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67F6E650" w14:textId="3E689FBA" w:rsidR="00BC076E" w:rsidRPr="00756410" w:rsidRDefault="254C763A" w:rsidP="363CA695">
            <w:pPr>
              <w:rPr>
                <w:sz w:val="20"/>
                <w:szCs w:val="20"/>
                <w:lang w:val="es-419"/>
              </w:rPr>
            </w:pPr>
            <w:r w:rsidRPr="00756410">
              <w:rPr>
                <w:sz w:val="20"/>
                <w:szCs w:val="20"/>
                <w:lang w:val="es-419"/>
              </w:rPr>
              <w:t>No. Asignado a un número limitado de personal en R</w:t>
            </w:r>
            <w:r w:rsidR="64BC50CD" w:rsidRPr="24F5DBB9">
              <w:rPr>
                <w:sz w:val="20"/>
                <w:szCs w:val="20"/>
                <w:lang w:val="es-419"/>
              </w:rPr>
              <w:t>B</w:t>
            </w:r>
            <w:r w:rsidRPr="00756410">
              <w:rPr>
                <w:sz w:val="20"/>
                <w:szCs w:val="20"/>
                <w:lang w:val="es-419"/>
              </w:rPr>
              <w:t>x/CBx para ejecutar anulaciones en Quantum en nombre de oficinas/unidades dentro de su ámbito de gestión.</w:t>
            </w:r>
          </w:p>
        </w:tc>
      </w:tr>
      <w:tr w:rsidR="00BC076E" w:rsidRPr="00773863" w14:paraId="3BC1038E"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2CC02268" w14:textId="40E450ED" w:rsidR="00BC076E" w:rsidRPr="00D2258D" w:rsidRDefault="00A22E73" w:rsidP="00491939">
            <w:pPr>
              <w:rPr>
                <w:rFonts w:cstheme="minorHAnsi"/>
                <w:sz w:val="20"/>
                <w:szCs w:val="20"/>
              </w:rPr>
            </w:pPr>
            <w:r w:rsidRPr="00D2258D">
              <w:rPr>
                <w:rFonts w:cstheme="minorHAnsi"/>
                <w:sz w:val="20"/>
                <w:szCs w:val="20"/>
              </w:rPr>
              <w:t>Aprobar GLJE</w:t>
            </w:r>
          </w:p>
        </w:tc>
        <w:tc>
          <w:tcPr>
            <w:tcW w:w="2700" w:type="dxa"/>
            <w:tcBorders>
              <w:top w:val="single" w:sz="4" w:space="0" w:color="auto"/>
              <w:left w:val="single" w:sz="4" w:space="0" w:color="auto"/>
              <w:bottom w:val="single" w:sz="4" w:space="0" w:color="auto"/>
              <w:right w:val="single" w:sz="4" w:space="0" w:color="auto"/>
            </w:tcBorders>
          </w:tcPr>
          <w:p w14:paraId="578D8AAF" w14:textId="77777777" w:rsidR="00BC076E" w:rsidRPr="00756410" w:rsidRDefault="00BC076E" w:rsidP="00491939">
            <w:pPr>
              <w:rPr>
                <w:rFonts w:cstheme="minorHAnsi"/>
                <w:sz w:val="20"/>
                <w:szCs w:val="20"/>
                <w:lang w:val="pt-PT"/>
              </w:rPr>
            </w:pPr>
            <w:r w:rsidRPr="00756410">
              <w:rPr>
                <w:rFonts w:cstheme="minorHAnsi"/>
                <w:sz w:val="20"/>
                <w:szCs w:val="20"/>
                <w:lang w:val="pt-PT"/>
              </w:rPr>
              <w:t>Aprobador GLJE (SR)</w:t>
            </w:r>
          </w:p>
          <w:p w14:paraId="61F4C2E0" w14:textId="27A6DF85" w:rsidR="001B445B" w:rsidRPr="00756410" w:rsidRDefault="001B445B" w:rsidP="00491939">
            <w:pPr>
              <w:rPr>
                <w:rFonts w:cstheme="minorHAnsi"/>
                <w:sz w:val="20"/>
                <w:szCs w:val="20"/>
                <w:lang w:val="pt-PT"/>
              </w:rPr>
            </w:pPr>
            <w:r w:rsidRPr="00756410">
              <w:rPr>
                <w:rFonts w:cstheme="minorHAnsi"/>
                <w:sz w:val="20"/>
                <w:szCs w:val="20"/>
                <w:lang w:val="pt-PT"/>
              </w:rPr>
              <w:t>[</w:t>
            </w:r>
            <w:r w:rsidRPr="00756410">
              <w:rPr>
                <w:rFonts w:cstheme="minorHAnsi"/>
                <w:i/>
                <w:iCs/>
                <w:sz w:val="20"/>
                <w:szCs w:val="20"/>
                <w:lang w:val="pt-PT"/>
              </w:rPr>
              <w:t>GLJE Approver</w:t>
            </w:r>
            <w:r w:rsidRPr="00756410">
              <w:rPr>
                <w:rFonts w:cstheme="minorHAnsi"/>
                <w:sz w:val="20"/>
                <w:szCs w:val="20"/>
                <w:lang w:val="pt-PT"/>
              </w:rPr>
              <w:t>]</w:t>
            </w:r>
          </w:p>
        </w:tc>
        <w:tc>
          <w:tcPr>
            <w:tcW w:w="3690" w:type="dxa"/>
            <w:tcBorders>
              <w:top w:val="single" w:sz="4" w:space="0" w:color="auto"/>
              <w:left w:val="single" w:sz="4" w:space="0" w:color="auto"/>
              <w:bottom w:val="single" w:sz="4" w:space="0" w:color="auto"/>
              <w:right w:val="single" w:sz="4" w:space="0" w:color="auto"/>
            </w:tcBorders>
          </w:tcPr>
          <w:p w14:paraId="05E4F614" w14:textId="604D97B0" w:rsidR="00BC076E" w:rsidRPr="00756410" w:rsidRDefault="3AB2CA76" w:rsidP="24F5DBB9">
            <w:pPr>
              <w:rPr>
                <w:sz w:val="20"/>
                <w:szCs w:val="20"/>
                <w:lang w:val="es-419"/>
              </w:rPr>
            </w:pPr>
            <w:r w:rsidRPr="00756410">
              <w:rPr>
                <w:sz w:val="20"/>
                <w:szCs w:val="20"/>
                <w:lang w:val="es-419"/>
              </w:rPr>
              <w:t>Sí, por ahora. Es posible que durante el año fiscal 2025 esto cambie y el rol solo se asigne al personal de BMS/GSSC, BMS/OFRM, MPTFO y VNU.</w:t>
            </w:r>
          </w:p>
        </w:tc>
      </w:tr>
      <w:tr w:rsidR="00BC076E" w:rsidRPr="00773863" w14:paraId="0DCB23E6"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4EDE3ABE" w14:textId="65C07ADB" w:rsidR="00BC076E" w:rsidRPr="00756410" w:rsidRDefault="00A22E73" w:rsidP="00491939">
            <w:pPr>
              <w:rPr>
                <w:rFonts w:cstheme="minorHAnsi"/>
                <w:sz w:val="20"/>
                <w:szCs w:val="20"/>
                <w:lang w:val="es-419"/>
              </w:rPr>
            </w:pPr>
            <w:r w:rsidRPr="00756410">
              <w:rPr>
                <w:rFonts w:cstheme="minorHAnsi"/>
                <w:sz w:val="20"/>
                <w:szCs w:val="20"/>
                <w:lang w:val="es-419"/>
              </w:rPr>
              <w:t>Recepción de mercancías/servicios/obras</w:t>
            </w:r>
          </w:p>
        </w:tc>
        <w:tc>
          <w:tcPr>
            <w:tcW w:w="2700" w:type="dxa"/>
            <w:tcBorders>
              <w:top w:val="single" w:sz="4" w:space="0" w:color="auto"/>
              <w:left w:val="single" w:sz="4" w:space="0" w:color="auto"/>
              <w:bottom w:val="single" w:sz="4" w:space="0" w:color="auto"/>
              <w:right w:val="single" w:sz="4" w:space="0" w:color="auto"/>
            </w:tcBorders>
          </w:tcPr>
          <w:p w14:paraId="435282E7" w14:textId="77777777" w:rsidR="00BC076E" w:rsidRPr="00756410" w:rsidRDefault="00BC076E" w:rsidP="00491939">
            <w:pPr>
              <w:rPr>
                <w:rFonts w:cstheme="minorHAnsi"/>
                <w:sz w:val="20"/>
                <w:szCs w:val="20"/>
                <w:lang w:val="es-ES"/>
              </w:rPr>
            </w:pPr>
            <w:r w:rsidRPr="00756410">
              <w:rPr>
                <w:rFonts w:cstheme="minorHAnsi"/>
                <w:sz w:val="20"/>
                <w:szCs w:val="20"/>
                <w:lang w:val="es-ES"/>
              </w:rPr>
              <w:t>Receptor de gastos</w:t>
            </w:r>
          </w:p>
          <w:p w14:paraId="3E806743" w14:textId="0F166AA9" w:rsidR="001B445B" w:rsidRPr="00756410" w:rsidRDefault="001B445B" w:rsidP="00491939">
            <w:pPr>
              <w:rPr>
                <w:rFonts w:cstheme="minorHAnsi"/>
                <w:sz w:val="20"/>
                <w:szCs w:val="20"/>
                <w:lang w:val="es-ES"/>
              </w:rPr>
            </w:pPr>
            <w:r w:rsidRPr="00756410">
              <w:rPr>
                <w:rFonts w:cstheme="minorHAnsi"/>
                <w:sz w:val="20"/>
                <w:szCs w:val="20"/>
                <w:lang w:val="es-ES"/>
              </w:rPr>
              <w:t>[</w:t>
            </w:r>
            <w:r w:rsidRPr="00756410">
              <w:rPr>
                <w:rFonts w:cstheme="minorHAnsi"/>
                <w:i/>
                <w:iCs/>
                <w:sz w:val="20"/>
                <w:szCs w:val="20"/>
                <w:lang w:val="es-ES"/>
              </w:rPr>
              <w:t>Expense Receiver</w:t>
            </w:r>
            <w:r w:rsidRPr="00756410">
              <w:rPr>
                <w:rFonts w:cstheme="minorHAnsi"/>
                <w:sz w:val="20"/>
                <w:szCs w:val="20"/>
                <w:lang w:val="es-ES"/>
              </w:rPr>
              <w:t>]</w:t>
            </w:r>
          </w:p>
        </w:tc>
        <w:tc>
          <w:tcPr>
            <w:tcW w:w="3690" w:type="dxa"/>
            <w:tcBorders>
              <w:top w:val="single" w:sz="4" w:space="0" w:color="auto"/>
              <w:left w:val="single" w:sz="4" w:space="0" w:color="auto"/>
              <w:bottom w:val="single" w:sz="4" w:space="0" w:color="auto"/>
              <w:right w:val="single" w:sz="4" w:space="0" w:color="auto"/>
            </w:tcBorders>
          </w:tcPr>
          <w:p w14:paraId="5F063FD1" w14:textId="7B3D994C" w:rsidR="00BC076E" w:rsidRPr="00756410" w:rsidRDefault="00BC076E" w:rsidP="00491939">
            <w:pPr>
              <w:rPr>
                <w:rFonts w:cstheme="minorHAnsi"/>
                <w:sz w:val="20"/>
                <w:szCs w:val="20"/>
                <w:lang w:val="es-419"/>
              </w:rPr>
            </w:pPr>
            <w:r w:rsidRPr="00756410">
              <w:rPr>
                <w:rFonts w:cstheme="minorHAnsi"/>
                <w:sz w:val="20"/>
                <w:szCs w:val="20"/>
                <w:lang w:val="es-419"/>
              </w:rPr>
              <w:t>Sí, excepto para los compradores.</w:t>
            </w:r>
          </w:p>
        </w:tc>
      </w:tr>
      <w:tr w:rsidR="00BC076E" w:rsidRPr="00773863" w14:paraId="1A6B5BCD" w14:textId="77777777" w:rsidTr="0004107A">
        <w:trPr>
          <w:trHeight w:val="20"/>
        </w:trPr>
        <w:tc>
          <w:tcPr>
            <w:tcW w:w="3685" w:type="dxa"/>
            <w:tcBorders>
              <w:top w:val="single" w:sz="4" w:space="0" w:color="auto"/>
              <w:left w:val="single" w:sz="4" w:space="0" w:color="auto"/>
              <w:bottom w:val="single" w:sz="4" w:space="0" w:color="auto"/>
              <w:right w:val="single" w:sz="4" w:space="0" w:color="auto"/>
            </w:tcBorders>
          </w:tcPr>
          <w:p w14:paraId="7DB976C4" w14:textId="1BC13393" w:rsidR="00BC076E" w:rsidRPr="00D2258D" w:rsidRDefault="00A22E73" w:rsidP="00491939">
            <w:pPr>
              <w:rPr>
                <w:sz w:val="20"/>
                <w:szCs w:val="20"/>
              </w:rPr>
            </w:pPr>
            <w:r w:rsidRPr="1375758E">
              <w:rPr>
                <w:sz w:val="20"/>
                <w:szCs w:val="20"/>
              </w:rPr>
              <w:t xml:space="preserve">Crear </w:t>
            </w:r>
            <w:r w:rsidR="4BAC26FC" w:rsidRPr="3258C433">
              <w:rPr>
                <w:sz w:val="20"/>
                <w:szCs w:val="20"/>
              </w:rPr>
              <w:t>facturas</w:t>
            </w:r>
          </w:p>
        </w:tc>
        <w:tc>
          <w:tcPr>
            <w:tcW w:w="2700" w:type="dxa"/>
            <w:tcBorders>
              <w:top w:val="single" w:sz="4" w:space="0" w:color="auto"/>
              <w:left w:val="single" w:sz="4" w:space="0" w:color="auto"/>
              <w:bottom w:val="single" w:sz="4" w:space="0" w:color="auto"/>
              <w:right w:val="single" w:sz="4" w:space="0" w:color="auto"/>
            </w:tcBorders>
          </w:tcPr>
          <w:p w14:paraId="354E1568" w14:textId="5DE452CF" w:rsidR="00BC076E" w:rsidRPr="00756410" w:rsidRDefault="00BC076E" w:rsidP="00491939">
            <w:pPr>
              <w:rPr>
                <w:rFonts w:cstheme="minorHAnsi"/>
                <w:sz w:val="20"/>
                <w:szCs w:val="20"/>
                <w:lang w:val="es-ES"/>
              </w:rPr>
            </w:pPr>
            <w:r w:rsidRPr="00756410">
              <w:rPr>
                <w:rFonts w:cstheme="minorHAnsi"/>
                <w:sz w:val="20"/>
                <w:szCs w:val="20"/>
                <w:lang w:val="es-ES"/>
              </w:rPr>
              <w:t xml:space="preserve">Creación de </w:t>
            </w:r>
            <w:r w:rsidR="001B445B" w:rsidRPr="00756410">
              <w:rPr>
                <w:rFonts w:cstheme="minorHAnsi"/>
                <w:sz w:val="20"/>
                <w:szCs w:val="20"/>
                <w:lang w:val="es-ES"/>
              </w:rPr>
              <w:t>facturas</w:t>
            </w:r>
          </w:p>
          <w:p w14:paraId="4F0E4413" w14:textId="56851BA9" w:rsidR="001B445B" w:rsidRPr="00756410" w:rsidRDefault="001B445B" w:rsidP="00491939">
            <w:pPr>
              <w:rPr>
                <w:rFonts w:cstheme="minorHAnsi"/>
                <w:sz w:val="20"/>
                <w:szCs w:val="20"/>
                <w:lang w:val="es-ES"/>
              </w:rPr>
            </w:pPr>
            <w:r w:rsidRPr="00756410">
              <w:rPr>
                <w:rFonts w:cstheme="minorHAnsi"/>
                <w:sz w:val="20"/>
                <w:szCs w:val="20"/>
                <w:lang w:val="es-ES"/>
              </w:rPr>
              <w:t>[Voucher Creation]</w:t>
            </w:r>
          </w:p>
        </w:tc>
        <w:tc>
          <w:tcPr>
            <w:tcW w:w="3690" w:type="dxa"/>
            <w:tcBorders>
              <w:top w:val="single" w:sz="4" w:space="0" w:color="auto"/>
              <w:left w:val="single" w:sz="4" w:space="0" w:color="auto"/>
              <w:bottom w:val="single" w:sz="4" w:space="0" w:color="auto"/>
              <w:right w:val="single" w:sz="4" w:space="0" w:color="auto"/>
            </w:tcBorders>
          </w:tcPr>
          <w:p w14:paraId="715664F1" w14:textId="09C61BB7" w:rsidR="00BC076E" w:rsidRPr="00756410" w:rsidRDefault="00BC076E" w:rsidP="00491939">
            <w:pPr>
              <w:rPr>
                <w:rFonts w:cstheme="minorHAnsi"/>
                <w:sz w:val="20"/>
                <w:szCs w:val="20"/>
                <w:lang w:val="es-419"/>
              </w:rPr>
            </w:pPr>
            <w:r w:rsidRPr="00756410">
              <w:rPr>
                <w:rFonts w:cstheme="minorHAnsi"/>
                <w:sz w:val="20"/>
                <w:szCs w:val="20"/>
                <w:lang w:val="es-419"/>
              </w:rPr>
              <w:t>Sí, excepto para los gerentes de proyectos y los gerentes de aprobación.</w:t>
            </w:r>
          </w:p>
        </w:tc>
      </w:tr>
    </w:tbl>
    <w:p w14:paraId="46DE0BE4" w14:textId="77777777" w:rsidR="007802E1" w:rsidRPr="00756410" w:rsidRDefault="007802E1" w:rsidP="007802E1">
      <w:pPr>
        <w:rPr>
          <w:lang w:val="es-419"/>
        </w:rPr>
      </w:pPr>
    </w:p>
    <w:p w14:paraId="4552458D" w14:textId="77777777" w:rsidR="004539AF" w:rsidRPr="00756410" w:rsidRDefault="004539AF">
      <w:pPr>
        <w:rPr>
          <w:lang w:val="es-419"/>
        </w:rPr>
      </w:pPr>
      <w:r w:rsidRPr="00756410">
        <w:rPr>
          <w:lang w:val="es-419"/>
        </w:rPr>
        <w:br w:type="page"/>
      </w:r>
    </w:p>
    <w:p w14:paraId="799D3889" w14:textId="1B49C92F" w:rsidR="0016462F" w:rsidRPr="00756410" w:rsidRDefault="0016462F" w:rsidP="004539AF">
      <w:pPr>
        <w:pStyle w:val="Heading1"/>
        <w:spacing w:after="240"/>
        <w:rPr>
          <w:lang w:val="es-419"/>
        </w:rPr>
      </w:pPr>
      <w:bookmarkStart w:id="125" w:name="_Annex_5:_Process"/>
      <w:bookmarkStart w:id="126" w:name="_Toc210052799"/>
      <w:bookmarkEnd w:id="125"/>
      <w:r w:rsidRPr="00756410">
        <w:rPr>
          <w:lang w:val="es-419"/>
        </w:rPr>
        <w:lastRenderedPageBreak/>
        <w:t xml:space="preserve">Anexo 5: Descripción general del proceso: </w:t>
      </w:r>
      <w:r w:rsidR="43C35689" w:rsidRPr="57F8DC81">
        <w:rPr>
          <w:lang w:val="es-419"/>
        </w:rPr>
        <w:t>a</w:t>
      </w:r>
      <w:r w:rsidRPr="00756410">
        <w:rPr>
          <w:lang w:val="es-419"/>
        </w:rPr>
        <w:t xml:space="preserve">dquisición y pago </w:t>
      </w:r>
      <w:bookmarkEnd w:id="126"/>
    </w:p>
    <w:p w14:paraId="44C9CCD2" w14:textId="5E5C7790" w:rsidR="000B14E0" w:rsidRPr="00756410" w:rsidRDefault="0016462F" w:rsidP="0016462F">
      <w:pPr>
        <w:spacing w:line="240" w:lineRule="auto"/>
        <w:rPr>
          <w:lang w:val="es-419"/>
        </w:rPr>
      </w:pPr>
      <w:r w:rsidRPr="00756410">
        <w:rPr>
          <w:lang w:val="es-419"/>
        </w:rPr>
        <w:t>A continuación</w:t>
      </w:r>
      <w:r w:rsidR="3E08C947" w:rsidRPr="005B20E7">
        <w:rPr>
          <w:lang w:val="es-419"/>
        </w:rPr>
        <w:t>,</w:t>
      </w:r>
      <w:r w:rsidRPr="00756410">
        <w:rPr>
          <w:lang w:val="es-419"/>
        </w:rPr>
        <w:t xml:space="preserve"> se muestra una descripción general de alto nivel de los pasos del proceso de adquisición y pago y quién los realiza para las oficinas con procesos agrupados</w:t>
      </w:r>
      <w:r w:rsidR="00AE71AC">
        <w:rPr>
          <w:lang w:val="es-419"/>
        </w:rPr>
        <w:t xml:space="preserve"> (</w:t>
      </w:r>
      <w:r w:rsidR="00AE71AC" w:rsidRPr="00756410">
        <w:rPr>
          <w:i/>
          <w:iCs/>
          <w:lang w:val="es-419"/>
        </w:rPr>
        <w:t>clustered</w:t>
      </w:r>
      <w:r w:rsidR="00AE71AC">
        <w:rPr>
          <w:lang w:val="es-419"/>
        </w:rPr>
        <w:t>)</w:t>
      </w:r>
      <w:r w:rsidR="00321B8D" w:rsidRPr="00D2258D">
        <w:rPr>
          <w:rStyle w:val="FootnoteReference"/>
        </w:rPr>
        <w:footnoteReference w:id="43"/>
      </w:r>
      <w:r w:rsidRPr="00756410">
        <w:rPr>
          <w:lang w:val="es-419"/>
        </w:rPr>
        <w:t xml:space="preserve">. Las responsabilidades clave de quienes ejecutan los pasos </w:t>
      </w:r>
      <w:r w:rsidR="17A89B27" w:rsidRPr="005B20E7">
        <w:rPr>
          <w:lang w:val="es-419"/>
        </w:rPr>
        <w:t>siguientes</w:t>
      </w:r>
      <w:r w:rsidRPr="00756410">
        <w:rPr>
          <w:lang w:val="es-419"/>
        </w:rPr>
        <w:t xml:space="preserve"> se describen con más detalle en la sección 5 de esta Guía. Para obtener información más detallada sobre estos pasos de acción, consulte las siguientes secciones de</w:t>
      </w:r>
      <w:r w:rsidR="007066F9">
        <w:rPr>
          <w:lang w:val="es-419"/>
        </w:rPr>
        <w:t>l</w:t>
      </w:r>
      <w:r w:rsidRPr="00756410">
        <w:rPr>
          <w:lang w:val="es-419"/>
        </w:rPr>
        <w:t xml:space="preserve"> POPP, así como las guías de conocimiento y los SOP funcionales de UNall: </w:t>
      </w:r>
    </w:p>
    <w:tbl>
      <w:tblPr>
        <w:tblStyle w:val="TableGrid"/>
        <w:tblW w:w="0" w:type="auto"/>
        <w:tblLook w:val="04A0" w:firstRow="1" w:lastRow="0" w:firstColumn="1" w:lastColumn="0" w:noHBand="0" w:noVBand="1"/>
      </w:tblPr>
      <w:tblGrid>
        <w:gridCol w:w="3775"/>
        <w:gridCol w:w="6151"/>
      </w:tblGrid>
      <w:tr w:rsidR="00020B28" w:rsidRPr="00773863" w14:paraId="5D41876D" w14:textId="77777777" w:rsidTr="000E34B7">
        <w:tc>
          <w:tcPr>
            <w:tcW w:w="3775" w:type="dxa"/>
          </w:tcPr>
          <w:p w14:paraId="5FE9707D" w14:textId="2BC437E6" w:rsidR="00020B28" w:rsidRPr="00756410" w:rsidRDefault="00601509">
            <w:pPr>
              <w:pStyle w:val="ListParagraph"/>
              <w:keepNext/>
              <w:widowControl w:val="0"/>
              <w:numPr>
                <w:ilvl w:val="0"/>
                <w:numId w:val="94"/>
              </w:numPr>
              <w:autoSpaceDE w:val="0"/>
              <w:autoSpaceDN w:val="0"/>
              <w:ind w:right="20"/>
              <w:rPr>
                <w:lang w:val="es-419"/>
              </w:rPr>
            </w:pPr>
            <w:hyperlink r:id="rId203" w:history="1">
              <w:r w:rsidRPr="00756410">
                <w:rPr>
                  <w:rStyle w:val="Hyperlink"/>
                  <w:lang w:val="es-419"/>
                </w:rPr>
                <w:t>Adquisición del POPP</w:t>
              </w:r>
            </w:hyperlink>
            <w:r w:rsidR="00BA3081" w:rsidRPr="00756410">
              <w:rPr>
                <w:lang w:val="es-419"/>
              </w:rPr>
              <w:t xml:space="preserve"> </w:t>
            </w:r>
          </w:p>
        </w:tc>
        <w:tc>
          <w:tcPr>
            <w:tcW w:w="6151" w:type="dxa"/>
          </w:tcPr>
          <w:p w14:paraId="198D4FF7" w14:textId="36115519" w:rsidR="00020B28" w:rsidRPr="00756410" w:rsidRDefault="00020B28">
            <w:pPr>
              <w:pStyle w:val="ListParagraph"/>
              <w:keepNext/>
              <w:widowControl w:val="0"/>
              <w:numPr>
                <w:ilvl w:val="0"/>
                <w:numId w:val="94"/>
              </w:numPr>
              <w:autoSpaceDE w:val="0"/>
              <w:autoSpaceDN w:val="0"/>
              <w:ind w:right="20"/>
              <w:rPr>
                <w:rFonts w:cstheme="minorHAnsi"/>
                <w:u w:val="single"/>
                <w:lang w:val="es-419"/>
              </w:rPr>
            </w:pPr>
            <w:hyperlink r:id="rId204" w:history="1">
              <w:r w:rsidRPr="00756410">
                <w:rPr>
                  <w:rStyle w:val="Hyperlink"/>
                  <w:rFonts w:cstheme="minorHAnsi"/>
                  <w:lang w:val="es-419"/>
                </w:rPr>
                <w:t>Sitio de gestión de proveedores de BMS/GSSC</w:t>
              </w:r>
            </w:hyperlink>
          </w:p>
        </w:tc>
      </w:tr>
      <w:tr w:rsidR="00020B28" w:rsidRPr="00773863" w14:paraId="4F5EE5B7" w14:textId="77777777" w:rsidTr="000E34B7">
        <w:tc>
          <w:tcPr>
            <w:tcW w:w="3775" w:type="dxa"/>
          </w:tcPr>
          <w:p w14:paraId="35F5527D" w14:textId="4633FF11" w:rsidR="00020B28" w:rsidRPr="00756410" w:rsidRDefault="006E5896">
            <w:pPr>
              <w:pStyle w:val="ListParagraph"/>
              <w:keepNext/>
              <w:widowControl w:val="0"/>
              <w:numPr>
                <w:ilvl w:val="0"/>
                <w:numId w:val="94"/>
              </w:numPr>
              <w:autoSpaceDE w:val="0"/>
              <w:autoSpaceDN w:val="0"/>
              <w:ind w:right="20"/>
              <w:rPr>
                <w:rFonts w:cstheme="minorHAnsi"/>
                <w:lang w:val="es-419"/>
              </w:rPr>
            </w:pPr>
            <w:hyperlink r:id="rId205" w:history="1">
              <w:r w:rsidRPr="006E5896">
                <w:rPr>
                  <w:rStyle w:val="Hyperlink"/>
                  <w:rFonts w:cstheme="minorHAnsi"/>
                  <w:lang w:val="es-419"/>
                </w:rPr>
                <w:t>Gestión de gastos del POPP</w:t>
              </w:r>
            </w:hyperlink>
            <w:r>
              <w:rPr>
                <w:rFonts w:cstheme="minorHAnsi"/>
                <w:lang w:val="es-419"/>
              </w:rPr>
              <w:t xml:space="preserve"> </w:t>
            </w:r>
          </w:p>
        </w:tc>
        <w:tc>
          <w:tcPr>
            <w:tcW w:w="6151" w:type="dxa"/>
          </w:tcPr>
          <w:p w14:paraId="1F6A62D9" w14:textId="1D038CED" w:rsidR="00020B28" w:rsidRPr="00756410" w:rsidRDefault="00020B28">
            <w:pPr>
              <w:pStyle w:val="ListParagraph"/>
              <w:keepNext/>
              <w:widowControl w:val="0"/>
              <w:numPr>
                <w:ilvl w:val="0"/>
                <w:numId w:val="94"/>
              </w:numPr>
              <w:autoSpaceDE w:val="0"/>
              <w:autoSpaceDN w:val="0"/>
              <w:ind w:right="20"/>
              <w:rPr>
                <w:rFonts w:cstheme="minorHAnsi"/>
                <w:u w:val="single"/>
                <w:lang w:val="es-419"/>
              </w:rPr>
            </w:pPr>
            <w:hyperlink r:id="rId206" w:history="1">
              <w:r w:rsidRPr="00756410">
                <w:rPr>
                  <w:rStyle w:val="Hyperlink"/>
                  <w:lang w:val="es-419"/>
                </w:rPr>
                <w:t>Guía de gestión de proveedores de BMS/GSSC: paso a paso</w:t>
              </w:r>
            </w:hyperlink>
          </w:p>
        </w:tc>
      </w:tr>
      <w:tr w:rsidR="00020B28" w:rsidRPr="00773863" w14:paraId="58A733A9" w14:textId="77777777" w:rsidTr="000E34B7">
        <w:tc>
          <w:tcPr>
            <w:tcW w:w="3775" w:type="dxa"/>
          </w:tcPr>
          <w:p w14:paraId="069F70E1" w14:textId="2E182056" w:rsidR="00020B28" w:rsidRPr="00756410" w:rsidRDefault="00020B28">
            <w:pPr>
              <w:pStyle w:val="ListParagraph"/>
              <w:keepNext/>
              <w:widowControl w:val="0"/>
              <w:numPr>
                <w:ilvl w:val="0"/>
                <w:numId w:val="94"/>
              </w:numPr>
              <w:autoSpaceDE w:val="0"/>
              <w:autoSpaceDN w:val="0"/>
              <w:ind w:right="20"/>
              <w:rPr>
                <w:rFonts w:cstheme="minorHAnsi"/>
                <w:color w:val="4472C4" w:themeColor="accent1"/>
                <w:u w:val="single"/>
                <w:lang w:val="es-419"/>
              </w:rPr>
            </w:pPr>
            <w:hyperlink r:id="rId207" w:history="1">
              <w:r w:rsidRPr="00756410">
                <w:rPr>
                  <w:rStyle w:val="Hyperlink"/>
                  <w:color w:val="4472C4" w:themeColor="accent1"/>
                  <w:lang w:val="es-419"/>
                </w:rPr>
                <w:t>Guía consolidada de BMS/OP UNall</w:t>
              </w:r>
            </w:hyperlink>
          </w:p>
        </w:tc>
        <w:tc>
          <w:tcPr>
            <w:tcW w:w="6151" w:type="dxa"/>
          </w:tcPr>
          <w:p w14:paraId="2DBA2196" w14:textId="3A47DEC4" w:rsidR="00020B28" w:rsidRPr="00756410" w:rsidRDefault="00020B28">
            <w:pPr>
              <w:pStyle w:val="ListParagraph"/>
              <w:keepNext/>
              <w:widowControl w:val="0"/>
              <w:numPr>
                <w:ilvl w:val="0"/>
                <w:numId w:val="94"/>
              </w:numPr>
              <w:autoSpaceDE w:val="0"/>
              <w:autoSpaceDN w:val="0"/>
              <w:ind w:right="20"/>
              <w:rPr>
                <w:rFonts w:cstheme="minorHAnsi"/>
                <w:color w:val="4472C4" w:themeColor="accent1"/>
                <w:u w:val="single"/>
                <w:lang w:val="es-419"/>
              </w:rPr>
            </w:pPr>
            <w:hyperlink r:id="rId208" w:history="1">
              <w:r w:rsidRPr="00756410">
                <w:rPr>
                  <w:rStyle w:val="Hyperlink"/>
                  <w:color w:val="4472C4" w:themeColor="accent1"/>
                  <w:lang w:val="es-419"/>
                </w:rPr>
                <w:t>BMS/GSSC SOP para el procesamiento de facturas</w:t>
              </w:r>
            </w:hyperlink>
          </w:p>
        </w:tc>
      </w:tr>
    </w:tbl>
    <w:p w14:paraId="73AD10B7" w14:textId="77777777" w:rsidR="000B14E0" w:rsidRPr="00756410" w:rsidRDefault="000B14E0" w:rsidP="0016462F">
      <w:pPr>
        <w:spacing w:line="240" w:lineRule="auto"/>
        <w:rPr>
          <w:color w:val="4472C4" w:themeColor="accent1"/>
          <w:sz w:val="8"/>
          <w:szCs w:val="8"/>
          <w:lang w:val="es-419"/>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525"/>
        <w:gridCol w:w="2880"/>
        <w:gridCol w:w="4230"/>
      </w:tblGrid>
      <w:tr w:rsidR="005D6B59" w:rsidRPr="00EF3982" w14:paraId="70E1E174" w14:textId="77777777" w:rsidTr="24F5DBB9">
        <w:trPr>
          <w:trHeight w:val="20"/>
          <w:tblHeader/>
        </w:trPr>
        <w:tc>
          <w:tcPr>
            <w:tcW w:w="355" w:type="dxa"/>
            <w:shd w:val="clear" w:color="auto" w:fill="002060"/>
          </w:tcPr>
          <w:p w14:paraId="48A5F472"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w:t>
            </w:r>
          </w:p>
        </w:tc>
        <w:tc>
          <w:tcPr>
            <w:tcW w:w="2525" w:type="dxa"/>
            <w:shd w:val="clear" w:color="auto" w:fill="002060"/>
            <w:tcMar>
              <w:top w:w="0" w:type="dxa"/>
              <w:left w:w="108" w:type="dxa"/>
              <w:bottom w:w="0" w:type="dxa"/>
              <w:right w:w="108" w:type="dxa"/>
            </w:tcMar>
          </w:tcPr>
          <w:p w14:paraId="219F9847"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Paso de adquisición y pago</w:t>
            </w:r>
          </w:p>
        </w:tc>
        <w:tc>
          <w:tcPr>
            <w:tcW w:w="2880" w:type="dxa"/>
            <w:shd w:val="clear" w:color="auto" w:fill="002060"/>
            <w:tcMar>
              <w:top w:w="0" w:type="dxa"/>
              <w:left w:w="108" w:type="dxa"/>
              <w:bottom w:w="0" w:type="dxa"/>
              <w:right w:w="108" w:type="dxa"/>
            </w:tcMar>
          </w:tcPr>
          <w:p w14:paraId="02A18DA0" w14:textId="21670702" w:rsidR="0016462F" w:rsidRPr="00756410" w:rsidRDefault="0016462F" w:rsidP="363CA695">
            <w:pPr>
              <w:spacing w:after="0" w:line="240" w:lineRule="auto"/>
              <w:rPr>
                <w:b/>
                <w:sz w:val="20"/>
                <w:szCs w:val="20"/>
                <w:lang w:val="es-419"/>
              </w:rPr>
            </w:pPr>
            <w:r w:rsidRPr="00756410">
              <w:rPr>
                <w:b/>
                <w:sz w:val="20"/>
                <w:szCs w:val="20"/>
                <w:lang w:val="es-419"/>
              </w:rPr>
              <w:t>Por quién (en cada oficina/unidad, a menos que se indique)</w:t>
            </w:r>
          </w:p>
        </w:tc>
        <w:tc>
          <w:tcPr>
            <w:tcW w:w="4230" w:type="dxa"/>
            <w:shd w:val="clear" w:color="auto" w:fill="002060"/>
          </w:tcPr>
          <w:p w14:paraId="0AC2DE96"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A tener en cuenta</w:t>
            </w:r>
          </w:p>
        </w:tc>
      </w:tr>
      <w:tr w:rsidR="009613F3" w:rsidRPr="00773863" w14:paraId="3B9EA346" w14:textId="77777777" w:rsidTr="24F5DBB9">
        <w:trPr>
          <w:trHeight w:val="20"/>
          <w:tblHeader/>
        </w:trPr>
        <w:tc>
          <w:tcPr>
            <w:tcW w:w="9990" w:type="dxa"/>
            <w:gridSpan w:val="4"/>
            <w:shd w:val="clear" w:color="auto" w:fill="B4C6E7" w:themeFill="accent1" w:themeFillTint="66"/>
          </w:tcPr>
          <w:p w14:paraId="2493227C"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Facturas basadas en órdenes de compra</w:t>
            </w:r>
          </w:p>
        </w:tc>
      </w:tr>
      <w:tr w:rsidR="005D6B59" w:rsidRPr="00EF3982" w14:paraId="5FAB2FDD" w14:textId="77777777" w:rsidTr="24F5DBB9">
        <w:trPr>
          <w:trHeight w:val="20"/>
        </w:trPr>
        <w:tc>
          <w:tcPr>
            <w:tcW w:w="355" w:type="dxa"/>
            <w:shd w:val="clear" w:color="auto" w:fill="FFFFFF" w:themeFill="background1"/>
          </w:tcPr>
          <w:p w14:paraId="4FEA7F0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525" w:type="dxa"/>
            <w:shd w:val="clear" w:color="auto" w:fill="FFFFFF" w:themeFill="background1"/>
            <w:tcMar>
              <w:top w:w="0" w:type="dxa"/>
              <w:left w:w="108" w:type="dxa"/>
              <w:bottom w:w="0" w:type="dxa"/>
              <w:right w:w="108" w:type="dxa"/>
            </w:tcMar>
            <w:hideMark/>
          </w:tcPr>
          <w:p w14:paraId="721938F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Crear solicitud</w:t>
            </w:r>
          </w:p>
        </w:tc>
        <w:tc>
          <w:tcPr>
            <w:tcW w:w="2880" w:type="dxa"/>
            <w:shd w:val="clear" w:color="auto" w:fill="FFFFFF" w:themeFill="background1"/>
            <w:tcMar>
              <w:top w:w="0" w:type="dxa"/>
              <w:left w:w="108" w:type="dxa"/>
              <w:bottom w:w="0" w:type="dxa"/>
              <w:right w:w="108" w:type="dxa"/>
            </w:tcMar>
            <w:hideMark/>
          </w:tcPr>
          <w:p w14:paraId="4CAC3A3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Normalmente personal de proyecto</w:t>
            </w:r>
            <w:r w:rsidRPr="00D2258D">
              <w:rPr>
                <w:rStyle w:val="FootnoteReference"/>
                <w:rFonts w:cstheme="minorHAnsi"/>
                <w:sz w:val="20"/>
                <w:szCs w:val="20"/>
              </w:rPr>
              <w:footnoteReference w:id="44"/>
            </w:r>
            <w:r w:rsidRPr="00D2258D">
              <w:rPr>
                <w:rFonts w:cstheme="minorHAnsi"/>
                <w:sz w:val="20"/>
                <w:szCs w:val="20"/>
              </w:rPr>
              <w:t xml:space="preserve"> </w:t>
            </w:r>
          </w:p>
        </w:tc>
        <w:tc>
          <w:tcPr>
            <w:tcW w:w="4230" w:type="dxa"/>
            <w:shd w:val="clear" w:color="auto" w:fill="FFFFFF" w:themeFill="background1"/>
          </w:tcPr>
          <w:p w14:paraId="064351F1" w14:textId="77777777" w:rsidR="0016462F" w:rsidRPr="00D2258D" w:rsidRDefault="0016462F" w:rsidP="00CF32EB">
            <w:pPr>
              <w:spacing w:after="0" w:line="240" w:lineRule="auto"/>
              <w:rPr>
                <w:rFonts w:cstheme="minorHAnsi"/>
                <w:sz w:val="20"/>
                <w:szCs w:val="20"/>
              </w:rPr>
            </w:pPr>
          </w:p>
        </w:tc>
      </w:tr>
      <w:tr w:rsidR="005D6B59" w:rsidRPr="00773863" w14:paraId="2CB4202C" w14:textId="77777777" w:rsidTr="24F5DBB9">
        <w:trPr>
          <w:trHeight w:val="20"/>
        </w:trPr>
        <w:tc>
          <w:tcPr>
            <w:tcW w:w="355" w:type="dxa"/>
            <w:shd w:val="clear" w:color="auto" w:fill="FFFFFF" w:themeFill="background1"/>
          </w:tcPr>
          <w:p w14:paraId="45581CA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525" w:type="dxa"/>
            <w:shd w:val="clear" w:color="auto" w:fill="FFFFFF" w:themeFill="background1"/>
            <w:tcMar>
              <w:top w:w="0" w:type="dxa"/>
              <w:left w:w="108" w:type="dxa"/>
              <w:bottom w:w="0" w:type="dxa"/>
              <w:right w:w="108" w:type="dxa"/>
            </w:tcMar>
            <w:hideMark/>
          </w:tcPr>
          <w:p w14:paraId="60503E0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Aprobar solicitud</w:t>
            </w:r>
          </w:p>
        </w:tc>
        <w:tc>
          <w:tcPr>
            <w:tcW w:w="2880" w:type="dxa"/>
            <w:shd w:val="clear" w:color="auto" w:fill="FFFFFF" w:themeFill="background1"/>
            <w:tcMar>
              <w:top w:w="0" w:type="dxa"/>
              <w:left w:w="108" w:type="dxa"/>
              <w:bottom w:w="0" w:type="dxa"/>
              <w:right w:w="108" w:type="dxa"/>
            </w:tcMar>
            <w:hideMark/>
          </w:tcPr>
          <w:p w14:paraId="0168B36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Gerente de proyecto</w:t>
            </w:r>
          </w:p>
        </w:tc>
        <w:tc>
          <w:tcPr>
            <w:tcW w:w="4230" w:type="dxa"/>
            <w:shd w:val="clear" w:color="auto" w:fill="FFFFFF" w:themeFill="background1"/>
          </w:tcPr>
          <w:p w14:paraId="28B7C2AD" w14:textId="23163FEC"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Cumplimiento de las funciones de "</w:t>
            </w:r>
            <w:r w:rsidR="008C59A2">
              <w:rPr>
                <w:sz w:val="20"/>
                <w:szCs w:val="20"/>
                <w:lang w:val="es-419"/>
              </w:rPr>
              <w:t>personal</w:t>
            </w:r>
            <w:r w:rsidR="008C59A2" w:rsidRPr="00914285">
              <w:rPr>
                <w:sz w:val="20"/>
                <w:szCs w:val="20"/>
                <w:lang w:val="es-419"/>
              </w:rPr>
              <w:t xml:space="preserve"> autorizado para </w:t>
            </w:r>
            <w:r w:rsidR="008C59A2">
              <w:rPr>
                <w:sz w:val="20"/>
                <w:szCs w:val="20"/>
                <w:lang w:val="es-419"/>
              </w:rPr>
              <w:t>contraer compromisos</w:t>
            </w:r>
            <w:r w:rsidRPr="00756410">
              <w:rPr>
                <w:rFonts w:cstheme="minorHAnsi"/>
                <w:sz w:val="20"/>
                <w:szCs w:val="20"/>
                <w:lang w:val="es-419"/>
              </w:rPr>
              <w:t>"</w:t>
            </w:r>
          </w:p>
        </w:tc>
      </w:tr>
      <w:tr w:rsidR="005D6B59" w:rsidRPr="00EF3982" w14:paraId="036F5DC2" w14:textId="77777777" w:rsidTr="24F5DBB9">
        <w:trPr>
          <w:trHeight w:val="20"/>
        </w:trPr>
        <w:tc>
          <w:tcPr>
            <w:tcW w:w="355" w:type="dxa"/>
            <w:shd w:val="clear" w:color="auto" w:fill="FFFFFF" w:themeFill="background1"/>
          </w:tcPr>
          <w:p w14:paraId="1542F53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525" w:type="dxa"/>
            <w:shd w:val="clear" w:color="auto" w:fill="FFFFFF" w:themeFill="background1"/>
            <w:tcMar>
              <w:top w:w="0" w:type="dxa"/>
              <w:left w:w="108" w:type="dxa"/>
              <w:bottom w:w="0" w:type="dxa"/>
              <w:right w:w="108" w:type="dxa"/>
            </w:tcMar>
            <w:hideMark/>
          </w:tcPr>
          <w:p w14:paraId="44C6FEA9"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Llevar a cabo el proceso de adquisición</w:t>
            </w:r>
          </w:p>
        </w:tc>
        <w:tc>
          <w:tcPr>
            <w:tcW w:w="2880" w:type="dxa"/>
            <w:shd w:val="clear" w:color="auto" w:fill="FFFFFF" w:themeFill="background1"/>
            <w:tcMar>
              <w:top w:w="0" w:type="dxa"/>
              <w:left w:w="108" w:type="dxa"/>
              <w:bottom w:w="0" w:type="dxa"/>
              <w:right w:w="108" w:type="dxa"/>
            </w:tcMar>
            <w:hideMark/>
          </w:tcPr>
          <w:p w14:paraId="21248542"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Comprador</w:t>
            </w:r>
          </w:p>
        </w:tc>
        <w:tc>
          <w:tcPr>
            <w:tcW w:w="4230" w:type="dxa"/>
            <w:shd w:val="clear" w:color="auto" w:fill="FFFFFF" w:themeFill="background1"/>
          </w:tcPr>
          <w:p w14:paraId="1118E755" w14:textId="77777777" w:rsidR="0016462F" w:rsidRPr="00D2258D" w:rsidRDefault="0016462F" w:rsidP="00CF32EB">
            <w:pPr>
              <w:spacing w:after="0" w:line="240" w:lineRule="auto"/>
              <w:rPr>
                <w:rFonts w:cstheme="minorHAnsi"/>
                <w:sz w:val="20"/>
                <w:szCs w:val="20"/>
              </w:rPr>
            </w:pPr>
          </w:p>
        </w:tc>
      </w:tr>
      <w:tr w:rsidR="005D6B59" w:rsidRPr="00773863" w14:paraId="58CBE913" w14:textId="77777777" w:rsidTr="24F5DBB9">
        <w:trPr>
          <w:trHeight w:val="20"/>
        </w:trPr>
        <w:tc>
          <w:tcPr>
            <w:tcW w:w="355" w:type="dxa"/>
            <w:shd w:val="clear" w:color="auto" w:fill="FFFFFF" w:themeFill="background1"/>
          </w:tcPr>
          <w:p w14:paraId="626C7F9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525" w:type="dxa"/>
            <w:shd w:val="clear" w:color="auto" w:fill="FFFFFF" w:themeFill="background1"/>
            <w:tcMar>
              <w:top w:w="0" w:type="dxa"/>
              <w:left w:w="108" w:type="dxa"/>
              <w:bottom w:w="0" w:type="dxa"/>
              <w:right w:w="108" w:type="dxa"/>
            </w:tcMar>
            <w:hideMark/>
          </w:tcPr>
          <w:p w14:paraId="7767B2D2"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Aprobar la recomendación de adjudicación</w:t>
            </w:r>
          </w:p>
        </w:tc>
        <w:tc>
          <w:tcPr>
            <w:tcW w:w="2880" w:type="dxa"/>
            <w:shd w:val="clear" w:color="auto" w:fill="FFFFFF" w:themeFill="background1"/>
            <w:tcMar>
              <w:top w:w="0" w:type="dxa"/>
              <w:left w:w="108" w:type="dxa"/>
              <w:bottom w:w="0" w:type="dxa"/>
              <w:right w:w="108" w:type="dxa"/>
            </w:tcMar>
            <w:hideMark/>
          </w:tcPr>
          <w:p w14:paraId="30FA6CCD" w14:textId="4CD04F3C" w:rsidR="0016462F" w:rsidRPr="00756410" w:rsidRDefault="0016462F" w:rsidP="00BF4471">
            <w:pPr>
              <w:spacing w:after="0" w:line="240" w:lineRule="auto"/>
              <w:rPr>
                <w:rFonts w:cstheme="minorHAnsi"/>
                <w:sz w:val="20"/>
                <w:szCs w:val="20"/>
                <w:lang w:val="es-419"/>
              </w:rPr>
            </w:pPr>
            <w:r w:rsidRPr="00756410">
              <w:rPr>
                <w:rFonts w:cstheme="minorHAnsi"/>
                <w:sz w:val="20"/>
                <w:szCs w:val="20"/>
                <w:lang w:val="es-419"/>
              </w:rPr>
              <w:t>Gerente de aprobación, comprador, gerente de proyecto</w:t>
            </w:r>
          </w:p>
        </w:tc>
        <w:tc>
          <w:tcPr>
            <w:tcW w:w="4230" w:type="dxa"/>
            <w:shd w:val="clear" w:color="auto" w:fill="FFFFFF" w:themeFill="background1"/>
          </w:tcPr>
          <w:p w14:paraId="122CB943" w14:textId="7173A075" w:rsidR="0016462F" w:rsidRPr="00756410" w:rsidRDefault="0016462F" w:rsidP="00CF32EB">
            <w:pPr>
              <w:spacing w:after="0" w:line="240" w:lineRule="auto"/>
              <w:rPr>
                <w:rFonts w:cstheme="minorHAnsi"/>
                <w:sz w:val="20"/>
                <w:szCs w:val="20"/>
                <w:lang w:val="es-419"/>
              </w:rPr>
            </w:pPr>
          </w:p>
        </w:tc>
      </w:tr>
      <w:tr w:rsidR="005D6B59" w:rsidRPr="00EF3982" w14:paraId="0ACB12C4" w14:textId="77777777" w:rsidTr="24F5DBB9">
        <w:trPr>
          <w:trHeight w:val="20"/>
        </w:trPr>
        <w:tc>
          <w:tcPr>
            <w:tcW w:w="355" w:type="dxa"/>
            <w:shd w:val="clear" w:color="auto" w:fill="FFFFFF" w:themeFill="background1"/>
          </w:tcPr>
          <w:p w14:paraId="21B95E6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525" w:type="dxa"/>
            <w:shd w:val="clear" w:color="auto" w:fill="FFFFFF" w:themeFill="background1"/>
            <w:tcMar>
              <w:top w:w="0" w:type="dxa"/>
              <w:left w:w="108" w:type="dxa"/>
              <w:bottom w:w="0" w:type="dxa"/>
              <w:right w:w="108" w:type="dxa"/>
            </w:tcMar>
          </w:tcPr>
          <w:p w14:paraId="5F67BA2F"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Iniciar el registro de proveedores y la creación de contratos</w:t>
            </w:r>
          </w:p>
        </w:tc>
        <w:tc>
          <w:tcPr>
            <w:tcW w:w="2880" w:type="dxa"/>
            <w:shd w:val="clear" w:color="auto" w:fill="FFFFFF" w:themeFill="background1"/>
            <w:tcMar>
              <w:top w:w="0" w:type="dxa"/>
              <w:left w:w="108" w:type="dxa"/>
              <w:bottom w:w="0" w:type="dxa"/>
              <w:right w:w="108" w:type="dxa"/>
            </w:tcMar>
          </w:tcPr>
          <w:p w14:paraId="295E8753"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Comprador</w:t>
            </w:r>
            <w:r w:rsidRPr="00D2258D">
              <w:rPr>
                <w:rStyle w:val="FootnoteReference"/>
                <w:rFonts w:cstheme="minorHAnsi"/>
                <w:sz w:val="20"/>
                <w:szCs w:val="20"/>
              </w:rPr>
              <w:footnoteReference w:id="45"/>
            </w:r>
          </w:p>
          <w:p w14:paraId="2A7A445C" w14:textId="77777777" w:rsidR="0016462F" w:rsidRPr="00D2258D" w:rsidRDefault="0016462F" w:rsidP="00CF32EB">
            <w:pPr>
              <w:spacing w:after="0" w:line="240" w:lineRule="auto"/>
              <w:rPr>
                <w:rFonts w:cstheme="minorHAnsi"/>
                <w:sz w:val="20"/>
                <w:szCs w:val="20"/>
              </w:rPr>
            </w:pPr>
          </w:p>
        </w:tc>
        <w:tc>
          <w:tcPr>
            <w:tcW w:w="4230" w:type="dxa"/>
            <w:shd w:val="clear" w:color="auto" w:fill="FFFFFF" w:themeFill="background1"/>
          </w:tcPr>
          <w:p w14:paraId="00FD26ED" w14:textId="4B26814C" w:rsidR="0016462F" w:rsidRPr="00D2258D" w:rsidRDefault="0016462F" w:rsidP="002E7C0C">
            <w:pPr>
              <w:keepNext/>
              <w:widowControl w:val="0"/>
              <w:autoSpaceDE w:val="0"/>
              <w:autoSpaceDN w:val="0"/>
              <w:spacing w:after="0" w:line="240" w:lineRule="auto"/>
              <w:ind w:right="20"/>
              <w:rPr>
                <w:sz w:val="20"/>
                <w:szCs w:val="20"/>
              </w:rPr>
            </w:pPr>
          </w:p>
        </w:tc>
      </w:tr>
      <w:tr w:rsidR="005D6B59" w:rsidRPr="00773863" w14:paraId="4F4691BB" w14:textId="77777777" w:rsidTr="24F5DBB9">
        <w:trPr>
          <w:trHeight w:val="20"/>
        </w:trPr>
        <w:tc>
          <w:tcPr>
            <w:tcW w:w="355" w:type="dxa"/>
            <w:shd w:val="clear" w:color="auto" w:fill="FFFFFF" w:themeFill="background1"/>
          </w:tcPr>
          <w:p w14:paraId="2B9B935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6</w:t>
            </w:r>
          </w:p>
        </w:tc>
        <w:tc>
          <w:tcPr>
            <w:tcW w:w="2525" w:type="dxa"/>
            <w:shd w:val="clear" w:color="auto" w:fill="FFFFFF" w:themeFill="background1"/>
            <w:tcMar>
              <w:top w:w="0" w:type="dxa"/>
              <w:left w:w="108" w:type="dxa"/>
              <w:bottom w:w="0" w:type="dxa"/>
              <w:right w:w="108" w:type="dxa"/>
            </w:tcMar>
            <w:hideMark/>
          </w:tcPr>
          <w:p w14:paraId="0A6F4C8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la aprobación de nivel 1 de la solicitud de registro de proveedores</w:t>
            </w:r>
          </w:p>
        </w:tc>
        <w:tc>
          <w:tcPr>
            <w:tcW w:w="2880" w:type="dxa"/>
            <w:shd w:val="clear" w:color="auto" w:fill="FFFFFF" w:themeFill="background1"/>
            <w:tcMar>
              <w:top w:w="0" w:type="dxa"/>
              <w:left w:w="108" w:type="dxa"/>
              <w:bottom w:w="0" w:type="dxa"/>
              <w:right w:w="108" w:type="dxa"/>
            </w:tcMar>
            <w:hideMark/>
          </w:tcPr>
          <w:p w14:paraId="6AD88F4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 xml:space="preserve">Nivel de mantenimiento de proveedores 1 </w:t>
            </w:r>
          </w:p>
          <w:p w14:paraId="10FE8FDF" w14:textId="77777777" w:rsidR="0016462F" w:rsidRPr="00756410" w:rsidRDefault="0016462F" w:rsidP="00CF32EB">
            <w:pPr>
              <w:spacing w:after="0" w:line="240" w:lineRule="auto"/>
              <w:rPr>
                <w:rFonts w:cstheme="minorHAnsi"/>
                <w:sz w:val="20"/>
                <w:szCs w:val="20"/>
                <w:lang w:val="es-419"/>
              </w:rPr>
            </w:pPr>
          </w:p>
        </w:tc>
        <w:tc>
          <w:tcPr>
            <w:tcW w:w="4230" w:type="dxa"/>
            <w:shd w:val="clear" w:color="auto" w:fill="FFFFFF" w:themeFill="background1"/>
          </w:tcPr>
          <w:p w14:paraId="10E228DE" w14:textId="77777777" w:rsidR="0016462F" w:rsidRPr="00756410" w:rsidRDefault="0016462F" w:rsidP="00CF32EB">
            <w:pPr>
              <w:spacing w:after="0" w:line="240" w:lineRule="auto"/>
              <w:rPr>
                <w:rFonts w:cstheme="minorHAnsi"/>
                <w:sz w:val="20"/>
                <w:szCs w:val="20"/>
                <w:lang w:val="es-419"/>
              </w:rPr>
            </w:pPr>
          </w:p>
        </w:tc>
      </w:tr>
      <w:tr w:rsidR="005D6B59" w:rsidRPr="00773863" w14:paraId="33577DA5" w14:textId="77777777" w:rsidTr="24F5DBB9">
        <w:trPr>
          <w:trHeight w:val="20"/>
        </w:trPr>
        <w:tc>
          <w:tcPr>
            <w:tcW w:w="355" w:type="dxa"/>
            <w:shd w:val="clear" w:color="auto" w:fill="FFFFFF" w:themeFill="background1"/>
          </w:tcPr>
          <w:p w14:paraId="61519EE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525" w:type="dxa"/>
            <w:shd w:val="clear" w:color="auto" w:fill="FFFFFF" w:themeFill="background1"/>
            <w:tcMar>
              <w:top w:w="0" w:type="dxa"/>
              <w:left w:w="108" w:type="dxa"/>
              <w:bottom w:w="0" w:type="dxa"/>
              <w:right w:w="108" w:type="dxa"/>
            </w:tcMar>
            <w:hideMark/>
          </w:tcPr>
          <w:p w14:paraId="1349FA4F"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la aprobación de Nivel 2 de la solicitud de registro de proveedores</w:t>
            </w:r>
          </w:p>
        </w:tc>
        <w:tc>
          <w:tcPr>
            <w:tcW w:w="2880" w:type="dxa"/>
            <w:shd w:val="clear" w:color="auto" w:fill="FFFFFF" w:themeFill="background1"/>
            <w:tcMar>
              <w:top w:w="0" w:type="dxa"/>
              <w:left w:w="108" w:type="dxa"/>
              <w:bottom w:w="0" w:type="dxa"/>
              <w:right w:w="108" w:type="dxa"/>
            </w:tcMar>
            <w:hideMark/>
          </w:tcPr>
          <w:p w14:paraId="18145BE1" w14:textId="4E611C3C"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Aprobador de proveedores nivel 2 (BMS/GSSC)</w:t>
            </w:r>
          </w:p>
        </w:tc>
        <w:tc>
          <w:tcPr>
            <w:tcW w:w="4230" w:type="dxa"/>
            <w:shd w:val="clear" w:color="auto" w:fill="FFFFFF" w:themeFill="background1"/>
          </w:tcPr>
          <w:p w14:paraId="60157C89" w14:textId="465B6680" w:rsidR="0016462F" w:rsidRPr="00756410" w:rsidRDefault="000E34B7" w:rsidP="00CF32EB">
            <w:pPr>
              <w:spacing w:after="0" w:line="240" w:lineRule="auto"/>
              <w:rPr>
                <w:rFonts w:cstheme="minorHAnsi"/>
                <w:sz w:val="20"/>
                <w:szCs w:val="20"/>
                <w:lang w:val="es-419"/>
              </w:rPr>
            </w:pPr>
            <w:r w:rsidRPr="00756410">
              <w:rPr>
                <w:rFonts w:cstheme="minorHAnsi"/>
                <w:sz w:val="20"/>
                <w:szCs w:val="20"/>
                <w:lang w:val="es-419"/>
              </w:rPr>
              <w:t xml:space="preserve">Las aprobaciones L2 son </w:t>
            </w:r>
            <w:r w:rsidRPr="00756410">
              <w:rPr>
                <w:rFonts w:cstheme="minorHAnsi"/>
                <w:b/>
                <w:sz w:val="20"/>
                <w:szCs w:val="20"/>
                <w:lang w:val="es-419"/>
              </w:rPr>
              <w:t>realizadas por BMS/GSSC para todas las oficinas/unidades</w:t>
            </w:r>
            <w:r w:rsidRPr="00756410">
              <w:rPr>
                <w:rFonts w:cstheme="minorHAnsi"/>
                <w:sz w:val="20"/>
                <w:szCs w:val="20"/>
                <w:lang w:val="es-419"/>
              </w:rPr>
              <w:t>, a menos que el Tesorero/CFO haya otorgado una excepción para oficinas/unidades de la sede seleccionada</w:t>
            </w:r>
          </w:p>
        </w:tc>
      </w:tr>
      <w:tr w:rsidR="005D6B59" w:rsidRPr="00EF3982" w14:paraId="3B4EEC68" w14:textId="77777777" w:rsidTr="24F5DBB9">
        <w:trPr>
          <w:trHeight w:val="20"/>
        </w:trPr>
        <w:tc>
          <w:tcPr>
            <w:tcW w:w="355" w:type="dxa"/>
            <w:shd w:val="clear" w:color="auto" w:fill="FFFFFF" w:themeFill="background1"/>
          </w:tcPr>
          <w:p w14:paraId="3E7BEFA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525" w:type="dxa"/>
            <w:shd w:val="clear" w:color="auto" w:fill="FFFFFF" w:themeFill="background1"/>
            <w:tcMar>
              <w:top w:w="0" w:type="dxa"/>
              <w:left w:w="108" w:type="dxa"/>
              <w:bottom w:w="0" w:type="dxa"/>
              <w:right w:w="108" w:type="dxa"/>
            </w:tcMar>
            <w:hideMark/>
          </w:tcPr>
          <w:p w14:paraId="33A64CF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Crear pedido y contrato</w:t>
            </w:r>
          </w:p>
        </w:tc>
        <w:tc>
          <w:tcPr>
            <w:tcW w:w="2880" w:type="dxa"/>
            <w:shd w:val="clear" w:color="auto" w:fill="FFFFFF" w:themeFill="background1"/>
            <w:tcMar>
              <w:top w:w="0" w:type="dxa"/>
              <w:left w:w="108" w:type="dxa"/>
              <w:bottom w:w="0" w:type="dxa"/>
              <w:right w:w="108" w:type="dxa"/>
            </w:tcMar>
            <w:hideMark/>
          </w:tcPr>
          <w:p w14:paraId="0DE34B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Comprador</w:t>
            </w:r>
          </w:p>
        </w:tc>
        <w:tc>
          <w:tcPr>
            <w:tcW w:w="4230" w:type="dxa"/>
            <w:shd w:val="clear" w:color="auto" w:fill="FFFFFF" w:themeFill="background1"/>
          </w:tcPr>
          <w:p w14:paraId="63C29805" w14:textId="77777777" w:rsidR="0016462F" w:rsidRPr="00D2258D" w:rsidRDefault="0016462F" w:rsidP="00CF32EB">
            <w:pPr>
              <w:spacing w:after="0" w:line="240" w:lineRule="auto"/>
              <w:rPr>
                <w:rFonts w:cstheme="minorHAnsi"/>
                <w:sz w:val="20"/>
                <w:szCs w:val="20"/>
              </w:rPr>
            </w:pPr>
          </w:p>
        </w:tc>
      </w:tr>
      <w:tr w:rsidR="005D6B59" w:rsidRPr="00773863" w14:paraId="4616BB23" w14:textId="77777777" w:rsidTr="24F5DBB9">
        <w:trPr>
          <w:trHeight w:val="20"/>
        </w:trPr>
        <w:tc>
          <w:tcPr>
            <w:tcW w:w="355" w:type="dxa"/>
            <w:shd w:val="clear" w:color="auto" w:fill="FFFFFF" w:themeFill="background1"/>
          </w:tcPr>
          <w:p w14:paraId="5DD01D8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525" w:type="dxa"/>
            <w:shd w:val="clear" w:color="auto" w:fill="FFFFFF" w:themeFill="background1"/>
            <w:tcMar>
              <w:top w:w="0" w:type="dxa"/>
              <w:left w:w="108" w:type="dxa"/>
              <w:bottom w:w="0" w:type="dxa"/>
              <w:right w:w="108" w:type="dxa"/>
            </w:tcMar>
            <w:hideMark/>
          </w:tcPr>
          <w:p w14:paraId="1409DCC0"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Aprobar orden de compra y contrato</w:t>
            </w:r>
          </w:p>
        </w:tc>
        <w:tc>
          <w:tcPr>
            <w:tcW w:w="2880" w:type="dxa"/>
            <w:shd w:val="clear" w:color="auto" w:fill="FFFFFF" w:themeFill="background1"/>
            <w:tcMar>
              <w:top w:w="0" w:type="dxa"/>
              <w:left w:w="108" w:type="dxa"/>
              <w:bottom w:w="0" w:type="dxa"/>
              <w:right w:w="108" w:type="dxa"/>
            </w:tcMar>
            <w:hideMark/>
          </w:tcPr>
          <w:p w14:paraId="59666C45" w14:textId="38DE22CA"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Aprobación de gerentes en cada oficina/unidad, según los umbrales de ICF</w:t>
            </w:r>
          </w:p>
        </w:tc>
        <w:tc>
          <w:tcPr>
            <w:tcW w:w="4230" w:type="dxa"/>
            <w:shd w:val="clear" w:color="auto" w:fill="FFFFFF" w:themeFill="background1"/>
          </w:tcPr>
          <w:p w14:paraId="49546796"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Cumplir con las funciones de 'Gerente de aprobación - Parte A'.</w:t>
            </w:r>
          </w:p>
        </w:tc>
      </w:tr>
      <w:tr w:rsidR="005D6B59" w:rsidRPr="00773863" w14:paraId="731ED825" w14:textId="77777777" w:rsidTr="24F5DBB9">
        <w:trPr>
          <w:trHeight w:val="20"/>
        </w:trPr>
        <w:tc>
          <w:tcPr>
            <w:tcW w:w="355" w:type="dxa"/>
            <w:shd w:val="clear" w:color="auto" w:fill="FFFFFF" w:themeFill="background1"/>
          </w:tcPr>
          <w:p w14:paraId="7115F8C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10</w:t>
            </w:r>
          </w:p>
        </w:tc>
        <w:tc>
          <w:tcPr>
            <w:tcW w:w="2525" w:type="dxa"/>
            <w:shd w:val="clear" w:color="auto" w:fill="FFFFFF" w:themeFill="background1"/>
            <w:tcMar>
              <w:top w:w="0" w:type="dxa"/>
              <w:left w:w="108" w:type="dxa"/>
              <w:bottom w:w="0" w:type="dxa"/>
              <w:right w:w="108" w:type="dxa"/>
            </w:tcMar>
            <w:hideMark/>
          </w:tcPr>
          <w:p w14:paraId="72F65DBB"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Registro de recepción de bienes, servicios y obras en Quantum</w:t>
            </w:r>
          </w:p>
        </w:tc>
        <w:tc>
          <w:tcPr>
            <w:tcW w:w="2880" w:type="dxa"/>
            <w:shd w:val="clear" w:color="auto" w:fill="FFFFFF" w:themeFill="background1"/>
            <w:tcMar>
              <w:top w:w="0" w:type="dxa"/>
              <w:left w:w="108" w:type="dxa"/>
              <w:bottom w:w="0" w:type="dxa"/>
              <w:right w:w="108" w:type="dxa"/>
            </w:tcMar>
            <w:hideMark/>
          </w:tcPr>
          <w:p w14:paraId="2D9E29C6" w14:textId="0AB7ADC4" w:rsidR="0016462F" w:rsidRPr="00D2258D" w:rsidRDefault="0016462F" w:rsidP="363CA695">
            <w:pPr>
              <w:spacing w:after="0" w:line="240" w:lineRule="auto"/>
              <w:rPr>
                <w:sz w:val="20"/>
                <w:szCs w:val="20"/>
              </w:rPr>
            </w:pPr>
            <w:r w:rsidRPr="00756410">
              <w:rPr>
                <w:sz w:val="20"/>
                <w:szCs w:val="20"/>
                <w:lang w:val="es-419"/>
              </w:rPr>
              <w:t xml:space="preserve">Gerente de proyecto o delegado que tiene el rol complementario </w:t>
            </w:r>
            <w:r w:rsidRPr="00756410">
              <w:rPr>
                <w:sz w:val="20"/>
                <w:szCs w:val="20"/>
                <w:lang w:val="es-419"/>
              </w:rPr>
              <w:lastRenderedPageBreak/>
              <w:t xml:space="preserve">de receptor de gastos. </w:t>
            </w:r>
            <w:r w:rsidRPr="00D2258D">
              <w:rPr>
                <w:sz w:val="20"/>
                <w:szCs w:val="20"/>
              </w:rPr>
              <w:t>El comprador no puede recibir.</w:t>
            </w:r>
          </w:p>
        </w:tc>
        <w:tc>
          <w:tcPr>
            <w:tcW w:w="4230" w:type="dxa"/>
            <w:shd w:val="clear" w:color="auto" w:fill="FFFFFF" w:themeFill="background1"/>
          </w:tcPr>
          <w:p w14:paraId="27B558DD" w14:textId="46C9808C" w:rsidR="0016462F" w:rsidRPr="00756410" w:rsidRDefault="0016462F" w:rsidP="363CA695">
            <w:pPr>
              <w:spacing w:after="0" w:line="240" w:lineRule="auto"/>
              <w:rPr>
                <w:sz w:val="20"/>
                <w:szCs w:val="20"/>
                <w:lang w:val="es-419"/>
              </w:rPr>
            </w:pPr>
            <w:r w:rsidRPr="00756410">
              <w:rPr>
                <w:sz w:val="20"/>
                <w:szCs w:val="20"/>
                <w:lang w:val="es-419"/>
              </w:rPr>
              <w:lastRenderedPageBreak/>
              <w:t>El gerente de proyecto puede delegar la recepción en Quantum, pero conserva la responsabilidad general de la integridad y precisión.</w:t>
            </w:r>
          </w:p>
        </w:tc>
      </w:tr>
      <w:tr w:rsidR="005D6B59" w:rsidRPr="00773863" w14:paraId="1D18A9A0" w14:textId="77777777" w:rsidTr="24F5DBB9">
        <w:trPr>
          <w:trHeight w:val="20"/>
        </w:trPr>
        <w:tc>
          <w:tcPr>
            <w:tcW w:w="355" w:type="dxa"/>
            <w:shd w:val="clear" w:color="auto" w:fill="FFFFFF" w:themeFill="background1"/>
          </w:tcPr>
          <w:p w14:paraId="0156F6A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11</w:t>
            </w:r>
          </w:p>
        </w:tc>
        <w:tc>
          <w:tcPr>
            <w:tcW w:w="2525" w:type="dxa"/>
            <w:shd w:val="clear" w:color="auto" w:fill="FFFFFF" w:themeFill="background1"/>
            <w:tcMar>
              <w:top w:w="0" w:type="dxa"/>
              <w:left w:w="108" w:type="dxa"/>
              <w:bottom w:w="0" w:type="dxa"/>
              <w:right w:w="108" w:type="dxa"/>
            </w:tcMar>
            <w:hideMark/>
          </w:tcPr>
          <w:p w14:paraId="0042592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Crear factura</w:t>
            </w:r>
          </w:p>
        </w:tc>
        <w:tc>
          <w:tcPr>
            <w:tcW w:w="2880" w:type="dxa"/>
            <w:shd w:val="clear" w:color="auto" w:fill="FFFFFF" w:themeFill="background1"/>
            <w:tcMar>
              <w:top w:w="0" w:type="dxa"/>
              <w:left w:w="108" w:type="dxa"/>
              <w:bottom w:w="0" w:type="dxa"/>
              <w:right w:w="108" w:type="dxa"/>
            </w:tcMar>
            <w:hideMark/>
          </w:tcPr>
          <w:p w14:paraId="0C626B16" w14:textId="77777777" w:rsidR="0016462F" w:rsidRPr="00756410" w:rsidRDefault="0016462F">
            <w:pPr>
              <w:pStyle w:val="ListParagraph"/>
              <w:numPr>
                <w:ilvl w:val="0"/>
                <w:numId w:val="28"/>
              </w:numPr>
              <w:spacing w:after="0" w:line="240" w:lineRule="auto"/>
              <w:rPr>
                <w:rFonts w:cstheme="minorHAnsi"/>
                <w:sz w:val="20"/>
                <w:szCs w:val="20"/>
                <w:lang w:val="es-419"/>
              </w:rPr>
            </w:pPr>
            <w:r w:rsidRPr="00756410">
              <w:rPr>
                <w:rFonts w:cstheme="minorHAnsi"/>
                <w:sz w:val="20"/>
                <w:szCs w:val="20"/>
                <w:lang w:val="es-419"/>
              </w:rPr>
              <w:t xml:space="preserve">Proveedor en el Portal de Proveedores </w:t>
            </w:r>
            <w:r w:rsidRPr="00756410">
              <w:rPr>
                <w:rFonts w:cstheme="minorHAnsi"/>
                <w:b/>
                <w:sz w:val="20"/>
                <w:szCs w:val="20"/>
                <w:lang w:val="es-419"/>
              </w:rPr>
              <w:t>(recomendado)</w:t>
            </w:r>
          </w:p>
          <w:p w14:paraId="36B2E207" w14:textId="279EFBB4" w:rsidR="0016462F" w:rsidRPr="00756410" w:rsidRDefault="0F25B113">
            <w:pPr>
              <w:pStyle w:val="ListParagraph"/>
              <w:numPr>
                <w:ilvl w:val="0"/>
                <w:numId w:val="28"/>
              </w:numPr>
              <w:spacing w:after="0" w:line="240" w:lineRule="auto"/>
              <w:rPr>
                <w:sz w:val="20"/>
                <w:szCs w:val="20"/>
                <w:lang w:val="es-419"/>
              </w:rPr>
            </w:pPr>
            <w:r w:rsidRPr="3FC089E2">
              <w:rPr>
                <w:sz w:val="20"/>
                <w:szCs w:val="20"/>
                <w:lang w:val="es-419"/>
              </w:rPr>
              <w:t xml:space="preserve">Usuario de </w:t>
            </w:r>
            <w:r w:rsidRPr="21AB8933">
              <w:rPr>
                <w:sz w:val="20"/>
                <w:szCs w:val="20"/>
                <w:lang w:val="es-419"/>
              </w:rPr>
              <w:t xml:space="preserve">Finanzas: </w:t>
            </w:r>
            <w:r w:rsidR="0016462F" w:rsidRPr="00756410">
              <w:rPr>
                <w:sz w:val="20"/>
                <w:szCs w:val="20"/>
                <w:lang w:val="es-419"/>
              </w:rPr>
              <w:t>Solo si un proveedor no puede crear una factura en el Portal de Proveedores</w:t>
            </w:r>
          </w:p>
        </w:tc>
        <w:tc>
          <w:tcPr>
            <w:tcW w:w="4230" w:type="dxa"/>
            <w:shd w:val="clear" w:color="auto" w:fill="FFFFFF" w:themeFill="background1"/>
          </w:tcPr>
          <w:p w14:paraId="0795E902" w14:textId="7C13F1F0"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Para oficinas/unidades más pequeñas o en períodos pico de procesamiento, los usuarios financieros pueden buscar soporte de usuarios generales (a quienes se les puede asignar un rol adicional de "Creación de facturas") o, como último recurso, compradores.</w:t>
            </w:r>
          </w:p>
        </w:tc>
      </w:tr>
      <w:tr w:rsidR="005D6B59" w:rsidRPr="00773863" w14:paraId="02E5C3E6" w14:textId="77777777" w:rsidTr="24F5DBB9">
        <w:trPr>
          <w:trHeight w:val="20"/>
        </w:trPr>
        <w:tc>
          <w:tcPr>
            <w:tcW w:w="355" w:type="dxa"/>
            <w:shd w:val="clear" w:color="auto" w:fill="FFFFFF" w:themeFill="background1"/>
          </w:tcPr>
          <w:p w14:paraId="2B41B383" w14:textId="5EE38D27" w:rsidR="0016462F" w:rsidRPr="00D2258D" w:rsidRDefault="00B44BB3" w:rsidP="00CF32EB">
            <w:pPr>
              <w:spacing w:after="0" w:line="240" w:lineRule="auto"/>
              <w:rPr>
                <w:rFonts w:cstheme="minorHAnsi"/>
                <w:sz w:val="20"/>
                <w:szCs w:val="20"/>
              </w:rPr>
            </w:pPr>
            <w:r w:rsidRPr="00D2258D">
              <w:rPr>
                <w:rFonts w:cstheme="minorHAnsi"/>
                <w:sz w:val="20"/>
                <w:szCs w:val="20"/>
              </w:rPr>
              <w:t>12</w:t>
            </w:r>
          </w:p>
        </w:tc>
        <w:tc>
          <w:tcPr>
            <w:tcW w:w="2525" w:type="dxa"/>
            <w:shd w:val="clear" w:color="auto" w:fill="FFFFFF" w:themeFill="background1"/>
            <w:tcMar>
              <w:top w:w="0" w:type="dxa"/>
              <w:left w:w="108" w:type="dxa"/>
              <w:bottom w:w="0" w:type="dxa"/>
              <w:right w:w="108" w:type="dxa"/>
            </w:tcMar>
          </w:tcPr>
          <w:p w14:paraId="12908102" w14:textId="21B98657" w:rsidR="0016462F" w:rsidRPr="00756410" w:rsidRDefault="00B44BB3" w:rsidP="00CF32EB">
            <w:pPr>
              <w:spacing w:after="0" w:line="240" w:lineRule="auto"/>
              <w:rPr>
                <w:sz w:val="20"/>
                <w:szCs w:val="20"/>
                <w:lang w:val="es-419"/>
              </w:rPr>
            </w:pPr>
            <w:r w:rsidRPr="00756410">
              <w:rPr>
                <w:sz w:val="20"/>
                <w:szCs w:val="20"/>
                <w:lang w:val="es-419"/>
              </w:rPr>
              <w:t>Valid</w:t>
            </w:r>
            <w:r w:rsidR="18189409" w:rsidRPr="35E93507">
              <w:rPr>
                <w:sz w:val="20"/>
                <w:szCs w:val="20"/>
                <w:lang w:val="es-419"/>
              </w:rPr>
              <w:t>ar</w:t>
            </w:r>
            <w:r w:rsidRPr="00756410">
              <w:rPr>
                <w:sz w:val="20"/>
                <w:szCs w:val="20"/>
                <w:lang w:val="es-419"/>
              </w:rPr>
              <w:t xml:space="preserve"> la verificación de fondos e inici</w:t>
            </w:r>
            <w:r w:rsidR="279251EC" w:rsidRPr="3FE67BB3">
              <w:rPr>
                <w:sz w:val="20"/>
                <w:szCs w:val="20"/>
                <w:lang w:val="es-419"/>
              </w:rPr>
              <w:t>ar</w:t>
            </w:r>
            <w:r w:rsidRPr="00756410">
              <w:rPr>
                <w:sz w:val="20"/>
                <w:szCs w:val="20"/>
                <w:lang w:val="es-419"/>
              </w:rPr>
              <w:t xml:space="preserve"> la aprobación de la factura</w:t>
            </w:r>
          </w:p>
        </w:tc>
        <w:tc>
          <w:tcPr>
            <w:tcW w:w="2880" w:type="dxa"/>
            <w:shd w:val="clear" w:color="auto" w:fill="FFFFFF" w:themeFill="background1"/>
            <w:tcMar>
              <w:top w:w="0" w:type="dxa"/>
              <w:left w:w="108" w:type="dxa"/>
              <w:bottom w:w="0" w:type="dxa"/>
              <w:right w:w="108" w:type="dxa"/>
            </w:tcMar>
          </w:tcPr>
          <w:p w14:paraId="4CB1EA17" w14:textId="656384EE" w:rsidR="0016462F" w:rsidRPr="00D2258D" w:rsidRDefault="00B44BB3" w:rsidP="00CF32EB">
            <w:pPr>
              <w:spacing w:after="0" w:line="240" w:lineRule="auto"/>
              <w:rPr>
                <w:sz w:val="20"/>
                <w:szCs w:val="20"/>
              </w:rPr>
            </w:pPr>
            <w:r w:rsidRPr="6F955802">
              <w:rPr>
                <w:sz w:val="20"/>
                <w:szCs w:val="20"/>
              </w:rPr>
              <w:t xml:space="preserve">Proceso automatizado </w:t>
            </w:r>
            <w:r w:rsidR="00784FC8">
              <w:rPr>
                <w:sz w:val="20"/>
                <w:szCs w:val="20"/>
              </w:rPr>
              <w:t>en Quantum</w:t>
            </w:r>
            <w:r w:rsidR="00784FC8" w:rsidRPr="6F955802">
              <w:rPr>
                <w:sz w:val="20"/>
                <w:szCs w:val="20"/>
              </w:rPr>
              <w:t xml:space="preserve"> </w:t>
            </w:r>
            <w:r w:rsidRPr="6F955802">
              <w:rPr>
                <w:sz w:val="20"/>
                <w:szCs w:val="20"/>
              </w:rPr>
              <w:t xml:space="preserve"> </w:t>
            </w:r>
          </w:p>
        </w:tc>
        <w:tc>
          <w:tcPr>
            <w:tcW w:w="4230" w:type="dxa"/>
            <w:shd w:val="clear" w:color="auto" w:fill="FFFFFF" w:themeFill="background1"/>
          </w:tcPr>
          <w:p w14:paraId="60E0DAB9" w14:textId="35EF89AF" w:rsidR="00B44BB3" w:rsidRPr="00756410" w:rsidRDefault="00B44BB3" w:rsidP="363CA695">
            <w:pPr>
              <w:spacing w:after="0" w:line="240" w:lineRule="auto"/>
              <w:rPr>
                <w:rStyle w:val="cf01"/>
                <w:rFonts w:asciiTheme="minorHAnsi" w:hAnsiTheme="minorHAnsi" w:cstheme="minorBidi"/>
                <w:sz w:val="20"/>
                <w:szCs w:val="20"/>
                <w:lang w:val="es-419"/>
              </w:rPr>
            </w:pPr>
            <w:r w:rsidRPr="00756410">
              <w:rPr>
                <w:rStyle w:val="cf01"/>
                <w:rFonts w:asciiTheme="minorHAnsi" w:hAnsiTheme="minorHAnsi" w:cstheme="minorBidi"/>
                <w:sz w:val="20"/>
                <w:szCs w:val="20"/>
                <w:lang w:val="es-419"/>
              </w:rPr>
              <w:t xml:space="preserve">Para la factura basada en órdenes de compra, tanto la verificación de fondos de validación como la aprobación de inicio se realizan automáticamente cuando el proveedor envía la factura a través del portal o el usuario de </w:t>
            </w:r>
            <w:r w:rsidR="00DB0F51" w:rsidRPr="00DB0F51">
              <w:rPr>
                <w:rStyle w:val="cf01"/>
                <w:rFonts w:asciiTheme="minorHAnsi" w:hAnsiTheme="minorHAnsi" w:cstheme="minorBidi"/>
                <w:sz w:val="20"/>
                <w:szCs w:val="20"/>
                <w:lang w:val="es-419"/>
              </w:rPr>
              <w:t>oficina de país</w:t>
            </w:r>
            <w:r w:rsidRPr="00756410">
              <w:rPr>
                <w:rStyle w:val="cf01"/>
                <w:rFonts w:asciiTheme="minorHAnsi" w:hAnsiTheme="minorHAnsi" w:cstheme="minorBidi"/>
                <w:sz w:val="20"/>
                <w:szCs w:val="20"/>
                <w:lang w:val="es-419"/>
              </w:rPr>
              <w:t xml:space="preserve"> / usuario de acceso externo envía la factura en Quantum.</w:t>
            </w:r>
          </w:p>
          <w:p w14:paraId="606E4F51" w14:textId="01C97FBE" w:rsidR="0016462F" w:rsidRPr="00756410" w:rsidRDefault="0016462F" w:rsidP="00CF32EB">
            <w:pPr>
              <w:spacing w:after="0" w:line="240" w:lineRule="auto"/>
              <w:rPr>
                <w:rFonts w:cstheme="minorHAnsi"/>
                <w:sz w:val="20"/>
                <w:szCs w:val="20"/>
                <w:lang w:val="es-419"/>
              </w:rPr>
            </w:pPr>
          </w:p>
        </w:tc>
      </w:tr>
      <w:tr w:rsidR="005D6B59" w:rsidRPr="00773863" w14:paraId="22C389E2" w14:textId="77777777" w:rsidTr="24F5DBB9">
        <w:trPr>
          <w:trHeight w:val="20"/>
        </w:trPr>
        <w:tc>
          <w:tcPr>
            <w:tcW w:w="355" w:type="dxa"/>
            <w:shd w:val="clear" w:color="auto" w:fill="FFFFFF" w:themeFill="background1"/>
          </w:tcPr>
          <w:p w14:paraId="4399107E" w14:textId="2A1C76A3" w:rsidR="0016462F" w:rsidRPr="00D2258D" w:rsidRDefault="00B44BB3" w:rsidP="00CF32EB">
            <w:pPr>
              <w:spacing w:after="0" w:line="240" w:lineRule="auto"/>
              <w:rPr>
                <w:rFonts w:cstheme="minorHAnsi"/>
                <w:sz w:val="20"/>
                <w:szCs w:val="20"/>
              </w:rPr>
            </w:pPr>
            <w:r w:rsidRPr="00D2258D">
              <w:rPr>
                <w:rFonts w:cstheme="minorHAnsi"/>
                <w:sz w:val="20"/>
                <w:szCs w:val="20"/>
              </w:rPr>
              <w:t>13</w:t>
            </w:r>
          </w:p>
        </w:tc>
        <w:tc>
          <w:tcPr>
            <w:tcW w:w="2525" w:type="dxa"/>
            <w:shd w:val="clear" w:color="auto" w:fill="FFFFFF" w:themeFill="background1"/>
            <w:tcMar>
              <w:top w:w="0" w:type="dxa"/>
              <w:left w:w="108" w:type="dxa"/>
              <w:bottom w:w="0" w:type="dxa"/>
              <w:right w:w="108" w:type="dxa"/>
            </w:tcMar>
          </w:tcPr>
          <w:p w14:paraId="621A859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una combinación de 3 vías</w:t>
            </w:r>
          </w:p>
        </w:tc>
        <w:tc>
          <w:tcPr>
            <w:tcW w:w="2880" w:type="dxa"/>
            <w:shd w:val="clear" w:color="auto" w:fill="FFFFFF" w:themeFill="background1"/>
            <w:tcMar>
              <w:top w:w="0" w:type="dxa"/>
              <w:left w:w="108" w:type="dxa"/>
              <w:bottom w:w="0" w:type="dxa"/>
              <w:right w:w="108" w:type="dxa"/>
            </w:tcMar>
          </w:tcPr>
          <w:p w14:paraId="2E84F90F" w14:textId="4181D5A4"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Proceso automatizado </w:t>
            </w:r>
            <w:r w:rsidR="00784FC8">
              <w:rPr>
                <w:rFonts w:cstheme="minorHAnsi"/>
                <w:sz w:val="20"/>
                <w:szCs w:val="20"/>
              </w:rPr>
              <w:t>en Quantum</w:t>
            </w:r>
          </w:p>
        </w:tc>
        <w:tc>
          <w:tcPr>
            <w:tcW w:w="4230" w:type="dxa"/>
            <w:shd w:val="clear" w:color="auto" w:fill="FFFFFF" w:themeFill="background1"/>
          </w:tcPr>
          <w:p w14:paraId="3E537530" w14:textId="77777777" w:rsidR="0016462F" w:rsidRPr="00756410" w:rsidRDefault="0016462F" w:rsidP="00CF32EB">
            <w:pPr>
              <w:spacing w:after="0" w:line="240" w:lineRule="auto"/>
              <w:rPr>
                <w:rFonts w:cstheme="minorHAnsi"/>
                <w:sz w:val="20"/>
                <w:szCs w:val="20"/>
                <w:lang w:val="it-IT"/>
              </w:rPr>
            </w:pPr>
            <w:r w:rsidRPr="00756410">
              <w:rPr>
                <w:rFonts w:cstheme="minorHAnsi"/>
                <w:sz w:val="20"/>
                <w:szCs w:val="20"/>
                <w:lang w:val="it-IT"/>
              </w:rPr>
              <w:t>Quantum coincide con PO-receipt-invoice</w:t>
            </w:r>
            <w:r w:rsidRPr="00D2258D">
              <w:rPr>
                <w:rStyle w:val="FootnoteReference"/>
                <w:rFonts w:cstheme="minorHAnsi"/>
                <w:sz w:val="20"/>
                <w:szCs w:val="20"/>
              </w:rPr>
              <w:footnoteReference w:id="46"/>
            </w:r>
            <w:r w:rsidRPr="00756410">
              <w:rPr>
                <w:rFonts w:cstheme="minorHAnsi"/>
                <w:sz w:val="20"/>
                <w:szCs w:val="20"/>
                <w:lang w:val="it-IT"/>
              </w:rPr>
              <w:t>.</w:t>
            </w:r>
          </w:p>
        </w:tc>
      </w:tr>
      <w:tr w:rsidR="005D6B59" w:rsidRPr="00773863" w14:paraId="0530663E" w14:textId="77777777" w:rsidTr="24F5DBB9">
        <w:trPr>
          <w:trHeight w:val="20"/>
        </w:trPr>
        <w:tc>
          <w:tcPr>
            <w:tcW w:w="355" w:type="dxa"/>
            <w:shd w:val="clear" w:color="auto" w:fill="FFFFFF" w:themeFill="background1"/>
          </w:tcPr>
          <w:p w14:paraId="428D559A" w14:textId="752A0A51" w:rsidR="0016462F" w:rsidRPr="00D2258D" w:rsidRDefault="00B44BB3" w:rsidP="00CF32EB">
            <w:pPr>
              <w:spacing w:after="0" w:line="240" w:lineRule="auto"/>
              <w:rPr>
                <w:rFonts w:cstheme="minorHAnsi"/>
                <w:sz w:val="20"/>
                <w:szCs w:val="20"/>
              </w:rPr>
            </w:pPr>
            <w:r w:rsidRPr="00D2258D">
              <w:rPr>
                <w:rFonts w:cstheme="minorHAnsi"/>
                <w:sz w:val="20"/>
                <w:szCs w:val="20"/>
              </w:rPr>
              <w:t>14</w:t>
            </w:r>
          </w:p>
        </w:tc>
        <w:tc>
          <w:tcPr>
            <w:tcW w:w="2525" w:type="dxa"/>
            <w:shd w:val="clear" w:color="auto" w:fill="FFFFFF" w:themeFill="background1"/>
            <w:tcMar>
              <w:top w:w="0" w:type="dxa"/>
              <w:left w:w="108" w:type="dxa"/>
              <w:bottom w:w="0" w:type="dxa"/>
              <w:right w:w="108" w:type="dxa"/>
            </w:tcMar>
          </w:tcPr>
          <w:p w14:paraId="4319DF1E"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 xml:space="preserve">Resolver errores de validación de coincidencias de 3 vías </w:t>
            </w:r>
          </w:p>
        </w:tc>
        <w:tc>
          <w:tcPr>
            <w:tcW w:w="2880" w:type="dxa"/>
            <w:shd w:val="clear" w:color="auto" w:fill="FFFFFF" w:themeFill="background1"/>
            <w:tcMar>
              <w:top w:w="0" w:type="dxa"/>
              <w:left w:w="108" w:type="dxa"/>
              <w:bottom w:w="0" w:type="dxa"/>
              <w:right w:w="108" w:type="dxa"/>
            </w:tcMar>
          </w:tcPr>
          <w:p w14:paraId="2FAF79DB" w14:textId="197B77C4"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 xml:space="preserve">Gerente de proyecto o usuario de finanzas </w:t>
            </w:r>
          </w:p>
        </w:tc>
        <w:tc>
          <w:tcPr>
            <w:tcW w:w="4230" w:type="dxa"/>
            <w:shd w:val="clear" w:color="auto" w:fill="FFFFFF" w:themeFill="background1"/>
          </w:tcPr>
          <w:p w14:paraId="79E299BA" w14:textId="2167E187" w:rsidR="0016462F" w:rsidRPr="00756410" w:rsidRDefault="000E34B7" w:rsidP="00CF32EB">
            <w:pPr>
              <w:spacing w:after="0" w:line="240" w:lineRule="auto"/>
              <w:rPr>
                <w:rFonts w:cstheme="minorHAnsi"/>
                <w:sz w:val="20"/>
                <w:szCs w:val="20"/>
                <w:lang w:val="es-419"/>
              </w:rPr>
            </w:pPr>
            <w:r w:rsidRPr="00756410">
              <w:rPr>
                <w:rFonts w:cstheme="minorHAnsi"/>
                <w:sz w:val="20"/>
                <w:szCs w:val="20"/>
                <w:lang w:val="es-419"/>
              </w:rPr>
              <w:t>Para corregir los detalles de la recepción (PM) o la factura devolviéndolos al proveedor (FU)</w:t>
            </w:r>
          </w:p>
        </w:tc>
      </w:tr>
      <w:tr w:rsidR="005D6B59" w:rsidRPr="00773863" w14:paraId="0EAF9BD5" w14:textId="77777777" w:rsidTr="24F5DBB9">
        <w:trPr>
          <w:trHeight w:val="20"/>
        </w:trPr>
        <w:tc>
          <w:tcPr>
            <w:tcW w:w="355" w:type="dxa"/>
            <w:shd w:val="clear" w:color="auto" w:fill="FFFFFF" w:themeFill="background1"/>
          </w:tcPr>
          <w:p w14:paraId="2CCEFAC4" w14:textId="68DABFB5" w:rsidR="0016462F" w:rsidRPr="00D2258D" w:rsidRDefault="00B44BB3" w:rsidP="00CF32EB">
            <w:pPr>
              <w:spacing w:after="0" w:line="240" w:lineRule="auto"/>
              <w:rPr>
                <w:rFonts w:cstheme="minorHAnsi"/>
                <w:sz w:val="20"/>
                <w:szCs w:val="20"/>
              </w:rPr>
            </w:pPr>
            <w:r w:rsidRPr="00D2258D">
              <w:rPr>
                <w:rFonts w:cstheme="minorHAnsi"/>
                <w:sz w:val="20"/>
                <w:szCs w:val="20"/>
              </w:rPr>
              <w:t>15</w:t>
            </w:r>
          </w:p>
        </w:tc>
        <w:tc>
          <w:tcPr>
            <w:tcW w:w="2525" w:type="dxa"/>
            <w:shd w:val="clear" w:color="auto" w:fill="FFFFFF" w:themeFill="background1"/>
            <w:tcMar>
              <w:top w:w="0" w:type="dxa"/>
              <w:left w:w="108" w:type="dxa"/>
              <w:bottom w:w="0" w:type="dxa"/>
              <w:right w:w="108" w:type="dxa"/>
            </w:tcMar>
          </w:tcPr>
          <w:p w14:paraId="1B770B6B"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Aprobar anulaciones de coincidencia de 3 vías</w:t>
            </w:r>
          </w:p>
        </w:tc>
        <w:tc>
          <w:tcPr>
            <w:tcW w:w="2880" w:type="dxa"/>
            <w:shd w:val="clear" w:color="auto" w:fill="FFFFFF" w:themeFill="background1"/>
            <w:tcMar>
              <w:top w:w="0" w:type="dxa"/>
              <w:left w:w="108" w:type="dxa"/>
              <w:bottom w:w="0" w:type="dxa"/>
              <w:right w:w="108" w:type="dxa"/>
            </w:tcMar>
          </w:tcPr>
          <w:p w14:paraId="40FDD606" w14:textId="294553A3"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Aprobación de gerentes en cada oficina/unidad, según los umbrales de ICF</w:t>
            </w:r>
          </w:p>
        </w:tc>
        <w:tc>
          <w:tcPr>
            <w:tcW w:w="4230" w:type="dxa"/>
            <w:shd w:val="clear" w:color="auto" w:fill="FFFFFF" w:themeFill="background1"/>
          </w:tcPr>
          <w:p w14:paraId="650868F6"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Cumplir con las funciones de 'Gerente de aprobación - Parte A'.</w:t>
            </w:r>
          </w:p>
        </w:tc>
      </w:tr>
      <w:tr w:rsidR="005D6B59" w:rsidRPr="009B4AEE" w14:paraId="4E52D393" w14:textId="77777777" w:rsidTr="24F5DBB9">
        <w:trPr>
          <w:trHeight w:val="20"/>
        </w:trPr>
        <w:tc>
          <w:tcPr>
            <w:tcW w:w="355" w:type="dxa"/>
            <w:shd w:val="clear" w:color="auto" w:fill="FFFFFF" w:themeFill="background1"/>
          </w:tcPr>
          <w:p w14:paraId="01F9F487" w14:textId="3DE5E7EC" w:rsidR="0016462F" w:rsidRPr="00D2258D" w:rsidRDefault="00B44BB3" w:rsidP="00CF32EB">
            <w:pPr>
              <w:spacing w:after="0" w:line="240" w:lineRule="auto"/>
              <w:rPr>
                <w:rFonts w:cstheme="minorHAnsi"/>
                <w:sz w:val="20"/>
                <w:szCs w:val="20"/>
              </w:rPr>
            </w:pPr>
            <w:r w:rsidRPr="00D2258D">
              <w:rPr>
                <w:rFonts w:cstheme="minorHAnsi"/>
                <w:sz w:val="20"/>
                <w:szCs w:val="20"/>
              </w:rPr>
              <w:t>16</w:t>
            </w:r>
          </w:p>
        </w:tc>
        <w:tc>
          <w:tcPr>
            <w:tcW w:w="2525" w:type="dxa"/>
            <w:shd w:val="clear" w:color="auto" w:fill="FFFFFF" w:themeFill="background1"/>
            <w:tcMar>
              <w:top w:w="0" w:type="dxa"/>
              <w:left w:w="108" w:type="dxa"/>
              <w:bottom w:w="0" w:type="dxa"/>
              <w:right w:w="108" w:type="dxa"/>
            </w:tcMar>
          </w:tcPr>
          <w:p w14:paraId="6D2690B8" w14:textId="241246B6" w:rsidR="0016462F" w:rsidRPr="00756410" w:rsidRDefault="0016462F" w:rsidP="00CF32EB">
            <w:pPr>
              <w:spacing w:after="0" w:line="240" w:lineRule="auto"/>
              <w:rPr>
                <w:sz w:val="20"/>
                <w:szCs w:val="20"/>
                <w:lang w:val="es-419"/>
              </w:rPr>
            </w:pPr>
            <w:r w:rsidRPr="00756410">
              <w:rPr>
                <w:sz w:val="20"/>
                <w:szCs w:val="20"/>
                <w:lang w:val="es-419"/>
              </w:rPr>
              <w:t>Aprobar automáticamente la factura y enviarla al libro</w:t>
            </w:r>
            <w:r w:rsidRPr="00756410">
              <w:rPr>
                <w:sz w:val="20"/>
                <w:szCs w:val="20"/>
                <w:highlight w:val="yellow"/>
                <w:lang w:val="es-419"/>
              </w:rPr>
              <w:t xml:space="preserve"> </w:t>
            </w:r>
            <w:r w:rsidRPr="00756410">
              <w:rPr>
                <w:sz w:val="20"/>
                <w:szCs w:val="20"/>
                <w:lang w:val="es-419"/>
              </w:rPr>
              <w:t>mayor</w:t>
            </w:r>
            <w:r w:rsidR="65D1011E" w:rsidRPr="00756410">
              <w:rPr>
                <w:sz w:val="20"/>
                <w:szCs w:val="20"/>
                <w:lang w:val="es-419"/>
              </w:rPr>
              <w:t xml:space="preserve"> (GL)</w:t>
            </w:r>
          </w:p>
        </w:tc>
        <w:tc>
          <w:tcPr>
            <w:tcW w:w="2880" w:type="dxa"/>
            <w:shd w:val="clear" w:color="auto" w:fill="FFFFFF" w:themeFill="background1"/>
            <w:tcMar>
              <w:top w:w="0" w:type="dxa"/>
              <w:left w:w="108" w:type="dxa"/>
              <w:bottom w:w="0" w:type="dxa"/>
              <w:right w:w="108" w:type="dxa"/>
            </w:tcMar>
          </w:tcPr>
          <w:p w14:paraId="7B8ACD17" w14:textId="2CEDD0F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Proceso automatizado </w:t>
            </w:r>
            <w:r w:rsidR="00AF66A3">
              <w:rPr>
                <w:rFonts w:cstheme="minorHAnsi"/>
                <w:sz w:val="20"/>
                <w:szCs w:val="20"/>
              </w:rPr>
              <w:t>en Quantum</w:t>
            </w:r>
          </w:p>
        </w:tc>
        <w:tc>
          <w:tcPr>
            <w:tcW w:w="4230" w:type="dxa"/>
            <w:shd w:val="clear" w:color="auto" w:fill="FFFFFF" w:themeFill="background1"/>
          </w:tcPr>
          <w:p w14:paraId="16EAF201" w14:textId="77777777" w:rsidR="0016462F" w:rsidRPr="00D2258D" w:rsidRDefault="0016462F" w:rsidP="00CF32EB">
            <w:pPr>
              <w:spacing w:after="0" w:line="240" w:lineRule="auto"/>
              <w:rPr>
                <w:rFonts w:cstheme="minorHAnsi"/>
                <w:sz w:val="20"/>
                <w:szCs w:val="20"/>
              </w:rPr>
            </w:pPr>
          </w:p>
        </w:tc>
      </w:tr>
      <w:tr w:rsidR="005D6B59" w:rsidRPr="00773863" w14:paraId="3ED20967" w14:textId="77777777" w:rsidTr="24F5DBB9">
        <w:trPr>
          <w:trHeight w:val="20"/>
        </w:trPr>
        <w:tc>
          <w:tcPr>
            <w:tcW w:w="355" w:type="dxa"/>
            <w:shd w:val="clear" w:color="auto" w:fill="FFFFFF" w:themeFill="background1"/>
          </w:tcPr>
          <w:p w14:paraId="5A8B859E" w14:textId="5170F7FD" w:rsidR="0016462F" w:rsidRPr="00D2258D" w:rsidRDefault="00B44BB3" w:rsidP="00CF32EB">
            <w:pPr>
              <w:spacing w:after="0" w:line="240" w:lineRule="auto"/>
              <w:rPr>
                <w:rFonts w:cstheme="minorHAnsi"/>
                <w:sz w:val="20"/>
                <w:szCs w:val="20"/>
              </w:rPr>
            </w:pPr>
            <w:r w:rsidRPr="00D2258D">
              <w:rPr>
                <w:rFonts w:cstheme="minorHAnsi"/>
                <w:sz w:val="20"/>
                <w:szCs w:val="20"/>
              </w:rPr>
              <w:t>17</w:t>
            </w:r>
          </w:p>
        </w:tc>
        <w:tc>
          <w:tcPr>
            <w:tcW w:w="2525" w:type="dxa"/>
            <w:shd w:val="clear" w:color="auto" w:fill="FFFFFF" w:themeFill="background1"/>
            <w:tcMar>
              <w:top w:w="0" w:type="dxa"/>
              <w:left w:w="108" w:type="dxa"/>
              <w:bottom w:w="0" w:type="dxa"/>
              <w:right w:w="108" w:type="dxa"/>
            </w:tcMar>
          </w:tcPr>
          <w:p w14:paraId="3591E8B9"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Revisar y aprobar facturas de alto valor</w:t>
            </w:r>
          </w:p>
        </w:tc>
        <w:tc>
          <w:tcPr>
            <w:tcW w:w="2880" w:type="dxa"/>
            <w:shd w:val="clear" w:color="auto" w:fill="FFFFFF" w:themeFill="background1"/>
            <w:tcMar>
              <w:top w:w="0" w:type="dxa"/>
              <w:left w:w="108" w:type="dxa"/>
              <w:bottom w:w="0" w:type="dxa"/>
              <w:right w:w="108" w:type="dxa"/>
            </w:tcMar>
          </w:tcPr>
          <w:p w14:paraId="3999D162" w14:textId="77777777" w:rsidR="0016462F" w:rsidRPr="00756410" w:rsidRDefault="0016462F" w:rsidP="00CF32EB">
            <w:pPr>
              <w:spacing w:after="0" w:line="240" w:lineRule="auto"/>
              <w:rPr>
                <w:rFonts w:cstheme="minorHAnsi"/>
                <w:sz w:val="20"/>
                <w:szCs w:val="20"/>
                <w:lang w:val="es-ES"/>
              </w:rPr>
            </w:pPr>
            <w:r w:rsidRPr="00756410">
              <w:rPr>
                <w:rFonts w:cstheme="minorHAnsi"/>
                <w:sz w:val="20"/>
                <w:szCs w:val="20"/>
                <w:lang w:val="es-ES"/>
              </w:rPr>
              <w:t>Facturas aprobadas automáticamente de Quantum enrutadas a los aprobadores de BMS/GSSC de nivel 2 y 3</w:t>
            </w:r>
          </w:p>
        </w:tc>
        <w:tc>
          <w:tcPr>
            <w:tcW w:w="4230" w:type="dxa"/>
            <w:shd w:val="clear" w:color="auto" w:fill="FFFFFF" w:themeFill="background1"/>
          </w:tcPr>
          <w:p w14:paraId="5D025DB6" w14:textId="777777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Cumplir con las funciones de 'Gerente de aprobación – Parte B'.</w:t>
            </w:r>
          </w:p>
        </w:tc>
      </w:tr>
      <w:tr w:rsidR="005D6B59" w:rsidRPr="00773863" w14:paraId="4CFBDB0D" w14:textId="77777777" w:rsidTr="24F5DBB9">
        <w:trPr>
          <w:trHeight w:val="20"/>
        </w:trPr>
        <w:tc>
          <w:tcPr>
            <w:tcW w:w="355" w:type="dxa"/>
            <w:shd w:val="clear" w:color="auto" w:fill="FFFFFF" w:themeFill="background1"/>
          </w:tcPr>
          <w:p w14:paraId="1ABF78AE" w14:textId="75E68172" w:rsidR="0016462F" w:rsidRPr="00D2258D" w:rsidRDefault="00B44BB3" w:rsidP="00CF32EB">
            <w:pPr>
              <w:spacing w:after="0" w:line="240" w:lineRule="auto"/>
              <w:rPr>
                <w:rFonts w:cstheme="minorHAnsi"/>
                <w:sz w:val="20"/>
                <w:szCs w:val="20"/>
              </w:rPr>
            </w:pPr>
            <w:r w:rsidRPr="00D2258D">
              <w:rPr>
                <w:rFonts w:cstheme="minorHAnsi"/>
                <w:sz w:val="20"/>
                <w:szCs w:val="20"/>
              </w:rPr>
              <w:t>18</w:t>
            </w:r>
          </w:p>
        </w:tc>
        <w:tc>
          <w:tcPr>
            <w:tcW w:w="2525" w:type="dxa"/>
            <w:shd w:val="clear" w:color="auto" w:fill="FFFFFF" w:themeFill="background1"/>
            <w:tcMar>
              <w:top w:w="0" w:type="dxa"/>
              <w:left w:w="108" w:type="dxa"/>
              <w:bottom w:w="0" w:type="dxa"/>
              <w:right w:w="108" w:type="dxa"/>
            </w:tcMar>
          </w:tcPr>
          <w:p w14:paraId="3E8570E5" w14:textId="63A65241" w:rsidR="0016462F" w:rsidRPr="00756410" w:rsidRDefault="0016462F" w:rsidP="00CF32EB">
            <w:pPr>
              <w:spacing w:after="0" w:line="240" w:lineRule="auto"/>
              <w:rPr>
                <w:rFonts w:cstheme="minorHAnsi"/>
                <w:sz w:val="20"/>
                <w:szCs w:val="20"/>
                <w:highlight w:val="yellow"/>
                <w:lang w:val="es-419"/>
              </w:rPr>
            </w:pPr>
            <w:r w:rsidRPr="00756410">
              <w:rPr>
                <w:rFonts w:cstheme="minorHAnsi"/>
                <w:sz w:val="20"/>
                <w:szCs w:val="20"/>
                <w:lang w:val="es-419"/>
              </w:rPr>
              <w:t>Enviar al ciclo de pago</w:t>
            </w:r>
          </w:p>
        </w:tc>
        <w:tc>
          <w:tcPr>
            <w:tcW w:w="2880" w:type="dxa"/>
            <w:shd w:val="clear" w:color="auto" w:fill="FFFFFF" w:themeFill="background1"/>
            <w:tcMar>
              <w:top w:w="0" w:type="dxa"/>
              <w:left w:w="108" w:type="dxa"/>
              <w:bottom w:w="0" w:type="dxa"/>
              <w:right w:w="108" w:type="dxa"/>
            </w:tcMar>
          </w:tcPr>
          <w:p w14:paraId="4A39C864" w14:textId="77777777" w:rsidR="00B44BB3" w:rsidRPr="00D2258D" w:rsidRDefault="00B44BB3" w:rsidP="00CF32EB">
            <w:pPr>
              <w:spacing w:after="0" w:line="240" w:lineRule="auto"/>
              <w:rPr>
                <w:rFonts w:cstheme="minorHAnsi"/>
                <w:sz w:val="20"/>
                <w:szCs w:val="20"/>
              </w:rPr>
            </w:pPr>
            <w:r w:rsidRPr="00D2258D">
              <w:rPr>
                <w:rFonts w:cstheme="minorHAnsi"/>
                <w:sz w:val="20"/>
                <w:szCs w:val="20"/>
              </w:rPr>
              <w:t xml:space="preserve">Frecuencia programada acordada en Quantum </w:t>
            </w:r>
          </w:p>
          <w:p w14:paraId="259A587F" w14:textId="6688B5D6" w:rsidR="0016462F" w:rsidRPr="00D2258D" w:rsidRDefault="0016462F" w:rsidP="00CF32EB">
            <w:pPr>
              <w:spacing w:after="0" w:line="240" w:lineRule="auto"/>
              <w:rPr>
                <w:rFonts w:cstheme="minorHAnsi"/>
                <w:sz w:val="20"/>
                <w:szCs w:val="20"/>
                <w:highlight w:val="yellow"/>
              </w:rPr>
            </w:pPr>
          </w:p>
        </w:tc>
        <w:tc>
          <w:tcPr>
            <w:tcW w:w="4230" w:type="dxa"/>
            <w:shd w:val="clear" w:color="auto" w:fill="FFFFFF" w:themeFill="background1"/>
          </w:tcPr>
          <w:p w14:paraId="2D41B650" w14:textId="1620D168" w:rsidR="0016462F" w:rsidRPr="00756410" w:rsidRDefault="00B44BB3" w:rsidP="00CF32EB">
            <w:pPr>
              <w:spacing w:after="0" w:line="240" w:lineRule="auto"/>
              <w:rPr>
                <w:rFonts w:cstheme="minorHAnsi"/>
                <w:sz w:val="20"/>
                <w:szCs w:val="20"/>
                <w:highlight w:val="yellow"/>
                <w:lang w:val="es-419"/>
              </w:rPr>
            </w:pPr>
            <w:r w:rsidRPr="00756410">
              <w:rPr>
                <w:rStyle w:val="cf01"/>
                <w:rFonts w:asciiTheme="minorHAnsi" w:hAnsiTheme="minorHAnsi" w:cstheme="minorHAnsi"/>
                <w:sz w:val="20"/>
                <w:szCs w:val="20"/>
                <w:lang w:val="es-419"/>
              </w:rPr>
              <w:t>El ciclo de pago está programado para ejecutarse diariamente o en días específicos según lo acordado entre BMS / GSSC y la oficina / unidad correspondiente. Recoge todas las facturas aprobadas con un grupo de pago válido y sin retenciones manuales.</w:t>
            </w:r>
          </w:p>
        </w:tc>
      </w:tr>
      <w:tr w:rsidR="005D6B59" w:rsidRPr="00773863" w14:paraId="34A9284A" w14:textId="77777777" w:rsidTr="24F5DBB9">
        <w:trPr>
          <w:trHeight w:val="20"/>
        </w:trPr>
        <w:tc>
          <w:tcPr>
            <w:tcW w:w="355" w:type="dxa"/>
            <w:shd w:val="clear" w:color="auto" w:fill="FFFFFF" w:themeFill="background1"/>
          </w:tcPr>
          <w:p w14:paraId="750F6034" w14:textId="62FA7AA8" w:rsidR="0016462F" w:rsidRPr="00D2258D" w:rsidRDefault="00B44BB3" w:rsidP="00CF32EB">
            <w:pPr>
              <w:spacing w:after="0" w:line="240" w:lineRule="auto"/>
              <w:rPr>
                <w:rFonts w:cstheme="minorHAnsi"/>
                <w:sz w:val="20"/>
                <w:szCs w:val="20"/>
              </w:rPr>
            </w:pPr>
            <w:r w:rsidRPr="00D2258D">
              <w:rPr>
                <w:rFonts w:cstheme="minorHAnsi"/>
                <w:sz w:val="20"/>
                <w:szCs w:val="20"/>
              </w:rPr>
              <w:t>19</w:t>
            </w:r>
          </w:p>
        </w:tc>
        <w:tc>
          <w:tcPr>
            <w:tcW w:w="2525" w:type="dxa"/>
            <w:shd w:val="clear" w:color="auto" w:fill="FFFFFF" w:themeFill="background1"/>
            <w:tcMar>
              <w:top w:w="0" w:type="dxa"/>
              <w:left w:w="108" w:type="dxa"/>
              <w:bottom w:w="0" w:type="dxa"/>
              <w:right w:w="108" w:type="dxa"/>
            </w:tcMar>
          </w:tcPr>
          <w:p w14:paraId="69EAACF7" w14:textId="0AD36E44" w:rsidR="0016462F" w:rsidRPr="00756410" w:rsidRDefault="0016462F" w:rsidP="00CF32EB">
            <w:pPr>
              <w:spacing w:after="0" w:line="240" w:lineRule="auto"/>
              <w:rPr>
                <w:rFonts w:cstheme="minorHAnsi"/>
                <w:sz w:val="20"/>
                <w:szCs w:val="20"/>
                <w:highlight w:val="yellow"/>
                <w:lang w:val="es-419"/>
              </w:rPr>
            </w:pPr>
            <w:r w:rsidRPr="00756410">
              <w:rPr>
                <w:sz w:val="20"/>
                <w:szCs w:val="20"/>
                <w:lang w:val="es-419"/>
              </w:rPr>
              <w:t xml:space="preserve">Autorizar los desembolsos pendientes después de </w:t>
            </w:r>
            <w:r w:rsidRPr="00756410">
              <w:rPr>
                <w:sz w:val="20"/>
                <w:szCs w:val="20"/>
                <w:lang w:val="es-419"/>
              </w:rPr>
              <w:lastRenderedPageBreak/>
              <w:t>garantizar la integridad y precisión.</w:t>
            </w:r>
          </w:p>
        </w:tc>
        <w:tc>
          <w:tcPr>
            <w:tcW w:w="2880" w:type="dxa"/>
            <w:shd w:val="clear" w:color="auto" w:fill="FFFFFF" w:themeFill="background1"/>
            <w:tcMar>
              <w:top w:w="0" w:type="dxa"/>
              <w:left w:w="108" w:type="dxa"/>
              <w:bottom w:w="0" w:type="dxa"/>
              <w:right w:w="108" w:type="dxa"/>
            </w:tcMar>
          </w:tcPr>
          <w:p w14:paraId="1CCFD0C7" w14:textId="6C1FAE2A" w:rsidR="0016462F" w:rsidRPr="00756410" w:rsidRDefault="0016462F" w:rsidP="6F01CB0F">
            <w:pPr>
              <w:spacing w:after="0" w:line="240" w:lineRule="auto"/>
              <w:rPr>
                <w:sz w:val="20"/>
                <w:szCs w:val="20"/>
                <w:lang w:val="es-419"/>
              </w:rPr>
            </w:pPr>
            <w:r w:rsidRPr="00756410">
              <w:rPr>
                <w:sz w:val="20"/>
                <w:szCs w:val="20"/>
                <w:lang w:val="es-419"/>
              </w:rPr>
              <w:lastRenderedPageBreak/>
              <w:t>BMS/GSSC (para oficinas con procesos agrupados</w:t>
            </w:r>
            <w:r w:rsidR="00AE71AC" w:rsidRPr="00756410">
              <w:rPr>
                <w:sz w:val="20"/>
                <w:szCs w:val="20"/>
                <w:lang w:val="es-419"/>
              </w:rPr>
              <w:t xml:space="preserve"> </w:t>
            </w:r>
            <w:r w:rsidR="00AE71AC" w:rsidRPr="00756410">
              <w:rPr>
                <w:sz w:val="20"/>
                <w:szCs w:val="20"/>
                <w:lang w:val="es-ES"/>
              </w:rPr>
              <w:t>[</w:t>
            </w:r>
            <w:r w:rsidR="00AE71AC" w:rsidRPr="00756410">
              <w:rPr>
                <w:i/>
                <w:iCs/>
                <w:sz w:val="20"/>
                <w:szCs w:val="20"/>
                <w:lang w:val="es-ES"/>
              </w:rPr>
              <w:t>clustered</w:t>
            </w:r>
            <w:r w:rsidR="00AE71AC" w:rsidRPr="00756410">
              <w:rPr>
                <w:sz w:val="20"/>
                <w:szCs w:val="20"/>
                <w:lang w:val="es-ES"/>
              </w:rPr>
              <w:t>]</w:t>
            </w:r>
            <w:r w:rsidRPr="00756410">
              <w:rPr>
                <w:sz w:val="20"/>
                <w:szCs w:val="20"/>
                <w:lang w:val="es-419"/>
              </w:rPr>
              <w:t xml:space="preserve">) o BMS/OFRM/Tesorería (para </w:t>
            </w:r>
            <w:r w:rsidRPr="00756410">
              <w:rPr>
                <w:sz w:val="20"/>
                <w:szCs w:val="20"/>
                <w:lang w:val="es-419"/>
              </w:rPr>
              <w:lastRenderedPageBreak/>
              <w:t xml:space="preserve">oficinas/unidades </w:t>
            </w:r>
            <w:r w:rsidR="36DD210B" w:rsidRPr="24F5DBB9">
              <w:rPr>
                <w:sz w:val="20"/>
                <w:szCs w:val="20"/>
                <w:lang w:val="es-419"/>
              </w:rPr>
              <w:t xml:space="preserve">centrales </w:t>
            </w:r>
            <w:r w:rsidRPr="00756410">
              <w:rPr>
                <w:sz w:val="20"/>
                <w:szCs w:val="20"/>
                <w:lang w:val="es-419"/>
              </w:rPr>
              <w:t xml:space="preserve">de la Sede y </w:t>
            </w:r>
            <w:r w:rsidR="36DD210B" w:rsidRPr="24F5DBB9">
              <w:rPr>
                <w:sz w:val="20"/>
                <w:szCs w:val="20"/>
                <w:lang w:val="es-419"/>
              </w:rPr>
              <w:t>unidades centrales fuera</w:t>
            </w:r>
            <w:r w:rsidR="36DD210B" w:rsidRPr="00756410">
              <w:rPr>
                <w:sz w:val="20"/>
                <w:szCs w:val="20"/>
                <w:lang w:val="es-419"/>
              </w:rPr>
              <w:t xml:space="preserve"> </w:t>
            </w:r>
            <w:r w:rsidRPr="00756410">
              <w:rPr>
                <w:sz w:val="20"/>
                <w:szCs w:val="20"/>
                <w:lang w:val="es-419"/>
              </w:rPr>
              <w:t>de la</w:t>
            </w:r>
            <w:r w:rsidR="36DD210B" w:rsidRPr="24F5DBB9">
              <w:rPr>
                <w:sz w:val="20"/>
                <w:szCs w:val="20"/>
                <w:lang w:val="es-419"/>
              </w:rPr>
              <w:t xml:space="preserve"> sede</w:t>
            </w:r>
            <w:r w:rsidRPr="00756410">
              <w:rPr>
                <w:sz w:val="20"/>
                <w:szCs w:val="20"/>
                <w:lang w:val="es-419"/>
              </w:rPr>
              <w:t>), y VNU.</w:t>
            </w:r>
          </w:p>
          <w:p w14:paraId="6AFA6628" w14:textId="77777777" w:rsidR="00C06ED7" w:rsidRPr="00756410" w:rsidRDefault="00C06ED7" w:rsidP="00C06ED7">
            <w:pPr>
              <w:rPr>
                <w:rFonts w:cstheme="minorHAnsi"/>
                <w:sz w:val="20"/>
                <w:szCs w:val="20"/>
                <w:highlight w:val="yellow"/>
                <w:lang w:val="es-419"/>
              </w:rPr>
            </w:pPr>
          </w:p>
        </w:tc>
        <w:tc>
          <w:tcPr>
            <w:tcW w:w="4230" w:type="dxa"/>
            <w:shd w:val="clear" w:color="auto" w:fill="FFFFFF" w:themeFill="background1"/>
          </w:tcPr>
          <w:p w14:paraId="232DF1FC" w14:textId="16698296" w:rsidR="0016462F" w:rsidRPr="00756410" w:rsidRDefault="0016462F" w:rsidP="00CF32EB">
            <w:pPr>
              <w:spacing w:after="0" w:line="240" w:lineRule="auto"/>
              <w:rPr>
                <w:rFonts w:cstheme="minorHAnsi"/>
                <w:sz w:val="20"/>
                <w:szCs w:val="20"/>
                <w:highlight w:val="yellow"/>
                <w:lang w:val="es-419"/>
              </w:rPr>
            </w:pPr>
            <w:r w:rsidRPr="00756410">
              <w:rPr>
                <w:sz w:val="20"/>
                <w:szCs w:val="20"/>
                <w:lang w:val="es-419"/>
              </w:rPr>
              <w:lastRenderedPageBreak/>
              <w:t xml:space="preserve">Cumplir con las funciones de 'Oficial de Desembolso – Parte A'. BMS/GSSC revisa los pagos contra los documentos de respaldo y la </w:t>
            </w:r>
            <w:r w:rsidRPr="00756410">
              <w:rPr>
                <w:sz w:val="20"/>
                <w:szCs w:val="20"/>
                <w:lang w:val="es-419"/>
              </w:rPr>
              <w:lastRenderedPageBreak/>
              <w:t xml:space="preserve">información </w:t>
            </w:r>
            <w:r w:rsidR="004D4BAA">
              <w:rPr>
                <w:sz w:val="20"/>
                <w:szCs w:val="20"/>
                <w:lang w:val="es-419"/>
              </w:rPr>
              <w:t>en Quantum</w:t>
            </w:r>
            <w:r w:rsidR="004D4BAA" w:rsidRPr="00756410">
              <w:rPr>
                <w:sz w:val="20"/>
                <w:szCs w:val="20"/>
                <w:lang w:val="es-419"/>
              </w:rPr>
              <w:t xml:space="preserve"> </w:t>
            </w:r>
            <w:r w:rsidRPr="00756410">
              <w:rPr>
                <w:sz w:val="20"/>
                <w:szCs w:val="20"/>
                <w:lang w:val="es-419"/>
              </w:rPr>
              <w:t>(beneficiario, información bancaria, monto); ejecuta PPR; verifica la disponibilidad de fondos; aprueba PPR; carga archivos de pago en el portal en línea de los bancos, dependiendo de las regulaciones bancarias en línea del país.</w:t>
            </w:r>
          </w:p>
        </w:tc>
      </w:tr>
      <w:tr w:rsidR="005D6B59" w:rsidRPr="00773863" w14:paraId="60339546" w14:textId="77777777" w:rsidTr="24F5DBB9">
        <w:trPr>
          <w:trHeight w:val="20"/>
        </w:trPr>
        <w:tc>
          <w:tcPr>
            <w:tcW w:w="355" w:type="dxa"/>
            <w:shd w:val="clear" w:color="auto" w:fill="FFFFFF" w:themeFill="background1"/>
          </w:tcPr>
          <w:p w14:paraId="587B6D42" w14:textId="1AC218B0" w:rsidR="0016462F" w:rsidRPr="00D2258D" w:rsidRDefault="00B44BB3" w:rsidP="00491939">
            <w:pPr>
              <w:spacing w:after="0" w:line="240" w:lineRule="auto"/>
              <w:rPr>
                <w:rFonts w:cstheme="minorHAnsi"/>
                <w:sz w:val="20"/>
                <w:szCs w:val="20"/>
              </w:rPr>
            </w:pPr>
            <w:r w:rsidRPr="00D2258D">
              <w:rPr>
                <w:rFonts w:cstheme="minorHAnsi"/>
                <w:sz w:val="20"/>
                <w:szCs w:val="20"/>
              </w:rPr>
              <w:lastRenderedPageBreak/>
              <w:t>20</w:t>
            </w:r>
          </w:p>
        </w:tc>
        <w:tc>
          <w:tcPr>
            <w:tcW w:w="2525" w:type="dxa"/>
            <w:shd w:val="clear" w:color="auto" w:fill="FFFFFF" w:themeFill="background1"/>
            <w:tcMar>
              <w:top w:w="0" w:type="dxa"/>
              <w:left w:w="108" w:type="dxa"/>
              <w:bottom w:w="0" w:type="dxa"/>
              <w:right w:w="108" w:type="dxa"/>
            </w:tcMar>
          </w:tcPr>
          <w:p w14:paraId="121B56AB" w14:textId="4AD7B698" w:rsidR="0016462F" w:rsidRPr="00756410" w:rsidRDefault="0016462F" w:rsidP="00491939">
            <w:pPr>
              <w:spacing w:after="0"/>
              <w:rPr>
                <w:sz w:val="20"/>
                <w:szCs w:val="20"/>
                <w:lang w:val="es-419"/>
              </w:rPr>
            </w:pPr>
            <w:r w:rsidRPr="00756410">
              <w:rPr>
                <w:sz w:val="20"/>
                <w:szCs w:val="20"/>
                <w:lang w:val="es-419"/>
              </w:rPr>
              <w:t>Desempeñar el papel de signatario bancario para las cuentas bancarias locales en función de los archivos de pago</w:t>
            </w:r>
            <w:r w:rsidR="003E21F0" w:rsidRPr="00D2258D">
              <w:rPr>
                <w:rStyle w:val="FootnoteReference"/>
                <w:sz w:val="20"/>
                <w:szCs w:val="20"/>
              </w:rPr>
              <w:footnoteReference w:id="47"/>
            </w:r>
            <w:r w:rsidRPr="00756410">
              <w:rPr>
                <w:sz w:val="20"/>
                <w:szCs w:val="20"/>
                <w:lang w:val="es-419"/>
              </w:rPr>
              <w:t xml:space="preserve"> preparados y cargados por BMS/GSSC</w:t>
            </w:r>
          </w:p>
        </w:tc>
        <w:tc>
          <w:tcPr>
            <w:tcW w:w="2880" w:type="dxa"/>
            <w:shd w:val="clear" w:color="auto" w:fill="FFFFFF" w:themeFill="background1"/>
            <w:tcMar>
              <w:top w:w="0" w:type="dxa"/>
              <w:left w:w="108" w:type="dxa"/>
              <w:bottom w:w="0" w:type="dxa"/>
              <w:right w:w="108" w:type="dxa"/>
            </w:tcMar>
          </w:tcPr>
          <w:p w14:paraId="3DD8A1DB" w14:textId="7DA879B9" w:rsidR="0016462F" w:rsidRPr="00756410" w:rsidRDefault="00321B8D" w:rsidP="00491939">
            <w:pPr>
              <w:spacing w:after="0" w:line="240" w:lineRule="auto"/>
              <w:rPr>
                <w:rFonts w:cstheme="minorHAnsi"/>
                <w:sz w:val="20"/>
                <w:szCs w:val="20"/>
                <w:highlight w:val="yellow"/>
                <w:lang w:val="es-419"/>
              </w:rPr>
            </w:pPr>
            <w:r w:rsidRPr="00756410">
              <w:rPr>
                <w:rFonts w:cstheme="minorHAnsi"/>
                <w:sz w:val="20"/>
                <w:szCs w:val="20"/>
                <w:lang w:val="es-419"/>
              </w:rPr>
              <w:t xml:space="preserve">Signatarios bancarios en </w:t>
            </w:r>
            <w:r w:rsidR="00DB0F51" w:rsidRPr="00DB0F51">
              <w:rPr>
                <w:rFonts w:cstheme="minorHAnsi"/>
                <w:sz w:val="20"/>
                <w:szCs w:val="20"/>
                <w:lang w:val="es-419"/>
              </w:rPr>
              <w:t>oficina de país</w:t>
            </w:r>
            <w:r w:rsidRPr="00756410">
              <w:rPr>
                <w:rFonts w:cstheme="minorHAnsi"/>
                <w:sz w:val="20"/>
                <w:szCs w:val="20"/>
                <w:lang w:val="es-419"/>
              </w:rPr>
              <w:t xml:space="preserve"> y </w:t>
            </w:r>
            <w:r w:rsidR="009670EC">
              <w:rPr>
                <w:rFonts w:cstheme="minorHAnsi"/>
                <w:sz w:val="20"/>
                <w:szCs w:val="20"/>
                <w:lang w:val="es-419"/>
              </w:rPr>
              <w:t xml:space="preserve">en </w:t>
            </w:r>
            <w:r w:rsidR="0062733C" w:rsidRPr="3937432E">
              <w:rPr>
                <w:sz w:val="20"/>
                <w:szCs w:val="20"/>
                <w:lang w:val="es-419"/>
              </w:rPr>
              <w:t>unidades de la sede fuera de Nueva York</w:t>
            </w:r>
            <w:r w:rsidR="0062733C">
              <w:rPr>
                <w:rFonts w:cstheme="minorHAnsi"/>
                <w:sz w:val="20"/>
                <w:szCs w:val="20"/>
                <w:lang w:val="es-419"/>
              </w:rPr>
              <w:t xml:space="preserve"> </w:t>
            </w:r>
            <w:r w:rsidR="009670EC">
              <w:rPr>
                <w:rFonts w:cstheme="minorHAnsi"/>
                <w:sz w:val="20"/>
                <w:szCs w:val="20"/>
                <w:lang w:val="es-419"/>
              </w:rPr>
              <w:t>(</w:t>
            </w:r>
            <w:r w:rsidR="008743C9">
              <w:rPr>
                <w:rFonts w:cstheme="minorHAnsi"/>
                <w:sz w:val="20"/>
                <w:szCs w:val="20"/>
                <w:lang w:val="es-419"/>
              </w:rPr>
              <w:t>“</w:t>
            </w:r>
            <w:r w:rsidR="004C592E" w:rsidRPr="00756410">
              <w:rPr>
                <w:rFonts w:cstheme="minorHAnsi"/>
                <w:i/>
                <w:iCs/>
                <w:sz w:val="20"/>
                <w:szCs w:val="20"/>
                <w:lang w:val="es-419"/>
              </w:rPr>
              <w:t>O</w:t>
            </w:r>
            <w:r w:rsidR="008743C9" w:rsidRPr="00756410">
              <w:rPr>
                <w:rFonts w:cstheme="minorHAnsi"/>
                <w:i/>
                <w:iCs/>
                <w:sz w:val="20"/>
                <w:szCs w:val="20"/>
                <w:lang w:val="es-419"/>
              </w:rPr>
              <w:t>utposted HQ locations</w:t>
            </w:r>
            <w:r w:rsidR="008743C9">
              <w:rPr>
                <w:rFonts w:cstheme="minorHAnsi"/>
                <w:sz w:val="20"/>
                <w:szCs w:val="20"/>
                <w:lang w:val="es-419"/>
              </w:rPr>
              <w:t>”)</w:t>
            </w:r>
          </w:p>
        </w:tc>
        <w:tc>
          <w:tcPr>
            <w:tcW w:w="4230" w:type="dxa"/>
            <w:shd w:val="clear" w:color="auto" w:fill="FFFFFF" w:themeFill="background1"/>
          </w:tcPr>
          <w:p w14:paraId="3AC63031" w14:textId="4352B8F9" w:rsidR="0016462F" w:rsidRPr="00756410" w:rsidRDefault="0016462F" w:rsidP="00491939">
            <w:pPr>
              <w:spacing w:after="0" w:line="240" w:lineRule="auto"/>
              <w:rPr>
                <w:rFonts w:cstheme="minorHAnsi"/>
                <w:sz w:val="20"/>
                <w:szCs w:val="20"/>
                <w:highlight w:val="yellow"/>
                <w:lang w:val="es-419"/>
              </w:rPr>
            </w:pPr>
            <w:r w:rsidRPr="00756410">
              <w:rPr>
                <w:sz w:val="20"/>
                <w:szCs w:val="20"/>
                <w:lang w:val="es-419"/>
              </w:rPr>
              <w:t xml:space="preserve">Cumplir con las funciones de 'Oficial de Desembolso – Parte B'. </w:t>
            </w:r>
            <w:r w:rsidR="00DB0F51">
              <w:rPr>
                <w:sz w:val="20"/>
                <w:szCs w:val="20"/>
                <w:lang w:val="es-419"/>
              </w:rPr>
              <w:t xml:space="preserve">La </w:t>
            </w:r>
            <w:r w:rsidR="00DB0F51" w:rsidRPr="00DB0F51">
              <w:rPr>
                <w:sz w:val="20"/>
                <w:szCs w:val="20"/>
                <w:lang w:val="es-419"/>
              </w:rPr>
              <w:t>oficina de país</w:t>
            </w:r>
            <w:r w:rsidR="00DB0F51" w:rsidRPr="00756410">
              <w:rPr>
                <w:sz w:val="20"/>
                <w:szCs w:val="20"/>
                <w:lang w:val="es-419"/>
              </w:rPr>
              <w:t xml:space="preserve"> </w:t>
            </w:r>
            <w:r w:rsidRPr="00756410">
              <w:rPr>
                <w:sz w:val="20"/>
                <w:szCs w:val="20"/>
                <w:lang w:val="es-419"/>
              </w:rPr>
              <w:t>revisa y firma cheques; revisa y firma la carta de transmisión al banco para las interfaces EFT locales; y/o aprueba electrónicamente el pago a través del software del banco local.</w:t>
            </w:r>
          </w:p>
        </w:tc>
      </w:tr>
    </w:tbl>
    <w:p w14:paraId="35F29797" w14:textId="77777777" w:rsidR="0016462F" w:rsidRPr="00756410" w:rsidRDefault="0016462F" w:rsidP="0016462F">
      <w:pPr>
        <w:rPr>
          <w:sz w:val="8"/>
          <w:szCs w:val="8"/>
          <w:lang w:val="es-419"/>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075"/>
        <w:gridCol w:w="3330"/>
        <w:gridCol w:w="4230"/>
      </w:tblGrid>
      <w:tr w:rsidR="005D6B59" w:rsidRPr="00EF3982" w14:paraId="5A0737C6" w14:textId="77777777" w:rsidTr="363CA695">
        <w:trPr>
          <w:trHeight w:val="20"/>
          <w:tblHeader/>
        </w:trPr>
        <w:tc>
          <w:tcPr>
            <w:tcW w:w="355" w:type="dxa"/>
            <w:shd w:val="clear" w:color="auto" w:fill="002060"/>
          </w:tcPr>
          <w:p w14:paraId="36AE4AAE"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w:t>
            </w:r>
          </w:p>
        </w:tc>
        <w:tc>
          <w:tcPr>
            <w:tcW w:w="2075" w:type="dxa"/>
            <w:shd w:val="clear" w:color="auto" w:fill="002060"/>
            <w:tcMar>
              <w:top w:w="0" w:type="dxa"/>
              <w:left w:w="108" w:type="dxa"/>
              <w:bottom w:w="0" w:type="dxa"/>
              <w:right w:w="108" w:type="dxa"/>
            </w:tcMar>
          </w:tcPr>
          <w:p w14:paraId="5773D258"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Paso de adquisición y pago</w:t>
            </w:r>
          </w:p>
        </w:tc>
        <w:tc>
          <w:tcPr>
            <w:tcW w:w="3330" w:type="dxa"/>
            <w:shd w:val="clear" w:color="auto" w:fill="002060"/>
            <w:tcMar>
              <w:top w:w="0" w:type="dxa"/>
              <w:left w:w="108" w:type="dxa"/>
              <w:bottom w:w="0" w:type="dxa"/>
              <w:right w:w="108" w:type="dxa"/>
            </w:tcMar>
          </w:tcPr>
          <w:p w14:paraId="115971B5" w14:textId="751CE77E" w:rsidR="0016462F" w:rsidRPr="00756410" w:rsidRDefault="0016462F" w:rsidP="363CA695">
            <w:pPr>
              <w:spacing w:after="0" w:line="240" w:lineRule="auto"/>
              <w:rPr>
                <w:b/>
                <w:sz w:val="20"/>
                <w:szCs w:val="20"/>
                <w:lang w:val="es-419"/>
              </w:rPr>
            </w:pPr>
            <w:r w:rsidRPr="00756410">
              <w:rPr>
                <w:b/>
                <w:sz w:val="20"/>
                <w:szCs w:val="20"/>
                <w:lang w:val="es-419"/>
              </w:rPr>
              <w:t>Por quién (en cada oficina/unidad, a menos que se indique)</w:t>
            </w:r>
          </w:p>
        </w:tc>
        <w:tc>
          <w:tcPr>
            <w:tcW w:w="4230" w:type="dxa"/>
            <w:shd w:val="clear" w:color="auto" w:fill="002060"/>
          </w:tcPr>
          <w:p w14:paraId="2F6BEA45"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A tener en cuenta</w:t>
            </w:r>
          </w:p>
        </w:tc>
      </w:tr>
      <w:tr w:rsidR="009613F3" w:rsidRPr="00773863" w14:paraId="5909AFEC" w14:textId="77777777" w:rsidTr="363CA695">
        <w:trPr>
          <w:trHeight w:val="20"/>
          <w:tblHeader/>
        </w:trPr>
        <w:tc>
          <w:tcPr>
            <w:tcW w:w="9990" w:type="dxa"/>
            <w:gridSpan w:val="4"/>
            <w:shd w:val="clear" w:color="auto" w:fill="B4C6E7" w:themeFill="accent1" w:themeFillTint="66"/>
          </w:tcPr>
          <w:p w14:paraId="61F3978C" w14:textId="77777777" w:rsidR="0016462F" w:rsidRPr="00756410" w:rsidRDefault="0016462F" w:rsidP="00CF32EB">
            <w:pPr>
              <w:spacing w:after="0" w:line="240" w:lineRule="auto"/>
              <w:rPr>
                <w:rFonts w:cstheme="minorHAnsi"/>
                <w:b/>
                <w:sz w:val="20"/>
                <w:szCs w:val="20"/>
                <w:lang w:val="es-419"/>
              </w:rPr>
            </w:pPr>
            <w:r w:rsidRPr="00756410">
              <w:rPr>
                <w:rFonts w:cstheme="minorHAnsi"/>
                <w:b/>
                <w:sz w:val="20"/>
                <w:szCs w:val="20"/>
                <w:lang w:val="es-419"/>
              </w:rPr>
              <w:t>Facturas no basadas en órdenes de compra</w:t>
            </w:r>
          </w:p>
        </w:tc>
      </w:tr>
      <w:tr w:rsidR="005D6B59" w:rsidRPr="00773863" w14:paraId="19C3E131" w14:textId="77777777" w:rsidTr="363CA695">
        <w:trPr>
          <w:trHeight w:val="20"/>
        </w:trPr>
        <w:tc>
          <w:tcPr>
            <w:tcW w:w="355" w:type="dxa"/>
            <w:shd w:val="clear" w:color="auto" w:fill="FFFFFF" w:themeFill="background1"/>
          </w:tcPr>
          <w:p w14:paraId="63AED7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075" w:type="dxa"/>
            <w:shd w:val="clear" w:color="auto" w:fill="FFFFFF" w:themeFill="background1"/>
            <w:tcMar>
              <w:top w:w="0" w:type="dxa"/>
              <w:left w:w="108" w:type="dxa"/>
              <w:bottom w:w="0" w:type="dxa"/>
              <w:right w:w="108" w:type="dxa"/>
            </w:tcMar>
            <w:hideMark/>
          </w:tcPr>
          <w:p w14:paraId="4586E51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Crear factura</w:t>
            </w:r>
          </w:p>
        </w:tc>
        <w:tc>
          <w:tcPr>
            <w:tcW w:w="3330" w:type="dxa"/>
            <w:shd w:val="clear" w:color="auto" w:fill="FFFFFF" w:themeFill="background1"/>
            <w:tcMar>
              <w:top w:w="0" w:type="dxa"/>
              <w:left w:w="108" w:type="dxa"/>
              <w:bottom w:w="0" w:type="dxa"/>
              <w:right w:w="108" w:type="dxa"/>
            </w:tcMar>
            <w:hideMark/>
          </w:tcPr>
          <w:p w14:paraId="630F72B4" w14:textId="77777777" w:rsidR="0016462F" w:rsidRPr="00756410" w:rsidRDefault="0016462F">
            <w:pPr>
              <w:pStyle w:val="ListParagraph"/>
              <w:numPr>
                <w:ilvl w:val="0"/>
                <w:numId w:val="29"/>
              </w:numPr>
              <w:spacing w:after="0" w:line="240" w:lineRule="auto"/>
              <w:rPr>
                <w:rFonts w:cstheme="minorHAnsi"/>
                <w:sz w:val="20"/>
                <w:szCs w:val="20"/>
                <w:lang w:val="es-419"/>
              </w:rPr>
            </w:pPr>
            <w:r w:rsidRPr="00756410">
              <w:rPr>
                <w:rFonts w:cstheme="minorHAnsi"/>
                <w:sz w:val="20"/>
                <w:szCs w:val="20"/>
                <w:lang w:val="es-419"/>
              </w:rPr>
              <w:t xml:space="preserve">Proveedor en el Portal de Proveedores </w:t>
            </w:r>
            <w:r w:rsidRPr="00756410">
              <w:rPr>
                <w:rFonts w:cstheme="minorHAnsi"/>
                <w:b/>
                <w:sz w:val="20"/>
                <w:szCs w:val="20"/>
                <w:lang w:val="es-419"/>
              </w:rPr>
              <w:t>(recomendado)</w:t>
            </w:r>
          </w:p>
          <w:p w14:paraId="62B04AF1" w14:textId="77777777" w:rsidR="0016462F" w:rsidRPr="00756410" w:rsidRDefault="0016462F">
            <w:pPr>
              <w:pStyle w:val="ListParagraph"/>
              <w:numPr>
                <w:ilvl w:val="0"/>
                <w:numId w:val="29"/>
              </w:numPr>
              <w:spacing w:after="0" w:line="240" w:lineRule="auto"/>
              <w:rPr>
                <w:rFonts w:cstheme="minorHAnsi"/>
                <w:sz w:val="20"/>
                <w:szCs w:val="20"/>
                <w:lang w:val="es-419"/>
              </w:rPr>
            </w:pPr>
            <w:r w:rsidRPr="00756410">
              <w:rPr>
                <w:rFonts w:cstheme="minorHAnsi"/>
                <w:sz w:val="20"/>
                <w:szCs w:val="20"/>
                <w:lang w:val="es-419"/>
              </w:rPr>
              <w:t xml:space="preserve">Solo si un proveedor no puede crear una factura en el Portal de Proveedores: Usuario de Finanzas </w:t>
            </w:r>
          </w:p>
        </w:tc>
        <w:tc>
          <w:tcPr>
            <w:tcW w:w="4230" w:type="dxa"/>
            <w:shd w:val="clear" w:color="auto" w:fill="FFFFFF" w:themeFill="background1"/>
          </w:tcPr>
          <w:p w14:paraId="2037DA71" w14:textId="578F1195" w:rsidR="0016462F" w:rsidRPr="00756410" w:rsidRDefault="0016462F" w:rsidP="00CF32EB">
            <w:pPr>
              <w:spacing w:after="0" w:line="240" w:lineRule="auto"/>
              <w:ind w:right="20"/>
              <w:rPr>
                <w:sz w:val="20"/>
                <w:szCs w:val="20"/>
                <w:lang w:val="es-419"/>
              </w:rPr>
            </w:pPr>
            <w:r w:rsidRPr="00756410">
              <w:rPr>
                <w:sz w:val="20"/>
                <w:szCs w:val="20"/>
                <w:lang w:val="es-419"/>
              </w:rPr>
              <w:t xml:space="preserve">Cuando se debe pagar un gran número de facturas por la misma actividad con los mismos documentos justificativos, BMS/GSSC puede crear facturas para </w:t>
            </w:r>
            <w:r w:rsidR="001E16B1">
              <w:rPr>
                <w:sz w:val="20"/>
                <w:szCs w:val="20"/>
                <w:lang w:val="es-419"/>
              </w:rPr>
              <w:t xml:space="preserve">las </w:t>
            </w:r>
            <w:r w:rsidR="001E16B1" w:rsidRPr="001E16B1">
              <w:rPr>
                <w:sz w:val="20"/>
                <w:szCs w:val="20"/>
                <w:lang w:val="es-419"/>
              </w:rPr>
              <w:t>oficina</w:t>
            </w:r>
            <w:r w:rsidR="001E16B1">
              <w:rPr>
                <w:sz w:val="20"/>
                <w:szCs w:val="20"/>
                <w:lang w:val="es-419"/>
              </w:rPr>
              <w:t>s</w:t>
            </w:r>
            <w:r w:rsidR="001E16B1" w:rsidRPr="001E16B1">
              <w:rPr>
                <w:sz w:val="20"/>
                <w:szCs w:val="20"/>
                <w:lang w:val="es-419"/>
              </w:rPr>
              <w:t xml:space="preserve"> de país</w:t>
            </w:r>
            <w:r w:rsidRPr="00756410">
              <w:rPr>
                <w:sz w:val="20"/>
                <w:szCs w:val="20"/>
                <w:lang w:val="es-419"/>
              </w:rPr>
              <w:t xml:space="preserve"> utilizando herramientas de pago masivo.</w:t>
            </w:r>
          </w:p>
        </w:tc>
      </w:tr>
      <w:tr w:rsidR="005D6B59" w:rsidRPr="00773863" w14:paraId="0DFF052E" w14:textId="77777777" w:rsidTr="363CA695">
        <w:trPr>
          <w:trHeight w:val="20"/>
        </w:trPr>
        <w:tc>
          <w:tcPr>
            <w:tcW w:w="355" w:type="dxa"/>
            <w:shd w:val="clear" w:color="auto" w:fill="FFFFFF" w:themeFill="background1"/>
          </w:tcPr>
          <w:p w14:paraId="0AA2DAD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075" w:type="dxa"/>
            <w:shd w:val="clear" w:color="auto" w:fill="FFFFFF" w:themeFill="background1"/>
            <w:tcMar>
              <w:top w:w="0" w:type="dxa"/>
              <w:left w:w="108" w:type="dxa"/>
              <w:bottom w:w="0" w:type="dxa"/>
              <w:right w:w="108" w:type="dxa"/>
            </w:tcMar>
          </w:tcPr>
          <w:p w14:paraId="24B2FD65"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Revisar/firmar factura </w:t>
            </w:r>
          </w:p>
        </w:tc>
        <w:tc>
          <w:tcPr>
            <w:tcW w:w="3330" w:type="dxa"/>
            <w:shd w:val="clear" w:color="auto" w:fill="FFFFFF" w:themeFill="background1"/>
            <w:tcMar>
              <w:top w:w="0" w:type="dxa"/>
              <w:left w:w="108" w:type="dxa"/>
              <w:bottom w:w="0" w:type="dxa"/>
              <w:right w:w="108" w:type="dxa"/>
            </w:tcMar>
          </w:tcPr>
          <w:p w14:paraId="01AFCC82" w14:textId="3AE3DB98"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Gerente de proyecto (como primera autoridad) en cada oficina/unidad</w:t>
            </w:r>
          </w:p>
        </w:tc>
        <w:tc>
          <w:tcPr>
            <w:tcW w:w="4230" w:type="dxa"/>
            <w:shd w:val="clear" w:color="auto" w:fill="FFFFFF" w:themeFill="background1"/>
          </w:tcPr>
          <w:p w14:paraId="50454F46" w14:textId="1934FE8F" w:rsidR="0016462F" w:rsidRPr="00756410" w:rsidRDefault="0016462F" w:rsidP="00CF32EB">
            <w:pPr>
              <w:spacing w:after="0" w:line="240" w:lineRule="auto"/>
              <w:ind w:right="20"/>
              <w:rPr>
                <w:rFonts w:cstheme="minorHAnsi"/>
                <w:sz w:val="20"/>
                <w:szCs w:val="20"/>
                <w:lang w:val="es-419"/>
              </w:rPr>
            </w:pPr>
            <w:r w:rsidRPr="00756410">
              <w:rPr>
                <w:rFonts w:cstheme="minorHAnsi"/>
                <w:sz w:val="20"/>
                <w:szCs w:val="20"/>
                <w:lang w:val="es-419"/>
              </w:rPr>
              <w:t>El Gerente de Proyecto debe confirmar que el compromiso es válido y que los bienes y/o servicios se recibieron antes de que el Gerente de Aprobación pueda aprobar la factura para el pago.</w:t>
            </w:r>
          </w:p>
        </w:tc>
      </w:tr>
      <w:tr w:rsidR="005D6B59" w:rsidRPr="00773863" w14:paraId="55A1A3AD" w14:textId="77777777" w:rsidTr="363CA695">
        <w:trPr>
          <w:trHeight w:val="20"/>
        </w:trPr>
        <w:tc>
          <w:tcPr>
            <w:tcW w:w="355" w:type="dxa"/>
            <w:shd w:val="clear" w:color="auto" w:fill="FFFFFF" w:themeFill="background1"/>
          </w:tcPr>
          <w:p w14:paraId="0B766A8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075" w:type="dxa"/>
            <w:shd w:val="clear" w:color="auto" w:fill="FFFFFF" w:themeFill="background1"/>
            <w:tcMar>
              <w:top w:w="0" w:type="dxa"/>
              <w:left w:w="108" w:type="dxa"/>
              <w:bottom w:w="0" w:type="dxa"/>
              <w:right w:w="108" w:type="dxa"/>
            </w:tcMar>
          </w:tcPr>
          <w:p w14:paraId="58E1E5C8" w14:textId="77777777" w:rsidR="0016462F" w:rsidRPr="00D2258D" w:rsidRDefault="0016462F" w:rsidP="00CF32EB">
            <w:pPr>
              <w:spacing w:after="0" w:line="240" w:lineRule="auto"/>
              <w:rPr>
                <w:sz w:val="20"/>
                <w:szCs w:val="20"/>
              </w:rPr>
            </w:pPr>
            <w:r w:rsidRPr="00D2258D">
              <w:rPr>
                <w:sz w:val="20"/>
                <w:szCs w:val="20"/>
              </w:rPr>
              <w:t>Verificar factura, completar COA</w:t>
            </w:r>
          </w:p>
        </w:tc>
        <w:tc>
          <w:tcPr>
            <w:tcW w:w="3330" w:type="dxa"/>
            <w:shd w:val="clear" w:color="auto" w:fill="FFFFFF" w:themeFill="background1"/>
            <w:tcMar>
              <w:top w:w="0" w:type="dxa"/>
              <w:left w:w="108" w:type="dxa"/>
              <w:bottom w:w="0" w:type="dxa"/>
              <w:right w:w="108" w:type="dxa"/>
            </w:tcMar>
          </w:tcPr>
          <w:p w14:paraId="6D390597" w14:textId="52D6D04C"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Usuario de finanzas en cada oficina/unidad</w:t>
            </w:r>
          </w:p>
        </w:tc>
        <w:tc>
          <w:tcPr>
            <w:tcW w:w="4230" w:type="dxa"/>
            <w:shd w:val="clear" w:color="auto" w:fill="FFFFFF" w:themeFill="background1"/>
          </w:tcPr>
          <w:p w14:paraId="3F986D30" w14:textId="527EE639" w:rsidR="0016462F" w:rsidRPr="00756410" w:rsidRDefault="0016462F" w:rsidP="363CA695">
            <w:pPr>
              <w:spacing w:after="0" w:line="240" w:lineRule="auto"/>
              <w:ind w:right="20"/>
              <w:rPr>
                <w:sz w:val="20"/>
                <w:szCs w:val="20"/>
                <w:lang w:val="es-419"/>
              </w:rPr>
            </w:pPr>
            <w:r w:rsidRPr="00756410">
              <w:rPr>
                <w:sz w:val="20"/>
                <w:szCs w:val="20"/>
                <w:lang w:val="es-419"/>
              </w:rPr>
              <w:t>Este paso se realiza automáticamente si el proveedor envió la factura a través del Portal de proveedores.</w:t>
            </w:r>
          </w:p>
        </w:tc>
      </w:tr>
      <w:tr w:rsidR="005D6B59" w:rsidRPr="00773863" w14:paraId="44B5178F" w14:textId="77777777" w:rsidTr="363CA695">
        <w:trPr>
          <w:trHeight w:val="20"/>
        </w:trPr>
        <w:tc>
          <w:tcPr>
            <w:tcW w:w="355" w:type="dxa"/>
            <w:shd w:val="clear" w:color="auto" w:fill="FFFFFF" w:themeFill="background1"/>
          </w:tcPr>
          <w:p w14:paraId="35110A8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075" w:type="dxa"/>
            <w:shd w:val="clear" w:color="auto" w:fill="FFFFFF" w:themeFill="background1"/>
            <w:tcMar>
              <w:top w:w="0" w:type="dxa"/>
              <w:left w:w="108" w:type="dxa"/>
              <w:bottom w:w="0" w:type="dxa"/>
              <w:right w:w="108" w:type="dxa"/>
            </w:tcMar>
          </w:tcPr>
          <w:p w14:paraId="69CCA47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Validar verificación de fondos</w:t>
            </w:r>
          </w:p>
        </w:tc>
        <w:tc>
          <w:tcPr>
            <w:tcW w:w="3330" w:type="dxa"/>
            <w:shd w:val="clear" w:color="auto" w:fill="FFFFFF" w:themeFill="background1"/>
            <w:tcMar>
              <w:top w:w="0" w:type="dxa"/>
              <w:left w:w="108" w:type="dxa"/>
              <w:bottom w:w="0" w:type="dxa"/>
              <w:right w:w="108" w:type="dxa"/>
            </w:tcMar>
          </w:tcPr>
          <w:p w14:paraId="6ACF675D" w14:textId="26E079C3"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Usuario de finanzas en cada oficina/unidad</w:t>
            </w:r>
          </w:p>
        </w:tc>
        <w:tc>
          <w:tcPr>
            <w:tcW w:w="4230" w:type="dxa"/>
            <w:shd w:val="clear" w:color="auto" w:fill="FFFFFF" w:themeFill="background1"/>
          </w:tcPr>
          <w:p w14:paraId="31BD42B6" w14:textId="1C4FF4E9" w:rsidR="0016462F" w:rsidRPr="00756410" w:rsidRDefault="0016462F" w:rsidP="00CF32EB">
            <w:pPr>
              <w:spacing w:after="0" w:line="240" w:lineRule="auto"/>
              <w:ind w:right="20"/>
              <w:rPr>
                <w:rFonts w:cstheme="minorHAnsi"/>
                <w:sz w:val="20"/>
                <w:szCs w:val="20"/>
                <w:lang w:val="es-419"/>
              </w:rPr>
            </w:pPr>
            <w:r w:rsidRPr="00756410">
              <w:rPr>
                <w:rFonts w:cstheme="minorHAnsi"/>
                <w:sz w:val="20"/>
                <w:szCs w:val="20"/>
                <w:lang w:val="es-419"/>
              </w:rPr>
              <w:t xml:space="preserve">Si se utiliza la herramienta de pago masivo, Quantum realiza este paso automáticamente cuando BMS/GSSC carga la plantilla de pago masivo en Quantum. </w:t>
            </w:r>
          </w:p>
        </w:tc>
      </w:tr>
      <w:tr w:rsidR="005D6B59" w:rsidRPr="00773863" w14:paraId="3318F5B5" w14:textId="77777777" w:rsidTr="363CA695">
        <w:trPr>
          <w:trHeight w:val="20"/>
        </w:trPr>
        <w:tc>
          <w:tcPr>
            <w:tcW w:w="355" w:type="dxa"/>
            <w:shd w:val="clear" w:color="auto" w:fill="FFFFFF" w:themeFill="background1"/>
          </w:tcPr>
          <w:p w14:paraId="7255A1D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075" w:type="dxa"/>
            <w:shd w:val="clear" w:color="auto" w:fill="FFFFFF" w:themeFill="background1"/>
            <w:tcMar>
              <w:top w:w="0" w:type="dxa"/>
              <w:left w:w="108" w:type="dxa"/>
              <w:bottom w:w="0" w:type="dxa"/>
              <w:right w:w="108" w:type="dxa"/>
            </w:tcMar>
          </w:tcPr>
          <w:p w14:paraId="5A2D92BC" w14:textId="77777777" w:rsidR="0016462F" w:rsidRPr="00D2258D" w:rsidRDefault="0016462F" w:rsidP="00CF32EB">
            <w:pPr>
              <w:spacing w:after="0" w:line="240" w:lineRule="auto"/>
              <w:rPr>
                <w:sz w:val="20"/>
                <w:szCs w:val="20"/>
              </w:rPr>
            </w:pPr>
            <w:r w:rsidRPr="00D2258D">
              <w:rPr>
                <w:sz w:val="20"/>
                <w:szCs w:val="20"/>
              </w:rPr>
              <w:t>Resolver errores de validación</w:t>
            </w:r>
          </w:p>
        </w:tc>
        <w:tc>
          <w:tcPr>
            <w:tcW w:w="3330" w:type="dxa"/>
            <w:shd w:val="clear" w:color="auto" w:fill="FFFFFF" w:themeFill="background1"/>
            <w:tcMar>
              <w:top w:w="0" w:type="dxa"/>
              <w:left w:w="108" w:type="dxa"/>
              <w:bottom w:w="0" w:type="dxa"/>
              <w:right w:w="108" w:type="dxa"/>
            </w:tcMar>
          </w:tcPr>
          <w:p w14:paraId="21631EF9" w14:textId="1D316D7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Usuario de Finanzas, con Gerente de Proyecto, según sea necesario en cada oficina/unidad</w:t>
            </w:r>
          </w:p>
        </w:tc>
        <w:tc>
          <w:tcPr>
            <w:tcW w:w="4230" w:type="dxa"/>
            <w:shd w:val="clear" w:color="auto" w:fill="FFFFFF" w:themeFill="background1"/>
          </w:tcPr>
          <w:p w14:paraId="72A806C7" w14:textId="77777777" w:rsidR="0016462F" w:rsidRPr="00756410" w:rsidRDefault="0016462F" w:rsidP="00CF32EB">
            <w:pPr>
              <w:spacing w:after="0" w:line="240" w:lineRule="auto"/>
              <w:ind w:right="20"/>
              <w:rPr>
                <w:rFonts w:cstheme="minorHAnsi"/>
                <w:sz w:val="20"/>
                <w:szCs w:val="20"/>
                <w:lang w:val="es-419"/>
              </w:rPr>
            </w:pPr>
            <w:r w:rsidRPr="00756410">
              <w:rPr>
                <w:sz w:val="20"/>
                <w:szCs w:val="20"/>
                <w:lang w:val="es-419"/>
              </w:rPr>
              <w:t>Entrada y presupuesto correctos, según sea necesario.</w:t>
            </w:r>
          </w:p>
        </w:tc>
      </w:tr>
      <w:tr w:rsidR="005D6B59" w:rsidRPr="00773863" w14:paraId="6A4BE36B" w14:textId="77777777" w:rsidTr="363CA695">
        <w:trPr>
          <w:trHeight w:val="20"/>
        </w:trPr>
        <w:tc>
          <w:tcPr>
            <w:tcW w:w="355" w:type="dxa"/>
            <w:shd w:val="clear" w:color="auto" w:fill="FFFFFF" w:themeFill="background1"/>
          </w:tcPr>
          <w:p w14:paraId="5F96EC8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lastRenderedPageBreak/>
              <w:t>6</w:t>
            </w:r>
          </w:p>
        </w:tc>
        <w:tc>
          <w:tcPr>
            <w:tcW w:w="2075" w:type="dxa"/>
            <w:shd w:val="clear" w:color="auto" w:fill="FFFFFF" w:themeFill="background1"/>
            <w:tcMar>
              <w:top w:w="0" w:type="dxa"/>
              <w:left w:w="108" w:type="dxa"/>
              <w:bottom w:w="0" w:type="dxa"/>
              <w:right w:w="108" w:type="dxa"/>
            </w:tcMar>
          </w:tcPr>
          <w:p w14:paraId="3BFC0334" w14:textId="77777777" w:rsidR="0016462F" w:rsidRPr="00756410" w:rsidRDefault="0016462F" w:rsidP="00CF32EB">
            <w:pPr>
              <w:spacing w:after="0" w:line="240" w:lineRule="auto"/>
              <w:rPr>
                <w:sz w:val="20"/>
                <w:szCs w:val="20"/>
                <w:lang w:val="es-419"/>
              </w:rPr>
            </w:pPr>
            <w:r w:rsidRPr="00756410">
              <w:rPr>
                <w:sz w:val="20"/>
                <w:szCs w:val="20"/>
                <w:lang w:val="es-419"/>
              </w:rPr>
              <w:t>Borrar factura sin orden de compra</w:t>
            </w:r>
          </w:p>
        </w:tc>
        <w:tc>
          <w:tcPr>
            <w:tcW w:w="3330" w:type="dxa"/>
            <w:shd w:val="clear" w:color="auto" w:fill="FFFFFF" w:themeFill="background1"/>
            <w:tcMar>
              <w:top w:w="0" w:type="dxa"/>
              <w:left w:w="108" w:type="dxa"/>
              <w:bottom w:w="0" w:type="dxa"/>
              <w:right w:w="108" w:type="dxa"/>
            </w:tcMar>
          </w:tcPr>
          <w:p w14:paraId="4E13C2C6" w14:textId="3D8282B7"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Aprobación del Gerente en cada oficina/unidad, según los umbrales de ICF</w:t>
            </w:r>
          </w:p>
        </w:tc>
        <w:tc>
          <w:tcPr>
            <w:tcW w:w="4230" w:type="dxa"/>
            <w:shd w:val="clear" w:color="auto" w:fill="FFFFFF" w:themeFill="background1"/>
          </w:tcPr>
          <w:p w14:paraId="6723FA72" w14:textId="42781A13" w:rsidR="0016462F" w:rsidRPr="00756410" w:rsidRDefault="0016462F" w:rsidP="363CA695">
            <w:pPr>
              <w:spacing w:after="0" w:line="240" w:lineRule="auto"/>
              <w:rPr>
                <w:sz w:val="20"/>
                <w:szCs w:val="20"/>
                <w:lang w:val="es-419"/>
              </w:rPr>
            </w:pPr>
            <w:r w:rsidRPr="00756410">
              <w:rPr>
                <w:sz w:val="20"/>
                <w:szCs w:val="20"/>
                <w:lang w:val="es-419"/>
              </w:rPr>
              <w:t>Por debajo de los umbrales establecidos, las facturas que no son de orden de compra fluyen al ciclo de pago tan pronto como el gerente de aprobación de la oficina/unidad lo haya aprobado.</w:t>
            </w:r>
          </w:p>
        </w:tc>
      </w:tr>
      <w:tr w:rsidR="005D6B59" w:rsidRPr="00773863" w14:paraId="27053169" w14:textId="77777777" w:rsidTr="363CA695">
        <w:trPr>
          <w:trHeight w:val="20"/>
        </w:trPr>
        <w:tc>
          <w:tcPr>
            <w:tcW w:w="355" w:type="dxa"/>
            <w:shd w:val="clear" w:color="auto" w:fill="FFFFFF" w:themeFill="background1"/>
          </w:tcPr>
          <w:p w14:paraId="7C6071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075" w:type="dxa"/>
            <w:shd w:val="clear" w:color="auto" w:fill="FFFFFF" w:themeFill="background1"/>
            <w:tcMar>
              <w:top w:w="0" w:type="dxa"/>
              <w:left w:w="108" w:type="dxa"/>
              <w:bottom w:w="0" w:type="dxa"/>
              <w:right w:w="108" w:type="dxa"/>
            </w:tcMar>
          </w:tcPr>
          <w:p w14:paraId="1AE7E40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Aprobar factura en Quantum</w:t>
            </w:r>
          </w:p>
        </w:tc>
        <w:tc>
          <w:tcPr>
            <w:tcW w:w="3330" w:type="dxa"/>
            <w:shd w:val="clear" w:color="auto" w:fill="FFFFFF" w:themeFill="background1"/>
            <w:tcMar>
              <w:top w:w="0" w:type="dxa"/>
              <w:left w:w="108" w:type="dxa"/>
              <w:bottom w:w="0" w:type="dxa"/>
              <w:right w:w="108" w:type="dxa"/>
            </w:tcMar>
          </w:tcPr>
          <w:p w14:paraId="4D24A66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Aprobadores BMS/GSSC Nivel 1-3</w:t>
            </w:r>
          </w:p>
        </w:tc>
        <w:tc>
          <w:tcPr>
            <w:tcW w:w="4230" w:type="dxa"/>
            <w:shd w:val="clear" w:color="auto" w:fill="FFFFFF" w:themeFill="background1"/>
          </w:tcPr>
          <w:p w14:paraId="14B930AC" w14:textId="77777777" w:rsidR="0016462F" w:rsidRPr="00756410" w:rsidRDefault="0016462F" w:rsidP="00CF32EB">
            <w:pPr>
              <w:spacing w:after="0" w:line="240" w:lineRule="auto"/>
              <w:ind w:right="20"/>
              <w:rPr>
                <w:rFonts w:cstheme="minorHAnsi"/>
                <w:sz w:val="20"/>
                <w:szCs w:val="20"/>
                <w:lang w:val="es-419"/>
              </w:rPr>
            </w:pPr>
            <w:r w:rsidRPr="00756410">
              <w:rPr>
                <w:rFonts w:cstheme="minorHAnsi"/>
                <w:sz w:val="20"/>
                <w:szCs w:val="20"/>
                <w:lang w:val="es-419"/>
              </w:rPr>
              <w:t>Cumplimiento de la función 'Gerente de aprobación – Parte B' en Quantum.</w:t>
            </w:r>
          </w:p>
          <w:p w14:paraId="3E403C41" w14:textId="77777777" w:rsidR="00120472" w:rsidRPr="00756410" w:rsidRDefault="00120472" w:rsidP="00CF32EB">
            <w:pPr>
              <w:spacing w:after="0" w:line="240" w:lineRule="auto"/>
              <w:ind w:right="20"/>
              <w:rPr>
                <w:rFonts w:cstheme="minorHAnsi"/>
                <w:sz w:val="20"/>
                <w:szCs w:val="20"/>
                <w:lang w:val="es-419"/>
              </w:rPr>
            </w:pPr>
          </w:p>
          <w:p w14:paraId="1210BBE6" w14:textId="01DCDE4D" w:rsidR="00120472" w:rsidRPr="00756410" w:rsidRDefault="00120472" w:rsidP="00CF32EB">
            <w:pPr>
              <w:spacing w:after="0" w:line="240" w:lineRule="auto"/>
              <w:ind w:right="20"/>
              <w:rPr>
                <w:rFonts w:cstheme="minorHAnsi"/>
                <w:sz w:val="20"/>
                <w:szCs w:val="20"/>
                <w:lang w:val="es-419"/>
              </w:rPr>
            </w:pPr>
            <w:r w:rsidRPr="00756410">
              <w:rPr>
                <w:rFonts w:cstheme="minorHAnsi"/>
                <w:sz w:val="20"/>
                <w:szCs w:val="20"/>
                <w:lang w:val="es-419"/>
              </w:rPr>
              <w:t>Para oficinas/unidades con proceso de AP no agrupado</w:t>
            </w:r>
            <w:r w:rsidR="00FB23F8">
              <w:rPr>
                <w:rFonts w:cstheme="minorHAnsi"/>
                <w:sz w:val="20"/>
                <w:szCs w:val="20"/>
                <w:lang w:val="es-419"/>
              </w:rPr>
              <w:t xml:space="preserve"> (non-clustered)</w:t>
            </w:r>
            <w:r w:rsidRPr="00756410">
              <w:rPr>
                <w:rFonts w:cstheme="minorHAnsi"/>
                <w:sz w:val="20"/>
                <w:szCs w:val="20"/>
                <w:lang w:val="es-419"/>
              </w:rPr>
              <w:t>, este rol lo realizan los gerentes de aprobación dentro de la oficina/unidad</w:t>
            </w:r>
          </w:p>
        </w:tc>
      </w:tr>
      <w:tr w:rsidR="005D6B59" w:rsidRPr="00773863" w14:paraId="3244794C" w14:textId="77777777" w:rsidTr="363CA695">
        <w:trPr>
          <w:trHeight w:val="20"/>
        </w:trPr>
        <w:tc>
          <w:tcPr>
            <w:tcW w:w="355" w:type="dxa"/>
            <w:shd w:val="clear" w:color="auto" w:fill="FFFFFF" w:themeFill="background1"/>
          </w:tcPr>
          <w:p w14:paraId="0D454E3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075" w:type="dxa"/>
            <w:shd w:val="clear" w:color="auto" w:fill="FFFFFF" w:themeFill="background1"/>
            <w:tcMar>
              <w:top w:w="0" w:type="dxa"/>
              <w:left w:w="108" w:type="dxa"/>
              <w:bottom w:w="0" w:type="dxa"/>
              <w:right w:w="108" w:type="dxa"/>
            </w:tcMar>
          </w:tcPr>
          <w:p w14:paraId="36D6F3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Factura contabilizada en GL</w:t>
            </w:r>
          </w:p>
        </w:tc>
        <w:tc>
          <w:tcPr>
            <w:tcW w:w="3330" w:type="dxa"/>
            <w:shd w:val="clear" w:color="auto" w:fill="FFFFFF" w:themeFill="background1"/>
            <w:tcMar>
              <w:top w:w="0" w:type="dxa"/>
              <w:left w:w="108" w:type="dxa"/>
              <w:bottom w:w="0" w:type="dxa"/>
              <w:right w:w="108" w:type="dxa"/>
            </w:tcMar>
          </w:tcPr>
          <w:p w14:paraId="6F36BD04" w14:textId="26A254E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Proceso automatizado </w:t>
            </w:r>
            <w:r w:rsidR="00D07132">
              <w:rPr>
                <w:rFonts w:cstheme="minorHAnsi"/>
                <w:sz w:val="20"/>
                <w:szCs w:val="20"/>
              </w:rPr>
              <w:t>en Quantum</w:t>
            </w:r>
          </w:p>
        </w:tc>
        <w:tc>
          <w:tcPr>
            <w:tcW w:w="4230" w:type="dxa"/>
            <w:shd w:val="clear" w:color="auto" w:fill="FFFFFF" w:themeFill="background1"/>
          </w:tcPr>
          <w:p w14:paraId="21FE425C" w14:textId="3C9FD83E" w:rsidR="0016462F" w:rsidRPr="00756410" w:rsidRDefault="00B44BB3" w:rsidP="363CA695">
            <w:pPr>
              <w:spacing w:after="0" w:line="240" w:lineRule="auto"/>
              <w:rPr>
                <w:sz w:val="20"/>
                <w:szCs w:val="20"/>
                <w:lang w:val="es-419"/>
              </w:rPr>
            </w:pPr>
            <w:r w:rsidRPr="00756410">
              <w:rPr>
                <w:rStyle w:val="cf01"/>
                <w:rFonts w:asciiTheme="minorHAnsi" w:hAnsiTheme="minorHAnsi" w:cstheme="minorBidi"/>
                <w:sz w:val="20"/>
                <w:szCs w:val="20"/>
                <w:lang w:val="es-419"/>
              </w:rPr>
              <w:t xml:space="preserve">Si el proceso </w:t>
            </w:r>
            <w:r w:rsidR="00D07132">
              <w:rPr>
                <w:rStyle w:val="cf01"/>
                <w:rFonts w:asciiTheme="minorHAnsi" w:hAnsiTheme="minorHAnsi" w:cstheme="minorBidi"/>
                <w:sz w:val="20"/>
                <w:szCs w:val="20"/>
                <w:lang w:val="es-419"/>
              </w:rPr>
              <w:t>e</w:t>
            </w:r>
            <w:r w:rsidR="00D07132" w:rsidRPr="00756410">
              <w:rPr>
                <w:rStyle w:val="cf01"/>
                <w:lang w:val="es-ES"/>
              </w:rPr>
              <w:t>n Quantum</w:t>
            </w:r>
            <w:r w:rsidR="00D07132" w:rsidRPr="00756410">
              <w:rPr>
                <w:rStyle w:val="cf01"/>
                <w:rFonts w:asciiTheme="minorHAnsi" w:hAnsiTheme="minorHAnsi" w:cstheme="minorBidi"/>
                <w:sz w:val="20"/>
                <w:szCs w:val="20"/>
                <w:lang w:val="es-419"/>
              </w:rPr>
              <w:t xml:space="preserve"> </w:t>
            </w:r>
            <w:r w:rsidRPr="00756410">
              <w:rPr>
                <w:rStyle w:val="cf01"/>
                <w:rFonts w:asciiTheme="minorHAnsi" w:hAnsiTheme="minorHAnsi" w:cstheme="minorBidi"/>
                <w:sz w:val="20"/>
                <w:szCs w:val="20"/>
                <w:lang w:val="es-419"/>
              </w:rPr>
              <w:t>falla, es necesario que las oficinas/unidades (para errores presupuestarios), BMS/ITM (para errores técnicos de Oracle) o BMS/OFRM (si es necesario modificar las reglas de validación cruzada).</w:t>
            </w:r>
          </w:p>
        </w:tc>
      </w:tr>
      <w:tr w:rsidR="005D6B59" w:rsidRPr="00773863" w14:paraId="712B4D03" w14:textId="77777777" w:rsidTr="363CA695">
        <w:trPr>
          <w:trHeight w:val="20"/>
        </w:trPr>
        <w:tc>
          <w:tcPr>
            <w:tcW w:w="355" w:type="dxa"/>
            <w:shd w:val="clear" w:color="auto" w:fill="FFFFFF" w:themeFill="background1"/>
          </w:tcPr>
          <w:p w14:paraId="07EE231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075" w:type="dxa"/>
            <w:shd w:val="clear" w:color="auto" w:fill="FFFFFF" w:themeFill="background1"/>
            <w:tcMar>
              <w:top w:w="0" w:type="dxa"/>
              <w:left w:w="108" w:type="dxa"/>
              <w:bottom w:w="0" w:type="dxa"/>
              <w:right w:w="108" w:type="dxa"/>
            </w:tcMar>
          </w:tcPr>
          <w:p w14:paraId="55C4F1F6" w14:textId="44DEE7DB" w:rsidR="0016462F" w:rsidRPr="00756410" w:rsidRDefault="0016462F" w:rsidP="00CF32EB">
            <w:pPr>
              <w:spacing w:after="0" w:line="240" w:lineRule="auto"/>
              <w:rPr>
                <w:rFonts w:cstheme="minorHAnsi"/>
                <w:sz w:val="20"/>
                <w:szCs w:val="20"/>
                <w:lang w:val="es-419"/>
              </w:rPr>
            </w:pPr>
            <w:r w:rsidRPr="00756410">
              <w:rPr>
                <w:rFonts w:cstheme="minorHAnsi"/>
                <w:sz w:val="20"/>
                <w:szCs w:val="20"/>
                <w:lang w:val="es-419"/>
              </w:rPr>
              <w:t>Realizar comprobaciones de muestra en la etapa del ciclo de pago</w:t>
            </w:r>
          </w:p>
        </w:tc>
        <w:tc>
          <w:tcPr>
            <w:tcW w:w="3330" w:type="dxa"/>
            <w:shd w:val="clear" w:color="auto" w:fill="FFFFFF" w:themeFill="background1"/>
            <w:tcMar>
              <w:top w:w="0" w:type="dxa"/>
              <w:left w:w="108" w:type="dxa"/>
              <w:bottom w:w="0" w:type="dxa"/>
              <w:right w:w="108" w:type="dxa"/>
            </w:tcMar>
          </w:tcPr>
          <w:p w14:paraId="7F83449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BMS/GSSC</w:t>
            </w:r>
          </w:p>
        </w:tc>
        <w:tc>
          <w:tcPr>
            <w:tcW w:w="4230" w:type="dxa"/>
            <w:shd w:val="clear" w:color="auto" w:fill="FFFFFF" w:themeFill="background1"/>
          </w:tcPr>
          <w:p w14:paraId="69EAD647" w14:textId="26DF0FAB" w:rsidR="0016462F" w:rsidRPr="00756410" w:rsidRDefault="0016462F" w:rsidP="00CF32EB">
            <w:pPr>
              <w:spacing w:after="0" w:line="240" w:lineRule="auto"/>
              <w:rPr>
                <w:sz w:val="20"/>
                <w:szCs w:val="20"/>
                <w:lang w:val="es-419"/>
              </w:rPr>
            </w:pPr>
            <w:r w:rsidRPr="00756410">
              <w:rPr>
                <w:sz w:val="20"/>
                <w:szCs w:val="20"/>
                <w:lang w:val="es-419"/>
              </w:rPr>
              <w:t>BMS/GSSC realiza verificaciones de muestra en la etapa del ciclo de pago, incluso para transacciones de menor valor que no son órdenes de compra.</w:t>
            </w:r>
          </w:p>
        </w:tc>
      </w:tr>
      <w:tr w:rsidR="005D6B59" w:rsidRPr="00773863" w14:paraId="2F8E64AF" w14:textId="77777777" w:rsidTr="363CA695">
        <w:trPr>
          <w:trHeight w:val="20"/>
        </w:trPr>
        <w:tc>
          <w:tcPr>
            <w:tcW w:w="355" w:type="dxa"/>
            <w:shd w:val="clear" w:color="auto" w:fill="FFFFFF" w:themeFill="background1"/>
          </w:tcPr>
          <w:p w14:paraId="25366986" w14:textId="77777777" w:rsidR="001A1098" w:rsidRPr="00D2258D" w:rsidRDefault="001A1098" w:rsidP="00CF32EB">
            <w:pPr>
              <w:spacing w:after="0" w:line="240" w:lineRule="auto"/>
              <w:rPr>
                <w:rFonts w:cstheme="minorHAnsi"/>
                <w:sz w:val="20"/>
                <w:szCs w:val="20"/>
              </w:rPr>
            </w:pPr>
            <w:r w:rsidRPr="00D2258D">
              <w:rPr>
                <w:rFonts w:cstheme="minorHAnsi"/>
                <w:sz w:val="20"/>
                <w:szCs w:val="20"/>
              </w:rPr>
              <w:t>10</w:t>
            </w:r>
          </w:p>
        </w:tc>
        <w:tc>
          <w:tcPr>
            <w:tcW w:w="9635" w:type="dxa"/>
            <w:gridSpan w:val="3"/>
            <w:shd w:val="clear" w:color="auto" w:fill="FFFFFF" w:themeFill="background1"/>
            <w:tcMar>
              <w:top w:w="0" w:type="dxa"/>
              <w:left w:w="108" w:type="dxa"/>
              <w:bottom w:w="0" w:type="dxa"/>
              <w:right w:w="108" w:type="dxa"/>
            </w:tcMar>
          </w:tcPr>
          <w:p w14:paraId="3D2E2D58" w14:textId="3DDDAC9C" w:rsidR="001A1098" w:rsidRPr="00756410" w:rsidRDefault="001A1098" w:rsidP="00CF32EB">
            <w:pPr>
              <w:spacing w:after="0" w:line="240" w:lineRule="auto"/>
              <w:rPr>
                <w:sz w:val="20"/>
                <w:szCs w:val="20"/>
                <w:lang w:val="es-419"/>
              </w:rPr>
            </w:pPr>
            <w:r w:rsidRPr="00756410">
              <w:rPr>
                <w:rFonts w:cstheme="minorHAnsi"/>
                <w:sz w:val="20"/>
                <w:szCs w:val="20"/>
                <w:lang w:val="es-419"/>
              </w:rPr>
              <w:t>Igual que para los pasos 19-20 anteriores</w:t>
            </w:r>
          </w:p>
        </w:tc>
      </w:tr>
    </w:tbl>
    <w:p w14:paraId="671B8F31" w14:textId="77777777" w:rsidR="009075C6" w:rsidRPr="00756410" w:rsidRDefault="009075C6" w:rsidP="009075C6">
      <w:pPr>
        <w:rPr>
          <w:lang w:val="es-419"/>
        </w:rPr>
      </w:pPr>
    </w:p>
    <w:p w14:paraId="7089E724" w14:textId="77777777" w:rsidR="009075C6" w:rsidRPr="00756410" w:rsidRDefault="009075C6">
      <w:pPr>
        <w:rPr>
          <w:rFonts w:asciiTheme="majorHAnsi" w:eastAsiaTheme="majorEastAsia" w:hAnsiTheme="majorHAnsi" w:cstheme="majorBidi"/>
          <w:color w:val="2F5496" w:themeColor="accent1" w:themeShade="BF"/>
          <w:sz w:val="32"/>
          <w:szCs w:val="32"/>
          <w:lang w:val="es-419"/>
        </w:rPr>
      </w:pPr>
      <w:r w:rsidRPr="00756410">
        <w:rPr>
          <w:lang w:val="es-419"/>
        </w:rPr>
        <w:br w:type="page"/>
      </w:r>
    </w:p>
    <w:p w14:paraId="5CF63355" w14:textId="5B379073" w:rsidR="00071643" w:rsidRPr="00756410" w:rsidRDefault="006723C5" w:rsidP="00397C9D">
      <w:pPr>
        <w:pStyle w:val="Heading1"/>
        <w:spacing w:after="240"/>
        <w:rPr>
          <w:lang w:val="es-419"/>
        </w:rPr>
      </w:pPr>
      <w:bookmarkStart w:id="127" w:name="_Annex_6:_Overview"/>
      <w:bookmarkStart w:id="128" w:name="_Toc210052800"/>
      <w:bookmarkEnd w:id="127"/>
      <w:r w:rsidRPr="00756410">
        <w:rPr>
          <w:lang w:val="es-419"/>
        </w:rPr>
        <w:lastRenderedPageBreak/>
        <w:t xml:space="preserve">Anexo 6: </w:t>
      </w:r>
      <w:r w:rsidR="3BA4013A" w:rsidRPr="49F3DC25">
        <w:rPr>
          <w:lang w:val="es-419"/>
        </w:rPr>
        <w:t xml:space="preserve">Descripción </w:t>
      </w:r>
      <w:r w:rsidRPr="00756410">
        <w:rPr>
          <w:lang w:val="es-419"/>
        </w:rPr>
        <w:t>general de la segregación de funciones y otros controles y cómo se aplican</w:t>
      </w:r>
      <w:bookmarkEnd w:id="128"/>
    </w:p>
    <w:tbl>
      <w:tblPr>
        <w:tblW w:w="10350"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bottom w:w="43" w:type="dxa"/>
          <w:right w:w="72" w:type="dxa"/>
        </w:tblCellMar>
        <w:tblLook w:val="01E0" w:firstRow="1" w:lastRow="1" w:firstColumn="1" w:lastColumn="1" w:noHBand="0" w:noVBand="0"/>
      </w:tblPr>
      <w:tblGrid>
        <w:gridCol w:w="2160"/>
        <w:gridCol w:w="4950"/>
        <w:gridCol w:w="3240"/>
      </w:tblGrid>
      <w:tr w:rsidR="005672CE" w:rsidRPr="00773863" w14:paraId="411FFA22" w14:textId="13300CE4" w:rsidTr="24F5DBB9">
        <w:trPr>
          <w:trHeight w:val="20"/>
          <w:tblHeader/>
        </w:trPr>
        <w:tc>
          <w:tcPr>
            <w:tcW w:w="10350" w:type="dxa"/>
            <w:gridSpan w:val="3"/>
            <w:shd w:val="clear" w:color="auto" w:fill="1F4E79" w:themeFill="accent5" w:themeFillShade="80"/>
          </w:tcPr>
          <w:p w14:paraId="356B4DB6" w14:textId="7A0CFC6A" w:rsidR="00532E13" w:rsidRPr="00756410" w:rsidRDefault="00532E13" w:rsidP="00C26CCF">
            <w:pPr>
              <w:spacing w:after="0" w:line="240" w:lineRule="auto"/>
              <w:rPr>
                <w:rFonts w:cstheme="minorHAnsi"/>
                <w:b/>
                <w:color w:val="FFFFFF" w:themeColor="background1"/>
                <w:sz w:val="20"/>
                <w:szCs w:val="20"/>
                <w:lang w:val="es-419"/>
              </w:rPr>
            </w:pPr>
            <w:r w:rsidRPr="00756410">
              <w:rPr>
                <w:rFonts w:cstheme="minorHAnsi"/>
                <w:b/>
                <w:color w:val="FFFFFF" w:themeColor="background1"/>
                <w:sz w:val="20"/>
                <w:szCs w:val="20"/>
                <w:lang w:val="es-419"/>
              </w:rPr>
              <w:t xml:space="preserve">Perfiles de </w:t>
            </w:r>
            <w:r w:rsidR="0001612D" w:rsidRPr="002C56A7">
              <w:rPr>
                <w:rFonts w:cstheme="minorHAnsi"/>
                <w:b/>
                <w:color w:val="FFFFFF" w:themeColor="background1"/>
                <w:sz w:val="20"/>
                <w:szCs w:val="20"/>
                <w:lang w:val="es-419"/>
              </w:rPr>
              <w:t>Usuario</w:t>
            </w:r>
            <w:r w:rsidR="0001612D" w:rsidRPr="00756410">
              <w:rPr>
                <w:rFonts w:cstheme="minorHAnsi"/>
                <w:b/>
                <w:color w:val="FFFFFF" w:themeColor="background1"/>
                <w:sz w:val="20"/>
                <w:szCs w:val="20"/>
                <w:lang w:val="es-419"/>
              </w:rPr>
              <w:t xml:space="preserve"> </w:t>
            </w:r>
            <w:r w:rsidRPr="00756410">
              <w:rPr>
                <w:rFonts w:cstheme="minorHAnsi"/>
                <w:b/>
                <w:color w:val="FFFFFF" w:themeColor="background1"/>
                <w:sz w:val="20"/>
                <w:szCs w:val="20"/>
                <w:lang w:val="es-419"/>
              </w:rPr>
              <w:t>financieros y roles complementarios</w:t>
            </w:r>
          </w:p>
        </w:tc>
      </w:tr>
      <w:tr w:rsidR="005D6B59" w:rsidRPr="00963907" w14:paraId="1A8E779F" w14:textId="08800BCD" w:rsidTr="24F5DBB9">
        <w:trPr>
          <w:trHeight w:val="20"/>
          <w:tblHeader/>
        </w:trPr>
        <w:tc>
          <w:tcPr>
            <w:tcW w:w="2160" w:type="dxa"/>
            <w:shd w:val="clear" w:color="auto" w:fill="D5DCE4" w:themeFill="text2" w:themeFillTint="33"/>
          </w:tcPr>
          <w:p w14:paraId="02CBAEC4" w14:textId="77777777" w:rsidR="00532E13" w:rsidRPr="00963907" w:rsidRDefault="00532E13" w:rsidP="00C26CCF">
            <w:pPr>
              <w:spacing w:after="0" w:line="240" w:lineRule="auto"/>
              <w:rPr>
                <w:rFonts w:cstheme="minorHAnsi"/>
                <w:b/>
                <w:bCs/>
                <w:sz w:val="20"/>
                <w:szCs w:val="20"/>
              </w:rPr>
            </w:pPr>
            <w:r w:rsidRPr="00963907">
              <w:rPr>
                <w:rFonts w:cstheme="minorHAnsi"/>
                <w:b/>
                <w:bCs/>
                <w:sz w:val="20"/>
                <w:szCs w:val="20"/>
              </w:rPr>
              <w:t>Rol</w:t>
            </w:r>
          </w:p>
        </w:tc>
        <w:tc>
          <w:tcPr>
            <w:tcW w:w="4950" w:type="dxa"/>
            <w:shd w:val="clear" w:color="auto" w:fill="D5DCE4" w:themeFill="text2" w:themeFillTint="33"/>
          </w:tcPr>
          <w:p w14:paraId="5AFC4275" w14:textId="77777777" w:rsidR="00532E13" w:rsidRPr="00756410" w:rsidRDefault="00532E13" w:rsidP="00C26CCF">
            <w:pPr>
              <w:spacing w:after="0" w:line="240" w:lineRule="auto"/>
              <w:rPr>
                <w:rFonts w:cstheme="minorHAnsi"/>
                <w:b/>
                <w:sz w:val="20"/>
                <w:szCs w:val="20"/>
                <w:lang w:val="es-419"/>
              </w:rPr>
            </w:pPr>
            <w:r w:rsidRPr="00756410">
              <w:rPr>
                <w:rFonts w:cstheme="minorHAnsi"/>
                <w:b/>
                <w:sz w:val="20"/>
                <w:szCs w:val="20"/>
                <w:lang w:val="es-419"/>
              </w:rPr>
              <w:t>Provisiones (funciones que este rol NO PUEDE realizar ...)</w:t>
            </w:r>
          </w:p>
        </w:tc>
        <w:tc>
          <w:tcPr>
            <w:tcW w:w="3240" w:type="dxa"/>
            <w:shd w:val="clear" w:color="auto" w:fill="D5DCE4" w:themeFill="text2" w:themeFillTint="33"/>
          </w:tcPr>
          <w:p w14:paraId="335173A4" w14:textId="6730EAB7" w:rsidR="00532E13" w:rsidRPr="00756410" w:rsidRDefault="00963907" w:rsidP="00C26CCF">
            <w:pPr>
              <w:spacing w:after="0" w:line="240" w:lineRule="auto"/>
              <w:rPr>
                <w:rFonts w:cstheme="minorHAnsi"/>
                <w:b/>
                <w:bCs/>
                <w:sz w:val="20"/>
                <w:szCs w:val="20"/>
                <w:lang w:val="es-419"/>
              </w:rPr>
            </w:pPr>
            <w:r w:rsidRPr="00756410">
              <w:rPr>
                <w:rFonts w:cstheme="minorHAnsi"/>
                <w:b/>
                <w:bCs/>
                <w:sz w:val="20"/>
                <w:szCs w:val="20"/>
                <w:lang w:val="es-419"/>
              </w:rPr>
              <w:t>ERP aplicado</w:t>
            </w:r>
          </w:p>
        </w:tc>
      </w:tr>
      <w:tr w:rsidR="003C2B04" w:rsidRPr="00963907" w14:paraId="7F117AB2" w14:textId="3EEBE7FC" w:rsidTr="24F5DBB9">
        <w:trPr>
          <w:trHeight w:val="20"/>
        </w:trPr>
        <w:tc>
          <w:tcPr>
            <w:tcW w:w="2160" w:type="dxa"/>
            <w:vMerge w:val="restart"/>
          </w:tcPr>
          <w:p w14:paraId="581379D5" w14:textId="77777777" w:rsidR="008D7832" w:rsidRDefault="008D7832" w:rsidP="00C26CCF">
            <w:pPr>
              <w:spacing w:after="0" w:line="240" w:lineRule="auto"/>
              <w:rPr>
                <w:rFonts w:cstheme="minorHAnsi"/>
                <w:i/>
                <w:sz w:val="20"/>
                <w:szCs w:val="20"/>
                <w:lang w:val="es-419"/>
              </w:rPr>
            </w:pPr>
            <w:r w:rsidRPr="00756410">
              <w:rPr>
                <w:rFonts w:cstheme="minorHAnsi"/>
                <w:sz w:val="20"/>
                <w:szCs w:val="20"/>
                <w:lang w:val="es-419"/>
              </w:rPr>
              <w:t xml:space="preserve">Gerente de proyecto </w:t>
            </w:r>
            <w:r w:rsidRPr="00756410">
              <w:rPr>
                <w:rFonts w:cstheme="minorHAnsi"/>
                <w:i/>
                <w:sz w:val="20"/>
                <w:szCs w:val="20"/>
                <w:lang w:val="es-419"/>
              </w:rPr>
              <w:t>(1ª Autoridad)</w:t>
            </w:r>
          </w:p>
          <w:p w14:paraId="37010E77" w14:textId="68C8B81B" w:rsidR="004017E7" w:rsidRPr="00756410" w:rsidRDefault="004017E7" w:rsidP="00C26CCF">
            <w:pPr>
              <w:spacing w:after="0" w:line="240" w:lineRule="auto"/>
              <w:rPr>
                <w:rFonts w:cstheme="minorHAnsi"/>
                <w:sz w:val="20"/>
                <w:szCs w:val="20"/>
                <w:lang w:val="en-GB"/>
              </w:rPr>
            </w:pPr>
            <w:r>
              <w:rPr>
                <w:rFonts w:cstheme="minorHAnsi"/>
                <w:i/>
                <w:sz w:val="20"/>
                <w:szCs w:val="20"/>
                <w:lang w:val="en-GB"/>
              </w:rPr>
              <w:t>[Project Manager]</w:t>
            </w:r>
          </w:p>
        </w:tc>
        <w:tc>
          <w:tcPr>
            <w:tcW w:w="4950" w:type="dxa"/>
          </w:tcPr>
          <w:p w14:paraId="6DEB831A" w14:textId="5F3C7826" w:rsidR="008D7832" w:rsidRPr="00756410" w:rsidRDefault="008D7832">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Mantener el perfil de Gerente de Aprobación (2.ª autoridad), con excepciones permitidas para RR/RR</w:t>
            </w:r>
            <w:r w:rsidR="006E4323" w:rsidRPr="002C56A7">
              <w:rPr>
                <w:rFonts w:cstheme="minorHAnsi"/>
                <w:sz w:val="20"/>
                <w:szCs w:val="20"/>
                <w:lang w:val="es-419"/>
              </w:rPr>
              <w:t>D</w:t>
            </w:r>
            <w:r w:rsidRPr="00756410">
              <w:rPr>
                <w:rFonts w:cstheme="minorHAnsi"/>
                <w:sz w:val="20"/>
                <w:szCs w:val="20"/>
                <w:lang w:val="es-419"/>
              </w:rPr>
              <w:t>/OM (o equivalente en la sede)</w:t>
            </w:r>
          </w:p>
        </w:tc>
        <w:tc>
          <w:tcPr>
            <w:tcW w:w="3240" w:type="dxa"/>
          </w:tcPr>
          <w:p w14:paraId="7B2F81DD" w14:textId="36D917FB" w:rsidR="008D7832" w:rsidRPr="00756410" w:rsidRDefault="008D7832" w:rsidP="363CA695">
            <w:pPr>
              <w:widowControl w:val="0"/>
              <w:autoSpaceDE w:val="0"/>
              <w:autoSpaceDN w:val="0"/>
              <w:spacing w:after="0" w:line="240" w:lineRule="auto"/>
              <w:rPr>
                <w:sz w:val="20"/>
                <w:szCs w:val="20"/>
                <w:lang w:val="es-419"/>
              </w:rPr>
            </w:pPr>
            <w:r w:rsidRPr="00756410">
              <w:rPr>
                <w:sz w:val="20"/>
                <w:szCs w:val="20"/>
                <w:lang w:val="es-419"/>
              </w:rPr>
              <w:t>Parcialmente. Violaciones monitoreadas a través de Informes de Monitoreo de ICF. Véase el Anexo 1.</w:t>
            </w:r>
          </w:p>
        </w:tc>
      </w:tr>
      <w:tr w:rsidR="00B01ACD" w:rsidRPr="00773863" w14:paraId="32A143F8" w14:textId="77777777" w:rsidTr="24F5DBB9">
        <w:trPr>
          <w:trHeight w:val="20"/>
        </w:trPr>
        <w:tc>
          <w:tcPr>
            <w:tcW w:w="2160" w:type="dxa"/>
            <w:vMerge/>
          </w:tcPr>
          <w:p w14:paraId="162BD2D6" w14:textId="77777777" w:rsidR="008D7832" w:rsidRPr="00963907" w:rsidRDefault="008D7832" w:rsidP="00C26CCF">
            <w:pPr>
              <w:spacing w:after="0" w:line="240" w:lineRule="auto"/>
              <w:rPr>
                <w:rFonts w:cstheme="minorHAnsi"/>
                <w:sz w:val="20"/>
                <w:szCs w:val="20"/>
              </w:rPr>
            </w:pPr>
          </w:p>
        </w:tc>
        <w:tc>
          <w:tcPr>
            <w:tcW w:w="4950" w:type="dxa"/>
          </w:tcPr>
          <w:p w14:paraId="2A442BEB" w14:textId="0F383E55" w:rsidR="008D7832" w:rsidRPr="00756410" w:rsidRDefault="008D7832">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Realizar la 1ª y 2ª autoridad en la misma transacción</w:t>
            </w:r>
          </w:p>
        </w:tc>
        <w:tc>
          <w:tcPr>
            <w:tcW w:w="3240" w:type="dxa"/>
          </w:tcPr>
          <w:p w14:paraId="1455977D" w14:textId="6647D685" w:rsidR="008D7832" w:rsidRPr="00756410" w:rsidRDefault="008D7832"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 xml:space="preserve">Parcialmente. No se puede aprobar la solicitud y la orden de compra relacionada. </w:t>
            </w:r>
          </w:p>
        </w:tc>
      </w:tr>
      <w:tr w:rsidR="003C2B04" w:rsidRPr="00963907" w14:paraId="586EDD87" w14:textId="77777777" w:rsidTr="24F5DBB9">
        <w:trPr>
          <w:trHeight w:val="20"/>
        </w:trPr>
        <w:tc>
          <w:tcPr>
            <w:tcW w:w="2160" w:type="dxa"/>
            <w:vMerge/>
          </w:tcPr>
          <w:p w14:paraId="6B8B4291" w14:textId="77777777" w:rsidR="008D7832" w:rsidRPr="00756410" w:rsidRDefault="008D7832" w:rsidP="00C26CCF">
            <w:pPr>
              <w:spacing w:after="0" w:line="240" w:lineRule="auto"/>
              <w:rPr>
                <w:rFonts w:cstheme="minorHAnsi"/>
                <w:sz w:val="20"/>
                <w:szCs w:val="20"/>
                <w:lang w:val="es-419"/>
              </w:rPr>
            </w:pPr>
          </w:p>
        </w:tc>
        <w:tc>
          <w:tcPr>
            <w:tcW w:w="4950" w:type="dxa"/>
          </w:tcPr>
          <w:p w14:paraId="5885B57A" w14:textId="30CA6084" w:rsidR="008D7832" w:rsidRPr="00756410" w:rsidRDefault="008D7832">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Tener un perfil de Oficial de Desembolsos (3ª autoridad)</w:t>
            </w:r>
          </w:p>
        </w:tc>
        <w:tc>
          <w:tcPr>
            <w:tcW w:w="3240" w:type="dxa"/>
          </w:tcPr>
          <w:p w14:paraId="1C8FEC74" w14:textId="51D3D543" w:rsidR="008D7832" w:rsidRPr="00756410" w:rsidRDefault="008D7832"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22F8AAB8" w14:textId="5CC6BD31" w:rsidTr="24F5DBB9">
        <w:trPr>
          <w:trHeight w:val="20"/>
        </w:trPr>
        <w:tc>
          <w:tcPr>
            <w:tcW w:w="2160" w:type="dxa"/>
            <w:vMerge w:val="restart"/>
          </w:tcPr>
          <w:p w14:paraId="4B2E77DD" w14:textId="2DDA3D92" w:rsidR="00602A61" w:rsidRDefault="69C31CBB" w:rsidP="24F5DBB9">
            <w:pPr>
              <w:spacing w:after="0" w:line="240" w:lineRule="auto"/>
              <w:rPr>
                <w:i/>
                <w:iCs/>
                <w:sz w:val="20"/>
                <w:szCs w:val="20"/>
                <w:lang w:val="es-ES"/>
              </w:rPr>
            </w:pPr>
            <w:r w:rsidRPr="00756410">
              <w:rPr>
                <w:sz w:val="20"/>
                <w:szCs w:val="20"/>
                <w:lang w:val="es-ES"/>
              </w:rPr>
              <w:t xml:space="preserve">Gerente de </w:t>
            </w:r>
            <w:r w:rsidR="46073016" w:rsidRPr="24F5DBB9">
              <w:rPr>
                <w:sz w:val="20"/>
                <w:szCs w:val="20"/>
                <w:lang w:val="es-ES"/>
              </w:rPr>
              <w:t>A</w:t>
            </w:r>
            <w:r w:rsidRPr="00756410">
              <w:rPr>
                <w:sz w:val="20"/>
                <w:szCs w:val="20"/>
                <w:lang w:val="es-ES"/>
              </w:rPr>
              <w:t xml:space="preserve">probación (Gerente L1-2, SM) </w:t>
            </w:r>
            <w:r w:rsidRPr="00756410">
              <w:rPr>
                <w:i/>
                <w:iCs/>
                <w:sz w:val="20"/>
                <w:szCs w:val="20"/>
                <w:lang w:val="es-ES"/>
              </w:rPr>
              <w:t>(2ª Autoridad)</w:t>
            </w:r>
          </w:p>
          <w:p w14:paraId="0E4C1800" w14:textId="58D3E062" w:rsidR="004017E7" w:rsidRPr="00756410" w:rsidRDefault="004017E7" w:rsidP="00C26CCF">
            <w:pPr>
              <w:spacing w:after="0" w:line="240" w:lineRule="auto"/>
              <w:rPr>
                <w:rFonts w:cstheme="minorHAnsi"/>
                <w:sz w:val="20"/>
                <w:szCs w:val="20"/>
                <w:lang w:val="es-ES"/>
              </w:rPr>
            </w:pPr>
            <w:r>
              <w:rPr>
                <w:rFonts w:cstheme="minorHAnsi"/>
                <w:i/>
                <w:iCs/>
                <w:sz w:val="20"/>
                <w:szCs w:val="20"/>
                <w:lang w:val="es-ES"/>
              </w:rPr>
              <w:t>[Approving Manager]</w:t>
            </w:r>
          </w:p>
        </w:tc>
        <w:tc>
          <w:tcPr>
            <w:tcW w:w="4950" w:type="dxa"/>
          </w:tcPr>
          <w:p w14:paraId="66749EB0" w14:textId="2878D5DE" w:rsidR="00602A61" w:rsidRPr="00756410" w:rsidRDefault="00602A61">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Mantener el perfil de Gerente de Proyecto (1ª autoridad), con excepciones permitidas para RR/</w:t>
            </w:r>
            <w:r w:rsidR="006E4323" w:rsidRPr="002C56A7">
              <w:rPr>
                <w:rFonts w:cstheme="minorHAnsi"/>
                <w:sz w:val="20"/>
                <w:szCs w:val="20"/>
                <w:lang w:val="es-419"/>
              </w:rPr>
              <w:t>R</w:t>
            </w:r>
            <w:r w:rsidRPr="00756410">
              <w:rPr>
                <w:rFonts w:cstheme="minorHAnsi"/>
                <w:sz w:val="20"/>
                <w:szCs w:val="20"/>
                <w:lang w:val="es-419"/>
              </w:rPr>
              <w:t>R</w:t>
            </w:r>
            <w:r w:rsidR="006E4323" w:rsidRPr="002C56A7">
              <w:rPr>
                <w:rFonts w:cstheme="minorHAnsi"/>
                <w:sz w:val="20"/>
                <w:szCs w:val="20"/>
                <w:lang w:val="es-419"/>
              </w:rPr>
              <w:t>D</w:t>
            </w:r>
            <w:r w:rsidRPr="00756410">
              <w:rPr>
                <w:rFonts w:cstheme="minorHAnsi"/>
                <w:sz w:val="20"/>
                <w:szCs w:val="20"/>
                <w:lang w:val="es-419"/>
              </w:rPr>
              <w:t>/OM (o equivalente en HQ)</w:t>
            </w:r>
          </w:p>
        </w:tc>
        <w:tc>
          <w:tcPr>
            <w:tcW w:w="3240" w:type="dxa"/>
          </w:tcPr>
          <w:p w14:paraId="4F54DBC3" w14:textId="28E054DE" w:rsidR="00602A61" w:rsidRPr="00756410" w:rsidRDefault="00602A61" w:rsidP="363CA695">
            <w:pPr>
              <w:widowControl w:val="0"/>
              <w:autoSpaceDE w:val="0"/>
              <w:autoSpaceDN w:val="0"/>
              <w:spacing w:after="0" w:line="240" w:lineRule="auto"/>
              <w:rPr>
                <w:sz w:val="20"/>
                <w:szCs w:val="20"/>
                <w:lang w:val="es-419"/>
              </w:rPr>
            </w:pPr>
            <w:r w:rsidRPr="00756410">
              <w:rPr>
                <w:sz w:val="20"/>
                <w:szCs w:val="20"/>
                <w:lang w:val="es-419"/>
              </w:rPr>
              <w:t>Parcialmente. Violaciones monitoreadas a través de Informes de Monitoreo de ICF. Véase el Anexo 1.</w:t>
            </w:r>
          </w:p>
        </w:tc>
      </w:tr>
      <w:tr w:rsidR="003C2B04" w:rsidRPr="00963907" w14:paraId="17A4A3A1" w14:textId="77777777" w:rsidTr="24F5DBB9">
        <w:trPr>
          <w:trHeight w:val="20"/>
        </w:trPr>
        <w:tc>
          <w:tcPr>
            <w:tcW w:w="2160" w:type="dxa"/>
            <w:vMerge/>
          </w:tcPr>
          <w:p w14:paraId="4C94501F" w14:textId="77777777" w:rsidR="00602A61" w:rsidRPr="00963907" w:rsidRDefault="00602A61" w:rsidP="00C26CCF">
            <w:pPr>
              <w:spacing w:after="0" w:line="240" w:lineRule="auto"/>
              <w:rPr>
                <w:rFonts w:cstheme="minorHAnsi"/>
                <w:sz w:val="20"/>
                <w:szCs w:val="20"/>
              </w:rPr>
            </w:pPr>
          </w:p>
        </w:tc>
        <w:tc>
          <w:tcPr>
            <w:tcW w:w="4950" w:type="dxa"/>
          </w:tcPr>
          <w:p w14:paraId="70D285F5" w14:textId="3EB17898" w:rsidR="00602A61" w:rsidRPr="00756410" w:rsidRDefault="69C31CBB" w:rsidP="24F5DBB9">
            <w:pPr>
              <w:pStyle w:val="ListParagraph"/>
              <w:widowControl w:val="0"/>
              <w:numPr>
                <w:ilvl w:val="0"/>
                <w:numId w:val="88"/>
              </w:numPr>
              <w:autoSpaceDE w:val="0"/>
              <w:autoSpaceDN w:val="0"/>
              <w:spacing w:after="0" w:line="240" w:lineRule="auto"/>
              <w:ind w:left="265" w:hanging="265"/>
              <w:rPr>
                <w:sz w:val="20"/>
                <w:szCs w:val="20"/>
                <w:lang w:val="es-419"/>
              </w:rPr>
            </w:pPr>
            <w:r w:rsidRPr="00756410">
              <w:rPr>
                <w:sz w:val="20"/>
                <w:szCs w:val="20"/>
                <w:lang w:val="es-419"/>
              </w:rPr>
              <w:t>Se</w:t>
            </w:r>
            <w:r w:rsidR="7B6ED99A" w:rsidRPr="00756410">
              <w:rPr>
                <w:sz w:val="20"/>
                <w:szCs w:val="20"/>
                <w:lang w:val="es-419"/>
              </w:rPr>
              <w:t>r</w:t>
            </w:r>
            <w:r w:rsidRPr="00756410">
              <w:rPr>
                <w:sz w:val="20"/>
                <w:szCs w:val="20"/>
                <w:lang w:val="es-419"/>
              </w:rPr>
              <w:t xml:space="preserve"> una 3ª Autoridad</w:t>
            </w:r>
          </w:p>
        </w:tc>
        <w:tc>
          <w:tcPr>
            <w:tcW w:w="3240" w:type="dxa"/>
          </w:tcPr>
          <w:p w14:paraId="5769F9E5" w14:textId="15199B92" w:rsidR="00602A61" w:rsidRPr="00756410" w:rsidRDefault="00602A61"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76C4325E" w14:textId="77777777" w:rsidTr="24F5DBB9">
        <w:trPr>
          <w:trHeight w:val="20"/>
        </w:trPr>
        <w:tc>
          <w:tcPr>
            <w:tcW w:w="2160" w:type="dxa"/>
            <w:vMerge/>
          </w:tcPr>
          <w:p w14:paraId="2D468EF1" w14:textId="77777777" w:rsidR="00602A61" w:rsidRPr="00963907" w:rsidRDefault="00602A61" w:rsidP="00C26CCF">
            <w:pPr>
              <w:spacing w:after="0" w:line="240" w:lineRule="auto"/>
              <w:rPr>
                <w:rFonts w:cstheme="minorHAnsi"/>
                <w:sz w:val="20"/>
                <w:szCs w:val="20"/>
              </w:rPr>
            </w:pPr>
          </w:p>
        </w:tc>
        <w:tc>
          <w:tcPr>
            <w:tcW w:w="4950" w:type="dxa"/>
          </w:tcPr>
          <w:p w14:paraId="06E687ED" w14:textId="60CBB9D5" w:rsidR="00602A61" w:rsidRPr="00756410" w:rsidRDefault="00602A61">
            <w:pPr>
              <w:pStyle w:val="ListParagraph"/>
              <w:widowControl w:val="0"/>
              <w:numPr>
                <w:ilvl w:val="0"/>
                <w:numId w:val="88"/>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Actuar como Gerente de Aprobación en proyectos propios (desarrollo o gestión), ya que es un conflicto de intereses</w:t>
            </w:r>
          </w:p>
        </w:tc>
        <w:tc>
          <w:tcPr>
            <w:tcW w:w="3240" w:type="dxa"/>
          </w:tcPr>
          <w:p w14:paraId="54F93071" w14:textId="1F96F2B9" w:rsidR="00602A61" w:rsidRPr="00756410" w:rsidRDefault="00602A61" w:rsidP="363CA695">
            <w:pPr>
              <w:widowControl w:val="0"/>
              <w:autoSpaceDE w:val="0"/>
              <w:autoSpaceDN w:val="0"/>
              <w:spacing w:after="0" w:line="240" w:lineRule="auto"/>
              <w:rPr>
                <w:sz w:val="20"/>
                <w:szCs w:val="20"/>
                <w:lang w:val="es-419"/>
              </w:rPr>
            </w:pPr>
            <w:r w:rsidRPr="00756410">
              <w:rPr>
                <w:sz w:val="20"/>
                <w:szCs w:val="20"/>
                <w:lang w:val="es-419"/>
              </w:rPr>
              <w:t>No. Violaciones monitoreadas a través de Informes de Monitoreo de ICF. Véase el Anexo 1.</w:t>
            </w:r>
          </w:p>
        </w:tc>
      </w:tr>
      <w:tr w:rsidR="003C2B04" w:rsidRPr="00963907" w14:paraId="3D722C93" w14:textId="0F5B8001" w:rsidTr="24F5DBB9">
        <w:trPr>
          <w:trHeight w:val="20"/>
        </w:trPr>
        <w:tc>
          <w:tcPr>
            <w:tcW w:w="2160" w:type="dxa"/>
          </w:tcPr>
          <w:p w14:paraId="1993F65D" w14:textId="396C3BFB" w:rsidR="00532E13" w:rsidRDefault="469D8B7A" w:rsidP="24F5DBB9">
            <w:pPr>
              <w:spacing w:after="0" w:line="240" w:lineRule="auto"/>
              <w:rPr>
                <w:i/>
                <w:iCs/>
                <w:sz w:val="20"/>
                <w:szCs w:val="20"/>
                <w:lang w:val="es-ES"/>
              </w:rPr>
            </w:pPr>
            <w:r w:rsidRPr="00756410">
              <w:rPr>
                <w:sz w:val="20"/>
                <w:szCs w:val="20"/>
                <w:lang w:val="es-ES"/>
              </w:rPr>
              <w:t xml:space="preserve">Oficial de </w:t>
            </w:r>
            <w:r w:rsidR="04DE69C2" w:rsidRPr="24F5DBB9">
              <w:rPr>
                <w:sz w:val="20"/>
                <w:szCs w:val="20"/>
                <w:lang w:val="es-ES"/>
              </w:rPr>
              <w:t>D</w:t>
            </w:r>
            <w:r w:rsidRPr="00756410">
              <w:rPr>
                <w:sz w:val="20"/>
                <w:szCs w:val="20"/>
                <w:lang w:val="es-ES"/>
              </w:rPr>
              <w:t xml:space="preserve">esembolso </w:t>
            </w:r>
            <w:r w:rsidRPr="00756410">
              <w:rPr>
                <w:i/>
                <w:iCs/>
                <w:sz w:val="20"/>
                <w:szCs w:val="20"/>
                <w:lang w:val="es-ES"/>
              </w:rPr>
              <w:t>(3ª Autoridad)</w:t>
            </w:r>
          </w:p>
          <w:p w14:paraId="55A14F28" w14:textId="55695BBC" w:rsidR="004017E7" w:rsidRPr="00756410" w:rsidRDefault="004017E7" w:rsidP="00C26CCF">
            <w:pPr>
              <w:spacing w:after="0" w:line="240" w:lineRule="auto"/>
              <w:rPr>
                <w:rFonts w:cstheme="minorHAnsi"/>
                <w:sz w:val="20"/>
                <w:szCs w:val="20"/>
                <w:lang w:val="es-ES"/>
              </w:rPr>
            </w:pPr>
            <w:r>
              <w:rPr>
                <w:rFonts w:cstheme="minorHAnsi"/>
                <w:i/>
                <w:iCs/>
                <w:sz w:val="20"/>
                <w:szCs w:val="20"/>
                <w:lang w:val="es-ES"/>
              </w:rPr>
              <w:t>[Disbursing Officer]</w:t>
            </w:r>
          </w:p>
        </w:tc>
        <w:tc>
          <w:tcPr>
            <w:tcW w:w="4950" w:type="dxa"/>
          </w:tcPr>
          <w:p w14:paraId="28669018" w14:textId="38BE0904"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 una 1ª Autoridad</w:t>
            </w:r>
          </w:p>
          <w:p w14:paraId="01B2A50A" w14:textId="1004A0FF"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Sea una 2ª Autoridad</w:t>
            </w:r>
          </w:p>
        </w:tc>
        <w:tc>
          <w:tcPr>
            <w:tcW w:w="3240" w:type="dxa"/>
          </w:tcPr>
          <w:p w14:paraId="444A53D8" w14:textId="20D7816E"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233BC09C" w14:textId="1CF0BA6F" w:rsidTr="24F5DBB9">
        <w:trPr>
          <w:trHeight w:val="20"/>
        </w:trPr>
        <w:tc>
          <w:tcPr>
            <w:tcW w:w="2160" w:type="dxa"/>
          </w:tcPr>
          <w:p w14:paraId="6024E93B" w14:textId="70E65966" w:rsidR="00532E13" w:rsidRDefault="00532E13" w:rsidP="00C26CCF">
            <w:pPr>
              <w:spacing w:after="0" w:line="240" w:lineRule="auto"/>
              <w:rPr>
                <w:rFonts w:cstheme="minorHAnsi"/>
                <w:sz w:val="20"/>
                <w:szCs w:val="20"/>
              </w:rPr>
            </w:pPr>
            <w:r w:rsidRPr="00963907">
              <w:rPr>
                <w:rFonts w:cstheme="minorHAnsi"/>
                <w:sz w:val="20"/>
                <w:szCs w:val="20"/>
              </w:rPr>
              <w:t>Jefe de Oficina/Unidad</w:t>
            </w:r>
          </w:p>
          <w:p w14:paraId="20FF05E6" w14:textId="2F87B7C3" w:rsidR="004017E7" w:rsidRPr="00963907" w:rsidRDefault="004017E7" w:rsidP="00C26CCF">
            <w:pPr>
              <w:spacing w:after="0" w:line="240" w:lineRule="auto"/>
              <w:rPr>
                <w:rFonts w:cstheme="minorHAnsi"/>
                <w:sz w:val="20"/>
                <w:szCs w:val="20"/>
              </w:rPr>
            </w:pPr>
            <w:r>
              <w:rPr>
                <w:rFonts w:cstheme="minorHAnsi"/>
                <w:sz w:val="20"/>
                <w:szCs w:val="20"/>
              </w:rPr>
              <w:t>[</w:t>
            </w:r>
            <w:r w:rsidRPr="00756410">
              <w:rPr>
                <w:rFonts w:cstheme="minorHAnsi"/>
                <w:i/>
                <w:iCs/>
                <w:sz w:val="20"/>
                <w:szCs w:val="20"/>
              </w:rPr>
              <w:t>Head of Office</w:t>
            </w:r>
            <w:r>
              <w:rPr>
                <w:rFonts w:cstheme="minorHAnsi"/>
                <w:sz w:val="20"/>
                <w:szCs w:val="20"/>
              </w:rPr>
              <w:t>]</w:t>
            </w:r>
          </w:p>
          <w:p w14:paraId="03146783" w14:textId="77777777" w:rsidR="00532E13" w:rsidRPr="00963907" w:rsidRDefault="00532E13" w:rsidP="00C26CCF">
            <w:pPr>
              <w:spacing w:after="0" w:line="240" w:lineRule="auto"/>
              <w:rPr>
                <w:rFonts w:cstheme="minorHAnsi"/>
                <w:sz w:val="20"/>
                <w:szCs w:val="20"/>
              </w:rPr>
            </w:pPr>
          </w:p>
        </w:tc>
        <w:tc>
          <w:tcPr>
            <w:tcW w:w="4950" w:type="dxa"/>
          </w:tcPr>
          <w:p w14:paraId="40D3AF5B" w14:textId="192BFFEE"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Firmar acuerdos de fondos fiduciarios a menos que lo autorice el Administrador Asociado</w:t>
            </w:r>
          </w:p>
          <w:p w14:paraId="40E37E39" w14:textId="77777777"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Abrir/cerrar cuentas bancarias</w:t>
            </w:r>
          </w:p>
          <w:p w14:paraId="13FB1AB1" w14:textId="3F287D24" w:rsidR="00397C9D"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 xml:space="preserve">Aprobar más de 5 pagos manuales </w:t>
            </w:r>
          </w:p>
        </w:tc>
        <w:tc>
          <w:tcPr>
            <w:tcW w:w="3240" w:type="dxa"/>
          </w:tcPr>
          <w:p w14:paraId="5A2CE4A7" w14:textId="6B0870BA" w:rsidR="00532E13" w:rsidRPr="00756410" w:rsidRDefault="00532E13"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No, fuera del ERP</w:t>
            </w:r>
          </w:p>
        </w:tc>
      </w:tr>
      <w:tr w:rsidR="00B01ACD" w:rsidRPr="00773863" w14:paraId="6D5D765A" w14:textId="259E866D" w:rsidTr="24F5DBB9">
        <w:trPr>
          <w:trHeight w:val="20"/>
        </w:trPr>
        <w:tc>
          <w:tcPr>
            <w:tcW w:w="2160" w:type="dxa"/>
            <w:vMerge w:val="restart"/>
          </w:tcPr>
          <w:p w14:paraId="31889BD0" w14:textId="77777777" w:rsidR="004A44F6" w:rsidRDefault="004A44F6" w:rsidP="00C26CCF">
            <w:pPr>
              <w:spacing w:after="0" w:line="240" w:lineRule="auto"/>
              <w:rPr>
                <w:rFonts w:cstheme="minorHAnsi"/>
                <w:sz w:val="20"/>
                <w:szCs w:val="20"/>
              </w:rPr>
            </w:pPr>
            <w:r w:rsidRPr="00963907">
              <w:rPr>
                <w:rFonts w:cstheme="minorHAnsi"/>
                <w:sz w:val="20"/>
                <w:szCs w:val="20"/>
              </w:rPr>
              <w:t>Comprador</w:t>
            </w:r>
          </w:p>
          <w:p w14:paraId="4658DF03" w14:textId="2DD6ED4E" w:rsidR="004017E7" w:rsidRPr="00963907" w:rsidRDefault="004017E7" w:rsidP="00C26CCF">
            <w:pPr>
              <w:spacing w:after="0" w:line="240" w:lineRule="auto"/>
              <w:rPr>
                <w:rFonts w:cstheme="minorHAnsi"/>
                <w:sz w:val="20"/>
                <w:szCs w:val="20"/>
              </w:rPr>
            </w:pPr>
            <w:r>
              <w:rPr>
                <w:rFonts w:cstheme="minorHAnsi"/>
                <w:sz w:val="20"/>
                <w:szCs w:val="20"/>
              </w:rPr>
              <w:t>[</w:t>
            </w:r>
            <w:r w:rsidRPr="00756410">
              <w:rPr>
                <w:rFonts w:cstheme="minorHAnsi"/>
                <w:i/>
                <w:iCs/>
                <w:sz w:val="20"/>
                <w:szCs w:val="20"/>
              </w:rPr>
              <w:t>Buyer</w:t>
            </w:r>
            <w:r>
              <w:rPr>
                <w:rFonts w:cstheme="minorHAnsi"/>
                <w:sz w:val="20"/>
                <w:szCs w:val="20"/>
              </w:rPr>
              <w:t>]</w:t>
            </w:r>
          </w:p>
        </w:tc>
        <w:tc>
          <w:tcPr>
            <w:tcW w:w="4950" w:type="dxa"/>
          </w:tcPr>
          <w:p w14:paraId="1324299F" w14:textId="0845E115" w:rsidR="004A44F6" w:rsidRPr="00756410" w:rsidRDefault="2538A479" w:rsidP="24F5DBB9">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Realizar </w:t>
            </w:r>
            <w:r w:rsidR="22D2591A" w:rsidRPr="00756410">
              <w:rPr>
                <w:sz w:val="20"/>
                <w:szCs w:val="20"/>
                <w:lang w:val="es-419"/>
              </w:rPr>
              <w:t xml:space="preserve">el mantenimiento del proveedor </w:t>
            </w:r>
          </w:p>
        </w:tc>
        <w:tc>
          <w:tcPr>
            <w:tcW w:w="3240" w:type="dxa"/>
          </w:tcPr>
          <w:p w14:paraId="4D97C216" w14:textId="66A303AA" w:rsidR="004A44F6" w:rsidRPr="00756410" w:rsidRDefault="004A44F6" w:rsidP="004A44F6">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Parcialmente. Véanse las medidas provisionales en la sección 2.1.</w:t>
            </w:r>
          </w:p>
        </w:tc>
      </w:tr>
      <w:tr w:rsidR="003C2B04" w:rsidRPr="00963907" w14:paraId="50DE77E9" w14:textId="77777777" w:rsidTr="24F5DBB9">
        <w:trPr>
          <w:trHeight w:val="20"/>
        </w:trPr>
        <w:tc>
          <w:tcPr>
            <w:tcW w:w="2160" w:type="dxa"/>
            <w:vMerge/>
          </w:tcPr>
          <w:p w14:paraId="08DA8A7A" w14:textId="77777777" w:rsidR="004A44F6" w:rsidRPr="00756410" w:rsidRDefault="004A44F6" w:rsidP="00C26CCF">
            <w:pPr>
              <w:spacing w:after="0" w:line="240" w:lineRule="auto"/>
              <w:rPr>
                <w:rFonts w:cstheme="minorHAnsi"/>
                <w:sz w:val="20"/>
                <w:szCs w:val="20"/>
                <w:lang w:val="es-419"/>
              </w:rPr>
            </w:pPr>
          </w:p>
        </w:tc>
        <w:tc>
          <w:tcPr>
            <w:tcW w:w="4950" w:type="dxa"/>
          </w:tcPr>
          <w:p w14:paraId="42FF261D" w14:textId="3DDB48CD" w:rsidR="004A44F6" w:rsidRPr="00756410" w:rsidRDefault="514C8332" w:rsidP="0EA64380">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Ser </w:t>
            </w:r>
            <w:r w:rsidR="610E817D" w:rsidRPr="00756410">
              <w:rPr>
                <w:sz w:val="20"/>
                <w:szCs w:val="20"/>
                <w:lang w:val="es-419"/>
              </w:rPr>
              <w:t>a</w:t>
            </w:r>
            <w:r w:rsidR="22D2591A" w:rsidRPr="00756410">
              <w:rPr>
                <w:sz w:val="20"/>
                <w:szCs w:val="20"/>
                <w:lang w:val="es-419"/>
              </w:rPr>
              <w:t xml:space="preserve">probador de proveedores </w:t>
            </w:r>
          </w:p>
        </w:tc>
        <w:tc>
          <w:tcPr>
            <w:tcW w:w="3240" w:type="dxa"/>
          </w:tcPr>
          <w:p w14:paraId="5165FE6D" w14:textId="1E3EAC32" w:rsidR="004A44F6" w:rsidRPr="00756410" w:rsidRDefault="004A44F6"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Sí</w:t>
            </w:r>
          </w:p>
        </w:tc>
      </w:tr>
      <w:tr w:rsidR="003C2B04" w:rsidRPr="00963907" w14:paraId="0A72DC09" w14:textId="77777777" w:rsidTr="24F5DBB9">
        <w:trPr>
          <w:trHeight w:val="20"/>
        </w:trPr>
        <w:tc>
          <w:tcPr>
            <w:tcW w:w="2160" w:type="dxa"/>
            <w:vMerge/>
          </w:tcPr>
          <w:p w14:paraId="788EE286" w14:textId="77777777" w:rsidR="004A44F6" w:rsidRPr="00963907" w:rsidRDefault="004A44F6" w:rsidP="00C26CCF">
            <w:pPr>
              <w:spacing w:after="0" w:line="240" w:lineRule="auto"/>
              <w:rPr>
                <w:rFonts w:cstheme="minorHAnsi"/>
                <w:sz w:val="20"/>
                <w:szCs w:val="20"/>
              </w:rPr>
            </w:pPr>
          </w:p>
        </w:tc>
        <w:tc>
          <w:tcPr>
            <w:tcW w:w="4950" w:type="dxa"/>
          </w:tcPr>
          <w:p w14:paraId="071E389B" w14:textId="77777777" w:rsidR="004A44F6"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Aprobar órdenes de compra</w:t>
            </w:r>
          </w:p>
          <w:p w14:paraId="2D6E3680" w14:textId="77777777" w:rsidR="004A44F6"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Recibir bienes/servicios/obras</w:t>
            </w:r>
          </w:p>
          <w:p w14:paraId="1C952824" w14:textId="782D9C12" w:rsidR="004A44F6" w:rsidRPr="00756410" w:rsidRDefault="004A44F6">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Aprobar facturas o pagos</w:t>
            </w:r>
          </w:p>
        </w:tc>
        <w:tc>
          <w:tcPr>
            <w:tcW w:w="3240" w:type="dxa"/>
          </w:tcPr>
          <w:p w14:paraId="2131B17D" w14:textId="29CC4424" w:rsidR="004A44F6" w:rsidRPr="00756410" w:rsidRDefault="004A44F6"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Sí</w:t>
            </w:r>
          </w:p>
        </w:tc>
      </w:tr>
      <w:tr w:rsidR="00C27124" w:rsidRPr="00963907" w14:paraId="682B5502" w14:textId="0CB81FB9" w:rsidTr="24F5DBB9">
        <w:trPr>
          <w:trHeight w:val="20"/>
        </w:trPr>
        <w:tc>
          <w:tcPr>
            <w:tcW w:w="2160" w:type="dxa"/>
            <w:vMerge w:val="restart"/>
          </w:tcPr>
          <w:p w14:paraId="6E991D4E" w14:textId="77777777" w:rsidR="00532E13" w:rsidRDefault="00532E13" w:rsidP="00C26CCF">
            <w:pPr>
              <w:spacing w:after="0" w:line="240" w:lineRule="auto"/>
              <w:rPr>
                <w:rFonts w:cstheme="minorHAnsi"/>
                <w:sz w:val="20"/>
                <w:szCs w:val="20"/>
                <w:lang w:val="es-ES"/>
              </w:rPr>
            </w:pPr>
            <w:r w:rsidRPr="00756410">
              <w:rPr>
                <w:rFonts w:cstheme="minorHAnsi"/>
                <w:sz w:val="20"/>
                <w:szCs w:val="20"/>
                <w:lang w:val="es-ES"/>
              </w:rPr>
              <w:t>Signatario de la cuenta bancaria</w:t>
            </w:r>
          </w:p>
          <w:p w14:paraId="35924060" w14:textId="637D3140" w:rsidR="004017E7" w:rsidRPr="00756410" w:rsidRDefault="004017E7" w:rsidP="00C26CCF">
            <w:pPr>
              <w:spacing w:after="0" w:line="240" w:lineRule="auto"/>
              <w:rPr>
                <w:rFonts w:cstheme="minorHAnsi"/>
                <w:sz w:val="20"/>
                <w:szCs w:val="20"/>
                <w:lang w:val="es-ES"/>
              </w:rPr>
            </w:pPr>
            <w:r>
              <w:rPr>
                <w:rFonts w:cstheme="minorHAnsi"/>
                <w:sz w:val="20"/>
                <w:szCs w:val="20"/>
                <w:lang w:val="es-ES"/>
              </w:rPr>
              <w:t>[</w:t>
            </w:r>
            <w:r w:rsidRPr="00756410">
              <w:rPr>
                <w:rFonts w:cstheme="minorHAnsi"/>
                <w:i/>
                <w:iCs/>
                <w:sz w:val="20"/>
                <w:szCs w:val="20"/>
                <w:lang w:val="es-ES"/>
              </w:rPr>
              <w:t>Bank Account Signatory</w:t>
            </w:r>
            <w:r>
              <w:rPr>
                <w:rFonts w:cstheme="minorHAnsi"/>
                <w:sz w:val="20"/>
                <w:szCs w:val="20"/>
                <w:lang w:val="es-ES"/>
              </w:rPr>
              <w:t>]</w:t>
            </w:r>
          </w:p>
        </w:tc>
        <w:tc>
          <w:tcPr>
            <w:tcW w:w="4950" w:type="dxa"/>
            <w:tcBorders>
              <w:bottom w:val="nil"/>
            </w:tcBorders>
          </w:tcPr>
          <w:p w14:paraId="0827566D" w14:textId="002D7D76"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Realizar conciliaciones bancarias</w:t>
            </w:r>
          </w:p>
        </w:tc>
        <w:tc>
          <w:tcPr>
            <w:tcW w:w="3240" w:type="dxa"/>
            <w:vMerge w:val="restart"/>
          </w:tcPr>
          <w:p w14:paraId="0EA5B4C8" w14:textId="0237D638"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5D6B59" w:rsidRPr="00963907" w14:paraId="0C02DAE2" w14:textId="77777777" w:rsidTr="24F5DBB9">
        <w:trPr>
          <w:trHeight w:val="20"/>
        </w:trPr>
        <w:tc>
          <w:tcPr>
            <w:tcW w:w="2160" w:type="dxa"/>
            <w:vMerge/>
          </w:tcPr>
          <w:p w14:paraId="46771F28" w14:textId="77777777" w:rsidR="00532E13" w:rsidRPr="00963907" w:rsidRDefault="00532E13" w:rsidP="00C26CCF">
            <w:pPr>
              <w:spacing w:after="0" w:line="240" w:lineRule="auto"/>
              <w:rPr>
                <w:rFonts w:cstheme="minorHAnsi"/>
                <w:sz w:val="20"/>
                <w:szCs w:val="20"/>
              </w:rPr>
            </w:pPr>
          </w:p>
        </w:tc>
        <w:tc>
          <w:tcPr>
            <w:tcW w:w="4950" w:type="dxa"/>
            <w:tcBorders>
              <w:top w:val="nil"/>
              <w:left w:val="single" w:sz="4" w:space="0" w:color="auto"/>
              <w:bottom w:val="nil"/>
              <w:right w:val="single" w:sz="4" w:space="0" w:color="auto"/>
            </w:tcBorders>
          </w:tcPr>
          <w:p w14:paraId="62F310CE" w14:textId="089E60AC"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facturas de pago</w:t>
            </w:r>
          </w:p>
        </w:tc>
        <w:tc>
          <w:tcPr>
            <w:tcW w:w="3240" w:type="dxa"/>
            <w:vMerge/>
          </w:tcPr>
          <w:p w14:paraId="21D88F6C" w14:textId="77777777" w:rsidR="00532E13" w:rsidRPr="00756410"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lang w:val="es-419"/>
              </w:rPr>
            </w:pPr>
          </w:p>
        </w:tc>
      </w:tr>
      <w:tr w:rsidR="00C27124" w:rsidRPr="00963907" w14:paraId="6137F29A" w14:textId="77777777" w:rsidTr="24F5DBB9">
        <w:trPr>
          <w:trHeight w:val="20"/>
        </w:trPr>
        <w:tc>
          <w:tcPr>
            <w:tcW w:w="2160" w:type="dxa"/>
            <w:vMerge/>
          </w:tcPr>
          <w:p w14:paraId="2C83AA96" w14:textId="77777777" w:rsidR="00532E13" w:rsidRPr="00963907" w:rsidRDefault="00532E13" w:rsidP="00C26CCF">
            <w:pPr>
              <w:spacing w:after="0" w:line="240" w:lineRule="auto"/>
              <w:rPr>
                <w:rFonts w:cstheme="minorHAnsi"/>
                <w:sz w:val="20"/>
                <w:szCs w:val="20"/>
              </w:rPr>
            </w:pPr>
          </w:p>
        </w:tc>
        <w:tc>
          <w:tcPr>
            <w:tcW w:w="4950" w:type="dxa"/>
            <w:tcBorders>
              <w:top w:val="nil"/>
            </w:tcBorders>
          </w:tcPr>
          <w:p w14:paraId="52340326" w14:textId="7C73C7ED"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depósitos</w:t>
            </w:r>
          </w:p>
        </w:tc>
        <w:tc>
          <w:tcPr>
            <w:tcW w:w="3240" w:type="dxa"/>
            <w:vMerge/>
          </w:tcPr>
          <w:p w14:paraId="3069ADA9" w14:textId="77777777" w:rsidR="00532E13" w:rsidRPr="00756410"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lang w:val="es-419"/>
              </w:rPr>
            </w:pPr>
          </w:p>
        </w:tc>
      </w:tr>
      <w:tr w:rsidR="003C2B04" w:rsidRPr="00963907" w14:paraId="17C4E63B" w14:textId="77777777" w:rsidTr="24F5DBB9">
        <w:trPr>
          <w:trHeight w:val="20"/>
        </w:trPr>
        <w:tc>
          <w:tcPr>
            <w:tcW w:w="2160" w:type="dxa"/>
            <w:vMerge/>
          </w:tcPr>
          <w:p w14:paraId="63711C3D" w14:textId="77777777" w:rsidR="00532E13" w:rsidRPr="00963907" w:rsidRDefault="00532E13" w:rsidP="00C26CCF">
            <w:pPr>
              <w:spacing w:after="0" w:line="240" w:lineRule="auto"/>
              <w:rPr>
                <w:rFonts w:cstheme="minorHAnsi"/>
                <w:sz w:val="20"/>
                <w:szCs w:val="20"/>
              </w:rPr>
            </w:pPr>
          </w:p>
        </w:tc>
        <w:tc>
          <w:tcPr>
            <w:tcW w:w="4950" w:type="dxa"/>
          </w:tcPr>
          <w:p w14:paraId="05553DA2" w14:textId="49CEC150"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Aprobar proveedores si el Tesorero lo autoriza a ser signatario único de la cuenta bancaria</w:t>
            </w:r>
          </w:p>
        </w:tc>
        <w:tc>
          <w:tcPr>
            <w:tcW w:w="3240" w:type="dxa"/>
          </w:tcPr>
          <w:p w14:paraId="322A31CA" w14:textId="1866636E" w:rsidR="00532E13" w:rsidRPr="00756410" w:rsidRDefault="004862D6"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No, requiere monitoreo manual</w:t>
            </w:r>
          </w:p>
        </w:tc>
      </w:tr>
      <w:tr w:rsidR="003C2B04" w:rsidRPr="00963907" w14:paraId="5C8C66CC" w14:textId="77777777" w:rsidTr="24F5DBB9">
        <w:trPr>
          <w:trHeight w:val="20"/>
        </w:trPr>
        <w:tc>
          <w:tcPr>
            <w:tcW w:w="2160" w:type="dxa"/>
            <w:vMerge/>
          </w:tcPr>
          <w:p w14:paraId="7850726F" w14:textId="77777777" w:rsidR="00532E13" w:rsidRPr="00963907" w:rsidRDefault="00532E13" w:rsidP="00C26CCF">
            <w:pPr>
              <w:spacing w:after="0" w:line="240" w:lineRule="auto"/>
              <w:rPr>
                <w:rFonts w:cstheme="minorHAnsi"/>
                <w:sz w:val="20"/>
                <w:szCs w:val="20"/>
              </w:rPr>
            </w:pPr>
          </w:p>
        </w:tc>
        <w:tc>
          <w:tcPr>
            <w:tcW w:w="4950" w:type="dxa"/>
          </w:tcPr>
          <w:p w14:paraId="414300D7" w14:textId="301D57E4"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Servir como signatarios de las cuentas bancarias NEX/NIM abiertas por los IP</w:t>
            </w:r>
          </w:p>
        </w:tc>
        <w:tc>
          <w:tcPr>
            <w:tcW w:w="3240" w:type="dxa"/>
          </w:tcPr>
          <w:p w14:paraId="4283FCF7" w14:textId="045C6BF7" w:rsidR="00532E13" w:rsidRPr="00756410" w:rsidRDefault="00532E13" w:rsidP="00532E13">
            <w:pPr>
              <w:widowControl w:val="0"/>
              <w:autoSpaceDE w:val="0"/>
              <w:autoSpaceDN w:val="0"/>
              <w:spacing w:after="0" w:line="240" w:lineRule="auto"/>
              <w:jc w:val="both"/>
              <w:rPr>
                <w:rFonts w:cstheme="minorHAnsi"/>
                <w:sz w:val="20"/>
                <w:szCs w:val="20"/>
                <w:lang w:val="es-419"/>
              </w:rPr>
            </w:pPr>
            <w:r w:rsidRPr="00756410">
              <w:rPr>
                <w:rFonts w:cstheme="minorHAnsi"/>
                <w:sz w:val="20"/>
                <w:szCs w:val="20"/>
                <w:lang w:val="es-419"/>
              </w:rPr>
              <w:t>No, fuera del ERP</w:t>
            </w:r>
          </w:p>
        </w:tc>
      </w:tr>
      <w:tr w:rsidR="003C2B04" w:rsidRPr="009075C6" w14:paraId="55E69254" w14:textId="77777777" w:rsidTr="24F5DBB9">
        <w:trPr>
          <w:trHeight w:val="20"/>
        </w:trPr>
        <w:tc>
          <w:tcPr>
            <w:tcW w:w="2160" w:type="dxa"/>
          </w:tcPr>
          <w:p w14:paraId="5A80781C" w14:textId="2084BC69" w:rsidR="00445680" w:rsidRDefault="00445680" w:rsidP="00445680">
            <w:pPr>
              <w:spacing w:after="0" w:line="240" w:lineRule="auto"/>
              <w:rPr>
                <w:rFonts w:cstheme="minorHAnsi"/>
                <w:sz w:val="20"/>
                <w:szCs w:val="20"/>
              </w:rPr>
            </w:pPr>
            <w:r>
              <w:rPr>
                <w:rFonts w:cstheme="minorHAnsi"/>
                <w:sz w:val="20"/>
                <w:szCs w:val="20"/>
              </w:rPr>
              <w:t>Administrador</w:t>
            </w:r>
            <w:r w:rsidRPr="00D2258D">
              <w:rPr>
                <w:rFonts w:cstheme="minorHAnsi"/>
                <w:sz w:val="20"/>
                <w:szCs w:val="20"/>
              </w:rPr>
              <w:t xml:space="preserve"> de activos</w:t>
            </w:r>
          </w:p>
          <w:p w14:paraId="2D3E9068" w14:textId="3C1A4AFF" w:rsidR="00445680" w:rsidRPr="00D2258D" w:rsidRDefault="00445680" w:rsidP="00445680">
            <w:pPr>
              <w:spacing w:after="0" w:line="240" w:lineRule="auto"/>
              <w:rPr>
                <w:rFonts w:cstheme="minorHAnsi"/>
                <w:sz w:val="20"/>
                <w:szCs w:val="20"/>
              </w:rPr>
            </w:pPr>
            <w:r>
              <w:rPr>
                <w:rFonts w:cstheme="minorHAnsi"/>
                <w:sz w:val="20"/>
                <w:szCs w:val="20"/>
              </w:rPr>
              <w:t>[</w:t>
            </w:r>
            <w:r w:rsidRPr="00756410">
              <w:rPr>
                <w:rFonts w:cstheme="minorHAnsi"/>
                <w:i/>
                <w:sz w:val="20"/>
                <w:szCs w:val="20"/>
              </w:rPr>
              <w:t>Asset Manager</w:t>
            </w:r>
            <w:r>
              <w:rPr>
                <w:rFonts w:cstheme="minorHAnsi"/>
                <w:sz w:val="20"/>
                <w:szCs w:val="20"/>
              </w:rPr>
              <w:t>]</w:t>
            </w:r>
          </w:p>
        </w:tc>
        <w:tc>
          <w:tcPr>
            <w:tcW w:w="4950" w:type="dxa"/>
          </w:tcPr>
          <w:p w14:paraId="5436AAA4" w14:textId="1F3CDD1E"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2C56A7">
              <w:rPr>
                <w:rFonts w:cstheme="minorHAnsi"/>
                <w:sz w:val="20"/>
                <w:szCs w:val="20"/>
                <w:lang w:val="es-419"/>
              </w:rPr>
              <w:t>Ser el Punto Focal de Activos o el Coordinador de Verificación Física de Activos Fijos</w:t>
            </w:r>
          </w:p>
        </w:tc>
        <w:tc>
          <w:tcPr>
            <w:tcW w:w="3240" w:type="dxa"/>
          </w:tcPr>
          <w:p w14:paraId="503D2CA5" w14:textId="3F19A4D5"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0CA7BCB0" w14:textId="71E4D0D7" w:rsidTr="24F5DBB9">
        <w:trPr>
          <w:trHeight w:val="20"/>
        </w:trPr>
        <w:tc>
          <w:tcPr>
            <w:tcW w:w="2160" w:type="dxa"/>
          </w:tcPr>
          <w:p w14:paraId="6ADB85D1" w14:textId="77777777" w:rsidR="00445680" w:rsidRDefault="00445680" w:rsidP="00445680">
            <w:pPr>
              <w:spacing w:after="0" w:line="240" w:lineRule="auto"/>
              <w:rPr>
                <w:rFonts w:cstheme="minorHAnsi"/>
                <w:sz w:val="20"/>
                <w:szCs w:val="20"/>
              </w:rPr>
            </w:pPr>
            <w:r w:rsidRPr="00D2258D">
              <w:rPr>
                <w:rFonts w:cstheme="minorHAnsi"/>
                <w:sz w:val="20"/>
                <w:szCs w:val="20"/>
              </w:rPr>
              <w:t>Punto focal de activos</w:t>
            </w:r>
          </w:p>
          <w:p w14:paraId="61691D85" w14:textId="5AB83786" w:rsidR="00445680" w:rsidRPr="00D2258D" w:rsidRDefault="00445680" w:rsidP="00445680">
            <w:pPr>
              <w:spacing w:after="0" w:line="240" w:lineRule="auto"/>
              <w:rPr>
                <w:rFonts w:cstheme="minorHAnsi"/>
                <w:sz w:val="20"/>
                <w:szCs w:val="20"/>
              </w:rPr>
            </w:pPr>
            <w:r>
              <w:rPr>
                <w:rFonts w:cstheme="minorHAnsi"/>
                <w:sz w:val="20"/>
                <w:szCs w:val="20"/>
              </w:rPr>
              <w:t>[</w:t>
            </w:r>
            <w:r w:rsidRPr="00756410">
              <w:rPr>
                <w:rFonts w:cstheme="minorHAnsi"/>
                <w:i/>
                <w:iCs/>
                <w:sz w:val="20"/>
                <w:szCs w:val="20"/>
              </w:rPr>
              <w:t>Asset Focal Point</w:t>
            </w:r>
            <w:r>
              <w:rPr>
                <w:rFonts w:cstheme="minorHAnsi"/>
                <w:sz w:val="20"/>
                <w:szCs w:val="20"/>
              </w:rPr>
              <w:t>]</w:t>
            </w:r>
          </w:p>
        </w:tc>
        <w:tc>
          <w:tcPr>
            <w:tcW w:w="4950" w:type="dxa"/>
          </w:tcPr>
          <w:p w14:paraId="189E5175" w14:textId="7CFB7A9F"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2C56A7">
              <w:rPr>
                <w:rFonts w:cstheme="minorHAnsi"/>
                <w:sz w:val="20"/>
                <w:szCs w:val="20"/>
                <w:lang w:val="es-419"/>
              </w:rPr>
              <w:t>Ser el Administrador de Activos o el Coordinador de Verificación Física de Activos Fijos</w:t>
            </w:r>
          </w:p>
        </w:tc>
        <w:tc>
          <w:tcPr>
            <w:tcW w:w="3240" w:type="dxa"/>
          </w:tcPr>
          <w:p w14:paraId="722CAFCE" w14:textId="200EB375"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7FBF05D4" w14:textId="2CDFE3BB" w:rsidTr="24F5DBB9">
        <w:trPr>
          <w:trHeight w:val="20"/>
        </w:trPr>
        <w:tc>
          <w:tcPr>
            <w:tcW w:w="2160" w:type="dxa"/>
          </w:tcPr>
          <w:p w14:paraId="61739D7D" w14:textId="77777777"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Coordinador de Activos Fijos</w:t>
            </w:r>
          </w:p>
          <w:p w14:paraId="19FE74D8" w14:textId="4A5D861C"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lastRenderedPageBreak/>
              <w:t>[</w:t>
            </w:r>
            <w:r w:rsidRPr="00756410">
              <w:rPr>
                <w:rFonts w:cstheme="minorHAnsi"/>
                <w:i/>
                <w:sz w:val="20"/>
                <w:szCs w:val="20"/>
                <w:lang w:val="es-419"/>
              </w:rPr>
              <w:t>Fixed Asset Coordinator</w:t>
            </w:r>
            <w:r w:rsidRPr="00756410">
              <w:rPr>
                <w:rFonts w:cstheme="minorHAnsi"/>
                <w:sz w:val="20"/>
                <w:szCs w:val="20"/>
                <w:lang w:val="es-419"/>
              </w:rPr>
              <w:t>]</w:t>
            </w:r>
          </w:p>
        </w:tc>
        <w:tc>
          <w:tcPr>
            <w:tcW w:w="4950" w:type="dxa"/>
          </w:tcPr>
          <w:p w14:paraId="51D55231" w14:textId="70F6BB75"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2C56A7">
              <w:rPr>
                <w:rFonts w:cstheme="minorHAnsi"/>
                <w:sz w:val="20"/>
                <w:szCs w:val="20"/>
                <w:lang w:val="es-419"/>
              </w:rPr>
              <w:lastRenderedPageBreak/>
              <w:t>Sea el Punto Focal de Activos o el Administrador de Activos</w:t>
            </w:r>
          </w:p>
        </w:tc>
        <w:tc>
          <w:tcPr>
            <w:tcW w:w="3240" w:type="dxa"/>
          </w:tcPr>
          <w:p w14:paraId="24304AB6" w14:textId="23060F75"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4AFDF98E" w14:textId="314A43F0" w:rsidTr="24F5DBB9">
        <w:trPr>
          <w:trHeight w:val="20"/>
        </w:trPr>
        <w:tc>
          <w:tcPr>
            <w:tcW w:w="2160" w:type="dxa"/>
          </w:tcPr>
          <w:p w14:paraId="570716E0" w14:textId="44826007"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Administrador de inventarios</w:t>
            </w:r>
          </w:p>
          <w:p w14:paraId="5E4F82A9" w14:textId="0D649A85"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Inventory Manager</w:t>
            </w:r>
            <w:r w:rsidRPr="00756410">
              <w:rPr>
                <w:rFonts w:cstheme="minorHAnsi"/>
                <w:sz w:val="20"/>
                <w:szCs w:val="20"/>
                <w:lang w:val="es-419"/>
              </w:rPr>
              <w:t>]</w:t>
            </w:r>
          </w:p>
        </w:tc>
        <w:tc>
          <w:tcPr>
            <w:tcW w:w="4950" w:type="dxa"/>
          </w:tcPr>
          <w:p w14:paraId="623CA11E" w14:textId="66D026B5"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 xml:space="preserve">Punto Focal de Inventario o </w:t>
            </w:r>
            <w:r w:rsidRPr="00756410">
              <w:rPr>
                <w:sz w:val="20"/>
                <w:szCs w:val="20"/>
                <w:lang w:val="es-419"/>
              </w:rPr>
              <w:t>Coordinador del Recuento Físico de Inventarios</w:t>
            </w:r>
          </w:p>
        </w:tc>
        <w:tc>
          <w:tcPr>
            <w:tcW w:w="3240" w:type="dxa"/>
          </w:tcPr>
          <w:p w14:paraId="091D2CD3" w14:textId="18A2E4F9"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4B62D137" w14:textId="16199E60" w:rsidTr="24F5DBB9">
        <w:trPr>
          <w:trHeight w:val="20"/>
        </w:trPr>
        <w:tc>
          <w:tcPr>
            <w:tcW w:w="2160" w:type="dxa"/>
          </w:tcPr>
          <w:p w14:paraId="445C949C" w14:textId="77777777"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Punto focal de inventario</w:t>
            </w:r>
          </w:p>
          <w:p w14:paraId="0C5B8785" w14:textId="011757FB"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Inventory Focal Point</w:t>
            </w:r>
            <w:r w:rsidRPr="00756410">
              <w:rPr>
                <w:rFonts w:cstheme="minorHAnsi"/>
                <w:sz w:val="20"/>
                <w:szCs w:val="20"/>
                <w:lang w:val="es-419"/>
              </w:rPr>
              <w:t>]</w:t>
            </w:r>
          </w:p>
        </w:tc>
        <w:tc>
          <w:tcPr>
            <w:tcW w:w="4950" w:type="dxa"/>
          </w:tcPr>
          <w:p w14:paraId="2E6A9F02" w14:textId="59BA2CF8" w:rsidR="00445680" w:rsidRPr="00756410" w:rsidRDefault="00445680" w:rsidP="00445680">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 xml:space="preserve">Ser un Administrador de Inventarios o el </w:t>
            </w:r>
            <w:r w:rsidRPr="00756410">
              <w:rPr>
                <w:sz w:val="20"/>
                <w:szCs w:val="20"/>
                <w:lang w:val="es-419"/>
              </w:rPr>
              <w:t>Coordinador del Recuento Físico de Inventarios</w:t>
            </w:r>
          </w:p>
        </w:tc>
        <w:tc>
          <w:tcPr>
            <w:tcW w:w="3240" w:type="dxa"/>
          </w:tcPr>
          <w:p w14:paraId="6FDD88B6" w14:textId="15E5225B"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207CEA28" w14:textId="4C11E192" w:rsidTr="24F5DBB9">
        <w:trPr>
          <w:trHeight w:val="20"/>
        </w:trPr>
        <w:tc>
          <w:tcPr>
            <w:tcW w:w="2160" w:type="dxa"/>
          </w:tcPr>
          <w:p w14:paraId="2529BD37" w14:textId="565BFCA3"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Coordinador del recuento físico de inventarios</w:t>
            </w:r>
          </w:p>
          <w:p w14:paraId="2900FB61" w14:textId="32B591B1" w:rsidR="00445680" w:rsidRPr="00756410" w:rsidRDefault="00445680" w:rsidP="00445680">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Inventory Physical Count Coordinator</w:t>
            </w:r>
            <w:r w:rsidRPr="00756410">
              <w:rPr>
                <w:rFonts w:cstheme="minorHAnsi"/>
                <w:sz w:val="20"/>
                <w:szCs w:val="20"/>
                <w:lang w:val="es-419"/>
              </w:rPr>
              <w:t>]</w:t>
            </w:r>
          </w:p>
        </w:tc>
        <w:tc>
          <w:tcPr>
            <w:tcW w:w="4950" w:type="dxa"/>
          </w:tcPr>
          <w:p w14:paraId="34364189" w14:textId="21F7CB30" w:rsidR="00445680" w:rsidRPr="00756410" w:rsidRDefault="00445680" w:rsidP="00445680">
            <w:pPr>
              <w:pStyle w:val="ListParagraph"/>
              <w:widowControl w:val="0"/>
              <w:numPr>
                <w:ilvl w:val="0"/>
                <w:numId w:val="89"/>
              </w:numPr>
              <w:autoSpaceDE w:val="0"/>
              <w:autoSpaceDN w:val="0"/>
              <w:spacing w:after="0" w:line="240" w:lineRule="auto"/>
              <w:ind w:left="265" w:hanging="265"/>
              <w:rPr>
                <w:sz w:val="20"/>
                <w:szCs w:val="20"/>
                <w:lang w:val="es-419"/>
              </w:rPr>
            </w:pPr>
            <w:r w:rsidRPr="002C56A7">
              <w:rPr>
                <w:sz w:val="20"/>
                <w:szCs w:val="20"/>
                <w:lang w:val="es-419"/>
              </w:rPr>
              <w:t>Mantener registros de inventario o ser responsable de salvaguardar y contabilizar el inventario</w:t>
            </w:r>
          </w:p>
        </w:tc>
        <w:tc>
          <w:tcPr>
            <w:tcW w:w="3240" w:type="dxa"/>
          </w:tcPr>
          <w:p w14:paraId="65078AAF" w14:textId="37F7997F" w:rsidR="00445680" w:rsidRPr="00756410" w:rsidRDefault="00445680" w:rsidP="00445680">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5D6B59" w:rsidRPr="00963907" w14:paraId="50B77C48" w14:textId="211B9C18" w:rsidTr="24F5DBB9">
        <w:trPr>
          <w:trHeight w:val="20"/>
        </w:trPr>
        <w:tc>
          <w:tcPr>
            <w:tcW w:w="2160" w:type="dxa"/>
            <w:vMerge w:val="restart"/>
            <w:tcBorders>
              <w:top w:val="single" w:sz="4" w:space="0" w:color="000000" w:themeColor="text1"/>
              <w:left w:val="single" w:sz="4" w:space="0" w:color="000000" w:themeColor="text1"/>
              <w:right w:val="single" w:sz="4" w:space="0" w:color="000000" w:themeColor="text1"/>
            </w:tcBorders>
          </w:tcPr>
          <w:p w14:paraId="732FBBA6" w14:textId="77777777" w:rsidR="00963907" w:rsidRPr="00756410" w:rsidRDefault="00963907" w:rsidP="00C26CCF">
            <w:pPr>
              <w:spacing w:after="0" w:line="240" w:lineRule="auto"/>
              <w:rPr>
                <w:rFonts w:cstheme="minorHAnsi"/>
                <w:sz w:val="20"/>
                <w:szCs w:val="20"/>
                <w:lang w:val="es-419"/>
              </w:rPr>
            </w:pPr>
            <w:r w:rsidRPr="00756410">
              <w:rPr>
                <w:rFonts w:cstheme="minorHAnsi"/>
                <w:sz w:val="20"/>
                <w:szCs w:val="20"/>
                <w:lang w:val="es-419"/>
              </w:rPr>
              <w:t>Mantenimiento de proveedores (L1)</w:t>
            </w:r>
          </w:p>
          <w:p w14:paraId="5EB22871" w14:textId="7359F572" w:rsidR="008A64C6" w:rsidRPr="00756410" w:rsidRDefault="008A64C6" w:rsidP="00C26CCF">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Supplier Maintenance</w:t>
            </w:r>
            <w:r w:rsidRPr="00756410">
              <w:rPr>
                <w:rFonts w:cstheme="minorHAnsi"/>
                <w:sz w:val="20"/>
                <w:szCs w:val="20"/>
                <w:lang w:val="es-419"/>
              </w:rPr>
              <w:t>]</w:t>
            </w:r>
          </w:p>
          <w:p w14:paraId="093EB536" w14:textId="77777777" w:rsidR="00963907" w:rsidRPr="00756410" w:rsidRDefault="00963907" w:rsidP="00C26CCF">
            <w:pPr>
              <w:spacing w:after="0" w:line="240" w:lineRule="auto"/>
              <w:rPr>
                <w:rFonts w:cstheme="minorHAnsi"/>
                <w:sz w:val="20"/>
                <w:szCs w:val="20"/>
                <w:lang w:val="es-419"/>
              </w:rPr>
            </w:pPr>
          </w:p>
          <w:p w14:paraId="45BA8D4B" w14:textId="1F178D18" w:rsidR="008A64C6" w:rsidRPr="00756410" w:rsidRDefault="00963907" w:rsidP="00C26CCF">
            <w:pPr>
              <w:spacing w:after="0" w:line="240" w:lineRule="auto"/>
              <w:rPr>
                <w:rFonts w:cstheme="minorHAnsi"/>
                <w:sz w:val="20"/>
                <w:szCs w:val="20"/>
                <w:lang w:val="es-419"/>
              </w:rPr>
            </w:pPr>
            <w:r w:rsidRPr="00756410">
              <w:rPr>
                <w:rFonts w:cstheme="minorHAnsi"/>
                <w:sz w:val="20"/>
                <w:szCs w:val="20"/>
                <w:lang w:val="es-419"/>
              </w:rPr>
              <w:t>Aprobador de proveedores (L2)</w:t>
            </w:r>
            <w:r w:rsidRPr="00756410">
              <w:rPr>
                <w:rFonts w:cstheme="minorHAnsi"/>
                <w:sz w:val="20"/>
                <w:szCs w:val="20"/>
                <w:lang w:val="es-419"/>
              </w:rPr>
              <w:br/>
            </w:r>
            <w:r w:rsidR="008A64C6" w:rsidRPr="00756410">
              <w:rPr>
                <w:rFonts w:cstheme="minorHAnsi"/>
                <w:sz w:val="20"/>
                <w:szCs w:val="20"/>
                <w:lang w:val="es-419"/>
              </w:rPr>
              <w:t>[</w:t>
            </w:r>
            <w:r w:rsidR="008A64C6" w:rsidRPr="00756410">
              <w:rPr>
                <w:rFonts w:cstheme="minorHAnsi"/>
                <w:i/>
                <w:iCs/>
                <w:sz w:val="20"/>
                <w:szCs w:val="20"/>
                <w:lang w:val="es-419"/>
              </w:rPr>
              <w:t>Supplier Approver</w:t>
            </w:r>
            <w:r w:rsidR="008A64C6" w:rsidRPr="00756410">
              <w:rPr>
                <w:rFonts w:cstheme="minorHAnsi"/>
                <w:sz w:val="20"/>
                <w:szCs w:val="20"/>
                <w:lang w:val="es-419"/>
              </w:rPr>
              <w: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E225" w14:textId="7ACB2A58" w:rsidR="00963907" w:rsidRPr="00756410" w:rsidRDefault="00963907" w:rsidP="0EA64380">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Asignar L1 a más de 2 empleados a menos que la </w:t>
            </w:r>
            <w:r w:rsidR="133D4CE8" w:rsidRPr="002C56A7">
              <w:rPr>
                <w:sz w:val="20"/>
                <w:szCs w:val="20"/>
                <w:lang w:val="es-419"/>
              </w:rPr>
              <w:t xml:space="preserve">ejecuión </w:t>
            </w:r>
            <w:r w:rsidRPr="00756410">
              <w:rPr>
                <w:sz w:val="20"/>
                <w:szCs w:val="20"/>
                <w:lang w:val="es-419"/>
              </w:rPr>
              <w:t xml:space="preserve">del año anterior sea de &gt; $ 50 millones, </w:t>
            </w:r>
            <w:r w:rsidR="743C012B" w:rsidRPr="002C56A7">
              <w:rPr>
                <w:sz w:val="20"/>
                <w:szCs w:val="20"/>
                <w:lang w:val="es-419"/>
              </w:rPr>
              <w:t xml:space="preserve">en cuyo caso </w:t>
            </w:r>
            <w:r w:rsidRPr="00756410">
              <w:rPr>
                <w:sz w:val="20"/>
                <w:szCs w:val="20"/>
                <w:lang w:val="es-419"/>
              </w:rPr>
              <w:t>puede asignar 3. Las oficinas/unidades de la sede no deben asignar más de dos L1.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FDE4" w14:textId="433D4029" w:rsidR="00963907" w:rsidRPr="00756410" w:rsidRDefault="00963907" w:rsidP="363CA695">
            <w:pPr>
              <w:widowControl w:val="0"/>
              <w:autoSpaceDE w:val="0"/>
              <w:autoSpaceDN w:val="0"/>
              <w:spacing w:after="0" w:line="240" w:lineRule="auto"/>
              <w:rPr>
                <w:sz w:val="20"/>
                <w:szCs w:val="20"/>
                <w:lang w:val="es-419"/>
              </w:rPr>
            </w:pPr>
            <w:r w:rsidRPr="00756410">
              <w:rPr>
                <w:sz w:val="20"/>
                <w:szCs w:val="20"/>
                <w:lang w:val="es-419"/>
              </w:rPr>
              <w:t>No. Violaciones monitoreadas a través de Informes de Monitoreo de ICF. Véase el Anexo 1.</w:t>
            </w:r>
          </w:p>
        </w:tc>
      </w:tr>
      <w:tr w:rsidR="00C27124" w:rsidRPr="00963907" w14:paraId="39DF4360" w14:textId="77777777" w:rsidTr="24F5DBB9">
        <w:trPr>
          <w:trHeight w:val="20"/>
        </w:trPr>
        <w:tc>
          <w:tcPr>
            <w:tcW w:w="2160" w:type="dxa"/>
            <w:vMerge/>
          </w:tcPr>
          <w:p w14:paraId="4C153283"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9851" w14:textId="26DB3B58" w:rsidR="00963907" w:rsidRPr="00756410" w:rsidRDefault="00963907">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Asignar L2 a menos que lo apruebe el Tesorero/CFO. Solo BMS/GSSC puede asignar.</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33543" w14:textId="6ABC3ABF"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0A8E2481" w14:textId="77777777" w:rsidTr="24F5DBB9">
        <w:trPr>
          <w:trHeight w:val="20"/>
        </w:trPr>
        <w:tc>
          <w:tcPr>
            <w:tcW w:w="2160" w:type="dxa"/>
            <w:vMerge/>
          </w:tcPr>
          <w:p w14:paraId="2A02D55D"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2AA0" w14:textId="3492ABFB"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proveedores (véanse las medidas provisionales descritas en la sección 2.1)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0DCB" w14:textId="0B1BF72E"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3236E4F5" w14:textId="77777777" w:rsidTr="24F5DBB9">
        <w:trPr>
          <w:trHeight w:val="20"/>
        </w:trPr>
        <w:tc>
          <w:tcPr>
            <w:tcW w:w="2160" w:type="dxa"/>
            <w:vMerge/>
          </w:tcPr>
          <w:p w14:paraId="2AA58213"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E3E7" w14:textId="674B5F92"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órdenes de compra o crear facturas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D5F4" w14:textId="1A001910"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0AE1EC3F" w14:textId="77777777" w:rsidTr="24F5DBB9">
        <w:trPr>
          <w:trHeight w:val="20"/>
        </w:trPr>
        <w:tc>
          <w:tcPr>
            <w:tcW w:w="2160" w:type="dxa"/>
            <w:vMerge/>
          </w:tcPr>
          <w:p w14:paraId="30BF0485"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3138" w14:textId="27E2330B"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Preparar conciliaciones bancarias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EF16" w14:textId="0C0170AD" w:rsidR="00963907" w:rsidRPr="00756410" w:rsidRDefault="00963907"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C27124" w:rsidRPr="00963907" w14:paraId="413312F2" w14:textId="77777777" w:rsidTr="24F5DBB9">
        <w:trPr>
          <w:trHeight w:val="20"/>
        </w:trPr>
        <w:tc>
          <w:tcPr>
            <w:tcW w:w="2160" w:type="dxa"/>
            <w:vMerge/>
          </w:tcPr>
          <w:p w14:paraId="1180D19B" w14:textId="77777777" w:rsidR="00963907" w:rsidRPr="00756410" w:rsidRDefault="00963907" w:rsidP="00C26CCF">
            <w:pPr>
              <w:spacing w:after="0" w:line="240" w:lineRule="auto"/>
              <w:rPr>
                <w:rFonts w:cstheme="minorHAnsi"/>
                <w:sz w:val="20"/>
                <w:szCs w:val="20"/>
                <w:lang w:val="es-419"/>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5D5EB" w14:textId="5E29BBF7" w:rsidR="00963907" w:rsidRPr="00756410" w:rsidRDefault="00963907">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 signatario de una sola cuenta bancaria si está autorizado como signatario único del banco.</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569A" w14:textId="7D0694D4" w:rsidR="00963907" w:rsidRPr="00756410" w:rsidRDefault="004862D6" w:rsidP="00963907">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requiere monitoreo manual</w:t>
            </w:r>
          </w:p>
        </w:tc>
      </w:tr>
      <w:tr w:rsidR="003C2B04" w:rsidRPr="00963907" w14:paraId="6A52F019" w14:textId="7980C5D2" w:rsidTr="24F5DBB9">
        <w:trPr>
          <w:trHeight w:val="20"/>
        </w:trPr>
        <w:tc>
          <w:tcPr>
            <w:tcW w:w="2160" w:type="dxa"/>
          </w:tcPr>
          <w:p w14:paraId="3F4136BB" w14:textId="77777777" w:rsidR="00532E13" w:rsidRPr="00756410" w:rsidRDefault="00532E13" w:rsidP="00C26CCF">
            <w:pPr>
              <w:spacing w:after="0" w:line="240" w:lineRule="auto"/>
              <w:rPr>
                <w:rFonts w:cstheme="minorHAnsi"/>
                <w:sz w:val="20"/>
                <w:szCs w:val="20"/>
                <w:lang w:val="es-419"/>
              </w:rPr>
            </w:pPr>
            <w:r w:rsidRPr="00756410">
              <w:rPr>
                <w:rFonts w:cstheme="minorHAnsi"/>
                <w:sz w:val="20"/>
                <w:szCs w:val="20"/>
                <w:lang w:val="es-419"/>
              </w:rPr>
              <w:t>Preparador de conciliación bancaria</w:t>
            </w:r>
          </w:p>
          <w:p w14:paraId="2A27C401" w14:textId="066B0452" w:rsidR="008A64C6" w:rsidRPr="00756410" w:rsidRDefault="008A64C6" w:rsidP="00C26CCF">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Bank Reconciliation Preparer</w:t>
            </w:r>
            <w:r w:rsidRPr="00756410">
              <w:rPr>
                <w:rFonts w:cstheme="minorHAnsi"/>
                <w:sz w:val="20"/>
                <w:szCs w:val="20"/>
                <w:lang w:val="es-419"/>
              </w:rPr>
              <w:t>]</w:t>
            </w:r>
          </w:p>
        </w:tc>
        <w:tc>
          <w:tcPr>
            <w:tcW w:w="4950" w:type="dxa"/>
          </w:tcPr>
          <w:p w14:paraId="529718C7" w14:textId="77777777"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Ser signatario de una cuenta bancaria</w:t>
            </w:r>
          </w:p>
          <w:p w14:paraId="099E6FE6" w14:textId="4F6DD632"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o aprobar facturas</w:t>
            </w:r>
          </w:p>
          <w:p w14:paraId="53AB3667" w14:textId="148B183D" w:rsidR="00532E13" w:rsidRPr="00756410" w:rsidRDefault="00532E13">
            <w:pPr>
              <w:pStyle w:val="ListParagraph"/>
              <w:widowControl w:val="0"/>
              <w:numPr>
                <w:ilvl w:val="0"/>
                <w:numId w:val="89"/>
              </w:numPr>
              <w:autoSpaceDE w:val="0"/>
              <w:autoSpaceDN w:val="0"/>
              <w:spacing w:after="0" w:line="240" w:lineRule="auto"/>
              <w:ind w:left="265" w:hanging="265"/>
              <w:rPr>
                <w:rFonts w:cstheme="minorHAnsi"/>
                <w:sz w:val="20"/>
                <w:szCs w:val="20"/>
                <w:lang w:val="es-419"/>
              </w:rPr>
            </w:pPr>
            <w:r w:rsidRPr="00756410">
              <w:rPr>
                <w:rFonts w:cstheme="minorHAnsi"/>
                <w:sz w:val="20"/>
                <w:szCs w:val="20"/>
                <w:lang w:val="es-419"/>
              </w:rPr>
              <w:t>Crear depósitos</w:t>
            </w:r>
          </w:p>
        </w:tc>
        <w:tc>
          <w:tcPr>
            <w:tcW w:w="3240" w:type="dxa"/>
          </w:tcPr>
          <w:p w14:paraId="5C31F3FC" w14:textId="78370E63"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670A47D0" w14:textId="14315030" w:rsidTr="24F5DBB9">
        <w:trPr>
          <w:trHeight w:val="20"/>
        </w:trPr>
        <w:tc>
          <w:tcPr>
            <w:tcW w:w="2160" w:type="dxa"/>
          </w:tcPr>
          <w:p w14:paraId="38B49443" w14:textId="5F246595" w:rsidR="00532E13" w:rsidRPr="00756410" w:rsidRDefault="00532E13" w:rsidP="0EA64380">
            <w:pPr>
              <w:spacing w:after="0" w:line="240" w:lineRule="auto"/>
              <w:rPr>
                <w:sz w:val="20"/>
                <w:szCs w:val="20"/>
                <w:lang w:val="es-419"/>
              </w:rPr>
            </w:pPr>
            <w:r w:rsidRPr="00756410">
              <w:rPr>
                <w:sz w:val="20"/>
                <w:szCs w:val="20"/>
                <w:lang w:val="es-419"/>
              </w:rPr>
              <w:t xml:space="preserve">Custodio </w:t>
            </w:r>
            <w:r w:rsidR="1CE7B8E8" w:rsidRPr="00756410">
              <w:rPr>
                <w:sz w:val="20"/>
                <w:szCs w:val="20"/>
                <w:lang w:val="es-419"/>
              </w:rPr>
              <w:t>de</w:t>
            </w:r>
            <w:r w:rsidR="00094B83" w:rsidRPr="00756410">
              <w:rPr>
                <w:sz w:val="20"/>
                <w:szCs w:val="20"/>
                <w:lang w:val="es-419"/>
              </w:rPr>
              <w:t xml:space="preserve"> la caja fuerte</w:t>
            </w:r>
          </w:p>
          <w:p w14:paraId="0AD1D164" w14:textId="1B681F22" w:rsidR="008A64C6" w:rsidRPr="00756410" w:rsidRDefault="008A64C6" w:rsidP="0EA64380">
            <w:pPr>
              <w:spacing w:after="0" w:line="240" w:lineRule="auto"/>
              <w:rPr>
                <w:sz w:val="20"/>
                <w:szCs w:val="20"/>
                <w:lang w:val="es-419"/>
              </w:rPr>
            </w:pPr>
            <w:r w:rsidRPr="00756410">
              <w:rPr>
                <w:sz w:val="20"/>
                <w:szCs w:val="20"/>
                <w:lang w:val="es-419"/>
              </w:rPr>
              <w:t>[</w:t>
            </w:r>
            <w:r w:rsidRPr="00756410">
              <w:rPr>
                <w:i/>
                <w:iCs/>
                <w:sz w:val="20"/>
                <w:szCs w:val="20"/>
                <w:lang w:val="es-419"/>
              </w:rPr>
              <w:t>Safe Custodian</w:t>
            </w:r>
            <w:r w:rsidRPr="00756410">
              <w:rPr>
                <w:sz w:val="20"/>
                <w:szCs w:val="20"/>
                <w:lang w:val="es-419"/>
              </w:rPr>
              <w:t>]</w:t>
            </w:r>
          </w:p>
        </w:tc>
        <w:tc>
          <w:tcPr>
            <w:tcW w:w="4950" w:type="dxa"/>
          </w:tcPr>
          <w:p w14:paraId="2E5AA8CB" w14:textId="1259E976" w:rsidR="00532E13" w:rsidRPr="00756410" w:rsidRDefault="00602A61">
            <w:pPr>
              <w:pStyle w:val="ListParagraph"/>
              <w:widowControl w:val="0"/>
              <w:numPr>
                <w:ilvl w:val="0"/>
                <w:numId w:val="89"/>
              </w:numPr>
              <w:autoSpaceDE w:val="0"/>
              <w:autoSpaceDN w:val="0"/>
              <w:spacing w:after="0" w:line="240" w:lineRule="auto"/>
              <w:ind w:left="265" w:hanging="265"/>
              <w:rPr>
                <w:sz w:val="20"/>
                <w:szCs w:val="20"/>
                <w:lang w:val="es-419"/>
              </w:rPr>
            </w:pPr>
            <w:r w:rsidRPr="00756410">
              <w:rPr>
                <w:sz w:val="20"/>
                <w:szCs w:val="20"/>
                <w:lang w:val="es-419"/>
              </w:rPr>
              <w:t xml:space="preserve">Ser el único personal por oficina/unidad con acceso a la caja fuerte. El Jefe de la Oficina/Unidad debe designar custodios </w:t>
            </w:r>
            <w:r w:rsidR="00094B83" w:rsidRPr="002C56A7">
              <w:rPr>
                <w:sz w:val="20"/>
                <w:szCs w:val="20"/>
                <w:lang w:val="es-419"/>
              </w:rPr>
              <w:t>de la caja fuerte</w:t>
            </w:r>
            <w:r w:rsidR="00094B83" w:rsidRPr="00756410">
              <w:rPr>
                <w:sz w:val="20"/>
                <w:szCs w:val="20"/>
                <w:lang w:val="es-419"/>
              </w:rPr>
              <w:t xml:space="preserve"> </w:t>
            </w:r>
            <w:r w:rsidRPr="00756410">
              <w:rPr>
                <w:sz w:val="20"/>
                <w:szCs w:val="20"/>
                <w:lang w:val="es-419"/>
              </w:rPr>
              <w:t>primarios y alternativos.</w:t>
            </w:r>
          </w:p>
        </w:tc>
        <w:tc>
          <w:tcPr>
            <w:tcW w:w="3240" w:type="dxa"/>
          </w:tcPr>
          <w:p w14:paraId="42DDF0DE" w14:textId="6411E085"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745438D1" w14:textId="3DA64481" w:rsidTr="24F5DBB9">
        <w:trPr>
          <w:trHeight w:val="20"/>
        </w:trPr>
        <w:tc>
          <w:tcPr>
            <w:tcW w:w="2160" w:type="dxa"/>
          </w:tcPr>
          <w:p w14:paraId="260D3498" w14:textId="69BC4456" w:rsidR="00532E13" w:rsidRPr="002C56A7" w:rsidRDefault="00532E13" w:rsidP="0EA64380">
            <w:pPr>
              <w:spacing w:after="0" w:line="240" w:lineRule="auto"/>
              <w:rPr>
                <w:sz w:val="20"/>
                <w:szCs w:val="20"/>
                <w:lang w:val="es-419"/>
              </w:rPr>
            </w:pPr>
            <w:r w:rsidRPr="00756410">
              <w:rPr>
                <w:sz w:val="20"/>
                <w:szCs w:val="20"/>
                <w:lang w:val="es-419"/>
              </w:rPr>
              <w:t>Aprobador de anulación de presupuesto</w:t>
            </w:r>
          </w:p>
          <w:p w14:paraId="1071EF20" w14:textId="19D8DA4A" w:rsidR="008A64C6" w:rsidRPr="00756410" w:rsidRDefault="008A64C6" w:rsidP="0EA64380">
            <w:pPr>
              <w:spacing w:after="0" w:line="240" w:lineRule="auto"/>
              <w:rPr>
                <w:sz w:val="20"/>
                <w:szCs w:val="20"/>
                <w:lang w:val="es-419"/>
              </w:rPr>
            </w:pPr>
            <w:r w:rsidRPr="002C56A7">
              <w:rPr>
                <w:sz w:val="20"/>
                <w:szCs w:val="20"/>
                <w:lang w:val="es-419"/>
              </w:rPr>
              <w:t>[</w:t>
            </w:r>
            <w:r w:rsidRPr="00756410">
              <w:rPr>
                <w:i/>
                <w:iCs/>
                <w:sz w:val="20"/>
                <w:szCs w:val="20"/>
                <w:lang w:val="es-419"/>
              </w:rPr>
              <w:t>Budget Override Approver</w:t>
            </w:r>
            <w:r w:rsidRPr="002C56A7">
              <w:rPr>
                <w:sz w:val="20"/>
                <w:szCs w:val="20"/>
                <w:lang w:val="es-419"/>
              </w:rPr>
              <w:t>]</w:t>
            </w:r>
          </w:p>
        </w:tc>
        <w:tc>
          <w:tcPr>
            <w:tcW w:w="4950" w:type="dxa"/>
          </w:tcPr>
          <w:p w14:paraId="7DEF5C10" w14:textId="1E5E0FAA" w:rsidR="00532E13" w:rsidRPr="00756410" w:rsidRDefault="469D8B7A" w:rsidP="24F5DBB9">
            <w:pPr>
              <w:pStyle w:val="ListParagraph"/>
              <w:widowControl w:val="0"/>
              <w:numPr>
                <w:ilvl w:val="0"/>
                <w:numId w:val="90"/>
              </w:numPr>
              <w:autoSpaceDE w:val="0"/>
              <w:autoSpaceDN w:val="0"/>
              <w:spacing w:after="0" w:line="240" w:lineRule="auto"/>
              <w:ind w:left="290" w:hanging="290"/>
              <w:rPr>
                <w:sz w:val="20"/>
                <w:szCs w:val="20"/>
                <w:lang w:val="es-419"/>
              </w:rPr>
            </w:pPr>
            <w:r w:rsidRPr="00756410">
              <w:rPr>
                <w:sz w:val="20"/>
                <w:szCs w:val="20"/>
                <w:lang w:val="es-419"/>
              </w:rPr>
              <w:t>Aprueb</w:t>
            </w:r>
            <w:r w:rsidR="1190A926" w:rsidRPr="002C56A7">
              <w:rPr>
                <w:sz w:val="20"/>
                <w:szCs w:val="20"/>
                <w:lang w:val="es-419"/>
              </w:rPr>
              <w:t>ar</w:t>
            </w:r>
            <w:r w:rsidRPr="00756410">
              <w:rPr>
                <w:sz w:val="20"/>
                <w:szCs w:val="20"/>
                <w:lang w:val="es-419"/>
              </w:rPr>
              <w:t xml:space="preserve"> anulaciones presupuestarias sin una guía de anulación presupuestaria aprobada por el CFO.</w:t>
            </w:r>
          </w:p>
          <w:p w14:paraId="62ABCFEA" w14:textId="3D7CA8CB" w:rsidR="00532E13" w:rsidRPr="00756410" w:rsidRDefault="00532E13">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Aprobar anulaciones presupuestarias no alineadas con la guía de anulación presupuestaria.</w:t>
            </w:r>
          </w:p>
        </w:tc>
        <w:tc>
          <w:tcPr>
            <w:tcW w:w="3240" w:type="dxa"/>
          </w:tcPr>
          <w:p w14:paraId="2E9EE939" w14:textId="25BAFD73" w:rsidR="00532E13" w:rsidRPr="00756410" w:rsidRDefault="00532E13"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No, fuera del ERP</w:t>
            </w:r>
          </w:p>
        </w:tc>
      </w:tr>
      <w:tr w:rsidR="003C2B04" w:rsidRPr="00963907" w14:paraId="1F5EAC7B" w14:textId="602D6CB0" w:rsidTr="24F5DBB9">
        <w:trPr>
          <w:trHeight w:val="20"/>
        </w:trPr>
        <w:tc>
          <w:tcPr>
            <w:tcW w:w="2160" w:type="dxa"/>
            <w:vMerge w:val="restart"/>
          </w:tcPr>
          <w:p w14:paraId="46BB73D3" w14:textId="77777777" w:rsidR="00602A61" w:rsidRPr="00756410" w:rsidRDefault="00602A61" w:rsidP="00C26CCF">
            <w:pPr>
              <w:spacing w:after="0" w:line="240" w:lineRule="auto"/>
              <w:rPr>
                <w:rFonts w:cstheme="minorHAnsi"/>
                <w:sz w:val="20"/>
                <w:szCs w:val="20"/>
                <w:lang w:val="es-419"/>
              </w:rPr>
            </w:pPr>
            <w:r w:rsidRPr="00756410">
              <w:rPr>
                <w:rFonts w:cstheme="minorHAnsi"/>
                <w:sz w:val="20"/>
                <w:szCs w:val="20"/>
                <w:lang w:val="es-419"/>
              </w:rPr>
              <w:t>Procesador de viaje</w:t>
            </w:r>
          </w:p>
          <w:p w14:paraId="5AD51A0A" w14:textId="4E74D7F6" w:rsidR="008A64C6" w:rsidRPr="00756410" w:rsidRDefault="008A64C6" w:rsidP="00C26CCF">
            <w:pPr>
              <w:spacing w:after="0" w:line="240" w:lineRule="auto"/>
              <w:rPr>
                <w:rFonts w:cstheme="minorHAnsi"/>
                <w:sz w:val="20"/>
                <w:szCs w:val="20"/>
                <w:lang w:val="es-419"/>
              </w:rPr>
            </w:pPr>
            <w:r w:rsidRPr="00756410">
              <w:rPr>
                <w:rFonts w:cstheme="minorHAnsi"/>
                <w:sz w:val="20"/>
                <w:szCs w:val="20"/>
                <w:lang w:val="es-419"/>
              </w:rPr>
              <w:t>[</w:t>
            </w:r>
            <w:r w:rsidRPr="00756410">
              <w:rPr>
                <w:rFonts w:cstheme="minorHAnsi"/>
                <w:i/>
                <w:iCs/>
                <w:sz w:val="20"/>
                <w:szCs w:val="20"/>
                <w:lang w:val="es-419"/>
              </w:rPr>
              <w:t>Travel Processor</w:t>
            </w:r>
            <w:r w:rsidRPr="00756410">
              <w:rPr>
                <w:rFonts w:cstheme="minorHAnsi"/>
                <w:sz w:val="20"/>
                <w:szCs w:val="20"/>
                <w:lang w:val="es-419"/>
              </w:rPr>
              <w:t>]</w:t>
            </w:r>
          </w:p>
        </w:tc>
        <w:tc>
          <w:tcPr>
            <w:tcW w:w="4950" w:type="dxa"/>
          </w:tcPr>
          <w:p w14:paraId="3C54E194" w14:textId="481D1AE2" w:rsidR="00602A61" w:rsidRPr="00756410" w:rsidRDefault="00602A61">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Tramitar o autorizar viajes propios o solicitudes que tengan un conflicto de intereses</w:t>
            </w:r>
          </w:p>
        </w:tc>
        <w:tc>
          <w:tcPr>
            <w:tcW w:w="3240" w:type="dxa"/>
          </w:tcPr>
          <w:p w14:paraId="49AF8AC2" w14:textId="6BF38DA6" w:rsidR="00602A61" w:rsidRPr="00756410" w:rsidRDefault="006365E2"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06FA86E9" w14:textId="77777777" w:rsidTr="24F5DBB9">
        <w:trPr>
          <w:trHeight w:val="20"/>
        </w:trPr>
        <w:tc>
          <w:tcPr>
            <w:tcW w:w="2160" w:type="dxa"/>
            <w:vMerge/>
          </w:tcPr>
          <w:p w14:paraId="77EA8F54" w14:textId="77777777" w:rsidR="00602A61" w:rsidRPr="00756410" w:rsidRDefault="00602A61" w:rsidP="00C26CCF">
            <w:pPr>
              <w:spacing w:after="0" w:line="240" w:lineRule="auto"/>
              <w:rPr>
                <w:rFonts w:cstheme="minorHAnsi"/>
                <w:sz w:val="20"/>
                <w:szCs w:val="20"/>
                <w:highlight w:val="yellow"/>
                <w:lang w:val="es-419"/>
              </w:rPr>
            </w:pPr>
          </w:p>
        </w:tc>
        <w:tc>
          <w:tcPr>
            <w:tcW w:w="4950" w:type="dxa"/>
          </w:tcPr>
          <w:p w14:paraId="7C897E53" w14:textId="7C73FE02" w:rsidR="00602A61" w:rsidRPr="00756410" w:rsidRDefault="00602A61">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Sea un aprobador de viajes</w:t>
            </w:r>
          </w:p>
        </w:tc>
        <w:tc>
          <w:tcPr>
            <w:tcW w:w="3240" w:type="dxa"/>
          </w:tcPr>
          <w:p w14:paraId="41C03D40" w14:textId="10C9598C" w:rsidR="00602A61" w:rsidRPr="00756410" w:rsidRDefault="00756101" w:rsidP="00532E13">
            <w:pPr>
              <w:widowControl w:val="0"/>
              <w:autoSpaceDE w:val="0"/>
              <w:autoSpaceDN w:val="0"/>
              <w:spacing w:after="0" w:line="240" w:lineRule="auto"/>
              <w:rPr>
                <w:rFonts w:cstheme="minorHAnsi"/>
                <w:sz w:val="20"/>
                <w:szCs w:val="20"/>
                <w:lang w:val="es-419"/>
              </w:rPr>
            </w:pPr>
            <w:r w:rsidRPr="00756410">
              <w:rPr>
                <w:rFonts w:cstheme="minorHAnsi"/>
                <w:sz w:val="20"/>
                <w:szCs w:val="20"/>
                <w:lang w:val="es-419"/>
              </w:rPr>
              <w:t>Sí</w:t>
            </w:r>
          </w:p>
        </w:tc>
      </w:tr>
      <w:tr w:rsidR="003C2B04" w:rsidRPr="00963907" w14:paraId="7D6DB0E4" w14:textId="77777777" w:rsidTr="24F5DBB9">
        <w:trPr>
          <w:trHeight w:val="20"/>
        </w:trPr>
        <w:tc>
          <w:tcPr>
            <w:tcW w:w="2160" w:type="dxa"/>
            <w:vMerge w:val="restart"/>
          </w:tcPr>
          <w:p w14:paraId="726F95B2" w14:textId="77777777" w:rsidR="00602A61" w:rsidRPr="002C56A7" w:rsidRDefault="00602A61" w:rsidP="00C26CCF">
            <w:pPr>
              <w:spacing w:after="0" w:line="240" w:lineRule="auto"/>
              <w:rPr>
                <w:rFonts w:cstheme="minorHAnsi"/>
                <w:sz w:val="20"/>
                <w:szCs w:val="20"/>
                <w:lang w:val="es-419"/>
              </w:rPr>
            </w:pPr>
            <w:r w:rsidRPr="00756410">
              <w:rPr>
                <w:rFonts w:cstheme="minorHAnsi"/>
                <w:sz w:val="20"/>
                <w:szCs w:val="20"/>
                <w:lang w:val="es-419"/>
              </w:rPr>
              <w:t>Aprobador de viajes (el rol lo cumple el Gerente de Aprobación en Quantum) (2ª autoridad, según lo anterior)</w:t>
            </w:r>
          </w:p>
          <w:p w14:paraId="3B5CC5AD" w14:textId="78134313" w:rsidR="008A64C6" w:rsidRPr="00756410" w:rsidRDefault="008A64C6" w:rsidP="00C26CCF">
            <w:pPr>
              <w:spacing w:after="0" w:line="240" w:lineRule="auto"/>
              <w:rPr>
                <w:rFonts w:cstheme="minorHAnsi"/>
                <w:sz w:val="20"/>
                <w:szCs w:val="20"/>
                <w:lang w:val="es-419"/>
              </w:rPr>
            </w:pPr>
            <w:r w:rsidRPr="002C56A7">
              <w:rPr>
                <w:rFonts w:cstheme="minorHAnsi"/>
                <w:sz w:val="20"/>
                <w:szCs w:val="20"/>
                <w:lang w:val="es-419"/>
              </w:rPr>
              <w:t>[</w:t>
            </w:r>
            <w:r w:rsidRPr="00756410">
              <w:rPr>
                <w:rFonts w:cstheme="minorHAnsi"/>
                <w:i/>
                <w:iCs/>
                <w:sz w:val="20"/>
                <w:szCs w:val="20"/>
                <w:lang w:val="es-419"/>
              </w:rPr>
              <w:t>Travel Approver</w:t>
            </w:r>
            <w:r w:rsidRPr="002C56A7">
              <w:rPr>
                <w:rFonts w:cstheme="minorHAnsi"/>
                <w:sz w:val="20"/>
                <w:szCs w:val="20"/>
                <w:lang w:val="es-419"/>
              </w:rPr>
              <w:t>]</w:t>
            </w:r>
          </w:p>
        </w:tc>
        <w:tc>
          <w:tcPr>
            <w:tcW w:w="4950" w:type="dxa"/>
          </w:tcPr>
          <w:p w14:paraId="7118428E" w14:textId="6C3ECDE2" w:rsidR="00602A61" w:rsidRPr="00756410" w:rsidRDefault="00602A61">
            <w:pPr>
              <w:pStyle w:val="ListParagraph"/>
              <w:widowControl w:val="0"/>
              <w:numPr>
                <w:ilvl w:val="0"/>
                <w:numId w:val="90"/>
              </w:numPr>
              <w:autoSpaceDE w:val="0"/>
              <w:autoSpaceDN w:val="0"/>
              <w:spacing w:after="0" w:line="240" w:lineRule="auto"/>
              <w:ind w:left="290" w:hanging="290"/>
              <w:rPr>
                <w:rFonts w:cstheme="minorHAnsi"/>
                <w:sz w:val="20"/>
                <w:szCs w:val="20"/>
                <w:lang w:val="es-419"/>
              </w:rPr>
            </w:pPr>
            <w:r w:rsidRPr="00756410">
              <w:rPr>
                <w:rFonts w:cstheme="minorHAnsi"/>
                <w:sz w:val="20"/>
                <w:szCs w:val="20"/>
                <w:lang w:val="es-419"/>
              </w:rPr>
              <w:t>Tramitar o autorizar viajes propios o solicitudes que tengan un conflicto de intereses</w:t>
            </w:r>
          </w:p>
        </w:tc>
        <w:tc>
          <w:tcPr>
            <w:tcW w:w="3240" w:type="dxa"/>
          </w:tcPr>
          <w:p w14:paraId="4ABE3114" w14:textId="52085B58" w:rsidR="00602A61" w:rsidRPr="00756410" w:rsidRDefault="00756101" w:rsidP="363CA695">
            <w:pPr>
              <w:widowControl w:val="0"/>
              <w:autoSpaceDE w:val="0"/>
              <w:autoSpaceDN w:val="0"/>
              <w:spacing w:after="0" w:line="240" w:lineRule="auto"/>
              <w:rPr>
                <w:sz w:val="20"/>
                <w:szCs w:val="20"/>
                <w:lang w:val="es-419"/>
              </w:rPr>
            </w:pPr>
            <w:r w:rsidRPr="00756410">
              <w:rPr>
                <w:sz w:val="20"/>
                <w:szCs w:val="20"/>
                <w:lang w:val="es-419"/>
              </w:rPr>
              <w:t>Parcialmente. El aprobador de viajes no puede ser un procesador de viajes, pero puede aprobar una factura relacionada con TR o TC en Quantum que se paga a sí mismo. Las violaciones de este último se monitorean a través de los informes de monitoreo de la CIF. Véase el Anexo 1.</w:t>
            </w:r>
          </w:p>
        </w:tc>
      </w:tr>
      <w:tr w:rsidR="003C2B04" w:rsidRPr="00963907" w14:paraId="5904CEFD" w14:textId="77777777" w:rsidTr="24F5DBB9">
        <w:trPr>
          <w:trHeight w:val="20"/>
        </w:trPr>
        <w:tc>
          <w:tcPr>
            <w:tcW w:w="2160" w:type="dxa"/>
            <w:vMerge/>
          </w:tcPr>
          <w:p w14:paraId="34555E7A" w14:textId="77777777" w:rsidR="00602A61" w:rsidRDefault="00602A61" w:rsidP="00C26CCF">
            <w:pPr>
              <w:spacing w:after="0" w:line="240" w:lineRule="auto"/>
              <w:rPr>
                <w:rFonts w:cstheme="minorHAnsi"/>
                <w:sz w:val="20"/>
                <w:szCs w:val="20"/>
                <w:highlight w:val="yellow"/>
              </w:rPr>
            </w:pPr>
          </w:p>
        </w:tc>
        <w:tc>
          <w:tcPr>
            <w:tcW w:w="4950" w:type="dxa"/>
          </w:tcPr>
          <w:p w14:paraId="4A164E61" w14:textId="198B9E4A" w:rsidR="00602A61" w:rsidRPr="00756410" w:rsidRDefault="69C31CBB" w:rsidP="24F5DBB9">
            <w:pPr>
              <w:pStyle w:val="ListParagraph"/>
              <w:widowControl w:val="0"/>
              <w:numPr>
                <w:ilvl w:val="0"/>
                <w:numId w:val="90"/>
              </w:numPr>
              <w:autoSpaceDE w:val="0"/>
              <w:autoSpaceDN w:val="0"/>
              <w:spacing w:after="0" w:line="240" w:lineRule="auto"/>
              <w:ind w:left="290" w:hanging="290"/>
              <w:rPr>
                <w:sz w:val="20"/>
                <w:szCs w:val="20"/>
                <w:lang w:val="es-419"/>
              </w:rPr>
            </w:pPr>
            <w:r w:rsidRPr="00756410">
              <w:rPr>
                <w:sz w:val="20"/>
                <w:szCs w:val="20"/>
                <w:lang w:val="es-419"/>
              </w:rPr>
              <w:t>Se</w:t>
            </w:r>
            <w:r w:rsidR="0E32E592" w:rsidRPr="24F5DBB9">
              <w:rPr>
                <w:sz w:val="20"/>
                <w:szCs w:val="20"/>
                <w:lang w:val="es-419"/>
              </w:rPr>
              <w:t>r</w:t>
            </w:r>
            <w:r w:rsidRPr="00756410">
              <w:rPr>
                <w:sz w:val="20"/>
                <w:szCs w:val="20"/>
                <w:lang w:val="es-419"/>
              </w:rPr>
              <w:t xml:space="preserve"> un procesador de viajes</w:t>
            </w:r>
          </w:p>
        </w:tc>
        <w:tc>
          <w:tcPr>
            <w:tcW w:w="3240" w:type="dxa"/>
          </w:tcPr>
          <w:p w14:paraId="54C9B3D5" w14:textId="3B9A9CA6" w:rsidR="00602A61" w:rsidRPr="00D2258D" w:rsidRDefault="00756101" w:rsidP="00532E13">
            <w:pPr>
              <w:widowControl w:val="0"/>
              <w:autoSpaceDE w:val="0"/>
              <w:autoSpaceDN w:val="0"/>
              <w:spacing w:after="0" w:line="240" w:lineRule="auto"/>
              <w:rPr>
                <w:rFonts w:cstheme="minorHAnsi"/>
                <w:sz w:val="20"/>
                <w:szCs w:val="20"/>
              </w:rPr>
            </w:pPr>
            <w:r w:rsidRPr="00D2258D">
              <w:rPr>
                <w:rFonts w:cstheme="minorHAnsi"/>
                <w:sz w:val="20"/>
                <w:szCs w:val="20"/>
              </w:rPr>
              <w:t>Sí</w:t>
            </w:r>
          </w:p>
        </w:tc>
      </w:tr>
      <w:tr w:rsidR="005D6B59" w:rsidRPr="00773863" w14:paraId="707728C7" w14:textId="1A08C282" w:rsidTr="24F5DBB9">
        <w:trPr>
          <w:trHeight w:val="20"/>
        </w:trPr>
        <w:tc>
          <w:tcPr>
            <w:tcW w:w="7110" w:type="dxa"/>
            <w:gridSpan w:val="2"/>
            <w:shd w:val="clear" w:color="auto" w:fill="1F4E79" w:themeFill="accent5" w:themeFillShade="80"/>
          </w:tcPr>
          <w:p w14:paraId="0E0BA9A0" w14:textId="1C4432D5" w:rsidR="00532E13" w:rsidRPr="00756410" w:rsidRDefault="00532E13" w:rsidP="00C26CCF">
            <w:pPr>
              <w:spacing w:after="0" w:line="240" w:lineRule="auto"/>
              <w:rPr>
                <w:rFonts w:cstheme="minorHAnsi"/>
                <w:b/>
                <w:bCs/>
                <w:sz w:val="20"/>
                <w:szCs w:val="20"/>
                <w:lang w:val="es-ES"/>
              </w:rPr>
            </w:pPr>
            <w:r w:rsidRPr="00756410">
              <w:rPr>
                <w:rFonts w:cstheme="minorHAnsi"/>
                <w:b/>
                <w:bCs/>
                <w:color w:val="FFFFFF" w:themeColor="background1"/>
                <w:sz w:val="20"/>
                <w:szCs w:val="20"/>
                <w:lang w:val="es-ES"/>
              </w:rPr>
              <w:t xml:space="preserve">Perfiles de </w:t>
            </w:r>
            <w:r w:rsidR="0001612D">
              <w:rPr>
                <w:rFonts w:cstheme="minorHAnsi"/>
                <w:b/>
                <w:bCs/>
                <w:color w:val="FFFFFF" w:themeColor="background1"/>
                <w:sz w:val="20"/>
                <w:szCs w:val="20"/>
                <w:lang w:val="es-ES"/>
              </w:rPr>
              <w:t>Usuario</w:t>
            </w:r>
            <w:r w:rsidR="0001612D" w:rsidRPr="00756410">
              <w:rPr>
                <w:rFonts w:cstheme="minorHAnsi"/>
                <w:b/>
                <w:bCs/>
                <w:color w:val="FFFFFF" w:themeColor="background1"/>
                <w:sz w:val="20"/>
                <w:szCs w:val="20"/>
                <w:lang w:val="es-ES"/>
              </w:rPr>
              <w:t xml:space="preserve"> </w:t>
            </w:r>
            <w:r w:rsidRPr="00756410">
              <w:rPr>
                <w:rFonts w:cstheme="minorHAnsi"/>
                <w:b/>
                <w:bCs/>
                <w:color w:val="FFFFFF" w:themeColor="background1"/>
                <w:sz w:val="20"/>
                <w:szCs w:val="20"/>
                <w:lang w:val="es-ES"/>
              </w:rPr>
              <w:t>de Recursos Humanos</w:t>
            </w:r>
          </w:p>
        </w:tc>
        <w:tc>
          <w:tcPr>
            <w:tcW w:w="3240" w:type="dxa"/>
            <w:shd w:val="clear" w:color="auto" w:fill="1F4E79" w:themeFill="accent5" w:themeFillShade="80"/>
          </w:tcPr>
          <w:p w14:paraId="5D1AB956" w14:textId="77777777" w:rsidR="00532E13" w:rsidRPr="00756410" w:rsidRDefault="00532E13" w:rsidP="00C26CCF">
            <w:pPr>
              <w:spacing w:after="0" w:line="240" w:lineRule="auto"/>
              <w:rPr>
                <w:rFonts w:cstheme="minorHAnsi"/>
                <w:b/>
                <w:bCs/>
                <w:color w:val="FFFFFF" w:themeColor="background1"/>
                <w:sz w:val="20"/>
                <w:szCs w:val="20"/>
                <w:lang w:val="es-ES"/>
              </w:rPr>
            </w:pPr>
          </w:p>
        </w:tc>
      </w:tr>
      <w:tr w:rsidR="003C2B04" w:rsidRPr="00963907" w14:paraId="68C9021A" w14:textId="21ABB9EE" w:rsidTr="24F5DBB9">
        <w:trPr>
          <w:trHeight w:val="20"/>
        </w:trPr>
        <w:tc>
          <w:tcPr>
            <w:tcW w:w="2160" w:type="dxa"/>
          </w:tcPr>
          <w:p w14:paraId="26644957" w14:textId="1F16CD8E" w:rsidR="00532E13" w:rsidRPr="00756410" w:rsidRDefault="00532E13" w:rsidP="00C26CCF">
            <w:pPr>
              <w:spacing w:after="0" w:line="240" w:lineRule="auto"/>
              <w:rPr>
                <w:rFonts w:cstheme="minorHAnsi"/>
                <w:sz w:val="20"/>
                <w:szCs w:val="20"/>
                <w:lang w:val="es-ES"/>
              </w:rPr>
            </w:pPr>
            <w:r w:rsidRPr="00756410">
              <w:rPr>
                <w:rFonts w:cstheme="minorHAnsi"/>
                <w:sz w:val="20"/>
                <w:szCs w:val="20"/>
                <w:lang w:val="es-ES"/>
              </w:rPr>
              <w:t>Administrador de RRHH</w:t>
            </w:r>
          </w:p>
          <w:p w14:paraId="66EDBD30" w14:textId="0D04DAFF" w:rsidR="00532E13" w:rsidRDefault="00532E13" w:rsidP="00C26CCF">
            <w:pPr>
              <w:spacing w:after="0" w:line="240" w:lineRule="auto"/>
              <w:rPr>
                <w:rFonts w:cstheme="minorHAnsi"/>
                <w:i/>
                <w:iCs/>
                <w:sz w:val="20"/>
                <w:szCs w:val="20"/>
                <w:lang w:val="es-ES"/>
              </w:rPr>
            </w:pPr>
            <w:r w:rsidRPr="00756410">
              <w:rPr>
                <w:rFonts w:cstheme="minorHAnsi"/>
                <w:i/>
                <w:iCs/>
                <w:sz w:val="20"/>
                <w:szCs w:val="20"/>
                <w:lang w:val="es-ES"/>
              </w:rPr>
              <w:t>(1ª Autoridad)</w:t>
            </w:r>
          </w:p>
          <w:p w14:paraId="247F89CF" w14:textId="0F72EB75" w:rsidR="008A64C6" w:rsidRDefault="008A64C6" w:rsidP="00C26CCF">
            <w:pPr>
              <w:spacing w:after="0" w:line="240" w:lineRule="auto"/>
              <w:rPr>
                <w:rFonts w:cstheme="minorHAnsi"/>
                <w:i/>
                <w:iCs/>
                <w:sz w:val="20"/>
                <w:szCs w:val="20"/>
                <w:lang w:val="es-ES"/>
              </w:rPr>
            </w:pPr>
            <w:r>
              <w:rPr>
                <w:rFonts w:cstheme="minorHAnsi"/>
                <w:i/>
                <w:iCs/>
                <w:sz w:val="20"/>
                <w:szCs w:val="20"/>
                <w:lang w:val="es-ES"/>
              </w:rPr>
              <w:t>[HR Administrator]</w:t>
            </w:r>
          </w:p>
          <w:p w14:paraId="705E4992" w14:textId="5994180E" w:rsidR="008A64C6" w:rsidRPr="00756410" w:rsidRDefault="008A64C6" w:rsidP="00C26CCF">
            <w:pPr>
              <w:spacing w:after="0" w:line="240" w:lineRule="auto"/>
              <w:rPr>
                <w:rFonts w:cstheme="minorHAnsi"/>
                <w:i/>
                <w:iCs/>
                <w:sz w:val="20"/>
                <w:szCs w:val="20"/>
                <w:lang w:val="es-ES"/>
              </w:rPr>
            </w:pPr>
          </w:p>
        </w:tc>
        <w:tc>
          <w:tcPr>
            <w:tcW w:w="4950" w:type="dxa"/>
          </w:tcPr>
          <w:p w14:paraId="6C39645E" w14:textId="1A68E649"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Ser administrador de GP</w:t>
            </w:r>
          </w:p>
          <w:p w14:paraId="70CC4D9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Ser Oficial de Desembolso</w:t>
            </w:r>
          </w:p>
        </w:tc>
        <w:tc>
          <w:tcPr>
            <w:tcW w:w="3240" w:type="dxa"/>
          </w:tcPr>
          <w:p w14:paraId="5408B421" w14:textId="5A2A6440"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Sí</w:t>
            </w:r>
          </w:p>
        </w:tc>
      </w:tr>
      <w:tr w:rsidR="003C2B04" w:rsidRPr="00963907" w14:paraId="724DE24B" w14:textId="49F458E0" w:rsidTr="24F5DBB9">
        <w:trPr>
          <w:trHeight w:val="20"/>
        </w:trPr>
        <w:tc>
          <w:tcPr>
            <w:tcW w:w="2160" w:type="dxa"/>
          </w:tcPr>
          <w:p w14:paraId="02628979" w14:textId="52BC0B6A" w:rsidR="00532E13" w:rsidRPr="00963907" w:rsidRDefault="00532E13" w:rsidP="00C26CCF">
            <w:pPr>
              <w:spacing w:after="0" w:line="240" w:lineRule="auto"/>
              <w:rPr>
                <w:rFonts w:cstheme="minorHAnsi"/>
                <w:sz w:val="20"/>
                <w:szCs w:val="20"/>
              </w:rPr>
            </w:pPr>
            <w:r w:rsidRPr="00963907">
              <w:rPr>
                <w:rFonts w:cstheme="minorHAnsi"/>
                <w:sz w:val="20"/>
                <w:szCs w:val="20"/>
              </w:rPr>
              <w:t>Administrador de GP</w:t>
            </w:r>
          </w:p>
          <w:p w14:paraId="6769CE64" w14:textId="77777777" w:rsidR="00532E13" w:rsidRDefault="00532E13" w:rsidP="00C26CCF">
            <w:pPr>
              <w:spacing w:after="0" w:line="240" w:lineRule="auto"/>
              <w:rPr>
                <w:rFonts w:cstheme="minorHAnsi"/>
                <w:i/>
                <w:iCs/>
                <w:sz w:val="20"/>
                <w:szCs w:val="20"/>
              </w:rPr>
            </w:pPr>
            <w:r w:rsidRPr="00963907">
              <w:rPr>
                <w:rFonts w:cstheme="minorHAnsi"/>
                <w:i/>
                <w:iCs/>
                <w:sz w:val="20"/>
                <w:szCs w:val="20"/>
              </w:rPr>
              <w:t>(2ª Autoridad)</w:t>
            </w:r>
          </w:p>
          <w:p w14:paraId="19409B42" w14:textId="2C74494D" w:rsidR="008A64C6" w:rsidRPr="00963907" w:rsidRDefault="008A64C6" w:rsidP="00C26CCF">
            <w:pPr>
              <w:spacing w:after="0" w:line="240" w:lineRule="auto"/>
              <w:rPr>
                <w:rFonts w:cstheme="minorHAnsi"/>
                <w:i/>
                <w:iCs/>
                <w:sz w:val="20"/>
                <w:szCs w:val="20"/>
              </w:rPr>
            </w:pPr>
            <w:r>
              <w:rPr>
                <w:rFonts w:cstheme="minorHAnsi"/>
                <w:i/>
                <w:iCs/>
                <w:sz w:val="20"/>
                <w:szCs w:val="20"/>
              </w:rPr>
              <w:t>[GP Administrator]</w:t>
            </w:r>
          </w:p>
        </w:tc>
        <w:tc>
          <w:tcPr>
            <w:tcW w:w="4950" w:type="dxa"/>
          </w:tcPr>
          <w:p w14:paraId="5E910493" w14:textId="79252B52"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Ser administrador de recursos humanos</w:t>
            </w:r>
          </w:p>
          <w:p w14:paraId="7C6964D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Ser Oficial de Desembolso</w:t>
            </w:r>
          </w:p>
        </w:tc>
        <w:tc>
          <w:tcPr>
            <w:tcW w:w="3240" w:type="dxa"/>
          </w:tcPr>
          <w:p w14:paraId="3E02641D" w14:textId="75C47C36"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Sí</w:t>
            </w:r>
          </w:p>
        </w:tc>
      </w:tr>
      <w:tr w:rsidR="003C2B04" w:rsidRPr="00963907" w14:paraId="29FEDA5F" w14:textId="0D4A04C0" w:rsidTr="24F5DBB9">
        <w:trPr>
          <w:trHeight w:val="20"/>
        </w:trPr>
        <w:tc>
          <w:tcPr>
            <w:tcW w:w="2160" w:type="dxa"/>
          </w:tcPr>
          <w:p w14:paraId="311AE3B8" w14:textId="77777777" w:rsidR="00532E13" w:rsidRDefault="00532E13" w:rsidP="00C26CCF">
            <w:pPr>
              <w:spacing w:after="0" w:line="240" w:lineRule="auto"/>
              <w:rPr>
                <w:rFonts w:cstheme="minorHAnsi"/>
                <w:i/>
                <w:sz w:val="20"/>
                <w:szCs w:val="20"/>
                <w:lang w:val="es-419"/>
              </w:rPr>
            </w:pPr>
            <w:r w:rsidRPr="00756410">
              <w:rPr>
                <w:rFonts w:cstheme="minorHAnsi"/>
                <w:sz w:val="20"/>
                <w:szCs w:val="20"/>
                <w:lang w:val="es-419"/>
              </w:rPr>
              <w:t xml:space="preserve">Oficial de Desembolso – Usuario de la Herramienta de Validación de Nómina </w:t>
            </w:r>
            <w:r w:rsidRPr="00756410">
              <w:rPr>
                <w:rFonts w:cstheme="minorHAnsi"/>
                <w:i/>
                <w:sz w:val="20"/>
                <w:szCs w:val="20"/>
                <w:lang w:val="es-419"/>
              </w:rPr>
              <w:t>(3ª Autoridad)</w:t>
            </w:r>
          </w:p>
          <w:p w14:paraId="66F53FCD" w14:textId="2BBECF24" w:rsidR="008A64C6" w:rsidRPr="00153393" w:rsidRDefault="00153393" w:rsidP="00C26CCF">
            <w:pPr>
              <w:spacing w:after="0" w:line="240" w:lineRule="auto"/>
              <w:rPr>
                <w:rFonts w:cstheme="minorHAnsi"/>
                <w:sz w:val="20"/>
                <w:szCs w:val="20"/>
              </w:rPr>
            </w:pPr>
            <w:r w:rsidRPr="00756410">
              <w:rPr>
                <w:rFonts w:cstheme="minorHAnsi"/>
                <w:i/>
                <w:sz w:val="20"/>
                <w:szCs w:val="20"/>
              </w:rPr>
              <w:t>[Di</w:t>
            </w:r>
            <w:r w:rsidRPr="00153393">
              <w:rPr>
                <w:rFonts w:cstheme="minorHAnsi"/>
                <w:i/>
                <w:sz w:val="20"/>
                <w:szCs w:val="20"/>
              </w:rPr>
              <w:t>sbursing Officer – Payroll Validation Tool</w:t>
            </w:r>
            <w:r>
              <w:rPr>
                <w:rFonts w:cstheme="minorHAnsi"/>
                <w:i/>
                <w:sz w:val="20"/>
                <w:szCs w:val="20"/>
              </w:rPr>
              <w:t>]</w:t>
            </w:r>
          </w:p>
        </w:tc>
        <w:tc>
          <w:tcPr>
            <w:tcW w:w="4950" w:type="dxa"/>
          </w:tcPr>
          <w:p w14:paraId="699D88B7" w14:textId="2D4DB390"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Ser administrador de GP</w:t>
            </w:r>
          </w:p>
          <w:p w14:paraId="5B92CE3D" w14:textId="3208CF3D" w:rsidR="00532E13" w:rsidRPr="00756410" w:rsidRDefault="00532E13">
            <w:pPr>
              <w:pStyle w:val="ListParagraph"/>
              <w:widowControl w:val="0"/>
              <w:numPr>
                <w:ilvl w:val="0"/>
                <w:numId w:val="90"/>
              </w:numPr>
              <w:autoSpaceDE w:val="0"/>
              <w:autoSpaceDN w:val="0"/>
              <w:spacing w:after="0" w:line="240" w:lineRule="auto"/>
              <w:ind w:left="290" w:hanging="290"/>
              <w:rPr>
                <w:rFonts w:cstheme="minorHAnsi"/>
                <w:sz w:val="20"/>
                <w:szCs w:val="20"/>
                <w:lang w:val="es-ES"/>
              </w:rPr>
            </w:pPr>
            <w:r w:rsidRPr="00756410">
              <w:rPr>
                <w:rFonts w:cstheme="minorHAnsi"/>
                <w:sz w:val="20"/>
                <w:szCs w:val="20"/>
                <w:lang w:val="es-ES"/>
              </w:rPr>
              <w:t>Ser administrador de recursos humanos</w:t>
            </w:r>
          </w:p>
        </w:tc>
        <w:tc>
          <w:tcPr>
            <w:tcW w:w="3240" w:type="dxa"/>
          </w:tcPr>
          <w:p w14:paraId="6BA4E62E" w14:textId="2CC8E0B6"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Sí</w:t>
            </w:r>
          </w:p>
        </w:tc>
      </w:tr>
    </w:tbl>
    <w:p w14:paraId="3B184291" w14:textId="4BD355BE" w:rsidR="00C20415" w:rsidRDefault="00C20415" w:rsidP="006E6EB2"/>
    <w:p w14:paraId="35B0A5D8" w14:textId="12A98A98" w:rsidR="00A53A59" w:rsidRDefault="00A53A59">
      <w:r>
        <w:br w:type="page"/>
      </w:r>
    </w:p>
    <w:p w14:paraId="0D36B054" w14:textId="7F5EE6D3" w:rsidR="00CE749B" w:rsidRPr="00756410" w:rsidRDefault="006B79D0" w:rsidP="006B79D0">
      <w:pPr>
        <w:pStyle w:val="Heading1"/>
        <w:spacing w:after="240"/>
        <w:rPr>
          <w:lang w:val="es-419"/>
        </w:rPr>
      </w:pPr>
      <w:bookmarkStart w:id="129" w:name="_Annex_7:_Overview"/>
      <w:bookmarkStart w:id="130" w:name="_Toc210052801"/>
      <w:bookmarkEnd w:id="129"/>
      <w:r w:rsidRPr="00756410">
        <w:rPr>
          <w:lang w:val="es-419"/>
        </w:rPr>
        <w:lastRenderedPageBreak/>
        <w:t xml:space="preserve">Anexo 7: </w:t>
      </w:r>
      <w:r w:rsidR="0A60DFD0" w:rsidRPr="060093BD">
        <w:rPr>
          <w:lang w:val="es-419"/>
        </w:rPr>
        <w:t xml:space="preserve">Descripción </w:t>
      </w:r>
      <w:r w:rsidRPr="00756410">
        <w:rPr>
          <w:lang w:val="es-419"/>
        </w:rPr>
        <w:t>general de dónde se realizan las acciones clave</w:t>
      </w:r>
      <w:bookmarkEnd w:id="130"/>
    </w:p>
    <w:p w14:paraId="41CCA487" w14:textId="2A2724F8" w:rsidR="00F511BE" w:rsidRPr="00756410" w:rsidRDefault="1CC20D45" w:rsidP="0EA64380">
      <w:pPr>
        <w:rPr>
          <w:rFonts w:eastAsia="Times New Roman"/>
          <w:sz w:val="20"/>
          <w:szCs w:val="20"/>
          <w:lang w:val="es-419"/>
          <w14:ligatures w14:val="none"/>
        </w:rPr>
      </w:pPr>
      <w:r w:rsidRPr="00756410">
        <w:rPr>
          <w:rFonts w:eastAsia="Times New Roman"/>
          <w:sz w:val="20"/>
          <w:szCs w:val="20"/>
          <w:lang w:val="es-419"/>
          <w14:ligatures w14:val="none"/>
        </w:rPr>
        <w:t>En el Anexo 7 se resume quién realiza las principales acciones de control de procesos, dependiendo de si un proceso está agrupado</w:t>
      </w:r>
      <w:r w:rsidR="00624F74" w:rsidRPr="25E47235">
        <w:rPr>
          <w:rFonts w:eastAsia="Times New Roman"/>
          <w:sz w:val="20"/>
          <w:szCs w:val="20"/>
          <w:lang w:val="es-419"/>
        </w:rPr>
        <w:t xml:space="preserve"> (</w:t>
      </w:r>
      <w:r w:rsidR="00624F74" w:rsidRPr="25E47235">
        <w:rPr>
          <w:rFonts w:eastAsia="Times New Roman"/>
          <w:i/>
          <w:sz w:val="20"/>
          <w:szCs w:val="20"/>
          <w:lang w:val="es-419"/>
        </w:rPr>
        <w:t>clustered)</w:t>
      </w:r>
      <w:r w:rsidRPr="00756410">
        <w:rPr>
          <w:rFonts w:eastAsia="Times New Roman"/>
          <w:sz w:val="20"/>
          <w:szCs w:val="20"/>
          <w:lang w:val="es-419"/>
          <w14:ligatures w14:val="none"/>
        </w:rPr>
        <w:t xml:space="preserve"> en el BMS/GSSC o no. </w:t>
      </w:r>
      <w:r w:rsidR="5EFFB68C" w:rsidRPr="00756410">
        <w:rPr>
          <w:sz w:val="20"/>
          <w:szCs w:val="20"/>
          <w:lang w:val="es-419"/>
        </w:rPr>
        <w:t xml:space="preserve">Consulte la sección correspondiente de esta Guía para obtener más información. </w:t>
      </w:r>
      <w:r w:rsidRPr="00756410">
        <w:rPr>
          <w:rFonts w:eastAsia="Times New Roman"/>
          <w:sz w:val="20"/>
          <w:szCs w:val="20"/>
          <w:lang w:val="es-419"/>
          <w14:ligatures w14:val="none"/>
        </w:rPr>
        <w:t xml:space="preserve">El nivel de agrupación </w:t>
      </w:r>
      <w:r w:rsidR="00624F74" w:rsidRPr="25E47235">
        <w:rPr>
          <w:rFonts w:eastAsia="Times New Roman"/>
          <w:sz w:val="20"/>
          <w:szCs w:val="20"/>
          <w:lang w:val="es-419"/>
        </w:rPr>
        <w:t>(</w:t>
      </w:r>
      <w:r w:rsidR="00624F74" w:rsidRPr="25E47235">
        <w:rPr>
          <w:rFonts w:eastAsia="Times New Roman"/>
          <w:i/>
          <w:sz w:val="20"/>
          <w:szCs w:val="20"/>
          <w:lang w:val="es-419"/>
        </w:rPr>
        <w:t xml:space="preserve">clustering) </w:t>
      </w:r>
      <w:r w:rsidRPr="00756410">
        <w:rPr>
          <w:rFonts w:eastAsia="Times New Roman"/>
          <w:sz w:val="20"/>
          <w:szCs w:val="20"/>
          <w:lang w:val="es-419"/>
          <w14:ligatures w14:val="none"/>
        </w:rPr>
        <w:t>difiere para l</w:t>
      </w:r>
      <w:r w:rsidR="05E8F198" w:rsidRPr="25E47235">
        <w:rPr>
          <w:rFonts w:eastAsia="Times New Roman"/>
          <w:sz w:val="20"/>
          <w:szCs w:val="20"/>
          <w:lang w:val="es-419"/>
        </w:rPr>
        <w:t>a</w:t>
      </w:r>
      <w:r w:rsidRPr="00756410">
        <w:rPr>
          <w:rFonts w:eastAsia="Times New Roman"/>
          <w:sz w:val="20"/>
          <w:szCs w:val="20"/>
          <w:lang w:val="es-419"/>
          <w14:ligatures w14:val="none"/>
        </w:rPr>
        <w:t>s O</w:t>
      </w:r>
      <w:r w:rsidR="0C2CB6A5" w:rsidRPr="0EA64380">
        <w:rPr>
          <w:rFonts w:eastAsia="Times New Roman"/>
          <w:sz w:val="20"/>
          <w:szCs w:val="20"/>
          <w:lang w:val="es-419"/>
          <w14:ligatures w14:val="none"/>
        </w:rPr>
        <w:t>P</w:t>
      </w:r>
      <w:r w:rsidRPr="00756410">
        <w:rPr>
          <w:rFonts w:eastAsia="Times New Roman"/>
          <w:sz w:val="20"/>
          <w:szCs w:val="20"/>
          <w:lang w:val="es-419"/>
          <w14:ligatures w14:val="none"/>
        </w:rPr>
        <w:t xml:space="preserve">, las oficinas/unidades de la sede y las </w:t>
      </w:r>
      <w:r w:rsidR="0062733C" w:rsidRPr="3937432E">
        <w:rPr>
          <w:sz w:val="20"/>
          <w:szCs w:val="20"/>
          <w:lang w:val="es-419"/>
        </w:rPr>
        <w:t>unidades de la sede fuera de Nueva York</w:t>
      </w:r>
      <w:r w:rsidR="0062733C" w:rsidRPr="25E47235" w:rsidDel="001421E1">
        <w:rPr>
          <w:rFonts w:eastAsia="Times New Roman"/>
          <w:sz w:val="20"/>
          <w:szCs w:val="20"/>
          <w:lang w:val="es-419"/>
        </w:rPr>
        <w:t xml:space="preserve"> </w:t>
      </w:r>
      <w:r w:rsidR="001421E1" w:rsidRPr="25E47235">
        <w:rPr>
          <w:rFonts w:eastAsia="Times New Roman"/>
          <w:sz w:val="20"/>
          <w:szCs w:val="20"/>
          <w:lang w:val="es-419"/>
        </w:rPr>
        <w:t>(“</w:t>
      </w:r>
      <w:r w:rsidR="001421E1" w:rsidRPr="00756410">
        <w:rPr>
          <w:rFonts w:eastAsia="Times New Roman"/>
          <w:i/>
          <w:sz w:val="20"/>
          <w:szCs w:val="20"/>
          <w:lang w:val="es-419"/>
        </w:rPr>
        <w:t>Outposted</w:t>
      </w:r>
      <w:r w:rsidR="00A45E63" w:rsidRPr="00756410">
        <w:rPr>
          <w:rFonts w:eastAsia="Times New Roman"/>
          <w:i/>
          <w:sz w:val="20"/>
          <w:szCs w:val="20"/>
          <w:lang w:val="es-419"/>
        </w:rPr>
        <w:t xml:space="preserve"> HQ locations</w:t>
      </w:r>
      <w:r w:rsidR="001421E1" w:rsidRPr="25E47235">
        <w:rPr>
          <w:rFonts w:eastAsia="Times New Roman"/>
          <w:sz w:val="20"/>
          <w:szCs w:val="20"/>
          <w:lang w:val="es-419"/>
        </w:rPr>
        <w:t>”)</w:t>
      </w:r>
      <w:r w:rsidRPr="00756410">
        <w:rPr>
          <w:rFonts w:eastAsia="Times New Roman"/>
          <w:sz w:val="20"/>
          <w:szCs w:val="20"/>
          <w:lang w:val="es-419"/>
          <w14:ligatures w14:val="none"/>
        </w:rPr>
        <w:t xml:space="preserve"> (por ejemplo, las oficinas de representación de BERA). </w:t>
      </w:r>
    </w:p>
    <w:p w14:paraId="42C42B23" w14:textId="4284A45A" w:rsidR="00F511BE" w:rsidRPr="00756410" w:rsidRDefault="00CE06B0" w:rsidP="0EA64380">
      <w:pPr>
        <w:rPr>
          <w:rFonts w:eastAsia="Times New Roman"/>
          <w:sz w:val="20"/>
          <w:szCs w:val="20"/>
          <w:lang w:val="es-419"/>
          <w14:ligatures w14:val="none"/>
        </w:rPr>
      </w:pPr>
      <w:r w:rsidRPr="00756410">
        <w:rPr>
          <w:rFonts w:eastAsia="Times New Roman"/>
          <w:sz w:val="20"/>
          <w:szCs w:val="20"/>
          <w:lang w:val="es-419"/>
          <w14:ligatures w14:val="none"/>
        </w:rPr>
        <w:t>L</w:t>
      </w:r>
      <w:r>
        <w:rPr>
          <w:rFonts w:eastAsia="Times New Roman"/>
          <w:sz w:val="20"/>
          <w:szCs w:val="20"/>
          <w:lang w:val="es-419"/>
          <w14:ligatures w14:val="none"/>
        </w:rPr>
        <w:t>a</w:t>
      </w:r>
      <w:r w:rsidRPr="00756410">
        <w:rPr>
          <w:rFonts w:eastAsia="Times New Roman"/>
          <w:sz w:val="20"/>
          <w:szCs w:val="20"/>
          <w:lang w:val="es-419"/>
          <w14:ligatures w14:val="none"/>
        </w:rPr>
        <w:t xml:space="preserve">s </w:t>
      </w:r>
      <w:r w:rsidRPr="00CE06B0">
        <w:rPr>
          <w:rFonts w:eastAsia="Times New Roman"/>
          <w:sz w:val="20"/>
          <w:szCs w:val="20"/>
          <w:lang w:val="es-419"/>
          <w14:ligatures w14:val="none"/>
        </w:rPr>
        <w:t>oficina de país</w:t>
      </w:r>
      <w:r w:rsidR="268A1832" w:rsidRPr="00756410">
        <w:rPr>
          <w:rFonts w:eastAsia="Times New Roman"/>
          <w:sz w:val="20"/>
          <w:szCs w:val="20"/>
          <w:lang w:val="es-419"/>
          <w14:ligatures w14:val="none"/>
        </w:rPr>
        <w:t xml:space="preserve"> se muestran en la columna B y BMS/GSSC en la columna C. De las 68 acciones en la tabla para las columnas B y C, hay 6 áreas donde hay un "Sí" tanto en la columna B como en la C:</w:t>
      </w:r>
    </w:p>
    <w:p w14:paraId="08F3FB7D" w14:textId="0244B1FE"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Cree facturas, ya que BMS/GSSC puede ayudar a las oficinas/unidades con transacciones masivas.</w:t>
      </w:r>
    </w:p>
    <w:p w14:paraId="348CCCD5" w14:textId="4A57F489" w:rsidR="00F511BE" w:rsidRPr="00756410" w:rsidRDefault="00562E5F">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 xml:space="preserve">Aprobación de ZDI, que se basa en la necesidad comercial.  </w:t>
      </w:r>
    </w:p>
    <w:p w14:paraId="51B06AEC" w14:textId="2E7E6B57" w:rsidR="00F511BE" w:rsidRPr="00756410" w:rsidRDefault="00F511BE">
      <w:pPr>
        <w:pStyle w:val="ListParagraph"/>
        <w:numPr>
          <w:ilvl w:val="1"/>
          <w:numId w:val="107"/>
        </w:numPr>
        <w:rPr>
          <w:sz w:val="20"/>
          <w:szCs w:val="20"/>
          <w:lang w:val="es-419"/>
        </w:rPr>
      </w:pPr>
      <w:r w:rsidRPr="00756410">
        <w:rPr>
          <w:rFonts w:eastAsia="Times New Roman"/>
          <w:sz w:val="20"/>
          <w:szCs w:val="20"/>
          <w:lang w:val="es-419"/>
          <w14:ligatures w14:val="none"/>
        </w:rPr>
        <w:t xml:space="preserve">Realice la conciliación de </w:t>
      </w:r>
      <w:r w:rsidR="799D77AD" w:rsidRPr="417276B6">
        <w:rPr>
          <w:rFonts w:eastAsia="Times New Roman"/>
          <w:sz w:val="20"/>
          <w:szCs w:val="20"/>
          <w:lang w:val="es-419"/>
        </w:rPr>
        <w:t xml:space="preserve"> boletos </w:t>
      </w:r>
      <w:r w:rsidR="00A1615B" w:rsidRPr="417276B6">
        <w:rPr>
          <w:rFonts w:eastAsia="Times New Roman"/>
          <w:sz w:val="20"/>
          <w:szCs w:val="20"/>
          <w:lang w:val="es-419"/>
        </w:rPr>
        <w:t>s</w:t>
      </w:r>
      <w:r w:rsidRPr="00756410">
        <w:rPr>
          <w:rFonts w:eastAsia="Times New Roman"/>
          <w:sz w:val="20"/>
          <w:szCs w:val="20"/>
          <w:lang w:val="es-419"/>
          <w14:ligatures w14:val="none"/>
        </w:rPr>
        <w:t>, según el método de interacción con el proveedor.</w:t>
      </w:r>
    </w:p>
    <w:p w14:paraId="6A8E37B9" w14:textId="490205E2"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Gestión de puestos, ya que las oficinas/unidades aprueban la necesidad comercial y BMS/GSSC realiza una revisión de verificación basada en el cumplimiento antes de ingresar al puesto en Quantum.</w:t>
      </w:r>
    </w:p>
    <w:p w14:paraId="716B85D7" w14:textId="26B3EFAF"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Supervisar la finalización oportuna de las transacciones, ya que así lo requieren tanto la oficina/dependencia como el BMS/GSSC.</w:t>
      </w:r>
    </w:p>
    <w:p w14:paraId="65C1DEBC" w14:textId="092AEFC6" w:rsidR="00F511BE" w:rsidRPr="00756410" w:rsidRDefault="00F511BE">
      <w:pPr>
        <w:pStyle w:val="ListParagraph"/>
        <w:numPr>
          <w:ilvl w:val="1"/>
          <w:numId w:val="107"/>
        </w:numPr>
        <w:rPr>
          <w:rFonts w:cstheme="minorHAnsi"/>
          <w:sz w:val="20"/>
          <w:szCs w:val="20"/>
          <w:lang w:val="es-419"/>
        </w:rPr>
      </w:pPr>
      <w:r w:rsidRPr="00756410">
        <w:rPr>
          <w:rFonts w:eastAsia="Times New Roman" w:cstheme="minorHAnsi"/>
          <w:sz w:val="20"/>
          <w:szCs w:val="20"/>
          <w:lang w:val="es-419"/>
          <w14:ligatures w14:val="none"/>
        </w:rPr>
        <w:t>Asegurar una adecuada gestión documental de las acciones realizadas.</w:t>
      </w:r>
    </w:p>
    <w:p w14:paraId="16C7FD47" w14:textId="04334E23" w:rsidR="00A53A59" w:rsidRPr="00756410" w:rsidRDefault="1CC20D45" w:rsidP="0EA64380">
      <w:pPr>
        <w:rPr>
          <w:sz w:val="20"/>
          <w:szCs w:val="20"/>
          <w:lang w:val="es-419"/>
        </w:rPr>
      </w:pPr>
      <w:r w:rsidRPr="00756410">
        <w:rPr>
          <w:rFonts w:eastAsia="Times New Roman"/>
          <w:sz w:val="20"/>
          <w:szCs w:val="20"/>
          <w:lang w:val="es-419"/>
          <w14:ligatures w14:val="none"/>
        </w:rPr>
        <w:t xml:space="preserve">Las oficinas/unidades </w:t>
      </w:r>
      <w:r w:rsidR="008206F2" w:rsidRPr="417276B6">
        <w:rPr>
          <w:rFonts w:eastAsia="Times New Roman"/>
          <w:sz w:val="20"/>
          <w:szCs w:val="20"/>
          <w:lang w:val="es-419"/>
        </w:rPr>
        <w:t>centrales en la sede</w:t>
      </w:r>
      <w:r w:rsidR="0014542E" w:rsidRPr="417276B6">
        <w:rPr>
          <w:rFonts w:eastAsia="Times New Roman"/>
          <w:sz w:val="20"/>
          <w:szCs w:val="20"/>
          <w:lang w:val="es-419"/>
        </w:rPr>
        <w:t xml:space="preserve"> </w:t>
      </w:r>
      <w:r w:rsidRPr="00756410">
        <w:rPr>
          <w:rFonts w:eastAsia="Times New Roman"/>
          <w:sz w:val="20"/>
          <w:szCs w:val="20"/>
          <w:lang w:val="es-419"/>
          <w14:ligatures w14:val="none"/>
        </w:rPr>
        <w:t xml:space="preserve">se muestran en la columna D. Tienen menos procesos agrupados </w:t>
      </w:r>
      <w:r w:rsidR="0014542E" w:rsidRPr="3937432E">
        <w:rPr>
          <w:sz w:val="20"/>
          <w:szCs w:val="20"/>
          <w:lang w:val="es-419"/>
        </w:rPr>
        <w:t>(</w:t>
      </w:r>
      <w:r w:rsidR="0014542E" w:rsidRPr="3937432E">
        <w:rPr>
          <w:rFonts w:ascii="Calibri" w:eastAsia="Calibri" w:hAnsi="Calibri" w:cs="Calibri"/>
          <w:i/>
          <w:iCs/>
          <w:color w:val="004377"/>
          <w:sz w:val="19"/>
          <w:szCs w:val="19"/>
          <w:u w:val="single"/>
          <w:lang w:val="es-419"/>
        </w:rPr>
        <w:t>clustered)</w:t>
      </w:r>
      <w:r w:rsidR="0014542E">
        <w:rPr>
          <w:rFonts w:ascii="Calibri" w:eastAsia="Calibri" w:hAnsi="Calibri" w:cs="Calibri"/>
          <w:i/>
          <w:iCs/>
          <w:color w:val="004377"/>
          <w:sz w:val="19"/>
          <w:szCs w:val="19"/>
          <w:u w:val="single"/>
          <w:lang w:val="es-419"/>
        </w:rPr>
        <w:t xml:space="preserve"> </w:t>
      </w:r>
      <w:r w:rsidRPr="00756410">
        <w:rPr>
          <w:rFonts w:eastAsia="Times New Roman"/>
          <w:sz w:val="20"/>
          <w:szCs w:val="20"/>
          <w:lang w:val="es-419"/>
          <w14:ligatures w14:val="none"/>
        </w:rPr>
        <w:t>que l</w:t>
      </w:r>
      <w:r w:rsidR="007BAD42" w:rsidRPr="417276B6">
        <w:rPr>
          <w:rFonts w:eastAsia="Times New Roman"/>
          <w:sz w:val="20"/>
          <w:szCs w:val="20"/>
          <w:lang w:val="es-419"/>
        </w:rPr>
        <w:t>a</w:t>
      </w:r>
      <w:r w:rsidRPr="00756410">
        <w:rPr>
          <w:rFonts w:eastAsia="Times New Roman"/>
          <w:sz w:val="20"/>
          <w:szCs w:val="20"/>
          <w:lang w:val="es-419"/>
          <w14:ligatures w14:val="none"/>
        </w:rPr>
        <w:t xml:space="preserve">s </w:t>
      </w:r>
      <w:r w:rsidR="00CE06B0" w:rsidRPr="00CE06B0">
        <w:rPr>
          <w:rFonts w:eastAsia="Times New Roman"/>
          <w:sz w:val="20"/>
          <w:szCs w:val="20"/>
          <w:lang w:val="es-419"/>
          <w14:ligatures w14:val="none"/>
        </w:rPr>
        <w:t xml:space="preserve">oficina de país </w:t>
      </w:r>
      <w:r w:rsidRPr="00756410">
        <w:rPr>
          <w:rFonts w:eastAsia="Times New Roman"/>
          <w:sz w:val="20"/>
          <w:szCs w:val="20"/>
          <w:lang w:val="es-419"/>
          <w14:ligatures w14:val="none"/>
        </w:rPr>
        <w:t xml:space="preserve"> (por ejemplo, principalmente activos, inventario, contabilidad de ingresos) y, por lo tanto, realizan muchas de las acciones que el BMS / GSSC hace para los </w:t>
      </w:r>
      <w:r w:rsidR="720410D0" w:rsidRPr="00756410">
        <w:rPr>
          <w:rFonts w:eastAsia="Times New Roman"/>
          <w:sz w:val="20"/>
          <w:szCs w:val="20"/>
          <w:lang w:val="es-419"/>
          <w14:ligatures w14:val="none"/>
        </w:rPr>
        <w:t>OP</w:t>
      </w:r>
      <w:r w:rsidRPr="00756410">
        <w:rPr>
          <w:rFonts w:eastAsia="Times New Roman"/>
          <w:sz w:val="20"/>
          <w:szCs w:val="20"/>
          <w:lang w:val="es-419"/>
          <w14:ligatures w14:val="none"/>
        </w:rPr>
        <w:t xml:space="preserve">, por lo tanto, hay un mayor número de "Sí" en la columna D que refleja la columna C de BMS / GSSC. La columna E es para </w:t>
      </w:r>
      <w:r w:rsidR="0062733C" w:rsidRPr="0062733C">
        <w:rPr>
          <w:sz w:val="20"/>
          <w:szCs w:val="20"/>
          <w:lang w:val="es-419"/>
        </w:rPr>
        <w:t xml:space="preserve"> </w:t>
      </w:r>
      <w:r w:rsidR="0062733C" w:rsidRPr="3937432E">
        <w:rPr>
          <w:sz w:val="20"/>
          <w:szCs w:val="20"/>
          <w:lang w:val="es-419"/>
        </w:rPr>
        <w:t>unidades de la sede fuera de Nueva York</w:t>
      </w:r>
      <w:r w:rsidR="0062733C">
        <w:rPr>
          <w:sz w:val="20"/>
          <w:szCs w:val="20"/>
          <w:lang w:val="es-419"/>
        </w:rPr>
        <w:t xml:space="preserve"> </w:t>
      </w:r>
      <w:r w:rsidRPr="00756410">
        <w:rPr>
          <w:rFonts w:eastAsia="Times New Roman"/>
          <w:sz w:val="20"/>
          <w:szCs w:val="20"/>
          <w:lang w:val="es-419"/>
          <w14:ligatures w14:val="none"/>
        </w:rPr>
        <w:t xml:space="preserve">que realizan las mismas acciones que las oficinas de la sede, así como la administración de recursos humanos y nómina para el personal local en sus oficinas. Por lo tanto, la columna E tiene mucho "Sí" que refleja la columna BMS / GSSC porque las </w:t>
      </w:r>
      <w:r w:rsidR="0062733C" w:rsidRPr="3937432E">
        <w:rPr>
          <w:sz w:val="20"/>
          <w:szCs w:val="20"/>
          <w:lang w:val="es-419"/>
        </w:rPr>
        <w:t xml:space="preserve">unidades </w:t>
      </w:r>
      <w:r w:rsidR="008206F2">
        <w:rPr>
          <w:sz w:val="20"/>
          <w:szCs w:val="20"/>
          <w:lang w:val="es-419"/>
        </w:rPr>
        <w:t xml:space="preserve">centrales </w:t>
      </w:r>
      <w:r w:rsidR="0062733C" w:rsidRPr="3937432E">
        <w:rPr>
          <w:sz w:val="20"/>
          <w:szCs w:val="20"/>
          <w:lang w:val="es-419"/>
        </w:rPr>
        <w:t>de la sede fuera de Nuev</w:t>
      </w:r>
      <w:r w:rsidR="0062733C" w:rsidRPr="417276B6">
        <w:rPr>
          <w:rFonts w:eastAsia="Times New Roman"/>
          <w:sz w:val="20"/>
          <w:szCs w:val="20"/>
          <w:lang w:val="es-419"/>
        </w:rPr>
        <w:t xml:space="preserve">a York </w:t>
      </w:r>
      <w:r w:rsidRPr="00756410">
        <w:rPr>
          <w:rFonts w:eastAsia="Times New Roman"/>
          <w:sz w:val="20"/>
          <w:szCs w:val="20"/>
          <w:lang w:val="es-419"/>
          <w14:ligatures w14:val="none"/>
        </w:rPr>
        <w:t xml:space="preserve">tienen incluso menos procesos agrupados </w:t>
      </w:r>
      <w:r w:rsidR="00F7168B" w:rsidRPr="3937432E">
        <w:rPr>
          <w:sz w:val="20"/>
          <w:szCs w:val="20"/>
          <w:lang w:val="es-419"/>
        </w:rPr>
        <w:t>(</w:t>
      </w:r>
      <w:r w:rsidR="00F7168B" w:rsidRPr="3937432E">
        <w:rPr>
          <w:rFonts w:ascii="Calibri" w:eastAsia="Calibri" w:hAnsi="Calibri" w:cs="Calibri"/>
          <w:i/>
          <w:iCs/>
          <w:color w:val="004377"/>
          <w:sz w:val="19"/>
          <w:szCs w:val="19"/>
          <w:u w:val="single"/>
          <w:lang w:val="es-419"/>
        </w:rPr>
        <w:t>clustered)</w:t>
      </w:r>
      <w:r w:rsidR="00F7168B">
        <w:rPr>
          <w:rFonts w:ascii="Calibri" w:eastAsia="Calibri" w:hAnsi="Calibri" w:cs="Calibri"/>
          <w:i/>
          <w:iCs/>
          <w:color w:val="004377"/>
          <w:sz w:val="19"/>
          <w:szCs w:val="19"/>
          <w:u w:val="single"/>
          <w:lang w:val="es-419"/>
        </w:rPr>
        <w:t xml:space="preserve"> </w:t>
      </w:r>
      <w:r w:rsidRPr="00756410">
        <w:rPr>
          <w:rFonts w:eastAsia="Times New Roman"/>
          <w:sz w:val="20"/>
          <w:szCs w:val="20"/>
          <w:lang w:val="es-419"/>
          <w14:ligatures w14:val="none"/>
        </w:rPr>
        <w:t xml:space="preserve">que las </w:t>
      </w:r>
      <w:r w:rsidR="00A90C23" w:rsidRPr="417276B6">
        <w:rPr>
          <w:rFonts w:eastAsia="Times New Roman"/>
          <w:sz w:val="20"/>
          <w:szCs w:val="20"/>
          <w:lang w:val="es-419"/>
        </w:rPr>
        <w:t>unidades</w:t>
      </w:r>
      <w:r w:rsidR="00A90C23" w:rsidRPr="00756410">
        <w:rPr>
          <w:rFonts w:eastAsia="Times New Roman"/>
          <w:sz w:val="20"/>
          <w:szCs w:val="20"/>
          <w:lang w:val="es-419"/>
        </w:rPr>
        <w:t xml:space="preserve"> </w:t>
      </w:r>
      <w:r w:rsidRPr="00756410">
        <w:rPr>
          <w:rFonts w:eastAsia="Times New Roman"/>
          <w:sz w:val="20"/>
          <w:szCs w:val="20"/>
          <w:lang w:val="es-419"/>
          <w14:ligatures w14:val="none"/>
        </w:rPr>
        <w:t>centrales</w:t>
      </w:r>
      <w:r w:rsidR="00320CDC" w:rsidRPr="417276B6">
        <w:rPr>
          <w:rFonts w:eastAsia="Times New Roman"/>
          <w:sz w:val="20"/>
          <w:szCs w:val="20"/>
          <w:lang w:val="es-419"/>
        </w:rPr>
        <w:t xml:space="preserve"> en la sede</w:t>
      </w:r>
      <w:r w:rsidRPr="00756410">
        <w:rPr>
          <w:rFonts w:eastAsia="Times New Roman"/>
          <w:sz w:val="20"/>
          <w:szCs w:val="20"/>
          <w:lang w:val="es-419"/>
          <w14:ligatures w14:val="none"/>
        </w:rPr>
        <w:t>.</w:t>
      </w:r>
    </w:p>
    <w:tbl>
      <w:tblPr>
        <w:tblStyle w:val="TableGrid"/>
        <w:tblW w:w="10890" w:type="dxa"/>
        <w:tblInd w:w="-185" w:type="dxa"/>
        <w:tblLayout w:type="fixed"/>
        <w:tblLook w:val="04A0" w:firstRow="1" w:lastRow="0" w:firstColumn="1" w:lastColumn="0" w:noHBand="0" w:noVBand="1"/>
      </w:tblPr>
      <w:tblGrid>
        <w:gridCol w:w="3360"/>
        <w:gridCol w:w="1590"/>
        <w:gridCol w:w="2070"/>
        <w:gridCol w:w="2160"/>
        <w:gridCol w:w="1710"/>
      </w:tblGrid>
      <w:tr w:rsidR="00601509" w:rsidRPr="00773863" w14:paraId="128FF5CF" w14:textId="77777777" w:rsidTr="0004107A">
        <w:trPr>
          <w:tblHeader/>
        </w:trPr>
        <w:tc>
          <w:tcPr>
            <w:tcW w:w="3360" w:type="dxa"/>
            <w:tcBorders>
              <w:top w:val="single" w:sz="4" w:space="0" w:color="auto"/>
              <w:left w:val="single" w:sz="4" w:space="0" w:color="auto"/>
              <w:bottom w:val="single" w:sz="4" w:space="0" w:color="auto"/>
              <w:right w:val="single" w:sz="4" w:space="0" w:color="auto"/>
            </w:tcBorders>
            <w:shd w:val="clear" w:color="auto" w:fill="002060"/>
          </w:tcPr>
          <w:p w14:paraId="52DA1866" w14:textId="77777777" w:rsidR="00A53A59" w:rsidRPr="00756410" w:rsidRDefault="00A53A59" w:rsidP="00CF32EB">
            <w:pPr>
              <w:rPr>
                <w:rFonts w:cstheme="minorHAnsi"/>
                <w:b/>
                <w:sz w:val="20"/>
                <w:szCs w:val="20"/>
                <w:lang w:val="es-419"/>
              </w:rPr>
            </w:pPr>
            <w:r w:rsidRPr="00756410">
              <w:rPr>
                <w:rFonts w:cstheme="minorHAnsi"/>
                <w:b/>
                <w:sz w:val="20"/>
                <w:szCs w:val="20"/>
                <w:lang w:val="es-419"/>
              </w:rPr>
              <w:t>Área funcional/Acciones clave</w:t>
            </w:r>
          </w:p>
          <w:p w14:paraId="26D54B37" w14:textId="5B7C27D4" w:rsidR="00032C5C" w:rsidRPr="00756410" w:rsidRDefault="00032C5C" w:rsidP="00CF32EB">
            <w:pPr>
              <w:rPr>
                <w:rFonts w:cstheme="minorHAnsi"/>
                <w:b/>
                <w:sz w:val="20"/>
                <w:szCs w:val="20"/>
                <w:lang w:val="es-419"/>
              </w:rPr>
            </w:pPr>
            <w:r w:rsidRPr="00756410">
              <w:rPr>
                <w:rFonts w:cstheme="minorHAnsi"/>
                <w:b/>
                <w:sz w:val="20"/>
                <w:szCs w:val="20"/>
                <w:lang w:val="es-419"/>
              </w:rPr>
              <w:t>(A)</w:t>
            </w:r>
          </w:p>
        </w:tc>
        <w:tc>
          <w:tcPr>
            <w:tcW w:w="1590" w:type="dxa"/>
            <w:tcBorders>
              <w:top w:val="single" w:sz="4" w:space="0" w:color="auto"/>
              <w:left w:val="single" w:sz="4" w:space="0" w:color="auto"/>
              <w:bottom w:val="single" w:sz="4" w:space="0" w:color="auto"/>
              <w:right w:val="single" w:sz="4" w:space="0" w:color="auto"/>
            </w:tcBorders>
            <w:shd w:val="clear" w:color="auto" w:fill="002060"/>
          </w:tcPr>
          <w:p w14:paraId="5FB331CE" w14:textId="3F494AAA" w:rsidR="00A53A59" w:rsidRPr="00756410" w:rsidRDefault="00A53A59" w:rsidP="00CF32EB">
            <w:pPr>
              <w:jc w:val="center"/>
              <w:rPr>
                <w:rFonts w:cstheme="minorHAnsi"/>
                <w:b/>
                <w:sz w:val="20"/>
                <w:szCs w:val="20"/>
                <w:lang w:val="es-419"/>
              </w:rPr>
            </w:pPr>
            <w:r w:rsidRPr="00756410">
              <w:rPr>
                <w:rFonts w:cstheme="minorHAnsi"/>
                <w:b/>
                <w:sz w:val="20"/>
                <w:szCs w:val="20"/>
                <w:lang w:val="es-419"/>
              </w:rPr>
              <w:t xml:space="preserve">Dentro de la oficina/unidad de </w:t>
            </w:r>
            <w:r w:rsidR="00CE06B0" w:rsidRPr="00CE06B0">
              <w:rPr>
                <w:rFonts w:cstheme="minorHAnsi"/>
                <w:b/>
                <w:sz w:val="20"/>
                <w:szCs w:val="20"/>
                <w:lang w:val="es-419"/>
              </w:rPr>
              <w:t>oficina de país</w:t>
            </w:r>
            <w:r w:rsidRPr="00756410">
              <w:rPr>
                <w:rFonts w:cstheme="minorHAnsi"/>
                <w:b/>
                <w:sz w:val="20"/>
                <w:szCs w:val="20"/>
                <w:lang w:val="es-419"/>
              </w:rPr>
              <w:t xml:space="preserve"> con procesos agrupados </w:t>
            </w:r>
            <w:r w:rsidR="0085751A" w:rsidRPr="00756410">
              <w:rPr>
                <w:color w:val="FFFFFF" w:themeColor="background1"/>
                <w:sz w:val="20"/>
                <w:szCs w:val="20"/>
                <w:lang w:val="es-419"/>
              </w:rPr>
              <w:t>(</w:t>
            </w:r>
            <w:r w:rsidR="0085751A" w:rsidRPr="00756410">
              <w:rPr>
                <w:rFonts w:ascii="Calibri" w:eastAsia="Calibri" w:hAnsi="Calibri" w:cs="Calibri"/>
                <w:i/>
                <w:iCs/>
                <w:color w:val="FFFFFF" w:themeColor="background1"/>
                <w:sz w:val="19"/>
                <w:szCs w:val="19"/>
                <w:u w:val="single"/>
                <w:lang w:val="es-419"/>
              </w:rPr>
              <w:t>clustered)</w:t>
            </w:r>
            <w:r w:rsidR="0085751A" w:rsidRPr="00756410">
              <w:rPr>
                <w:rFonts w:cstheme="minorHAnsi"/>
                <w:b/>
                <w:color w:val="FFFFFF" w:themeColor="background1"/>
                <w:sz w:val="20"/>
                <w:szCs w:val="20"/>
                <w:lang w:val="es-419"/>
              </w:rPr>
              <w:t xml:space="preserve"> </w:t>
            </w:r>
            <w:r w:rsidR="0085751A">
              <w:rPr>
                <w:rFonts w:cstheme="minorHAnsi"/>
                <w:b/>
                <w:sz w:val="20"/>
                <w:szCs w:val="20"/>
                <w:lang w:val="es-419"/>
              </w:rPr>
              <w:t xml:space="preserve"> </w:t>
            </w:r>
            <w:r w:rsidRPr="00756410">
              <w:rPr>
                <w:rFonts w:cstheme="minorHAnsi"/>
                <w:b/>
                <w:sz w:val="20"/>
                <w:szCs w:val="20"/>
                <w:lang w:val="es-419"/>
              </w:rPr>
              <w:t>(B)</w:t>
            </w:r>
          </w:p>
        </w:tc>
        <w:tc>
          <w:tcPr>
            <w:tcW w:w="2070" w:type="dxa"/>
            <w:tcBorders>
              <w:top w:val="single" w:sz="4" w:space="0" w:color="auto"/>
              <w:left w:val="single" w:sz="4" w:space="0" w:color="auto"/>
              <w:bottom w:val="single" w:sz="4" w:space="0" w:color="auto"/>
              <w:right w:val="single" w:sz="4" w:space="0" w:color="auto"/>
            </w:tcBorders>
            <w:shd w:val="clear" w:color="auto" w:fill="002060"/>
          </w:tcPr>
          <w:p w14:paraId="788A87D8" w14:textId="722FC8DB" w:rsidR="00A53A59" w:rsidRPr="00756410" w:rsidRDefault="00A53A59" w:rsidP="00CF32EB">
            <w:pPr>
              <w:jc w:val="center"/>
              <w:rPr>
                <w:rFonts w:cstheme="minorHAnsi"/>
                <w:b/>
                <w:sz w:val="20"/>
                <w:szCs w:val="20"/>
                <w:lang w:val="es-419"/>
              </w:rPr>
            </w:pPr>
            <w:r w:rsidRPr="00756410">
              <w:rPr>
                <w:rFonts w:cstheme="minorHAnsi"/>
                <w:b/>
                <w:sz w:val="20"/>
                <w:szCs w:val="20"/>
                <w:lang w:val="es-419"/>
              </w:rPr>
              <w:t>Dentro de BMS/GSSC (prestación de servicios a oficinas/unidades) (C)</w:t>
            </w:r>
          </w:p>
        </w:tc>
        <w:tc>
          <w:tcPr>
            <w:tcW w:w="2160" w:type="dxa"/>
            <w:tcBorders>
              <w:top w:val="single" w:sz="4" w:space="0" w:color="auto"/>
              <w:left w:val="single" w:sz="4" w:space="0" w:color="auto"/>
              <w:bottom w:val="single" w:sz="4" w:space="0" w:color="auto"/>
              <w:right w:val="single" w:sz="4" w:space="0" w:color="auto"/>
            </w:tcBorders>
            <w:shd w:val="clear" w:color="auto" w:fill="002060"/>
          </w:tcPr>
          <w:p w14:paraId="758A6BC4" w14:textId="29E35B06" w:rsidR="00A53A59" w:rsidRPr="00756410" w:rsidRDefault="00A53A59" w:rsidP="00CF32EB">
            <w:pPr>
              <w:jc w:val="center"/>
              <w:rPr>
                <w:rFonts w:cstheme="minorHAnsi"/>
                <w:b/>
                <w:sz w:val="20"/>
                <w:szCs w:val="20"/>
                <w:lang w:val="es-419"/>
              </w:rPr>
            </w:pPr>
            <w:r w:rsidRPr="00756410">
              <w:rPr>
                <w:rFonts w:cstheme="minorHAnsi"/>
                <w:b/>
                <w:sz w:val="20"/>
                <w:szCs w:val="20"/>
                <w:lang w:val="es-419"/>
              </w:rPr>
              <w:t>Dentro de la unidad/oficina de la sede (D)</w:t>
            </w:r>
          </w:p>
        </w:tc>
        <w:tc>
          <w:tcPr>
            <w:tcW w:w="1710" w:type="dxa"/>
            <w:tcBorders>
              <w:top w:val="single" w:sz="4" w:space="0" w:color="auto"/>
              <w:left w:val="single" w:sz="4" w:space="0" w:color="auto"/>
              <w:bottom w:val="single" w:sz="4" w:space="0" w:color="auto"/>
              <w:right w:val="single" w:sz="4" w:space="0" w:color="auto"/>
            </w:tcBorders>
            <w:shd w:val="clear" w:color="auto" w:fill="002060"/>
          </w:tcPr>
          <w:p w14:paraId="5A55399C" w14:textId="5895789E" w:rsidR="00A53A59" w:rsidRPr="00756410" w:rsidRDefault="00A53A59" w:rsidP="00CF32EB">
            <w:pPr>
              <w:jc w:val="center"/>
              <w:rPr>
                <w:rFonts w:cstheme="minorHAnsi"/>
                <w:b/>
                <w:sz w:val="20"/>
                <w:szCs w:val="20"/>
                <w:lang w:val="es-419"/>
              </w:rPr>
            </w:pPr>
            <w:r w:rsidRPr="00756410">
              <w:rPr>
                <w:rFonts w:cstheme="minorHAnsi"/>
                <w:b/>
                <w:sz w:val="20"/>
                <w:szCs w:val="20"/>
                <w:lang w:val="es-419"/>
              </w:rPr>
              <w:t xml:space="preserve">Dentro de las </w:t>
            </w:r>
            <w:r w:rsidR="00D57F3A">
              <w:rPr>
                <w:rFonts w:cstheme="minorHAnsi"/>
                <w:b/>
                <w:sz w:val="20"/>
                <w:szCs w:val="20"/>
                <w:lang w:val="es-419"/>
              </w:rPr>
              <w:t xml:space="preserve">unidades </w:t>
            </w:r>
            <w:r w:rsidR="009458F4">
              <w:rPr>
                <w:rFonts w:cstheme="minorHAnsi"/>
                <w:b/>
                <w:sz w:val="20"/>
                <w:szCs w:val="20"/>
                <w:lang w:val="es-419"/>
              </w:rPr>
              <w:t>de la sede fuera de Nueva York</w:t>
            </w:r>
            <w:r w:rsidR="00EF1C21">
              <w:rPr>
                <w:rFonts w:cstheme="minorHAnsi"/>
                <w:b/>
                <w:sz w:val="20"/>
                <w:szCs w:val="20"/>
                <w:lang w:val="es-419"/>
              </w:rPr>
              <w:t xml:space="preserve"> </w:t>
            </w:r>
            <w:r w:rsidRPr="00756410">
              <w:rPr>
                <w:rFonts w:cstheme="minorHAnsi"/>
                <w:b/>
                <w:sz w:val="20"/>
                <w:szCs w:val="20"/>
                <w:lang w:val="es-419"/>
              </w:rPr>
              <w:t>(E)</w:t>
            </w:r>
          </w:p>
        </w:tc>
      </w:tr>
      <w:tr w:rsidR="006B79D0" w:rsidRPr="00773863" w14:paraId="1D83108C"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D5BB66" w14:textId="3120DE47" w:rsidR="00A53A59" w:rsidRPr="00756410" w:rsidRDefault="00A53A59" w:rsidP="363CA695">
            <w:pPr>
              <w:rPr>
                <w:b/>
                <w:sz w:val="20"/>
                <w:szCs w:val="20"/>
                <w:lang w:val="es-419"/>
              </w:rPr>
            </w:pPr>
            <w:r w:rsidRPr="00756410">
              <w:rPr>
                <w:b/>
                <w:sz w:val="20"/>
                <w:szCs w:val="20"/>
                <w:lang w:val="es-419"/>
              </w:rPr>
              <w:t>Gestión de programas y proyectos</w:t>
            </w:r>
          </w:p>
        </w:tc>
      </w:tr>
      <w:tr w:rsidR="00E85340" w:rsidRPr="006B79D0" w14:paraId="2CAD54D5" w14:textId="77777777" w:rsidTr="0004107A">
        <w:tc>
          <w:tcPr>
            <w:tcW w:w="3360" w:type="dxa"/>
            <w:tcBorders>
              <w:top w:val="single" w:sz="4" w:space="0" w:color="auto"/>
              <w:left w:val="single" w:sz="4" w:space="0" w:color="auto"/>
              <w:bottom w:val="single" w:sz="4" w:space="0" w:color="auto"/>
              <w:right w:val="single" w:sz="4" w:space="0" w:color="auto"/>
            </w:tcBorders>
          </w:tcPr>
          <w:p w14:paraId="481E9231" w14:textId="77777777" w:rsidR="000B5C6A" w:rsidRPr="00D2258D" w:rsidRDefault="000B5C6A" w:rsidP="000B5C6A">
            <w:pPr>
              <w:rPr>
                <w:rFonts w:cstheme="minorHAnsi"/>
                <w:sz w:val="20"/>
                <w:szCs w:val="20"/>
              </w:rPr>
            </w:pPr>
            <w:r w:rsidRPr="00D2258D">
              <w:rPr>
                <w:rFonts w:cstheme="minorHAnsi"/>
                <w:sz w:val="20"/>
                <w:szCs w:val="20"/>
              </w:rPr>
              <w:t>Gestión diaria de proyectos</w:t>
            </w:r>
          </w:p>
        </w:tc>
        <w:tc>
          <w:tcPr>
            <w:tcW w:w="1590" w:type="dxa"/>
            <w:tcBorders>
              <w:top w:val="single" w:sz="4" w:space="0" w:color="auto"/>
              <w:left w:val="single" w:sz="4" w:space="0" w:color="auto"/>
              <w:bottom w:val="single" w:sz="4" w:space="0" w:color="auto"/>
              <w:right w:val="single" w:sz="4" w:space="0" w:color="auto"/>
            </w:tcBorders>
          </w:tcPr>
          <w:p w14:paraId="57DB38A4" w14:textId="6DD5C7EA"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018D96D"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459E904" w14:textId="4AA6E8F4"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284CFDB2" w14:textId="4330C72E"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04858503" w14:textId="77777777" w:rsidTr="0004107A">
        <w:tc>
          <w:tcPr>
            <w:tcW w:w="3360" w:type="dxa"/>
            <w:tcBorders>
              <w:top w:val="single" w:sz="4" w:space="0" w:color="auto"/>
              <w:left w:val="single" w:sz="4" w:space="0" w:color="auto"/>
              <w:bottom w:val="single" w:sz="4" w:space="0" w:color="auto"/>
              <w:right w:val="single" w:sz="4" w:space="0" w:color="auto"/>
            </w:tcBorders>
          </w:tcPr>
          <w:p w14:paraId="109C2794" w14:textId="77777777" w:rsidR="000B5C6A" w:rsidRPr="00D2258D" w:rsidRDefault="000B5C6A" w:rsidP="000B5C6A">
            <w:pPr>
              <w:rPr>
                <w:rFonts w:cstheme="minorHAnsi"/>
                <w:sz w:val="20"/>
                <w:szCs w:val="20"/>
              </w:rPr>
            </w:pPr>
            <w:r w:rsidRPr="00D2258D">
              <w:rPr>
                <w:rFonts w:cstheme="minorHAnsi"/>
                <w:sz w:val="20"/>
                <w:szCs w:val="20"/>
              </w:rPr>
              <w:t>Cierre operativo del proyecto</w:t>
            </w:r>
          </w:p>
        </w:tc>
        <w:tc>
          <w:tcPr>
            <w:tcW w:w="1590" w:type="dxa"/>
            <w:tcBorders>
              <w:top w:val="single" w:sz="4" w:space="0" w:color="auto"/>
              <w:left w:val="single" w:sz="4" w:space="0" w:color="auto"/>
              <w:bottom w:val="single" w:sz="4" w:space="0" w:color="auto"/>
              <w:right w:val="single" w:sz="4" w:space="0" w:color="auto"/>
            </w:tcBorders>
          </w:tcPr>
          <w:p w14:paraId="51A71515" w14:textId="4843D0DA"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1E0A8F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2BDBEA6" w14:textId="6D5B0880"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7447E0BC" w14:textId="430E4B98"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51D0F435" w14:textId="77777777" w:rsidTr="0004107A">
        <w:tc>
          <w:tcPr>
            <w:tcW w:w="3360" w:type="dxa"/>
            <w:tcBorders>
              <w:top w:val="single" w:sz="4" w:space="0" w:color="auto"/>
              <w:left w:val="single" w:sz="4" w:space="0" w:color="auto"/>
              <w:bottom w:val="single" w:sz="4" w:space="0" w:color="auto"/>
              <w:right w:val="single" w:sz="4" w:space="0" w:color="auto"/>
            </w:tcBorders>
          </w:tcPr>
          <w:p w14:paraId="114C692F" w14:textId="1CF2762B" w:rsidR="000B5C6A" w:rsidRPr="00756410" w:rsidRDefault="000B5C6A" w:rsidP="000B5C6A">
            <w:pPr>
              <w:rPr>
                <w:rFonts w:cstheme="minorHAnsi"/>
                <w:sz w:val="20"/>
                <w:szCs w:val="20"/>
                <w:lang w:val="es-419"/>
              </w:rPr>
            </w:pPr>
            <w:r w:rsidRPr="00756410">
              <w:rPr>
                <w:rFonts w:cstheme="minorHAnsi"/>
                <w:sz w:val="20"/>
                <w:szCs w:val="20"/>
                <w:lang w:val="es-419"/>
              </w:rPr>
              <w:t>Cierre financiero de proyectos de desarrollo agrupados</w:t>
            </w:r>
            <w:r w:rsidR="00F7168B">
              <w:rPr>
                <w:rFonts w:cstheme="minorHAnsi"/>
                <w:sz w:val="20"/>
                <w:szCs w:val="20"/>
                <w:lang w:val="es-419"/>
              </w:rPr>
              <w:t xml:space="preserve"> </w:t>
            </w:r>
            <w:r w:rsidR="00F7168B" w:rsidRPr="3937432E">
              <w:rPr>
                <w:sz w:val="20"/>
                <w:szCs w:val="20"/>
                <w:lang w:val="es-419"/>
              </w:rPr>
              <w:t>(</w:t>
            </w:r>
            <w:r w:rsidR="00F7168B" w:rsidRPr="3937432E">
              <w:rPr>
                <w:rFonts w:ascii="Calibri" w:eastAsia="Calibri" w:hAnsi="Calibri" w:cs="Calibri"/>
                <w:i/>
                <w:iCs/>
                <w:color w:val="004377"/>
                <w:sz w:val="19"/>
                <w:szCs w:val="19"/>
                <w:u w:val="single"/>
                <w:lang w:val="es-419"/>
              </w:rPr>
              <w:t>clustered)</w:t>
            </w:r>
          </w:p>
        </w:tc>
        <w:tc>
          <w:tcPr>
            <w:tcW w:w="1590" w:type="dxa"/>
            <w:tcBorders>
              <w:top w:val="single" w:sz="4" w:space="0" w:color="auto"/>
              <w:left w:val="single" w:sz="4" w:space="0" w:color="auto"/>
              <w:bottom w:val="single" w:sz="4" w:space="0" w:color="auto"/>
              <w:right w:val="single" w:sz="4" w:space="0" w:color="auto"/>
            </w:tcBorders>
          </w:tcPr>
          <w:p w14:paraId="3B6BE02E"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4840FB7" w14:textId="4E1C7D24"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495BB280" w14:textId="43A43BB4"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5DDBBC3A" w14:textId="41FC07A2"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15682535" w14:textId="77777777" w:rsidTr="0004107A">
        <w:tc>
          <w:tcPr>
            <w:tcW w:w="3360" w:type="dxa"/>
            <w:tcBorders>
              <w:top w:val="single" w:sz="4" w:space="0" w:color="auto"/>
              <w:left w:val="single" w:sz="4" w:space="0" w:color="auto"/>
              <w:bottom w:val="single" w:sz="4" w:space="0" w:color="auto"/>
              <w:right w:val="single" w:sz="4" w:space="0" w:color="auto"/>
            </w:tcBorders>
          </w:tcPr>
          <w:p w14:paraId="19FC28DF" w14:textId="07E8D2B9" w:rsidR="00F6424E" w:rsidRPr="00756410" w:rsidRDefault="00F6424E" w:rsidP="000B5C6A">
            <w:pPr>
              <w:rPr>
                <w:rFonts w:cstheme="minorHAnsi"/>
                <w:sz w:val="20"/>
                <w:szCs w:val="20"/>
                <w:lang w:val="es-419"/>
              </w:rPr>
            </w:pPr>
            <w:r w:rsidRPr="00756410">
              <w:rPr>
                <w:rFonts w:cstheme="minorHAnsi"/>
                <w:sz w:val="20"/>
                <w:szCs w:val="20"/>
                <w:lang w:val="es-419"/>
              </w:rPr>
              <w:t>Cierre financiero de proyectos de gestión</w:t>
            </w:r>
          </w:p>
        </w:tc>
        <w:tc>
          <w:tcPr>
            <w:tcW w:w="1590" w:type="dxa"/>
            <w:tcBorders>
              <w:top w:val="single" w:sz="4" w:space="0" w:color="auto"/>
              <w:left w:val="single" w:sz="4" w:space="0" w:color="auto"/>
              <w:bottom w:val="single" w:sz="4" w:space="0" w:color="auto"/>
              <w:right w:val="single" w:sz="4" w:space="0" w:color="auto"/>
            </w:tcBorders>
          </w:tcPr>
          <w:p w14:paraId="79B8B612" w14:textId="01E92CAE" w:rsidR="00F6424E" w:rsidRPr="00D2258D" w:rsidRDefault="00F6424E"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3E2DC02F" w14:textId="77777777" w:rsidR="00F6424E" w:rsidRPr="00D2258D" w:rsidRDefault="00F6424E"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32976C" w14:textId="08117D01" w:rsidR="00F6424E" w:rsidRPr="00D2258D" w:rsidRDefault="00F6424E"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3BE80DF5" w14:textId="33F5A96C" w:rsidR="00F6424E" w:rsidRPr="00D2258D" w:rsidRDefault="00F6424E" w:rsidP="000B5C6A">
            <w:pPr>
              <w:jc w:val="center"/>
              <w:rPr>
                <w:rFonts w:cstheme="minorHAnsi"/>
                <w:sz w:val="20"/>
                <w:szCs w:val="20"/>
              </w:rPr>
            </w:pPr>
            <w:r w:rsidRPr="00D2258D">
              <w:rPr>
                <w:rFonts w:cstheme="minorHAnsi"/>
                <w:sz w:val="20"/>
                <w:szCs w:val="20"/>
              </w:rPr>
              <w:t>Sí</w:t>
            </w:r>
          </w:p>
        </w:tc>
      </w:tr>
      <w:tr w:rsidR="000B5C6A" w:rsidRPr="006B79D0" w14:paraId="13DA0A11"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3567C0" w14:textId="77777777" w:rsidR="000B5C6A" w:rsidRPr="00D2258D" w:rsidRDefault="000B5C6A" w:rsidP="000B5C6A">
            <w:pPr>
              <w:rPr>
                <w:rFonts w:cstheme="minorHAnsi"/>
                <w:b/>
                <w:bCs/>
                <w:sz w:val="20"/>
                <w:szCs w:val="20"/>
              </w:rPr>
            </w:pPr>
            <w:r w:rsidRPr="00D2258D">
              <w:rPr>
                <w:rFonts w:cstheme="minorHAnsi"/>
                <w:b/>
                <w:bCs/>
                <w:sz w:val="20"/>
                <w:szCs w:val="20"/>
              </w:rPr>
              <w:t>Adquirir y pagar</w:t>
            </w:r>
          </w:p>
        </w:tc>
      </w:tr>
      <w:tr w:rsidR="00E85340" w:rsidRPr="006B79D0" w14:paraId="3B9A7FE9" w14:textId="77777777" w:rsidTr="0004107A">
        <w:tc>
          <w:tcPr>
            <w:tcW w:w="3360" w:type="dxa"/>
            <w:tcBorders>
              <w:top w:val="single" w:sz="4" w:space="0" w:color="auto"/>
              <w:left w:val="single" w:sz="4" w:space="0" w:color="auto"/>
              <w:bottom w:val="single" w:sz="4" w:space="0" w:color="auto"/>
              <w:right w:val="single" w:sz="4" w:space="0" w:color="auto"/>
            </w:tcBorders>
          </w:tcPr>
          <w:p w14:paraId="2EC0F56F" w14:textId="79413A0F" w:rsidR="000B5C6A" w:rsidRPr="00D2258D" w:rsidRDefault="366627FF" w:rsidP="000B5C6A">
            <w:pPr>
              <w:rPr>
                <w:sz w:val="20"/>
                <w:szCs w:val="20"/>
              </w:rPr>
            </w:pPr>
            <w:r w:rsidRPr="754E67C6">
              <w:rPr>
                <w:sz w:val="20"/>
                <w:szCs w:val="20"/>
              </w:rPr>
              <w:t>Adquirir</w:t>
            </w:r>
          </w:p>
        </w:tc>
        <w:tc>
          <w:tcPr>
            <w:tcW w:w="1590" w:type="dxa"/>
            <w:tcBorders>
              <w:top w:val="single" w:sz="4" w:space="0" w:color="auto"/>
              <w:left w:val="single" w:sz="4" w:space="0" w:color="auto"/>
              <w:bottom w:val="single" w:sz="4" w:space="0" w:color="auto"/>
              <w:right w:val="single" w:sz="4" w:space="0" w:color="auto"/>
            </w:tcBorders>
          </w:tcPr>
          <w:p w14:paraId="3B947333" w14:textId="683C7970"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4914372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93D165" w14:textId="4FCA5FE6"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6CD4D273" w14:textId="12855862"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4968C70F" w14:textId="77777777" w:rsidTr="0004107A">
        <w:tc>
          <w:tcPr>
            <w:tcW w:w="3360" w:type="dxa"/>
            <w:tcBorders>
              <w:top w:val="single" w:sz="4" w:space="0" w:color="auto"/>
              <w:left w:val="single" w:sz="4" w:space="0" w:color="auto"/>
              <w:bottom w:val="single" w:sz="4" w:space="0" w:color="auto"/>
              <w:right w:val="single" w:sz="4" w:space="0" w:color="auto"/>
            </w:tcBorders>
          </w:tcPr>
          <w:p w14:paraId="3129EA7B" w14:textId="77777777" w:rsidR="000B5C6A" w:rsidRPr="00756410" w:rsidRDefault="000B5C6A" w:rsidP="000B5C6A">
            <w:pPr>
              <w:rPr>
                <w:rFonts w:cstheme="minorHAnsi"/>
                <w:sz w:val="20"/>
                <w:szCs w:val="20"/>
                <w:lang w:val="es-419"/>
              </w:rPr>
            </w:pPr>
            <w:r w:rsidRPr="00756410">
              <w:rPr>
                <w:rFonts w:cstheme="minorHAnsi"/>
                <w:sz w:val="20"/>
                <w:szCs w:val="20"/>
                <w:lang w:val="es-419"/>
              </w:rPr>
              <w:t>Registrar proveedor (solo si el proveedor no puede registrarse por sí mismo)</w:t>
            </w:r>
          </w:p>
        </w:tc>
        <w:tc>
          <w:tcPr>
            <w:tcW w:w="1590" w:type="dxa"/>
            <w:tcBorders>
              <w:top w:val="single" w:sz="4" w:space="0" w:color="auto"/>
              <w:left w:val="single" w:sz="4" w:space="0" w:color="auto"/>
              <w:bottom w:val="single" w:sz="4" w:space="0" w:color="auto"/>
              <w:right w:val="single" w:sz="4" w:space="0" w:color="auto"/>
            </w:tcBorders>
          </w:tcPr>
          <w:p w14:paraId="30154C8C" w14:textId="218407E7"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3C2664D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F82922" w14:textId="73D23066"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764ED5B0" w14:textId="2B0B2CAB"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07E2F6C8" w14:textId="77777777" w:rsidTr="0004107A">
        <w:tc>
          <w:tcPr>
            <w:tcW w:w="3360" w:type="dxa"/>
            <w:tcBorders>
              <w:top w:val="single" w:sz="4" w:space="0" w:color="auto"/>
              <w:left w:val="single" w:sz="4" w:space="0" w:color="auto"/>
              <w:bottom w:val="single" w:sz="4" w:space="0" w:color="auto"/>
              <w:right w:val="single" w:sz="4" w:space="0" w:color="auto"/>
            </w:tcBorders>
          </w:tcPr>
          <w:p w14:paraId="53A969AF" w14:textId="77777777" w:rsidR="000B5C6A" w:rsidRPr="00756410" w:rsidRDefault="000B5C6A" w:rsidP="000B5C6A">
            <w:pPr>
              <w:rPr>
                <w:rFonts w:cstheme="minorHAnsi"/>
                <w:sz w:val="20"/>
                <w:szCs w:val="20"/>
                <w:lang w:val="es-419"/>
              </w:rPr>
            </w:pPr>
            <w:r w:rsidRPr="00756410">
              <w:rPr>
                <w:rFonts w:cstheme="minorHAnsi"/>
                <w:sz w:val="20"/>
                <w:szCs w:val="20"/>
                <w:lang w:val="es-419"/>
              </w:rPr>
              <w:t>Realizar la aprobación L1 del proveedor</w:t>
            </w:r>
          </w:p>
        </w:tc>
        <w:tc>
          <w:tcPr>
            <w:tcW w:w="1590" w:type="dxa"/>
            <w:tcBorders>
              <w:top w:val="single" w:sz="4" w:space="0" w:color="auto"/>
              <w:left w:val="single" w:sz="4" w:space="0" w:color="auto"/>
              <w:bottom w:val="single" w:sz="4" w:space="0" w:color="auto"/>
              <w:right w:val="single" w:sz="4" w:space="0" w:color="auto"/>
            </w:tcBorders>
          </w:tcPr>
          <w:p w14:paraId="2548333F" w14:textId="0762BB1F"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5DE2B51A"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D4A8FA5" w14:textId="137D1861"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107587AF" w14:textId="0D495135"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68E80EE3" w14:textId="77777777" w:rsidTr="0004107A">
        <w:tc>
          <w:tcPr>
            <w:tcW w:w="3360" w:type="dxa"/>
            <w:tcBorders>
              <w:top w:val="single" w:sz="4" w:space="0" w:color="auto"/>
              <w:left w:val="single" w:sz="4" w:space="0" w:color="auto"/>
              <w:bottom w:val="single" w:sz="4" w:space="0" w:color="auto"/>
              <w:right w:val="single" w:sz="4" w:space="0" w:color="auto"/>
            </w:tcBorders>
          </w:tcPr>
          <w:p w14:paraId="2921FE98" w14:textId="77777777" w:rsidR="000B5C6A" w:rsidRPr="00756410" w:rsidRDefault="000B5C6A" w:rsidP="000B5C6A">
            <w:pPr>
              <w:rPr>
                <w:rFonts w:cstheme="minorHAnsi"/>
                <w:sz w:val="20"/>
                <w:szCs w:val="20"/>
                <w:lang w:val="es-419"/>
              </w:rPr>
            </w:pPr>
            <w:r w:rsidRPr="00756410">
              <w:rPr>
                <w:rFonts w:cstheme="minorHAnsi"/>
                <w:sz w:val="20"/>
                <w:szCs w:val="20"/>
                <w:lang w:val="es-419"/>
              </w:rPr>
              <w:t>Realizar una comprobación de las sanciones a los proveedores en el momento de la creación o actualización del proveedor</w:t>
            </w:r>
          </w:p>
        </w:tc>
        <w:tc>
          <w:tcPr>
            <w:tcW w:w="1590" w:type="dxa"/>
            <w:tcBorders>
              <w:top w:val="single" w:sz="4" w:space="0" w:color="auto"/>
              <w:left w:val="single" w:sz="4" w:space="0" w:color="auto"/>
              <w:bottom w:val="single" w:sz="4" w:space="0" w:color="auto"/>
              <w:right w:val="single" w:sz="4" w:space="0" w:color="auto"/>
            </w:tcBorders>
          </w:tcPr>
          <w:p w14:paraId="1830DFF1" w14:textId="5E3BEBDE" w:rsidR="000B5C6A" w:rsidRPr="00D2258D" w:rsidRDefault="004358D0" w:rsidP="132FD4C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60BE869" w14:textId="5BDB7712"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1DFBF0A" w14:textId="690CFA73" w:rsidR="000B5C6A" w:rsidRPr="00D2258D" w:rsidRDefault="004358D0"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6FB0B3A1" w14:textId="2E70BC04" w:rsidR="000B5C6A" w:rsidRPr="00D2258D" w:rsidRDefault="004358D0" w:rsidP="132FD4C0">
            <w:pPr>
              <w:jc w:val="center"/>
              <w:rPr>
                <w:rFonts w:cstheme="minorHAnsi"/>
                <w:sz w:val="20"/>
                <w:szCs w:val="20"/>
              </w:rPr>
            </w:pPr>
            <w:r w:rsidRPr="00D2258D">
              <w:rPr>
                <w:rFonts w:cstheme="minorHAnsi"/>
                <w:sz w:val="20"/>
                <w:szCs w:val="20"/>
              </w:rPr>
              <w:t>Sí</w:t>
            </w:r>
          </w:p>
        </w:tc>
      </w:tr>
      <w:tr w:rsidR="00E85340" w:rsidRPr="006B79D0" w14:paraId="11DF50E8" w14:textId="77777777" w:rsidTr="0004107A">
        <w:tc>
          <w:tcPr>
            <w:tcW w:w="3360" w:type="dxa"/>
            <w:tcBorders>
              <w:top w:val="single" w:sz="4" w:space="0" w:color="auto"/>
              <w:left w:val="single" w:sz="4" w:space="0" w:color="auto"/>
              <w:bottom w:val="single" w:sz="4" w:space="0" w:color="auto"/>
              <w:right w:val="single" w:sz="4" w:space="0" w:color="auto"/>
            </w:tcBorders>
          </w:tcPr>
          <w:p w14:paraId="29900DC8" w14:textId="77777777" w:rsidR="000B5C6A" w:rsidRPr="00756410" w:rsidRDefault="000B5C6A" w:rsidP="000B5C6A">
            <w:pPr>
              <w:rPr>
                <w:rFonts w:cstheme="minorHAnsi"/>
                <w:sz w:val="20"/>
                <w:szCs w:val="20"/>
                <w:lang w:val="es-419"/>
              </w:rPr>
            </w:pPr>
            <w:r w:rsidRPr="00756410">
              <w:rPr>
                <w:rFonts w:cstheme="minorHAnsi"/>
                <w:sz w:val="20"/>
                <w:szCs w:val="20"/>
                <w:lang w:val="es-419"/>
              </w:rPr>
              <w:lastRenderedPageBreak/>
              <w:t>Realizar la aprobación L2 del proveedor</w:t>
            </w:r>
          </w:p>
        </w:tc>
        <w:tc>
          <w:tcPr>
            <w:tcW w:w="1590" w:type="dxa"/>
            <w:tcBorders>
              <w:top w:val="single" w:sz="4" w:space="0" w:color="auto"/>
              <w:left w:val="single" w:sz="4" w:space="0" w:color="auto"/>
              <w:bottom w:val="single" w:sz="4" w:space="0" w:color="auto"/>
              <w:right w:val="single" w:sz="4" w:space="0" w:color="auto"/>
            </w:tcBorders>
          </w:tcPr>
          <w:p w14:paraId="166D7A0A"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0EF96F2" w14:textId="2DC4A9F0"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027E7611"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842DD6" w14:textId="77777777" w:rsidR="000B5C6A" w:rsidRPr="00D2258D" w:rsidRDefault="000B5C6A" w:rsidP="000B5C6A">
            <w:pPr>
              <w:jc w:val="center"/>
              <w:rPr>
                <w:rFonts w:cstheme="minorHAnsi"/>
                <w:sz w:val="20"/>
                <w:szCs w:val="20"/>
              </w:rPr>
            </w:pPr>
          </w:p>
        </w:tc>
      </w:tr>
      <w:tr w:rsidR="00E85340" w:rsidRPr="006B79D0" w14:paraId="182C0954" w14:textId="77777777" w:rsidTr="0004107A">
        <w:tc>
          <w:tcPr>
            <w:tcW w:w="3360" w:type="dxa"/>
            <w:tcBorders>
              <w:top w:val="single" w:sz="4" w:space="0" w:color="auto"/>
              <w:left w:val="single" w:sz="4" w:space="0" w:color="auto"/>
              <w:bottom w:val="single" w:sz="4" w:space="0" w:color="auto"/>
              <w:right w:val="single" w:sz="4" w:space="0" w:color="auto"/>
            </w:tcBorders>
          </w:tcPr>
          <w:p w14:paraId="3F2F9D90" w14:textId="77777777" w:rsidR="000B5C6A" w:rsidRPr="00756410" w:rsidRDefault="000B5C6A" w:rsidP="000B5C6A">
            <w:pPr>
              <w:rPr>
                <w:rFonts w:cstheme="minorHAnsi"/>
                <w:sz w:val="20"/>
                <w:szCs w:val="20"/>
                <w:lang w:val="es-419"/>
              </w:rPr>
            </w:pPr>
            <w:r w:rsidRPr="00756410">
              <w:rPr>
                <w:rFonts w:cstheme="minorHAnsi"/>
                <w:sz w:val="20"/>
                <w:szCs w:val="20"/>
                <w:lang w:val="es-419"/>
              </w:rPr>
              <w:t>Realizar una comprobación de las sanciones a los proveedores al emitir una orden de compra o una factura</w:t>
            </w:r>
          </w:p>
        </w:tc>
        <w:tc>
          <w:tcPr>
            <w:tcW w:w="1590" w:type="dxa"/>
            <w:tcBorders>
              <w:top w:val="single" w:sz="4" w:space="0" w:color="auto"/>
              <w:left w:val="single" w:sz="4" w:space="0" w:color="auto"/>
              <w:bottom w:val="single" w:sz="4" w:space="0" w:color="auto"/>
              <w:right w:val="single" w:sz="4" w:space="0" w:color="auto"/>
            </w:tcBorders>
          </w:tcPr>
          <w:p w14:paraId="20BC6984" w14:textId="6902F68B"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7728BC6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0CF9D64" w14:textId="7E7C9772"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67D60288" w14:textId="5D3EF498"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28680EE3" w14:textId="77777777" w:rsidTr="0004107A">
        <w:tc>
          <w:tcPr>
            <w:tcW w:w="3360" w:type="dxa"/>
            <w:tcBorders>
              <w:top w:val="single" w:sz="4" w:space="0" w:color="auto"/>
              <w:left w:val="single" w:sz="4" w:space="0" w:color="auto"/>
              <w:bottom w:val="single" w:sz="4" w:space="0" w:color="auto"/>
              <w:right w:val="single" w:sz="4" w:space="0" w:color="auto"/>
            </w:tcBorders>
          </w:tcPr>
          <w:p w14:paraId="6C6EA0E6" w14:textId="217AAE7B" w:rsidR="000B5C6A" w:rsidRPr="00756410" w:rsidRDefault="000B5C6A" w:rsidP="000B5C6A">
            <w:pPr>
              <w:rPr>
                <w:rFonts w:cstheme="minorHAnsi"/>
                <w:sz w:val="20"/>
                <w:szCs w:val="20"/>
                <w:lang w:val="es-419"/>
              </w:rPr>
            </w:pPr>
            <w:r w:rsidRPr="00756410">
              <w:rPr>
                <w:rFonts w:cstheme="minorHAnsi"/>
                <w:sz w:val="20"/>
                <w:szCs w:val="20"/>
                <w:lang w:val="es-419"/>
              </w:rPr>
              <w:t>Realizar una evaluación mensual de sanciones a proveedores en la base de datos de proveedores</w:t>
            </w:r>
          </w:p>
        </w:tc>
        <w:tc>
          <w:tcPr>
            <w:tcW w:w="1590" w:type="dxa"/>
            <w:tcBorders>
              <w:top w:val="single" w:sz="4" w:space="0" w:color="auto"/>
              <w:left w:val="single" w:sz="4" w:space="0" w:color="auto"/>
              <w:bottom w:val="single" w:sz="4" w:space="0" w:color="auto"/>
              <w:right w:val="single" w:sz="4" w:space="0" w:color="auto"/>
            </w:tcBorders>
          </w:tcPr>
          <w:p w14:paraId="6B1F7909"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1733440" w14:textId="5C94FDC5"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2BA836F8"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F519904" w14:textId="77777777" w:rsidR="000B5C6A" w:rsidRPr="00D2258D" w:rsidRDefault="000B5C6A" w:rsidP="000B5C6A">
            <w:pPr>
              <w:jc w:val="center"/>
              <w:rPr>
                <w:rFonts w:cstheme="minorHAnsi"/>
                <w:sz w:val="20"/>
                <w:szCs w:val="20"/>
              </w:rPr>
            </w:pPr>
          </w:p>
        </w:tc>
      </w:tr>
      <w:tr w:rsidR="00E85340" w:rsidRPr="006B79D0" w14:paraId="3D7E81F6" w14:textId="77777777" w:rsidTr="0004107A">
        <w:tc>
          <w:tcPr>
            <w:tcW w:w="3360" w:type="dxa"/>
            <w:tcBorders>
              <w:top w:val="single" w:sz="4" w:space="0" w:color="auto"/>
              <w:left w:val="single" w:sz="4" w:space="0" w:color="auto"/>
              <w:bottom w:val="single" w:sz="4" w:space="0" w:color="auto"/>
              <w:right w:val="single" w:sz="4" w:space="0" w:color="auto"/>
            </w:tcBorders>
          </w:tcPr>
          <w:p w14:paraId="3B0FEB9D" w14:textId="565D4A88" w:rsidR="000B5C6A" w:rsidRPr="00D2258D" w:rsidRDefault="000B5C6A" w:rsidP="000B5C6A">
            <w:pPr>
              <w:rPr>
                <w:sz w:val="20"/>
                <w:szCs w:val="20"/>
              </w:rPr>
            </w:pPr>
            <w:r w:rsidRPr="7E93B037">
              <w:rPr>
                <w:sz w:val="20"/>
                <w:szCs w:val="20"/>
              </w:rPr>
              <w:t xml:space="preserve">Crear </w:t>
            </w:r>
            <w:r w:rsidR="7FB97820" w:rsidRPr="55407293">
              <w:rPr>
                <w:sz w:val="20"/>
                <w:szCs w:val="20"/>
              </w:rPr>
              <w:t xml:space="preserve">orden </w:t>
            </w:r>
            <w:r w:rsidR="62C86A84" w:rsidRPr="55407293">
              <w:rPr>
                <w:sz w:val="20"/>
                <w:szCs w:val="20"/>
              </w:rPr>
              <w:t>de</w:t>
            </w:r>
            <w:r w:rsidRPr="7E93B037">
              <w:rPr>
                <w:sz w:val="20"/>
                <w:szCs w:val="20"/>
              </w:rPr>
              <w:t xml:space="preserve"> compra</w:t>
            </w:r>
          </w:p>
        </w:tc>
        <w:tc>
          <w:tcPr>
            <w:tcW w:w="1590" w:type="dxa"/>
            <w:tcBorders>
              <w:top w:val="single" w:sz="4" w:space="0" w:color="auto"/>
              <w:left w:val="single" w:sz="4" w:space="0" w:color="auto"/>
              <w:bottom w:val="single" w:sz="4" w:space="0" w:color="auto"/>
              <w:right w:val="single" w:sz="4" w:space="0" w:color="auto"/>
            </w:tcBorders>
          </w:tcPr>
          <w:p w14:paraId="6CCEB502" w14:textId="187DB1C4"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5102F8C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A0F99AD" w14:textId="5D50D5C5"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3876D72" w14:textId="5B5DDFFF"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2ED9199F" w14:textId="77777777" w:rsidTr="0004107A">
        <w:tc>
          <w:tcPr>
            <w:tcW w:w="3360" w:type="dxa"/>
            <w:tcBorders>
              <w:top w:val="single" w:sz="4" w:space="0" w:color="auto"/>
              <w:left w:val="single" w:sz="4" w:space="0" w:color="auto"/>
              <w:bottom w:val="single" w:sz="4" w:space="0" w:color="auto"/>
              <w:right w:val="single" w:sz="4" w:space="0" w:color="auto"/>
            </w:tcBorders>
          </w:tcPr>
          <w:p w14:paraId="394C8226" w14:textId="540131A0" w:rsidR="000B5C6A" w:rsidRPr="00756410" w:rsidRDefault="000B5C6A" w:rsidP="000B5C6A">
            <w:pPr>
              <w:rPr>
                <w:sz w:val="20"/>
                <w:szCs w:val="20"/>
                <w:lang w:val="es-ES"/>
              </w:rPr>
            </w:pPr>
            <w:r w:rsidRPr="00756410">
              <w:rPr>
                <w:sz w:val="20"/>
                <w:szCs w:val="20"/>
                <w:lang w:val="es-ES"/>
              </w:rPr>
              <w:t xml:space="preserve">Realizar funciones de Gerente de </w:t>
            </w:r>
            <w:r w:rsidR="5D4CF34F" w:rsidRPr="55407293">
              <w:rPr>
                <w:sz w:val="20"/>
                <w:szCs w:val="20"/>
                <w:lang w:val="es-ES"/>
              </w:rPr>
              <w:t>A</w:t>
            </w:r>
            <w:r w:rsidRPr="00756410">
              <w:rPr>
                <w:sz w:val="20"/>
                <w:szCs w:val="20"/>
                <w:lang w:val="es-ES"/>
              </w:rPr>
              <w:t>probación - Parte A para aprobar órdenes de compra</w:t>
            </w:r>
          </w:p>
        </w:tc>
        <w:tc>
          <w:tcPr>
            <w:tcW w:w="1590" w:type="dxa"/>
            <w:tcBorders>
              <w:top w:val="single" w:sz="4" w:space="0" w:color="auto"/>
              <w:left w:val="single" w:sz="4" w:space="0" w:color="auto"/>
              <w:bottom w:val="single" w:sz="4" w:space="0" w:color="auto"/>
              <w:right w:val="single" w:sz="4" w:space="0" w:color="auto"/>
            </w:tcBorders>
          </w:tcPr>
          <w:p w14:paraId="4729C618" w14:textId="4FB74E04"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8A15BD7"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14D07C5" w14:textId="2041E83B"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132FE10B" w14:textId="7F8D9C85"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6B8D108C" w14:textId="77777777" w:rsidTr="0004107A">
        <w:tc>
          <w:tcPr>
            <w:tcW w:w="3360" w:type="dxa"/>
            <w:tcBorders>
              <w:top w:val="single" w:sz="4" w:space="0" w:color="auto"/>
              <w:left w:val="single" w:sz="4" w:space="0" w:color="auto"/>
              <w:bottom w:val="single" w:sz="4" w:space="0" w:color="auto"/>
              <w:right w:val="single" w:sz="4" w:space="0" w:color="auto"/>
            </w:tcBorders>
          </w:tcPr>
          <w:p w14:paraId="59B8AC32" w14:textId="77777777" w:rsidR="000B5C6A" w:rsidRPr="00756410" w:rsidRDefault="000B5C6A" w:rsidP="000B5C6A">
            <w:pPr>
              <w:rPr>
                <w:rFonts w:cstheme="minorHAnsi"/>
                <w:sz w:val="20"/>
                <w:szCs w:val="20"/>
                <w:lang w:val="es-419"/>
              </w:rPr>
            </w:pPr>
            <w:r w:rsidRPr="00756410">
              <w:rPr>
                <w:rFonts w:cstheme="minorHAnsi"/>
                <w:sz w:val="20"/>
                <w:szCs w:val="20"/>
                <w:lang w:val="es-419"/>
              </w:rPr>
              <w:t>Recepción de bienes y servicios</w:t>
            </w:r>
          </w:p>
        </w:tc>
        <w:tc>
          <w:tcPr>
            <w:tcW w:w="1590" w:type="dxa"/>
            <w:tcBorders>
              <w:top w:val="single" w:sz="4" w:space="0" w:color="auto"/>
              <w:left w:val="single" w:sz="4" w:space="0" w:color="auto"/>
              <w:bottom w:val="single" w:sz="4" w:space="0" w:color="auto"/>
              <w:right w:val="single" w:sz="4" w:space="0" w:color="auto"/>
            </w:tcBorders>
          </w:tcPr>
          <w:p w14:paraId="1CB2E64A" w14:textId="0E74B28E"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6395C7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19DABFB" w14:textId="3C2967EB"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08DB9919" w14:textId="6E06463C"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6303B67B" w14:textId="77777777" w:rsidTr="0004107A">
        <w:tc>
          <w:tcPr>
            <w:tcW w:w="3360" w:type="dxa"/>
            <w:tcBorders>
              <w:top w:val="single" w:sz="4" w:space="0" w:color="auto"/>
              <w:left w:val="single" w:sz="4" w:space="0" w:color="auto"/>
              <w:bottom w:val="single" w:sz="4" w:space="0" w:color="auto"/>
              <w:right w:val="single" w:sz="4" w:space="0" w:color="auto"/>
            </w:tcBorders>
          </w:tcPr>
          <w:p w14:paraId="1DC0BB1B" w14:textId="77777777" w:rsidR="000B5C6A" w:rsidRPr="00756410" w:rsidRDefault="000B5C6A" w:rsidP="000B5C6A">
            <w:pPr>
              <w:rPr>
                <w:rFonts w:cstheme="minorHAnsi"/>
                <w:sz w:val="20"/>
                <w:szCs w:val="20"/>
                <w:lang w:val="es-419"/>
              </w:rPr>
            </w:pPr>
            <w:r w:rsidRPr="00756410">
              <w:rPr>
                <w:rFonts w:cstheme="minorHAnsi"/>
                <w:sz w:val="20"/>
                <w:szCs w:val="20"/>
                <w:lang w:val="es-419"/>
              </w:rPr>
              <w:t>Crear facturas en Quantum (solo cuando el proveedor no puede hacerlo)</w:t>
            </w:r>
          </w:p>
        </w:tc>
        <w:tc>
          <w:tcPr>
            <w:tcW w:w="1590" w:type="dxa"/>
            <w:tcBorders>
              <w:top w:val="single" w:sz="4" w:space="0" w:color="auto"/>
              <w:left w:val="single" w:sz="4" w:space="0" w:color="auto"/>
              <w:bottom w:val="single" w:sz="4" w:space="0" w:color="auto"/>
              <w:right w:val="single" w:sz="4" w:space="0" w:color="auto"/>
            </w:tcBorders>
          </w:tcPr>
          <w:p w14:paraId="05D6B22F" w14:textId="52459661"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87E7178" w14:textId="0BA7768D" w:rsidR="000B5C6A" w:rsidRPr="00756410" w:rsidRDefault="000B5C6A" w:rsidP="000B5C6A">
            <w:pPr>
              <w:jc w:val="center"/>
              <w:rPr>
                <w:rFont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(a pedido de CO, para situaciones masivas)</w:t>
            </w:r>
          </w:p>
        </w:tc>
        <w:tc>
          <w:tcPr>
            <w:tcW w:w="2160" w:type="dxa"/>
            <w:tcBorders>
              <w:top w:val="single" w:sz="4" w:space="0" w:color="auto"/>
              <w:left w:val="single" w:sz="4" w:space="0" w:color="auto"/>
              <w:bottom w:val="single" w:sz="4" w:space="0" w:color="auto"/>
              <w:right w:val="single" w:sz="4" w:space="0" w:color="auto"/>
            </w:tcBorders>
          </w:tcPr>
          <w:p w14:paraId="45D3CB81" w14:textId="421E621A"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6932F591" w14:textId="73F19266"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29E62619" w14:textId="77777777" w:rsidTr="0004107A">
        <w:tc>
          <w:tcPr>
            <w:tcW w:w="3360" w:type="dxa"/>
            <w:tcBorders>
              <w:top w:val="single" w:sz="4" w:space="0" w:color="auto"/>
              <w:left w:val="single" w:sz="4" w:space="0" w:color="auto"/>
              <w:bottom w:val="single" w:sz="4" w:space="0" w:color="auto"/>
              <w:right w:val="single" w:sz="4" w:space="0" w:color="auto"/>
            </w:tcBorders>
          </w:tcPr>
          <w:p w14:paraId="207C81B9" w14:textId="551D8899" w:rsidR="000B5C6A" w:rsidRPr="00756410" w:rsidRDefault="000B5C6A" w:rsidP="000B5C6A">
            <w:pPr>
              <w:rPr>
                <w:sz w:val="20"/>
                <w:szCs w:val="20"/>
                <w:lang w:val="es-419"/>
              </w:rPr>
            </w:pPr>
            <w:r w:rsidRPr="00756410">
              <w:rPr>
                <w:sz w:val="20"/>
                <w:szCs w:val="20"/>
                <w:lang w:val="es-419"/>
              </w:rPr>
              <w:t xml:space="preserve">Realizar funciones de </w:t>
            </w:r>
            <w:r w:rsidR="121F1B0A" w:rsidRPr="3CDACD3A">
              <w:rPr>
                <w:sz w:val="20"/>
                <w:szCs w:val="20"/>
                <w:lang w:val="es-419"/>
              </w:rPr>
              <w:t xml:space="preserve">Gerente </w:t>
            </w:r>
            <w:r w:rsidRPr="00756410">
              <w:rPr>
                <w:sz w:val="20"/>
                <w:szCs w:val="20"/>
                <w:lang w:val="es-419"/>
              </w:rPr>
              <w:t xml:space="preserve">de </w:t>
            </w:r>
            <w:r w:rsidR="26BE91D1" w:rsidRPr="3CDACD3A">
              <w:rPr>
                <w:sz w:val="20"/>
                <w:szCs w:val="20"/>
                <w:lang w:val="es-419"/>
              </w:rPr>
              <w:t>A</w:t>
            </w:r>
            <w:r w:rsidRPr="00756410">
              <w:rPr>
                <w:sz w:val="20"/>
                <w:szCs w:val="20"/>
                <w:lang w:val="es-419"/>
              </w:rPr>
              <w:t>probación: parte A para aprobar órdenes de compra y aprobar facturas y anticipos no basados en órdenes de compra</w:t>
            </w:r>
          </w:p>
        </w:tc>
        <w:tc>
          <w:tcPr>
            <w:tcW w:w="1590" w:type="dxa"/>
            <w:tcBorders>
              <w:top w:val="single" w:sz="4" w:space="0" w:color="auto"/>
              <w:left w:val="single" w:sz="4" w:space="0" w:color="auto"/>
              <w:bottom w:val="single" w:sz="4" w:space="0" w:color="auto"/>
              <w:right w:val="single" w:sz="4" w:space="0" w:color="auto"/>
            </w:tcBorders>
          </w:tcPr>
          <w:p w14:paraId="63896568" w14:textId="3636773E"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9042066"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E5BA5D3" w14:textId="629F587C"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3CF54F0B" w14:textId="76DF9144"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054E9518" w14:textId="77777777" w:rsidTr="0004107A">
        <w:tc>
          <w:tcPr>
            <w:tcW w:w="3360" w:type="dxa"/>
            <w:tcBorders>
              <w:top w:val="single" w:sz="4" w:space="0" w:color="auto"/>
              <w:left w:val="single" w:sz="4" w:space="0" w:color="auto"/>
              <w:bottom w:val="single" w:sz="4" w:space="0" w:color="auto"/>
              <w:right w:val="single" w:sz="4" w:space="0" w:color="auto"/>
            </w:tcBorders>
          </w:tcPr>
          <w:p w14:paraId="7D506365" w14:textId="62465C7F" w:rsidR="000B5C6A" w:rsidRPr="00756410" w:rsidRDefault="000B5C6A" w:rsidP="000B5C6A">
            <w:pPr>
              <w:rPr>
                <w:sz w:val="20"/>
                <w:szCs w:val="20"/>
                <w:lang w:val="es-419"/>
              </w:rPr>
            </w:pPr>
            <w:r w:rsidRPr="00756410">
              <w:rPr>
                <w:sz w:val="20"/>
                <w:szCs w:val="20"/>
                <w:lang w:val="es-419"/>
              </w:rPr>
              <w:t xml:space="preserve">Realizar funciones de </w:t>
            </w:r>
            <w:r w:rsidR="7356DF65" w:rsidRPr="3CDACD3A">
              <w:rPr>
                <w:sz w:val="20"/>
                <w:szCs w:val="20"/>
                <w:lang w:val="es-419"/>
              </w:rPr>
              <w:t xml:space="preserve">Gerente </w:t>
            </w:r>
            <w:r w:rsidRPr="00756410">
              <w:rPr>
                <w:sz w:val="20"/>
                <w:szCs w:val="20"/>
                <w:lang w:val="es-419"/>
              </w:rPr>
              <w:t xml:space="preserve">de </w:t>
            </w:r>
            <w:r w:rsidR="12AB3FB0" w:rsidRPr="3CDACD3A">
              <w:rPr>
                <w:sz w:val="20"/>
                <w:szCs w:val="20"/>
                <w:lang w:val="es-419"/>
              </w:rPr>
              <w:t>A</w:t>
            </w:r>
            <w:r w:rsidRPr="00756410">
              <w:rPr>
                <w:sz w:val="20"/>
                <w:szCs w:val="20"/>
                <w:lang w:val="es-419"/>
              </w:rPr>
              <w:t>probación: Parte B para verificar que se debe realizar el pago y aprobar la factura en Quantum</w:t>
            </w:r>
          </w:p>
        </w:tc>
        <w:tc>
          <w:tcPr>
            <w:tcW w:w="1590" w:type="dxa"/>
            <w:tcBorders>
              <w:top w:val="single" w:sz="4" w:space="0" w:color="auto"/>
              <w:left w:val="single" w:sz="4" w:space="0" w:color="auto"/>
              <w:bottom w:val="single" w:sz="4" w:space="0" w:color="auto"/>
              <w:right w:val="single" w:sz="4" w:space="0" w:color="auto"/>
            </w:tcBorders>
          </w:tcPr>
          <w:p w14:paraId="1002237D" w14:textId="77777777" w:rsidR="000B5C6A" w:rsidRPr="00756410" w:rsidRDefault="000B5C6A" w:rsidP="000B5C6A">
            <w:pP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D182763" w14:textId="4B0B053C"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62ABC48C" w14:textId="33E8E700"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72A028EA" w14:textId="64E9389A"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3C949619" w14:textId="77777777" w:rsidTr="0004107A">
        <w:tc>
          <w:tcPr>
            <w:tcW w:w="3360" w:type="dxa"/>
            <w:tcBorders>
              <w:top w:val="single" w:sz="4" w:space="0" w:color="auto"/>
              <w:left w:val="single" w:sz="4" w:space="0" w:color="auto"/>
              <w:bottom w:val="single" w:sz="4" w:space="0" w:color="auto"/>
              <w:right w:val="single" w:sz="4" w:space="0" w:color="auto"/>
            </w:tcBorders>
          </w:tcPr>
          <w:p w14:paraId="32BA6567" w14:textId="405762E2" w:rsidR="000B5C6A" w:rsidRPr="00756410" w:rsidRDefault="3D05FBDC" w:rsidP="0EA64380">
            <w:pPr>
              <w:rPr>
                <w:sz w:val="20"/>
                <w:szCs w:val="20"/>
                <w:lang w:val="es-419"/>
              </w:rPr>
            </w:pPr>
            <w:r w:rsidRPr="00756410">
              <w:rPr>
                <w:sz w:val="20"/>
                <w:szCs w:val="20"/>
                <w:lang w:val="es-419"/>
              </w:rPr>
              <w:t>Realiza</w:t>
            </w:r>
            <w:r w:rsidR="2F9CCC19" w:rsidRPr="0EA64380">
              <w:rPr>
                <w:sz w:val="20"/>
                <w:szCs w:val="20"/>
                <w:lang w:val="es-419"/>
              </w:rPr>
              <w:t>r</w:t>
            </w:r>
            <w:r w:rsidRPr="00756410">
              <w:rPr>
                <w:sz w:val="20"/>
                <w:szCs w:val="20"/>
                <w:lang w:val="es-419"/>
              </w:rPr>
              <w:t xml:space="preserve"> anulaciones de excepciones de coincidencia de </w:t>
            </w:r>
            <w:r w:rsidR="000D5D6E">
              <w:rPr>
                <w:sz w:val="20"/>
                <w:szCs w:val="20"/>
                <w:lang w:val="es-419"/>
              </w:rPr>
              <w:t>tres</w:t>
            </w:r>
            <w:r w:rsidRPr="00756410">
              <w:rPr>
                <w:sz w:val="20"/>
                <w:szCs w:val="20"/>
                <w:lang w:val="es-419"/>
              </w:rPr>
              <w:t xml:space="preserve"> vías (orden de compra/recibo/factura)</w:t>
            </w:r>
          </w:p>
        </w:tc>
        <w:tc>
          <w:tcPr>
            <w:tcW w:w="1590" w:type="dxa"/>
            <w:tcBorders>
              <w:top w:val="single" w:sz="4" w:space="0" w:color="auto"/>
              <w:left w:val="single" w:sz="4" w:space="0" w:color="auto"/>
              <w:bottom w:val="single" w:sz="4" w:space="0" w:color="auto"/>
              <w:right w:val="single" w:sz="4" w:space="0" w:color="auto"/>
            </w:tcBorders>
          </w:tcPr>
          <w:p w14:paraId="33D0F649" w14:textId="52780997" w:rsidR="000B5C6A" w:rsidRPr="00D2258D" w:rsidRDefault="000B5C6A" w:rsidP="50E85438">
            <w:pPr>
              <w:jc w:val="center"/>
              <w:rPr>
                <w:sz w:val="20"/>
                <w:szCs w:val="20"/>
              </w:rPr>
            </w:pPr>
            <w:r w:rsidRPr="00D2258D">
              <w:rPr>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72852E8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A55D87C" w14:textId="32AE0BF6"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A5F1424" w14:textId="22BA0D5E" w:rsidR="000B5C6A" w:rsidRPr="00D2258D" w:rsidRDefault="000B5C6A" w:rsidP="50E85438">
            <w:pPr>
              <w:jc w:val="center"/>
              <w:rPr>
                <w:sz w:val="20"/>
                <w:szCs w:val="20"/>
              </w:rPr>
            </w:pPr>
            <w:r w:rsidRPr="00D2258D">
              <w:rPr>
                <w:sz w:val="20"/>
                <w:szCs w:val="20"/>
              </w:rPr>
              <w:t>Sí</w:t>
            </w:r>
          </w:p>
        </w:tc>
      </w:tr>
      <w:tr w:rsidR="00E85340" w:rsidRPr="006B79D0" w14:paraId="1D89E8BD" w14:textId="77777777" w:rsidTr="0004107A">
        <w:tc>
          <w:tcPr>
            <w:tcW w:w="3360" w:type="dxa"/>
            <w:tcBorders>
              <w:top w:val="single" w:sz="4" w:space="0" w:color="auto"/>
              <w:left w:val="single" w:sz="4" w:space="0" w:color="auto"/>
              <w:bottom w:val="single" w:sz="4" w:space="0" w:color="auto"/>
              <w:right w:val="single" w:sz="4" w:space="0" w:color="auto"/>
            </w:tcBorders>
          </w:tcPr>
          <w:p w14:paraId="2B4F21F0" w14:textId="73793D68" w:rsidR="000B5C6A" w:rsidRPr="00D2258D" w:rsidRDefault="3D05FBDC" w:rsidP="0EA64380">
            <w:pPr>
              <w:rPr>
                <w:sz w:val="20"/>
                <w:szCs w:val="20"/>
              </w:rPr>
            </w:pPr>
            <w:r w:rsidRPr="0EA64380">
              <w:rPr>
                <w:sz w:val="20"/>
                <w:szCs w:val="20"/>
              </w:rPr>
              <w:t>Apr</w:t>
            </w:r>
            <w:r w:rsidR="7056664F" w:rsidRPr="0EA64380">
              <w:rPr>
                <w:sz w:val="20"/>
                <w:szCs w:val="20"/>
              </w:rPr>
              <w:t>obar</w:t>
            </w:r>
            <w:r w:rsidRPr="0EA64380">
              <w:rPr>
                <w:sz w:val="20"/>
                <w:szCs w:val="20"/>
              </w:rPr>
              <w:t xml:space="preserve"> ZDI</w:t>
            </w:r>
          </w:p>
        </w:tc>
        <w:tc>
          <w:tcPr>
            <w:tcW w:w="1590" w:type="dxa"/>
            <w:tcBorders>
              <w:top w:val="single" w:sz="4" w:space="0" w:color="auto"/>
              <w:left w:val="single" w:sz="4" w:space="0" w:color="auto"/>
              <w:bottom w:val="single" w:sz="4" w:space="0" w:color="auto"/>
              <w:right w:val="single" w:sz="4" w:space="0" w:color="auto"/>
            </w:tcBorders>
          </w:tcPr>
          <w:p w14:paraId="15D5BA66" w14:textId="51CE588A"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435C9619" w14:textId="2E5357DE"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51F71C04" w14:textId="5AC92449"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0FFAA49E" w14:textId="4085843F" w:rsidR="000B5C6A" w:rsidRPr="00D2258D" w:rsidRDefault="000B5C6A" w:rsidP="000B5C6A">
            <w:pPr>
              <w:jc w:val="center"/>
              <w:rPr>
                <w:rFonts w:cstheme="minorHAnsi"/>
                <w:sz w:val="20"/>
                <w:szCs w:val="20"/>
              </w:rPr>
            </w:pPr>
            <w:r w:rsidRPr="00D2258D">
              <w:rPr>
                <w:rFonts w:cstheme="minorHAnsi"/>
                <w:sz w:val="20"/>
                <w:szCs w:val="20"/>
              </w:rPr>
              <w:t>Sí</w:t>
            </w:r>
          </w:p>
        </w:tc>
      </w:tr>
      <w:tr w:rsidR="00FD48A6" w:rsidRPr="006B79D0" w14:paraId="65F0734E" w14:textId="77777777" w:rsidTr="0004107A">
        <w:tc>
          <w:tcPr>
            <w:tcW w:w="3360" w:type="dxa"/>
            <w:tcBorders>
              <w:top w:val="single" w:sz="4" w:space="0" w:color="auto"/>
              <w:left w:val="single" w:sz="4" w:space="0" w:color="auto"/>
              <w:bottom w:val="single" w:sz="4" w:space="0" w:color="auto"/>
              <w:right w:val="single" w:sz="4" w:space="0" w:color="auto"/>
            </w:tcBorders>
          </w:tcPr>
          <w:p w14:paraId="2BF9BD4C" w14:textId="62067A0E" w:rsidR="00FD48A6" w:rsidRPr="00D2258D" w:rsidRDefault="6EB45E8C" w:rsidP="0EA64380">
            <w:pPr>
              <w:rPr>
                <w:sz w:val="20"/>
                <w:szCs w:val="20"/>
              </w:rPr>
            </w:pPr>
            <w:r w:rsidRPr="0EA64380">
              <w:rPr>
                <w:sz w:val="20"/>
                <w:szCs w:val="20"/>
              </w:rPr>
              <w:t>Ap</w:t>
            </w:r>
            <w:r w:rsidR="44AA6139" w:rsidRPr="0EA64380">
              <w:rPr>
                <w:sz w:val="20"/>
                <w:szCs w:val="20"/>
              </w:rPr>
              <w:t>robar</w:t>
            </w:r>
            <w:r w:rsidRPr="0EA64380">
              <w:rPr>
                <w:sz w:val="20"/>
                <w:szCs w:val="20"/>
              </w:rPr>
              <w:t xml:space="preserve"> GLJE </w:t>
            </w:r>
          </w:p>
        </w:tc>
        <w:tc>
          <w:tcPr>
            <w:tcW w:w="1590" w:type="dxa"/>
            <w:tcBorders>
              <w:top w:val="single" w:sz="4" w:space="0" w:color="auto"/>
              <w:left w:val="single" w:sz="4" w:space="0" w:color="auto"/>
              <w:bottom w:val="single" w:sz="4" w:space="0" w:color="auto"/>
              <w:right w:val="single" w:sz="4" w:space="0" w:color="auto"/>
            </w:tcBorders>
          </w:tcPr>
          <w:p w14:paraId="26DFEA0C" w14:textId="134EC4E5" w:rsidR="00FD48A6" w:rsidRPr="00FD48A6" w:rsidRDefault="00FD48A6" w:rsidP="00FD48A6">
            <w:pPr>
              <w:jc w:val="center"/>
              <w:rPr>
                <w:rFonts w:cstheme="minorHAnsi"/>
                <w:sz w:val="20"/>
                <w:szCs w:val="20"/>
              </w:rPr>
            </w:pPr>
            <w:r w:rsidRPr="00FD48A6">
              <w:rPr>
                <w:rFonts w:cstheme="minorHAnsi"/>
                <w:sz w:val="20"/>
                <w:szCs w:val="20"/>
              </w:rPr>
              <w:t>Sí, por ahora</w:t>
            </w:r>
          </w:p>
        </w:tc>
        <w:tc>
          <w:tcPr>
            <w:tcW w:w="2070" w:type="dxa"/>
            <w:tcBorders>
              <w:top w:val="single" w:sz="4" w:space="0" w:color="auto"/>
              <w:left w:val="single" w:sz="4" w:space="0" w:color="auto"/>
              <w:bottom w:val="single" w:sz="4" w:space="0" w:color="auto"/>
              <w:right w:val="single" w:sz="4" w:space="0" w:color="auto"/>
            </w:tcBorders>
          </w:tcPr>
          <w:p w14:paraId="7722953D" w14:textId="020E21E8" w:rsidR="00FD48A6" w:rsidRPr="00FD48A6" w:rsidRDefault="00FD48A6" w:rsidP="00FD48A6">
            <w:pPr>
              <w:jc w:val="center"/>
              <w:rPr>
                <w:rFonts w:cstheme="minorHAnsi"/>
                <w:sz w:val="20"/>
                <w:szCs w:val="20"/>
              </w:rPr>
            </w:pPr>
            <w:r w:rsidRPr="00FD48A6">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04C43EEC" w14:textId="2D8545C0" w:rsidR="00FD48A6" w:rsidRPr="00756410" w:rsidRDefault="00FD48A6" w:rsidP="00FD48A6">
            <w:pPr>
              <w:jc w:val="center"/>
              <w:rPr>
                <w:sz w:val="20"/>
                <w:szCs w:val="20"/>
                <w:lang w:val="es-419"/>
              </w:rPr>
            </w:pPr>
            <w:r w:rsidRPr="00756410">
              <w:rPr>
                <w:sz w:val="20"/>
                <w:szCs w:val="20"/>
                <w:lang w:val="es-419"/>
              </w:rPr>
              <w:t xml:space="preserve">Sí, por ahora </w:t>
            </w:r>
            <w:r w:rsidRPr="00756410">
              <w:rPr>
                <w:sz w:val="18"/>
                <w:szCs w:val="18"/>
                <w:lang w:val="es-419"/>
              </w:rPr>
              <w:t xml:space="preserve">(pero puede cambiar durante el año fiscal 2025 y solo estará disponible en BMS / OFRM, MPFO y </w:t>
            </w:r>
            <w:r w:rsidR="769C7A28" w:rsidRPr="6882ABF2">
              <w:rPr>
                <w:sz w:val="18"/>
                <w:szCs w:val="18"/>
                <w:lang w:val="es-419"/>
              </w:rPr>
              <w:t>VNU</w:t>
            </w:r>
            <w:r w:rsidRPr="00756410">
              <w:rPr>
                <w:sz w:val="18"/>
                <w:szCs w:val="18"/>
                <w:lang w:val="es-419"/>
              </w:rPr>
              <w:t>)</w:t>
            </w:r>
          </w:p>
        </w:tc>
        <w:tc>
          <w:tcPr>
            <w:tcW w:w="1710" w:type="dxa"/>
            <w:tcBorders>
              <w:top w:val="single" w:sz="4" w:space="0" w:color="auto"/>
              <w:left w:val="single" w:sz="4" w:space="0" w:color="auto"/>
              <w:bottom w:val="single" w:sz="4" w:space="0" w:color="auto"/>
              <w:right w:val="single" w:sz="4" w:space="0" w:color="auto"/>
            </w:tcBorders>
          </w:tcPr>
          <w:p w14:paraId="77AE9DA7" w14:textId="33A6C7D1" w:rsidR="00FD48A6" w:rsidRPr="00FD48A6" w:rsidRDefault="00FD48A6" w:rsidP="00FD48A6">
            <w:pPr>
              <w:jc w:val="center"/>
              <w:rPr>
                <w:rFonts w:cstheme="minorHAnsi"/>
                <w:sz w:val="20"/>
                <w:szCs w:val="20"/>
              </w:rPr>
            </w:pPr>
            <w:r w:rsidRPr="00FD48A6">
              <w:rPr>
                <w:rFonts w:cstheme="minorHAnsi"/>
                <w:sz w:val="20"/>
                <w:szCs w:val="20"/>
              </w:rPr>
              <w:t>Sí, por ahora</w:t>
            </w:r>
          </w:p>
        </w:tc>
      </w:tr>
      <w:tr w:rsidR="00E85340" w:rsidRPr="00773863" w14:paraId="7A8338F7" w14:textId="77777777" w:rsidTr="0004107A">
        <w:tc>
          <w:tcPr>
            <w:tcW w:w="3360" w:type="dxa"/>
            <w:tcBorders>
              <w:top w:val="single" w:sz="4" w:space="0" w:color="auto"/>
              <w:left w:val="single" w:sz="4" w:space="0" w:color="auto"/>
              <w:bottom w:val="single" w:sz="4" w:space="0" w:color="auto"/>
              <w:right w:val="single" w:sz="4" w:space="0" w:color="auto"/>
            </w:tcBorders>
          </w:tcPr>
          <w:p w14:paraId="4EB25BFF" w14:textId="61A91004" w:rsidR="000B5C6A" w:rsidRPr="00756410" w:rsidRDefault="3D05FBDC" w:rsidP="0EA64380">
            <w:pPr>
              <w:rPr>
                <w:sz w:val="20"/>
                <w:szCs w:val="20"/>
                <w:lang w:val="es-ES"/>
              </w:rPr>
            </w:pPr>
            <w:r w:rsidRPr="00756410">
              <w:rPr>
                <w:sz w:val="20"/>
                <w:szCs w:val="20"/>
                <w:lang w:val="es-ES"/>
              </w:rPr>
              <w:t>Realiza</w:t>
            </w:r>
            <w:r w:rsidR="019A348D" w:rsidRPr="00756410">
              <w:rPr>
                <w:sz w:val="20"/>
                <w:szCs w:val="20"/>
                <w:lang w:val="es-ES"/>
              </w:rPr>
              <w:t>r</w:t>
            </w:r>
            <w:r w:rsidRPr="00756410">
              <w:rPr>
                <w:sz w:val="20"/>
                <w:szCs w:val="20"/>
                <w:lang w:val="es-ES"/>
              </w:rPr>
              <w:t xml:space="preserve"> funciones de Oficial de Desembolso - Parte A</w:t>
            </w:r>
          </w:p>
        </w:tc>
        <w:tc>
          <w:tcPr>
            <w:tcW w:w="1590" w:type="dxa"/>
            <w:tcBorders>
              <w:top w:val="single" w:sz="4" w:space="0" w:color="auto"/>
              <w:left w:val="single" w:sz="4" w:space="0" w:color="auto"/>
              <w:bottom w:val="single" w:sz="4" w:space="0" w:color="auto"/>
              <w:right w:val="single" w:sz="4" w:space="0" w:color="auto"/>
            </w:tcBorders>
          </w:tcPr>
          <w:p w14:paraId="2B802E77" w14:textId="77777777" w:rsidR="000B5C6A" w:rsidRPr="00756410" w:rsidRDefault="000B5C6A" w:rsidP="000B5C6A">
            <w:pPr>
              <w:jc w:val="center"/>
              <w:rPr>
                <w:rFonts w:cstheme="minorHAnsi"/>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6F834320" w14:textId="51DE8C1C" w:rsidR="000B5C6A" w:rsidRPr="00D2258D" w:rsidRDefault="000B5C6A" w:rsidP="000B5C6A">
            <w:pPr>
              <w:jc w:val="center"/>
              <w:rPr>
                <w:rFonts w:cstheme="minorHAnsi"/>
                <w:sz w:val="20"/>
                <w:szCs w:val="20"/>
              </w:rPr>
            </w:pPr>
            <w:r w:rsidRPr="00D2258D">
              <w:rPr>
                <w:rFonts w:cstheme="minorHAnsi"/>
                <w:sz w:val="20"/>
                <w:szCs w:val="20"/>
              </w:rPr>
              <w:t xml:space="preserve">Sí </w:t>
            </w:r>
          </w:p>
        </w:tc>
        <w:tc>
          <w:tcPr>
            <w:tcW w:w="2160" w:type="dxa"/>
            <w:tcBorders>
              <w:top w:val="single" w:sz="4" w:space="0" w:color="auto"/>
              <w:left w:val="single" w:sz="4" w:space="0" w:color="auto"/>
              <w:bottom w:val="single" w:sz="4" w:space="0" w:color="auto"/>
              <w:right w:val="single" w:sz="4" w:space="0" w:color="auto"/>
            </w:tcBorders>
          </w:tcPr>
          <w:p w14:paraId="19B30FCC" w14:textId="4EED133C" w:rsidR="000B5C6A" w:rsidRPr="00756410" w:rsidRDefault="00F82F61" w:rsidP="000B5C6A">
            <w:pPr>
              <w:jc w:val="center"/>
              <w:rPr>
                <w:rFont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(pero sólo en BMS/OFRM para oficinas/dependencias de la Sede), y en VNU.</w:t>
            </w:r>
          </w:p>
        </w:tc>
        <w:tc>
          <w:tcPr>
            <w:tcW w:w="1710" w:type="dxa"/>
            <w:tcBorders>
              <w:top w:val="single" w:sz="4" w:space="0" w:color="auto"/>
              <w:left w:val="single" w:sz="4" w:space="0" w:color="auto"/>
              <w:bottom w:val="single" w:sz="4" w:space="0" w:color="auto"/>
              <w:right w:val="single" w:sz="4" w:space="0" w:color="auto"/>
            </w:tcBorders>
          </w:tcPr>
          <w:p w14:paraId="0571D19D" w14:textId="77777777" w:rsidR="000B5C6A" w:rsidRPr="00756410" w:rsidRDefault="000B5C6A" w:rsidP="000B5C6A">
            <w:pPr>
              <w:jc w:val="center"/>
              <w:rPr>
                <w:rFonts w:cstheme="minorHAnsi"/>
                <w:sz w:val="20"/>
                <w:szCs w:val="20"/>
                <w:lang w:val="es-419"/>
              </w:rPr>
            </w:pPr>
          </w:p>
        </w:tc>
      </w:tr>
      <w:tr w:rsidR="00E85340" w:rsidRPr="006B79D0" w14:paraId="2A4F0F66" w14:textId="77777777" w:rsidTr="0004107A">
        <w:tc>
          <w:tcPr>
            <w:tcW w:w="3360" w:type="dxa"/>
            <w:tcBorders>
              <w:top w:val="single" w:sz="4" w:space="0" w:color="auto"/>
              <w:left w:val="single" w:sz="4" w:space="0" w:color="auto"/>
              <w:bottom w:val="single" w:sz="4" w:space="0" w:color="auto"/>
              <w:right w:val="single" w:sz="4" w:space="0" w:color="auto"/>
            </w:tcBorders>
          </w:tcPr>
          <w:p w14:paraId="172D6022" w14:textId="38C3F7EE" w:rsidR="000B5C6A" w:rsidRPr="00756410" w:rsidRDefault="3D05FBDC" w:rsidP="0EA64380">
            <w:pPr>
              <w:rPr>
                <w:sz w:val="20"/>
                <w:szCs w:val="20"/>
                <w:lang w:val="es-ES"/>
              </w:rPr>
            </w:pPr>
            <w:r w:rsidRPr="00756410">
              <w:rPr>
                <w:sz w:val="20"/>
                <w:szCs w:val="20"/>
                <w:lang w:val="es-ES"/>
              </w:rPr>
              <w:t>Realiza</w:t>
            </w:r>
            <w:r w:rsidR="25FA40AF" w:rsidRPr="00756410">
              <w:rPr>
                <w:sz w:val="20"/>
                <w:szCs w:val="20"/>
                <w:lang w:val="es-ES"/>
              </w:rPr>
              <w:t>r</w:t>
            </w:r>
            <w:r w:rsidRPr="00756410">
              <w:rPr>
                <w:sz w:val="20"/>
                <w:szCs w:val="20"/>
                <w:lang w:val="es-ES"/>
              </w:rPr>
              <w:t xml:space="preserve"> funciones de Oficial de Desembolso - Parte B (incluido el signatario bancario)</w:t>
            </w:r>
          </w:p>
        </w:tc>
        <w:tc>
          <w:tcPr>
            <w:tcW w:w="1590" w:type="dxa"/>
            <w:tcBorders>
              <w:top w:val="single" w:sz="4" w:space="0" w:color="auto"/>
              <w:left w:val="single" w:sz="4" w:space="0" w:color="auto"/>
              <w:bottom w:val="single" w:sz="4" w:space="0" w:color="auto"/>
              <w:right w:val="single" w:sz="4" w:space="0" w:color="auto"/>
            </w:tcBorders>
          </w:tcPr>
          <w:p w14:paraId="42CDAA54" w14:textId="4A648D9F"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670C3846"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AD7B483"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034F2B0" w14:textId="426F8543" w:rsidR="000B5C6A" w:rsidRPr="00D2258D" w:rsidRDefault="000B5C6A" w:rsidP="000B5C6A">
            <w:pPr>
              <w:jc w:val="center"/>
              <w:rPr>
                <w:rFonts w:cstheme="minorHAnsi"/>
                <w:sz w:val="20"/>
                <w:szCs w:val="20"/>
              </w:rPr>
            </w:pPr>
            <w:r w:rsidRPr="00D2258D">
              <w:rPr>
                <w:rFonts w:cstheme="minorHAnsi"/>
                <w:sz w:val="20"/>
                <w:szCs w:val="20"/>
              </w:rPr>
              <w:t>Sí</w:t>
            </w:r>
          </w:p>
        </w:tc>
      </w:tr>
      <w:tr w:rsidR="000B5C6A" w:rsidRPr="006B79D0" w14:paraId="650A0CDC"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0E7E24"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Viajar</w:t>
            </w:r>
          </w:p>
        </w:tc>
      </w:tr>
      <w:tr w:rsidR="00E85340" w:rsidRPr="006B79D0" w14:paraId="5307D77F" w14:textId="77777777" w:rsidTr="0004107A">
        <w:tc>
          <w:tcPr>
            <w:tcW w:w="3360" w:type="dxa"/>
            <w:tcBorders>
              <w:top w:val="single" w:sz="4" w:space="0" w:color="auto"/>
              <w:left w:val="single" w:sz="4" w:space="0" w:color="auto"/>
              <w:bottom w:val="single" w:sz="4" w:space="0" w:color="auto"/>
              <w:right w:val="single" w:sz="4" w:space="0" w:color="auto"/>
            </w:tcBorders>
          </w:tcPr>
          <w:p w14:paraId="4D9C2F55" w14:textId="37A9D50B" w:rsidR="000B5C6A" w:rsidRPr="00756410" w:rsidRDefault="3D05FBDC" w:rsidP="0EA64380">
            <w:pPr>
              <w:rPr>
                <w:sz w:val="20"/>
                <w:szCs w:val="20"/>
                <w:lang w:val="es-419"/>
              </w:rPr>
            </w:pPr>
            <w:r w:rsidRPr="00756410">
              <w:rPr>
                <w:sz w:val="20"/>
                <w:szCs w:val="20"/>
                <w:lang w:val="es-419"/>
              </w:rPr>
              <w:t>Realiza</w:t>
            </w:r>
            <w:r w:rsidR="0BEAA733" w:rsidRPr="0EA64380">
              <w:rPr>
                <w:sz w:val="20"/>
                <w:szCs w:val="20"/>
                <w:lang w:val="es-419"/>
              </w:rPr>
              <w:t>r</w:t>
            </w:r>
            <w:r w:rsidRPr="00756410">
              <w:rPr>
                <w:sz w:val="20"/>
                <w:szCs w:val="20"/>
                <w:lang w:val="es-419"/>
              </w:rPr>
              <w:t xml:space="preserve"> funciones de procesador de viaje</w:t>
            </w:r>
          </w:p>
        </w:tc>
        <w:tc>
          <w:tcPr>
            <w:tcW w:w="1590" w:type="dxa"/>
            <w:tcBorders>
              <w:top w:val="single" w:sz="4" w:space="0" w:color="auto"/>
              <w:left w:val="single" w:sz="4" w:space="0" w:color="auto"/>
              <w:bottom w:val="single" w:sz="4" w:space="0" w:color="auto"/>
              <w:right w:val="single" w:sz="4" w:space="0" w:color="auto"/>
            </w:tcBorders>
          </w:tcPr>
          <w:p w14:paraId="7BD0C0CB" w14:textId="0CFBD9DE"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28121B0"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EF60CD0" w14:textId="6A33F840"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0568A63" w14:textId="5891080E"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57894161" w14:textId="77777777" w:rsidTr="0004107A">
        <w:tc>
          <w:tcPr>
            <w:tcW w:w="3360" w:type="dxa"/>
            <w:tcBorders>
              <w:top w:val="single" w:sz="4" w:space="0" w:color="auto"/>
              <w:left w:val="single" w:sz="4" w:space="0" w:color="auto"/>
              <w:bottom w:val="single" w:sz="4" w:space="0" w:color="auto"/>
              <w:right w:val="single" w:sz="4" w:space="0" w:color="auto"/>
            </w:tcBorders>
          </w:tcPr>
          <w:p w14:paraId="6EE313AD" w14:textId="0296270E" w:rsidR="000B5C6A" w:rsidRPr="00756410" w:rsidRDefault="3D05FBDC" w:rsidP="0EA64380">
            <w:pPr>
              <w:rPr>
                <w:sz w:val="20"/>
                <w:szCs w:val="20"/>
                <w:lang w:val="es-419"/>
              </w:rPr>
            </w:pPr>
            <w:r w:rsidRPr="00756410">
              <w:rPr>
                <w:sz w:val="20"/>
                <w:szCs w:val="20"/>
                <w:lang w:val="es-419"/>
              </w:rPr>
              <w:t>Realiza</w:t>
            </w:r>
            <w:r w:rsidR="7B26FDE1" w:rsidRPr="0EA64380">
              <w:rPr>
                <w:sz w:val="20"/>
                <w:szCs w:val="20"/>
                <w:lang w:val="es-419"/>
              </w:rPr>
              <w:t>r</w:t>
            </w:r>
            <w:r w:rsidRPr="00756410">
              <w:rPr>
                <w:sz w:val="20"/>
                <w:szCs w:val="20"/>
                <w:lang w:val="es-419"/>
              </w:rPr>
              <w:t xml:space="preserve"> funciones de aprobador de viajes</w:t>
            </w:r>
          </w:p>
        </w:tc>
        <w:tc>
          <w:tcPr>
            <w:tcW w:w="1590" w:type="dxa"/>
            <w:tcBorders>
              <w:top w:val="single" w:sz="4" w:space="0" w:color="auto"/>
              <w:left w:val="single" w:sz="4" w:space="0" w:color="auto"/>
              <w:bottom w:val="single" w:sz="4" w:space="0" w:color="auto"/>
              <w:right w:val="single" w:sz="4" w:space="0" w:color="auto"/>
            </w:tcBorders>
          </w:tcPr>
          <w:p w14:paraId="1876CD4F" w14:textId="53BB2AFD"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0AF141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7A349CA" w14:textId="15974755"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E52BF7F" w14:textId="3C5187C5"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773863" w14:paraId="3A43DD3F" w14:textId="77777777" w:rsidTr="0004107A">
        <w:tc>
          <w:tcPr>
            <w:tcW w:w="3360" w:type="dxa"/>
            <w:tcBorders>
              <w:top w:val="single" w:sz="4" w:space="0" w:color="auto"/>
              <w:left w:val="single" w:sz="4" w:space="0" w:color="auto"/>
              <w:bottom w:val="single" w:sz="4" w:space="0" w:color="auto"/>
              <w:right w:val="single" w:sz="4" w:space="0" w:color="auto"/>
            </w:tcBorders>
          </w:tcPr>
          <w:p w14:paraId="479E02B3" w14:textId="673F2E75" w:rsidR="00966C3D" w:rsidRPr="00756410" w:rsidRDefault="000B5C6A" w:rsidP="000B5C6A">
            <w:pPr>
              <w:rPr>
                <w:sz w:val="20"/>
                <w:szCs w:val="20"/>
                <w:lang w:val="es-419"/>
              </w:rPr>
            </w:pPr>
            <w:r w:rsidRPr="00756410">
              <w:rPr>
                <w:sz w:val="20"/>
                <w:szCs w:val="20"/>
                <w:lang w:val="es-419"/>
              </w:rPr>
              <w:lastRenderedPageBreak/>
              <w:t xml:space="preserve">Realiza funciones de conciliación de </w:t>
            </w:r>
            <w:r w:rsidR="580045D6" w:rsidRPr="6882ABF2">
              <w:rPr>
                <w:sz w:val="20"/>
                <w:szCs w:val="20"/>
                <w:lang w:val="es-419"/>
              </w:rPr>
              <w:t>boletos</w:t>
            </w:r>
            <w:r w:rsidR="004211C9">
              <w:rPr>
                <w:sz w:val="20"/>
                <w:szCs w:val="20"/>
                <w:lang w:val="es-419"/>
              </w:rPr>
              <w:t xml:space="preserve"> </w:t>
            </w:r>
            <w:r w:rsidRPr="00756410">
              <w:rPr>
                <w:sz w:val="20"/>
                <w:szCs w:val="20"/>
                <w:lang w:val="es-419"/>
              </w:rPr>
              <w:t>y pago (idealmente solo aprobación, ya que el agente de viajes debe crear facturas en el portal de proveedores)</w:t>
            </w:r>
          </w:p>
        </w:tc>
        <w:tc>
          <w:tcPr>
            <w:tcW w:w="1590" w:type="dxa"/>
            <w:tcBorders>
              <w:top w:val="single" w:sz="4" w:space="0" w:color="auto"/>
              <w:left w:val="single" w:sz="4" w:space="0" w:color="auto"/>
              <w:bottom w:val="single" w:sz="4" w:space="0" w:color="auto"/>
              <w:right w:val="single" w:sz="4" w:space="0" w:color="auto"/>
            </w:tcBorders>
          </w:tcPr>
          <w:p w14:paraId="13DA6C6A" w14:textId="025CD055" w:rsidR="000B5C6A" w:rsidRPr="00D2258D" w:rsidRDefault="0047651E"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3D7DDAC0" w14:textId="4EB803E8" w:rsidR="000B5C6A" w:rsidRPr="00D2258D" w:rsidRDefault="000B5C6A" w:rsidP="000B5C6A">
            <w:pPr>
              <w:jc w:val="center"/>
              <w:rPr>
                <w:rFonts w:ascii="Webdings" w:hAnsi="Webdings" w:cstheme="minorHAnsi"/>
                <w:sz w:val="20"/>
                <w:szCs w:val="20"/>
              </w:rPr>
            </w:pPr>
            <w:r w:rsidRPr="00D2258D">
              <w:rPr>
                <w:rFonts w:cstheme="minorHAnsi"/>
                <w:sz w:val="20"/>
                <w:szCs w:val="20"/>
              </w:rPr>
              <w:t xml:space="preserve">Sí </w:t>
            </w:r>
          </w:p>
        </w:tc>
        <w:tc>
          <w:tcPr>
            <w:tcW w:w="2160" w:type="dxa"/>
            <w:tcBorders>
              <w:top w:val="single" w:sz="4" w:space="0" w:color="auto"/>
              <w:left w:val="single" w:sz="4" w:space="0" w:color="auto"/>
              <w:bottom w:val="single" w:sz="4" w:space="0" w:color="auto"/>
              <w:right w:val="single" w:sz="4" w:space="0" w:color="auto"/>
            </w:tcBorders>
          </w:tcPr>
          <w:p w14:paraId="203DD317" w14:textId="096D23AA" w:rsidR="000B5C6A" w:rsidRPr="00756410" w:rsidRDefault="00F82F61" w:rsidP="000B5C6A">
            <w:pPr>
              <w:jc w:val="center"/>
              <w:rPr>
                <w:rFonts w:cstheme="minorHAnsi"/>
                <w:sz w:val="20"/>
                <w:szCs w:val="20"/>
                <w:lang w:val="es-419"/>
              </w:rPr>
            </w:pPr>
            <w:r w:rsidRPr="00756410">
              <w:rPr>
                <w:rFonts w:cstheme="minorHAnsi"/>
                <w:sz w:val="20"/>
                <w:szCs w:val="20"/>
                <w:lang w:val="es-419"/>
              </w:rPr>
              <w:t>Sí</w:t>
            </w:r>
            <w:r w:rsidRPr="00756410">
              <w:rPr>
                <w:rFonts w:cstheme="minorHAnsi"/>
                <w:sz w:val="18"/>
                <w:szCs w:val="18"/>
                <w:lang w:val="es-419"/>
              </w:rPr>
              <w:t xml:space="preserve"> (pero solo en BMS/GO para oficinas/unidades de la sede)</w:t>
            </w:r>
            <w:r w:rsidR="00DE454A" w:rsidRPr="00756410">
              <w:rPr>
                <w:rFonts w:cstheme="minorHAnsi"/>
                <w:sz w:val="18"/>
                <w:szCs w:val="18"/>
                <w:lang w:val="es-419"/>
              </w:rPr>
              <w:br/>
            </w:r>
          </w:p>
        </w:tc>
        <w:tc>
          <w:tcPr>
            <w:tcW w:w="1710" w:type="dxa"/>
            <w:tcBorders>
              <w:top w:val="single" w:sz="4" w:space="0" w:color="auto"/>
              <w:left w:val="single" w:sz="4" w:space="0" w:color="auto"/>
              <w:bottom w:val="single" w:sz="4" w:space="0" w:color="auto"/>
              <w:right w:val="single" w:sz="4" w:space="0" w:color="auto"/>
            </w:tcBorders>
          </w:tcPr>
          <w:p w14:paraId="7ED7DCF0" w14:textId="577567FC" w:rsidR="000B5C6A" w:rsidRPr="00756410" w:rsidRDefault="00EE1285" w:rsidP="000B5C6A">
            <w:pPr>
              <w:jc w:val="center"/>
              <w:rPr>
                <w:rFonts w:cstheme="minorHAnsi"/>
                <w:sz w:val="20"/>
                <w:szCs w:val="20"/>
                <w:lang w:val="es-419"/>
              </w:rPr>
            </w:pPr>
            <w:r w:rsidRPr="00756410">
              <w:rPr>
                <w:rFonts w:cstheme="minorHAnsi"/>
                <w:sz w:val="20"/>
                <w:szCs w:val="20"/>
                <w:lang w:val="es-419"/>
              </w:rPr>
              <w:t xml:space="preserve">Sí </w:t>
            </w:r>
            <w:r w:rsidRPr="00756410">
              <w:rPr>
                <w:rFonts w:ascii="Calibri" w:hAnsi="Calibri" w:cs="Calibri"/>
                <w:sz w:val="18"/>
                <w:szCs w:val="18"/>
                <w:lang w:val="es-419"/>
              </w:rPr>
              <w:t>(pero solo para el programa VNU, la conciliación y aprobación de boletos es realizada por la sede del programa VNU para los pagos con sede en Bonn)</w:t>
            </w:r>
          </w:p>
        </w:tc>
      </w:tr>
      <w:tr w:rsidR="000B5C6A" w:rsidRPr="00773863" w14:paraId="7D13DF39"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8B8FAE" w14:textId="77777777" w:rsidR="000B5C6A" w:rsidRPr="00756410" w:rsidRDefault="000B5C6A" w:rsidP="000B5C6A">
            <w:pPr>
              <w:rPr>
                <w:rFonts w:ascii="Webdings" w:hAnsi="Webdings" w:cstheme="minorHAnsi"/>
                <w:b/>
                <w:sz w:val="28"/>
                <w:szCs w:val="28"/>
                <w:lang w:val="es-419"/>
              </w:rPr>
            </w:pPr>
            <w:r w:rsidRPr="00756410">
              <w:rPr>
                <w:rFonts w:cstheme="minorHAnsi"/>
                <w:b/>
                <w:sz w:val="20"/>
                <w:szCs w:val="20"/>
                <w:lang w:val="es-419"/>
              </w:rPr>
              <w:t>Gestión de activos e inventario</w:t>
            </w:r>
          </w:p>
        </w:tc>
      </w:tr>
      <w:tr w:rsidR="00E85340" w:rsidRPr="006B79D0" w14:paraId="0B9E1F22" w14:textId="77777777" w:rsidTr="0004107A">
        <w:tc>
          <w:tcPr>
            <w:tcW w:w="3360" w:type="dxa"/>
            <w:tcBorders>
              <w:top w:val="single" w:sz="4" w:space="0" w:color="auto"/>
              <w:left w:val="single" w:sz="4" w:space="0" w:color="auto"/>
              <w:bottom w:val="single" w:sz="4" w:space="0" w:color="auto"/>
              <w:right w:val="single" w:sz="4" w:space="0" w:color="auto"/>
            </w:tcBorders>
          </w:tcPr>
          <w:p w14:paraId="7E6785D0" w14:textId="07E2567B" w:rsidR="000B5C6A" w:rsidRPr="00756410" w:rsidRDefault="3D05FBDC" w:rsidP="0EA64380">
            <w:pPr>
              <w:rPr>
                <w:sz w:val="20"/>
                <w:szCs w:val="20"/>
                <w:lang w:val="es-419"/>
              </w:rPr>
            </w:pPr>
            <w:r w:rsidRPr="00756410">
              <w:rPr>
                <w:sz w:val="20"/>
                <w:szCs w:val="20"/>
                <w:lang w:val="es-419"/>
              </w:rPr>
              <w:t>Realiza</w:t>
            </w:r>
            <w:r w:rsidR="1916E1A9" w:rsidRPr="0EA64380">
              <w:rPr>
                <w:sz w:val="20"/>
                <w:szCs w:val="20"/>
                <w:lang w:val="es-419"/>
              </w:rPr>
              <w:t>r</w:t>
            </w:r>
            <w:r w:rsidRPr="00756410">
              <w:rPr>
                <w:sz w:val="20"/>
                <w:szCs w:val="20"/>
                <w:lang w:val="es-419"/>
              </w:rPr>
              <w:t xml:space="preserve"> la gestión diaria de activos e inventario</w:t>
            </w:r>
          </w:p>
        </w:tc>
        <w:tc>
          <w:tcPr>
            <w:tcW w:w="1590" w:type="dxa"/>
            <w:tcBorders>
              <w:top w:val="single" w:sz="4" w:space="0" w:color="auto"/>
              <w:left w:val="single" w:sz="4" w:space="0" w:color="auto"/>
              <w:bottom w:val="single" w:sz="4" w:space="0" w:color="auto"/>
              <w:right w:val="single" w:sz="4" w:space="0" w:color="auto"/>
            </w:tcBorders>
          </w:tcPr>
          <w:p w14:paraId="6485835B" w14:textId="0C27F965" w:rsidR="000B5C6A" w:rsidRPr="00D2258D" w:rsidRDefault="000B5C6A" w:rsidP="000B5C6A">
            <w:pPr>
              <w:jc w:val="center"/>
              <w:rPr>
                <w:rFonts w:ascii="Webdings" w:hAnsi="Webdings" w:cstheme="minorHAnsi"/>
                <w:sz w:val="28"/>
                <w:szCs w:val="28"/>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710D319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2337D04" w14:textId="6A6A85A1" w:rsidR="000B5C6A" w:rsidRPr="00D2258D" w:rsidRDefault="000B5C6A" w:rsidP="000B5C6A">
            <w:pPr>
              <w:jc w:val="center"/>
              <w:rPr>
                <w:rFonts w:ascii="Webdings" w:hAnsi="Webdings" w:cstheme="minorHAnsi"/>
                <w:sz w:val="28"/>
                <w:szCs w:val="28"/>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2C4FC750" w14:textId="656CE990" w:rsidR="000B5C6A" w:rsidRPr="00D2258D" w:rsidRDefault="000B5C6A" w:rsidP="000B5C6A">
            <w:pPr>
              <w:jc w:val="center"/>
              <w:rPr>
                <w:rFonts w:ascii="Webdings" w:hAnsi="Webdings" w:cstheme="minorHAnsi"/>
                <w:sz w:val="28"/>
                <w:szCs w:val="28"/>
              </w:rPr>
            </w:pPr>
            <w:r w:rsidRPr="00D2258D">
              <w:rPr>
                <w:rFonts w:cstheme="minorHAnsi"/>
                <w:sz w:val="20"/>
                <w:szCs w:val="20"/>
              </w:rPr>
              <w:t>Sí</w:t>
            </w:r>
          </w:p>
        </w:tc>
      </w:tr>
      <w:tr w:rsidR="00E85340" w:rsidRPr="006B79D0" w14:paraId="30D34217" w14:textId="77777777" w:rsidTr="0004107A">
        <w:tc>
          <w:tcPr>
            <w:tcW w:w="3360" w:type="dxa"/>
            <w:tcBorders>
              <w:top w:val="single" w:sz="4" w:space="0" w:color="auto"/>
              <w:left w:val="single" w:sz="4" w:space="0" w:color="auto"/>
              <w:bottom w:val="single" w:sz="4" w:space="0" w:color="auto"/>
              <w:right w:val="single" w:sz="4" w:space="0" w:color="auto"/>
            </w:tcBorders>
          </w:tcPr>
          <w:p w14:paraId="4C1D1160" w14:textId="7DE6303E" w:rsidR="000B5C6A" w:rsidRPr="00756410" w:rsidRDefault="3D05FBDC" w:rsidP="0EA64380">
            <w:pPr>
              <w:rPr>
                <w:sz w:val="20"/>
                <w:szCs w:val="20"/>
                <w:lang w:val="es-419"/>
              </w:rPr>
            </w:pPr>
            <w:r w:rsidRPr="00756410">
              <w:rPr>
                <w:sz w:val="20"/>
                <w:szCs w:val="20"/>
                <w:lang w:val="es-419"/>
              </w:rPr>
              <w:t>Env</w:t>
            </w:r>
            <w:r w:rsidR="777A650F" w:rsidRPr="0EA64380">
              <w:rPr>
                <w:sz w:val="20"/>
                <w:szCs w:val="20"/>
                <w:lang w:val="es-419"/>
              </w:rPr>
              <w:t>iar</w:t>
            </w:r>
            <w:r w:rsidRPr="00756410">
              <w:rPr>
                <w:sz w:val="20"/>
                <w:szCs w:val="20"/>
                <w:lang w:val="es-419"/>
              </w:rPr>
              <w:t xml:space="preserve"> información de transacciones de activos e inventario a BMS/GSSC</w:t>
            </w:r>
          </w:p>
        </w:tc>
        <w:tc>
          <w:tcPr>
            <w:tcW w:w="1590" w:type="dxa"/>
            <w:tcBorders>
              <w:top w:val="single" w:sz="4" w:space="0" w:color="auto"/>
              <w:left w:val="single" w:sz="4" w:space="0" w:color="auto"/>
              <w:bottom w:val="single" w:sz="4" w:space="0" w:color="auto"/>
              <w:right w:val="single" w:sz="4" w:space="0" w:color="auto"/>
            </w:tcBorders>
          </w:tcPr>
          <w:p w14:paraId="1230684B" w14:textId="749E8EC5"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661DC59C"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F32CCA3" w14:textId="467365BE" w:rsidR="000B5C6A" w:rsidRPr="00756410" w:rsidRDefault="000B5C6A" w:rsidP="000B5C6A">
            <w:pPr>
              <w:jc w:val="center"/>
              <w:rPr>
                <w:rFonts w:ascii="Webdings" w:hAnsi="Webding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(BMS/GO para oficinas/unidades de la sede)</w:t>
            </w:r>
          </w:p>
        </w:tc>
        <w:tc>
          <w:tcPr>
            <w:tcW w:w="1710" w:type="dxa"/>
            <w:tcBorders>
              <w:top w:val="single" w:sz="4" w:space="0" w:color="auto"/>
              <w:left w:val="single" w:sz="4" w:space="0" w:color="auto"/>
              <w:bottom w:val="single" w:sz="4" w:space="0" w:color="auto"/>
              <w:right w:val="single" w:sz="4" w:space="0" w:color="auto"/>
            </w:tcBorders>
          </w:tcPr>
          <w:p w14:paraId="7AE15052" w14:textId="71400381"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73AFC0C7" w14:textId="77777777" w:rsidTr="0004107A">
        <w:tc>
          <w:tcPr>
            <w:tcW w:w="3360" w:type="dxa"/>
            <w:tcBorders>
              <w:top w:val="single" w:sz="4" w:space="0" w:color="auto"/>
              <w:left w:val="single" w:sz="4" w:space="0" w:color="auto"/>
              <w:bottom w:val="single" w:sz="4" w:space="0" w:color="auto"/>
              <w:right w:val="single" w:sz="4" w:space="0" w:color="auto"/>
            </w:tcBorders>
          </w:tcPr>
          <w:p w14:paraId="339B4034" w14:textId="489585EA" w:rsidR="000B5C6A" w:rsidRPr="00756410" w:rsidRDefault="3D05FBDC" w:rsidP="0EA64380">
            <w:pPr>
              <w:rPr>
                <w:sz w:val="20"/>
                <w:szCs w:val="20"/>
                <w:lang w:val="es-419"/>
              </w:rPr>
            </w:pPr>
            <w:r w:rsidRPr="00756410">
              <w:rPr>
                <w:sz w:val="20"/>
                <w:szCs w:val="20"/>
                <w:lang w:val="es-419"/>
              </w:rPr>
              <w:t>Registra</w:t>
            </w:r>
            <w:r w:rsidR="55D2AD22" w:rsidRPr="0EA64380">
              <w:rPr>
                <w:sz w:val="20"/>
                <w:szCs w:val="20"/>
                <w:lang w:val="es-419"/>
              </w:rPr>
              <w:t>r</w:t>
            </w:r>
            <w:r w:rsidRPr="00756410">
              <w:rPr>
                <w:sz w:val="20"/>
                <w:szCs w:val="20"/>
                <w:lang w:val="es-419"/>
              </w:rPr>
              <w:t xml:space="preserve"> las transacciones de contabilidad de activos e inventario en Quantum</w:t>
            </w:r>
          </w:p>
        </w:tc>
        <w:tc>
          <w:tcPr>
            <w:tcW w:w="1590" w:type="dxa"/>
            <w:tcBorders>
              <w:top w:val="single" w:sz="4" w:space="0" w:color="auto"/>
              <w:left w:val="single" w:sz="4" w:space="0" w:color="auto"/>
              <w:bottom w:val="single" w:sz="4" w:space="0" w:color="auto"/>
              <w:right w:val="single" w:sz="4" w:space="0" w:color="auto"/>
            </w:tcBorders>
          </w:tcPr>
          <w:p w14:paraId="65FAC82E"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60DE7CE0" w14:textId="567B16AE"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52699A5B"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8536E00" w14:textId="77777777" w:rsidR="000B5C6A" w:rsidRPr="00D2258D" w:rsidRDefault="000B5C6A" w:rsidP="000B5C6A">
            <w:pPr>
              <w:jc w:val="center"/>
              <w:rPr>
                <w:rFonts w:cstheme="minorHAnsi"/>
                <w:sz w:val="20"/>
                <w:szCs w:val="20"/>
              </w:rPr>
            </w:pPr>
          </w:p>
        </w:tc>
      </w:tr>
      <w:tr w:rsidR="000B5C6A" w:rsidRPr="006B79D0" w14:paraId="267053BC"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8376C6"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Recursos humanos</w:t>
            </w:r>
          </w:p>
        </w:tc>
      </w:tr>
      <w:tr w:rsidR="00E85340" w:rsidRPr="006B79D0" w14:paraId="2BDD356F" w14:textId="77777777" w:rsidTr="0004107A">
        <w:tc>
          <w:tcPr>
            <w:tcW w:w="3360" w:type="dxa"/>
            <w:tcBorders>
              <w:top w:val="single" w:sz="4" w:space="0" w:color="auto"/>
              <w:left w:val="single" w:sz="4" w:space="0" w:color="auto"/>
              <w:bottom w:val="single" w:sz="4" w:space="0" w:color="auto"/>
              <w:right w:val="single" w:sz="4" w:space="0" w:color="auto"/>
            </w:tcBorders>
          </w:tcPr>
          <w:p w14:paraId="3E4929EA" w14:textId="11872627" w:rsidR="000B5C6A" w:rsidRPr="00756410" w:rsidRDefault="3D05FBDC" w:rsidP="0EA64380">
            <w:pPr>
              <w:rPr>
                <w:sz w:val="20"/>
                <w:szCs w:val="20"/>
                <w:lang w:val="es-419"/>
              </w:rPr>
            </w:pPr>
            <w:r w:rsidRPr="00756410">
              <w:rPr>
                <w:sz w:val="20"/>
                <w:szCs w:val="20"/>
                <w:lang w:val="es-419"/>
              </w:rPr>
              <w:t>Realiza</w:t>
            </w:r>
            <w:r w:rsidR="25AF2B04" w:rsidRPr="0EA64380">
              <w:rPr>
                <w:sz w:val="20"/>
                <w:szCs w:val="20"/>
                <w:lang w:val="es-419"/>
              </w:rPr>
              <w:t>r</w:t>
            </w:r>
            <w:r w:rsidRPr="00756410">
              <w:rPr>
                <w:sz w:val="20"/>
                <w:szCs w:val="20"/>
                <w:lang w:val="es-419"/>
              </w:rPr>
              <w:t xml:space="preserve"> funciones de punto focal local de </w:t>
            </w:r>
            <w:r w:rsidR="3A1531B6" w:rsidRPr="00756410">
              <w:rPr>
                <w:sz w:val="20"/>
                <w:szCs w:val="20"/>
                <w:lang w:val="es-419"/>
              </w:rPr>
              <w:t>RR</w:t>
            </w:r>
            <w:r w:rsidR="52E20FDC" w:rsidRPr="7C19149B">
              <w:rPr>
                <w:sz w:val="20"/>
                <w:szCs w:val="20"/>
                <w:lang w:val="es-419"/>
              </w:rPr>
              <w:t>.</w:t>
            </w:r>
            <w:r w:rsidR="3A1531B6" w:rsidRPr="00756410">
              <w:rPr>
                <w:sz w:val="20"/>
                <w:szCs w:val="20"/>
                <w:lang w:val="es-419"/>
              </w:rPr>
              <w:t>HH</w:t>
            </w:r>
            <w:r w:rsidR="6FDA4BF4" w:rsidRPr="460CF197">
              <w:rPr>
                <w:sz w:val="20"/>
                <w:szCs w:val="20"/>
                <w:lang w:val="es-419"/>
              </w:rPr>
              <w:t>.</w:t>
            </w:r>
          </w:p>
        </w:tc>
        <w:tc>
          <w:tcPr>
            <w:tcW w:w="1590" w:type="dxa"/>
            <w:tcBorders>
              <w:top w:val="single" w:sz="4" w:space="0" w:color="auto"/>
              <w:left w:val="single" w:sz="4" w:space="0" w:color="auto"/>
              <w:bottom w:val="single" w:sz="4" w:space="0" w:color="auto"/>
              <w:right w:val="single" w:sz="4" w:space="0" w:color="auto"/>
            </w:tcBorders>
          </w:tcPr>
          <w:p w14:paraId="17D9CEF3" w14:textId="7A25F455"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9E50B0F"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E5FC92" w14:textId="35DFFC5F"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C171068" w14:textId="258BBA7A"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695C55C8" w14:textId="77777777" w:rsidTr="0004107A">
        <w:tc>
          <w:tcPr>
            <w:tcW w:w="3360" w:type="dxa"/>
            <w:tcBorders>
              <w:top w:val="single" w:sz="4" w:space="0" w:color="auto"/>
              <w:left w:val="single" w:sz="4" w:space="0" w:color="auto"/>
              <w:bottom w:val="single" w:sz="4" w:space="0" w:color="auto"/>
              <w:right w:val="single" w:sz="4" w:space="0" w:color="auto"/>
            </w:tcBorders>
          </w:tcPr>
          <w:p w14:paraId="6057B106" w14:textId="430FE675" w:rsidR="000B5C6A" w:rsidRPr="00756410" w:rsidRDefault="3D05FBDC" w:rsidP="0EA64380">
            <w:pPr>
              <w:rPr>
                <w:sz w:val="20"/>
                <w:szCs w:val="20"/>
                <w:lang w:val="es-ES"/>
              </w:rPr>
            </w:pPr>
            <w:r w:rsidRPr="00756410">
              <w:rPr>
                <w:sz w:val="20"/>
                <w:szCs w:val="20"/>
                <w:lang w:val="es-ES"/>
              </w:rPr>
              <w:t>Realiza</w:t>
            </w:r>
            <w:r w:rsidR="552CE383" w:rsidRPr="00756410">
              <w:rPr>
                <w:sz w:val="20"/>
                <w:szCs w:val="20"/>
                <w:lang w:val="es-ES"/>
              </w:rPr>
              <w:t>r</w:t>
            </w:r>
            <w:r w:rsidRPr="00756410">
              <w:rPr>
                <w:sz w:val="20"/>
                <w:szCs w:val="20"/>
                <w:lang w:val="es-ES"/>
              </w:rPr>
              <w:t xml:space="preserve"> funciones de administrador de recursos humanos</w:t>
            </w:r>
          </w:p>
        </w:tc>
        <w:tc>
          <w:tcPr>
            <w:tcW w:w="1590" w:type="dxa"/>
            <w:tcBorders>
              <w:top w:val="single" w:sz="4" w:space="0" w:color="auto"/>
              <w:left w:val="single" w:sz="4" w:space="0" w:color="auto"/>
              <w:bottom w:val="single" w:sz="4" w:space="0" w:color="auto"/>
              <w:right w:val="single" w:sz="4" w:space="0" w:color="auto"/>
            </w:tcBorders>
          </w:tcPr>
          <w:p w14:paraId="1F2F1AE2" w14:textId="77777777" w:rsidR="000B5C6A" w:rsidRPr="00756410" w:rsidRDefault="000B5C6A" w:rsidP="7F61F61C">
            <w:pPr>
              <w:jc w:val="center"/>
              <w:rPr>
                <w:rFonts w:eastAsiaTheme="minorEastAsia"/>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6D27128F" w14:textId="57784558"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0EFFFC93"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D895A5D" w14:textId="77E39AB5"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087E0CE0" w14:textId="77777777" w:rsidTr="0004107A">
        <w:tc>
          <w:tcPr>
            <w:tcW w:w="3360" w:type="dxa"/>
            <w:tcBorders>
              <w:top w:val="single" w:sz="4" w:space="0" w:color="auto"/>
              <w:left w:val="single" w:sz="4" w:space="0" w:color="auto"/>
              <w:bottom w:val="single" w:sz="4" w:space="0" w:color="auto"/>
              <w:right w:val="single" w:sz="4" w:space="0" w:color="auto"/>
            </w:tcBorders>
          </w:tcPr>
          <w:p w14:paraId="1653DC1C" w14:textId="5ADC952A" w:rsidR="000B5C6A" w:rsidRPr="00756410" w:rsidRDefault="3D05FBDC" w:rsidP="363CA695">
            <w:pPr>
              <w:rPr>
                <w:sz w:val="20"/>
                <w:szCs w:val="20"/>
                <w:lang w:val="es-419"/>
              </w:rPr>
            </w:pPr>
            <w:r w:rsidRPr="00756410">
              <w:rPr>
                <w:sz w:val="20"/>
                <w:szCs w:val="20"/>
                <w:lang w:val="es-419"/>
              </w:rPr>
              <w:t>Apr</w:t>
            </w:r>
            <w:r w:rsidR="6AC3C380" w:rsidRPr="0EA64380">
              <w:rPr>
                <w:sz w:val="20"/>
                <w:szCs w:val="20"/>
                <w:lang w:val="es-419"/>
              </w:rPr>
              <w:t>obar</w:t>
            </w:r>
            <w:r w:rsidRPr="00756410">
              <w:rPr>
                <w:sz w:val="20"/>
                <w:szCs w:val="20"/>
                <w:lang w:val="es-419"/>
              </w:rPr>
              <w:t xml:space="preserve"> y env</w:t>
            </w:r>
            <w:r w:rsidR="323B60F9" w:rsidRPr="0EA64380">
              <w:rPr>
                <w:sz w:val="20"/>
                <w:szCs w:val="20"/>
                <w:lang w:val="es-419"/>
              </w:rPr>
              <w:t>iar</w:t>
            </w:r>
            <w:r w:rsidRPr="00756410">
              <w:rPr>
                <w:sz w:val="20"/>
                <w:szCs w:val="20"/>
                <w:lang w:val="es-419"/>
              </w:rPr>
              <w:t xml:space="preserve"> información de ganancias y deducciones recurrentes y manuales a BMS / GSSC</w:t>
            </w:r>
          </w:p>
        </w:tc>
        <w:tc>
          <w:tcPr>
            <w:tcW w:w="1590" w:type="dxa"/>
            <w:tcBorders>
              <w:top w:val="single" w:sz="4" w:space="0" w:color="auto"/>
              <w:left w:val="single" w:sz="4" w:space="0" w:color="auto"/>
              <w:bottom w:val="single" w:sz="4" w:space="0" w:color="auto"/>
              <w:right w:val="single" w:sz="4" w:space="0" w:color="auto"/>
            </w:tcBorders>
          </w:tcPr>
          <w:p w14:paraId="2A2FDAB7" w14:textId="47F99EF8"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08E66F55" w14:textId="77777777" w:rsidR="000B5C6A" w:rsidRPr="00D2258D" w:rsidRDefault="000B5C6A" w:rsidP="000B5C6A">
            <w:pPr>
              <w:jc w:val="center"/>
              <w:rPr>
                <w:rFonts w:ascii="Calibri" w:hAnsi="Calibri" w:cs="Calibr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B49C2FC" w14:textId="77777777" w:rsidR="000B5C6A" w:rsidRPr="00D2258D" w:rsidRDefault="000B5C6A" w:rsidP="000B5C6A">
            <w:pPr>
              <w:jc w:val="center"/>
              <w:rPr>
                <w:rFonts w:ascii="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7C9EC61" w14:textId="77777777" w:rsidR="000B5C6A" w:rsidRPr="00D2258D" w:rsidRDefault="000B5C6A" w:rsidP="000B5C6A">
            <w:pPr>
              <w:jc w:val="center"/>
              <w:rPr>
                <w:rFonts w:ascii="Calibri" w:hAnsi="Calibri" w:cs="Calibri"/>
                <w:sz w:val="20"/>
                <w:szCs w:val="20"/>
              </w:rPr>
            </w:pPr>
          </w:p>
        </w:tc>
      </w:tr>
      <w:tr w:rsidR="00E85340" w:rsidRPr="006B79D0" w14:paraId="3A15EBAB" w14:textId="77777777" w:rsidTr="0004107A">
        <w:tc>
          <w:tcPr>
            <w:tcW w:w="3360" w:type="dxa"/>
            <w:tcBorders>
              <w:top w:val="single" w:sz="4" w:space="0" w:color="auto"/>
              <w:left w:val="single" w:sz="4" w:space="0" w:color="auto"/>
              <w:bottom w:val="single" w:sz="4" w:space="0" w:color="auto"/>
              <w:right w:val="single" w:sz="4" w:space="0" w:color="auto"/>
            </w:tcBorders>
          </w:tcPr>
          <w:p w14:paraId="66C0935D" w14:textId="6B0077EF" w:rsidR="000B5C6A" w:rsidRPr="00756410" w:rsidRDefault="3D05FBDC" w:rsidP="0EA64380">
            <w:pPr>
              <w:rPr>
                <w:sz w:val="20"/>
                <w:szCs w:val="20"/>
                <w:lang w:val="es-ES"/>
              </w:rPr>
            </w:pPr>
            <w:r w:rsidRPr="00756410">
              <w:rPr>
                <w:sz w:val="20"/>
                <w:szCs w:val="20"/>
                <w:lang w:val="es-ES"/>
              </w:rPr>
              <w:t>Realiza</w:t>
            </w:r>
            <w:r w:rsidR="291918A0" w:rsidRPr="00756410">
              <w:rPr>
                <w:sz w:val="20"/>
                <w:szCs w:val="20"/>
                <w:lang w:val="es-ES"/>
              </w:rPr>
              <w:t>r</w:t>
            </w:r>
            <w:r w:rsidRPr="00756410">
              <w:rPr>
                <w:sz w:val="20"/>
                <w:szCs w:val="20"/>
                <w:lang w:val="es-ES"/>
              </w:rPr>
              <w:t xml:space="preserve"> funciones de administrador de GP</w:t>
            </w:r>
          </w:p>
        </w:tc>
        <w:tc>
          <w:tcPr>
            <w:tcW w:w="1590" w:type="dxa"/>
            <w:tcBorders>
              <w:top w:val="single" w:sz="4" w:space="0" w:color="auto"/>
              <w:left w:val="single" w:sz="4" w:space="0" w:color="auto"/>
              <w:bottom w:val="single" w:sz="4" w:space="0" w:color="auto"/>
              <w:right w:val="single" w:sz="4" w:space="0" w:color="auto"/>
            </w:tcBorders>
          </w:tcPr>
          <w:p w14:paraId="04E23426" w14:textId="77777777" w:rsidR="000B5C6A" w:rsidRPr="00756410" w:rsidRDefault="000B5C6A" w:rsidP="000B5C6A">
            <w:pPr>
              <w:jc w:val="center"/>
              <w:rPr>
                <w:rFonts w:cstheme="minorHAnsi"/>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74F755B7" w14:textId="51C52944"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4FA04B5C"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377E841" w14:textId="3F3B5477"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02FE73C1" w14:textId="77777777" w:rsidTr="0004107A">
        <w:tc>
          <w:tcPr>
            <w:tcW w:w="3360" w:type="dxa"/>
            <w:tcBorders>
              <w:top w:val="single" w:sz="4" w:space="0" w:color="auto"/>
              <w:left w:val="single" w:sz="4" w:space="0" w:color="auto"/>
              <w:bottom w:val="single" w:sz="4" w:space="0" w:color="auto"/>
              <w:right w:val="single" w:sz="4" w:space="0" w:color="auto"/>
            </w:tcBorders>
          </w:tcPr>
          <w:p w14:paraId="75FEC1BB" w14:textId="364EEFE1" w:rsidR="000B5C6A" w:rsidRPr="00756410" w:rsidRDefault="3D05FBDC" w:rsidP="0EA64380">
            <w:pPr>
              <w:rPr>
                <w:sz w:val="20"/>
                <w:szCs w:val="20"/>
                <w:lang w:val="es-419"/>
              </w:rPr>
            </w:pPr>
            <w:r w:rsidRPr="00756410">
              <w:rPr>
                <w:sz w:val="20"/>
                <w:szCs w:val="20"/>
                <w:lang w:val="es-419"/>
              </w:rPr>
              <w:t>Realiza</w:t>
            </w:r>
            <w:r w:rsidR="47D3BB19" w:rsidRPr="0EA64380">
              <w:rPr>
                <w:sz w:val="20"/>
                <w:szCs w:val="20"/>
                <w:lang w:val="es-419"/>
              </w:rPr>
              <w:t>r</w:t>
            </w:r>
            <w:r w:rsidRPr="00756410">
              <w:rPr>
                <w:sz w:val="20"/>
                <w:szCs w:val="20"/>
                <w:lang w:val="es-419"/>
              </w:rPr>
              <w:t xml:space="preserve"> funciones de usuario de la herramienta de validación de nómina</w:t>
            </w:r>
          </w:p>
        </w:tc>
        <w:tc>
          <w:tcPr>
            <w:tcW w:w="1590" w:type="dxa"/>
            <w:tcBorders>
              <w:top w:val="single" w:sz="4" w:space="0" w:color="auto"/>
              <w:left w:val="single" w:sz="4" w:space="0" w:color="auto"/>
              <w:bottom w:val="single" w:sz="4" w:space="0" w:color="auto"/>
              <w:right w:val="single" w:sz="4" w:space="0" w:color="auto"/>
            </w:tcBorders>
          </w:tcPr>
          <w:p w14:paraId="495B0F21"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456049EB" w14:textId="38679529"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1A00898D"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1A99D26" w14:textId="1EE82C52"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6C699700" w14:textId="77777777" w:rsidTr="0004107A">
        <w:tc>
          <w:tcPr>
            <w:tcW w:w="3360" w:type="dxa"/>
            <w:tcBorders>
              <w:top w:val="single" w:sz="4" w:space="0" w:color="auto"/>
              <w:left w:val="single" w:sz="4" w:space="0" w:color="auto"/>
              <w:bottom w:val="single" w:sz="4" w:space="0" w:color="auto"/>
              <w:right w:val="single" w:sz="4" w:space="0" w:color="auto"/>
            </w:tcBorders>
          </w:tcPr>
          <w:p w14:paraId="76AB6862" w14:textId="2755FEC3" w:rsidR="000B5C6A" w:rsidRPr="00756410" w:rsidRDefault="3D05FBDC" w:rsidP="0EA64380">
            <w:pPr>
              <w:rPr>
                <w:sz w:val="20"/>
                <w:szCs w:val="20"/>
                <w:lang w:val="es-ES"/>
              </w:rPr>
            </w:pPr>
            <w:r w:rsidRPr="00756410">
              <w:rPr>
                <w:sz w:val="20"/>
                <w:szCs w:val="20"/>
                <w:lang w:val="es-ES"/>
              </w:rPr>
              <w:t>Realiza</w:t>
            </w:r>
            <w:r w:rsidR="1A3EC03D" w:rsidRPr="00756410">
              <w:rPr>
                <w:sz w:val="20"/>
                <w:szCs w:val="20"/>
                <w:lang w:val="es-ES"/>
              </w:rPr>
              <w:t>r</w:t>
            </w:r>
            <w:r w:rsidRPr="00756410">
              <w:rPr>
                <w:sz w:val="20"/>
                <w:szCs w:val="20"/>
                <w:lang w:val="es-ES"/>
              </w:rPr>
              <w:t xml:space="preserve"> funciones de Oficial de Desembolso - Parte B para la nómina local (signatario del banco)</w:t>
            </w:r>
          </w:p>
        </w:tc>
        <w:tc>
          <w:tcPr>
            <w:tcW w:w="1590" w:type="dxa"/>
            <w:tcBorders>
              <w:top w:val="single" w:sz="4" w:space="0" w:color="auto"/>
              <w:left w:val="single" w:sz="4" w:space="0" w:color="auto"/>
              <w:bottom w:val="single" w:sz="4" w:space="0" w:color="auto"/>
              <w:right w:val="single" w:sz="4" w:space="0" w:color="auto"/>
            </w:tcBorders>
          </w:tcPr>
          <w:p w14:paraId="28D07D6D" w14:textId="45D70022"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616898E2"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4BE1196"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AB56829" w14:textId="16114F9D"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074DC589" w14:textId="77777777" w:rsidTr="0004107A">
        <w:tc>
          <w:tcPr>
            <w:tcW w:w="3360" w:type="dxa"/>
            <w:tcBorders>
              <w:top w:val="single" w:sz="4" w:space="0" w:color="auto"/>
              <w:left w:val="single" w:sz="4" w:space="0" w:color="auto"/>
              <w:bottom w:val="single" w:sz="4" w:space="0" w:color="auto"/>
              <w:right w:val="single" w:sz="4" w:space="0" w:color="auto"/>
            </w:tcBorders>
          </w:tcPr>
          <w:p w14:paraId="29D2DE5A" w14:textId="447F02F3" w:rsidR="000B5C6A" w:rsidRPr="00756410" w:rsidRDefault="3D05FBDC" w:rsidP="0EA64380">
            <w:pPr>
              <w:rPr>
                <w:sz w:val="20"/>
                <w:szCs w:val="20"/>
                <w:lang w:val="es-ES"/>
              </w:rPr>
            </w:pPr>
            <w:r w:rsidRPr="00756410">
              <w:rPr>
                <w:sz w:val="20"/>
                <w:szCs w:val="20"/>
                <w:lang w:val="es-ES"/>
              </w:rPr>
              <w:t>Realiza</w:t>
            </w:r>
            <w:r w:rsidR="5A5A5B22" w:rsidRPr="00756410">
              <w:rPr>
                <w:sz w:val="20"/>
                <w:szCs w:val="20"/>
                <w:lang w:val="es-ES"/>
              </w:rPr>
              <w:t>r</w:t>
            </w:r>
            <w:r w:rsidRPr="00756410">
              <w:rPr>
                <w:sz w:val="20"/>
                <w:szCs w:val="20"/>
                <w:lang w:val="es-ES"/>
              </w:rPr>
              <w:t xml:space="preserve"> funciones de personal de nómina</w:t>
            </w:r>
          </w:p>
        </w:tc>
        <w:tc>
          <w:tcPr>
            <w:tcW w:w="1590" w:type="dxa"/>
            <w:tcBorders>
              <w:top w:val="single" w:sz="4" w:space="0" w:color="auto"/>
              <w:left w:val="single" w:sz="4" w:space="0" w:color="auto"/>
              <w:bottom w:val="single" w:sz="4" w:space="0" w:color="auto"/>
              <w:right w:val="single" w:sz="4" w:space="0" w:color="auto"/>
            </w:tcBorders>
          </w:tcPr>
          <w:p w14:paraId="19A8E635" w14:textId="77777777" w:rsidR="000B5C6A" w:rsidRPr="00756410" w:rsidRDefault="000B5C6A" w:rsidP="000B5C6A">
            <w:pPr>
              <w:jc w:val="center"/>
              <w:rPr>
                <w:rFonts w:cstheme="minorHAnsi"/>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14:paraId="7F944BFA" w14:textId="1EB964EE"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7733B605" w14:textId="77777777" w:rsidR="000B5C6A" w:rsidRPr="00D2258D" w:rsidRDefault="000B5C6A" w:rsidP="7F61F61C">
            <w:pPr>
              <w:jc w:val="center"/>
              <w:rPr>
                <w:rFonts w:eastAsiaTheme="minorEastAsi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5DAD5EE" w14:textId="66536F4A"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4F629B38" w14:textId="77777777" w:rsidTr="0004107A">
        <w:tc>
          <w:tcPr>
            <w:tcW w:w="3360" w:type="dxa"/>
            <w:tcBorders>
              <w:top w:val="single" w:sz="4" w:space="0" w:color="auto"/>
              <w:left w:val="single" w:sz="4" w:space="0" w:color="auto"/>
              <w:bottom w:val="single" w:sz="4" w:space="0" w:color="auto"/>
              <w:right w:val="single" w:sz="4" w:space="0" w:color="auto"/>
            </w:tcBorders>
          </w:tcPr>
          <w:p w14:paraId="4D9FC37A" w14:textId="442AE331" w:rsidR="000B5C6A" w:rsidRPr="00756410" w:rsidRDefault="3D05FBDC" w:rsidP="0EA64380">
            <w:pPr>
              <w:rPr>
                <w:sz w:val="20"/>
                <w:szCs w:val="20"/>
                <w:lang w:val="es-419"/>
              </w:rPr>
            </w:pPr>
            <w:r w:rsidRPr="00756410">
              <w:rPr>
                <w:sz w:val="20"/>
                <w:szCs w:val="20"/>
                <w:lang w:val="es-419"/>
              </w:rPr>
              <w:t>Realiza</w:t>
            </w:r>
            <w:r w:rsidR="484A066C" w:rsidRPr="0EA64380">
              <w:rPr>
                <w:sz w:val="20"/>
                <w:szCs w:val="20"/>
                <w:lang w:val="es-419"/>
              </w:rPr>
              <w:t>r</w:t>
            </w:r>
            <w:r w:rsidRPr="00756410">
              <w:rPr>
                <w:sz w:val="20"/>
                <w:szCs w:val="20"/>
                <w:lang w:val="es-419"/>
              </w:rPr>
              <w:t xml:space="preserve"> aprobaciones de administración de puestos</w:t>
            </w:r>
          </w:p>
        </w:tc>
        <w:tc>
          <w:tcPr>
            <w:tcW w:w="1590" w:type="dxa"/>
            <w:tcBorders>
              <w:top w:val="single" w:sz="4" w:space="0" w:color="auto"/>
              <w:left w:val="single" w:sz="4" w:space="0" w:color="auto"/>
              <w:bottom w:val="single" w:sz="4" w:space="0" w:color="auto"/>
              <w:right w:val="single" w:sz="4" w:space="0" w:color="auto"/>
            </w:tcBorders>
          </w:tcPr>
          <w:p w14:paraId="051B0DB2" w14:textId="2AFDD75B"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79E90821" w14:textId="6FB5D879" w:rsidR="000B5C6A" w:rsidRPr="00756410" w:rsidRDefault="000B5C6A" w:rsidP="000B5C6A">
            <w:pPr>
              <w:jc w:val="center"/>
              <w:rPr>
                <w:rFonts w:ascii="Webdings" w:hAnsi="Webding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(verificación de la reseña)</w:t>
            </w:r>
          </w:p>
        </w:tc>
        <w:tc>
          <w:tcPr>
            <w:tcW w:w="2160" w:type="dxa"/>
            <w:tcBorders>
              <w:top w:val="single" w:sz="4" w:space="0" w:color="auto"/>
              <w:left w:val="single" w:sz="4" w:space="0" w:color="auto"/>
              <w:bottom w:val="single" w:sz="4" w:space="0" w:color="auto"/>
              <w:right w:val="single" w:sz="4" w:space="0" w:color="auto"/>
            </w:tcBorders>
          </w:tcPr>
          <w:p w14:paraId="7BE9C91B" w14:textId="3D439653"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52D4F908" w14:textId="47426494"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r>
      <w:tr w:rsidR="00E85340" w:rsidRPr="006B79D0" w14:paraId="09A7186B" w14:textId="77777777" w:rsidTr="0004107A">
        <w:tc>
          <w:tcPr>
            <w:tcW w:w="3360" w:type="dxa"/>
            <w:tcBorders>
              <w:top w:val="single" w:sz="4" w:space="0" w:color="auto"/>
              <w:left w:val="single" w:sz="4" w:space="0" w:color="auto"/>
              <w:bottom w:val="single" w:sz="4" w:space="0" w:color="auto"/>
              <w:right w:val="single" w:sz="4" w:space="0" w:color="auto"/>
            </w:tcBorders>
          </w:tcPr>
          <w:p w14:paraId="14E9A217" w14:textId="4EFEFA39" w:rsidR="000B5C6A" w:rsidRPr="00756410" w:rsidRDefault="3D05FBDC" w:rsidP="0EA64380">
            <w:pPr>
              <w:rPr>
                <w:sz w:val="20"/>
                <w:szCs w:val="20"/>
                <w:lang w:val="es-419"/>
              </w:rPr>
            </w:pPr>
            <w:r w:rsidRPr="00756410">
              <w:rPr>
                <w:sz w:val="20"/>
                <w:szCs w:val="20"/>
                <w:lang w:val="es-419"/>
              </w:rPr>
              <w:t>Procesa</w:t>
            </w:r>
            <w:r w:rsidR="31D6423B" w:rsidRPr="0EA64380">
              <w:rPr>
                <w:sz w:val="20"/>
                <w:szCs w:val="20"/>
                <w:lang w:val="es-419"/>
              </w:rPr>
              <w:t>r</w:t>
            </w:r>
            <w:r w:rsidRPr="00756410">
              <w:rPr>
                <w:sz w:val="20"/>
                <w:szCs w:val="20"/>
                <w:lang w:val="es-419"/>
              </w:rPr>
              <w:t xml:space="preserve"> las transacciones de administración de posiciones en Quantum</w:t>
            </w:r>
          </w:p>
        </w:tc>
        <w:tc>
          <w:tcPr>
            <w:tcW w:w="1590" w:type="dxa"/>
            <w:tcBorders>
              <w:top w:val="single" w:sz="4" w:space="0" w:color="auto"/>
              <w:left w:val="single" w:sz="4" w:space="0" w:color="auto"/>
              <w:bottom w:val="single" w:sz="4" w:space="0" w:color="auto"/>
              <w:right w:val="single" w:sz="4" w:space="0" w:color="auto"/>
            </w:tcBorders>
          </w:tcPr>
          <w:p w14:paraId="61FC11AA"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1E3E8146" w14:textId="2F265140" w:rsidR="000B5C6A" w:rsidRPr="00D2258D" w:rsidRDefault="000B5C6A" w:rsidP="000B5C6A">
            <w:pPr>
              <w:jc w:val="center"/>
              <w:rPr>
                <w:rFonts w:ascii="Webdings" w:hAnsi="Webding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5EF21E17"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9793306" w14:textId="77777777" w:rsidR="000B5C6A" w:rsidRPr="00D2258D" w:rsidRDefault="000B5C6A" w:rsidP="000B5C6A">
            <w:pPr>
              <w:jc w:val="center"/>
              <w:rPr>
                <w:rFonts w:cstheme="minorHAnsi"/>
                <w:sz w:val="20"/>
                <w:szCs w:val="20"/>
              </w:rPr>
            </w:pPr>
          </w:p>
        </w:tc>
      </w:tr>
      <w:tr w:rsidR="000B5C6A" w:rsidRPr="006B79D0" w14:paraId="103FB8CF"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606CED"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Gestión financiera general</w:t>
            </w:r>
          </w:p>
        </w:tc>
      </w:tr>
      <w:tr w:rsidR="00E85340" w:rsidRPr="006B79D0" w14:paraId="417DA086" w14:textId="77777777" w:rsidTr="0004107A">
        <w:tc>
          <w:tcPr>
            <w:tcW w:w="3360" w:type="dxa"/>
            <w:tcBorders>
              <w:top w:val="single" w:sz="4" w:space="0" w:color="auto"/>
              <w:left w:val="single" w:sz="4" w:space="0" w:color="auto"/>
              <w:bottom w:val="single" w:sz="4" w:space="0" w:color="auto"/>
              <w:right w:val="single" w:sz="4" w:space="0" w:color="auto"/>
            </w:tcBorders>
          </w:tcPr>
          <w:p w14:paraId="77A1A893" w14:textId="3FA275F6" w:rsidR="000B5C6A" w:rsidRPr="00D2258D" w:rsidRDefault="3D05FBDC" w:rsidP="0EA64380">
            <w:pPr>
              <w:rPr>
                <w:sz w:val="20"/>
                <w:szCs w:val="20"/>
              </w:rPr>
            </w:pPr>
            <w:r w:rsidRPr="0EA64380">
              <w:rPr>
                <w:sz w:val="20"/>
                <w:szCs w:val="20"/>
              </w:rPr>
              <w:t>Crea</w:t>
            </w:r>
            <w:r w:rsidR="16C1EA8F" w:rsidRPr="0EA64380">
              <w:rPr>
                <w:sz w:val="20"/>
                <w:szCs w:val="20"/>
              </w:rPr>
              <w:t>r</w:t>
            </w:r>
            <w:r w:rsidRPr="0EA64380">
              <w:rPr>
                <w:sz w:val="20"/>
                <w:szCs w:val="20"/>
              </w:rPr>
              <w:t xml:space="preserve"> y actualiza</w:t>
            </w:r>
            <w:r w:rsidR="786E4F77" w:rsidRPr="0EA64380">
              <w:rPr>
                <w:sz w:val="20"/>
                <w:szCs w:val="20"/>
              </w:rPr>
              <w:t>r</w:t>
            </w:r>
            <w:r w:rsidRPr="0EA64380">
              <w:rPr>
                <w:sz w:val="20"/>
                <w:szCs w:val="20"/>
              </w:rPr>
              <w:t xml:space="preserve"> proyectos</w:t>
            </w:r>
          </w:p>
        </w:tc>
        <w:tc>
          <w:tcPr>
            <w:tcW w:w="1590" w:type="dxa"/>
            <w:tcBorders>
              <w:top w:val="single" w:sz="4" w:space="0" w:color="auto"/>
              <w:left w:val="single" w:sz="4" w:space="0" w:color="auto"/>
              <w:bottom w:val="single" w:sz="4" w:space="0" w:color="auto"/>
              <w:right w:val="single" w:sz="4" w:space="0" w:color="auto"/>
            </w:tcBorders>
          </w:tcPr>
          <w:p w14:paraId="0FCD0545" w14:textId="6A5A5C69"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474FD0E7" w14:textId="0857A8B1"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C0E0788" w14:textId="085F0A24"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2143CF8A" w14:textId="55F24450"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10C4A40B" w14:textId="77777777" w:rsidTr="0004107A">
        <w:tc>
          <w:tcPr>
            <w:tcW w:w="3360" w:type="dxa"/>
            <w:tcBorders>
              <w:top w:val="single" w:sz="4" w:space="0" w:color="auto"/>
              <w:left w:val="single" w:sz="4" w:space="0" w:color="auto"/>
              <w:bottom w:val="single" w:sz="4" w:space="0" w:color="auto"/>
              <w:right w:val="single" w:sz="4" w:space="0" w:color="auto"/>
            </w:tcBorders>
          </w:tcPr>
          <w:p w14:paraId="0B8401C9" w14:textId="2DD77749" w:rsidR="000B5C6A" w:rsidRPr="00D2258D" w:rsidRDefault="3D05FBDC" w:rsidP="0EA64380">
            <w:pPr>
              <w:rPr>
                <w:sz w:val="20"/>
                <w:szCs w:val="20"/>
              </w:rPr>
            </w:pPr>
            <w:r w:rsidRPr="0EA64380">
              <w:rPr>
                <w:sz w:val="20"/>
                <w:szCs w:val="20"/>
              </w:rPr>
              <w:t>Establece</w:t>
            </w:r>
            <w:r w:rsidR="1A270C88" w:rsidRPr="0EA64380">
              <w:rPr>
                <w:sz w:val="20"/>
                <w:szCs w:val="20"/>
              </w:rPr>
              <w:t>r</w:t>
            </w:r>
            <w:r w:rsidRPr="0EA64380">
              <w:rPr>
                <w:sz w:val="20"/>
                <w:szCs w:val="20"/>
              </w:rPr>
              <w:t xml:space="preserve"> y </w:t>
            </w:r>
            <w:r w:rsidR="3A1531B6" w:rsidRPr="44078402">
              <w:rPr>
                <w:sz w:val="20"/>
                <w:szCs w:val="20"/>
              </w:rPr>
              <w:t>gestiona</w:t>
            </w:r>
            <w:r w:rsidR="436C05C6" w:rsidRPr="44078402">
              <w:rPr>
                <w:sz w:val="20"/>
                <w:szCs w:val="20"/>
              </w:rPr>
              <w:t>r</w:t>
            </w:r>
            <w:r w:rsidRPr="0EA64380">
              <w:rPr>
                <w:sz w:val="20"/>
                <w:szCs w:val="20"/>
              </w:rPr>
              <w:t xml:space="preserve"> presupuestos</w:t>
            </w:r>
          </w:p>
        </w:tc>
        <w:tc>
          <w:tcPr>
            <w:tcW w:w="1590" w:type="dxa"/>
            <w:tcBorders>
              <w:top w:val="single" w:sz="4" w:space="0" w:color="auto"/>
              <w:left w:val="single" w:sz="4" w:space="0" w:color="auto"/>
              <w:bottom w:val="single" w:sz="4" w:space="0" w:color="auto"/>
              <w:right w:val="single" w:sz="4" w:space="0" w:color="auto"/>
            </w:tcBorders>
          </w:tcPr>
          <w:p w14:paraId="62452BF9" w14:textId="12B576FE"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2B4D2E4"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E0B29BA" w14:textId="519C3E66"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D4CA78D" w14:textId="36255470"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2113FBA4" w14:textId="77777777" w:rsidTr="0004107A">
        <w:tc>
          <w:tcPr>
            <w:tcW w:w="3360" w:type="dxa"/>
            <w:tcBorders>
              <w:top w:val="single" w:sz="4" w:space="0" w:color="auto"/>
              <w:left w:val="single" w:sz="4" w:space="0" w:color="auto"/>
              <w:bottom w:val="single" w:sz="4" w:space="0" w:color="auto"/>
              <w:right w:val="single" w:sz="4" w:space="0" w:color="auto"/>
            </w:tcBorders>
          </w:tcPr>
          <w:p w14:paraId="62D5E8F9" w14:textId="5B5345E0" w:rsidR="000B5C6A" w:rsidRPr="00756410" w:rsidRDefault="3D05FBDC" w:rsidP="0EA64380">
            <w:pPr>
              <w:rPr>
                <w:sz w:val="20"/>
                <w:szCs w:val="20"/>
                <w:lang w:val="es-419"/>
              </w:rPr>
            </w:pPr>
            <w:r w:rsidRPr="00756410">
              <w:rPr>
                <w:sz w:val="20"/>
                <w:szCs w:val="20"/>
                <w:lang w:val="es-419"/>
              </w:rPr>
              <w:t>Env</w:t>
            </w:r>
            <w:r w:rsidR="2FCF29C2" w:rsidRPr="0EA64380">
              <w:rPr>
                <w:sz w:val="20"/>
                <w:szCs w:val="20"/>
                <w:lang w:val="es-419"/>
              </w:rPr>
              <w:t>iar</w:t>
            </w:r>
            <w:r w:rsidRPr="00756410">
              <w:rPr>
                <w:sz w:val="20"/>
                <w:szCs w:val="20"/>
                <w:lang w:val="es-419"/>
              </w:rPr>
              <w:t xml:space="preserve"> acuerdos de contribución, información de recibo miscelánea e información de identificación de depósito a BMS/GSSC</w:t>
            </w:r>
          </w:p>
        </w:tc>
        <w:tc>
          <w:tcPr>
            <w:tcW w:w="1590" w:type="dxa"/>
            <w:tcBorders>
              <w:top w:val="single" w:sz="4" w:space="0" w:color="auto"/>
              <w:left w:val="single" w:sz="4" w:space="0" w:color="auto"/>
              <w:bottom w:val="single" w:sz="4" w:space="0" w:color="auto"/>
              <w:right w:val="single" w:sz="4" w:space="0" w:color="auto"/>
            </w:tcBorders>
          </w:tcPr>
          <w:p w14:paraId="43579463" w14:textId="36EDA264"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1E4847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6B99ACD" w14:textId="503F725D"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19746359" w14:textId="158985A7"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48A8EBB1" w14:textId="77777777" w:rsidTr="0004107A">
        <w:tc>
          <w:tcPr>
            <w:tcW w:w="3360" w:type="dxa"/>
            <w:tcBorders>
              <w:top w:val="single" w:sz="4" w:space="0" w:color="auto"/>
              <w:left w:val="single" w:sz="4" w:space="0" w:color="auto"/>
              <w:bottom w:val="single" w:sz="4" w:space="0" w:color="auto"/>
              <w:right w:val="single" w:sz="4" w:space="0" w:color="auto"/>
            </w:tcBorders>
          </w:tcPr>
          <w:p w14:paraId="16A97FCC" w14:textId="24AC7626" w:rsidR="000B5C6A" w:rsidRPr="00756410" w:rsidRDefault="3D05FBDC" w:rsidP="0EA64380">
            <w:pPr>
              <w:rPr>
                <w:sz w:val="20"/>
                <w:szCs w:val="20"/>
                <w:lang w:val="es-419"/>
              </w:rPr>
            </w:pPr>
            <w:r w:rsidRPr="00756410">
              <w:rPr>
                <w:sz w:val="20"/>
                <w:szCs w:val="20"/>
                <w:lang w:val="es-419"/>
              </w:rPr>
              <w:lastRenderedPageBreak/>
              <w:t>Crea</w:t>
            </w:r>
            <w:r w:rsidR="6087411A" w:rsidRPr="0EA64380">
              <w:rPr>
                <w:sz w:val="20"/>
                <w:szCs w:val="20"/>
                <w:lang w:val="es-419"/>
              </w:rPr>
              <w:t>r</w:t>
            </w:r>
            <w:r w:rsidRPr="00756410">
              <w:rPr>
                <w:sz w:val="20"/>
                <w:szCs w:val="20"/>
                <w:lang w:val="es-419"/>
              </w:rPr>
              <w:t>/apr</w:t>
            </w:r>
            <w:r w:rsidR="7173FC4E" w:rsidRPr="0EA64380">
              <w:rPr>
                <w:sz w:val="20"/>
                <w:szCs w:val="20"/>
                <w:lang w:val="es-419"/>
              </w:rPr>
              <w:t>obar</w:t>
            </w:r>
            <w:r w:rsidRPr="00756410">
              <w:rPr>
                <w:sz w:val="20"/>
                <w:szCs w:val="20"/>
                <w:lang w:val="es-419"/>
              </w:rPr>
              <w:t xml:space="preserve"> contratos en Quantum y configura GMS</w:t>
            </w:r>
          </w:p>
        </w:tc>
        <w:tc>
          <w:tcPr>
            <w:tcW w:w="1590" w:type="dxa"/>
            <w:tcBorders>
              <w:top w:val="single" w:sz="4" w:space="0" w:color="auto"/>
              <w:left w:val="single" w:sz="4" w:space="0" w:color="auto"/>
              <w:bottom w:val="single" w:sz="4" w:space="0" w:color="auto"/>
              <w:right w:val="single" w:sz="4" w:space="0" w:color="auto"/>
            </w:tcBorders>
          </w:tcPr>
          <w:p w14:paraId="7F9877F1"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173E59A8" w14:textId="1A3DFF27"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4E02344F"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59D8FF8" w14:textId="77777777" w:rsidR="000B5C6A" w:rsidRPr="00D2258D" w:rsidRDefault="000B5C6A" w:rsidP="000B5C6A">
            <w:pPr>
              <w:jc w:val="center"/>
              <w:rPr>
                <w:rFonts w:cstheme="minorHAnsi"/>
                <w:sz w:val="20"/>
                <w:szCs w:val="20"/>
              </w:rPr>
            </w:pPr>
          </w:p>
        </w:tc>
      </w:tr>
      <w:tr w:rsidR="00E85340" w:rsidRPr="006B79D0" w14:paraId="09849234" w14:textId="77777777" w:rsidTr="0004107A">
        <w:tc>
          <w:tcPr>
            <w:tcW w:w="3360" w:type="dxa"/>
            <w:tcBorders>
              <w:top w:val="single" w:sz="4" w:space="0" w:color="auto"/>
              <w:left w:val="single" w:sz="4" w:space="0" w:color="auto"/>
              <w:bottom w:val="single" w:sz="4" w:space="0" w:color="auto"/>
              <w:right w:val="single" w:sz="4" w:space="0" w:color="auto"/>
            </w:tcBorders>
          </w:tcPr>
          <w:p w14:paraId="1366D3E6" w14:textId="16D6676A" w:rsidR="000B5C6A" w:rsidRPr="00756410" w:rsidRDefault="3D05FBDC" w:rsidP="0EA64380">
            <w:pPr>
              <w:rPr>
                <w:sz w:val="20"/>
                <w:szCs w:val="20"/>
                <w:lang w:val="es-419"/>
              </w:rPr>
            </w:pPr>
            <w:r w:rsidRPr="00756410">
              <w:rPr>
                <w:sz w:val="20"/>
                <w:szCs w:val="20"/>
                <w:lang w:val="es-419"/>
              </w:rPr>
              <w:t>Registra</w:t>
            </w:r>
            <w:r w:rsidR="150EF615" w:rsidRPr="0EA64380">
              <w:rPr>
                <w:sz w:val="20"/>
                <w:szCs w:val="20"/>
                <w:lang w:val="es-419"/>
              </w:rPr>
              <w:t>r</w:t>
            </w:r>
            <w:r w:rsidRPr="00756410">
              <w:rPr>
                <w:sz w:val="20"/>
                <w:szCs w:val="20"/>
                <w:lang w:val="es-419"/>
              </w:rPr>
              <w:t xml:space="preserve"> contribuciones, recibos de contribuciones y recibos varios en Quantum</w:t>
            </w:r>
          </w:p>
        </w:tc>
        <w:tc>
          <w:tcPr>
            <w:tcW w:w="1590" w:type="dxa"/>
            <w:tcBorders>
              <w:top w:val="single" w:sz="4" w:space="0" w:color="auto"/>
              <w:left w:val="single" w:sz="4" w:space="0" w:color="auto"/>
              <w:bottom w:val="single" w:sz="4" w:space="0" w:color="auto"/>
              <w:right w:val="single" w:sz="4" w:space="0" w:color="auto"/>
            </w:tcBorders>
          </w:tcPr>
          <w:p w14:paraId="6ADBD5ED"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EAAC7DB" w14:textId="53CD4919"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48C1DF9F"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0ACA00A" w14:textId="77777777" w:rsidR="000B5C6A" w:rsidRPr="00D2258D" w:rsidRDefault="000B5C6A" w:rsidP="000B5C6A">
            <w:pPr>
              <w:jc w:val="center"/>
              <w:rPr>
                <w:rFonts w:cstheme="minorHAnsi"/>
                <w:sz w:val="20"/>
                <w:szCs w:val="20"/>
              </w:rPr>
            </w:pPr>
          </w:p>
        </w:tc>
      </w:tr>
      <w:tr w:rsidR="00E85340" w:rsidRPr="006B79D0" w14:paraId="6D11E808" w14:textId="77777777" w:rsidTr="0004107A">
        <w:tc>
          <w:tcPr>
            <w:tcW w:w="3360" w:type="dxa"/>
            <w:tcBorders>
              <w:top w:val="single" w:sz="4" w:space="0" w:color="auto"/>
              <w:left w:val="single" w:sz="4" w:space="0" w:color="auto"/>
              <w:bottom w:val="single" w:sz="4" w:space="0" w:color="auto"/>
              <w:right w:val="single" w:sz="4" w:space="0" w:color="auto"/>
            </w:tcBorders>
          </w:tcPr>
          <w:p w14:paraId="3DE97DF4" w14:textId="06A1D10B" w:rsidR="000B5C6A" w:rsidRPr="00756410" w:rsidRDefault="3D05FBDC" w:rsidP="0EA64380">
            <w:pPr>
              <w:rPr>
                <w:sz w:val="20"/>
                <w:szCs w:val="20"/>
                <w:lang w:val="es-419"/>
              </w:rPr>
            </w:pPr>
            <w:r w:rsidRPr="00756410">
              <w:rPr>
                <w:sz w:val="20"/>
                <w:szCs w:val="20"/>
                <w:lang w:val="es-419"/>
              </w:rPr>
              <w:t>Supervisa</w:t>
            </w:r>
            <w:r w:rsidR="4370DEA2" w:rsidRPr="0EA64380">
              <w:rPr>
                <w:sz w:val="20"/>
                <w:szCs w:val="20"/>
                <w:lang w:val="es-419"/>
              </w:rPr>
              <w:t>r</w:t>
            </w:r>
            <w:r w:rsidRPr="00756410">
              <w:rPr>
                <w:sz w:val="20"/>
                <w:szCs w:val="20"/>
                <w:lang w:val="es-419"/>
              </w:rPr>
              <w:t xml:space="preserve"> y </w:t>
            </w:r>
            <w:r w:rsidR="3A1531B6" w:rsidRPr="00756410">
              <w:rPr>
                <w:sz w:val="20"/>
                <w:szCs w:val="20"/>
                <w:lang w:val="es-419"/>
              </w:rPr>
              <w:t>concilia</w:t>
            </w:r>
            <w:r w:rsidR="3781BC0D" w:rsidRPr="44078402">
              <w:rPr>
                <w:sz w:val="20"/>
                <w:szCs w:val="20"/>
                <w:lang w:val="es-419"/>
              </w:rPr>
              <w:t>r</w:t>
            </w:r>
            <w:r w:rsidRPr="00756410">
              <w:rPr>
                <w:sz w:val="20"/>
                <w:szCs w:val="20"/>
                <w:lang w:val="es-419"/>
              </w:rPr>
              <w:t xml:space="preserve"> las cuentas por cobrar de los donantes y del personal </w:t>
            </w:r>
          </w:p>
        </w:tc>
        <w:tc>
          <w:tcPr>
            <w:tcW w:w="1590" w:type="dxa"/>
            <w:tcBorders>
              <w:top w:val="single" w:sz="4" w:space="0" w:color="auto"/>
              <w:left w:val="single" w:sz="4" w:space="0" w:color="auto"/>
              <w:bottom w:val="single" w:sz="4" w:space="0" w:color="auto"/>
              <w:right w:val="single" w:sz="4" w:space="0" w:color="auto"/>
            </w:tcBorders>
          </w:tcPr>
          <w:p w14:paraId="4191C1CC"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FC485E1" w14:textId="380EA197"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0150C941" w14:textId="4D1F9CEF"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13458527" w14:textId="7DA5E292"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748445A8" w14:textId="77777777" w:rsidTr="0004107A">
        <w:tc>
          <w:tcPr>
            <w:tcW w:w="3360" w:type="dxa"/>
            <w:tcBorders>
              <w:top w:val="single" w:sz="4" w:space="0" w:color="auto"/>
              <w:left w:val="single" w:sz="4" w:space="0" w:color="auto"/>
              <w:bottom w:val="single" w:sz="4" w:space="0" w:color="auto"/>
              <w:right w:val="single" w:sz="4" w:space="0" w:color="auto"/>
            </w:tcBorders>
          </w:tcPr>
          <w:p w14:paraId="62FF6F75" w14:textId="77777777" w:rsidR="000B5C6A" w:rsidRPr="00D2258D" w:rsidRDefault="3D05FBDC" w:rsidP="0EA64380">
            <w:pPr>
              <w:rPr>
                <w:sz w:val="20"/>
                <w:szCs w:val="20"/>
              </w:rPr>
            </w:pPr>
            <w:r w:rsidRPr="0EA64380">
              <w:rPr>
                <w:sz w:val="20"/>
                <w:szCs w:val="20"/>
              </w:rPr>
              <w:t>Procesar reembolsos de donantes</w:t>
            </w:r>
          </w:p>
        </w:tc>
        <w:tc>
          <w:tcPr>
            <w:tcW w:w="1590" w:type="dxa"/>
            <w:tcBorders>
              <w:top w:val="single" w:sz="4" w:space="0" w:color="auto"/>
              <w:left w:val="single" w:sz="4" w:space="0" w:color="auto"/>
              <w:bottom w:val="single" w:sz="4" w:space="0" w:color="auto"/>
              <w:right w:val="single" w:sz="4" w:space="0" w:color="auto"/>
            </w:tcBorders>
          </w:tcPr>
          <w:p w14:paraId="7C63B6FD" w14:textId="77777777" w:rsidR="000B5C6A" w:rsidRPr="00D2258D" w:rsidRDefault="000B5C6A" w:rsidP="000B5C6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86FFFCC" w14:textId="2849F2D1"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1BB50091" w14:textId="3EC414BB"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9E36AC9" w14:textId="34E8132D" w:rsidR="000B5C6A" w:rsidRPr="00D2258D" w:rsidRDefault="00EE1285" w:rsidP="000B5C6A">
            <w:pPr>
              <w:jc w:val="center"/>
              <w:rPr>
                <w:rFonts w:cstheme="minorHAnsi"/>
                <w:sz w:val="20"/>
                <w:szCs w:val="20"/>
              </w:rPr>
            </w:pPr>
            <w:r>
              <w:rPr>
                <w:rFonts w:cstheme="minorHAnsi"/>
                <w:sz w:val="20"/>
                <w:szCs w:val="20"/>
              </w:rPr>
              <w:t xml:space="preserve">Sí </w:t>
            </w:r>
            <w:r w:rsidRPr="00EE1285">
              <w:rPr>
                <w:rFonts w:cstheme="minorHAnsi"/>
                <w:sz w:val="18"/>
                <w:szCs w:val="18"/>
              </w:rPr>
              <w:t>(para VNU)</w:t>
            </w:r>
          </w:p>
        </w:tc>
      </w:tr>
      <w:tr w:rsidR="00E85340" w:rsidRPr="006B79D0" w14:paraId="7954DA10" w14:textId="77777777" w:rsidTr="0004107A">
        <w:tc>
          <w:tcPr>
            <w:tcW w:w="3360" w:type="dxa"/>
            <w:tcBorders>
              <w:top w:val="single" w:sz="4" w:space="0" w:color="auto"/>
              <w:left w:val="single" w:sz="4" w:space="0" w:color="auto"/>
              <w:bottom w:val="single" w:sz="4" w:space="0" w:color="auto"/>
              <w:right w:val="single" w:sz="4" w:space="0" w:color="auto"/>
            </w:tcBorders>
          </w:tcPr>
          <w:p w14:paraId="1171376B" w14:textId="34859BDC" w:rsidR="000B5C6A" w:rsidRPr="00756410" w:rsidRDefault="3D05FBDC" w:rsidP="0EA64380">
            <w:pPr>
              <w:rPr>
                <w:sz w:val="20"/>
                <w:szCs w:val="20"/>
                <w:lang w:val="es-419"/>
              </w:rPr>
            </w:pPr>
            <w:r w:rsidRPr="00756410">
              <w:rPr>
                <w:sz w:val="20"/>
                <w:szCs w:val="20"/>
                <w:lang w:val="es-419"/>
              </w:rPr>
              <w:t>Registra</w:t>
            </w:r>
            <w:r w:rsidR="39296C19" w:rsidRPr="0EA64380">
              <w:rPr>
                <w:sz w:val="20"/>
                <w:szCs w:val="20"/>
                <w:lang w:val="es-419"/>
              </w:rPr>
              <w:t>r</w:t>
            </w:r>
            <w:r w:rsidRPr="00756410">
              <w:rPr>
                <w:sz w:val="20"/>
                <w:szCs w:val="20"/>
                <w:lang w:val="es-419"/>
              </w:rPr>
              <w:t xml:space="preserve"> los ingresos de los servicios de la agencia </w:t>
            </w:r>
          </w:p>
        </w:tc>
        <w:tc>
          <w:tcPr>
            <w:tcW w:w="1590" w:type="dxa"/>
            <w:tcBorders>
              <w:top w:val="single" w:sz="4" w:space="0" w:color="auto"/>
              <w:left w:val="single" w:sz="4" w:space="0" w:color="auto"/>
              <w:bottom w:val="single" w:sz="4" w:space="0" w:color="auto"/>
              <w:right w:val="single" w:sz="4" w:space="0" w:color="auto"/>
            </w:tcBorders>
          </w:tcPr>
          <w:p w14:paraId="3F67C13D"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A6D11F0" w14:textId="4B6E6A22"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1555D053" w14:textId="5C4FC70B"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1825B31B" w14:textId="5C6EB0B6"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10CA8CE4" w14:textId="77777777" w:rsidTr="0004107A">
        <w:tc>
          <w:tcPr>
            <w:tcW w:w="3360" w:type="dxa"/>
            <w:tcBorders>
              <w:top w:val="single" w:sz="4" w:space="0" w:color="auto"/>
              <w:left w:val="single" w:sz="4" w:space="0" w:color="auto"/>
              <w:bottom w:val="single" w:sz="4" w:space="0" w:color="auto"/>
              <w:right w:val="single" w:sz="4" w:space="0" w:color="auto"/>
            </w:tcBorders>
          </w:tcPr>
          <w:p w14:paraId="473E8E0D" w14:textId="1E609D5A" w:rsidR="000B5C6A" w:rsidRPr="00756410" w:rsidRDefault="3D05FBDC" w:rsidP="0EA64380">
            <w:pPr>
              <w:rPr>
                <w:sz w:val="20"/>
                <w:szCs w:val="20"/>
                <w:lang w:val="es-419"/>
              </w:rPr>
            </w:pPr>
            <w:r w:rsidRPr="00756410">
              <w:rPr>
                <w:sz w:val="20"/>
                <w:szCs w:val="20"/>
                <w:lang w:val="es-419"/>
              </w:rPr>
              <w:t>Realiza</w:t>
            </w:r>
            <w:r w:rsidR="32ABE4B8" w:rsidRPr="0EA64380">
              <w:rPr>
                <w:sz w:val="20"/>
                <w:szCs w:val="20"/>
                <w:lang w:val="es-419"/>
              </w:rPr>
              <w:t>r</w:t>
            </w:r>
            <w:r w:rsidRPr="00756410">
              <w:rPr>
                <w:sz w:val="20"/>
                <w:szCs w:val="20"/>
                <w:lang w:val="es-419"/>
              </w:rPr>
              <w:t xml:space="preserve"> la facturación de servicios de agencia desde el Portal de servicios de agencia.</w:t>
            </w:r>
          </w:p>
        </w:tc>
        <w:tc>
          <w:tcPr>
            <w:tcW w:w="1590" w:type="dxa"/>
            <w:tcBorders>
              <w:top w:val="single" w:sz="4" w:space="0" w:color="auto"/>
              <w:left w:val="single" w:sz="4" w:space="0" w:color="auto"/>
              <w:bottom w:val="single" w:sz="4" w:space="0" w:color="auto"/>
              <w:right w:val="single" w:sz="4" w:space="0" w:color="auto"/>
            </w:tcBorders>
          </w:tcPr>
          <w:p w14:paraId="45DC547A"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0A1984D" w14:textId="0B2A3BFC" w:rsidR="000B5C6A" w:rsidRPr="00D2258D" w:rsidRDefault="3D05FBDC" w:rsidP="0EA64380">
            <w:pPr>
              <w:jc w:val="center"/>
              <w:rPr>
                <w:sz w:val="20"/>
                <w:szCs w:val="20"/>
              </w:rPr>
            </w:pPr>
            <w:r w:rsidRPr="0EA64380">
              <w:rPr>
                <w:sz w:val="20"/>
                <w:szCs w:val="20"/>
              </w:rPr>
              <w:t xml:space="preserve">Sí </w:t>
            </w:r>
            <w:r w:rsidR="6F87618F" w:rsidRPr="0EA64380">
              <w:rPr>
                <w:sz w:val="18"/>
                <w:szCs w:val="18"/>
              </w:rPr>
              <w:t>(para la OPAQ)</w:t>
            </w:r>
          </w:p>
        </w:tc>
        <w:tc>
          <w:tcPr>
            <w:tcW w:w="2160" w:type="dxa"/>
            <w:tcBorders>
              <w:top w:val="single" w:sz="4" w:space="0" w:color="auto"/>
              <w:left w:val="single" w:sz="4" w:space="0" w:color="auto"/>
              <w:bottom w:val="single" w:sz="4" w:space="0" w:color="auto"/>
              <w:right w:val="single" w:sz="4" w:space="0" w:color="auto"/>
            </w:tcBorders>
          </w:tcPr>
          <w:p w14:paraId="425C7C7E" w14:textId="7942F971"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7120C24A" w14:textId="092B50B0"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29C74DA7" w14:textId="77777777" w:rsidTr="0004107A">
        <w:tc>
          <w:tcPr>
            <w:tcW w:w="3360" w:type="dxa"/>
            <w:tcBorders>
              <w:top w:val="single" w:sz="4" w:space="0" w:color="auto"/>
              <w:left w:val="single" w:sz="4" w:space="0" w:color="auto"/>
              <w:bottom w:val="single" w:sz="4" w:space="0" w:color="auto"/>
              <w:right w:val="single" w:sz="4" w:space="0" w:color="auto"/>
            </w:tcBorders>
          </w:tcPr>
          <w:p w14:paraId="458BD1FB" w14:textId="1FDB356A" w:rsidR="000B5C6A" w:rsidRPr="00756410" w:rsidRDefault="3D05FBDC" w:rsidP="0EA64380">
            <w:pPr>
              <w:rPr>
                <w:sz w:val="20"/>
                <w:szCs w:val="20"/>
                <w:lang w:val="es-419"/>
              </w:rPr>
            </w:pPr>
            <w:r w:rsidRPr="00756410">
              <w:rPr>
                <w:sz w:val="20"/>
                <w:szCs w:val="20"/>
                <w:lang w:val="es-419"/>
              </w:rPr>
              <w:t>Concilia</w:t>
            </w:r>
            <w:r w:rsidR="27C3916D" w:rsidRPr="0EA64380">
              <w:rPr>
                <w:sz w:val="20"/>
                <w:szCs w:val="20"/>
                <w:lang w:val="es-419"/>
              </w:rPr>
              <w:t>r</w:t>
            </w:r>
            <w:r w:rsidRPr="00756410">
              <w:rPr>
                <w:sz w:val="20"/>
                <w:szCs w:val="20"/>
                <w:lang w:val="es-419"/>
              </w:rPr>
              <w:t xml:space="preserve"> la cuenta de compensación de servicios</w:t>
            </w:r>
          </w:p>
        </w:tc>
        <w:tc>
          <w:tcPr>
            <w:tcW w:w="1590" w:type="dxa"/>
            <w:tcBorders>
              <w:top w:val="single" w:sz="4" w:space="0" w:color="auto"/>
              <w:left w:val="single" w:sz="4" w:space="0" w:color="auto"/>
              <w:bottom w:val="single" w:sz="4" w:space="0" w:color="auto"/>
              <w:right w:val="single" w:sz="4" w:space="0" w:color="auto"/>
            </w:tcBorders>
          </w:tcPr>
          <w:p w14:paraId="20036B25" w14:textId="77777777" w:rsidR="000B5C6A" w:rsidRPr="00756410" w:rsidRDefault="000B5C6A"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3E321F91" w14:textId="30B15B28" w:rsidR="000B5C6A" w:rsidRPr="00D2258D" w:rsidRDefault="000B5C6A"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23F1CF33"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EA6A2FC" w14:textId="77777777" w:rsidR="000B5C6A" w:rsidRPr="00D2258D" w:rsidRDefault="000B5C6A" w:rsidP="000B5C6A">
            <w:pPr>
              <w:jc w:val="center"/>
              <w:rPr>
                <w:rFonts w:cstheme="minorHAnsi"/>
                <w:sz w:val="20"/>
                <w:szCs w:val="20"/>
              </w:rPr>
            </w:pPr>
          </w:p>
        </w:tc>
      </w:tr>
      <w:tr w:rsidR="00E85340" w:rsidRPr="006B79D0" w14:paraId="5DDD74EC" w14:textId="77777777" w:rsidTr="0004107A">
        <w:tc>
          <w:tcPr>
            <w:tcW w:w="3360" w:type="dxa"/>
            <w:tcBorders>
              <w:top w:val="single" w:sz="4" w:space="0" w:color="auto"/>
              <w:left w:val="single" w:sz="4" w:space="0" w:color="auto"/>
              <w:bottom w:val="single" w:sz="4" w:space="0" w:color="auto"/>
              <w:right w:val="single" w:sz="4" w:space="0" w:color="auto"/>
            </w:tcBorders>
          </w:tcPr>
          <w:p w14:paraId="5DFACAAB" w14:textId="3B45D05B" w:rsidR="000B5C6A" w:rsidRPr="00D2258D" w:rsidRDefault="3D05FBDC" w:rsidP="0EA64380">
            <w:pPr>
              <w:rPr>
                <w:sz w:val="20"/>
                <w:szCs w:val="20"/>
              </w:rPr>
            </w:pPr>
            <w:r w:rsidRPr="0EA64380">
              <w:rPr>
                <w:sz w:val="20"/>
                <w:szCs w:val="20"/>
              </w:rPr>
              <w:t>Prepara</w:t>
            </w:r>
            <w:r w:rsidR="1B6F2C35" w:rsidRPr="0EA64380">
              <w:rPr>
                <w:sz w:val="20"/>
                <w:szCs w:val="20"/>
              </w:rPr>
              <w:t>r</w:t>
            </w:r>
            <w:r w:rsidRPr="0EA64380">
              <w:rPr>
                <w:sz w:val="20"/>
                <w:szCs w:val="20"/>
              </w:rPr>
              <w:t xml:space="preserve"> conciliaciones bancarias</w:t>
            </w:r>
          </w:p>
        </w:tc>
        <w:tc>
          <w:tcPr>
            <w:tcW w:w="1590" w:type="dxa"/>
            <w:tcBorders>
              <w:top w:val="single" w:sz="4" w:space="0" w:color="auto"/>
              <w:left w:val="single" w:sz="4" w:space="0" w:color="auto"/>
              <w:bottom w:val="single" w:sz="4" w:space="0" w:color="auto"/>
              <w:right w:val="single" w:sz="4" w:space="0" w:color="auto"/>
            </w:tcBorders>
          </w:tcPr>
          <w:p w14:paraId="793DFB80" w14:textId="77777777" w:rsidR="000B5C6A" w:rsidRPr="00D2258D" w:rsidRDefault="000B5C6A" w:rsidP="000B5C6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9E66797" w14:textId="74396793" w:rsidR="000B5C6A" w:rsidRPr="00D2258D" w:rsidRDefault="00A03BF5"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77210310"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7F7CA4" w14:textId="77777777" w:rsidR="000B5C6A" w:rsidRPr="00D2258D" w:rsidRDefault="000B5C6A" w:rsidP="000B5C6A">
            <w:pPr>
              <w:jc w:val="center"/>
              <w:rPr>
                <w:rFonts w:cstheme="minorHAnsi"/>
                <w:sz w:val="20"/>
                <w:szCs w:val="20"/>
              </w:rPr>
            </w:pPr>
          </w:p>
        </w:tc>
      </w:tr>
      <w:tr w:rsidR="00E85340" w:rsidRPr="006B79D0" w14:paraId="48D4CA6D" w14:textId="77777777" w:rsidTr="0004107A">
        <w:tc>
          <w:tcPr>
            <w:tcW w:w="3360" w:type="dxa"/>
            <w:tcBorders>
              <w:top w:val="single" w:sz="4" w:space="0" w:color="auto"/>
              <w:left w:val="single" w:sz="4" w:space="0" w:color="auto"/>
              <w:bottom w:val="single" w:sz="4" w:space="0" w:color="auto"/>
              <w:right w:val="single" w:sz="4" w:space="0" w:color="auto"/>
            </w:tcBorders>
          </w:tcPr>
          <w:p w14:paraId="13DB574E" w14:textId="3D0C5736" w:rsidR="000B5C6A" w:rsidRPr="00756410" w:rsidRDefault="3D05FBDC" w:rsidP="0EA64380">
            <w:pPr>
              <w:rPr>
                <w:sz w:val="20"/>
                <w:szCs w:val="20"/>
                <w:lang w:val="es-419"/>
              </w:rPr>
            </w:pPr>
            <w:r w:rsidRPr="00756410">
              <w:rPr>
                <w:sz w:val="20"/>
                <w:szCs w:val="20"/>
                <w:lang w:val="es-419"/>
              </w:rPr>
              <w:t>Gestiona</w:t>
            </w:r>
            <w:r w:rsidR="24A0738A" w:rsidRPr="0EA64380">
              <w:rPr>
                <w:sz w:val="20"/>
                <w:szCs w:val="20"/>
                <w:lang w:val="es-419"/>
              </w:rPr>
              <w:t>r</w:t>
            </w:r>
            <w:r w:rsidRPr="00756410">
              <w:rPr>
                <w:sz w:val="20"/>
                <w:szCs w:val="20"/>
                <w:lang w:val="es-419"/>
              </w:rPr>
              <w:t xml:space="preserve"> las reclamaciones y reembolsos de IVA</w:t>
            </w:r>
          </w:p>
        </w:tc>
        <w:tc>
          <w:tcPr>
            <w:tcW w:w="1590" w:type="dxa"/>
            <w:tcBorders>
              <w:top w:val="single" w:sz="4" w:space="0" w:color="auto"/>
              <w:left w:val="single" w:sz="4" w:space="0" w:color="auto"/>
              <w:bottom w:val="single" w:sz="4" w:space="0" w:color="auto"/>
              <w:right w:val="single" w:sz="4" w:space="0" w:color="auto"/>
            </w:tcBorders>
          </w:tcPr>
          <w:p w14:paraId="60B10F72" w14:textId="2160949F"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03AA6687"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B2C01EA" w14:textId="5642DDDE"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225242AE" w14:textId="4FE881F7"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01226D84" w14:textId="77777777" w:rsidTr="0004107A">
        <w:tc>
          <w:tcPr>
            <w:tcW w:w="3360" w:type="dxa"/>
            <w:tcBorders>
              <w:top w:val="single" w:sz="4" w:space="0" w:color="auto"/>
              <w:left w:val="single" w:sz="4" w:space="0" w:color="auto"/>
              <w:bottom w:val="single" w:sz="4" w:space="0" w:color="auto"/>
              <w:right w:val="single" w:sz="4" w:space="0" w:color="auto"/>
            </w:tcBorders>
          </w:tcPr>
          <w:p w14:paraId="2666A0CD" w14:textId="72E12FBE" w:rsidR="000B5C6A" w:rsidRPr="00756410" w:rsidRDefault="3D05FBDC" w:rsidP="363CA695">
            <w:pPr>
              <w:rPr>
                <w:sz w:val="20"/>
                <w:szCs w:val="20"/>
                <w:lang w:val="es-419"/>
              </w:rPr>
            </w:pPr>
            <w:r w:rsidRPr="00756410">
              <w:rPr>
                <w:sz w:val="20"/>
                <w:szCs w:val="20"/>
                <w:lang w:val="es-419"/>
              </w:rPr>
              <w:t>Realiza</w:t>
            </w:r>
            <w:r w:rsidR="5BFF9B88" w:rsidRPr="0EA64380">
              <w:rPr>
                <w:sz w:val="20"/>
                <w:szCs w:val="20"/>
                <w:lang w:val="es-419"/>
              </w:rPr>
              <w:t>r</w:t>
            </w:r>
            <w:r w:rsidRPr="00756410">
              <w:rPr>
                <w:sz w:val="20"/>
                <w:szCs w:val="20"/>
                <w:lang w:val="es-419"/>
              </w:rPr>
              <w:t xml:space="preserve"> la gestión, administración y presentación de informes de servicios comunes de las agencias de la ONU, incluida la facturación, el registro de transacciones, el monitoreo y seguimiento de proyectos y gastos presupuestarios; y preparar informes periódicos</w:t>
            </w:r>
          </w:p>
        </w:tc>
        <w:tc>
          <w:tcPr>
            <w:tcW w:w="1590" w:type="dxa"/>
            <w:tcBorders>
              <w:top w:val="single" w:sz="4" w:space="0" w:color="auto"/>
              <w:left w:val="single" w:sz="4" w:space="0" w:color="auto"/>
              <w:bottom w:val="single" w:sz="4" w:space="0" w:color="auto"/>
              <w:right w:val="single" w:sz="4" w:space="0" w:color="auto"/>
            </w:tcBorders>
          </w:tcPr>
          <w:p w14:paraId="4A338CD9" w14:textId="05E7C881" w:rsidR="000B5C6A" w:rsidRPr="00D2258D" w:rsidRDefault="00F2100B"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36AF3966" w14:textId="719A3C28"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B39CC5A" w14:textId="14F6EABE"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736191C7" w14:textId="6BF4D967"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05617F73" w14:textId="77777777" w:rsidTr="0004107A">
        <w:tc>
          <w:tcPr>
            <w:tcW w:w="3360" w:type="dxa"/>
            <w:tcBorders>
              <w:top w:val="single" w:sz="4" w:space="0" w:color="auto"/>
              <w:left w:val="single" w:sz="4" w:space="0" w:color="auto"/>
              <w:bottom w:val="single" w:sz="4" w:space="0" w:color="auto"/>
              <w:right w:val="single" w:sz="4" w:space="0" w:color="auto"/>
            </w:tcBorders>
          </w:tcPr>
          <w:p w14:paraId="20D01BED" w14:textId="2F24FB2C" w:rsidR="000B5C6A" w:rsidRPr="00756410" w:rsidRDefault="3D05FBDC" w:rsidP="0EA64380">
            <w:pPr>
              <w:rPr>
                <w:sz w:val="20"/>
                <w:szCs w:val="20"/>
                <w:lang w:val="es-419"/>
              </w:rPr>
            </w:pPr>
            <w:r w:rsidRPr="00756410">
              <w:rPr>
                <w:sz w:val="20"/>
                <w:szCs w:val="20"/>
                <w:lang w:val="es-419"/>
              </w:rPr>
              <w:t>Garantiza</w:t>
            </w:r>
            <w:r w:rsidR="18345986" w:rsidRPr="0EA64380">
              <w:rPr>
                <w:sz w:val="20"/>
                <w:szCs w:val="20"/>
                <w:lang w:val="es-419"/>
              </w:rPr>
              <w:t>r</w:t>
            </w:r>
            <w:r w:rsidRPr="00756410">
              <w:rPr>
                <w:sz w:val="20"/>
                <w:szCs w:val="20"/>
                <w:lang w:val="es-419"/>
              </w:rPr>
              <w:t xml:space="preserve"> que la solicitud de pago se ajuste al Plan de Trabajo Anual y al presupuesto aprobados y cumpla con los 3 criterios para liberar anticipos</w:t>
            </w:r>
          </w:p>
        </w:tc>
        <w:tc>
          <w:tcPr>
            <w:tcW w:w="1590" w:type="dxa"/>
            <w:tcBorders>
              <w:top w:val="single" w:sz="4" w:space="0" w:color="auto"/>
              <w:left w:val="single" w:sz="4" w:space="0" w:color="auto"/>
              <w:bottom w:val="single" w:sz="4" w:space="0" w:color="auto"/>
              <w:right w:val="single" w:sz="4" w:space="0" w:color="auto"/>
            </w:tcBorders>
          </w:tcPr>
          <w:p w14:paraId="6ACC04B3" w14:textId="19864F09"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FDD35CF"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4662249" w14:textId="18E67456" w:rsidR="000B5C6A" w:rsidRPr="00D2258D" w:rsidRDefault="000B5C6A" w:rsidP="000B5C6A">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6D3E2D6C" w14:textId="7F6C128F"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2A108BA2" w14:textId="77777777" w:rsidTr="0004107A">
        <w:tc>
          <w:tcPr>
            <w:tcW w:w="3360" w:type="dxa"/>
            <w:tcBorders>
              <w:top w:val="single" w:sz="4" w:space="0" w:color="auto"/>
              <w:left w:val="single" w:sz="4" w:space="0" w:color="auto"/>
              <w:bottom w:val="single" w:sz="4" w:space="0" w:color="auto"/>
              <w:right w:val="single" w:sz="4" w:space="0" w:color="auto"/>
            </w:tcBorders>
          </w:tcPr>
          <w:p w14:paraId="086311F5" w14:textId="073D4622" w:rsidR="000B5C6A" w:rsidRPr="00D2258D" w:rsidRDefault="2E386F4B" w:rsidP="0EA64380">
            <w:pPr>
              <w:rPr>
                <w:sz w:val="20"/>
                <w:szCs w:val="20"/>
              </w:rPr>
            </w:pPr>
            <w:r w:rsidRPr="0EA64380">
              <w:rPr>
                <w:sz w:val="20"/>
                <w:szCs w:val="20"/>
              </w:rPr>
              <w:t>Realizar</w:t>
            </w:r>
            <w:r w:rsidR="3D05FBDC" w:rsidRPr="0EA64380">
              <w:rPr>
                <w:sz w:val="20"/>
                <w:szCs w:val="20"/>
              </w:rPr>
              <w:t>pagos manuales (excepcional)</w:t>
            </w:r>
          </w:p>
        </w:tc>
        <w:tc>
          <w:tcPr>
            <w:tcW w:w="1590" w:type="dxa"/>
            <w:tcBorders>
              <w:top w:val="single" w:sz="4" w:space="0" w:color="auto"/>
              <w:left w:val="single" w:sz="4" w:space="0" w:color="auto"/>
              <w:bottom w:val="single" w:sz="4" w:space="0" w:color="auto"/>
              <w:right w:val="single" w:sz="4" w:space="0" w:color="auto"/>
            </w:tcBorders>
          </w:tcPr>
          <w:p w14:paraId="5BB499CD" w14:textId="3F07DC38"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3A7D3759"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0C11E0E"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BAAFF4A" w14:textId="48ACEF87"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12EE05A5" w14:textId="77777777" w:rsidTr="0004107A">
        <w:tc>
          <w:tcPr>
            <w:tcW w:w="3360" w:type="dxa"/>
            <w:tcBorders>
              <w:top w:val="single" w:sz="4" w:space="0" w:color="auto"/>
              <w:left w:val="single" w:sz="4" w:space="0" w:color="auto"/>
              <w:bottom w:val="single" w:sz="4" w:space="0" w:color="auto"/>
              <w:right w:val="single" w:sz="4" w:space="0" w:color="auto"/>
            </w:tcBorders>
          </w:tcPr>
          <w:p w14:paraId="1E83249F" w14:textId="2BBE5A2C" w:rsidR="007431E8" w:rsidRPr="00756410" w:rsidRDefault="6F87618F" w:rsidP="0EA64380">
            <w:pPr>
              <w:rPr>
                <w:sz w:val="20"/>
                <w:szCs w:val="20"/>
                <w:lang w:val="es-419"/>
              </w:rPr>
            </w:pPr>
            <w:r w:rsidRPr="00756410">
              <w:rPr>
                <w:rStyle w:val="cf01"/>
                <w:rFonts w:asciiTheme="minorHAnsi" w:hAnsiTheme="minorHAnsi" w:cstheme="minorBidi"/>
                <w:sz w:val="20"/>
                <w:szCs w:val="20"/>
                <w:lang w:val="es-419"/>
              </w:rPr>
              <w:t>Gestiona</w:t>
            </w:r>
            <w:r w:rsidR="49D40388" w:rsidRPr="0EA64380">
              <w:rPr>
                <w:rStyle w:val="cf01"/>
                <w:rFonts w:asciiTheme="minorHAnsi" w:hAnsiTheme="minorHAnsi" w:cstheme="minorBidi"/>
                <w:sz w:val="20"/>
                <w:szCs w:val="20"/>
                <w:lang w:val="es-419"/>
              </w:rPr>
              <w:t>r</w:t>
            </w:r>
            <w:r w:rsidRPr="00756410">
              <w:rPr>
                <w:rStyle w:val="cf01"/>
                <w:rFonts w:asciiTheme="minorHAnsi" w:hAnsiTheme="minorHAnsi" w:cstheme="minorBidi"/>
                <w:sz w:val="20"/>
                <w:szCs w:val="20"/>
                <w:lang w:val="es-419"/>
              </w:rPr>
              <w:t xml:space="preserve"> la cancelación de pagos rechazados y devueltos</w:t>
            </w:r>
          </w:p>
        </w:tc>
        <w:tc>
          <w:tcPr>
            <w:tcW w:w="1590" w:type="dxa"/>
            <w:tcBorders>
              <w:top w:val="single" w:sz="4" w:space="0" w:color="auto"/>
              <w:left w:val="single" w:sz="4" w:space="0" w:color="auto"/>
              <w:bottom w:val="single" w:sz="4" w:space="0" w:color="auto"/>
              <w:right w:val="single" w:sz="4" w:space="0" w:color="auto"/>
            </w:tcBorders>
          </w:tcPr>
          <w:p w14:paraId="2820BC82" w14:textId="77777777" w:rsidR="007431E8" w:rsidRPr="00756410" w:rsidRDefault="007431E8"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0AEC8B6A" w14:textId="05785BA5" w:rsidR="007431E8" w:rsidRPr="00D2258D" w:rsidRDefault="007431E8"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2FAD2039" w14:textId="77777777" w:rsidR="007431E8" w:rsidRPr="00D2258D" w:rsidRDefault="007431E8"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FBA05D2" w14:textId="33F89E49" w:rsidR="007431E8" w:rsidRPr="00D2258D" w:rsidRDefault="00EE1285" w:rsidP="000B5C6A">
            <w:pPr>
              <w:jc w:val="center"/>
              <w:rPr>
                <w:rFonts w:cstheme="minorHAnsi"/>
                <w:sz w:val="20"/>
                <w:szCs w:val="20"/>
              </w:rPr>
            </w:pPr>
            <w:r>
              <w:rPr>
                <w:rFonts w:cstheme="minorHAnsi"/>
                <w:sz w:val="20"/>
                <w:szCs w:val="20"/>
              </w:rPr>
              <w:t xml:space="preserve">Sí </w:t>
            </w:r>
            <w:r w:rsidRPr="00EE1285">
              <w:rPr>
                <w:rFonts w:cstheme="minorHAnsi"/>
                <w:sz w:val="18"/>
                <w:szCs w:val="18"/>
              </w:rPr>
              <w:t>(para VNU)</w:t>
            </w:r>
          </w:p>
        </w:tc>
      </w:tr>
      <w:tr w:rsidR="00E85340" w:rsidRPr="006B79D0" w14:paraId="0D56C33E" w14:textId="77777777" w:rsidTr="0004107A">
        <w:tc>
          <w:tcPr>
            <w:tcW w:w="3360" w:type="dxa"/>
            <w:tcBorders>
              <w:top w:val="single" w:sz="4" w:space="0" w:color="auto"/>
              <w:left w:val="single" w:sz="4" w:space="0" w:color="auto"/>
              <w:bottom w:val="single" w:sz="4" w:space="0" w:color="auto"/>
              <w:right w:val="single" w:sz="4" w:space="0" w:color="auto"/>
            </w:tcBorders>
          </w:tcPr>
          <w:p w14:paraId="253791C9" w14:textId="222B2BDB" w:rsidR="007431E8" w:rsidRPr="00756410" w:rsidRDefault="6F87618F" w:rsidP="0EA64380">
            <w:pPr>
              <w:rPr>
                <w:rStyle w:val="cf01"/>
                <w:rFonts w:asciiTheme="minorHAnsi" w:hAnsiTheme="minorHAnsi" w:cstheme="minorBidi"/>
                <w:sz w:val="20"/>
                <w:szCs w:val="20"/>
                <w:lang w:val="es-419"/>
              </w:rPr>
            </w:pPr>
            <w:r w:rsidRPr="00756410">
              <w:rPr>
                <w:rStyle w:val="cf01"/>
                <w:rFonts w:asciiTheme="minorHAnsi" w:hAnsiTheme="minorHAnsi" w:cstheme="minorBidi"/>
                <w:sz w:val="20"/>
                <w:szCs w:val="20"/>
                <w:lang w:val="es-419"/>
              </w:rPr>
              <w:t>Crea</w:t>
            </w:r>
            <w:r w:rsidR="4AD3AE48" w:rsidRPr="0EA64380">
              <w:rPr>
                <w:rStyle w:val="cf01"/>
                <w:rFonts w:asciiTheme="minorHAnsi" w:hAnsiTheme="minorHAnsi" w:cstheme="minorBidi"/>
                <w:sz w:val="20"/>
                <w:szCs w:val="20"/>
                <w:lang w:val="es-419"/>
              </w:rPr>
              <w:t>r</w:t>
            </w:r>
            <w:r w:rsidRPr="00756410">
              <w:rPr>
                <w:rStyle w:val="cf01"/>
                <w:rFonts w:asciiTheme="minorHAnsi" w:hAnsiTheme="minorHAnsi" w:cstheme="minorBidi"/>
                <w:sz w:val="20"/>
                <w:szCs w:val="20"/>
                <w:lang w:val="es-419"/>
              </w:rPr>
              <w:t xml:space="preserve"> notas de crédito y modifica facturas para activar el reembolso</w:t>
            </w:r>
          </w:p>
        </w:tc>
        <w:tc>
          <w:tcPr>
            <w:tcW w:w="1590" w:type="dxa"/>
            <w:tcBorders>
              <w:top w:val="single" w:sz="4" w:space="0" w:color="auto"/>
              <w:left w:val="single" w:sz="4" w:space="0" w:color="auto"/>
              <w:bottom w:val="single" w:sz="4" w:space="0" w:color="auto"/>
              <w:right w:val="single" w:sz="4" w:space="0" w:color="auto"/>
            </w:tcBorders>
          </w:tcPr>
          <w:p w14:paraId="5FE09419" w14:textId="319054DB" w:rsidR="007431E8" w:rsidRPr="00D2258D" w:rsidRDefault="007431E8"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459E793E" w14:textId="77777777" w:rsidR="007431E8" w:rsidRPr="00D2258D" w:rsidRDefault="007431E8"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B9E2A85" w14:textId="77777777" w:rsidR="007431E8" w:rsidRPr="00D2258D" w:rsidRDefault="007431E8"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DD218D8" w14:textId="09B9DAD2" w:rsidR="007431E8" w:rsidRPr="00D2258D" w:rsidRDefault="00EE1285" w:rsidP="000B5C6A">
            <w:pPr>
              <w:jc w:val="center"/>
              <w:rPr>
                <w:rFonts w:cstheme="minorHAnsi"/>
                <w:sz w:val="20"/>
                <w:szCs w:val="20"/>
              </w:rPr>
            </w:pPr>
            <w:r>
              <w:rPr>
                <w:rFonts w:cstheme="minorHAnsi"/>
                <w:sz w:val="20"/>
                <w:szCs w:val="20"/>
              </w:rPr>
              <w:t xml:space="preserve">Sí </w:t>
            </w:r>
            <w:r w:rsidRPr="00EE1285">
              <w:rPr>
                <w:rFonts w:cstheme="minorHAnsi"/>
                <w:sz w:val="18"/>
                <w:szCs w:val="18"/>
              </w:rPr>
              <w:t>(para VNU)</w:t>
            </w:r>
          </w:p>
        </w:tc>
      </w:tr>
      <w:tr w:rsidR="00E85340" w:rsidRPr="006B79D0" w14:paraId="78A3FA5E" w14:textId="77777777" w:rsidTr="0004107A">
        <w:tc>
          <w:tcPr>
            <w:tcW w:w="3360" w:type="dxa"/>
            <w:tcBorders>
              <w:top w:val="single" w:sz="4" w:space="0" w:color="auto"/>
              <w:left w:val="single" w:sz="4" w:space="0" w:color="auto"/>
              <w:bottom w:val="single" w:sz="4" w:space="0" w:color="auto"/>
              <w:right w:val="single" w:sz="4" w:space="0" w:color="auto"/>
            </w:tcBorders>
          </w:tcPr>
          <w:p w14:paraId="37D19801" w14:textId="53963766" w:rsidR="007431E8" w:rsidRPr="00D2258D" w:rsidRDefault="6F87618F" w:rsidP="0EA64380">
            <w:pPr>
              <w:rPr>
                <w:rStyle w:val="cf01"/>
                <w:rFonts w:asciiTheme="minorHAnsi" w:hAnsiTheme="minorHAnsi" w:cstheme="minorBidi"/>
                <w:sz w:val="20"/>
                <w:szCs w:val="20"/>
              </w:rPr>
            </w:pPr>
            <w:r w:rsidRPr="0EA64380">
              <w:rPr>
                <w:rStyle w:val="cf01"/>
                <w:rFonts w:asciiTheme="minorHAnsi" w:hAnsiTheme="minorHAnsi" w:cstheme="minorBidi"/>
                <w:sz w:val="20"/>
                <w:szCs w:val="20"/>
              </w:rPr>
              <w:t>Aplica</w:t>
            </w:r>
            <w:r w:rsidR="1BE59981" w:rsidRPr="0EA64380">
              <w:rPr>
                <w:rStyle w:val="cf01"/>
                <w:rFonts w:asciiTheme="minorHAnsi" w:hAnsiTheme="minorHAnsi" w:cstheme="minorBidi"/>
                <w:sz w:val="20"/>
                <w:szCs w:val="20"/>
              </w:rPr>
              <w:t>r</w:t>
            </w:r>
            <w:r w:rsidRPr="0EA64380">
              <w:rPr>
                <w:rStyle w:val="cf01"/>
                <w:rFonts w:asciiTheme="minorHAnsi" w:hAnsiTheme="minorHAnsi" w:cstheme="minorBidi"/>
                <w:sz w:val="20"/>
                <w:szCs w:val="20"/>
              </w:rPr>
              <w:t xml:space="preserve"> notas de crédito</w:t>
            </w:r>
          </w:p>
        </w:tc>
        <w:tc>
          <w:tcPr>
            <w:tcW w:w="1590" w:type="dxa"/>
            <w:tcBorders>
              <w:top w:val="single" w:sz="4" w:space="0" w:color="auto"/>
              <w:left w:val="single" w:sz="4" w:space="0" w:color="auto"/>
              <w:bottom w:val="single" w:sz="4" w:space="0" w:color="auto"/>
              <w:right w:val="single" w:sz="4" w:space="0" w:color="auto"/>
            </w:tcBorders>
          </w:tcPr>
          <w:p w14:paraId="7EC13786" w14:textId="77777777" w:rsidR="007431E8" w:rsidRPr="00D2258D" w:rsidRDefault="007431E8" w:rsidP="000B5C6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57C15BA" w14:textId="61F39192" w:rsidR="007431E8" w:rsidRPr="00D2258D" w:rsidRDefault="007431E8" w:rsidP="000B5C6A">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145A58C4" w14:textId="77777777" w:rsidR="007431E8" w:rsidRPr="00D2258D" w:rsidRDefault="007431E8"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90C02A9" w14:textId="167D712F" w:rsidR="007431E8" w:rsidRPr="00D2258D" w:rsidRDefault="00EE1285" w:rsidP="000B5C6A">
            <w:pPr>
              <w:jc w:val="center"/>
              <w:rPr>
                <w:rFonts w:cstheme="minorHAnsi"/>
                <w:sz w:val="20"/>
                <w:szCs w:val="20"/>
              </w:rPr>
            </w:pPr>
            <w:r>
              <w:rPr>
                <w:rFonts w:cstheme="minorHAnsi"/>
                <w:sz w:val="20"/>
                <w:szCs w:val="20"/>
              </w:rPr>
              <w:t xml:space="preserve">Sí </w:t>
            </w:r>
            <w:r w:rsidRPr="00EE1285">
              <w:rPr>
                <w:rFonts w:cstheme="minorHAnsi"/>
                <w:sz w:val="18"/>
                <w:szCs w:val="18"/>
              </w:rPr>
              <w:t>(para VNU)</w:t>
            </w:r>
          </w:p>
        </w:tc>
      </w:tr>
      <w:tr w:rsidR="00E85340" w:rsidRPr="006B79D0" w14:paraId="7DD3B4A1" w14:textId="77777777" w:rsidTr="0004107A">
        <w:tc>
          <w:tcPr>
            <w:tcW w:w="3360" w:type="dxa"/>
            <w:tcBorders>
              <w:top w:val="single" w:sz="4" w:space="0" w:color="auto"/>
              <w:left w:val="single" w:sz="4" w:space="0" w:color="auto"/>
              <w:bottom w:val="single" w:sz="4" w:space="0" w:color="auto"/>
              <w:right w:val="single" w:sz="4" w:space="0" w:color="auto"/>
            </w:tcBorders>
          </w:tcPr>
          <w:p w14:paraId="57C97FD8" w14:textId="542CF0C9" w:rsidR="000B5C6A" w:rsidRPr="00756410" w:rsidRDefault="3D05FBDC" w:rsidP="0EA64380">
            <w:pPr>
              <w:rPr>
                <w:sz w:val="20"/>
                <w:szCs w:val="20"/>
                <w:lang w:val="es-419"/>
              </w:rPr>
            </w:pPr>
            <w:r w:rsidRPr="00756410">
              <w:rPr>
                <w:sz w:val="20"/>
                <w:szCs w:val="20"/>
                <w:lang w:val="es-419"/>
              </w:rPr>
              <w:t>Realiza</w:t>
            </w:r>
            <w:r w:rsidR="42017DE3" w:rsidRPr="0EA64380">
              <w:rPr>
                <w:sz w:val="20"/>
                <w:szCs w:val="20"/>
                <w:lang w:val="es-419"/>
              </w:rPr>
              <w:t>r</w:t>
            </w:r>
            <w:r w:rsidRPr="00756410">
              <w:rPr>
                <w:sz w:val="20"/>
                <w:szCs w:val="20"/>
                <w:lang w:val="es-419"/>
              </w:rPr>
              <w:t xml:space="preserve"> funciones de gestión de efectivo, incluida la previsión, el monitoreo y la protección (cajas fuertes, caja chica, etc.)</w:t>
            </w:r>
          </w:p>
        </w:tc>
        <w:tc>
          <w:tcPr>
            <w:tcW w:w="1590" w:type="dxa"/>
            <w:tcBorders>
              <w:top w:val="single" w:sz="4" w:space="0" w:color="auto"/>
              <w:left w:val="single" w:sz="4" w:space="0" w:color="auto"/>
              <w:bottom w:val="single" w:sz="4" w:space="0" w:color="auto"/>
              <w:right w:val="single" w:sz="4" w:space="0" w:color="auto"/>
            </w:tcBorders>
          </w:tcPr>
          <w:p w14:paraId="683A71EF" w14:textId="084C369A"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531D051"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3117BE3"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50CA5961" w14:textId="6B3D8817" w:rsidR="000B5C6A" w:rsidRPr="00D2258D" w:rsidRDefault="000B5C6A" w:rsidP="000B5C6A">
            <w:pPr>
              <w:jc w:val="center"/>
              <w:rPr>
                <w:rFonts w:cstheme="minorHAnsi"/>
                <w:sz w:val="20"/>
                <w:szCs w:val="20"/>
              </w:rPr>
            </w:pPr>
            <w:r w:rsidRPr="00D2258D">
              <w:rPr>
                <w:rFonts w:cstheme="minorHAnsi"/>
                <w:sz w:val="20"/>
                <w:szCs w:val="20"/>
              </w:rPr>
              <w:t>Sí</w:t>
            </w:r>
          </w:p>
        </w:tc>
      </w:tr>
      <w:tr w:rsidR="00E85340" w:rsidRPr="006B79D0" w14:paraId="48FCE5BE" w14:textId="77777777" w:rsidTr="0004107A">
        <w:tc>
          <w:tcPr>
            <w:tcW w:w="3360" w:type="dxa"/>
            <w:tcBorders>
              <w:top w:val="single" w:sz="4" w:space="0" w:color="auto"/>
              <w:left w:val="single" w:sz="4" w:space="0" w:color="auto"/>
              <w:bottom w:val="single" w:sz="4" w:space="0" w:color="auto"/>
              <w:right w:val="single" w:sz="4" w:space="0" w:color="auto"/>
            </w:tcBorders>
          </w:tcPr>
          <w:p w14:paraId="3DC585E4" w14:textId="055A24F3" w:rsidR="000B5C6A" w:rsidRPr="00756410" w:rsidRDefault="3D05FBDC" w:rsidP="0EA64380">
            <w:pPr>
              <w:rPr>
                <w:sz w:val="20"/>
                <w:szCs w:val="20"/>
                <w:lang w:val="es-419"/>
              </w:rPr>
            </w:pPr>
            <w:r w:rsidRPr="00756410">
              <w:rPr>
                <w:sz w:val="20"/>
                <w:szCs w:val="20"/>
                <w:lang w:val="es-419"/>
              </w:rPr>
              <w:t>Realiza</w:t>
            </w:r>
            <w:r w:rsidR="51FF1F1C" w:rsidRPr="0EA64380">
              <w:rPr>
                <w:sz w:val="20"/>
                <w:szCs w:val="20"/>
                <w:lang w:val="es-419"/>
              </w:rPr>
              <w:t>r</w:t>
            </w:r>
            <w:r w:rsidRPr="00756410">
              <w:rPr>
                <w:sz w:val="20"/>
                <w:szCs w:val="20"/>
                <w:lang w:val="es-419"/>
              </w:rPr>
              <w:t xml:space="preserve"> conciliaciones de caja chica</w:t>
            </w:r>
          </w:p>
        </w:tc>
        <w:tc>
          <w:tcPr>
            <w:tcW w:w="1590" w:type="dxa"/>
            <w:tcBorders>
              <w:top w:val="single" w:sz="4" w:space="0" w:color="auto"/>
              <w:left w:val="single" w:sz="4" w:space="0" w:color="auto"/>
              <w:bottom w:val="single" w:sz="4" w:space="0" w:color="auto"/>
              <w:right w:val="single" w:sz="4" w:space="0" w:color="auto"/>
            </w:tcBorders>
          </w:tcPr>
          <w:p w14:paraId="5DAE49FA" w14:textId="599F834B" w:rsidR="000B5C6A" w:rsidRPr="00D2258D" w:rsidRDefault="000B5C6A" w:rsidP="000B5C6A">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0258E6F9" w14:textId="77777777" w:rsidR="000B5C6A" w:rsidRPr="00D2258D" w:rsidRDefault="000B5C6A" w:rsidP="000B5C6A">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A18832" w14:textId="77777777" w:rsidR="000B5C6A" w:rsidRPr="00D2258D" w:rsidRDefault="000B5C6A" w:rsidP="000B5C6A">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AF2A04F" w14:textId="7A0D0E47" w:rsidR="000B5C6A" w:rsidRPr="00D2258D" w:rsidRDefault="000B5C6A" w:rsidP="000B5C6A">
            <w:pPr>
              <w:jc w:val="center"/>
              <w:rPr>
                <w:rFonts w:cstheme="minorHAnsi"/>
                <w:sz w:val="20"/>
                <w:szCs w:val="20"/>
              </w:rPr>
            </w:pPr>
            <w:r w:rsidRPr="00D2258D">
              <w:rPr>
                <w:rFonts w:cstheme="minorHAnsi"/>
                <w:sz w:val="20"/>
                <w:szCs w:val="20"/>
              </w:rPr>
              <w:t>Sí</w:t>
            </w:r>
          </w:p>
        </w:tc>
      </w:tr>
      <w:tr w:rsidR="007431E8" w:rsidRPr="006B79D0" w14:paraId="3BCD68CD" w14:textId="77777777" w:rsidTr="0004107A">
        <w:tc>
          <w:tcPr>
            <w:tcW w:w="3360" w:type="dxa"/>
            <w:tcBorders>
              <w:top w:val="single" w:sz="4" w:space="0" w:color="auto"/>
              <w:left w:val="single" w:sz="4" w:space="0" w:color="auto"/>
              <w:bottom w:val="single" w:sz="4" w:space="0" w:color="auto"/>
              <w:right w:val="single" w:sz="4" w:space="0" w:color="auto"/>
            </w:tcBorders>
          </w:tcPr>
          <w:p w14:paraId="2A68A551" w14:textId="0265CBB6" w:rsidR="007431E8" w:rsidRPr="00756410" w:rsidRDefault="6F87618F" w:rsidP="0EA64380">
            <w:pPr>
              <w:rPr>
                <w:sz w:val="20"/>
                <w:szCs w:val="20"/>
                <w:lang w:val="es-419"/>
              </w:rPr>
            </w:pPr>
            <w:r w:rsidRPr="00756410">
              <w:rPr>
                <w:sz w:val="20"/>
                <w:szCs w:val="20"/>
                <w:lang w:val="es-419"/>
              </w:rPr>
              <w:t>Realiza</w:t>
            </w:r>
            <w:r w:rsidR="30429C3C" w:rsidRPr="0EA64380">
              <w:rPr>
                <w:sz w:val="20"/>
                <w:szCs w:val="20"/>
                <w:lang w:val="es-419"/>
              </w:rPr>
              <w:t>r</w:t>
            </w:r>
            <w:r w:rsidRPr="00756410">
              <w:rPr>
                <w:sz w:val="20"/>
                <w:szCs w:val="20"/>
                <w:lang w:val="es-419"/>
              </w:rPr>
              <w:t xml:space="preserve"> un seguimiento de la caja chica</w:t>
            </w:r>
          </w:p>
        </w:tc>
        <w:tc>
          <w:tcPr>
            <w:tcW w:w="1590" w:type="dxa"/>
            <w:tcBorders>
              <w:top w:val="single" w:sz="4" w:space="0" w:color="auto"/>
              <w:left w:val="single" w:sz="4" w:space="0" w:color="auto"/>
              <w:bottom w:val="single" w:sz="4" w:space="0" w:color="auto"/>
              <w:right w:val="single" w:sz="4" w:space="0" w:color="auto"/>
            </w:tcBorders>
          </w:tcPr>
          <w:p w14:paraId="0B9AE880" w14:textId="77777777" w:rsidR="007431E8" w:rsidRPr="00756410" w:rsidDel="000A6265" w:rsidRDefault="007431E8" w:rsidP="000B5C6A">
            <w:pPr>
              <w:jc w:val="center"/>
              <w:rPr>
                <w:rFonts w:cstheme="minorHAnsi"/>
                <w:sz w:val="20"/>
                <w:szCs w:val="20"/>
                <w:lang w:val="es-419"/>
              </w:rPr>
            </w:pPr>
          </w:p>
        </w:tc>
        <w:tc>
          <w:tcPr>
            <w:tcW w:w="2070" w:type="dxa"/>
            <w:tcBorders>
              <w:top w:val="single" w:sz="4" w:space="0" w:color="auto"/>
              <w:left w:val="single" w:sz="4" w:space="0" w:color="auto"/>
              <w:bottom w:val="single" w:sz="4" w:space="0" w:color="auto"/>
              <w:right w:val="single" w:sz="4" w:space="0" w:color="auto"/>
            </w:tcBorders>
          </w:tcPr>
          <w:p w14:paraId="50D62255" w14:textId="1C30F65A" w:rsidR="007431E8" w:rsidRPr="00756410" w:rsidRDefault="00E85340" w:rsidP="000B5C6A">
            <w:pPr>
              <w:jc w:val="center"/>
              <w:rPr>
                <w:rFonts w:cstheme="minorHAnsi"/>
                <w:sz w:val="20"/>
                <w:szCs w:val="20"/>
                <w:lang w:val="es-419"/>
              </w:rPr>
            </w:pPr>
            <w:r w:rsidRPr="00756410">
              <w:rPr>
                <w:rFonts w:cstheme="minorHAnsi"/>
                <w:sz w:val="20"/>
                <w:szCs w:val="20"/>
                <w:lang w:val="es-419"/>
              </w:rPr>
              <w:t xml:space="preserve">Sí </w:t>
            </w:r>
            <w:r w:rsidRPr="00756410">
              <w:rPr>
                <w:rFonts w:cstheme="minorHAnsi"/>
                <w:sz w:val="18"/>
                <w:szCs w:val="18"/>
                <w:lang w:val="es-419"/>
              </w:rPr>
              <w:t>(en nombre de BMS/OFRM)</w:t>
            </w:r>
          </w:p>
        </w:tc>
        <w:tc>
          <w:tcPr>
            <w:tcW w:w="2160" w:type="dxa"/>
            <w:tcBorders>
              <w:top w:val="single" w:sz="4" w:space="0" w:color="auto"/>
              <w:left w:val="single" w:sz="4" w:space="0" w:color="auto"/>
              <w:bottom w:val="single" w:sz="4" w:space="0" w:color="auto"/>
              <w:right w:val="single" w:sz="4" w:space="0" w:color="auto"/>
            </w:tcBorders>
          </w:tcPr>
          <w:p w14:paraId="41EFFAAF" w14:textId="77777777" w:rsidR="007431E8" w:rsidRPr="00756410" w:rsidDel="000A6265" w:rsidRDefault="007431E8" w:rsidP="000B5C6A">
            <w:pPr>
              <w:jc w:val="center"/>
              <w:rPr>
                <w:rFonts w:cstheme="minorHAnsi"/>
                <w:sz w:val="20"/>
                <w:szCs w:val="20"/>
                <w:lang w:val="es-419"/>
              </w:rPr>
            </w:pPr>
          </w:p>
        </w:tc>
        <w:tc>
          <w:tcPr>
            <w:tcW w:w="1710" w:type="dxa"/>
            <w:tcBorders>
              <w:top w:val="single" w:sz="4" w:space="0" w:color="auto"/>
              <w:left w:val="single" w:sz="4" w:space="0" w:color="auto"/>
              <w:bottom w:val="single" w:sz="4" w:space="0" w:color="auto"/>
              <w:right w:val="single" w:sz="4" w:space="0" w:color="auto"/>
            </w:tcBorders>
          </w:tcPr>
          <w:p w14:paraId="2E70E351" w14:textId="64920ED3" w:rsidR="007431E8" w:rsidRPr="00D2258D" w:rsidRDefault="00EE1285" w:rsidP="000B5C6A">
            <w:pPr>
              <w:jc w:val="center"/>
              <w:rPr>
                <w:rFonts w:cstheme="minorHAnsi"/>
                <w:sz w:val="20"/>
                <w:szCs w:val="20"/>
              </w:rPr>
            </w:pPr>
            <w:r>
              <w:rPr>
                <w:rFonts w:cstheme="minorHAnsi"/>
                <w:sz w:val="20"/>
                <w:szCs w:val="20"/>
              </w:rPr>
              <w:t xml:space="preserve">Sí </w:t>
            </w:r>
            <w:r w:rsidRPr="00EE1285">
              <w:rPr>
                <w:rFonts w:cstheme="minorHAnsi"/>
                <w:sz w:val="18"/>
                <w:szCs w:val="18"/>
              </w:rPr>
              <w:t>(para VNU)</w:t>
            </w:r>
          </w:p>
        </w:tc>
      </w:tr>
      <w:tr w:rsidR="00E85340" w:rsidRPr="006B79D0" w14:paraId="195BFFE1" w14:textId="77777777" w:rsidTr="0004107A">
        <w:tc>
          <w:tcPr>
            <w:tcW w:w="3360" w:type="dxa"/>
            <w:tcBorders>
              <w:top w:val="single" w:sz="4" w:space="0" w:color="auto"/>
              <w:left w:val="single" w:sz="4" w:space="0" w:color="auto"/>
              <w:bottom w:val="single" w:sz="4" w:space="0" w:color="auto"/>
              <w:right w:val="single" w:sz="4" w:space="0" w:color="auto"/>
            </w:tcBorders>
          </w:tcPr>
          <w:p w14:paraId="4140A0CA" w14:textId="3EA391E9" w:rsidR="00E85340" w:rsidRPr="00D2258D" w:rsidRDefault="00E85340" w:rsidP="00E85340">
            <w:pPr>
              <w:rPr>
                <w:sz w:val="20"/>
                <w:szCs w:val="20"/>
              </w:rPr>
            </w:pPr>
            <w:r w:rsidRPr="76A605A9">
              <w:rPr>
                <w:sz w:val="20"/>
                <w:szCs w:val="20"/>
              </w:rPr>
              <w:t>Gestión de inversiones</w:t>
            </w:r>
          </w:p>
        </w:tc>
        <w:tc>
          <w:tcPr>
            <w:tcW w:w="1590" w:type="dxa"/>
            <w:tcBorders>
              <w:top w:val="single" w:sz="4" w:space="0" w:color="auto"/>
              <w:left w:val="single" w:sz="4" w:space="0" w:color="auto"/>
              <w:bottom w:val="single" w:sz="4" w:space="0" w:color="auto"/>
              <w:right w:val="single" w:sz="4" w:space="0" w:color="auto"/>
            </w:tcBorders>
          </w:tcPr>
          <w:p w14:paraId="67654092" w14:textId="26C625FF" w:rsidR="00E85340" w:rsidRPr="00D2258D" w:rsidDel="000A6265" w:rsidRDefault="00E85340" w:rsidP="00E85340">
            <w:pPr>
              <w:jc w:val="center"/>
              <w:rPr>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26AFD0D"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D7AB7A9" w14:textId="72A361FF" w:rsidR="00E85340" w:rsidRPr="00D2258D" w:rsidDel="000A6265" w:rsidRDefault="00E85340" w:rsidP="00E85340">
            <w:pPr>
              <w:jc w:val="center"/>
              <w:rPr>
                <w:rFonts w:cstheme="minorHAnsi"/>
                <w:sz w:val="20"/>
                <w:szCs w:val="20"/>
              </w:rPr>
            </w:pPr>
            <w:r w:rsidRPr="00D2258D">
              <w:rPr>
                <w:rFonts w:cstheme="minorHAnsi"/>
                <w:sz w:val="20"/>
                <w:szCs w:val="20"/>
              </w:rPr>
              <w:t xml:space="preserve">Sí </w:t>
            </w:r>
            <w:r w:rsidRPr="00D2258D">
              <w:rPr>
                <w:rFonts w:cstheme="minorHAnsi"/>
                <w:sz w:val="18"/>
                <w:szCs w:val="18"/>
              </w:rPr>
              <w:t>(solo BMS/OFRM)</w:t>
            </w:r>
          </w:p>
        </w:tc>
        <w:tc>
          <w:tcPr>
            <w:tcW w:w="1710" w:type="dxa"/>
            <w:tcBorders>
              <w:top w:val="single" w:sz="4" w:space="0" w:color="auto"/>
              <w:left w:val="single" w:sz="4" w:space="0" w:color="auto"/>
              <w:bottom w:val="single" w:sz="4" w:space="0" w:color="auto"/>
              <w:right w:val="single" w:sz="4" w:space="0" w:color="auto"/>
            </w:tcBorders>
          </w:tcPr>
          <w:p w14:paraId="77E4A35C" w14:textId="77777777" w:rsidR="00E85340" w:rsidRPr="00D2258D" w:rsidRDefault="00E85340" w:rsidP="00E85340">
            <w:pPr>
              <w:jc w:val="center"/>
              <w:rPr>
                <w:rFonts w:cstheme="minorHAnsi"/>
                <w:sz w:val="20"/>
                <w:szCs w:val="20"/>
              </w:rPr>
            </w:pPr>
          </w:p>
        </w:tc>
      </w:tr>
      <w:tr w:rsidR="00E85340" w:rsidRPr="006B79D0" w14:paraId="46C6F926" w14:textId="77777777" w:rsidTr="0004107A">
        <w:tc>
          <w:tcPr>
            <w:tcW w:w="3360" w:type="dxa"/>
            <w:tcBorders>
              <w:top w:val="single" w:sz="4" w:space="0" w:color="auto"/>
              <w:left w:val="single" w:sz="4" w:space="0" w:color="auto"/>
              <w:bottom w:val="single" w:sz="4" w:space="0" w:color="auto"/>
              <w:right w:val="single" w:sz="4" w:space="0" w:color="auto"/>
            </w:tcBorders>
          </w:tcPr>
          <w:p w14:paraId="4E0053FD" w14:textId="0BA9AE40" w:rsidR="00E85340" w:rsidRPr="00D2258D" w:rsidRDefault="00E85340" w:rsidP="00E85340">
            <w:pPr>
              <w:rPr>
                <w:rFonts w:cstheme="minorHAnsi"/>
                <w:sz w:val="20"/>
                <w:szCs w:val="20"/>
              </w:rPr>
            </w:pPr>
            <w:r w:rsidRPr="00D2258D">
              <w:rPr>
                <w:rFonts w:cstheme="minorHAnsi"/>
                <w:sz w:val="20"/>
                <w:szCs w:val="20"/>
              </w:rPr>
              <w:t>Contabilidad de inversiones</w:t>
            </w:r>
          </w:p>
        </w:tc>
        <w:tc>
          <w:tcPr>
            <w:tcW w:w="1590" w:type="dxa"/>
            <w:tcBorders>
              <w:top w:val="single" w:sz="4" w:space="0" w:color="auto"/>
              <w:left w:val="single" w:sz="4" w:space="0" w:color="auto"/>
              <w:bottom w:val="single" w:sz="4" w:space="0" w:color="auto"/>
              <w:right w:val="single" w:sz="4" w:space="0" w:color="auto"/>
            </w:tcBorders>
          </w:tcPr>
          <w:p w14:paraId="7DA2EFFE" w14:textId="77777777" w:rsidR="00E85340" w:rsidRPr="00D2258D" w:rsidDel="000A6265" w:rsidRDefault="00E85340" w:rsidP="00E85340">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EDDD05E" w14:textId="519BCCBC" w:rsidR="00E85340" w:rsidRPr="00D2258D" w:rsidRDefault="00E85340" w:rsidP="00E85340">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4E8F91F8" w14:textId="77777777" w:rsidR="00E85340" w:rsidRPr="00D2258D" w:rsidDel="000A6265" w:rsidRDefault="00E85340" w:rsidP="00E85340">
            <w:pPr>
              <w:jc w:val="center"/>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4DFBF9E" w14:textId="77777777" w:rsidR="00E85340" w:rsidRPr="00D2258D" w:rsidRDefault="00E85340" w:rsidP="00E85340">
            <w:pPr>
              <w:jc w:val="center"/>
              <w:rPr>
                <w:rFonts w:cstheme="minorHAnsi"/>
                <w:sz w:val="20"/>
                <w:szCs w:val="20"/>
              </w:rPr>
            </w:pPr>
          </w:p>
        </w:tc>
      </w:tr>
      <w:tr w:rsidR="00E85340" w:rsidRPr="006B79D0" w14:paraId="14A8E124" w14:textId="77777777" w:rsidTr="0004107A">
        <w:tc>
          <w:tcPr>
            <w:tcW w:w="3360" w:type="dxa"/>
            <w:tcBorders>
              <w:top w:val="single" w:sz="4" w:space="0" w:color="auto"/>
              <w:left w:val="single" w:sz="4" w:space="0" w:color="auto"/>
              <w:bottom w:val="single" w:sz="4" w:space="0" w:color="auto"/>
              <w:right w:val="single" w:sz="4" w:space="0" w:color="auto"/>
            </w:tcBorders>
          </w:tcPr>
          <w:p w14:paraId="29068B5B" w14:textId="77777777" w:rsidR="00E85340" w:rsidRPr="00D2258D" w:rsidRDefault="00E85340" w:rsidP="00E85340">
            <w:pPr>
              <w:rPr>
                <w:rFonts w:cstheme="minorHAnsi"/>
                <w:sz w:val="20"/>
                <w:szCs w:val="20"/>
              </w:rPr>
            </w:pPr>
            <w:r w:rsidRPr="00D2258D">
              <w:rPr>
                <w:rFonts w:cstheme="minorHAnsi"/>
                <w:sz w:val="20"/>
                <w:szCs w:val="20"/>
              </w:rPr>
              <w:lastRenderedPageBreak/>
              <w:t>Crear GLJE</w:t>
            </w:r>
          </w:p>
        </w:tc>
        <w:tc>
          <w:tcPr>
            <w:tcW w:w="1590" w:type="dxa"/>
            <w:tcBorders>
              <w:top w:val="single" w:sz="4" w:space="0" w:color="auto"/>
              <w:left w:val="single" w:sz="4" w:space="0" w:color="auto"/>
              <w:bottom w:val="single" w:sz="4" w:space="0" w:color="auto"/>
              <w:right w:val="single" w:sz="4" w:space="0" w:color="auto"/>
            </w:tcBorders>
          </w:tcPr>
          <w:p w14:paraId="7B1CFA05" w14:textId="08E12FA2" w:rsidR="00E85340" w:rsidRPr="00D2258D" w:rsidRDefault="00E85340" w:rsidP="00E85340">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1B09B76" w14:textId="5A4737C3" w:rsidR="00E85340" w:rsidRPr="00D2258D" w:rsidRDefault="00E85340" w:rsidP="00E85340">
            <w:pPr>
              <w:jc w:val="center"/>
              <w:rPr>
                <w:rFonts w:cstheme="minorHAnsi"/>
                <w:sz w:val="20"/>
                <w:szCs w:val="20"/>
              </w:rPr>
            </w:pPr>
            <w:r w:rsidRPr="00D2258D">
              <w:rPr>
                <w:rFonts w:cstheme="minorHAnsi"/>
                <w:sz w:val="20"/>
                <w:szCs w:val="20"/>
              </w:rPr>
              <w:t xml:space="preserve">Sí </w:t>
            </w:r>
          </w:p>
        </w:tc>
        <w:tc>
          <w:tcPr>
            <w:tcW w:w="2160" w:type="dxa"/>
            <w:tcBorders>
              <w:top w:val="single" w:sz="4" w:space="0" w:color="auto"/>
              <w:left w:val="single" w:sz="4" w:space="0" w:color="auto"/>
              <w:bottom w:val="single" w:sz="4" w:space="0" w:color="auto"/>
              <w:right w:val="single" w:sz="4" w:space="0" w:color="auto"/>
            </w:tcBorders>
          </w:tcPr>
          <w:p w14:paraId="0F48CB45" w14:textId="3A432C10" w:rsidR="00E85340" w:rsidRPr="00756410" w:rsidRDefault="00E85340" w:rsidP="00E85340">
            <w:pPr>
              <w:jc w:val="center"/>
              <w:rPr>
                <w:rFonts w:cstheme="minorHAnsi"/>
                <w:sz w:val="20"/>
                <w:szCs w:val="20"/>
                <w:lang w:val="es-419"/>
              </w:rPr>
            </w:pPr>
            <w:r w:rsidRPr="00756410">
              <w:rPr>
                <w:rFonts w:cstheme="minorHAnsi"/>
                <w:sz w:val="20"/>
                <w:szCs w:val="20"/>
                <w:lang w:val="es-419"/>
              </w:rPr>
              <w:t>Sí</w:t>
            </w:r>
            <w:r w:rsidRPr="00756410">
              <w:rPr>
                <w:rFonts w:cstheme="minorHAnsi"/>
                <w:sz w:val="18"/>
                <w:szCs w:val="18"/>
                <w:lang w:val="es-419"/>
              </w:rPr>
              <w:t xml:space="preserve"> (puede restringirse a BMS/OFRM, BMS/GSSC, MPTFO y VNU)</w:t>
            </w:r>
          </w:p>
        </w:tc>
        <w:tc>
          <w:tcPr>
            <w:tcW w:w="1710" w:type="dxa"/>
            <w:tcBorders>
              <w:top w:val="single" w:sz="4" w:space="0" w:color="auto"/>
              <w:left w:val="single" w:sz="4" w:space="0" w:color="auto"/>
              <w:bottom w:val="single" w:sz="4" w:space="0" w:color="auto"/>
              <w:right w:val="single" w:sz="4" w:space="0" w:color="auto"/>
            </w:tcBorders>
          </w:tcPr>
          <w:p w14:paraId="76AAE1E4" w14:textId="76FF2602"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65F165B9" w14:textId="77777777" w:rsidTr="0004107A">
        <w:tc>
          <w:tcPr>
            <w:tcW w:w="3360" w:type="dxa"/>
            <w:tcBorders>
              <w:top w:val="single" w:sz="4" w:space="0" w:color="auto"/>
              <w:left w:val="single" w:sz="4" w:space="0" w:color="auto"/>
              <w:bottom w:val="single" w:sz="4" w:space="0" w:color="auto"/>
              <w:right w:val="single" w:sz="4" w:space="0" w:color="auto"/>
            </w:tcBorders>
          </w:tcPr>
          <w:p w14:paraId="2DD1D88D" w14:textId="77777777" w:rsidR="00E85340" w:rsidRPr="00756410" w:rsidRDefault="00E85340" w:rsidP="00E85340">
            <w:pPr>
              <w:rPr>
                <w:rFonts w:cstheme="minorHAnsi"/>
                <w:sz w:val="20"/>
                <w:szCs w:val="20"/>
                <w:lang w:val="es-419"/>
              </w:rPr>
            </w:pPr>
            <w:r w:rsidRPr="00756410">
              <w:rPr>
                <w:rFonts w:cstheme="minorHAnsi"/>
                <w:sz w:val="20"/>
                <w:szCs w:val="20"/>
                <w:lang w:val="es-419"/>
              </w:rPr>
              <w:t>Mantener la oficina / unidad GL</w:t>
            </w:r>
          </w:p>
        </w:tc>
        <w:tc>
          <w:tcPr>
            <w:tcW w:w="1590" w:type="dxa"/>
            <w:tcBorders>
              <w:top w:val="single" w:sz="4" w:space="0" w:color="auto"/>
              <w:left w:val="single" w:sz="4" w:space="0" w:color="auto"/>
              <w:bottom w:val="single" w:sz="4" w:space="0" w:color="auto"/>
              <w:right w:val="single" w:sz="4" w:space="0" w:color="auto"/>
            </w:tcBorders>
          </w:tcPr>
          <w:p w14:paraId="666D7515" w14:textId="1C580E33"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0319AFF"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A13DF7C" w14:textId="7FFB6C96"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7717063" w14:textId="0D90A6BB"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27AA0F91" w14:textId="77777777" w:rsidTr="0004107A">
        <w:tc>
          <w:tcPr>
            <w:tcW w:w="3360" w:type="dxa"/>
            <w:tcBorders>
              <w:top w:val="single" w:sz="4" w:space="0" w:color="auto"/>
              <w:left w:val="single" w:sz="4" w:space="0" w:color="auto"/>
              <w:bottom w:val="single" w:sz="4" w:space="0" w:color="auto"/>
              <w:right w:val="single" w:sz="4" w:space="0" w:color="auto"/>
            </w:tcBorders>
          </w:tcPr>
          <w:p w14:paraId="78D8494A" w14:textId="54B82DEA" w:rsidR="00E85340" w:rsidRPr="00756410" w:rsidRDefault="5882896A" w:rsidP="363CA695">
            <w:pPr>
              <w:rPr>
                <w:sz w:val="20"/>
                <w:szCs w:val="20"/>
                <w:lang w:val="es-419"/>
              </w:rPr>
            </w:pPr>
            <w:r w:rsidRPr="00756410">
              <w:rPr>
                <w:sz w:val="20"/>
                <w:szCs w:val="20"/>
                <w:lang w:val="es-419"/>
              </w:rPr>
              <w:t>Supervis</w:t>
            </w:r>
            <w:r w:rsidR="3C8C7CB7" w:rsidRPr="6EC1D3C1">
              <w:rPr>
                <w:sz w:val="20"/>
                <w:szCs w:val="20"/>
                <w:lang w:val="es-419"/>
              </w:rPr>
              <w:t>ar</w:t>
            </w:r>
            <w:r w:rsidR="00E85340" w:rsidRPr="00756410">
              <w:rPr>
                <w:sz w:val="20"/>
                <w:szCs w:val="20"/>
                <w:lang w:val="es-419"/>
              </w:rPr>
              <w:t xml:space="preserve"> la finalización oportuna de las transacciones</w:t>
            </w:r>
          </w:p>
        </w:tc>
        <w:tc>
          <w:tcPr>
            <w:tcW w:w="1590" w:type="dxa"/>
            <w:tcBorders>
              <w:top w:val="single" w:sz="4" w:space="0" w:color="auto"/>
              <w:left w:val="single" w:sz="4" w:space="0" w:color="auto"/>
              <w:bottom w:val="single" w:sz="4" w:space="0" w:color="auto"/>
              <w:right w:val="single" w:sz="4" w:space="0" w:color="auto"/>
            </w:tcBorders>
          </w:tcPr>
          <w:p w14:paraId="1C8088FB" w14:textId="2EA32F63"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0A13CAA5" w14:textId="24918441" w:rsidR="00E85340" w:rsidRPr="00D2258D" w:rsidRDefault="00E85340" w:rsidP="00E85340">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3451DE07" w14:textId="6A4A9C69"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3BF9453" w14:textId="4D814FB5"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6ABCF32F" w14:textId="77777777" w:rsidTr="0004107A">
        <w:tc>
          <w:tcPr>
            <w:tcW w:w="3360" w:type="dxa"/>
            <w:tcBorders>
              <w:top w:val="single" w:sz="4" w:space="0" w:color="auto"/>
              <w:left w:val="single" w:sz="4" w:space="0" w:color="auto"/>
              <w:bottom w:val="single" w:sz="4" w:space="0" w:color="auto"/>
              <w:right w:val="single" w:sz="4" w:space="0" w:color="auto"/>
            </w:tcBorders>
          </w:tcPr>
          <w:p w14:paraId="4223F83B" w14:textId="77777777" w:rsidR="00E85340" w:rsidRPr="00756410" w:rsidRDefault="00E85340" w:rsidP="00E85340">
            <w:pPr>
              <w:rPr>
                <w:rFonts w:cstheme="minorHAnsi"/>
                <w:sz w:val="20"/>
                <w:szCs w:val="20"/>
                <w:lang w:val="es-419"/>
              </w:rPr>
            </w:pPr>
            <w:r w:rsidRPr="00756410">
              <w:rPr>
                <w:rFonts w:cstheme="minorHAnsi"/>
                <w:sz w:val="20"/>
                <w:szCs w:val="20"/>
                <w:lang w:val="es-419"/>
              </w:rPr>
              <w:t>Monitorear el estado financiero de la oficina/unidad y los indicadores de gestión</w:t>
            </w:r>
          </w:p>
        </w:tc>
        <w:tc>
          <w:tcPr>
            <w:tcW w:w="1590" w:type="dxa"/>
            <w:tcBorders>
              <w:top w:val="single" w:sz="4" w:space="0" w:color="auto"/>
              <w:left w:val="single" w:sz="4" w:space="0" w:color="auto"/>
              <w:bottom w:val="single" w:sz="4" w:space="0" w:color="auto"/>
              <w:right w:val="single" w:sz="4" w:space="0" w:color="auto"/>
            </w:tcBorders>
          </w:tcPr>
          <w:p w14:paraId="78F6BF01" w14:textId="3655498C"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D0A85D2"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7BC97E5" w14:textId="217026D7"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691BCE0F" w14:textId="2A7C003A"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695FAAEB" w14:textId="77777777" w:rsidTr="0004107A">
        <w:tc>
          <w:tcPr>
            <w:tcW w:w="3360" w:type="dxa"/>
            <w:tcBorders>
              <w:top w:val="single" w:sz="4" w:space="0" w:color="auto"/>
              <w:left w:val="single" w:sz="4" w:space="0" w:color="auto"/>
              <w:bottom w:val="single" w:sz="4" w:space="0" w:color="auto"/>
              <w:right w:val="single" w:sz="4" w:space="0" w:color="auto"/>
            </w:tcBorders>
          </w:tcPr>
          <w:p w14:paraId="6DCA34D4" w14:textId="261D121C" w:rsidR="00E85340" w:rsidRPr="00D2258D" w:rsidRDefault="00E85340" w:rsidP="363CA695">
            <w:pPr>
              <w:rPr>
                <w:sz w:val="20"/>
                <w:szCs w:val="20"/>
              </w:rPr>
            </w:pPr>
            <w:r w:rsidRPr="00D2258D">
              <w:rPr>
                <w:sz w:val="20"/>
                <w:szCs w:val="20"/>
              </w:rPr>
              <w:t>Garantizar certificaciones oportunas</w:t>
            </w:r>
          </w:p>
        </w:tc>
        <w:tc>
          <w:tcPr>
            <w:tcW w:w="1590" w:type="dxa"/>
            <w:tcBorders>
              <w:top w:val="single" w:sz="4" w:space="0" w:color="auto"/>
              <w:left w:val="single" w:sz="4" w:space="0" w:color="auto"/>
              <w:bottom w:val="single" w:sz="4" w:space="0" w:color="auto"/>
              <w:right w:val="single" w:sz="4" w:space="0" w:color="auto"/>
            </w:tcBorders>
          </w:tcPr>
          <w:p w14:paraId="0159924B" w14:textId="1171C8F6"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644E02AA"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FC90F2C" w14:textId="0F85F75E"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7F57E100" w14:textId="09F7F40C"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7489DF9D" w14:textId="77777777" w:rsidTr="0004107A">
        <w:tc>
          <w:tcPr>
            <w:tcW w:w="3360" w:type="dxa"/>
            <w:tcBorders>
              <w:top w:val="single" w:sz="4" w:space="0" w:color="auto"/>
              <w:left w:val="single" w:sz="4" w:space="0" w:color="auto"/>
              <w:bottom w:val="single" w:sz="4" w:space="0" w:color="auto"/>
              <w:right w:val="single" w:sz="4" w:space="0" w:color="auto"/>
            </w:tcBorders>
          </w:tcPr>
          <w:p w14:paraId="162CE532" w14:textId="77777777" w:rsidR="00E85340" w:rsidRPr="00756410" w:rsidRDefault="00E85340" w:rsidP="00E85340">
            <w:pPr>
              <w:rPr>
                <w:rFonts w:cstheme="minorHAnsi"/>
                <w:sz w:val="20"/>
                <w:szCs w:val="20"/>
                <w:lang w:val="es-419"/>
              </w:rPr>
            </w:pPr>
            <w:r w:rsidRPr="00756410">
              <w:rPr>
                <w:rFonts w:cstheme="minorHAnsi"/>
                <w:sz w:val="20"/>
                <w:szCs w:val="20"/>
                <w:lang w:val="es-419"/>
              </w:rPr>
              <w:t>Gestión de documentos en línea con POPP</w:t>
            </w:r>
          </w:p>
        </w:tc>
        <w:tc>
          <w:tcPr>
            <w:tcW w:w="1590" w:type="dxa"/>
            <w:tcBorders>
              <w:top w:val="single" w:sz="4" w:space="0" w:color="auto"/>
              <w:left w:val="single" w:sz="4" w:space="0" w:color="auto"/>
              <w:bottom w:val="single" w:sz="4" w:space="0" w:color="auto"/>
              <w:right w:val="single" w:sz="4" w:space="0" w:color="auto"/>
            </w:tcBorders>
          </w:tcPr>
          <w:p w14:paraId="53617140" w14:textId="465DE7AC"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5C428608" w14:textId="689DAA6C" w:rsidR="00E85340" w:rsidRPr="00D2258D" w:rsidRDefault="00E85340" w:rsidP="00E85340">
            <w:pPr>
              <w:jc w:val="center"/>
              <w:rPr>
                <w:rFonts w:cstheme="minorHAnsi"/>
                <w:sz w:val="20"/>
                <w:szCs w:val="20"/>
              </w:rPr>
            </w:pPr>
            <w:r w:rsidRPr="00D2258D">
              <w:rPr>
                <w:rFonts w:cstheme="minorHAnsi"/>
                <w:sz w:val="20"/>
                <w:szCs w:val="20"/>
              </w:rPr>
              <w:t>Sí</w:t>
            </w:r>
          </w:p>
        </w:tc>
        <w:tc>
          <w:tcPr>
            <w:tcW w:w="2160" w:type="dxa"/>
            <w:tcBorders>
              <w:top w:val="single" w:sz="4" w:space="0" w:color="auto"/>
              <w:left w:val="single" w:sz="4" w:space="0" w:color="auto"/>
              <w:bottom w:val="single" w:sz="4" w:space="0" w:color="auto"/>
              <w:right w:val="single" w:sz="4" w:space="0" w:color="auto"/>
            </w:tcBorders>
          </w:tcPr>
          <w:p w14:paraId="7F1CBC51" w14:textId="51701B11"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0C716059" w14:textId="055717D5"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0EC3B26D"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548D75" w14:textId="77777777" w:rsidR="00E85340" w:rsidRPr="00D2258D" w:rsidRDefault="00E85340" w:rsidP="00E85340">
            <w:pPr>
              <w:rPr>
                <w:rFonts w:ascii="Webdings" w:hAnsi="Webdings" w:cstheme="minorHAnsi"/>
                <w:b/>
                <w:bCs/>
                <w:sz w:val="28"/>
                <w:szCs w:val="28"/>
              </w:rPr>
            </w:pPr>
            <w:r w:rsidRPr="00D2258D">
              <w:rPr>
                <w:rFonts w:cstheme="minorHAnsi"/>
                <w:b/>
                <w:bCs/>
                <w:sz w:val="20"/>
                <w:szCs w:val="20"/>
              </w:rPr>
              <w:t>Gestión de oficinas</w:t>
            </w:r>
          </w:p>
        </w:tc>
      </w:tr>
      <w:tr w:rsidR="00E85340" w:rsidRPr="006B79D0" w14:paraId="74D3E369" w14:textId="77777777" w:rsidTr="0004107A">
        <w:tc>
          <w:tcPr>
            <w:tcW w:w="3360" w:type="dxa"/>
            <w:tcBorders>
              <w:top w:val="single" w:sz="4" w:space="0" w:color="auto"/>
              <w:left w:val="single" w:sz="4" w:space="0" w:color="auto"/>
              <w:bottom w:val="single" w:sz="4" w:space="0" w:color="auto"/>
              <w:right w:val="single" w:sz="4" w:space="0" w:color="auto"/>
            </w:tcBorders>
          </w:tcPr>
          <w:p w14:paraId="04A0A8D0" w14:textId="77777777" w:rsidR="00E85340" w:rsidRPr="00756410" w:rsidRDefault="209CC8B9" w:rsidP="0EA64380">
            <w:pPr>
              <w:rPr>
                <w:sz w:val="20"/>
                <w:szCs w:val="20"/>
                <w:lang w:val="es-419"/>
              </w:rPr>
            </w:pPr>
            <w:r w:rsidRPr="00756410">
              <w:rPr>
                <w:sz w:val="20"/>
                <w:szCs w:val="20"/>
                <w:lang w:val="es-419"/>
              </w:rPr>
              <w:t>Realizar funciones de Jefe de Oficina/Unidad</w:t>
            </w:r>
          </w:p>
        </w:tc>
        <w:tc>
          <w:tcPr>
            <w:tcW w:w="1590" w:type="dxa"/>
            <w:tcBorders>
              <w:top w:val="single" w:sz="4" w:space="0" w:color="auto"/>
              <w:left w:val="single" w:sz="4" w:space="0" w:color="auto"/>
              <w:bottom w:val="single" w:sz="4" w:space="0" w:color="auto"/>
              <w:right w:val="single" w:sz="4" w:space="0" w:color="auto"/>
            </w:tcBorders>
          </w:tcPr>
          <w:p w14:paraId="2278E34B" w14:textId="2546DDAE"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12B482C6"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209A732" w14:textId="4E047E4C"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375FE4A8" w14:textId="1F2E33F8"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3B7E3080" w14:textId="77777777" w:rsidTr="0004107A">
        <w:tc>
          <w:tcPr>
            <w:tcW w:w="1089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C81FF0" w14:textId="77777777" w:rsidR="00E85340" w:rsidRPr="00D2258D" w:rsidRDefault="00E85340" w:rsidP="00E85340">
            <w:pPr>
              <w:rPr>
                <w:rFonts w:ascii="Webdings" w:hAnsi="Webdings" w:cstheme="minorHAnsi"/>
                <w:b/>
                <w:bCs/>
                <w:sz w:val="28"/>
                <w:szCs w:val="28"/>
              </w:rPr>
            </w:pPr>
            <w:r w:rsidRPr="00D2258D">
              <w:rPr>
                <w:rFonts w:cstheme="minorHAnsi"/>
                <w:b/>
                <w:bCs/>
                <w:sz w:val="20"/>
                <w:szCs w:val="20"/>
              </w:rPr>
              <w:t>Otro</w:t>
            </w:r>
          </w:p>
        </w:tc>
      </w:tr>
      <w:tr w:rsidR="00E85340" w:rsidRPr="006B79D0" w14:paraId="68D7CB02" w14:textId="77777777" w:rsidTr="0004107A">
        <w:tc>
          <w:tcPr>
            <w:tcW w:w="3360" w:type="dxa"/>
            <w:tcBorders>
              <w:top w:val="single" w:sz="4" w:space="0" w:color="auto"/>
              <w:left w:val="single" w:sz="4" w:space="0" w:color="auto"/>
              <w:bottom w:val="single" w:sz="4" w:space="0" w:color="auto"/>
              <w:right w:val="single" w:sz="4" w:space="0" w:color="auto"/>
            </w:tcBorders>
          </w:tcPr>
          <w:p w14:paraId="73177125" w14:textId="3282110E" w:rsidR="00E85340" w:rsidRPr="00756410" w:rsidRDefault="00E85340" w:rsidP="363CA695">
            <w:pPr>
              <w:rPr>
                <w:sz w:val="20"/>
                <w:szCs w:val="20"/>
                <w:lang w:val="es-ES"/>
              </w:rPr>
            </w:pPr>
            <w:r w:rsidRPr="00756410">
              <w:rPr>
                <w:sz w:val="20"/>
                <w:szCs w:val="20"/>
                <w:lang w:val="es-ES"/>
              </w:rPr>
              <w:t>Funcionarios designados para presentar solicitudes de servicio a BMS/GSSC</w:t>
            </w:r>
          </w:p>
        </w:tc>
        <w:tc>
          <w:tcPr>
            <w:tcW w:w="1590" w:type="dxa"/>
            <w:tcBorders>
              <w:top w:val="single" w:sz="4" w:space="0" w:color="auto"/>
              <w:left w:val="single" w:sz="4" w:space="0" w:color="auto"/>
              <w:bottom w:val="single" w:sz="4" w:space="0" w:color="auto"/>
              <w:right w:val="single" w:sz="4" w:space="0" w:color="auto"/>
            </w:tcBorders>
          </w:tcPr>
          <w:p w14:paraId="655C7FB1" w14:textId="1C8835AC"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289B8ED5"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2C33993" w14:textId="41D06BD1"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6849F15" w14:textId="32347118" w:rsidR="00E85340" w:rsidRPr="00D2258D" w:rsidRDefault="00E85340" w:rsidP="00E85340">
            <w:pPr>
              <w:jc w:val="center"/>
              <w:rPr>
                <w:rFonts w:cstheme="minorHAnsi"/>
                <w:sz w:val="20"/>
                <w:szCs w:val="20"/>
              </w:rPr>
            </w:pPr>
            <w:r w:rsidRPr="00D2258D">
              <w:rPr>
                <w:rFonts w:cstheme="minorHAnsi"/>
                <w:sz w:val="20"/>
                <w:szCs w:val="20"/>
              </w:rPr>
              <w:t>Sí</w:t>
            </w:r>
          </w:p>
        </w:tc>
      </w:tr>
      <w:tr w:rsidR="00E85340" w:rsidRPr="006B79D0" w14:paraId="0B08EB5B" w14:textId="77777777" w:rsidTr="0004107A">
        <w:tc>
          <w:tcPr>
            <w:tcW w:w="3360" w:type="dxa"/>
            <w:tcBorders>
              <w:top w:val="single" w:sz="4" w:space="0" w:color="auto"/>
              <w:left w:val="single" w:sz="4" w:space="0" w:color="auto"/>
              <w:bottom w:val="single" w:sz="4" w:space="0" w:color="auto"/>
              <w:right w:val="single" w:sz="4" w:space="0" w:color="auto"/>
            </w:tcBorders>
          </w:tcPr>
          <w:p w14:paraId="3993F886" w14:textId="77777777" w:rsidR="00E85340" w:rsidRPr="00756410" w:rsidRDefault="00E85340" w:rsidP="00E85340">
            <w:pPr>
              <w:rPr>
                <w:rFonts w:cstheme="minorHAnsi"/>
                <w:sz w:val="20"/>
                <w:szCs w:val="20"/>
                <w:lang w:val="es-ES"/>
              </w:rPr>
            </w:pPr>
            <w:r w:rsidRPr="00756410">
              <w:rPr>
                <w:rFonts w:cstheme="minorHAnsi"/>
                <w:sz w:val="20"/>
                <w:szCs w:val="20"/>
                <w:lang w:val="es-ES"/>
              </w:rPr>
              <w:t>Puntos focales de IDAM y aprobadores de IDAM</w:t>
            </w:r>
          </w:p>
        </w:tc>
        <w:tc>
          <w:tcPr>
            <w:tcW w:w="1590" w:type="dxa"/>
            <w:tcBorders>
              <w:top w:val="single" w:sz="4" w:space="0" w:color="auto"/>
              <w:left w:val="single" w:sz="4" w:space="0" w:color="auto"/>
              <w:bottom w:val="single" w:sz="4" w:space="0" w:color="auto"/>
              <w:right w:val="single" w:sz="4" w:space="0" w:color="auto"/>
            </w:tcBorders>
          </w:tcPr>
          <w:p w14:paraId="7CB1FCA0" w14:textId="32B238D2" w:rsidR="00E85340" w:rsidRPr="00D2258D" w:rsidRDefault="00E85340" w:rsidP="00E85340">
            <w:pPr>
              <w:jc w:val="center"/>
              <w:rPr>
                <w:rFonts w:cstheme="minorHAnsi"/>
                <w:sz w:val="20"/>
                <w:szCs w:val="20"/>
              </w:rPr>
            </w:pPr>
            <w:r w:rsidRPr="00D2258D">
              <w:rPr>
                <w:rFonts w:cstheme="minorHAnsi"/>
                <w:sz w:val="20"/>
                <w:szCs w:val="20"/>
              </w:rPr>
              <w:t>Sí</w:t>
            </w:r>
          </w:p>
        </w:tc>
        <w:tc>
          <w:tcPr>
            <w:tcW w:w="2070" w:type="dxa"/>
            <w:tcBorders>
              <w:top w:val="single" w:sz="4" w:space="0" w:color="auto"/>
              <w:left w:val="single" w:sz="4" w:space="0" w:color="auto"/>
              <w:bottom w:val="single" w:sz="4" w:space="0" w:color="auto"/>
              <w:right w:val="single" w:sz="4" w:space="0" w:color="auto"/>
            </w:tcBorders>
          </w:tcPr>
          <w:p w14:paraId="53357F0F" w14:textId="77777777" w:rsidR="00E85340" w:rsidRPr="00D2258D" w:rsidRDefault="00E85340" w:rsidP="00E85340">
            <w:pPr>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5842E2" w14:textId="67D3830A" w:rsidR="00E85340" w:rsidRPr="00D2258D" w:rsidRDefault="00E85340" w:rsidP="00E85340">
            <w:pPr>
              <w:jc w:val="center"/>
              <w:rPr>
                <w:rFonts w:cstheme="minorHAnsi"/>
                <w:sz w:val="20"/>
                <w:szCs w:val="20"/>
              </w:rPr>
            </w:pPr>
            <w:r w:rsidRPr="00D2258D">
              <w:rPr>
                <w:rFonts w:cstheme="minorHAnsi"/>
                <w:sz w:val="20"/>
                <w:szCs w:val="20"/>
              </w:rPr>
              <w:t>Sí</w:t>
            </w:r>
          </w:p>
        </w:tc>
        <w:tc>
          <w:tcPr>
            <w:tcW w:w="1710" w:type="dxa"/>
            <w:tcBorders>
              <w:top w:val="single" w:sz="4" w:space="0" w:color="auto"/>
              <w:left w:val="single" w:sz="4" w:space="0" w:color="auto"/>
              <w:bottom w:val="single" w:sz="4" w:space="0" w:color="auto"/>
              <w:right w:val="single" w:sz="4" w:space="0" w:color="auto"/>
            </w:tcBorders>
          </w:tcPr>
          <w:p w14:paraId="430AA92D" w14:textId="4FCD0336" w:rsidR="00E85340" w:rsidRPr="00D2258D" w:rsidRDefault="00E85340" w:rsidP="00E85340">
            <w:pPr>
              <w:jc w:val="center"/>
              <w:rPr>
                <w:rFonts w:cstheme="minorHAnsi"/>
                <w:sz w:val="20"/>
                <w:szCs w:val="20"/>
              </w:rPr>
            </w:pPr>
            <w:r w:rsidRPr="00D2258D">
              <w:rPr>
                <w:rFonts w:cstheme="minorHAnsi"/>
                <w:sz w:val="20"/>
                <w:szCs w:val="20"/>
              </w:rPr>
              <w:t>Sí</w:t>
            </w:r>
          </w:p>
        </w:tc>
      </w:tr>
    </w:tbl>
    <w:p w14:paraId="3401097A" w14:textId="77777777" w:rsidR="00A53A59" w:rsidRDefault="00A53A59" w:rsidP="000A2DF8"/>
    <w:p w14:paraId="521EC0F2" w14:textId="472C2AEB" w:rsidR="005D2D12" w:rsidRDefault="005D2D12">
      <w:r>
        <w:br w:type="page"/>
      </w:r>
    </w:p>
    <w:p w14:paraId="53B6C43E" w14:textId="6D047A25" w:rsidR="00773863" w:rsidRDefault="005D2D12" w:rsidP="00773863">
      <w:pPr>
        <w:pStyle w:val="Heading1"/>
        <w:spacing w:after="240"/>
        <w:rPr>
          <w:lang w:val="es-419"/>
        </w:rPr>
      </w:pPr>
      <w:bookmarkStart w:id="131" w:name="_Toc210052802"/>
      <w:r w:rsidRPr="00756410">
        <w:rPr>
          <w:lang w:val="es-419"/>
        </w:rPr>
        <w:lastRenderedPageBreak/>
        <w:t>Anexo 8: Glosario</w:t>
      </w:r>
      <w:bookmarkEnd w:id="131"/>
    </w:p>
    <w:tbl>
      <w:tblPr>
        <w:tblStyle w:val="TableGridLight"/>
        <w:tblW w:w="0" w:type="auto"/>
        <w:tblLook w:val="04A0" w:firstRow="1" w:lastRow="0" w:firstColumn="1" w:lastColumn="0" w:noHBand="0" w:noVBand="1"/>
      </w:tblPr>
      <w:tblGrid>
        <w:gridCol w:w="1169"/>
        <w:gridCol w:w="8757"/>
      </w:tblGrid>
      <w:tr w:rsidR="00773863" w:rsidRPr="00EB70DB" w14:paraId="0E934EBB" w14:textId="77777777" w:rsidTr="00EB70DB">
        <w:trPr>
          <w:trHeight w:val="20"/>
          <w:tblHeader/>
        </w:trPr>
        <w:tc>
          <w:tcPr>
            <w:tcW w:w="0" w:type="auto"/>
            <w:shd w:val="clear" w:color="auto" w:fill="1F3864" w:themeFill="accent1" w:themeFillShade="80"/>
            <w:hideMark/>
          </w:tcPr>
          <w:p w14:paraId="5AE57A6B" w14:textId="2799766C" w:rsidR="00773863" w:rsidRPr="00EB70DB" w:rsidRDefault="00773863" w:rsidP="00EB70DB">
            <w:pPr>
              <w:spacing w:line="278" w:lineRule="auto"/>
              <w:rPr>
                <w:rFonts w:cstheme="minorHAnsi"/>
                <w:b/>
                <w:bCs/>
                <w:color w:val="FFFFFF" w:themeColor="background1"/>
                <w:sz w:val="20"/>
                <w:szCs w:val="20"/>
                <w:lang w:val="es-419"/>
              </w:rPr>
            </w:pPr>
            <w:r w:rsidRPr="00EB70DB">
              <w:rPr>
                <w:rFonts w:cstheme="minorHAnsi"/>
                <w:b/>
                <w:bCs/>
                <w:color w:val="FFFFFF" w:themeColor="background1"/>
                <w:sz w:val="20"/>
                <w:szCs w:val="20"/>
                <w:lang w:val="es-419"/>
              </w:rPr>
              <w:t>Acrónimo</w:t>
            </w:r>
          </w:p>
        </w:tc>
        <w:tc>
          <w:tcPr>
            <w:tcW w:w="0" w:type="auto"/>
            <w:shd w:val="clear" w:color="auto" w:fill="1F3864" w:themeFill="accent1" w:themeFillShade="80"/>
            <w:hideMark/>
          </w:tcPr>
          <w:p w14:paraId="30963C47" w14:textId="2DB0C210" w:rsidR="00773863" w:rsidRPr="00EB70DB" w:rsidRDefault="00773863" w:rsidP="00EB70DB">
            <w:pPr>
              <w:spacing w:line="278" w:lineRule="auto"/>
              <w:rPr>
                <w:rFonts w:cstheme="minorHAnsi"/>
                <w:b/>
                <w:bCs/>
                <w:color w:val="FFFFFF" w:themeColor="background1"/>
                <w:sz w:val="20"/>
                <w:szCs w:val="20"/>
                <w:lang w:val="es-419"/>
              </w:rPr>
            </w:pPr>
            <w:r w:rsidRPr="00EB70DB">
              <w:rPr>
                <w:rFonts w:cstheme="minorHAnsi"/>
                <w:b/>
                <w:bCs/>
                <w:color w:val="FFFFFF" w:themeColor="background1"/>
                <w:sz w:val="20"/>
                <w:szCs w:val="20"/>
                <w:lang w:val="es-419"/>
              </w:rPr>
              <w:t>Definición</w:t>
            </w:r>
          </w:p>
        </w:tc>
      </w:tr>
      <w:tr w:rsidR="00773863" w:rsidRPr="00EB70DB" w14:paraId="595F898D" w14:textId="77777777" w:rsidTr="00EB70DB">
        <w:trPr>
          <w:trHeight w:val="20"/>
        </w:trPr>
        <w:tc>
          <w:tcPr>
            <w:tcW w:w="0" w:type="auto"/>
            <w:hideMark/>
          </w:tcPr>
          <w:p w14:paraId="444014B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PNUD</w:t>
            </w:r>
          </w:p>
        </w:tc>
        <w:tc>
          <w:tcPr>
            <w:tcW w:w="0" w:type="auto"/>
            <w:hideMark/>
          </w:tcPr>
          <w:p w14:paraId="696817A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Programa de las Naciones Unidas para el Desarrollo (United Nations Development Programme, UNDP)</w:t>
            </w:r>
          </w:p>
        </w:tc>
      </w:tr>
      <w:tr w:rsidR="00773863" w:rsidRPr="00EB70DB" w14:paraId="4EB5E392" w14:textId="77777777" w:rsidTr="00EB70DB">
        <w:trPr>
          <w:trHeight w:val="20"/>
        </w:trPr>
        <w:tc>
          <w:tcPr>
            <w:tcW w:w="0" w:type="auto"/>
            <w:hideMark/>
          </w:tcPr>
          <w:p w14:paraId="412CCF0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w:t>
            </w:r>
          </w:p>
        </w:tc>
        <w:tc>
          <w:tcPr>
            <w:tcW w:w="0" w:type="auto"/>
            <w:hideMark/>
          </w:tcPr>
          <w:p w14:paraId="6F0FDD9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Bureau de Servicios de Gestión (Bureau for Management Services)</w:t>
            </w:r>
          </w:p>
        </w:tc>
      </w:tr>
      <w:tr w:rsidR="00773863" w:rsidRPr="00EB70DB" w14:paraId="29E032FF" w14:textId="77777777" w:rsidTr="00EB70DB">
        <w:trPr>
          <w:trHeight w:val="20"/>
        </w:trPr>
        <w:tc>
          <w:tcPr>
            <w:tcW w:w="0" w:type="auto"/>
            <w:hideMark/>
          </w:tcPr>
          <w:p w14:paraId="32E8248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OFRM</w:t>
            </w:r>
          </w:p>
        </w:tc>
        <w:tc>
          <w:tcPr>
            <w:tcW w:w="0" w:type="auto"/>
            <w:hideMark/>
          </w:tcPr>
          <w:p w14:paraId="0ECEAD6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Oficina de Gestión de Recursos Financieros (Office of Financial Resources Management)</w:t>
            </w:r>
          </w:p>
        </w:tc>
      </w:tr>
      <w:tr w:rsidR="00773863" w:rsidRPr="00EB70DB" w14:paraId="33C6D8F6" w14:textId="77777777" w:rsidTr="00EB70DB">
        <w:trPr>
          <w:trHeight w:val="20"/>
        </w:trPr>
        <w:tc>
          <w:tcPr>
            <w:tcW w:w="0" w:type="auto"/>
            <w:hideMark/>
          </w:tcPr>
          <w:p w14:paraId="191138E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ICF</w:t>
            </w:r>
          </w:p>
        </w:tc>
        <w:tc>
          <w:tcPr>
            <w:tcW w:w="0" w:type="auto"/>
            <w:hideMark/>
          </w:tcPr>
          <w:p w14:paraId="44C0CEB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Internal Control Framework (Marco de Control Interno)</w:t>
            </w:r>
          </w:p>
        </w:tc>
      </w:tr>
      <w:tr w:rsidR="00773863" w:rsidRPr="00EB70DB" w14:paraId="01C93312" w14:textId="77777777" w:rsidTr="00EB70DB">
        <w:trPr>
          <w:trHeight w:val="20"/>
        </w:trPr>
        <w:tc>
          <w:tcPr>
            <w:tcW w:w="0" w:type="auto"/>
            <w:hideMark/>
          </w:tcPr>
          <w:p w14:paraId="6E7E1BB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MCI</w:t>
            </w:r>
          </w:p>
        </w:tc>
        <w:tc>
          <w:tcPr>
            <w:tcW w:w="0" w:type="auto"/>
            <w:hideMark/>
          </w:tcPr>
          <w:p w14:paraId="76FA778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Marco de Control Interno (Internal Control Framework)</w:t>
            </w:r>
          </w:p>
        </w:tc>
      </w:tr>
      <w:tr w:rsidR="00773863" w:rsidRPr="00EB70DB" w14:paraId="4AE1C2B2" w14:textId="77777777" w:rsidTr="00EB70DB">
        <w:trPr>
          <w:trHeight w:val="20"/>
        </w:trPr>
        <w:tc>
          <w:tcPr>
            <w:tcW w:w="0" w:type="auto"/>
            <w:hideMark/>
          </w:tcPr>
          <w:p w14:paraId="1EB8DAB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POPP</w:t>
            </w:r>
          </w:p>
        </w:tc>
        <w:tc>
          <w:tcPr>
            <w:tcW w:w="0" w:type="auto"/>
            <w:hideMark/>
          </w:tcPr>
          <w:p w14:paraId="34AC23A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Programme and Operations Policies and Procedures (Políticas y Procedimientos de Programas y Operaciones)</w:t>
            </w:r>
          </w:p>
        </w:tc>
      </w:tr>
      <w:tr w:rsidR="00773863" w:rsidRPr="00EB70DB" w14:paraId="2C62BAC9" w14:textId="77777777" w:rsidTr="00EB70DB">
        <w:trPr>
          <w:trHeight w:val="20"/>
        </w:trPr>
        <w:tc>
          <w:tcPr>
            <w:tcW w:w="0" w:type="auto"/>
            <w:hideMark/>
          </w:tcPr>
          <w:p w14:paraId="51F7038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ERP</w:t>
            </w:r>
          </w:p>
        </w:tc>
        <w:tc>
          <w:tcPr>
            <w:tcW w:w="0" w:type="auto"/>
            <w:hideMark/>
          </w:tcPr>
          <w:p w14:paraId="0C4E215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Enterprise Resource Planning (Planificación de Recursos Empresariales)</w:t>
            </w:r>
          </w:p>
        </w:tc>
      </w:tr>
      <w:tr w:rsidR="00773863" w:rsidRPr="00EB70DB" w14:paraId="0C0E9CB1" w14:textId="77777777" w:rsidTr="00EB70DB">
        <w:trPr>
          <w:trHeight w:val="20"/>
        </w:trPr>
        <w:tc>
          <w:tcPr>
            <w:tcW w:w="0" w:type="auto"/>
            <w:hideMark/>
          </w:tcPr>
          <w:p w14:paraId="62A48E3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GSSC</w:t>
            </w:r>
          </w:p>
        </w:tc>
        <w:tc>
          <w:tcPr>
            <w:tcW w:w="0" w:type="auto"/>
            <w:hideMark/>
          </w:tcPr>
          <w:p w14:paraId="5DF145C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Global Shared Services Centre (Centro Global de Servicios Compartidos)</w:t>
            </w:r>
          </w:p>
        </w:tc>
      </w:tr>
      <w:tr w:rsidR="00773863" w:rsidRPr="00EB70DB" w14:paraId="7D2BD577" w14:textId="77777777" w:rsidTr="00EB70DB">
        <w:trPr>
          <w:trHeight w:val="20"/>
        </w:trPr>
        <w:tc>
          <w:tcPr>
            <w:tcW w:w="0" w:type="auto"/>
            <w:hideMark/>
          </w:tcPr>
          <w:p w14:paraId="279DEB0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BMS/GSSC</w:t>
            </w:r>
          </w:p>
        </w:tc>
        <w:tc>
          <w:tcPr>
            <w:tcW w:w="0" w:type="auto"/>
            <w:hideMark/>
          </w:tcPr>
          <w:p w14:paraId="704E0BE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Bureau de Servicios de Gestión / Global Shared Services Centre</w:t>
            </w:r>
          </w:p>
        </w:tc>
      </w:tr>
      <w:tr w:rsidR="00773863" w:rsidRPr="00EB70DB" w14:paraId="6DC96772" w14:textId="77777777" w:rsidTr="00EB70DB">
        <w:trPr>
          <w:trHeight w:val="20"/>
        </w:trPr>
        <w:tc>
          <w:tcPr>
            <w:tcW w:w="0" w:type="auto"/>
            <w:hideMark/>
          </w:tcPr>
          <w:p w14:paraId="15A91EC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CFO</w:t>
            </w:r>
          </w:p>
        </w:tc>
        <w:tc>
          <w:tcPr>
            <w:tcW w:w="0" w:type="auto"/>
            <w:hideMark/>
          </w:tcPr>
          <w:p w14:paraId="140DBAF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Chief Financial Officer (Contralor / Director Financiero)</w:t>
            </w:r>
          </w:p>
        </w:tc>
      </w:tr>
      <w:tr w:rsidR="00773863" w:rsidRPr="00EB70DB" w14:paraId="05D7FE93" w14:textId="77777777" w:rsidTr="00EB70DB">
        <w:trPr>
          <w:trHeight w:val="20"/>
        </w:trPr>
        <w:tc>
          <w:tcPr>
            <w:tcW w:w="0" w:type="auto"/>
            <w:hideMark/>
          </w:tcPr>
          <w:p w14:paraId="62926D9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CPO</w:t>
            </w:r>
          </w:p>
        </w:tc>
        <w:tc>
          <w:tcPr>
            <w:tcW w:w="0" w:type="auto"/>
            <w:hideMark/>
          </w:tcPr>
          <w:p w14:paraId="2682DFF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Chief Procurement Officer (Jefe de Adquisiciones)</w:t>
            </w:r>
          </w:p>
        </w:tc>
      </w:tr>
      <w:tr w:rsidR="00773863" w:rsidRPr="00EB70DB" w14:paraId="6FFF8469" w14:textId="77777777" w:rsidTr="00EB70DB">
        <w:trPr>
          <w:trHeight w:val="20"/>
        </w:trPr>
        <w:tc>
          <w:tcPr>
            <w:tcW w:w="0" w:type="auto"/>
            <w:hideMark/>
          </w:tcPr>
          <w:p w14:paraId="4A4E051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IDAM</w:t>
            </w:r>
          </w:p>
        </w:tc>
        <w:tc>
          <w:tcPr>
            <w:tcW w:w="0" w:type="auto"/>
            <w:hideMark/>
          </w:tcPr>
          <w:p w14:paraId="2E25822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Identity and Access Management (Gestión de Identidades y Accesos)</w:t>
            </w:r>
          </w:p>
        </w:tc>
      </w:tr>
      <w:tr w:rsidR="00773863" w:rsidRPr="00EB70DB" w14:paraId="0084A412" w14:textId="77777777" w:rsidTr="00EB70DB">
        <w:trPr>
          <w:trHeight w:val="20"/>
        </w:trPr>
        <w:tc>
          <w:tcPr>
            <w:tcW w:w="0" w:type="auto"/>
            <w:hideMark/>
          </w:tcPr>
          <w:p w14:paraId="3887935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Quantum</w:t>
            </w:r>
          </w:p>
        </w:tc>
        <w:tc>
          <w:tcPr>
            <w:tcW w:w="0" w:type="auto"/>
            <w:hideMark/>
          </w:tcPr>
          <w:p w14:paraId="442CAA0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(Nombre del sistema ERP del PNUD)</w:t>
            </w:r>
          </w:p>
        </w:tc>
      </w:tr>
      <w:tr w:rsidR="00773863" w:rsidRPr="00EB70DB" w14:paraId="5B627A25" w14:textId="77777777" w:rsidTr="00EB70DB">
        <w:trPr>
          <w:trHeight w:val="20"/>
        </w:trPr>
        <w:tc>
          <w:tcPr>
            <w:tcW w:w="0" w:type="auto"/>
            <w:hideMark/>
          </w:tcPr>
          <w:p w14:paraId="7B96F6D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UNall</w:t>
            </w:r>
          </w:p>
        </w:tc>
        <w:tc>
          <w:tcPr>
            <w:tcW w:w="0" w:type="auto"/>
            <w:hideMark/>
          </w:tcPr>
          <w:p w14:paraId="6989828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(Plataforma de servicios de la ONU)</w:t>
            </w:r>
          </w:p>
        </w:tc>
      </w:tr>
      <w:tr w:rsidR="00773863" w:rsidRPr="00EB70DB" w14:paraId="35959FF0" w14:textId="77777777" w:rsidTr="00EB70DB">
        <w:trPr>
          <w:trHeight w:val="20"/>
        </w:trPr>
        <w:tc>
          <w:tcPr>
            <w:tcW w:w="0" w:type="auto"/>
            <w:hideMark/>
          </w:tcPr>
          <w:p w14:paraId="6BF4C13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RRF</w:t>
            </w:r>
          </w:p>
        </w:tc>
        <w:tc>
          <w:tcPr>
            <w:tcW w:w="0" w:type="auto"/>
            <w:hideMark/>
          </w:tcPr>
          <w:p w14:paraId="27A665A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Reglamento Financiero y Reglamentación Financiera (Financial Rules and Regulations)</w:t>
            </w:r>
          </w:p>
        </w:tc>
      </w:tr>
      <w:tr w:rsidR="00773863" w:rsidRPr="00EB70DB" w14:paraId="00DF956D" w14:textId="77777777" w:rsidTr="00EB70DB">
        <w:trPr>
          <w:trHeight w:val="20"/>
        </w:trPr>
        <w:tc>
          <w:tcPr>
            <w:tcW w:w="0" w:type="auto"/>
            <w:hideMark/>
          </w:tcPr>
          <w:p w14:paraId="48259AD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L1</w:t>
            </w:r>
          </w:p>
        </w:tc>
        <w:tc>
          <w:tcPr>
            <w:tcW w:w="0" w:type="auto"/>
            <w:hideMark/>
          </w:tcPr>
          <w:p w14:paraId="65B2367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Nivel 1 (Level 1)</w:t>
            </w:r>
          </w:p>
        </w:tc>
      </w:tr>
      <w:tr w:rsidR="00773863" w:rsidRPr="00EB70DB" w14:paraId="60F6F779" w14:textId="77777777" w:rsidTr="00EB70DB">
        <w:trPr>
          <w:trHeight w:val="20"/>
        </w:trPr>
        <w:tc>
          <w:tcPr>
            <w:tcW w:w="0" w:type="auto"/>
            <w:hideMark/>
          </w:tcPr>
          <w:p w14:paraId="1C741A3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L2</w:t>
            </w:r>
          </w:p>
        </w:tc>
        <w:tc>
          <w:tcPr>
            <w:tcW w:w="0" w:type="auto"/>
            <w:hideMark/>
          </w:tcPr>
          <w:p w14:paraId="2D1D87F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Nivel 2 (Level 2)</w:t>
            </w:r>
          </w:p>
        </w:tc>
      </w:tr>
      <w:tr w:rsidR="00773863" w:rsidRPr="00EB70DB" w14:paraId="35481B9F" w14:textId="77777777" w:rsidTr="00EB70DB">
        <w:trPr>
          <w:trHeight w:val="20"/>
        </w:trPr>
        <w:tc>
          <w:tcPr>
            <w:tcW w:w="0" w:type="auto"/>
            <w:hideMark/>
          </w:tcPr>
          <w:p w14:paraId="7D80B72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BMS/OFRM</w:t>
            </w:r>
          </w:p>
        </w:tc>
        <w:tc>
          <w:tcPr>
            <w:tcW w:w="0" w:type="auto"/>
            <w:hideMark/>
          </w:tcPr>
          <w:p w14:paraId="4DFE712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Bureau de Servicios de Gestión / Oficina de Gestión de Recursos Financieros</w:t>
            </w:r>
          </w:p>
        </w:tc>
      </w:tr>
      <w:tr w:rsidR="00773863" w:rsidRPr="00EB70DB" w14:paraId="60E6C142" w14:textId="77777777" w:rsidTr="00EB70DB">
        <w:trPr>
          <w:trHeight w:val="20"/>
        </w:trPr>
        <w:tc>
          <w:tcPr>
            <w:tcW w:w="0" w:type="auto"/>
            <w:hideMark/>
          </w:tcPr>
          <w:p w14:paraId="2A58618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RR</w:t>
            </w:r>
          </w:p>
        </w:tc>
        <w:tc>
          <w:tcPr>
            <w:tcW w:w="0" w:type="auto"/>
            <w:hideMark/>
          </w:tcPr>
          <w:p w14:paraId="1BA3404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Representante Residente (Resident Representative)</w:t>
            </w:r>
          </w:p>
        </w:tc>
      </w:tr>
      <w:tr w:rsidR="00773863" w:rsidRPr="00EB70DB" w14:paraId="3F400E5A" w14:textId="77777777" w:rsidTr="00EB70DB">
        <w:trPr>
          <w:trHeight w:val="20"/>
        </w:trPr>
        <w:tc>
          <w:tcPr>
            <w:tcW w:w="0" w:type="auto"/>
            <w:hideMark/>
          </w:tcPr>
          <w:p w14:paraId="0F90E16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RRD</w:t>
            </w:r>
          </w:p>
        </w:tc>
        <w:tc>
          <w:tcPr>
            <w:tcW w:w="0" w:type="auto"/>
            <w:hideMark/>
          </w:tcPr>
          <w:p w14:paraId="44244A3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Representante Residente Adjunto (Deputy Resident Representative)</w:t>
            </w:r>
          </w:p>
        </w:tc>
      </w:tr>
      <w:tr w:rsidR="00773863" w:rsidRPr="00EB70DB" w14:paraId="555D0442" w14:textId="77777777" w:rsidTr="00EB70DB">
        <w:trPr>
          <w:trHeight w:val="20"/>
        </w:trPr>
        <w:tc>
          <w:tcPr>
            <w:tcW w:w="0" w:type="auto"/>
            <w:hideMark/>
          </w:tcPr>
          <w:p w14:paraId="17735B8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OM</w:t>
            </w:r>
          </w:p>
        </w:tc>
        <w:tc>
          <w:tcPr>
            <w:tcW w:w="0" w:type="auto"/>
            <w:hideMark/>
          </w:tcPr>
          <w:p w14:paraId="3F8B12C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Gerente de Operaciones (Operations Manager)</w:t>
            </w:r>
          </w:p>
        </w:tc>
      </w:tr>
      <w:tr w:rsidR="00773863" w:rsidRPr="00EB70DB" w14:paraId="325CB813" w14:textId="77777777" w:rsidTr="00EB70DB">
        <w:trPr>
          <w:trHeight w:val="20"/>
        </w:trPr>
        <w:tc>
          <w:tcPr>
            <w:tcW w:w="0" w:type="auto"/>
            <w:hideMark/>
          </w:tcPr>
          <w:p w14:paraId="6C79443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PSA</w:t>
            </w:r>
          </w:p>
        </w:tc>
        <w:tc>
          <w:tcPr>
            <w:tcW w:w="0" w:type="auto"/>
            <w:hideMark/>
          </w:tcPr>
          <w:p w14:paraId="033C10C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Personal Services Agreement (Acuerdo de Servicios de Personal)</w:t>
            </w:r>
          </w:p>
        </w:tc>
      </w:tr>
      <w:tr w:rsidR="00773863" w:rsidRPr="00EB70DB" w14:paraId="4CE952C6" w14:textId="77777777" w:rsidTr="00EB70DB">
        <w:trPr>
          <w:trHeight w:val="20"/>
        </w:trPr>
        <w:tc>
          <w:tcPr>
            <w:tcW w:w="0" w:type="auto"/>
            <w:hideMark/>
          </w:tcPr>
          <w:p w14:paraId="2A0E8E9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RLA</w:t>
            </w:r>
          </w:p>
        </w:tc>
        <w:tc>
          <w:tcPr>
            <w:tcW w:w="0" w:type="auto"/>
            <w:hideMark/>
          </w:tcPr>
          <w:p w14:paraId="0B801D1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Reimbursable Loan Agreement (Acuerdo de Préstamo Reembolsable)</w:t>
            </w:r>
          </w:p>
        </w:tc>
      </w:tr>
      <w:tr w:rsidR="00773863" w:rsidRPr="00EB70DB" w14:paraId="651B8969" w14:textId="77777777" w:rsidTr="00EB70DB">
        <w:trPr>
          <w:trHeight w:val="20"/>
        </w:trPr>
        <w:tc>
          <w:tcPr>
            <w:tcW w:w="0" w:type="auto"/>
            <w:hideMark/>
          </w:tcPr>
          <w:p w14:paraId="2E19581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NRLA</w:t>
            </w:r>
          </w:p>
        </w:tc>
        <w:tc>
          <w:tcPr>
            <w:tcW w:w="0" w:type="auto"/>
            <w:hideMark/>
          </w:tcPr>
          <w:p w14:paraId="1D551BE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Non-Reimbursable Loan Agreement (Acuerdo de Préstamo No Reembolsable)</w:t>
            </w:r>
          </w:p>
        </w:tc>
      </w:tr>
      <w:tr w:rsidR="00773863" w:rsidRPr="00EB70DB" w14:paraId="429C7D26" w14:textId="77777777" w:rsidTr="00EB70DB">
        <w:trPr>
          <w:trHeight w:val="20"/>
        </w:trPr>
        <w:tc>
          <w:tcPr>
            <w:tcW w:w="0" w:type="auto"/>
            <w:hideMark/>
          </w:tcPr>
          <w:p w14:paraId="6C7378F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VNU</w:t>
            </w:r>
          </w:p>
        </w:tc>
        <w:tc>
          <w:tcPr>
            <w:tcW w:w="0" w:type="auto"/>
            <w:hideMark/>
          </w:tcPr>
          <w:p w14:paraId="24F4137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Voluntarios de las Naciones Unidas (United Nations Volunteers)</w:t>
            </w:r>
          </w:p>
        </w:tc>
      </w:tr>
      <w:tr w:rsidR="00773863" w:rsidRPr="00EB70DB" w14:paraId="74A16B48" w14:textId="77777777" w:rsidTr="00EB70DB">
        <w:trPr>
          <w:trHeight w:val="20"/>
        </w:trPr>
        <w:tc>
          <w:tcPr>
            <w:tcW w:w="0" w:type="auto"/>
            <w:hideMark/>
          </w:tcPr>
          <w:p w14:paraId="0879F36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IC</w:t>
            </w:r>
          </w:p>
        </w:tc>
        <w:tc>
          <w:tcPr>
            <w:tcW w:w="0" w:type="auto"/>
            <w:hideMark/>
          </w:tcPr>
          <w:p w14:paraId="497A51D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Individual Contractor (Contratista Individual)</w:t>
            </w:r>
          </w:p>
        </w:tc>
      </w:tr>
      <w:tr w:rsidR="00773863" w:rsidRPr="00EB70DB" w14:paraId="244B0C4C" w14:textId="77777777" w:rsidTr="00EB70DB">
        <w:trPr>
          <w:trHeight w:val="20"/>
        </w:trPr>
        <w:tc>
          <w:tcPr>
            <w:tcW w:w="0" w:type="auto"/>
            <w:hideMark/>
          </w:tcPr>
          <w:p w14:paraId="6F9D976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FTA</w:t>
            </w:r>
          </w:p>
        </w:tc>
        <w:tc>
          <w:tcPr>
            <w:tcW w:w="0" w:type="auto"/>
            <w:hideMark/>
          </w:tcPr>
          <w:p w14:paraId="0BC51F3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Fixed-Term Appointment (Nombramiento de Plazo Fijo)</w:t>
            </w:r>
          </w:p>
        </w:tc>
      </w:tr>
      <w:tr w:rsidR="00773863" w:rsidRPr="00EB70DB" w14:paraId="1D47BD48" w14:textId="77777777" w:rsidTr="00EB70DB">
        <w:trPr>
          <w:trHeight w:val="20"/>
        </w:trPr>
        <w:tc>
          <w:tcPr>
            <w:tcW w:w="0" w:type="auto"/>
            <w:hideMark/>
          </w:tcPr>
          <w:p w14:paraId="6E23837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TA</w:t>
            </w:r>
          </w:p>
        </w:tc>
        <w:tc>
          <w:tcPr>
            <w:tcW w:w="0" w:type="auto"/>
            <w:hideMark/>
          </w:tcPr>
          <w:p w14:paraId="6378685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Temporary Appointment (Nombramiento Temporal)</w:t>
            </w:r>
          </w:p>
        </w:tc>
      </w:tr>
      <w:tr w:rsidR="00773863" w:rsidRPr="00EB70DB" w14:paraId="1E6D3516" w14:textId="77777777" w:rsidTr="00EB70DB">
        <w:trPr>
          <w:trHeight w:val="20"/>
        </w:trPr>
        <w:tc>
          <w:tcPr>
            <w:tcW w:w="0" w:type="auto"/>
            <w:hideMark/>
          </w:tcPr>
          <w:p w14:paraId="6435274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CA/PA</w:t>
            </w:r>
          </w:p>
        </w:tc>
        <w:tc>
          <w:tcPr>
            <w:tcW w:w="0" w:type="auto"/>
            <w:hideMark/>
          </w:tcPr>
          <w:p w14:paraId="6631C55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Continuing Appointment / Permanent Appointment (Nombramiento Continuo / Permanente)</w:t>
            </w:r>
          </w:p>
        </w:tc>
      </w:tr>
      <w:tr w:rsidR="00773863" w:rsidRPr="00EB70DB" w14:paraId="1AA40B24" w14:textId="77777777" w:rsidTr="00EB70DB">
        <w:trPr>
          <w:trHeight w:val="20"/>
        </w:trPr>
        <w:tc>
          <w:tcPr>
            <w:tcW w:w="0" w:type="auto"/>
            <w:hideMark/>
          </w:tcPr>
          <w:p w14:paraId="5E9A5E9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AML</w:t>
            </w:r>
          </w:p>
        </w:tc>
        <w:tc>
          <w:tcPr>
            <w:tcW w:w="0" w:type="auto"/>
            <w:hideMark/>
          </w:tcPr>
          <w:p w14:paraId="632B994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Anti-Money Laundering (Lucha contra el lavado de dinero)</w:t>
            </w:r>
          </w:p>
        </w:tc>
      </w:tr>
      <w:tr w:rsidR="00773863" w:rsidRPr="00EB70DB" w14:paraId="33A6D47D" w14:textId="77777777" w:rsidTr="00EB70DB">
        <w:trPr>
          <w:trHeight w:val="20"/>
        </w:trPr>
        <w:tc>
          <w:tcPr>
            <w:tcW w:w="0" w:type="auto"/>
            <w:hideMark/>
          </w:tcPr>
          <w:p w14:paraId="224C2F7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CFT</w:t>
            </w:r>
          </w:p>
        </w:tc>
        <w:tc>
          <w:tcPr>
            <w:tcW w:w="0" w:type="auto"/>
            <w:hideMark/>
          </w:tcPr>
          <w:p w14:paraId="5FC56B0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Counter Financing of Terrorism (Lucha contra el financiamiento del terrorismo)</w:t>
            </w:r>
          </w:p>
        </w:tc>
      </w:tr>
      <w:tr w:rsidR="00773863" w:rsidRPr="00EB70DB" w14:paraId="470B6A9F" w14:textId="77777777" w:rsidTr="00EB70DB">
        <w:trPr>
          <w:trHeight w:val="20"/>
        </w:trPr>
        <w:tc>
          <w:tcPr>
            <w:tcW w:w="0" w:type="auto"/>
            <w:hideMark/>
          </w:tcPr>
          <w:p w14:paraId="2232920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AML/CFT</w:t>
            </w:r>
          </w:p>
        </w:tc>
        <w:tc>
          <w:tcPr>
            <w:tcW w:w="0" w:type="auto"/>
            <w:hideMark/>
          </w:tcPr>
          <w:p w14:paraId="091A0A5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Anti-Money Laundering / Counter Financing of Terrorism</w:t>
            </w:r>
          </w:p>
        </w:tc>
      </w:tr>
      <w:tr w:rsidR="00773863" w:rsidRPr="00EB70DB" w14:paraId="71E5BE3C" w14:textId="77777777" w:rsidTr="00EB70DB">
        <w:trPr>
          <w:trHeight w:val="20"/>
        </w:trPr>
        <w:tc>
          <w:tcPr>
            <w:tcW w:w="0" w:type="auto"/>
            <w:hideMark/>
          </w:tcPr>
          <w:p w14:paraId="1C06266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OAI</w:t>
            </w:r>
          </w:p>
        </w:tc>
        <w:tc>
          <w:tcPr>
            <w:tcW w:w="0" w:type="auto"/>
            <w:hideMark/>
          </w:tcPr>
          <w:p w14:paraId="32FB688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Office of Audit and Investigations (Oficina de Auditoría e Investigaciones)</w:t>
            </w:r>
          </w:p>
        </w:tc>
      </w:tr>
      <w:tr w:rsidR="00773863" w:rsidRPr="00EB70DB" w14:paraId="0597D8F5" w14:textId="77777777" w:rsidTr="00EB70DB">
        <w:trPr>
          <w:trHeight w:val="20"/>
        </w:trPr>
        <w:tc>
          <w:tcPr>
            <w:tcW w:w="0" w:type="auto"/>
            <w:hideMark/>
          </w:tcPr>
          <w:p w14:paraId="15BFF0A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FRR</w:t>
            </w:r>
          </w:p>
        </w:tc>
        <w:tc>
          <w:tcPr>
            <w:tcW w:w="0" w:type="auto"/>
            <w:hideMark/>
          </w:tcPr>
          <w:p w14:paraId="7F80A71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Financial Rules and Regulations (Reglamento Financiero y Reglamentación Financiera)</w:t>
            </w:r>
          </w:p>
        </w:tc>
      </w:tr>
      <w:tr w:rsidR="00773863" w:rsidRPr="00EB70DB" w14:paraId="4AA11283" w14:textId="77777777" w:rsidTr="00EB70DB">
        <w:trPr>
          <w:trHeight w:val="20"/>
        </w:trPr>
        <w:tc>
          <w:tcPr>
            <w:tcW w:w="0" w:type="auto"/>
            <w:hideMark/>
          </w:tcPr>
          <w:p w14:paraId="2D6AE52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DOA</w:t>
            </w:r>
          </w:p>
        </w:tc>
        <w:tc>
          <w:tcPr>
            <w:tcW w:w="0" w:type="auto"/>
            <w:hideMark/>
          </w:tcPr>
          <w:p w14:paraId="78E6D5B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Delegation of Authority (Delegación de Autoridad)</w:t>
            </w:r>
          </w:p>
        </w:tc>
      </w:tr>
      <w:tr w:rsidR="00773863" w:rsidRPr="00EB70DB" w14:paraId="2EE3C766" w14:textId="77777777" w:rsidTr="00EB70DB">
        <w:trPr>
          <w:trHeight w:val="20"/>
        </w:trPr>
        <w:tc>
          <w:tcPr>
            <w:tcW w:w="0" w:type="auto"/>
            <w:hideMark/>
          </w:tcPr>
          <w:p w14:paraId="2050076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ACP</w:t>
            </w:r>
          </w:p>
        </w:tc>
        <w:tc>
          <w:tcPr>
            <w:tcW w:w="0" w:type="auto"/>
            <w:hideMark/>
          </w:tcPr>
          <w:p w14:paraId="3937DB4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Advisory Committee on Procurement (Comité Asesor de Adquisiciones)</w:t>
            </w:r>
          </w:p>
        </w:tc>
      </w:tr>
      <w:tr w:rsidR="00773863" w:rsidRPr="00EB70DB" w14:paraId="04948F7D" w14:textId="77777777" w:rsidTr="00EB70DB">
        <w:trPr>
          <w:trHeight w:val="20"/>
        </w:trPr>
        <w:tc>
          <w:tcPr>
            <w:tcW w:w="0" w:type="auto"/>
            <w:hideMark/>
          </w:tcPr>
          <w:p w14:paraId="73656C0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RACP</w:t>
            </w:r>
          </w:p>
        </w:tc>
        <w:tc>
          <w:tcPr>
            <w:tcW w:w="0" w:type="auto"/>
            <w:hideMark/>
          </w:tcPr>
          <w:p w14:paraId="14EDDF1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Regional Advisory Committee on Procurement (Comité Asesor Regional de Adquisiciones)</w:t>
            </w:r>
          </w:p>
        </w:tc>
      </w:tr>
      <w:tr w:rsidR="00773863" w:rsidRPr="00EB70DB" w14:paraId="76ECA58C" w14:textId="77777777" w:rsidTr="00EB70DB">
        <w:trPr>
          <w:trHeight w:val="20"/>
        </w:trPr>
        <w:tc>
          <w:tcPr>
            <w:tcW w:w="0" w:type="auto"/>
            <w:hideMark/>
          </w:tcPr>
          <w:p w14:paraId="525153E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CAP</w:t>
            </w:r>
          </w:p>
        </w:tc>
        <w:tc>
          <w:tcPr>
            <w:tcW w:w="0" w:type="auto"/>
            <w:hideMark/>
          </w:tcPr>
          <w:p w14:paraId="150B8B5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Contracts, Assets and Procurement Committee (Comité de Contratos, Activos y Adquisiciones)</w:t>
            </w:r>
          </w:p>
        </w:tc>
      </w:tr>
      <w:tr w:rsidR="00773863" w:rsidRPr="00EB70DB" w14:paraId="1F30489A" w14:textId="77777777" w:rsidTr="00EB70DB">
        <w:trPr>
          <w:trHeight w:val="20"/>
        </w:trPr>
        <w:tc>
          <w:tcPr>
            <w:tcW w:w="0" w:type="auto"/>
            <w:hideMark/>
          </w:tcPr>
          <w:p w14:paraId="6F97E71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CAPC</w:t>
            </w:r>
          </w:p>
        </w:tc>
        <w:tc>
          <w:tcPr>
            <w:tcW w:w="0" w:type="auto"/>
            <w:hideMark/>
          </w:tcPr>
          <w:p w14:paraId="318A3C1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Contracts, Assets and Procurement Committee (Comité de Contratos, Activos y Adquisiciones)</w:t>
            </w:r>
          </w:p>
        </w:tc>
      </w:tr>
      <w:tr w:rsidR="00773863" w:rsidRPr="00EB70DB" w14:paraId="20CD2791" w14:textId="77777777" w:rsidTr="00EB70DB">
        <w:trPr>
          <w:trHeight w:val="20"/>
        </w:trPr>
        <w:tc>
          <w:tcPr>
            <w:tcW w:w="0" w:type="auto"/>
            <w:hideMark/>
          </w:tcPr>
          <w:p w14:paraId="1A5DF44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SOP</w:t>
            </w:r>
          </w:p>
        </w:tc>
        <w:tc>
          <w:tcPr>
            <w:tcW w:w="0" w:type="auto"/>
            <w:hideMark/>
          </w:tcPr>
          <w:p w14:paraId="2171AB8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Standard Operating Procedure (Procedimiento Operativo Estándar)</w:t>
            </w:r>
          </w:p>
        </w:tc>
      </w:tr>
      <w:tr w:rsidR="00773863" w:rsidRPr="00EB70DB" w14:paraId="4B84E8E8" w14:textId="77777777" w:rsidTr="00EB70DB">
        <w:trPr>
          <w:trHeight w:val="20"/>
        </w:trPr>
        <w:tc>
          <w:tcPr>
            <w:tcW w:w="0" w:type="auto"/>
            <w:hideMark/>
          </w:tcPr>
          <w:p w14:paraId="7973A5E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ARR</w:t>
            </w:r>
          </w:p>
        </w:tc>
        <w:tc>
          <w:tcPr>
            <w:tcW w:w="0" w:type="auto"/>
            <w:hideMark/>
          </w:tcPr>
          <w:p w14:paraId="64AFE8D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Assistant Resident Representative (Representante Residente Auxiliar)</w:t>
            </w:r>
          </w:p>
        </w:tc>
      </w:tr>
      <w:tr w:rsidR="00773863" w:rsidRPr="00EB70DB" w14:paraId="4543D034" w14:textId="77777777" w:rsidTr="00EB70DB">
        <w:trPr>
          <w:trHeight w:val="20"/>
        </w:trPr>
        <w:tc>
          <w:tcPr>
            <w:tcW w:w="0" w:type="auto"/>
            <w:hideMark/>
          </w:tcPr>
          <w:p w14:paraId="44E7F3D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lastRenderedPageBreak/>
              <w:t>UAP</w:t>
            </w:r>
          </w:p>
        </w:tc>
        <w:tc>
          <w:tcPr>
            <w:tcW w:w="0" w:type="auto"/>
            <w:hideMark/>
          </w:tcPr>
          <w:p w14:paraId="11820D4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Unidad de Apoyo al Programa (Programme Support Unit, PSU)</w:t>
            </w:r>
          </w:p>
        </w:tc>
      </w:tr>
      <w:tr w:rsidR="00773863" w:rsidRPr="00EB70DB" w14:paraId="7E369794" w14:textId="77777777" w:rsidTr="00EB70DB">
        <w:trPr>
          <w:trHeight w:val="20"/>
        </w:trPr>
        <w:tc>
          <w:tcPr>
            <w:tcW w:w="0" w:type="auto"/>
            <w:hideMark/>
          </w:tcPr>
          <w:p w14:paraId="5597475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PSU</w:t>
            </w:r>
          </w:p>
        </w:tc>
        <w:tc>
          <w:tcPr>
            <w:tcW w:w="0" w:type="auto"/>
            <w:hideMark/>
          </w:tcPr>
          <w:p w14:paraId="27979B8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Programme Support Unit (Unidad de Apoyo al Programa)</w:t>
            </w:r>
          </w:p>
        </w:tc>
      </w:tr>
      <w:tr w:rsidR="00773863" w:rsidRPr="00EB70DB" w14:paraId="1A3BEAED" w14:textId="77777777" w:rsidTr="00EB70DB">
        <w:trPr>
          <w:trHeight w:val="20"/>
        </w:trPr>
        <w:tc>
          <w:tcPr>
            <w:tcW w:w="0" w:type="auto"/>
            <w:hideMark/>
          </w:tcPr>
          <w:p w14:paraId="0F620D8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PMSU</w:t>
            </w:r>
          </w:p>
        </w:tc>
        <w:tc>
          <w:tcPr>
            <w:tcW w:w="0" w:type="auto"/>
            <w:hideMark/>
          </w:tcPr>
          <w:p w14:paraId="3FAE3BE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Programme Management Support Unit (Unidad de Apoyo a la Gestión de Proyectos)</w:t>
            </w:r>
          </w:p>
        </w:tc>
      </w:tr>
      <w:tr w:rsidR="00773863" w:rsidRPr="00EB70DB" w14:paraId="6AA253E4" w14:textId="77777777" w:rsidTr="00EB70DB">
        <w:trPr>
          <w:trHeight w:val="20"/>
        </w:trPr>
        <w:tc>
          <w:tcPr>
            <w:tcW w:w="0" w:type="auto"/>
            <w:hideMark/>
          </w:tcPr>
          <w:p w14:paraId="07B044D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NEX</w:t>
            </w:r>
          </w:p>
        </w:tc>
        <w:tc>
          <w:tcPr>
            <w:tcW w:w="0" w:type="auto"/>
            <w:hideMark/>
          </w:tcPr>
          <w:p w14:paraId="104CBAA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National Execution (Ejecución Nacional)</w:t>
            </w:r>
          </w:p>
        </w:tc>
      </w:tr>
      <w:tr w:rsidR="00773863" w:rsidRPr="00EB70DB" w14:paraId="469E6A23" w14:textId="77777777" w:rsidTr="00EB70DB">
        <w:trPr>
          <w:trHeight w:val="20"/>
        </w:trPr>
        <w:tc>
          <w:tcPr>
            <w:tcW w:w="0" w:type="auto"/>
            <w:hideMark/>
          </w:tcPr>
          <w:p w14:paraId="707931E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PCA</w:t>
            </w:r>
          </w:p>
        </w:tc>
        <w:tc>
          <w:tcPr>
            <w:tcW w:w="0" w:type="auto"/>
            <w:hideMark/>
          </w:tcPr>
          <w:p w14:paraId="747BA60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Project Cooperation Agreement (Acuerdo de Cooperación de Proyecto)</w:t>
            </w:r>
          </w:p>
        </w:tc>
      </w:tr>
      <w:tr w:rsidR="00773863" w:rsidRPr="00EB70DB" w14:paraId="7D8F61A3" w14:textId="77777777" w:rsidTr="00EB70DB">
        <w:trPr>
          <w:trHeight w:val="20"/>
        </w:trPr>
        <w:tc>
          <w:tcPr>
            <w:tcW w:w="0" w:type="auto"/>
            <w:hideMark/>
          </w:tcPr>
          <w:p w14:paraId="465A8EB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COA</w:t>
            </w:r>
          </w:p>
        </w:tc>
        <w:tc>
          <w:tcPr>
            <w:tcW w:w="0" w:type="auto"/>
            <w:hideMark/>
          </w:tcPr>
          <w:p w14:paraId="1B21DFB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Chart of Accounts (Plan de Cuentas)</w:t>
            </w:r>
          </w:p>
        </w:tc>
      </w:tr>
      <w:tr w:rsidR="00773863" w:rsidRPr="00EB70DB" w14:paraId="7429C6FD" w14:textId="77777777" w:rsidTr="00EB70DB">
        <w:trPr>
          <w:trHeight w:val="20"/>
        </w:trPr>
        <w:tc>
          <w:tcPr>
            <w:tcW w:w="0" w:type="auto"/>
            <w:hideMark/>
          </w:tcPr>
          <w:p w14:paraId="00A1B05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ASL</w:t>
            </w:r>
          </w:p>
        </w:tc>
        <w:tc>
          <w:tcPr>
            <w:tcW w:w="0" w:type="auto"/>
            <w:hideMark/>
          </w:tcPr>
          <w:p w14:paraId="55F6B27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Authorized Spending Limit (Límite de Gasto Autorizado)</w:t>
            </w:r>
          </w:p>
        </w:tc>
      </w:tr>
      <w:tr w:rsidR="00773863" w:rsidRPr="00EB70DB" w14:paraId="78D2AB6C" w14:textId="77777777" w:rsidTr="00EB70DB">
        <w:trPr>
          <w:trHeight w:val="20"/>
        </w:trPr>
        <w:tc>
          <w:tcPr>
            <w:tcW w:w="0" w:type="auto"/>
            <w:hideMark/>
          </w:tcPr>
          <w:p w14:paraId="01C3C6F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LOA</w:t>
            </w:r>
          </w:p>
        </w:tc>
        <w:tc>
          <w:tcPr>
            <w:tcW w:w="0" w:type="auto"/>
            <w:hideMark/>
          </w:tcPr>
          <w:p w14:paraId="4EB45FF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Letter of Agreement (Carta de Acuerdo)</w:t>
            </w:r>
          </w:p>
        </w:tc>
      </w:tr>
      <w:tr w:rsidR="00773863" w:rsidRPr="00EB70DB" w14:paraId="1B4F2574" w14:textId="77777777" w:rsidTr="00EB70DB">
        <w:trPr>
          <w:trHeight w:val="20"/>
        </w:trPr>
        <w:tc>
          <w:tcPr>
            <w:tcW w:w="0" w:type="auto"/>
            <w:hideMark/>
          </w:tcPr>
          <w:p w14:paraId="4507488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MOU</w:t>
            </w:r>
          </w:p>
        </w:tc>
        <w:tc>
          <w:tcPr>
            <w:tcW w:w="0" w:type="auto"/>
            <w:hideMark/>
          </w:tcPr>
          <w:p w14:paraId="4375DA9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Memorandum of Understanding (Memorando de Entendimiento)</w:t>
            </w:r>
          </w:p>
        </w:tc>
      </w:tr>
      <w:tr w:rsidR="00773863" w:rsidRPr="00EB70DB" w14:paraId="0B4B2D16" w14:textId="77777777" w:rsidTr="00EB70DB">
        <w:trPr>
          <w:trHeight w:val="20"/>
        </w:trPr>
        <w:tc>
          <w:tcPr>
            <w:tcW w:w="0" w:type="auto"/>
            <w:hideMark/>
          </w:tcPr>
          <w:p w14:paraId="465C83C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MOA</w:t>
            </w:r>
          </w:p>
        </w:tc>
        <w:tc>
          <w:tcPr>
            <w:tcW w:w="0" w:type="auto"/>
            <w:hideMark/>
          </w:tcPr>
          <w:p w14:paraId="6637F1F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Memorandum of Agreement (Memorando de Acuerdo)</w:t>
            </w:r>
          </w:p>
        </w:tc>
      </w:tr>
      <w:tr w:rsidR="00773863" w:rsidRPr="00EB70DB" w14:paraId="5216AED5" w14:textId="77777777" w:rsidTr="00EB70DB">
        <w:trPr>
          <w:trHeight w:val="20"/>
        </w:trPr>
        <w:tc>
          <w:tcPr>
            <w:tcW w:w="0" w:type="auto"/>
            <w:hideMark/>
          </w:tcPr>
          <w:p w14:paraId="5E0D64F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HACT</w:t>
            </w:r>
          </w:p>
        </w:tc>
        <w:tc>
          <w:tcPr>
            <w:tcW w:w="0" w:type="auto"/>
            <w:hideMark/>
          </w:tcPr>
          <w:p w14:paraId="42E7CFA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Harmonized Approach to Cash Transfers (Método Armonizado para las Transferencias en Efectivo)</w:t>
            </w:r>
          </w:p>
        </w:tc>
      </w:tr>
      <w:tr w:rsidR="00773863" w:rsidRPr="00EB70DB" w14:paraId="10F4A17A" w14:textId="77777777" w:rsidTr="00EB70DB">
        <w:trPr>
          <w:trHeight w:val="20"/>
        </w:trPr>
        <w:tc>
          <w:tcPr>
            <w:tcW w:w="0" w:type="auto"/>
            <w:hideMark/>
          </w:tcPr>
          <w:p w14:paraId="4B3E07C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IP</w:t>
            </w:r>
          </w:p>
        </w:tc>
        <w:tc>
          <w:tcPr>
            <w:tcW w:w="0" w:type="auto"/>
            <w:hideMark/>
          </w:tcPr>
          <w:p w14:paraId="25BE4F4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Implementing Partner (Socio Implementador)</w:t>
            </w:r>
          </w:p>
        </w:tc>
      </w:tr>
      <w:tr w:rsidR="00773863" w:rsidRPr="00EB70DB" w14:paraId="05669022" w14:textId="77777777" w:rsidTr="00EB70DB">
        <w:trPr>
          <w:trHeight w:val="20"/>
        </w:trPr>
        <w:tc>
          <w:tcPr>
            <w:tcW w:w="0" w:type="auto"/>
            <w:hideMark/>
          </w:tcPr>
          <w:p w14:paraId="13E385C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SCA</w:t>
            </w:r>
          </w:p>
        </w:tc>
        <w:tc>
          <w:tcPr>
            <w:tcW w:w="0" w:type="auto"/>
            <w:hideMark/>
          </w:tcPr>
          <w:p w14:paraId="1A8F456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Service Clearing Account (Cuenta de Compensación de Servicios)</w:t>
            </w:r>
          </w:p>
        </w:tc>
      </w:tr>
      <w:tr w:rsidR="00773863" w:rsidRPr="00EB70DB" w14:paraId="276BD0AE" w14:textId="77777777" w:rsidTr="00EB70DB">
        <w:trPr>
          <w:trHeight w:val="20"/>
        </w:trPr>
        <w:tc>
          <w:tcPr>
            <w:tcW w:w="0" w:type="auto"/>
            <w:hideMark/>
          </w:tcPr>
          <w:p w14:paraId="4AB42AA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SLA</w:t>
            </w:r>
          </w:p>
        </w:tc>
        <w:tc>
          <w:tcPr>
            <w:tcW w:w="0" w:type="auto"/>
            <w:hideMark/>
          </w:tcPr>
          <w:p w14:paraId="7CD58C1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Service Level Agreement (Acuerdo de Nivel de Servicio)</w:t>
            </w:r>
          </w:p>
        </w:tc>
      </w:tr>
      <w:tr w:rsidR="00773863" w:rsidRPr="00EB70DB" w14:paraId="75FF91C8" w14:textId="77777777" w:rsidTr="00EB70DB">
        <w:trPr>
          <w:trHeight w:val="20"/>
        </w:trPr>
        <w:tc>
          <w:tcPr>
            <w:tcW w:w="0" w:type="auto"/>
            <w:hideMark/>
          </w:tcPr>
          <w:p w14:paraId="6E316EF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GMS</w:t>
            </w:r>
          </w:p>
        </w:tc>
        <w:tc>
          <w:tcPr>
            <w:tcW w:w="0" w:type="auto"/>
            <w:hideMark/>
          </w:tcPr>
          <w:p w14:paraId="797AC5B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General Management Support (Apoyo General de Gestión)</w:t>
            </w:r>
          </w:p>
        </w:tc>
      </w:tr>
      <w:tr w:rsidR="00773863" w:rsidRPr="00EB70DB" w14:paraId="4EA10DCC" w14:textId="77777777" w:rsidTr="00EB70DB">
        <w:trPr>
          <w:trHeight w:val="20"/>
        </w:trPr>
        <w:tc>
          <w:tcPr>
            <w:tcW w:w="0" w:type="auto"/>
            <w:hideMark/>
          </w:tcPr>
          <w:p w14:paraId="6888AE8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FMAM</w:t>
            </w:r>
          </w:p>
        </w:tc>
        <w:tc>
          <w:tcPr>
            <w:tcW w:w="0" w:type="auto"/>
            <w:hideMark/>
          </w:tcPr>
          <w:p w14:paraId="5E9D2BA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Fondo para el Medio Ambiente Mundial (Global Environment Facility, GEF)</w:t>
            </w:r>
          </w:p>
        </w:tc>
      </w:tr>
      <w:tr w:rsidR="00773863" w:rsidRPr="00EB70DB" w14:paraId="6A2A3A31" w14:textId="77777777" w:rsidTr="00EB70DB">
        <w:trPr>
          <w:trHeight w:val="20"/>
        </w:trPr>
        <w:tc>
          <w:tcPr>
            <w:tcW w:w="0" w:type="auto"/>
            <w:hideMark/>
          </w:tcPr>
          <w:p w14:paraId="139B1A5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GEF</w:t>
            </w:r>
          </w:p>
        </w:tc>
        <w:tc>
          <w:tcPr>
            <w:tcW w:w="0" w:type="auto"/>
            <w:hideMark/>
          </w:tcPr>
          <w:p w14:paraId="404D225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Global Environment Facility (Fondo para el Medio Ambiente Mundial)</w:t>
            </w:r>
          </w:p>
        </w:tc>
      </w:tr>
      <w:tr w:rsidR="00773863" w:rsidRPr="00EB70DB" w14:paraId="1A908155" w14:textId="77777777" w:rsidTr="00EB70DB">
        <w:trPr>
          <w:trHeight w:val="20"/>
        </w:trPr>
        <w:tc>
          <w:tcPr>
            <w:tcW w:w="0" w:type="auto"/>
            <w:hideMark/>
          </w:tcPr>
          <w:p w14:paraId="71074F8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UNGM</w:t>
            </w:r>
          </w:p>
        </w:tc>
        <w:tc>
          <w:tcPr>
            <w:tcW w:w="0" w:type="auto"/>
            <w:hideMark/>
          </w:tcPr>
          <w:p w14:paraId="4083C7B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United Nations Global Marketplace</w:t>
            </w:r>
          </w:p>
        </w:tc>
      </w:tr>
      <w:tr w:rsidR="00773863" w:rsidRPr="00EB70DB" w14:paraId="6F09E228" w14:textId="77777777" w:rsidTr="00EB70DB">
        <w:trPr>
          <w:trHeight w:val="20"/>
        </w:trPr>
        <w:tc>
          <w:tcPr>
            <w:tcW w:w="0" w:type="auto"/>
            <w:hideMark/>
          </w:tcPr>
          <w:p w14:paraId="34BE5DE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UNDP</w:t>
            </w:r>
          </w:p>
        </w:tc>
        <w:tc>
          <w:tcPr>
            <w:tcW w:w="0" w:type="auto"/>
            <w:hideMark/>
          </w:tcPr>
          <w:p w14:paraId="0625B12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United Nations Development Programme (Programa de las Naciones Unidas para el Desarrollo)</w:t>
            </w:r>
          </w:p>
        </w:tc>
      </w:tr>
      <w:tr w:rsidR="00773863" w:rsidRPr="00EB70DB" w14:paraId="217D0872" w14:textId="77777777" w:rsidTr="00EB70DB">
        <w:trPr>
          <w:trHeight w:val="20"/>
        </w:trPr>
        <w:tc>
          <w:tcPr>
            <w:tcW w:w="0" w:type="auto"/>
            <w:hideMark/>
          </w:tcPr>
          <w:p w14:paraId="6936133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UNFPA</w:t>
            </w:r>
          </w:p>
        </w:tc>
        <w:tc>
          <w:tcPr>
            <w:tcW w:w="0" w:type="auto"/>
            <w:hideMark/>
          </w:tcPr>
          <w:p w14:paraId="5A8AFF9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United Nations Population Fund</w:t>
            </w:r>
          </w:p>
        </w:tc>
      </w:tr>
      <w:tr w:rsidR="00773863" w:rsidRPr="00EB70DB" w14:paraId="23746B59" w14:textId="77777777" w:rsidTr="00EB70DB">
        <w:trPr>
          <w:trHeight w:val="20"/>
        </w:trPr>
        <w:tc>
          <w:tcPr>
            <w:tcW w:w="0" w:type="auto"/>
            <w:hideMark/>
          </w:tcPr>
          <w:p w14:paraId="54B9D22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UNW</w:t>
            </w:r>
          </w:p>
        </w:tc>
        <w:tc>
          <w:tcPr>
            <w:tcW w:w="0" w:type="auto"/>
            <w:hideMark/>
          </w:tcPr>
          <w:p w14:paraId="77C0331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 Women (ONU Mujeres)</w:t>
            </w:r>
          </w:p>
        </w:tc>
      </w:tr>
      <w:tr w:rsidR="00773863" w:rsidRPr="00EB70DB" w14:paraId="49C69C6F" w14:textId="77777777" w:rsidTr="00EB70DB">
        <w:trPr>
          <w:trHeight w:val="20"/>
        </w:trPr>
        <w:tc>
          <w:tcPr>
            <w:tcW w:w="0" w:type="auto"/>
            <w:hideMark/>
          </w:tcPr>
          <w:p w14:paraId="4446EA2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UNITAR</w:t>
            </w:r>
          </w:p>
        </w:tc>
        <w:tc>
          <w:tcPr>
            <w:tcW w:w="0" w:type="auto"/>
            <w:hideMark/>
          </w:tcPr>
          <w:p w14:paraId="6F91DC8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United Nations Institute for Training and Research</w:t>
            </w:r>
          </w:p>
        </w:tc>
      </w:tr>
      <w:tr w:rsidR="00773863" w:rsidRPr="00EB70DB" w14:paraId="77229ED8" w14:textId="77777777" w:rsidTr="00EB70DB">
        <w:trPr>
          <w:trHeight w:val="20"/>
        </w:trPr>
        <w:tc>
          <w:tcPr>
            <w:tcW w:w="0" w:type="auto"/>
            <w:hideMark/>
          </w:tcPr>
          <w:p w14:paraId="636C235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UNSSC</w:t>
            </w:r>
          </w:p>
        </w:tc>
        <w:tc>
          <w:tcPr>
            <w:tcW w:w="0" w:type="auto"/>
            <w:hideMark/>
          </w:tcPr>
          <w:p w14:paraId="4695AD3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United Nations System Staff College</w:t>
            </w:r>
          </w:p>
        </w:tc>
      </w:tr>
      <w:tr w:rsidR="00773863" w:rsidRPr="00EB70DB" w14:paraId="32F741E0" w14:textId="77777777" w:rsidTr="00EB70DB">
        <w:trPr>
          <w:trHeight w:val="20"/>
        </w:trPr>
        <w:tc>
          <w:tcPr>
            <w:tcW w:w="0" w:type="auto"/>
            <w:hideMark/>
          </w:tcPr>
          <w:p w14:paraId="0634C77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OHR</w:t>
            </w:r>
          </w:p>
        </w:tc>
        <w:tc>
          <w:tcPr>
            <w:tcW w:w="0" w:type="auto"/>
            <w:hideMark/>
          </w:tcPr>
          <w:p w14:paraId="31D4275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Office of Human Resources (Oficina de Recursos Humanos)</w:t>
            </w:r>
          </w:p>
        </w:tc>
      </w:tr>
      <w:tr w:rsidR="00773863" w:rsidRPr="00EB70DB" w14:paraId="2C5403C7" w14:textId="77777777" w:rsidTr="00EB70DB">
        <w:trPr>
          <w:trHeight w:val="20"/>
        </w:trPr>
        <w:tc>
          <w:tcPr>
            <w:tcW w:w="0" w:type="auto"/>
            <w:hideMark/>
          </w:tcPr>
          <w:p w14:paraId="52A70A7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BERA</w:t>
            </w:r>
          </w:p>
        </w:tc>
        <w:tc>
          <w:tcPr>
            <w:tcW w:w="0" w:type="auto"/>
            <w:hideMark/>
          </w:tcPr>
          <w:p w14:paraId="6D4933C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Bureau of External Relations and Advocacy (Oficina de Relaciones Exteriores y Promoción)</w:t>
            </w:r>
          </w:p>
        </w:tc>
      </w:tr>
      <w:tr w:rsidR="00773863" w:rsidRPr="00EB70DB" w14:paraId="02AB3503" w14:textId="77777777" w:rsidTr="00EB70DB">
        <w:trPr>
          <w:trHeight w:val="20"/>
        </w:trPr>
        <w:tc>
          <w:tcPr>
            <w:tcW w:w="0" w:type="auto"/>
            <w:hideMark/>
          </w:tcPr>
          <w:p w14:paraId="2E21C2D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HQ</w:t>
            </w:r>
          </w:p>
        </w:tc>
        <w:tc>
          <w:tcPr>
            <w:tcW w:w="0" w:type="auto"/>
            <w:hideMark/>
          </w:tcPr>
          <w:p w14:paraId="603C418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Headquarters (Sede)</w:t>
            </w:r>
          </w:p>
        </w:tc>
      </w:tr>
      <w:tr w:rsidR="00773863" w:rsidRPr="00EB70DB" w14:paraId="7F6D9EDB" w14:textId="77777777" w:rsidTr="00EB70DB">
        <w:trPr>
          <w:trHeight w:val="20"/>
        </w:trPr>
        <w:tc>
          <w:tcPr>
            <w:tcW w:w="0" w:type="auto"/>
            <w:hideMark/>
          </w:tcPr>
          <w:p w14:paraId="7D1D5A7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IB</w:t>
            </w:r>
          </w:p>
        </w:tc>
        <w:tc>
          <w:tcPr>
            <w:tcW w:w="0" w:type="auto"/>
            <w:hideMark/>
          </w:tcPr>
          <w:p w14:paraId="6A23EDF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Institutional Budget (Presupuesto Institucional)</w:t>
            </w:r>
          </w:p>
        </w:tc>
      </w:tr>
      <w:tr w:rsidR="00773863" w:rsidRPr="00EB70DB" w14:paraId="75CDC3DD" w14:textId="77777777" w:rsidTr="00EB70DB">
        <w:trPr>
          <w:trHeight w:val="20"/>
        </w:trPr>
        <w:tc>
          <w:tcPr>
            <w:tcW w:w="0" w:type="auto"/>
            <w:hideMark/>
          </w:tcPr>
          <w:p w14:paraId="2B742E3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PIT/IWP</w:t>
            </w:r>
          </w:p>
        </w:tc>
        <w:tc>
          <w:tcPr>
            <w:tcW w:w="0" w:type="auto"/>
            <w:hideMark/>
          </w:tcPr>
          <w:p w14:paraId="231EF5F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Integrated Work Plan (Plan Integrado de Trabajo)</w:t>
            </w:r>
          </w:p>
        </w:tc>
      </w:tr>
      <w:tr w:rsidR="00773863" w:rsidRPr="00EB70DB" w14:paraId="6FB8775B" w14:textId="77777777" w:rsidTr="00EB70DB">
        <w:trPr>
          <w:trHeight w:val="20"/>
        </w:trPr>
        <w:tc>
          <w:tcPr>
            <w:tcW w:w="0" w:type="auto"/>
            <w:hideMark/>
          </w:tcPr>
          <w:p w14:paraId="71DFE0A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IPSAS</w:t>
            </w:r>
          </w:p>
        </w:tc>
        <w:tc>
          <w:tcPr>
            <w:tcW w:w="0" w:type="auto"/>
            <w:hideMark/>
          </w:tcPr>
          <w:p w14:paraId="34BA721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International Public Sector Accounting Standards (Normas Internacionales de Contabilidad del Sector Público)</w:t>
            </w:r>
          </w:p>
        </w:tc>
      </w:tr>
      <w:tr w:rsidR="00773863" w:rsidRPr="00EB70DB" w14:paraId="44D0854F" w14:textId="77777777" w:rsidTr="00EB70DB">
        <w:trPr>
          <w:trHeight w:val="20"/>
        </w:trPr>
        <w:tc>
          <w:tcPr>
            <w:tcW w:w="0" w:type="auto"/>
            <w:hideMark/>
          </w:tcPr>
          <w:p w14:paraId="12C7E07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DSA</w:t>
            </w:r>
          </w:p>
        </w:tc>
        <w:tc>
          <w:tcPr>
            <w:tcW w:w="0" w:type="auto"/>
            <w:hideMark/>
          </w:tcPr>
          <w:p w14:paraId="18F9DE4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Daily Subsistence Allowance (Dietas)</w:t>
            </w:r>
          </w:p>
        </w:tc>
      </w:tr>
      <w:tr w:rsidR="00773863" w:rsidRPr="00EB70DB" w14:paraId="4FBD8151" w14:textId="77777777" w:rsidTr="00EB70DB">
        <w:trPr>
          <w:trHeight w:val="20"/>
        </w:trPr>
        <w:tc>
          <w:tcPr>
            <w:tcW w:w="0" w:type="auto"/>
            <w:hideMark/>
          </w:tcPr>
          <w:p w14:paraId="0E9700C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AP</w:t>
            </w:r>
          </w:p>
        </w:tc>
        <w:tc>
          <w:tcPr>
            <w:tcW w:w="0" w:type="auto"/>
            <w:hideMark/>
          </w:tcPr>
          <w:p w14:paraId="52061E1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Accounts Payable (Cuentas por Pagar)</w:t>
            </w:r>
          </w:p>
        </w:tc>
      </w:tr>
      <w:tr w:rsidR="00773863" w:rsidRPr="00EB70DB" w14:paraId="06171CB4" w14:textId="77777777" w:rsidTr="00EB70DB">
        <w:trPr>
          <w:trHeight w:val="20"/>
        </w:trPr>
        <w:tc>
          <w:tcPr>
            <w:tcW w:w="0" w:type="auto"/>
            <w:hideMark/>
          </w:tcPr>
          <w:p w14:paraId="3416F14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GL</w:t>
            </w:r>
          </w:p>
        </w:tc>
        <w:tc>
          <w:tcPr>
            <w:tcW w:w="0" w:type="auto"/>
            <w:hideMark/>
          </w:tcPr>
          <w:p w14:paraId="6F32ACA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General Ledger (Libro Mayor)</w:t>
            </w:r>
          </w:p>
        </w:tc>
      </w:tr>
      <w:tr w:rsidR="00773863" w:rsidRPr="00EB70DB" w14:paraId="4FA8323C" w14:textId="77777777" w:rsidTr="00EB70DB">
        <w:trPr>
          <w:trHeight w:val="20"/>
        </w:trPr>
        <w:tc>
          <w:tcPr>
            <w:tcW w:w="0" w:type="auto"/>
            <w:hideMark/>
          </w:tcPr>
          <w:p w14:paraId="3FB4CD2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GLJE</w:t>
            </w:r>
          </w:p>
        </w:tc>
        <w:tc>
          <w:tcPr>
            <w:tcW w:w="0" w:type="auto"/>
            <w:hideMark/>
          </w:tcPr>
          <w:p w14:paraId="1630227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General Ledger Journal Entry (Asiento de Diario del Libro Mayor)</w:t>
            </w:r>
          </w:p>
        </w:tc>
      </w:tr>
      <w:tr w:rsidR="00773863" w:rsidRPr="00EB70DB" w14:paraId="4D9EFD20" w14:textId="77777777" w:rsidTr="00EB70DB">
        <w:trPr>
          <w:trHeight w:val="20"/>
        </w:trPr>
        <w:tc>
          <w:tcPr>
            <w:tcW w:w="0" w:type="auto"/>
            <w:hideMark/>
          </w:tcPr>
          <w:p w14:paraId="029C084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ZDI</w:t>
            </w:r>
          </w:p>
        </w:tc>
        <w:tc>
          <w:tcPr>
            <w:tcW w:w="0" w:type="auto"/>
            <w:hideMark/>
          </w:tcPr>
          <w:p w14:paraId="36F7706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Zero Dollar Invoice (Factura de Cero Dólares)</w:t>
            </w:r>
          </w:p>
        </w:tc>
      </w:tr>
      <w:tr w:rsidR="00773863" w:rsidRPr="00EB70DB" w14:paraId="42C56C04" w14:textId="77777777" w:rsidTr="00EB70DB">
        <w:trPr>
          <w:trHeight w:val="20"/>
        </w:trPr>
        <w:tc>
          <w:tcPr>
            <w:tcW w:w="0" w:type="auto"/>
            <w:hideMark/>
          </w:tcPr>
          <w:p w14:paraId="676194D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PMD</w:t>
            </w:r>
          </w:p>
        </w:tc>
        <w:tc>
          <w:tcPr>
            <w:tcW w:w="0" w:type="auto"/>
            <w:hideMark/>
          </w:tcPr>
          <w:p w14:paraId="259791E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Performance Management and Development (Gestión y Desarrollo del Desempeño)</w:t>
            </w:r>
          </w:p>
        </w:tc>
      </w:tr>
      <w:tr w:rsidR="00773863" w:rsidRPr="00EB70DB" w14:paraId="4D227438" w14:textId="77777777" w:rsidTr="00EB70DB">
        <w:trPr>
          <w:trHeight w:val="20"/>
        </w:trPr>
        <w:tc>
          <w:tcPr>
            <w:tcW w:w="0" w:type="auto"/>
            <w:hideMark/>
          </w:tcPr>
          <w:p w14:paraId="2ACD9D2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ESS</w:t>
            </w:r>
          </w:p>
        </w:tc>
        <w:tc>
          <w:tcPr>
            <w:tcW w:w="0" w:type="auto"/>
            <w:hideMark/>
          </w:tcPr>
          <w:p w14:paraId="2D13013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Employee Self-Service (Autoservicio del Empleado)</w:t>
            </w:r>
          </w:p>
        </w:tc>
      </w:tr>
      <w:tr w:rsidR="00773863" w:rsidRPr="00EB70DB" w14:paraId="49D11214" w14:textId="77777777" w:rsidTr="00EB70DB">
        <w:trPr>
          <w:trHeight w:val="20"/>
        </w:trPr>
        <w:tc>
          <w:tcPr>
            <w:tcW w:w="0" w:type="auto"/>
            <w:hideMark/>
          </w:tcPr>
          <w:p w14:paraId="3DD16EF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HCM</w:t>
            </w:r>
          </w:p>
        </w:tc>
        <w:tc>
          <w:tcPr>
            <w:tcW w:w="0" w:type="auto"/>
            <w:hideMark/>
          </w:tcPr>
          <w:p w14:paraId="269C00A2"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Human Capital Management (Gestión del Capital Humano)</w:t>
            </w:r>
          </w:p>
        </w:tc>
      </w:tr>
      <w:tr w:rsidR="00773863" w:rsidRPr="00EB70DB" w14:paraId="638F0FAA" w14:textId="77777777" w:rsidTr="00EB70DB">
        <w:trPr>
          <w:trHeight w:val="20"/>
        </w:trPr>
        <w:tc>
          <w:tcPr>
            <w:tcW w:w="0" w:type="auto"/>
            <w:hideMark/>
          </w:tcPr>
          <w:p w14:paraId="74AF7130"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UFF</w:t>
            </w:r>
          </w:p>
        </w:tc>
        <w:tc>
          <w:tcPr>
            <w:tcW w:w="0" w:type="auto"/>
            <w:hideMark/>
          </w:tcPr>
          <w:p w14:paraId="09963C2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Universal Flat File (Archivo Plano Universal)</w:t>
            </w:r>
          </w:p>
        </w:tc>
      </w:tr>
      <w:tr w:rsidR="00773863" w:rsidRPr="00EB70DB" w14:paraId="198E4BD2" w14:textId="77777777" w:rsidTr="00EB70DB">
        <w:trPr>
          <w:trHeight w:val="20"/>
        </w:trPr>
        <w:tc>
          <w:tcPr>
            <w:tcW w:w="0" w:type="auto"/>
            <w:hideMark/>
          </w:tcPr>
          <w:p w14:paraId="0258E8F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TRAC</w:t>
            </w:r>
          </w:p>
        </w:tc>
        <w:tc>
          <w:tcPr>
            <w:tcW w:w="0" w:type="auto"/>
            <w:hideMark/>
          </w:tcPr>
          <w:p w14:paraId="27EF11E5"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Target for Resource Assignment from the Core (Meta para la Asignación de Recursos del Fondo Básico)</w:t>
            </w:r>
          </w:p>
        </w:tc>
      </w:tr>
      <w:tr w:rsidR="00773863" w:rsidRPr="00EB70DB" w14:paraId="1E2D1F25" w14:textId="77777777" w:rsidTr="00EB70DB">
        <w:trPr>
          <w:trHeight w:val="20"/>
        </w:trPr>
        <w:tc>
          <w:tcPr>
            <w:tcW w:w="0" w:type="auto"/>
            <w:hideMark/>
          </w:tcPr>
          <w:p w14:paraId="02FF88AA"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NIM</w:t>
            </w:r>
          </w:p>
        </w:tc>
        <w:tc>
          <w:tcPr>
            <w:tcW w:w="0" w:type="auto"/>
            <w:hideMark/>
          </w:tcPr>
          <w:p w14:paraId="202A9F47"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National Implementation Modality (Modalidad de Implementación Nacional)</w:t>
            </w:r>
          </w:p>
        </w:tc>
      </w:tr>
      <w:tr w:rsidR="00773863" w:rsidRPr="00EB70DB" w14:paraId="21450090" w14:textId="77777777" w:rsidTr="00EB70DB">
        <w:trPr>
          <w:trHeight w:val="20"/>
        </w:trPr>
        <w:tc>
          <w:tcPr>
            <w:tcW w:w="0" w:type="auto"/>
            <w:hideMark/>
          </w:tcPr>
          <w:p w14:paraId="4410895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CDR</w:t>
            </w:r>
          </w:p>
        </w:tc>
        <w:tc>
          <w:tcPr>
            <w:tcW w:w="0" w:type="auto"/>
            <w:hideMark/>
          </w:tcPr>
          <w:p w14:paraId="4971793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Combined Delivery Report (Informe de Entrega Combinada)</w:t>
            </w:r>
          </w:p>
        </w:tc>
      </w:tr>
      <w:tr w:rsidR="00773863" w:rsidRPr="00EB70DB" w14:paraId="7852AF73" w14:textId="77777777" w:rsidTr="00EB70DB">
        <w:trPr>
          <w:trHeight w:val="20"/>
        </w:trPr>
        <w:tc>
          <w:tcPr>
            <w:tcW w:w="0" w:type="auto"/>
            <w:hideMark/>
          </w:tcPr>
          <w:p w14:paraId="6F33614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PSA/IPSA</w:t>
            </w:r>
          </w:p>
        </w:tc>
        <w:tc>
          <w:tcPr>
            <w:tcW w:w="0" w:type="auto"/>
            <w:hideMark/>
          </w:tcPr>
          <w:p w14:paraId="21273616"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Personal Services Agreement / International Personal Services Agreement</w:t>
            </w:r>
          </w:p>
        </w:tc>
      </w:tr>
      <w:tr w:rsidR="00773863" w:rsidRPr="00EB70DB" w14:paraId="3C48FF5A" w14:textId="77777777" w:rsidTr="00EB70DB">
        <w:trPr>
          <w:trHeight w:val="20"/>
        </w:trPr>
        <w:tc>
          <w:tcPr>
            <w:tcW w:w="0" w:type="auto"/>
            <w:hideMark/>
          </w:tcPr>
          <w:p w14:paraId="1721B73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NPSA</w:t>
            </w:r>
          </w:p>
        </w:tc>
        <w:tc>
          <w:tcPr>
            <w:tcW w:w="0" w:type="auto"/>
            <w:hideMark/>
          </w:tcPr>
          <w:p w14:paraId="037F0E0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National Personal Services Agreement</w:t>
            </w:r>
          </w:p>
        </w:tc>
      </w:tr>
      <w:tr w:rsidR="00773863" w:rsidRPr="00EB70DB" w14:paraId="6BE3BCC5" w14:textId="77777777" w:rsidTr="00EB70DB">
        <w:trPr>
          <w:trHeight w:val="20"/>
        </w:trPr>
        <w:tc>
          <w:tcPr>
            <w:tcW w:w="0" w:type="auto"/>
            <w:hideMark/>
          </w:tcPr>
          <w:p w14:paraId="5778E20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lastRenderedPageBreak/>
              <w:t>FPMR</w:t>
            </w:r>
          </w:p>
        </w:tc>
        <w:tc>
          <w:tcPr>
            <w:tcW w:w="0" w:type="auto"/>
            <w:hideMark/>
          </w:tcPr>
          <w:p w14:paraId="5383370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Financial Performance Management Report (Informe de Gestión y Desempeño Financiero)</w:t>
            </w:r>
          </w:p>
        </w:tc>
      </w:tr>
      <w:tr w:rsidR="00773863" w:rsidRPr="00EB70DB" w14:paraId="465143F5" w14:textId="77777777" w:rsidTr="00EB70DB">
        <w:trPr>
          <w:trHeight w:val="20"/>
        </w:trPr>
        <w:tc>
          <w:tcPr>
            <w:tcW w:w="0" w:type="auto"/>
            <w:hideMark/>
          </w:tcPr>
          <w:p w14:paraId="1ACDC39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BMS/GO</w:t>
            </w:r>
          </w:p>
        </w:tc>
        <w:tc>
          <w:tcPr>
            <w:tcW w:w="0" w:type="auto"/>
            <w:hideMark/>
          </w:tcPr>
          <w:p w14:paraId="62D5FCD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Bureau for Management Services / General Operations</w:t>
            </w:r>
          </w:p>
        </w:tc>
      </w:tr>
      <w:tr w:rsidR="00773863" w:rsidRPr="00EB70DB" w14:paraId="069C1DCF" w14:textId="77777777" w:rsidTr="00EB70DB">
        <w:trPr>
          <w:trHeight w:val="20"/>
        </w:trPr>
        <w:tc>
          <w:tcPr>
            <w:tcW w:w="0" w:type="auto"/>
            <w:hideMark/>
          </w:tcPr>
          <w:p w14:paraId="36A8D9E8"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CFRA</w:t>
            </w:r>
          </w:p>
        </w:tc>
        <w:tc>
          <w:tcPr>
            <w:tcW w:w="0" w:type="auto"/>
            <w:hideMark/>
          </w:tcPr>
          <w:p w14:paraId="06BC7333"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Corporate Financial Reporting Agencies</w:t>
            </w:r>
          </w:p>
        </w:tc>
      </w:tr>
      <w:tr w:rsidR="00773863" w:rsidRPr="00EB70DB" w14:paraId="54809B60" w14:textId="77777777" w:rsidTr="00EB70DB">
        <w:trPr>
          <w:trHeight w:val="20"/>
        </w:trPr>
        <w:tc>
          <w:tcPr>
            <w:tcW w:w="0" w:type="auto"/>
            <w:hideMark/>
          </w:tcPr>
          <w:p w14:paraId="2E303D1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BMS/OLS</w:t>
            </w:r>
          </w:p>
        </w:tc>
        <w:tc>
          <w:tcPr>
            <w:tcW w:w="0" w:type="auto"/>
            <w:hideMark/>
          </w:tcPr>
          <w:p w14:paraId="0BA5036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Bureau for Management Services / Office of Legal Services</w:t>
            </w:r>
          </w:p>
        </w:tc>
      </w:tr>
      <w:tr w:rsidR="00773863" w:rsidRPr="00EB70DB" w14:paraId="607BDCDF" w14:textId="77777777" w:rsidTr="00EB70DB">
        <w:trPr>
          <w:trHeight w:val="20"/>
        </w:trPr>
        <w:tc>
          <w:tcPr>
            <w:tcW w:w="0" w:type="auto"/>
            <w:hideMark/>
          </w:tcPr>
          <w:p w14:paraId="64D58F9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CBx/RBx</w:t>
            </w:r>
          </w:p>
        </w:tc>
        <w:tc>
          <w:tcPr>
            <w:tcW w:w="0" w:type="auto"/>
            <w:hideMark/>
          </w:tcPr>
          <w:p w14:paraId="6FF3366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Central Bureaux / Regional Bureaux</w:t>
            </w:r>
          </w:p>
        </w:tc>
      </w:tr>
      <w:tr w:rsidR="00773863" w:rsidRPr="00EB70DB" w14:paraId="1A16B273" w14:textId="77777777" w:rsidTr="00EB70DB">
        <w:trPr>
          <w:trHeight w:val="20"/>
        </w:trPr>
        <w:tc>
          <w:tcPr>
            <w:tcW w:w="0" w:type="auto"/>
            <w:hideMark/>
          </w:tcPr>
          <w:p w14:paraId="0AD538CC"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PM</w:t>
            </w:r>
          </w:p>
        </w:tc>
        <w:tc>
          <w:tcPr>
            <w:tcW w:w="0" w:type="auto"/>
            <w:hideMark/>
          </w:tcPr>
          <w:p w14:paraId="30F09F2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Project Manager (Gerente de Proyecto)</w:t>
            </w:r>
          </w:p>
        </w:tc>
      </w:tr>
      <w:tr w:rsidR="00773863" w:rsidRPr="00EB70DB" w14:paraId="7D1DFAFB" w14:textId="77777777" w:rsidTr="00EB70DB">
        <w:trPr>
          <w:trHeight w:val="20"/>
        </w:trPr>
        <w:tc>
          <w:tcPr>
            <w:tcW w:w="0" w:type="auto"/>
            <w:hideMark/>
          </w:tcPr>
          <w:p w14:paraId="73C8B55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SM</w:t>
            </w:r>
          </w:p>
        </w:tc>
        <w:tc>
          <w:tcPr>
            <w:tcW w:w="0" w:type="auto"/>
            <w:hideMark/>
          </w:tcPr>
          <w:p w14:paraId="75E213C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Senior Manager (Gerente Senior)</w:t>
            </w:r>
          </w:p>
        </w:tc>
      </w:tr>
      <w:tr w:rsidR="00773863" w:rsidRPr="00EB70DB" w14:paraId="092D2E11" w14:textId="77777777" w:rsidTr="00EB70DB">
        <w:trPr>
          <w:trHeight w:val="20"/>
        </w:trPr>
        <w:tc>
          <w:tcPr>
            <w:tcW w:w="0" w:type="auto"/>
            <w:hideMark/>
          </w:tcPr>
          <w:p w14:paraId="02325DD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w:t>
            </w:r>
          </w:p>
        </w:tc>
        <w:tc>
          <w:tcPr>
            <w:tcW w:w="0" w:type="auto"/>
            <w:hideMark/>
          </w:tcPr>
          <w:p w14:paraId="614758F9"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United Nations (Naciones Unidas)</w:t>
            </w:r>
          </w:p>
        </w:tc>
      </w:tr>
      <w:tr w:rsidR="00773863" w:rsidRPr="00EB70DB" w14:paraId="5FBC735A" w14:textId="77777777" w:rsidTr="00EB70DB">
        <w:trPr>
          <w:trHeight w:val="20"/>
        </w:trPr>
        <w:tc>
          <w:tcPr>
            <w:tcW w:w="0" w:type="auto"/>
            <w:hideMark/>
          </w:tcPr>
          <w:p w14:paraId="254CF1FB"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OP/CO</w:t>
            </w:r>
          </w:p>
        </w:tc>
        <w:tc>
          <w:tcPr>
            <w:tcW w:w="0" w:type="auto"/>
            <w:hideMark/>
          </w:tcPr>
          <w:p w14:paraId="13EBFFA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Office/ Country Office (Oficina / Oficina de País)</w:t>
            </w:r>
          </w:p>
        </w:tc>
      </w:tr>
      <w:tr w:rsidR="00773863" w:rsidRPr="00EB70DB" w14:paraId="6CF13631" w14:textId="77777777" w:rsidTr="00EB70DB">
        <w:trPr>
          <w:trHeight w:val="20"/>
        </w:trPr>
        <w:tc>
          <w:tcPr>
            <w:tcW w:w="0" w:type="auto"/>
            <w:hideMark/>
          </w:tcPr>
          <w:p w14:paraId="5BA225ED"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PAC</w:t>
            </w:r>
          </w:p>
        </w:tc>
        <w:tc>
          <w:tcPr>
            <w:tcW w:w="0" w:type="auto"/>
            <w:hideMark/>
          </w:tcPr>
          <w:p w14:paraId="7695D3F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Project Appraisal Committee (Comité de Evaluación de Proyectos)</w:t>
            </w:r>
          </w:p>
        </w:tc>
      </w:tr>
      <w:tr w:rsidR="00773863" w:rsidRPr="00EB70DB" w14:paraId="37467832" w14:textId="77777777" w:rsidTr="00EB70DB">
        <w:trPr>
          <w:trHeight w:val="20"/>
        </w:trPr>
        <w:tc>
          <w:tcPr>
            <w:tcW w:w="0" w:type="auto"/>
            <w:hideMark/>
          </w:tcPr>
          <w:p w14:paraId="7CB8EE0F"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Unity</w:t>
            </w:r>
          </w:p>
        </w:tc>
        <w:tc>
          <w:tcPr>
            <w:tcW w:w="0" w:type="auto"/>
            <w:hideMark/>
          </w:tcPr>
          <w:p w14:paraId="5D91A3D1"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(Plataforma de gestión de contratos y servicios)</w:t>
            </w:r>
          </w:p>
        </w:tc>
      </w:tr>
      <w:tr w:rsidR="00773863" w:rsidRPr="00EB70DB" w14:paraId="2E83E36C" w14:textId="77777777" w:rsidTr="00EB70DB">
        <w:trPr>
          <w:trHeight w:val="20"/>
        </w:trPr>
        <w:tc>
          <w:tcPr>
            <w:tcW w:w="0" w:type="auto"/>
            <w:hideMark/>
          </w:tcPr>
          <w:p w14:paraId="257DE5E4"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Atlas</w:t>
            </w:r>
          </w:p>
        </w:tc>
        <w:tc>
          <w:tcPr>
            <w:tcW w:w="0" w:type="auto"/>
            <w:hideMark/>
          </w:tcPr>
          <w:p w14:paraId="69E9197E" w14:textId="77777777" w:rsidR="00773863" w:rsidRPr="00EB70DB" w:rsidRDefault="00773863" w:rsidP="00EB70DB">
            <w:pPr>
              <w:spacing w:line="278" w:lineRule="auto"/>
              <w:rPr>
                <w:rFonts w:cstheme="minorHAnsi"/>
                <w:sz w:val="20"/>
                <w:szCs w:val="20"/>
                <w:lang w:val="es-419"/>
              </w:rPr>
            </w:pPr>
            <w:r w:rsidRPr="00EB70DB">
              <w:rPr>
                <w:rFonts w:cstheme="minorHAnsi"/>
                <w:sz w:val="20"/>
                <w:szCs w:val="20"/>
                <w:lang w:val="es-419"/>
              </w:rPr>
              <w:t>(Sistema ERP anterior a Quantum en el PNUD)</w:t>
            </w:r>
          </w:p>
        </w:tc>
      </w:tr>
    </w:tbl>
    <w:p w14:paraId="136D15AE" w14:textId="77777777" w:rsidR="00773863" w:rsidRPr="00773863" w:rsidRDefault="00773863" w:rsidP="00773863">
      <w:pPr>
        <w:rPr>
          <w:lang w:val="es-419"/>
        </w:rPr>
      </w:pPr>
    </w:p>
    <w:sectPr w:rsidR="00773863" w:rsidRPr="00773863" w:rsidSect="0092726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A378" w14:textId="77777777" w:rsidR="007536CF" w:rsidRDefault="007536CF" w:rsidP="00DC25E6">
      <w:pPr>
        <w:spacing w:after="0" w:line="240" w:lineRule="auto"/>
      </w:pPr>
      <w:r>
        <w:separator/>
      </w:r>
    </w:p>
  </w:endnote>
  <w:endnote w:type="continuationSeparator" w:id="0">
    <w:p w14:paraId="5E8575F2" w14:textId="77777777" w:rsidR="007536CF" w:rsidRDefault="007536CF" w:rsidP="00DC25E6">
      <w:pPr>
        <w:spacing w:after="0" w:line="240" w:lineRule="auto"/>
      </w:pPr>
      <w:r>
        <w:continuationSeparator/>
      </w:r>
    </w:p>
  </w:endnote>
  <w:endnote w:type="continuationNotice" w:id="1">
    <w:p w14:paraId="522DE49E" w14:textId="77777777" w:rsidR="007536CF" w:rsidRDefault="00753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1F17" w14:textId="77777777" w:rsidR="00A66E0C" w:rsidRDefault="00A66E0C">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14:anchorId="42504D20" wp14:editId="1DABA2E3">
              <wp:simplePos x="0" y="0"/>
              <wp:positionH relativeFrom="page">
                <wp:posOffset>6875780</wp:posOffset>
              </wp:positionH>
              <wp:positionV relativeFrom="page">
                <wp:posOffset>9005570</wp:posOffset>
              </wp:positionV>
              <wp:extent cx="217170" cy="15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04D20" id="_x0000_t202" coordsize="21600,21600" o:spt="202" path="m,l,21600r21600,l21600,xe">
              <v:stroke joinstyle="miter"/>
              <v:path gradientshapeok="t" o:connecttype="rect"/>
            </v:shapetype>
            <v:shape id="Text Box 18" o:spid="_x0000_s1026" type="#_x0000_t202" style="position:absolute;margin-left:541.4pt;margin-top:709.1pt;width:17.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" filled="f" stroked="f">
              <v:textbox inset="0,0,0,0">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38562"/>
      <w:docPartObj>
        <w:docPartGallery w:val="Page Numbers (Bottom of Page)"/>
        <w:docPartUnique/>
      </w:docPartObj>
    </w:sdtPr>
    <w:sdtEndPr>
      <w:rPr>
        <w:noProof/>
      </w:rPr>
    </w:sdtEndPr>
    <w:sdtContent>
      <w:p w14:paraId="6C2A5FB6" w14:textId="75F40AD5" w:rsidR="00484153" w:rsidRDefault="0048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CBBA7" w14:textId="77777777" w:rsidR="00484153" w:rsidRDefault="0048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24DC" w14:textId="77777777" w:rsidR="007536CF" w:rsidRDefault="007536CF" w:rsidP="00DC25E6">
      <w:pPr>
        <w:spacing w:after="0" w:line="240" w:lineRule="auto"/>
      </w:pPr>
      <w:r>
        <w:separator/>
      </w:r>
    </w:p>
  </w:footnote>
  <w:footnote w:type="continuationSeparator" w:id="0">
    <w:p w14:paraId="3D149093" w14:textId="77777777" w:rsidR="007536CF" w:rsidRDefault="007536CF" w:rsidP="00DC25E6">
      <w:pPr>
        <w:spacing w:after="0" w:line="240" w:lineRule="auto"/>
      </w:pPr>
      <w:r>
        <w:continuationSeparator/>
      </w:r>
    </w:p>
  </w:footnote>
  <w:footnote w:type="continuationNotice" w:id="1">
    <w:p w14:paraId="397A13BA" w14:textId="77777777" w:rsidR="007536CF" w:rsidRDefault="007536CF">
      <w:pPr>
        <w:spacing w:after="0" w:line="240" w:lineRule="auto"/>
      </w:pPr>
    </w:p>
  </w:footnote>
  <w:footnote w:id="2">
    <w:p w14:paraId="0A370194" w14:textId="7303AB11" w:rsidR="00264794" w:rsidRPr="00756410" w:rsidRDefault="00264794">
      <w:pPr>
        <w:pStyle w:val="FootnoteText"/>
        <w:rPr>
          <w:lang w:val="es-419"/>
        </w:rPr>
      </w:pPr>
      <w:r w:rsidRPr="00F84992">
        <w:rPr>
          <w:rStyle w:val="FootnoteReference"/>
        </w:rPr>
        <w:footnoteRef/>
      </w:r>
      <w:r w:rsidRPr="00756410">
        <w:rPr>
          <w:lang w:val="es-419"/>
        </w:rPr>
        <w:t xml:space="preserve"> </w:t>
      </w:r>
      <w:r w:rsidR="00E24026">
        <w:rPr>
          <w:lang w:val="es-419"/>
        </w:rPr>
        <w:t>De acuerdo con</w:t>
      </w:r>
      <w:r w:rsidRPr="00756410">
        <w:rPr>
          <w:lang w:val="es-419"/>
        </w:rPr>
        <w:t xml:space="preserve"> en el Marco de Rendición de Cuentas del PNUD (2008) y la Política de Control Interno del PNUD (2022).</w:t>
      </w:r>
    </w:p>
  </w:footnote>
  <w:footnote w:id="3">
    <w:p w14:paraId="1914E325" w14:textId="43811FBD" w:rsidR="00A75947" w:rsidRPr="00756410" w:rsidRDefault="00A75947">
      <w:pPr>
        <w:pStyle w:val="FootnoteText"/>
        <w:rPr>
          <w:lang w:val="es-419"/>
        </w:rPr>
      </w:pPr>
      <w:r w:rsidRPr="00F84992">
        <w:rPr>
          <w:rStyle w:val="FootnoteReference"/>
        </w:rPr>
        <w:footnoteRef/>
      </w:r>
      <w:r w:rsidRPr="00756410">
        <w:rPr>
          <w:lang w:val="es-419"/>
        </w:rPr>
        <w:t xml:space="preserve"> El PNUD utiliza dos marcos: (i) El</w:t>
      </w:r>
      <w:r w:rsidR="001A25B8">
        <w:rPr>
          <w:lang w:val="es-419"/>
        </w:rPr>
        <w:t xml:space="preserve"> Marco </w:t>
      </w:r>
      <w:r w:rsidR="003570E8">
        <w:rPr>
          <w:lang w:val="es-419"/>
        </w:rPr>
        <w:t>Integrado de Control Interno publicado en mayo 2013 por el</w:t>
      </w:r>
      <w:r w:rsidRPr="00756410">
        <w:rPr>
          <w:lang w:val="es-419"/>
        </w:rPr>
        <w:t xml:space="preserve"> Comité de Organizaciones Patrocinadoras de la Comisión </w:t>
      </w:r>
      <w:r w:rsidRPr="00756410">
        <w:rPr>
          <w:i/>
          <w:iCs/>
          <w:lang w:val="es-419"/>
        </w:rPr>
        <w:t>Treadway</w:t>
      </w:r>
      <w:r w:rsidRPr="00756410">
        <w:rPr>
          <w:lang w:val="es-419"/>
        </w:rPr>
        <w:t xml:space="preserve"> (COSO) reconocido </w:t>
      </w:r>
      <w:r w:rsidR="003570E8">
        <w:rPr>
          <w:lang w:val="es-419"/>
        </w:rPr>
        <w:t xml:space="preserve">ampliamente </w:t>
      </w:r>
      <w:r w:rsidRPr="00756410">
        <w:rPr>
          <w:lang w:val="es-419"/>
        </w:rPr>
        <w:t xml:space="preserve">como el </w:t>
      </w:r>
      <w:r w:rsidR="009F1B54">
        <w:rPr>
          <w:lang w:val="es-419"/>
        </w:rPr>
        <w:t xml:space="preserve">principal </w:t>
      </w:r>
      <w:r w:rsidRPr="00756410">
        <w:rPr>
          <w:lang w:val="es-419"/>
        </w:rPr>
        <w:t xml:space="preserve">marco </w:t>
      </w:r>
      <w:r w:rsidR="009F1B54">
        <w:rPr>
          <w:lang w:val="es-419"/>
        </w:rPr>
        <w:t xml:space="preserve">conforme al </w:t>
      </w:r>
      <w:r w:rsidRPr="00756410">
        <w:rPr>
          <w:lang w:val="es-419"/>
        </w:rPr>
        <w:t xml:space="preserve"> </w:t>
      </w:r>
      <w:r w:rsidR="0004098C">
        <w:rPr>
          <w:lang w:val="es-419"/>
        </w:rPr>
        <w:t xml:space="preserve">se debe fomentar y </w:t>
      </w:r>
      <w:r w:rsidRPr="00756410">
        <w:rPr>
          <w:lang w:val="es-419"/>
        </w:rPr>
        <w:t>evaluar la ef</w:t>
      </w:r>
      <w:r w:rsidR="0004098C">
        <w:rPr>
          <w:lang w:val="es-419"/>
        </w:rPr>
        <w:t>icacia</w:t>
      </w:r>
      <w:r w:rsidRPr="00756410">
        <w:rPr>
          <w:lang w:val="es-419"/>
        </w:rPr>
        <w:t xml:space="preserve"> de los controles internos en una organización; y (ii) El modelo de tres líneas</w:t>
      </w:r>
      <w:r w:rsidR="00ED7607">
        <w:rPr>
          <w:lang w:val="es-419"/>
        </w:rPr>
        <w:t xml:space="preserve"> publicado por el</w:t>
      </w:r>
      <w:r w:rsidRPr="00756410">
        <w:rPr>
          <w:lang w:val="es-419"/>
        </w:rPr>
        <w:t xml:space="preserve"> Instituto de Auditores Internos</w:t>
      </w:r>
      <w:r w:rsidR="00ED7607">
        <w:rPr>
          <w:lang w:val="es-419"/>
        </w:rPr>
        <w:t xml:space="preserve"> en</w:t>
      </w:r>
      <w:r w:rsidRPr="00756410">
        <w:rPr>
          <w:lang w:val="es-419"/>
        </w:rPr>
        <w:t xml:space="preserve"> julio de 2020. El marco COSO describe </w:t>
      </w:r>
      <w:r w:rsidRPr="00756410">
        <w:rPr>
          <w:u w:val="single"/>
          <w:lang w:val="es-419"/>
        </w:rPr>
        <w:t>qu</w:t>
      </w:r>
      <w:r w:rsidR="002D2A00" w:rsidRPr="00756410">
        <w:rPr>
          <w:u w:val="single"/>
          <w:lang w:val="es-419"/>
        </w:rPr>
        <w:t>é</w:t>
      </w:r>
      <w:r w:rsidRPr="00756410">
        <w:rPr>
          <w:u w:val="single"/>
          <w:lang w:val="es-419"/>
        </w:rPr>
        <w:t xml:space="preserve"> hacemos</w:t>
      </w:r>
      <w:r w:rsidRPr="00756410">
        <w:rPr>
          <w:lang w:val="es-419"/>
        </w:rPr>
        <w:t xml:space="preserve"> en el control interno y el Modelo de Tres Líneas describe quién lo hace. Ambos marcos han sido aprobados por el Comité de Alto Nivel sobre Gestión.</w:t>
      </w:r>
    </w:p>
  </w:footnote>
  <w:footnote w:id="4">
    <w:p w14:paraId="4A62BA87" w14:textId="0A62D8DE" w:rsidR="00A33005" w:rsidRPr="00756410" w:rsidRDefault="00A33005">
      <w:pPr>
        <w:pStyle w:val="FootnoteText"/>
        <w:rPr>
          <w:lang w:val="es-419"/>
        </w:rPr>
      </w:pPr>
      <w:r w:rsidRPr="00F84992">
        <w:rPr>
          <w:rStyle w:val="FootnoteReference"/>
        </w:rPr>
        <w:footnoteRef/>
      </w:r>
      <w:r w:rsidRPr="00756410">
        <w:rPr>
          <w:lang w:val="es-419"/>
        </w:rPr>
        <w:t xml:space="preserve"> La plataforma </w:t>
      </w:r>
      <w:r w:rsidR="00AB6C68" w:rsidRPr="00756410">
        <w:rPr>
          <w:lang w:val="es-419"/>
        </w:rPr>
        <w:t xml:space="preserve">Sistema de </w:t>
      </w:r>
      <w:r w:rsidR="00A8194C" w:rsidRPr="00A8194C">
        <w:rPr>
          <w:lang w:val="es-419"/>
        </w:rPr>
        <w:t>planificación</w:t>
      </w:r>
      <w:r w:rsidR="00AB6C68" w:rsidRPr="00756410">
        <w:rPr>
          <w:lang w:val="es-419"/>
        </w:rPr>
        <w:t xml:space="preserve"> de recursos empresariales (</w:t>
      </w:r>
      <w:r w:rsidRPr="00756410">
        <w:rPr>
          <w:lang w:val="es-419"/>
        </w:rPr>
        <w:t>ERP</w:t>
      </w:r>
      <w:r w:rsidR="00AB6C68" w:rsidRPr="00756410">
        <w:rPr>
          <w:lang w:val="es-419"/>
        </w:rPr>
        <w:t xml:space="preserve">, por sus siglas en </w:t>
      </w:r>
      <w:r w:rsidR="00576DD4" w:rsidRPr="00576DD4">
        <w:rPr>
          <w:lang w:val="es-419"/>
        </w:rPr>
        <w:t>inglés</w:t>
      </w:r>
      <w:r w:rsidR="00AB6C68" w:rsidRPr="00756410">
        <w:rPr>
          <w:lang w:val="es-419"/>
        </w:rPr>
        <w:t xml:space="preserve">) </w:t>
      </w:r>
      <w:r w:rsidRPr="00756410">
        <w:rPr>
          <w:lang w:val="es-419"/>
        </w:rPr>
        <w:t xml:space="preserve"> incluye </w:t>
      </w:r>
      <w:r w:rsidRPr="00756410">
        <w:rPr>
          <w:i/>
          <w:iCs/>
          <w:lang w:val="es-419"/>
        </w:rPr>
        <w:t>Quantum, Quantum+</w:t>
      </w:r>
      <w:r w:rsidRPr="00756410">
        <w:rPr>
          <w:lang w:val="es-419"/>
        </w:rPr>
        <w:t xml:space="preserve"> e</w:t>
      </w:r>
      <w:r w:rsidRPr="00756410">
        <w:rPr>
          <w:i/>
          <w:iCs/>
          <w:lang w:val="es-419"/>
        </w:rPr>
        <w:t xml:space="preserve"> IDAM.</w:t>
      </w:r>
    </w:p>
  </w:footnote>
  <w:footnote w:id="5">
    <w:p w14:paraId="0DD541C6" w14:textId="2017E51A" w:rsidR="00E324B0" w:rsidRPr="00756410" w:rsidRDefault="00E324B0">
      <w:pPr>
        <w:pStyle w:val="FootnoteText"/>
        <w:rPr>
          <w:lang w:val="es-419"/>
        </w:rPr>
      </w:pPr>
      <w:r w:rsidRPr="00F84992">
        <w:rPr>
          <w:rStyle w:val="FootnoteReference"/>
        </w:rPr>
        <w:footnoteRef/>
      </w:r>
      <w:r w:rsidRPr="00756410">
        <w:rPr>
          <w:lang w:val="es-419"/>
        </w:rPr>
        <w:t xml:space="preserve"> Los </w:t>
      </w:r>
      <w:r w:rsidR="00772495">
        <w:rPr>
          <w:lang w:val="es-419"/>
        </w:rPr>
        <w:t>indicadores clave de desempeño (</w:t>
      </w:r>
      <w:r w:rsidRPr="00756410">
        <w:rPr>
          <w:lang w:val="es-419"/>
        </w:rPr>
        <w:t>KPI</w:t>
      </w:r>
      <w:r w:rsidR="00772495">
        <w:rPr>
          <w:lang w:val="es-419"/>
        </w:rPr>
        <w:t>)</w:t>
      </w:r>
      <w:r w:rsidRPr="00756410">
        <w:rPr>
          <w:lang w:val="es-419"/>
        </w:rPr>
        <w:t xml:space="preserve"> para los servicios de procesamiento de BMS/GSSC se establecen en los SLA con </w:t>
      </w:r>
      <w:r w:rsidR="00772495">
        <w:rPr>
          <w:lang w:val="es-419"/>
        </w:rPr>
        <w:t>los buro regionales (</w:t>
      </w:r>
      <w:r w:rsidRPr="00756410">
        <w:rPr>
          <w:lang w:val="es-419"/>
        </w:rPr>
        <w:t>Rbx</w:t>
      </w:r>
      <w:r w:rsidR="00772495">
        <w:rPr>
          <w:lang w:val="es-419"/>
        </w:rPr>
        <w:t>)</w:t>
      </w:r>
      <w:r w:rsidRPr="00756410">
        <w:rPr>
          <w:lang w:val="es-419"/>
        </w:rPr>
        <w:t xml:space="preserve"> y se informan en el </w:t>
      </w:r>
      <w:r w:rsidR="00772495">
        <w:rPr>
          <w:lang w:val="es-419"/>
        </w:rPr>
        <w:t xml:space="preserve">tablero de control que comparte </w:t>
      </w:r>
      <w:hyperlink r:id="rId1" w:history="1">
        <w:r w:rsidR="00375F0F">
          <w:rPr>
            <w:rStyle w:val="Hyperlink"/>
            <w:lang w:val="es-419"/>
          </w:rPr>
          <w:t>BMS/GSSC</w:t>
        </w:r>
      </w:hyperlink>
      <w:r w:rsidR="001D31E3" w:rsidRPr="00756410">
        <w:rPr>
          <w:color w:val="7030A0"/>
          <w:lang w:val="es-419"/>
        </w:rPr>
        <w:t xml:space="preserve">. </w:t>
      </w:r>
      <w:r w:rsidRPr="00756410">
        <w:rPr>
          <w:lang w:val="es-419"/>
        </w:rPr>
        <w:t xml:space="preserve">Si una oficina </w:t>
      </w:r>
      <w:r w:rsidR="00772495">
        <w:rPr>
          <w:lang w:val="es-419"/>
        </w:rPr>
        <w:t>de</w:t>
      </w:r>
      <w:r w:rsidRPr="00756410">
        <w:rPr>
          <w:lang w:val="es-419"/>
        </w:rPr>
        <w:t xml:space="preserve"> país realiza una transacción de emergencia por razones de urgencia, debe documentar la justificación e informar de ello a su respectiva oficina regional.</w:t>
      </w:r>
    </w:p>
  </w:footnote>
  <w:footnote w:id="6">
    <w:p w14:paraId="1E1C4424" w14:textId="2F5BE181" w:rsidR="005B755E" w:rsidRPr="00756410" w:rsidRDefault="005B755E" w:rsidP="007A1AA4">
      <w:pPr>
        <w:spacing w:after="0"/>
        <w:rPr>
          <w:color w:val="7030A0"/>
          <w:lang w:val="es-419"/>
        </w:rPr>
      </w:pPr>
      <w:r w:rsidRPr="00F84992">
        <w:rPr>
          <w:rStyle w:val="FootnoteReference"/>
        </w:rPr>
        <w:footnoteRef/>
      </w:r>
      <w:r w:rsidRPr="00756410">
        <w:rPr>
          <w:lang w:val="es-419"/>
        </w:rPr>
        <w:t xml:space="preserve"> </w:t>
      </w:r>
      <w:r w:rsidRPr="00756410">
        <w:rPr>
          <w:sz w:val="20"/>
          <w:szCs w:val="20"/>
          <w:lang w:val="es-419"/>
        </w:rPr>
        <w:t xml:space="preserve">Este requisito se aplica a los perfiles de </w:t>
      </w:r>
      <w:r w:rsidR="000808FB">
        <w:rPr>
          <w:sz w:val="20"/>
          <w:szCs w:val="20"/>
          <w:lang w:val="es-419"/>
        </w:rPr>
        <w:t>usuario</w:t>
      </w:r>
      <w:r w:rsidR="000808FB" w:rsidRPr="00756410">
        <w:rPr>
          <w:sz w:val="20"/>
          <w:szCs w:val="20"/>
          <w:lang w:val="es-419"/>
        </w:rPr>
        <w:t xml:space="preserve"> </w:t>
      </w:r>
      <w:r w:rsidRPr="00756410">
        <w:rPr>
          <w:sz w:val="20"/>
          <w:szCs w:val="20"/>
          <w:lang w:val="es-419"/>
        </w:rPr>
        <w:t xml:space="preserve">de finanzas (gerente de proyecto, comprador, </w:t>
      </w:r>
      <w:r w:rsidR="000808FB">
        <w:rPr>
          <w:sz w:val="20"/>
          <w:szCs w:val="20"/>
          <w:lang w:val="es-419"/>
        </w:rPr>
        <w:t>autoridad</w:t>
      </w:r>
      <w:r w:rsidR="000808FB" w:rsidRPr="00756410">
        <w:rPr>
          <w:sz w:val="20"/>
          <w:szCs w:val="20"/>
          <w:lang w:val="es-419"/>
        </w:rPr>
        <w:t xml:space="preserve"> </w:t>
      </w:r>
      <w:r w:rsidRPr="00756410">
        <w:rPr>
          <w:sz w:val="20"/>
          <w:szCs w:val="20"/>
          <w:lang w:val="es-419"/>
        </w:rPr>
        <w:t xml:space="preserve">de aprobación, usuario de finanzas y usuario general) y </w:t>
      </w:r>
      <w:r w:rsidR="000808FB">
        <w:rPr>
          <w:sz w:val="20"/>
          <w:szCs w:val="20"/>
          <w:lang w:val="es-419"/>
        </w:rPr>
        <w:t>ciertos</w:t>
      </w:r>
      <w:r w:rsidR="000808FB" w:rsidRPr="00756410">
        <w:rPr>
          <w:sz w:val="20"/>
          <w:szCs w:val="20"/>
          <w:lang w:val="es-419"/>
        </w:rPr>
        <w:t xml:space="preserve"> </w:t>
      </w:r>
      <w:r w:rsidRPr="00756410">
        <w:rPr>
          <w:sz w:val="20"/>
          <w:szCs w:val="20"/>
          <w:lang w:val="es-419"/>
        </w:rPr>
        <w:t xml:space="preserve">perfiles de </w:t>
      </w:r>
      <w:r w:rsidR="000808FB">
        <w:rPr>
          <w:sz w:val="20"/>
          <w:szCs w:val="20"/>
          <w:lang w:val="es-419"/>
        </w:rPr>
        <w:t>usuario</w:t>
      </w:r>
      <w:r w:rsidR="000808FB" w:rsidRPr="00756410">
        <w:rPr>
          <w:sz w:val="20"/>
          <w:szCs w:val="20"/>
          <w:lang w:val="es-419"/>
        </w:rPr>
        <w:t xml:space="preserve"> </w:t>
      </w:r>
      <w:r w:rsidRPr="00756410">
        <w:rPr>
          <w:sz w:val="20"/>
          <w:szCs w:val="20"/>
          <w:lang w:val="es-419"/>
        </w:rPr>
        <w:t xml:space="preserve">de recursos humanos que deben estar segregados bajo el ICF (es decir, administrador de recursos humanos, administrador de GP y oficial de desembolso </w:t>
      </w:r>
      <w:r w:rsidR="000808FB">
        <w:rPr>
          <w:sz w:val="20"/>
          <w:szCs w:val="20"/>
          <w:lang w:val="es-419"/>
        </w:rPr>
        <w:t>–</w:t>
      </w:r>
      <w:r w:rsidRPr="00756410">
        <w:rPr>
          <w:sz w:val="20"/>
          <w:szCs w:val="20"/>
          <w:lang w:val="es-419"/>
        </w:rPr>
        <w:t xml:space="preserve"> nómina</w:t>
      </w:r>
      <w:r w:rsidR="000808FB">
        <w:rPr>
          <w:sz w:val="20"/>
          <w:szCs w:val="20"/>
          <w:lang w:val="es-419"/>
        </w:rPr>
        <w:t xml:space="preserve"> de personal</w:t>
      </w:r>
      <w:r w:rsidRPr="00756410">
        <w:rPr>
          <w:sz w:val="20"/>
          <w:szCs w:val="20"/>
          <w:lang w:val="es-419"/>
        </w:rPr>
        <w:t xml:space="preserve">). Para todos los demás perfiles de </w:t>
      </w:r>
      <w:r w:rsidR="0001612D">
        <w:rPr>
          <w:sz w:val="20"/>
          <w:szCs w:val="20"/>
          <w:lang w:val="es-419"/>
        </w:rPr>
        <w:t>Usuario</w:t>
      </w:r>
      <w:r w:rsidR="0001612D" w:rsidRPr="00756410">
        <w:rPr>
          <w:sz w:val="20"/>
          <w:szCs w:val="20"/>
          <w:lang w:val="es-419"/>
        </w:rPr>
        <w:t xml:space="preserve"> </w:t>
      </w:r>
      <w:r w:rsidRPr="00756410">
        <w:rPr>
          <w:sz w:val="20"/>
          <w:szCs w:val="20"/>
          <w:lang w:val="es-419"/>
        </w:rPr>
        <w:t>de RRHH, es posible tener más de un</w:t>
      </w:r>
      <w:r w:rsidR="000808FB">
        <w:rPr>
          <w:sz w:val="20"/>
          <w:szCs w:val="20"/>
          <w:lang w:val="es-419"/>
        </w:rPr>
        <w:t xml:space="preserve"> perfil</w:t>
      </w:r>
      <w:r w:rsidRPr="00756410">
        <w:rPr>
          <w:sz w:val="20"/>
          <w:szCs w:val="20"/>
          <w:lang w:val="es-419"/>
        </w:rPr>
        <w:t xml:space="preserve"> por usuario, ya que no requieren segregación de funciones o no entran en el ámbito del ICF.</w:t>
      </w:r>
    </w:p>
    <w:p w14:paraId="25832AB4" w14:textId="3D6ECAE8" w:rsidR="005B755E" w:rsidRPr="00756410" w:rsidRDefault="005B755E">
      <w:pPr>
        <w:pStyle w:val="FootnoteText"/>
        <w:rPr>
          <w:lang w:val="es-419"/>
        </w:rPr>
      </w:pPr>
    </w:p>
  </w:footnote>
  <w:footnote w:id="7">
    <w:p w14:paraId="22A0149A" w14:textId="4902A0B2" w:rsidR="00EE123E" w:rsidRPr="00756410" w:rsidRDefault="00EE123E">
      <w:pPr>
        <w:pStyle w:val="FootnoteText"/>
        <w:rPr>
          <w:lang w:val="es-419"/>
        </w:rPr>
      </w:pPr>
      <w:r w:rsidRPr="00F84992">
        <w:rPr>
          <w:rStyle w:val="FootnoteReference"/>
        </w:rPr>
        <w:footnoteRef/>
      </w:r>
      <w:r w:rsidRPr="00756410">
        <w:rPr>
          <w:lang w:val="es-419"/>
        </w:rPr>
        <w:t xml:space="preserve"> Las funciones de desembolso dentro del ERP ahora son desempeñadas por BMS/GSSC (para </w:t>
      </w:r>
      <w:r w:rsidR="00394594">
        <w:rPr>
          <w:lang w:val="es-419"/>
        </w:rPr>
        <w:t xml:space="preserve">las </w:t>
      </w:r>
      <w:r w:rsidR="00E05E03">
        <w:rPr>
          <w:lang w:val="es-419"/>
        </w:rPr>
        <w:t>o</w:t>
      </w:r>
      <w:r w:rsidR="00394594">
        <w:rPr>
          <w:lang w:val="es-419"/>
        </w:rPr>
        <w:t xml:space="preserve">ficinas de </w:t>
      </w:r>
      <w:r w:rsidR="00E05E03">
        <w:rPr>
          <w:lang w:val="es-419"/>
        </w:rPr>
        <w:t>país</w:t>
      </w:r>
      <w:r w:rsidRPr="00756410">
        <w:rPr>
          <w:lang w:val="es-419"/>
        </w:rPr>
        <w:t xml:space="preserve">) y BMS/OFRM/Tesorería (para oficinas de la Sede), y </w:t>
      </w:r>
      <w:r w:rsidR="00A64ADB">
        <w:rPr>
          <w:lang w:val="es-419"/>
        </w:rPr>
        <w:t>VNU</w:t>
      </w:r>
      <w:r w:rsidRPr="00756410">
        <w:rPr>
          <w:lang w:val="es-419"/>
        </w:rPr>
        <w:t>, por lo que todas las demás oficinas/unidades no tienen un rol dedicado de "Oficial de Desembolso" en IDAM.</w:t>
      </w:r>
    </w:p>
  </w:footnote>
  <w:footnote w:id="8">
    <w:p w14:paraId="1280F8E8" w14:textId="27E76932" w:rsidR="00A24D5B" w:rsidRPr="00756410" w:rsidRDefault="00A24D5B" w:rsidP="00A24D5B">
      <w:pPr>
        <w:pStyle w:val="FootnoteText"/>
        <w:rPr>
          <w:lang w:val="es-419"/>
        </w:rPr>
      </w:pPr>
      <w:r w:rsidRPr="00F84992">
        <w:rPr>
          <w:rStyle w:val="FootnoteReference"/>
        </w:rPr>
        <w:footnoteRef/>
      </w:r>
      <w:r w:rsidRPr="00756410">
        <w:rPr>
          <w:lang w:val="es-419"/>
        </w:rPr>
        <w:t xml:space="preserve"> Oracle PPM tiene actualmente una limitación técnica en el sentido de que no permite restringir el campo de asignación de </w:t>
      </w:r>
      <w:r w:rsidR="00394594">
        <w:rPr>
          <w:lang w:val="es-419"/>
        </w:rPr>
        <w:t>Gerente de Proyecto</w:t>
      </w:r>
      <w:r w:rsidRPr="00756410">
        <w:rPr>
          <w:lang w:val="es-419"/>
        </w:rPr>
        <w:t xml:space="preserve">. Por lo tanto, cualquier usuario puede modificar actualmente el campo de asignación de </w:t>
      </w:r>
      <w:r w:rsidR="00394594">
        <w:rPr>
          <w:lang w:val="es-419"/>
        </w:rPr>
        <w:t>Gerente de Proyecto de PPM</w:t>
      </w:r>
      <w:r w:rsidRPr="00756410">
        <w:rPr>
          <w:lang w:val="es-419"/>
        </w:rPr>
        <w:t>. Si bien BMS/OFRM está utilizando actualmente esta limitación para adaptarse a la flexibilidad de ICF para RR/RR</w:t>
      </w:r>
      <w:r w:rsidR="006E4323">
        <w:rPr>
          <w:lang w:val="es-419"/>
        </w:rPr>
        <w:t>D</w:t>
      </w:r>
      <w:r w:rsidRPr="00756410">
        <w:rPr>
          <w:lang w:val="es-419"/>
        </w:rPr>
        <w:t xml:space="preserve">/OM (y equivalentes de </w:t>
      </w:r>
      <w:r w:rsidR="00394594">
        <w:rPr>
          <w:lang w:val="es-419"/>
        </w:rPr>
        <w:t>la sede</w:t>
      </w:r>
      <w:r w:rsidRPr="00756410">
        <w:rPr>
          <w:lang w:val="es-419"/>
        </w:rPr>
        <w:t xml:space="preserve">), BMS/OFRM es consciente de los desafíos de cumplimiento de ICF que el acceso abierto a este campo de asignación de gerente de proyecto de PPM ha creado para oficinas/unidades. BMS/OFRM está trabajando con BMS/ITM (y Oracle) para desarrollar una solución a largo plazo para controlar </w:t>
      </w:r>
      <w:r w:rsidR="00394594">
        <w:rPr>
          <w:lang w:val="es-419"/>
        </w:rPr>
        <w:t>de mejor manera</w:t>
      </w:r>
      <w:r w:rsidR="00394594" w:rsidRPr="00756410">
        <w:rPr>
          <w:lang w:val="es-419"/>
        </w:rPr>
        <w:t xml:space="preserve"> </w:t>
      </w:r>
      <w:r w:rsidRPr="00756410">
        <w:rPr>
          <w:lang w:val="es-419"/>
        </w:rPr>
        <w:t xml:space="preserve">el acceso a este campo de PPM y garantizar una alineación más estrecha entre las asignaciones de IDAM y </w:t>
      </w:r>
      <w:r w:rsidR="00394594">
        <w:rPr>
          <w:lang w:val="es-419"/>
        </w:rPr>
        <w:t xml:space="preserve">gerente de proyecto de </w:t>
      </w:r>
      <w:r w:rsidRPr="00756410">
        <w:rPr>
          <w:lang w:val="es-419"/>
        </w:rPr>
        <w:t xml:space="preserve">PPM. Mientras tanto, BMS/OFRM ha proporcionado varios </w:t>
      </w:r>
      <w:hyperlink r:id="rId2" w:history="1">
        <w:r w:rsidRPr="00756410">
          <w:rPr>
            <w:rStyle w:val="Hyperlink"/>
            <w:lang w:val="es-419"/>
          </w:rPr>
          <w:t>informes de monitoreo de ICF</w:t>
        </w:r>
      </w:hyperlink>
      <w:r w:rsidRPr="00756410">
        <w:rPr>
          <w:lang w:val="es-419"/>
        </w:rPr>
        <w:t xml:space="preserve"> que se actualizan diariamente para ayudar a las oficinas/unidades a monitorear y resolver los desafíos de cumplimiento de ICF resultantes.</w:t>
      </w:r>
    </w:p>
  </w:footnote>
  <w:footnote w:id="9">
    <w:p w14:paraId="407C1CB3" w14:textId="73BB6147" w:rsidR="000657FC" w:rsidRPr="00756410" w:rsidRDefault="000657FC">
      <w:pPr>
        <w:pStyle w:val="FootnoteText"/>
        <w:rPr>
          <w:lang w:val="es-419"/>
        </w:rPr>
      </w:pPr>
      <w:r w:rsidRPr="00F84992">
        <w:rPr>
          <w:rStyle w:val="FootnoteReference"/>
        </w:rPr>
        <w:footnoteRef/>
      </w:r>
      <w:r w:rsidRPr="00756410">
        <w:rPr>
          <w:lang w:val="es-419"/>
        </w:rPr>
        <w:t xml:space="preserve"> </w:t>
      </w:r>
      <w:r w:rsidRPr="00756410">
        <w:rPr>
          <w:rFonts w:cstheme="minorHAnsi"/>
          <w:lang w:val="es-419"/>
        </w:rPr>
        <w:t xml:space="preserve">A partir del 9 de febrero de 2024, </w:t>
      </w:r>
      <w:r w:rsidR="00394594">
        <w:rPr>
          <w:rFonts w:cstheme="minorHAnsi"/>
          <w:lang w:val="es-419"/>
        </w:rPr>
        <w:t>la</w:t>
      </w:r>
      <w:r w:rsidR="00394594" w:rsidRPr="00756410">
        <w:rPr>
          <w:rFonts w:cstheme="minorHAnsi"/>
          <w:lang w:val="es-419"/>
        </w:rPr>
        <w:t xml:space="preserve"> </w:t>
      </w:r>
      <w:r w:rsidRPr="00756410">
        <w:rPr>
          <w:rFonts w:cstheme="minorHAnsi"/>
          <w:lang w:val="es-419"/>
        </w:rPr>
        <w:t>Director</w:t>
      </w:r>
      <w:r w:rsidR="00394594">
        <w:rPr>
          <w:rFonts w:cstheme="minorHAnsi"/>
          <w:lang w:val="es-419"/>
        </w:rPr>
        <w:t>a</w:t>
      </w:r>
      <w:r w:rsidRPr="00756410">
        <w:rPr>
          <w:rFonts w:cstheme="minorHAnsi"/>
          <w:lang w:val="es-419"/>
        </w:rPr>
        <w:t xml:space="preserve"> de BMS anunció que </w:t>
      </w:r>
      <w:r w:rsidR="00983800" w:rsidRPr="00756410">
        <w:rPr>
          <w:rFonts w:cstheme="minorHAnsi"/>
          <w:lang w:val="es-419"/>
          <w14:ligatures w14:val="none"/>
        </w:rPr>
        <w:t xml:space="preserve">BMS/GSSC realizaría la validación/aprobación L2 para todos los proveedores. Este cambio tenía como objetivo reducir el nivel de rechazos de pagos debido a datos bancarios incorrectos, fortalecer los controles internos y aumentar la eficiencia de los procesos. Algunas oficinas/unidades de la sede central todavía pueden tener el acceso necesario para realizar aprobaciones de proveedores L2 solo para emergencias. Dicho acceso debe ser aprobado por el </w:t>
      </w:r>
      <w:r w:rsidR="00376AF6">
        <w:rPr>
          <w:rFonts w:cstheme="minorHAnsi"/>
          <w:lang w:val="es-419"/>
          <w14:ligatures w14:val="none"/>
        </w:rPr>
        <w:t>Director Financiero (</w:t>
      </w:r>
      <w:r w:rsidR="00983800" w:rsidRPr="00756410">
        <w:rPr>
          <w:rFonts w:cstheme="minorHAnsi"/>
          <w:lang w:val="es-419"/>
          <w14:ligatures w14:val="none"/>
        </w:rPr>
        <w:t>CFO</w:t>
      </w:r>
      <w:r w:rsidR="00376AF6">
        <w:rPr>
          <w:rFonts w:cstheme="minorHAnsi"/>
          <w:lang w:val="es-419"/>
          <w14:ligatures w14:val="none"/>
        </w:rPr>
        <w:t>)</w:t>
      </w:r>
      <w:r w:rsidR="00983800" w:rsidRPr="00756410">
        <w:rPr>
          <w:rFonts w:cstheme="minorHAnsi"/>
          <w:lang w:val="es-419"/>
          <w14:ligatures w14:val="none"/>
        </w:rPr>
        <w:t xml:space="preserve">. </w:t>
      </w:r>
    </w:p>
  </w:footnote>
  <w:footnote w:id="10">
    <w:p w14:paraId="7DEC6A2B" w14:textId="214555A0" w:rsidR="00962F7A" w:rsidRPr="00756410" w:rsidRDefault="00962F7A" w:rsidP="00962F7A">
      <w:pPr>
        <w:pStyle w:val="FootnoteText"/>
        <w:rPr>
          <w:lang w:val="es-419"/>
        </w:rPr>
      </w:pPr>
      <w:r w:rsidRPr="00F84992">
        <w:rPr>
          <w:rStyle w:val="FootnoteReference"/>
        </w:rPr>
        <w:footnoteRef/>
      </w:r>
      <w:r w:rsidRPr="00756410">
        <w:rPr>
          <w:lang w:val="es-419"/>
        </w:rPr>
        <w:t xml:space="preserve"> El proceso revisado propuesto prevé que los usuarios financieros, los usuarios generales y los compradores podrán realizar  de datos para crear o modificar un proveedor en los casos en que un proveedor no pueda hacerlo por sí mismo (es decir, solo registro interno). Esto aumentará la flexibilidad en la cantidad de personal que puede realizar  de datos para la creación / modificación de</w:t>
      </w:r>
      <w:r w:rsidR="00E81F98">
        <w:rPr>
          <w:lang w:val="es-419"/>
        </w:rPr>
        <w:t xml:space="preserve"> </w:t>
      </w:r>
      <w:r w:rsidRPr="00756410">
        <w:rPr>
          <w:lang w:val="es-419"/>
        </w:rPr>
        <w:t>proveedores, ya que todos estos roles pueden ser desempeñados por personal que no es  lo que agrega flexibilidad para oficinas / unidades más pequeñas. La propuesta también reduce el nivel de de datos que realiza un aprobador L1 para los registros internos de proveedores y debería acelerar el proceso de aprobaciones L1. Se espera que estos cambios en el proceso estén disponibles en 2025.</w:t>
      </w:r>
    </w:p>
  </w:footnote>
  <w:footnote w:id="11">
    <w:p w14:paraId="5810EE8C" w14:textId="77777777" w:rsidR="00D50A16" w:rsidRPr="00756410" w:rsidRDefault="00D50A16" w:rsidP="00756410">
      <w:pPr>
        <w:pStyle w:val="FootnoteText"/>
        <w:jc w:val="both"/>
        <w:rPr>
          <w:lang w:val="es-419"/>
        </w:rPr>
      </w:pPr>
      <w:r w:rsidRPr="009A7C29">
        <w:rPr>
          <w:rStyle w:val="FootnoteReference"/>
        </w:rPr>
        <w:footnoteRef/>
      </w:r>
      <w:r w:rsidRPr="00756410">
        <w:rPr>
          <w:lang w:val="es-419"/>
        </w:rPr>
        <w:t xml:space="preserve"> Cuando la función de director de proyectos en Quantum se asigna a personal externo que utiliza el acceso externo para proyectos, las oficinas y dependencias en los países deben considerar cuidadosamente la asignación de funciones de primera autoridad de Quantum a personas que no son del personal, ya que los oficiales de programas suelen tener este derecho.</w:t>
      </w:r>
      <w:r w:rsidRPr="00756410">
        <w:rPr>
          <w:rFonts w:cstheme="minorHAnsi"/>
          <w:lang w:val="es-419"/>
        </w:rPr>
        <w:t xml:space="preserve"> En el caso de los fondos verticales, las oficinas y dependencias en los países también deben velar por que se respete la separación necesaria entre la ejecución y las responsabilidades de supervisión.</w:t>
      </w:r>
    </w:p>
  </w:footnote>
  <w:footnote w:id="12">
    <w:p w14:paraId="1C9C4D06" w14:textId="192612C3" w:rsidR="00D50A16" w:rsidRPr="00756410" w:rsidRDefault="00D50A16" w:rsidP="00756410">
      <w:pPr>
        <w:pStyle w:val="FootnoteText"/>
        <w:jc w:val="both"/>
        <w:rPr>
          <w:lang w:val="es-419"/>
        </w:rPr>
      </w:pPr>
      <w:r w:rsidRPr="009A7C29">
        <w:rPr>
          <w:rStyle w:val="FootnoteReference"/>
        </w:rPr>
        <w:footnoteRef/>
      </w:r>
      <w:r w:rsidRPr="00756410">
        <w:rPr>
          <w:lang w:val="es-419"/>
        </w:rPr>
        <w:t xml:space="preserve"> Al personal que no es del personal se le puede asignar un perfil de usuario de IDAM Finance para realizar tareas financieras, ya que las funciones de control que anteriormente se incluían en este rol ahora son realizadas por BMS/GSSC y BMS/OFRM/Tesorería.</w:t>
      </w:r>
    </w:p>
  </w:footnote>
  <w:footnote w:id="13">
    <w:p w14:paraId="2A894CBF" w14:textId="7BF291BF" w:rsidR="00671E75" w:rsidRPr="00756410" w:rsidRDefault="00671E75">
      <w:pPr>
        <w:pStyle w:val="FootnoteText"/>
        <w:rPr>
          <w:lang w:val="es-419"/>
        </w:rPr>
      </w:pPr>
      <w:r w:rsidRPr="009A7C29">
        <w:rPr>
          <w:rStyle w:val="FootnoteReference"/>
        </w:rPr>
        <w:footnoteRef/>
      </w:r>
      <w:r w:rsidRPr="00756410">
        <w:rPr>
          <w:lang w:val="es-419"/>
        </w:rPr>
        <w:t xml:space="preserve"> Debido a una limitación técnica de Oracle, el campo de asignación de Project Manager en el módulo PPM no está restringido y puede ser modificado por cualquier usuario con acceso. BMS está trabajando para identificar una solución para insertar los nombres de los gerentes de proyectos aprobados por IDAM en el campo de asignación del gerente de proyectos del módulo PPM, de modo que los usuarios solo puedan seleccionar de una lista de gerentes de proyectos aprobados por IDAM. Mientras tanto, esta falta de alineación entre los gerentes de proyecto aprobados por IDAM y los gerentes de proyecto de PPM debe ser monitoreada por las oficinas</w:t>
      </w:r>
      <w:r w:rsidR="000A7B4A">
        <w:rPr>
          <w:lang w:val="es-419"/>
        </w:rPr>
        <w:t xml:space="preserve"> o </w:t>
      </w:r>
      <w:r w:rsidRPr="00756410">
        <w:rPr>
          <w:lang w:val="es-419"/>
        </w:rPr>
        <w:t>unidades utilizando el informe de monitoreo de excepciones de ICF relevante.</w:t>
      </w:r>
    </w:p>
  </w:footnote>
  <w:footnote w:id="14">
    <w:p w14:paraId="6EC86759" w14:textId="23CE3630" w:rsidR="00D733E9" w:rsidRPr="00756410" w:rsidRDefault="00D733E9" w:rsidP="00BA5960">
      <w:pPr>
        <w:spacing w:line="240" w:lineRule="auto"/>
        <w:rPr>
          <w:sz w:val="20"/>
          <w:szCs w:val="20"/>
          <w:lang w:val="es-419"/>
        </w:rPr>
      </w:pPr>
      <w:r w:rsidRPr="009A7C29">
        <w:rPr>
          <w:rStyle w:val="FootnoteReference"/>
        </w:rPr>
        <w:footnoteRef/>
      </w:r>
      <w:r w:rsidRPr="00756410">
        <w:rPr>
          <w:lang w:val="es-419"/>
        </w:rPr>
        <w:t xml:space="preserve"> </w:t>
      </w:r>
      <w:r w:rsidRPr="00756410">
        <w:rPr>
          <w:sz w:val="20"/>
          <w:szCs w:val="20"/>
          <w:lang w:val="es-419"/>
        </w:rPr>
        <w:t>Esta mejora se implementó en febrero de 2024 para reemplazar el paso de aprobación previa del gerente de línea basado en correo electrónico que se había implementado en muchas oficinas</w:t>
      </w:r>
      <w:r w:rsidR="00D078A3">
        <w:rPr>
          <w:sz w:val="20"/>
          <w:szCs w:val="20"/>
          <w:lang w:val="es-419"/>
        </w:rPr>
        <w:t xml:space="preserve"> o </w:t>
      </w:r>
      <w:r w:rsidRPr="00756410">
        <w:rPr>
          <w:sz w:val="20"/>
          <w:szCs w:val="20"/>
          <w:lang w:val="es-419"/>
        </w:rPr>
        <w:t>unidades, antes de la aprobación final por parte del aprobador de IDAM. La mejora fue diseñada para reducir el tiempo, garantizar un mejor seguimiento de las solicitudes de aprobación previa pendientes y completadas, y proporcionar una pista de auditoría completa para referencia futura.</w:t>
      </w:r>
    </w:p>
    <w:p w14:paraId="1931AB49" w14:textId="77777777" w:rsidR="00D733E9" w:rsidRPr="00756410" w:rsidRDefault="00D733E9" w:rsidP="00D733E9">
      <w:pPr>
        <w:pStyle w:val="FootnoteText"/>
        <w:rPr>
          <w:lang w:val="es-419"/>
        </w:rPr>
      </w:pPr>
    </w:p>
  </w:footnote>
  <w:footnote w:id="15">
    <w:p w14:paraId="7C240858" w14:textId="0F5E05ED" w:rsidR="00E91982" w:rsidRPr="00756410" w:rsidRDefault="00E91982" w:rsidP="00756410">
      <w:pPr>
        <w:pStyle w:val="FootnoteText"/>
        <w:jc w:val="both"/>
        <w:rPr>
          <w:lang w:val="es-419"/>
        </w:rPr>
      </w:pPr>
      <w:r w:rsidRPr="009A7C29">
        <w:rPr>
          <w:rStyle w:val="FootnoteReference"/>
        </w:rPr>
        <w:footnoteRef/>
      </w:r>
      <w:r w:rsidRPr="00756410">
        <w:rPr>
          <w:lang w:val="es-419"/>
        </w:rPr>
        <w:t xml:space="preserve"> Si bien l</w:t>
      </w:r>
      <w:r w:rsidR="000105DB">
        <w:rPr>
          <w:lang w:val="es-419"/>
        </w:rPr>
        <w:t>as reglas financieras</w:t>
      </w:r>
      <w:r w:rsidR="002F4248">
        <w:rPr>
          <w:lang w:val="es-419"/>
        </w:rPr>
        <w:t xml:space="preserve"> </w:t>
      </w:r>
      <w:r w:rsidR="000105DB">
        <w:rPr>
          <w:lang w:val="es-419"/>
        </w:rPr>
        <w:t>(</w:t>
      </w:r>
      <w:r w:rsidR="00F046C3">
        <w:rPr>
          <w:lang w:val="es-419"/>
        </w:rPr>
        <w:t>FRR</w:t>
      </w:r>
      <w:r w:rsidR="000105DB">
        <w:rPr>
          <w:lang w:val="es-419"/>
        </w:rPr>
        <w:t>)</w:t>
      </w:r>
      <w:r w:rsidRPr="00756410">
        <w:rPr>
          <w:lang w:val="es-419"/>
        </w:rPr>
        <w:t xml:space="preserve"> del PNUD se refieren al </w:t>
      </w:r>
      <w:r w:rsidR="007D2DFB">
        <w:rPr>
          <w:lang w:val="es-419"/>
        </w:rPr>
        <w:t>“</w:t>
      </w:r>
      <w:r w:rsidRPr="00756410">
        <w:rPr>
          <w:i/>
          <w:iCs/>
          <w:lang w:val="es-419"/>
        </w:rPr>
        <w:t>Contralor</w:t>
      </w:r>
      <w:r w:rsidR="00EF5826" w:rsidRPr="00756410">
        <w:rPr>
          <w:i/>
          <w:iCs/>
          <w:lang w:val="es-419"/>
        </w:rPr>
        <w:t xml:space="preserve"> buro</w:t>
      </w:r>
      <w:r w:rsidR="006425C7" w:rsidRPr="00756410">
        <w:rPr>
          <w:i/>
          <w:iCs/>
          <w:lang w:val="es-419"/>
        </w:rPr>
        <w:t xml:space="preserve"> de gesti</w:t>
      </w:r>
      <w:r w:rsidR="00CA3525" w:rsidRPr="00756410">
        <w:rPr>
          <w:i/>
          <w:iCs/>
          <w:lang w:val="es-419"/>
        </w:rPr>
        <w:t>ó</w:t>
      </w:r>
      <w:r w:rsidR="006425C7" w:rsidRPr="00756410">
        <w:rPr>
          <w:i/>
          <w:iCs/>
          <w:lang w:val="es-419"/>
        </w:rPr>
        <w:t>n</w:t>
      </w:r>
      <w:r w:rsidR="00CA3525">
        <w:rPr>
          <w:lang w:val="es-419"/>
        </w:rPr>
        <w:t>”</w:t>
      </w:r>
      <w:r w:rsidRPr="00756410">
        <w:rPr>
          <w:lang w:val="es-419"/>
        </w:rPr>
        <w:t xml:space="preserve">, el título provisional de esta función en el PNUD es </w:t>
      </w:r>
      <w:r w:rsidR="00376AF6">
        <w:rPr>
          <w:lang w:val="es-419"/>
        </w:rPr>
        <w:t>Director Financiero</w:t>
      </w:r>
      <w:r w:rsidRPr="00756410">
        <w:rPr>
          <w:lang w:val="es-419"/>
        </w:rPr>
        <w:t xml:space="preserve"> (CFO).</w:t>
      </w:r>
    </w:p>
  </w:footnote>
  <w:footnote w:id="16">
    <w:p w14:paraId="65C10C58" w14:textId="34455F3E" w:rsidR="001F13DD" w:rsidRPr="00756410" w:rsidRDefault="001F13DD">
      <w:pPr>
        <w:pStyle w:val="FootnoteText"/>
        <w:rPr>
          <w:lang w:val="es-419"/>
        </w:rPr>
      </w:pPr>
      <w:r>
        <w:rPr>
          <w:rStyle w:val="FootnoteReference"/>
        </w:rPr>
        <w:footnoteRef/>
      </w:r>
      <w:r w:rsidRPr="00756410">
        <w:rPr>
          <w:lang w:val="es-419"/>
        </w:rPr>
        <w:t xml:space="preserve"> </w:t>
      </w:r>
      <w:r w:rsidRPr="00756410">
        <w:rPr>
          <w:rFonts w:cstheme="minorHAnsi"/>
          <w:lang w:val="es-419"/>
        </w:rPr>
        <w:t xml:space="preserve">Ver </w:t>
      </w:r>
      <w:hyperlink r:id="rId3" w:history="1">
        <w:r w:rsidR="009479AE" w:rsidRPr="00A03E9B">
          <w:rPr>
            <w:rStyle w:val="Hyperlink"/>
            <w:rFonts w:cstheme="minorHAnsi"/>
            <w:lang w:val="es-419"/>
          </w:rPr>
          <w:t>Planificación</w:t>
        </w:r>
        <w:r w:rsidR="000F6B83" w:rsidRPr="00756410">
          <w:rPr>
            <w:rStyle w:val="Hyperlink"/>
            <w:lang w:val="es-419"/>
          </w:rPr>
          <w:t xml:space="preserve"> </w:t>
        </w:r>
        <w:r w:rsidRPr="00756410">
          <w:rPr>
            <w:rStyle w:val="Hyperlink"/>
            <w:lang w:val="es-419"/>
          </w:rPr>
          <w:t xml:space="preserve">y </w:t>
        </w:r>
        <w:r w:rsidR="00495834" w:rsidRPr="00A03E9B">
          <w:rPr>
            <w:rStyle w:val="Hyperlink"/>
            <w:rFonts w:cstheme="minorHAnsi"/>
            <w:lang w:val="es-419"/>
          </w:rPr>
          <w:t>ejecución</w:t>
        </w:r>
        <w:r w:rsidR="00495834" w:rsidRPr="00756410">
          <w:rPr>
            <w:rStyle w:val="Hyperlink"/>
            <w:lang w:val="es-419"/>
          </w:rPr>
          <w:t xml:space="preserve"> </w:t>
        </w:r>
        <w:r w:rsidRPr="00756410">
          <w:rPr>
            <w:rStyle w:val="Hyperlink"/>
            <w:lang w:val="es-419"/>
          </w:rPr>
          <w:t>de adquisiciones</w:t>
        </w:r>
        <w:r w:rsidRPr="00756410">
          <w:rPr>
            <w:rStyle w:val="Hyperlink"/>
            <w:rFonts w:cstheme="minorHAnsi"/>
            <w:lang w:val="es-419"/>
          </w:rPr>
          <w:t xml:space="preserve"> </w:t>
        </w:r>
        <w:r w:rsidR="00A03E9B" w:rsidRPr="00A03E9B">
          <w:rPr>
            <w:rStyle w:val="Hyperlink"/>
            <w:rFonts w:cstheme="minorHAnsi"/>
            <w:lang w:val="es-419"/>
          </w:rPr>
          <w:t>en</w:t>
        </w:r>
        <w:r w:rsidRPr="00756410">
          <w:rPr>
            <w:rStyle w:val="Hyperlink"/>
            <w:rFonts w:cstheme="minorHAnsi"/>
            <w:lang w:val="es-419"/>
          </w:rPr>
          <w:t xml:space="preserve"> POPP</w:t>
        </w:r>
      </w:hyperlink>
      <w:r w:rsidRPr="00756410">
        <w:rPr>
          <w:rFonts w:cstheme="minorHAnsi"/>
          <w:lang w:val="es-419"/>
        </w:rPr>
        <w:t>.</w:t>
      </w:r>
    </w:p>
  </w:footnote>
  <w:footnote w:id="17">
    <w:p w14:paraId="703EBC4B" w14:textId="77777777" w:rsidR="00BA6934" w:rsidRPr="00756410" w:rsidRDefault="00BA6934" w:rsidP="00BA6934">
      <w:pPr>
        <w:pStyle w:val="FootnoteText"/>
        <w:rPr>
          <w:lang w:val="es-419"/>
        </w:rPr>
      </w:pPr>
      <w:r>
        <w:rPr>
          <w:rStyle w:val="FootnoteReference"/>
        </w:rPr>
        <w:footnoteRef/>
      </w:r>
      <w:r w:rsidRPr="00756410">
        <w:rPr>
          <w:lang w:val="es-419"/>
        </w:rPr>
        <w:t xml:space="preserve"> De conformidad con el Artículo 20.03 del Reglamento Financiero y las Reglas 120.01 a 120.03.</w:t>
      </w:r>
    </w:p>
  </w:footnote>
  <w:footnote w:id="18">
    <w:p w14:paraId="42250B76" w14:textId="77777777" w:rsidR="00FE3211" w:rsidRPr="00756410" w:rsidRDefault="00FE3211" w:rsidP="00756410">
      <w:pPr>
        <w:pStyle w:val="FootnoteText"/>
        <w:jc w:val="both"/>
        <w:rPr>
          <w:lang w:val="es-419"/>
        </w:rPr>
      </w:pPr>
      <w:r>
        <w:rPr>
          <w:rStyle w:val="FootnoteReference"/>
        </w:rPr>
        <w:footnoteRef/>
      </w:r>
      <w:r w:rsidRPr="00756410">
        <w:rPr>
          <w:lang w:val="es-419"/>
        </w:rPr>
        <w:t xml:space="preserve"> El director del programa se define como el RR del PNUD (o autoridad delegada) que aprueba y firma el documento del proyecto.</w:t>
      </w:r>
    </w:p>
  </w:footnote>
  <w:footnote w:id="19">
    <w:p w14:paraId="2D4A7124" w14:textId="20589043" w:rsidR="001B0655" w:rsidRPr="00756410" w:rsidRDefault="001B0655" w:rsidP="00756410">
      <w:pPr>
        <w:pStyle w:val="FootnoteText"/>
        <w:jc w:val="both"/>
        <w:rPr>
          <w:lang w:val="es-419"/>
        </w:rPr>
      </w:pPr>
      <w:r w:rsidRPr="009A7C29">
        <w:rPr>
          <w:rStyle w:val="FootnoteReference"/>
        </w:rPr>
        <w:footnoteRef/>
      </w:r>
      <w:r w:rsidRPr="00756410">
        <w:rPr>
          <w:lang w:val="es-419"/>
        </w:rPr>
        <w:t xml:space="preserve"> Para las oficinas pequeñas donde puede ser difícil lograr la independencia, las prácticas de compensación pueden ser útiles, como controles aleatorios o revisiones periódicas por pares por parte de los oficiales de programas en centros regionales u otr</w:t>
      </w:r>
      <w:r w:rsidR="00C32A66">
        <w:rPr>
          <w:lang w:val="es-419"/>
        </w:rPr>
        <w:t>a</w:t>
      </w:r>
      <w:r w:rsidRPr="00756410">
        <w:rPr>
          <w:lang w:val="es-419"/>
        </w:rPr>
        <w:t xml:space="preserve">s </w:t>
      </w:r>
      <w:r w:rsidR="00C32A66">
        <w:rPr>
          <w:lang w:val="es-419"/>
        </w:rPr>
        <w:t xml:space="preserve">oficinas de </w:t>
      </w:r>
      <w:r w:rsidR="006E4323">
        <w:rPr>
          <w:lang w:val="es-419"/>
        </w:rPr>
        <w:t>país</w:t>
      </w:r>
      <w:r w:rsidR="00C32A66">
        <w:rPr>
          <w:lang w:val="es-419"/>
        </w:rPr>
        <w:t xml:space="preserve"> (C</w:t>
      </w:r>
      <w:r w:rsidR="00DD174F">
        <w:rPr>
          <w:lang w:val="es-419"/>
        </w:rPr>
        <w:t>O)</w:t>
      </w:r>
      <w:r w:rsidRPr="00756410">
        <w:rPr>
          <w:lang w:val="es-419"/>
        </w:rPr>
        <w:t>.</w:t>
      </w:r>
    </w:p>
  </w:footnote>
  <w:footnote w:id="20">
    <w:p w14:paraId="654E05AF" w14:textId="0B69D030" w:rsidR="00A75922" w:rsidRPr="00756410" w:rsidRDefault="00A75922" w:rsidP="004241E3">
      <w:pPr>
        <w:spacing w:after="0" w:line="240" w:lineRule="auto"/>
        <w:rPr>
          <w:sz w:val="20"/>
          <w:szCs w:val="20"/>
          <w:lang w:val="es-419"/>
        </w:rPr>
      </w:pPr>
      <w:r w:rsidRPr="00D243BA">
        <w:rPr>
          <w:rStyle w:val="FootnoteReference"/>
          <w:sz w:val="20"/>
          <w:szCs w:val="20"/>
        </w:rPr>
        <w:footnoteRef/>
      </w:r>
      <w:r w:rsidRPr="00756410">
        <w:rPr>
          <w:sz w:val="20"/>
          <w:szCs w:val="20"/>
          <w:lang w:val="es-419"/>
        </w:rPr>
        <w:t xml:space="preserve"> Para una identificación más fácil y rápida del depósito, pida a los donantes que incluyan información sobre </w:t>
      </w:r>
      <w:r w:rsidR="00435B2D">
        <w:rPr>
          <w:sz w:val="20"/>
          <w:szCs w:val="20"/>
          <w:lang w:val="es-419"/>
        </w:rPr>
        <w:t>la oficina de país o unidad</w:t>
      </w:r>
      <w:r w:rsidRPr="00756410">
        <w:rPr>
          <w:sz w:val="20"/>
          <w:szCs w:val="20"/>
          <w:lang w:val="es-419"/>
        </w:rPr>
        <w:t xml:space="preserve"> y el proyecto en los detalles de la transferencia EFT.</w:t>
      </w:r>
    </w:p>
  </w:footnote>
  <w:footnote w:id="21">
    <w:p w14:paraId="0ADC21F6" w14:textId="6F8209CE" w:rsidR="00B57726" w:rsidRPr="00756410" w:rsidRDefault="00B57726" w:rsidP="00756410">
      <w:pPr>
        <w:pStyle w:val="FootnoteText"/>
        <w:jc w:val="both"/>
        <w:rPr>
          <w:lang w:val="es-419"/>
        </w:rPr>
      </w:pPr>
      <w:r w:rsidRPr="009A7C29">
        <w:rPr>
          <w:rStyle w:val="FootnoteReference"/>
        </w:rPr>
        <w:footnoteRef/>
      </w:r>
      <w:r w:rsidRPr="00756410">
        <w:rPr>
          <w:lang w:val="es-419"/>
        </w:rPr>
        <w:t xml:space="preserve"> Concretamente, en el párrafo 20.02 del Reglamento Financiero se establece que: "A menos que el Administrador autorice expresamente otra cosa, </w:t>
      </w:r>
      <w:r w:rsidRPr="00756410">
        <w:rPr>
          <w:b/>
          <w:lang w:val="es-419"/>
        </w:rPr>
        <w:t>habrá una separación de funciones</w:t>
      </w:r>
      <w:r w:rsidRPr="00756410">
        <w:rPr>
          <w:lang w:val="es-419"/>
        </w:rPr>
        <w:t xml:space="preserve">: a) Entre el </w:t>
      </w:r>
      <w:r w:rsidRPr="00756410">
        <w:rPr>
          <w:b/>
          <w:lang w:val="es-419"/>
        </w:rPr>
        <w:t>personal que pueda contraer compromisos</w:t>
      </w:r>
      <w:r w:rsidRPr="00756410">
        <w:rPr>
          <w:lang w:val="es-419"/>
        </w:rPr>
        <w:t xml:space="preserve"> en nombre del PNUD y el </w:t>
      </w:r>
      <w:r w:rsidRPr="00756410">
        <w:rPr>
          <w:b/>
          <w:lang w:val="es-419"/>
        </w:rPr>
        <w:t>personal que pueda verificar que los pagos puedan hacerse</w:t>
      </w:r>
      <w:r w:rsidRPr="00756410">
        <w:rPr>
          <w:lang w:val="es-419"/>
        </w:rPr>
        <w:t xml:space="preserve"> en nombre del PNUD; y b) Entre el personal que puede verificar que los pagos pueden hacerse en nombre del PNUD y el </w:t>
      </w:r>
      <w:r w:rsidRPr="00756410">
        <w:rPr>
          <w:b/>
          <w:lang w:val="es-419"/>
        </w:rPr>
        <w:t>personal que puede desembolsar recursos</w:t>
      </w:r>
      <w:r w:rsidRPr="00756410">
        <w:rPr>
          <w:lang w:val="es-419"/>
        </w:rPr>
        <w:t xml:space="preserve"> en nombre del PNUD."</w:t>
      </w:r>
    </w:p>
  </w:footnote>
  <w:footnote w:id="22">
    <w:p w14:paraId="411C1B48" w14:textId="6D2FF0F6" w:rsidR="00C752C9" w:rsidRPr="00756410" w:rsidRDefault="00C752C9" w:rsidP="00756410">
      <w:pPr>
        <w:spacing w:after="0" w:line="240" w:lineRule="auto"/>
        <w:jc w:val="both"/>
        <w:rPr>
          <w:sz w:val="20"/>
          <w:szCs w:val="20"/>
          <w:lang w:val="es-419"/>
        </w:rPr>
      </w:pPr>
      <w:r w:rsidRPr="00DE4CEB">
        <w:rPr>
          <w:rStyle w:val="FootnoteReference"/>
          <w:sz w:val="20"/>
          <w:szCs w:val="20"/>
        </w:rPr>
        <w:footnoteRef/>
      </w:r>
      <w:r w:rsidRPr="00756410">
        <w:rPr>
          <w:sz w:val="20"/>
          <w:szCs w:val="20"/>
          <w:lang w:val="es-419"/>
        </w:rPr>
        <w:t xml:space="preserve"> Con la transición a Quantum, no deberían surgir proveedores duplicados. El sistema Oracle Cloud impide el registro de un proveedor con el mismo nombre, número de identificación fiscal o datos bancarios que un proveedor existente. BMS está tomando la iniciativa en la limpieza de cualquier proveedor duplicado del PNUD que surja durante la conversión a Quantum.</w:t>
      </w:r>
    </w:p>
  </w:footnote>
  <w:footnote w:id="23">
    <w:p w14:paraId="507BAE69" w14:textId="4971DB96" w:rsidR="00503AC5" w:rsidRPr="00756410" w:rsidRDefault="00503AC5" w:rsidP="00756410">
      <w:pPr>
        <w:spacing w:after="0" w:line="240" w:lineRule="auto"/>
        <w:jc w:val="both"/>
        <w:rPr>
          <w:sz w:val="20"/>
          <w:szCs w:val="20"/>
          <w:lang w:val="es-419"/>
        </w:rPr>
      </w:pPr>
      <w:r w:rsidRPr="00DE4CEB">
        <w:rPr>
          <w:rStyle w:val="FootnoteReference"/>
          <w:sz w:val="20"/>
          <w:szCs w:val="20"/>
        </w:rPr>
        <w:footnoteRef/>
      </w:r>
      <w:r w:rsidRPr="00756410">
        <w:rPr>
          <w:sz w:val="20"/>
          <w:szCs w:val="20"/>
          <w:lang w:val="es-419"/>
        </w:rPr>
        <w:t xml:space="preserve"> Tenga en cuenta que en Quantum, cuando se completa el formulario de lienzo de microcompras, Quantum crea automáticamente una orden de compra.</w:t>
      </w:r>
    </w:p>
  </w:footnote>
  <w:footnote w:id="24">
    <w:p w14:paraId="44F61BCA" w14:textId="78ABACEF" w:rsidR="004241E3" w:rsidRPr="00756410" w:rsidRDefault="004241E3" w:rsidP="00756410">
      <w:pPr>
        <w:spacing w:after="0" w:line="240" w:lineRule="auto"/>
        <w:jc w:val="both"/>
        <w:rPr>
          <w:sz w:val="20"/>
          <w:szCs w:val="20"/>
          <w:lang w:val="es-419"/>
        </w:rPr>
      </w:pPr>
      <w:r w:rsidRPr="009A7C29">
        <w:rPr>
          <w:rStyle w:val="FootnoteReference"/>
          <w:sz w:val="20"/>
          <w:szCs w:val="20"/>
        </w:rPr>
        <w:footnoteRef/>
      </w:r>
      <w:r w:rsidRPr="00756410">
        <w:rPr>
          <w:sz w:val="20"/>
          <w:szCs w:val="20"/>
          <w:lang w:val="es-419"/>
        </w:rPr>
        <w:t xml:space="preserve"> Los compradores podían crear </w:t>
      </w:r>
      <w:r w:rsidR="0085021C">
        <w:rPr>
          <w:sz w:val="20"/>
          <w:szCs w:val="20"/>
          <w:lang w:val="es-419"/>
        </w:rPr>
        <w:t>comprobantes</w:t>
      </w:r>
      <w:r w:rsidR="0085021C" w:rsidRPr="00756410">
        <w:rPr>
          <w:sz w:val="20"/>
          <w:szCs w:val="20"/>
          <w:lang w:val="es-419"/>
        </w:rPr>
        <w:t xml:space="preserve"> </w:t>
      </w:r>
      <w:r w:rsidRPr="00756410">
        <w:rPr>
          <w:sz w:val="20"/>
          <w:szCs w:val="20"/>
          <w:lang w:val="es-419"/>
        </w:rPr>
        <w:t xml:space="preserve">en Atlas (ahora llamados facturas en Quantum), pero no aprobarlos. Esta capacidad se ha transferido a Quantum. Los usuarios financieros son los principales creadores de facturas en Quantum y, cuando sea necesario (debido al pequeño tamaño de la oficina/unidad o al volumen de transacciones), pueden ser admitidos por los usuarios generales mediante la asignación de la función complementaria "Creación de </w:t>
      </w:r>
      <w:r w:rsidR="0085021C">
        <w:rPr>
          <w:sz w:val="20"/>
          <w:szCs w:val="20"/>
          <w:lang w:val="es-419"/>
        </w:rPr>
        <w:t>facturas</w:t>
      </w:r>
      <w:r w:rsidRPr="00756410">
        <w:rPr>
          <w:sz w:val="20"/>
          <w:szCs w:val="20"/>
          <w:lang w:val="es-419"/>
        </w:rPr>
        <w:t xml:space="preserve">" de IDAM. Como tercera opción, si es necesario en una oficina/unidad, los compradores de adquisiciones también pueden ayudar con la creación de facturas. En Quantum, existen varios controles para evitar que un comprador de adquisiciones pueda eludir el proceso, que incluyen: (i) no puede aprobar unilateralmente las ediciones/adiciones de proveedores; (ii) no puede aprobar una OP; (iii) no puede recibir bienes y servicios; (iv) no puede aprobar una factura para el pago. Además, en los casos de aprobación automática de facturas por </w:t>
      </w:r>
      <w:r w:rsidR="00714D1D" w:rsidRPr="008D7291">
        <w:rPr>
          <w:sz w:val="20"/>
          <w:szCs w:val="20"/>
          <w:lang w:val="es-419"/>
        </w:rPr>
        <w:t xml:space="preserve">conciliación de tres </w:t>
      </w:r>
      <w:r w:rsidRPr="00756410">
        <w:rPr>
          <w:sz w:val="20"/>
          <w:szCs w:val="20"/>
          <w:lang w:val="es-419"/>
        </w:rPr>
        <w:t>vías, los compradores de adquisiciones no pueden acceder / actuar a dos de los 3 elementos coincidentes: orden de compra aprobada y recepción de bienes y servicios.</w:t>
      </w:r>
    </w:p>
  </w:footnote>
  <w:footnote w:id="25">
    <w:p w14:paraId="5F61D204" w14:textId="77777777" w:rsidR="00637E61" w:rsidRPr="00756410" w:rsidRDefault="00637E61" w:rsidP="00756410">
      <w:pPr>
        <w:spacing w:after="0" w:line="240" w:lineRule="auto"/>
        <w:jc w:val="both"/>
        <w:rPr>
          <w:sz w:val="20"/>
          <w:szCs w:val="20"/>
          <w:lang w:val="es-419"/>
        </w:rPr>
      </w:pPr>
      <w:r w:rsidRPr="009A7C29">
        <w:rPr>
          <w:rStyle w:val="FootnoteReference"/>
          <w:sz w:val="20"/>
          <w:szCs w:val="20"/>
        </w:rPr>
        <w:footnoteRef/>
      </w:r>
      <w:r w:rsidRPr="00756410">
        <w:rPr>
          <w:sz w:val="20"/>
          <w:szCs w:val="20"/>
          <w:lang w:val="es-419"/>
        </w:rPr>
        <w:t xml:space="preserve"> Para reducir/eliminar los rechazos de pagos debidos a datos bancarios incorrectos, Quantum cuenta con reglas de validación bancaria para evitar que se introduzcan cuentas bancarias o códigos IBAN incorrectos y hacer cumplir las normas bancarias aplicables a cada país. Estas validaciones se aplican a las cuentas bancarias de los miembros del personal o proveedores. </w:t>
      </w:r>
    </w:p>
  </w:footnote>
  <w:footnote w:id="26">
    <w:p w14:paraId="1F9B0F55" w14:textId="6D1640A9" w:rsidR="008B1605" w:rsidRPr="00756410" w:rsidRDefault="008B1605">
      <w:pPr>
        <w:pStyle w:val="FootnoteText"/>
        <w:rPr>
          <w:lang w:val="es-419"/>
        </w:rPr>
      </w:pPr>
      <w:r>
        <w:rPr>
          <w:rStyle w:val="FootnoteReference"/>
        </w:rPr>
        <w:footnoteRef/>
      </w:r>
      <w:r w:rsidRPr="00756410">
        <w:rPr>
          <w:lang w:val="es-419"/>
        </w:rPr>
        <w:t xml:space="preserve"> Es importante que las oficinas sean proactivas durante el año para resolver los déficits de costos compartidos. Una vez que se promulg</w:t>
      </w:r>
      <w:r w:rsidR="00190E5C">
        <w:rPr>
          <w:lang w:val="es-419"/>
        </w:rPr>
        <w:t>u</w:t>
      </w:r>
      <w:r w:rsidR="00BC4B71">
        <w:rPr>
          <w:lang w:val="es-419"/>
        </w:rPr>
        <w:t>e</w:t>
      </w:r>
      <w:r w:rsidRPr="00756410">
        <w:rPr>
          <w:lang w:val="es-419"/>
        </w:rPr>
        <w:t xml:space="preserve"> este cambio de GLJE, puede haber situaciones ocasionales en las que una factura de AP registrada el último día antes del cierre de AP cause un déficit de costos compartidos, pero estos deberían ser pocos. Las oficinas pueden preparar GLJE para su aprobación por </w:t>
      </w:r>
      <w:r w:rsidR="00713782">
        <w:rPr>
          <w:lang w:val="es-419"/>
        </w:rPr>
        <w:t xml:space="preserve">parte de </w:t>
      </w:r>
      <w:r w:rsidRPr="00756410">
        <w:rPr>
          <w:lang w:val="es-419"/>
        </w:rPr>
        <w:t>BMS/OFRM, si son materiales.</w:t>
      </w:r>
    </w:p>
  </w:footnote>
  <w:footnote w:id="27">
    <w:p w14:paraId="5988335D" w14:textId="68601A20" w:rsidR="00966B46" w:rsidRPr="00756410" w:rsidRDefault="00966B46" w:rsidP="00756410">
      <w:pPr>
        <w:spacing w:after="0"/>
        <w:jc w:val="both"/>
        <w:rPr>
          <w:rFonts w:ascii="Calibri" w:hAnsi="Calibri" w:cs="Calibri"/>
          <w:lang w:val="es-419"/>
        </w:rPr>
      </w:pPr>
      <w:r w:rsidRPr="00E06F45">
        <w:rPr>
          <w:rStyle w:val="FootnoteReference"/>
        </w:rPr>
        <w:footnoteRef/>
      </w:r>
      <w:r w:rsidRPr="00756410">
        <w:rPr>
          <w:lang w:val="es-419"/>
        </w:rPr>
        <w:t xml:space="preserve"> </w:t>
      </w:r>
      <w:r w:rsidRPr="00756410">
        <w:rPr>
          <w:b/>
          <w:sz w:val="20"/>
          <w:szCs w:val="20"/>
          <w:lang w:val="es-419"/>
        </w:rPr>
        <w:t>Gestión de archivos de pago (UFF/H2H/CHK):</w:t>
      </w:r>
      <w:r w:rsidRPr="00756410">
        <w:rPr>
          <w:sz w:val="20"/>
          <w:szCs w:val="20"/>
          <w:lang w:val="es-419"/>
        </w:rPr>
        <w:t xml:space="preserve"> El acceso al proceso de gestión de archivos de pago se controla a través de IDAM (</w:t>
      </w:r>
      <w:r w:rsidRPr="00756410">
        <w:rPr>
          <w:i/>
          <w:iCs/>
          <w:sz w:val="20"/>
          <w:szCs w:val="20"/>
          <w:lang w:val="es-419"/>
        </w:rPr>
        <w:t>UN UFF File Download</w:t>
      </w:r>
      <w:r w:rsidRPr="00756410">
        <w:rPr>
          <w:sz w:val="20"/>
          <w:szCs w:val="20"/>
          <w:lang w:val="es-419"/>
        </w:rPr>
        <w:t xml:space="preserve">) y garantiza la alineación con los requisitos de segregación de funciones y funciones exclusivas </w:t>
      </w:r>
      <w:r w:rsidR="00A96B05">
        <w:rPr>
          <w:sz w:val="20"/>
          <w:szCs w:val="20"/>
          <w:lang w:val="es-419"/>
        </w:rPr>
        <w:t>para personal funcionario</w:t>
      </w:r>
      <w:r w:rsidRPr="00756410">
        <w:rPr>
          <w:sz w:val="20"/>
          <w:szCs w:val="20"/>
          <w:lang w:val="es-419"/>
        </w:rPr>
        <w:t xml:space="preserve"> de la ICF. Además, los archivos de pago generados durante el proceso del ciclo de pago están disponibles para l</w:t>
      </w:r>
      <w:r w:rsidR="00A96B05">
        <w:rPr>
          <w:sz w:val="20"/>
          <w:szCs w:val="20"/>
          <w:lang w:val="es-419"/>
        </w:rPr>
        <w:t>a</w:t>
      </w:r>
      <w:r w:rsidRPr="00756410">
        <w:rPr>
          <w:sz w:val="20"/>
          <w:szCs w:val="20"/>
          <w:lang w:val="es-419"/>
        </w:rPr>
        <w:t>s CO en un servidor seguro con acceso restringido para cada unidad de negocio. BMS/OFRM continúa expandiendo las instalaciones bancarias de host a host (H2H) para l</w:t>
      </w:r>
      <w:r w:rsidR="00FD101C">
        <w:rPr>
          <w:sz w:val="20"/>
          <w:szCs w:val="20"/>
          <w:lang w:val="es-419"/>
        </w:rPr>
        <w:t>a</w:t>
      </w:r>
      <w:r w:rsidRPr="00756410">
        <w:rPr>
          <w:sz w:val="20"/>
          <w:szCs w:val="20"/>
          <w:lang w:val="es-419"/>
        </w:rPr>
        <w:t xml:space="preserve">s CO, lo que permite un enlace de comunicación directo para la transferencia segura de archivos, lo que </w:t>
      </w:r>
      <w:r w:rsidR="007C592B">
        <w:rPr>
          <w:sz w:val="20"/>
          <w:szCs w:val="20"/>
          <w:lang w:val="es-419"/>
        </w:rPr>
        <w:t>genera</w:t>
      </w:r>
      <w:r w:rsidRPr="00756410">
        <w:rPr>
          <w:sz w:val="20"/>
          <w:szCs w:val="20"/>
          <w:lang w:val="es-419"/>
        </w:rPr>
        <w:t xml:space="preserve"> una eficiencia sustancial </w:t>
      </w:r>
      <w:r w:rsidR="00C43FA9">
        <w:rPr>
          <w:sz w:val="20"/>
          <w:szCs w:val="20"/>
          <w:lang w:val="es-419"/>
        </w:rPr>
        <w:t xml:space="preserve">en los </w:t>
      </w:r>
      <w:r w:rsidRPr="00756410">
        <w:rPr>
          <w:sz w:val="20"/>
          <w:szCs w:val="20"/>
          <w:lang w:val="es-419"/>
        </w:rPr>
        <w:t>proceso</w:t>
      </w:r>
      <w:r w:rsidR="00C43FA9">
        <w:rPr>
          <w:sz w:val="20"/>
          <w:szCs w:val="20"/>
          <w:lang w:val="es-419"/>
        </w:rPr>
        <w:t>s</w:t>
      </w:r>
      <w:r w:rsidRPr="00756410">
        <w:rPr>
          <w:sz w:val="20"/>
          <w:szCs w:val="20"/>
          <w:lang w:val="es-419"/>
        </w:rPr>
        <w:t xml:space="preserve"> y </w:t>
      </w:r>
      <w:r w:rsidR="00C43FA9">
        <w:rPr>
          <w:sz w:val="20"/>
          <w:szCs w:val="20"/>
          <w:lang w:val="es-419"/>
        </w:rPr>
        <w:t xml:space="preserve">en </w:t>
      </w:r>
      <w:r w:rsidRPr="00756410">
        <w:rPr>
          <w:sz w:val="20"/>
          <w:szCs w:val="20"/>
          <w:lang w:val="es-419"/>
        </w:rPr>
        <w:t xml:space="preserve">el tiempo para el PNUD. </w:t>
      </w:r>
      <w:r w:rsidR="00C43FA9">
        <w:rPr>
          <w:sz w:val="20"/>
          <w:szCs w:val="20"/>
          <w:lang w:val="es-419"/>
        </w:rPr>
        <w:t>Desde Abril de</w:t>
      </w:r>
      <w:r w:rsidRPr="00756410">
        <w:rPr>
          <w:sz w:val="20"/>
          <w:szCs w:val="20"/>
          <w:lang w:val="es-419"/>
        </w:rPr>
        <w:t xml:space="preserve"> 2025, </w:t>
      </w:r>
      <w:r w:rsidR="006D21B3" w:rsidRPr="00756410">
        <w:rPr>
          <w:rFonts w:ascii="Calibri" w:hAnsi="Calibri" w:cs="Calibri"/>
          <w:sz w:val="20"/>
          <w:szCs w:val="20"/>
          <w:lang w:val="es-419"/>
        </w:rPr>
        <w:t xml:space="preserve">más del 80% de los pagos globales del PNUD se realizan a través de la conectividad bancaria H2H segura utilizando estándares ISO20022, y 346 de </w:t>
      </w:r>
      <w:r w:rsidR="008F4BB9">
        <w:rPr>
          <w:rFonts w:ascii="Calibri" w:hAnsi="Calibri" w:cs="Calibri"/>
          <w:sz w:val="20"/>
          <w:szCs w:val="20"/>
          <w:lang w:val="es-419"/>
        </w:rPr>
        <w:t xml:space="preserve">las </w:t>
      </w:r>
      <w:r w:rsidR="006D21B3" w:rsidRPr="00756410">
        <w:rPr>
          <w:rFonts w:ascii="Calibri" w:hAnsi="Calibri" w:cs="Calibri"/>
          <w:sz w:val="20"/>
          <w:szCs w:val="20"/>
          <w:lang w:val="es-419"/>
        </w:rPr>
        <w:t xml:space="preserve">461 (75%) cuentas bancarias del PNUD utilizan completamente </w:t>
      </w:r>
      <w:r w:rsidR="008F4BB9">
        <w:rPr>
          <w:rFonts w:ascii="Calibri" w:hAnsi="Calibri" w:cs="Calibri"/>
          <w:sz w:val="20"/>
          <w:szCs w:val="20"/>
          <w:lang w:val="es-419"/>
        </w:rPr>
        <w:t xml:space="preserve">el </w:t>
      </w:r>
      <w:r w:rsidR="006D21B3" w:rsidRPr="00756410">
        <w:rPr>
          <w:rFonts w:ascii="Calibri" w:hAnsi="Calibri" w:cs="Calibri"/>
          <w:sz w:val="20"/>
          <w:szCs w:val="20"/>
          <w:lang w:val="es-419"/>
        </w:rPr>
        <w:t xml:space="preserve">ISO20022 estándar H2H. </w:t>
      </w:r>
    </w:p>
  </w:footnote>
  <w:footnote w:id="28">
    <w:p w14:paraId="25633FD9" w14:textId="0820F981" w:rsidR="000C139A" w:rsidRPr="00756410" w:rsidRDefault="000C139A" w:rsidP="00756410">
      <w:pPr>
        <w:spacing w:after="0" w:line="240" w:lineRule="auto"/>
        <w:jc w:val="both"/>
        <w:rPr>
          <w:lang w:val="es-419"/>
        </w:rPr>
      </w:pPr>
      <w:r w:rsidRPr="00E06F45">
        <w:rPr>
          <w:rStyle w:val="FootnoteReference"/>
          <w:sz w:val="20"/>
          <w:szCs w:val="20"/>
        </w:rPr>
        <w:footnoteRef/>
      </w:r>
      <w:r w:rsidRPr="00756410">
        <w:rPr>
          <w:lang w:val="es-419"/>
        </w:rPr>
        <w:t xml:space="preserve"> </w:t>
      </w:r>
      <w:r w:rsidRPr="00756410">
        <w:rPr>
          <w:sz w:val="20"/>
          <w:szCs w:val="20"/>
          <w:lang w:val="es-419"/>
        </w:rPr>
        <w:t xml:space="preserve">El </w:t>
      </w:r>
      <w:r w:rsidR="00AE3B2B">
        <w:rPr>
          <w:sz w:val="20"/>
          <w:szCs w:val="20"/>
          <w:lang w:val="es-419"/>
        </w:rPr>
        <w:t>P</w:t>
      </w:r>
      <w:r w:rsidRPr="00756410">
        <w:rPr>
          <w:sz w:val="20"/>
          <w:szCs w:val="20"/>
          <w:lang w:val="es-419"/>
        </w:rPr>
        <w:t xml:space="preserve">rocesador de </w:t>
      </w:r>
      <w:r w:rsidR="00AE3B2B">
        <w:rPr>
          <w:sz w:val="20"/>
          <w:szCs w:val="20"/>
          <w:lang w:val="es-419"/>
        </w:rPr>
        <w:t>V</w:t>
      </w:r>
      <w:r w:rsidRPr="00756410">
        <w:rPr>
          <w:sz w:val="20"/>
          <w:szCs w:val="20"/>
          <w:lang w:val="es-419"/>
        </w:rPr>
        <w:t xml:space="preserve">iajes también realiza una función de recepción para la factura de AP recibida del proveedor (confirmando que el viaje se realizó), lo que desencadena una "aprobación automática" de la factura basada en Quantum </w:t>
      </w:r>
      <w:r w:rsidR="00E12F89">
        <w:rPr>
          <w:sz w:val="20"/>
          <w:szCs w:val="20"/>
          <w:lang w:val="es-419"/>
        </w:rPr>
        <w:t xml:space="preserve">mediante una conciliación </w:t>
      </w:r>
      <w:r w:rsidRPr="00756410">
        <w:rPr>
          <w:sz w:val="20"/>
          <w:szCs w:val="20"/>
          <w:lang w:val="es-419"/>
        </w:rPr>
        <w:t>de 3 vías. Esta función de recibos aparece en Quantum como si el Procesador de Viajes "aprobara" la factura de viaje, pero es una solución alternativa requerida por el sistema para permitir que se realice la función de recibo. El Procesador de viajes no está ejecutando una aprobación de la factura de nivel 1, nivel 2 o gerente s</w:t>
      </w:r>
      <w:r w:rsidR="00E12F89">
        <w:rPr>
          <w:sz w:val="20"/>
          <w:szCs w:val="20"/>
          <w:lang w:val="es-419"/>
        </w:rPr>
        <w:t>e</w:t>
      </w:r>
      <w:r w:rsidRPr="00756410">
        <w:rPr>
          <w:sz w:val="20"/>
          <w:szCs w:val="20"/>
          <w:lang w:val="es-419"/>
        </w:rPr>
        <w:t>nior de la factura.</w:t>
      </w:r>
    </w:p>
  </w:footnote>
  <w:footnote w:id="29">
    <w:p w14:paraId="1710189C" w14:textId="77777777" w:rsidR="005E7591" w:rsidRPr="00756410" w:rsidRDefault="009744B1" w:rsidP="005E7591">
      <w:pPr>
        <w:spacing w:line="240" w:lineRule="auto"/>
        <w:rPr>
          <w:rFonts w:ascii="Calibri" w:hAnsi="Calibri" w:cs="Calibri"/>
          <w:sz w:val="20"/>
          <w:szCs w:val="20"/>
          <w:lang w:val="es-419"/>
        </w:rPr>
      </w:pPr>
      <w:r w:rsidRPr="00E06F45">
        <w:rPr>
          <w:rStyle w:val="FootnoteReference"/>
        </w:rPr>
        <w:footnoteRef/>
      </w:r>
      <w:r w:rsidRPr="00756410">
        <w:rPr>
          <w:lang w:val="es-419"/>
        </w:rPr>
        <w:t xml:space="preserve"> </w:t>
      </w:r>
      <w:r w:rsidR="005E7591" w:rsidRPr="00756410">
        <w:rPr>
          <w:rFonts w:ascii="Calibri" w:hAnsi="Calibri" w:cs="Calibri"/>
          <w:sz w:val="20"/>
          <w:szCs w:val="20"/>
          <w:lang w:val="es-419"/>
        </w:rPr>
        <w:t>Se adjunta una copia de la solicitud de viaje (TR) con los detalles de la solicitud de misión a la orden de compra para que el gerente de aprobación la revise. El Procesador de Viajes es responsable de garantizar que se cumpla la política de Viajes Oficiales. Para hacerlo, deben revisar el itinerario con la tarifa oficial y preferida (si la oficial ha sido rechazada). Si esta información no se adjunta al TR, el Procesador de viajes no debe procesar la solicitud. Cualquier documentación adjunta al TR se adjunta al TR y, por lo tanto, está disponible en la orden de compra. En otras palabras, el Gerente de Aprobación también puede revisar y verificar si el itinerario se alinea con las fechas de la misión y si el itinerario/tarifa oficial ha sido aceptado. Desde la perspectiva del sistema, UNall no sabrá si dos o más dos o más miembros del personal viajan al mismo evento en un rol sustantivo similar. El Gerente de Aprobación debe conocer esta información. Si se produce este escenario, la autorización se puede ad</w:t>
      </w:r>
      <w:r w:rsidR="005E7591" w:rsidRPr="00756410">
        <w:rPr>
          <w:lang w:val="es-419"/>
        </w:rPr>
        <w:t>j</w:t>
      </w:r>
      <w:r w:rsidR="005E7591" w:rsidRPr="00756410">
        <w:rPr>
          <w:rFonts w:ascii="Calibri" w:hAnsi="Calibri" w:cs="Calibri"/>
          <w:sz w:val="20"/>
          <w:szCs w:val="20"/>
          <w:lang w:val="es-419"/>
        </w:rPr>
        <w:t>untar al TR, que también se transferirá al pedido.</w:t>
      </w:r>
    </w:p>
    <w:p w14:paraId="34C37F47" w14:textId="7774CCEA" w:rsidR="009744B1" w:rsidRPr="00756410" w:rsidRDefault="009744B1">
      <w:pPr>
        <w:pStyle w:val="FootnoteText"/>
        <w:rPr>
          <w:lang w:val="es-419"/>
        </w:rPr>
      </w:pPr>
    </w:p>
  </w:footnote>
  <w:footnote w:id="30">
    <w:p w14:paraId="4B745861" w14:textId="3D724C8C" w:rsidR="007936B7" w:rsidRPr="00756410" w:rsidRDefault="007936B7" w:rsidP="007936B7">
      <w:pPr>
        <w:pStyle w:val="FootnoteText"/>
        <w:rPr>
          <w:lang w:val="es-419"/>
        </w:rPr>
      </w:pPr>
      <w:r>
        <w:rPr>
          <w:rStyle w:val="FootnoteReference"/>
        </w:rPr>
        <w:footnoteRef/>
      </w:r>
      <w:r w:rsidRPr="00756410">
        <w:rPr>
          <w:lang w:val="es-419"/>
        </w:rPr>
        <w:t xml:space="preserve"> Para BERA, esto incluye las oficinas de representación: Bruselas, Ginebra, Alemania, los países nórdicos, Tokio y Washington DC.</w:t>
      </w:r>
    </w:p>
  </w:footnote>
  <w:footnote w:id="31">
    <w:p w14:paraId="4401EE91" w14:textId="74108BCC" w:rsidR="006A7B6C" w:rsidRPr="00756410" w:rsidRDefault="006A7B6C" w:rsidP="00756410">
      <w:pPr>
        <w:pStyle w:val="FootnoteText"/>
        <w:jc w:val="both"/>
        <w:rPr>
          <w:lang w:val="es-419"/>
        </w:rPr>
      </w:pPr>
      <w:r>
        <w:rPr>
          <w:rStyle w:val="FootnoteReference"/>
        </w:rPr>
        <w:footnoteRef/>
      </w:r>
      <w:r w:rsidR="48224A22" w:rsidRPr="005B20E7">
        <w:rPr>
          <w:lang w:val="es-419"/>
        </w:rPr>
        <w:t xml:space="preserve"> Para las oficinas/unidades con procesos </w:t>
      </w:r>
      <w:r w:rsidR="48224A22" w:rsidRPr="00C81106">
        <w:rPr>
          <w:lang w:val="es-419"/>
        </w:rPr>
        <w:t>de cuentas por pagar agrupados (</w:t>
      </w:r>
      <w:r w:rsidR="48224A22" w:rsidRPr="00C81106">
        <w:rPr>
          <w:i/>
          <w:iCs/>
          <w:lang w:val="es-419"/>
        </w:rPr>
        <w:t>clustered)</w:t>
      </w:r>
      <w:r w:rsidR="48224A22" w:rsidRPr="00756410">
        <w:rPr>
          <w:i/>
          <w:iCs/>
          <w:lang w:val="es-419"/>
        </w:rPr>
        <w:t>,</w:t>
      </w:r>
      <w:r w:rsidR="48224A22" w:rsidRPr="00C81106">
        <w:rPr>
          <w:lang w:val="es-419"/>
        </w:rPr>
        <w:t xml:space="preserve"> el BMS/GSSC supervisa el proceso de conciliación de </w:t>
      </w:r>
      <w:r w:rsidR="00C81106" w:rsidRPr="00756410">
        <w:rPr>
          <w:lang w:val="es-419"/>
        </w:rPr>
        <w:t>tres</w:t>
      </w:r>
      <w:r w:rsidR="00C81106" w:rsidRPr="00C81106">
        <w:rPr>
          <w:lang w:val="es-419"/>
        </w:rPr>
        <w:t xml:space="preserve"> </w:t>
      </w:r>
      <w:r w:rsidR="48224A22" w:rsidRPr="00C81106">
        <w:rPr>
          <w:lang w:val="es-419"/>
        </w:rPr>
        <w:t>vías de Quantum para las transacciones</w:t>
      </w:r>
      <w:r w:rsidR="48224A22" w:rsidRPr="005B20E7">
        <w:rPr>
          <w:lang w:val="es-419"/>
        </w:rPr>
        <w:t xml:space="preserve"> de órdenes de compra y se comunica con la oficina/unidad solicitante según corresponda para la resolución.</w:t>
      </w:r>
    </w:p>
  </w:footnote>
  <w:footnote w:id="32">
    <w:p w14:paraId="0DB91989" w14:textId="03EB9A30" w:rsidR="00E173C1" w:rsidRPr="00756410" w:rsidRDefault="00E173C1" w:rsidP="003B0367">
      <w:pPr>
        <w:spacing w:after="0" w:line="240" w:lineRule="auto"/>
        <w:rPr>
          <w:lang w:val="es-419"/>
        </w:rPr>
      </w:pPr>
      <w:r w:rsidRPr="008E7257">
        <w:rPr>
          <w:rStyle w:val="FootnoteReference"/>
          <w:rFonts w:cstheme="minorHAnsi"/>
          <w:sz w:val="20"/>
          <w:szCs w:val="20"/>
        </w:rPr>
        <w:footnoteRef/>
      </w:r>
      <w:r w:rsidRPr="00756410">
        <w:rPr>
          <w:rFonts w:cstheme="minorHAnsi"/>
          <w:sz w:val="20"/>
          <w:szCs w:val="20"/>
          <w:lang w:val="es-419"/>
        </w:rPr>
        <w:t xml:space="preserve"> </w:t>
      </w:r>
      <w:r w:rsidRPr="00756410">
        <w:rPr>
          <w:rFonts w:eastAsia="Times New Roman" w:cstheme="minorHAnsi"/>
          <w:kern w:val="0"/>
          <w:sz w:val="20"/>
          <w:szCs w:val="20"/>
          <w:lang w:val="es-419"/>
          <w14:ligatures w14:val="none"/>
        </w:rPr>
        <w:t>Criterio I (</w:t>
      </w:r>
      <w:r w:rsidR="00F47471">
        <w:rPr>
          <w:rFonts w:eastAsia="Times New Roman" w:cstheme="minorHAnsi"/>
          <w:kern w:val="0"/>
          <w:sz w:val="20"/>
          <w:szCs w:val="20"/>
          <w:lang w:val="es-419"/>
          <w14:ligatures w14:val="none"/>
        </w:rPr>
        <w:t xml:space="preserve">a nivel de </w:t>
      </w:r>
      <w:r w:rsidR="009E728D">
        <w:rPr>
          <w:rFonts w:eastAsia="Times New Roman" w:cstheme="minorHAnsi"/>
          <w:kern w:val="0"/>
          <w:sz w:val="20"/>
          <w:szCs w:val="20"/>
          <w:lang w:val="es-419"/>
          <w14:ligatures w14:val="none"/>
        </w:rPr>
        <w:t>partner</w:t>
      </w:r>
      <w:r w:rsidR="0096584D">
        <w:rPr>
          <w:rFonts w:eastAsia="Times New Roman" w:cstheme="minorHAnsi"/>
          <w:kern w:val="0"/>
          <w:sz w:val="20"/>
          <w:szCs w:val="20"/>
          <w:lang w:val="es-419"/>
          <w14:ligatures w14:val="none"/>
        </w:rPr>
        <w:t>/socio</w:t>
      </w:r>
      <w:r w:rsidR="009E728D">
        <w:rPr>
          <w:rFonts w:eastAsia="Times New Roman" w:cstheme="minorHAnsi"/>
          <w:kern w:val="0"/>
          <w:sz w:val="20"/>
          <w:szCs w:val="20"/>
          <w:lang w:val="es-419"/>
          <w14:ligatures w14:val="none"/>
        </w:rPr>
        <w:t xml:space="preserve"> y output individual</w:t>
      </w:r>
      <w:r w:rsidRPr="00756410">
        <w:rPr>
          <w:rFonts w:eastAsia="Times New Roman" w:cstheme="minorHAnsi"/>
          <w:kern w:val="0"/>
          <w:sz w:val="20"/>
          <w:szCs w:val="20"/>
          <w:lang w:val="es-419"/>
          <w14:ligatures w14:val="none"/>
        </w:rPr>
        <w:t>): Se ha liquidado al menos el 80% de los anticipos anteriores a</w:t>
      </w:r>
      <w:r w:rsidR="00F47471">
        <w:rPr>
          <w:rFonts w:eastAsia="Times New Roman" w:cstheme="minorHAnsi"/>
          <w:kern w:val="0"/>
          <w:sz w:val="20"/>
          <w:szCs w:val="20"/>
          <w:lang w:val="es-419"/>
          <w14:ligatures w14:val="none"/>
        </w:rPr>
        <w:t xml:space="preserve"> nivel de output</w:t>
      </w:r>
      <w:r w:rsidRPr="00756410">
        <w:rPr>
          <w:rFonts w:eastAsia="Times New Roman" w:cstheme="minorHAnsi"/>
          <w:kern w:val="0"/>
          <w:sz w:val="20"/>
          <w:szCs w:val="20"/>
          <w:lang w:val="es-419"/>
          <w14:ligatures w14:val="none"/>
        </w:rPr>
        <w:t>; y Criterio II (</w:t>
      </w:r>
      <w:r w:rsidR="00F47471">
        <w:rPr>
          <w:rFonts w:eastAsia="Times New Roman" w:cstheme="minorHAnsi"/>
          <w:kern w:val="0"/>
          <w:sz w:val="20"/>
          <w:szCs w:val="20"/>
          <w:lang w:val="es-419"/>
          <w14:ligatures w14:val="none"/>
        </w:rPr>
        <w:t xml:space="preserve">a nivel de </w:t>
      </w:r>
      <w:r w:rsidRPr="00756410">
        <w:rPr>
          <w:rFonts w:eastAsia="Times New Roman" w:cstheme="minorHAnsi"/>
          <w:kern w:val="0"/>
          <w:sz w:val="20"/>
          <w:szCs w:val="20"/>
          <w:lang w:val="es-419"/>
          <w14:ligatures w14:val="none"/>
        </w:rPr>
        <w:t>part</w:t>
      </w:r>
      <w:r w:rsidR="00F47471">
        <w:rPr>
          <w:rFonts w:eastAsia="Times New Roman" w:cstheme="minorHAnsi"/>
          <w:kern w:val="0"/>
          <w:sz w:val="20"/>
          <w:szCs w:val="20"/>
          <w:lang w:val="es-419"/>
          <w14:ligatures w14:val="none"/>
        </w:rPr>
        <w:t>ner</w:t>
      </w:r>
      <w:r w:rsidR="0096584D">
        <w:rPr>
          <w:rFonts w:eastAsia="Times New Roman" w:cstheme="minorHAnsi"/>
          <w:kern w:val="0"/>
          <w:sz w:val="20"/>
          <w:szCs w:val="20"/>
          <w:lang w:val="es-419"/>
          <w14:ligatures w14:val="none"/>
        </w:rPr>
        <w:t>/socio</w:t>
      </w:r>
      <w:r w:rsidR="00F47471">
        <w:rPr>
          <w:rFonts w:eastAsia="Times New Roman" w:cstheme="minorHAnsi"/>
          <w:kern w:val="0"/>
          <w:sz w:val="20"/>
          <w:szCs w:val="20"/>
          <w:lang w:val="es-419"/>
          <w14:ligatures w14:val="none"/>
        </w:rPr>
        <w:t xml:space="preserve"> y output individual</w:t>
      </w:r>
      <w:r w:rsidRPr="00756410">
        <w:rPr>
          <w:rFonts w:eastAsia="Times New Roman" w:cstheme="minorHAnsi"/>
          <w:kern w:val="0"/>
          <w:sz w:val="20"/>
          <w:szCs w:val="20"/>
          <w:lang w:val="es-419"/>
          <w14:ligatures w14:val="none"/>
        </w:rPr>
        <w:t>): se ha liquidado el 100% de todos los anticipos anteriores (es decir, anticipos anteriores al último anticipo). Esta regla se aplica a los anticipos pendientes que preceden al último anticipo (penúltimo anticipo); y Criterio III (</w:t>
      </w:r>
      <w:r w:rsidR="0096584D">
        <w:rPr>
          <w:rFonts w:eastAsia="Times New Roman" w:cstheme="minorHAnsi"/>
          <w:kern w:val="0"/>
          <w:sz w:val="20"/>
          <w:szCs w:val="20"/>
          <w:lang w:val="es-419"/>
          <w14:ligatures w14:val="none"/>
        </w:rPr>
        <w:t>outputs</w:t>
      </w:r>
      <w:r w:rsidR="0096584D" w:rsidRPr="00756410">
        <w:rPr>
          <w:rFonts w:eastAsia="Times New Roman" w:cstheme="minorHAnsi"/>
          <w:kern w:val="0"/>
          <w:sz w:val="20"/>
          <w:szCs w:val="20"/>
          <w:lang w:val="es-419"/>
          <w14:ligatures w14:val="none"/>
        </w:rPr>
        <w:t xml:space="preserve"> </w:t>
      </w:r>
      <w:r w:rsidRPr="00756410">
        <w:rPr>
          <w:rFonts w:eastAsia="Times New Roman" w:cstheme="minorHAnsi"/>
          <w:kern w:val="0"/>
          <w:sz w:val="20"/>
          <w:szCs w:val="20"/>
          <w:lang w:val="es-419"/>
          <w14:ligatures w14:val="none"/>
        </w:rPr>
        <w:t xml:space="preserve">agregados </w:t>
      </w:r>
      <w:r w:rsidR="0096584D">
        <w:rPr>
          <w:rFonts w:eastAsia="Times New Roman" w:cstheme="minorHAnsi"/>
          <w:kern w:val="0"/>
          <w:sz w:val="20"/>
          <w:szCs w:val="20"/>
          <w:lang w:val="es-419"/>
          <w14:ligatures w14:val="none"/>
        </w:rPr>
        <w:t>a nivel de partner/</w:t>
      </w:r>
      <w:r w:rsidRPr="00756410">
        <w:rPr>
          <w:rFonts w:eastAsia="Times New Roman" w:cstheme="minorHAnsi"/>
          <w:kern w:val="0"/>
          <w:sz w:val="20"/>
          <w:szCs w:val="20"/>
          <w:lang w:val="es-419"/>
          <w14:ligatures w14:val="none"/>
        </w:rPr>
        <w:t xml:space="preserve">socio): para los </w:t>
      </w:r>
      <w:r w:rsidR="0096584D">
        <w:rPr>
          <w:rFonts w:eastAsia="Times New Roman" w:cstheme="minorHAnsi"/>
          <w:kern w:val="0"/>
          <w:sz w:val="20"/>
          <w:szCs w:val="20"/>
          <w:lang w:val="es-419"/>
          <w14:ligatures w14:val="none"/>
        </w:rPr>
        <w:t>partners/s</w:t>
      </w:r>
      <w:r w:rsidRPr="00756410">
        <w:rPr>
          <w:rFonts w:eastAsia="Times New Roman" w:cstheme="minorHAnsi"/>
          <w:kern w:val="0"/>
          <w:sz w:val="20"/>
          <w:szCs w:val="20"/>
          <w:lang w:val="es-419"/>
          <w14:ligatures w14:val="none"/>
        </w:rPr>
        <w:t xml:space="preserve">ocios que administran más de un </w:t>
      </w:r>
      <w:r w:rsidR="0096584D">
        <w:rPr>
          <w:rFonts w:eastAsia="Times New Roman" w:cstheme="minorHAnsi"/>
          <w:kern w:val="0"/>
          <w:sz w:val="20"/>
          <w:szCs w:val="20"/>
          <w:lang w:val="es-419"/>
          <w14:ligatures w14:val="none"/>
        </w:rPr>
        <w:t>output</w:t>
      </w:r>
      <w:r w:rsidRPr="00756410">
        <w:rPr>
          <w:rFonts w:eastAsia="Times New Roman" w:cstheme="minorHAnsi"/>
          <w:kern w:val="0"/>
          <w:sz w:val="20"/>
          <w:szCs w:val="20"/>
          <w:lang w:val="es-419"/>
          <w14:ligatures w14:val="none"/>
        </w:rPr>
        <w:t xml:space="preserve">, el </w:t>
      </w:r>
      <w:r w:rsidR="0096584D">
        <w:rPr>
          <w:rFonts w:eastAsia="Times New Roman" w:cstheme="minorHAnsi"/>
          <w:kern w:val="0"/>
          <w:sz w:val="20"/>
          <w:szCs w:val="20"/>
          <w:lang w:val="es-419"/>
          <w14:ligatures w14:val="none"/>
        </w:rPr>
        <w:t>partner/</w:t>
      </w:r>
      <w:r w:rsidRPr="00756410">
        <w:rPr>
          <w:rFonts w:eastAsia="Times New Roman" w:cstheme="minorHAnsi"/>
          <w:kern w:val="0"/>
          <w:sz w:val="20"/>
          <w:szCs w:val="20"/>
          <w:lang w:val="es-419"/>
          <w14:ligatures w14:val="none"/>
        </w:rPr>
        <w:t xml:space="preserve">socio no tiene anticipos pendientes superiores a 12 meses en ningún producto. Todos los </w:t>
      </w:r>
      <w:r w:rsidR="0096584D">
        <w:rPr>
          <w:rFonts w:eastAsia="Times New Roman" w:cstheme="minorHAnsi"/>
          <w:kern w:val="0"/>
          <w:sz w:val="20"/>
          <w:szCs w:val="20"/>
          <w:lang w:val="es-419"/>
          <w14:ligatures w14:val="none"/>
        </w:rPr>
        <w:t>outputs</w:t>
      </w:r>
      <w:r w:rsidR="0096584D" w:rsidRPr="00756410">
        <w:rPr>
          <w:rFonts w:eastAsia="Times New Roman" w:cstheme="minorHAnsi"/>
          <w:kern w:val="0"/>
          <w:sz w:val="20"/>
          <w:szCs w:val="20"/>
          <w:lang w:val="es-419"/>
          <w14:ligatures w14:val="none"/>
        </w:rPr>
        <w:t xml:space="preserve"> </w:t>
      </w:r>
      <w:r w:rsidRPr="00756410">
        <w:rPr>
          <w:rFonts w:eastAsia="Times New Roman" w:cstheme="minorHAnsi"/>
          <w:kern w:val="0"/>
          <w:sz w:val="20"/>
          <w:szCs w:val="20"/>
          <w:lang w:val="es-419"/>
          <w14:ligatures w14:val="none"/>
        </w:rPr>
        <w:t xml:space="preserve">administrados por el </w:t>
      </w:r>
      <w:r w:rsidR="0096584D">
        <w:rPr>
          <w:rFonts w:eastAsia="Times New Roman" w:cstheme="minorHAnsi"/>
          <w:kern w:val="0"/>
          <w:sz w:val="20"/>
          <w:szCs w:val="20"/>
          <w:lang w:val="es-419"/>
          <w14:ligatures w14:val="none"/>
        </w:rPr>
        <w:t>partner/</w:t>
      </w:r>
      <w:r w:rsidRPr="00756410">
        <w:rPr>
          <w:rFonts w:eastAsia="Times New Roman" w:cstheme="minorHAnsi"/>
          <w:kern w:val="0"/>
          <w:sz w:val="20"/>
          <w:szCs w:val="20"/>
          <w:lang w:val="es-419"/>
          <w14:ligatures w14:val="none"/>
        </w:rPr>
        <w:t>socio deben tenerse en cuenta para determinar si el socio ha cumplido con el criterio # 3.</w:t>
      </w:r>
    </w:p>
  </w:footnote>
  <w:footnote w:id="33">
    <w:p w14:paraId="6890F33E" w14:textId="5B0C1987" w:rsidR="00CD60E6" w:rsidRPr="00756410" w:rsidRDefault="00CD60E6" w:rsidP="00170196">
      <w:pPr>
        <w:spacing w:after="0" w:line="240" w:lineRule="auto"/>
        <w:rPr>
          <w:lang w:val="es-419"/>
        </w:rPr>
      </w:pPr>
      <w:r w:rsidRPr="00CD60E6">
        <w:rPr>
          <w:rStyle w:val="FootnoteReference"/>
          <w:sz w:val="20"/>
          <w:szCs w:val="20"/>
        </w:rPr>
        <w:footnoteRef/>
      </w:r>
      <w:r w:rsidRPr="00756410">
        <w:rPr>
          <w:sz w:val="20"/>
          <w:szCs w:val="20"/>
          <w:lang w:val="es-419"/>
        </w:rPr>
        <w:t xml:space="preserve"> En situaciones de emergencia en las que el BMS/GSSC no puede procesar un pago, el personal de finanzas debe utilizar el programa informático interno del PNUD para automatizar la preparación de cheques, reduciendo así el esfuerzo manual y el riesgo de error humano. Los cheques no deben prepararse manualmente (es decir, ingresando manualmente la fecha, el beneficiario o el monto) después del procesamiento del ciclo de pago.</w:t>
      </w:r>
    </w:p>
  </w:footnote>
  <w:footnote w:id="34">
    <w:p w14:paraId="34D3B788" w14:textId="0BA9E5F8" w:rsidR="00FF3F21" w:rsidRPr="00756410" w:rsidRDefault="00FF3F21" w:rsidP="00CD60E6">
      <w:pPr>
        <w:spacing w:after="0" w:line="240" w:lineRule="auto"/>
        <w:rPr>
          <w:lang w:val="es-419"/>
        </w:rPr>
      </w:pPr>
      <w:r w:rsidRPr="00FF3F21">
        <w:rPr>
          <w:rStyle w:val="FootnoteReference"/>
          <w:sz w:val="20"/>
          <w:szCs w:val="20"/>
        </w:rPr>
        <w:footnoteRef/>
      </w:r>
      <w:r w:rsidRPr="00756410">
        <w:rPr>
          <w:sz w:val="20"/>
          <w:szCs w:val="20"/>
          <w:lang w:val="es-419"/>
        </w:rPr>
        <w:t xml:space="preserve"> "Informe de extracto bancario de la ONU" </w:t>
      </w:r>
      <w:r w:rsidR="001F40CF" w:rsidRPr="00756410">
        <w:rPr>
          <w:sz w:val="20"/>
          <w:szCs w:val="20"/>
          <w:lang w:val="es-ES"/>
        </w:rPr>
        <w:t>[</w:t>
      </w:r>
      <w:r w:rsidR="001F40CF" w:rsidRPr="00756410">
        <w:rPr>
          <w:i/>
          <w:iCs/>
          <w:sz w:val="20"/>
          <w:szCs w:val="20"/>
          <w:lang w:val="es-ES"/>
        </w:rPr>
        <w:t>UN Bank Statement Report</w:t>
      </w:r>
      <w:r w:rsidR="001F40CF" w:rsidRPr="00756410">
        <w:rPr>
          <w:sz w:val="20"/>
          <w:szCs w:val="20"/>
          <w:lang w:val="es-ES"/>
        </w:rPr>
        <w:t xml:space="preserve">] </w:t>
      </w:r>
      <w:r w:rsidRPr="00756410">
        <w:rPr>
          <w:sz w:val="20"/>
          <w:szCs w:val="20"/>
          <w:lang w:val="es-419"/>
        </w:rPr>
        <w:t xml:space="preserve">es un </w:t>
      </w:r>
      <w:r w:rsidR="000F7A4B">
        <w:rPr>
          <w:sz w:val="20"/>
          <w:szCs w:val="20"/>
          <w:lang w:val="es-419"/>
        </w:rPr>
        <w:t>rol</w:t>
      </w:r>
      <w:r w:rsidR="000F7A4B" w:rsidRPr="00756410">
        <w:rPr>
          <w:sz w:val="20"/>
          <w:szCs w:val="20"/>
          <w:lang w:val="es-419"/>
        </w:rPr>
        <w:t xml:space="preserve"> </w:t>
      </w:r>
      <w:r w:rsidRPr="00756410">
        <w:rPr>
          <w:sz w:val="20"/>
          <w:szCs w:val="20"/>
          <w:lang w:val="es-419"/>
        </w:rPr>
        <w:t>complementari</w:t>
      </w:r>
      <w:r w:rsidR="000F7A4B">
        <w:rPr>
          <w:sz w:val="20"/>
          <w:szCs w:val="20"/>
          <w:lang w:val="es-419"/>
        </w:rPr>
        <w:t>o</w:t>
      </w:r>
      <w:r w:rsidRPr="00756410">
        <w:rPr>
          <w:sz w:val="20"/>
          <w:szCs w:val="20"/>
          <w:lang w:val="es-419"/>
        </w:rPr>
        <w:t xml:space="preserve"> de IDAM disponible para los usuarios </w:t>
      </w:r>
      <w:r w:rsidR="001F40CF">
        <w:rPr>
          <w:sz w:val="20"/>
          <w:szCs w:val="20"/>
          <w:lang w:val="es-419"/>
        </w:rPr>
        <w:t>de Finanzas</w:t>
      </w:r>
      <w:r w:rsidR="001F40CF" w:rsidRPr="00756410">
        <w:rPr>
          <w:sz w:val="20"/>
          <w:szCs w:val="20"/>
          <w:lang w:val="es-419"/>
        </w:rPr>
        <w:t xml:space="preserve"> </w:t>
      </w:r>
      <w:r w:rsidRPr="00756410">
        <w:rPr>
          <w:sz w:val="20"/>
          <w:szCs w:val="20"/>
          <w:lang w:val="es-419"/>
        </w:rPr>
        <w:t>que les permite ejecutar informes de extractos bancarios desde Quantum para sus cuentas de saldo cero (ZBA) o cuentas locales, si están disponibles.</w:t>
      </w:r>
    </w:p>
  </w:footnote>
  <w:footnote w:id="35">
    <w:p w14:paraId="5A254DAA" w14:textId="20085282" w:rsidR="00A25367" w:rsidRPr="00756410" w:rsidRDefault="00A25367" w:rsidP="00756410">
      <w:pPr>
        <w:pStyle w:val="FootnoteText"/>
        <w:jc w:val="both"/>
        <w:rPr>
          <w:lang w:val="es-419"/>
        </w:rPr>
      </w:pPr>
      <w:r>
        <w:rPr>
          <w:rStyle w:val="FootnoteReference"/>
        </w:rPr>
        <w:footnoteRef/>
      </w:r>
      <w:r w:rsidRPr="00756410">
        <w:rPr>
          <w:lang w:val="es-419"/>
        </w:rPr>
        <w:t xml:space="preserve"> En el momento de la agrupación</w:t>
      </w:r>
      <w:r w:rsidR="003F6492">
        <w:rPr>
          <w:lang w:val="es-419"/>
        </w:rPr>
        <w:t xml:space="preserve"> (</w:t>
      </w:r>
      <w:r w:rsidR="003F6492">
        <w:rPr>
          <w:i/>
          <w:iCs/>
          <w:lang w:val="es-419"/>
        </w:rPr>
        <w:t>c</w:t>
      </w:r>
      <w:r w:rsidR="003F6492" w:rsidRPr="00756410">
        <w:rPr>
          <w:i/>
          <w:iCs/>
          <w:lang w:val="es-419"/>
        </w:rPr>
        <w:t>lustering</w:t>
      </w:r>
      <w:r w:rsidR="003F6492">
        <w:rPr>
          <w:lang w:val="es-419"/>
        </w:rPr>
        <w:t>)</w:t>
      </w:r>
      <w:r w:rsidRPr="00756410">
        <w:rPr>
          <w:lang w:val="es-419"/>
        </w:rPr>
        <w:t xml:space="preserve">, el BMS/GSSC asumió la responsabilidad de todos los elementos no conciliados que datan de 6 meses antes de la agrupación </w:t>
      </w:r>
      <w:r w:rsidR="003F6492">
        <w:rPr>
          <w:lang w:val="es-419"/>
        </w:rPr>
        <w:t>(</w:t>
      </w:r>
      <w:r w:rsidR="003F6492">
        <w:rPr>
          <w:i/>
          <w:iCs/>
          <w:lang w:val="es-419"/>
        </w:rPr>
        <w:t xml:space="preserve">clustering) </w:t>
      </w:r>
      <w:r w:rsidRPr="00756410">
        <w:rPr>
          <w:lang w:val="es-419"/>
        </w:rPr>
        <w:t xml:space="preserve">o después. Los saldos más antiguos siguen siendo responsabilidad de la oficina o dependencia en el país, ya que el BMS/GSSC no dispone de los archivos históricos. El RR/RRD debe aprobar </w:t>
      </w:r>
      <w:r w:rsidR="009F5561">
        <w:rPr>
          <w:lang w:val="es-419"/>
        </w:rPr>
        <w:t xml:space="preserve">(firmar) </w:t>
      </w:r>
      <w:r w:rsidRPr="00756410">
        <w:rPr>
          <w:lang w:val="es-419"/>
        </w:rPr>
        <w:t>la conciliación bancaria mientras haya elementos</w:t>
      </w:r>
      <w:r w:rsidR="008306F4">
        <w:rPr>
          <w:lang w:val="es-419"/>
        </w:rPr>
        <w:t xml:space="preserve"> anteriores a </w:t>
      </w:r>
      <w:r w:rsidR="009F5561">
        <w:rPr>
          <w:lang w:val="es-419"/>
        </w:rPr>
        <w:t xml:space="preserve">la </w:t>
      </w:r>
      <w:r w:rsidRPr="00756410">
        <w:rPr>
          <w:lang w:val="es-419"/>
        </w:rPr>
        <w:t xml:space="preserve">agrupación </w:t>
      </w:r>
      <w:r w:rsidR="009F5561">
        <w:rPr>
          <w:lang w:val="es-419"/>
        </w:rPr>
        <w:t>(</w:t>
      </w:r>
      <w:r w:rsidR="009F5561">
        <w:rPr>
          <w:i/>
          <w:iCs/>
          <w:lang w:val="es-419"/>
        </w:rPr>
        <w:t>c</w:t>
      </w:r>
      <w:r w:rsidR="009F5561" w:rsidRPr="00756410">
        <w:rPr>
          <w:i/>
          <w:iCs/>
          <w:lang w:val="es-419"/>
        </w:rPr>
        <w:t>lustering</w:t>
      </w:r>
      <w:r w:rsidR="009F5561">
        <w:rPr>
          <w:lang w:val="es-419"/>
        </w:rPr>
        <w:t xml:space="preserve">) </w:t>
      </w:r>
      <w:r w:rsidR="00FF1585">
        <w:rPr>
          <w:lang w:val="es-419"/>
        </w:rPr>
        <w:t>en dicha</w:t>
      </w:r>
      <w:r w:rsidRPr="00756410">
        <w:rPr>
          <w:lang w:val="es-419"/>
        </w:rPr>
        <w:t xml:space="preserve"> conciliación bancaria. Tan pronto como</w:t>
      </w:r>
      <w:r w:rsidR="00FF1585">
        <w:rPr>
          <w:lang w:val="es-419"/>
        </w:rPr>
        <w:t xml:space="preserve"> en la conciliaci</w:t>
      </w:r>
      <w:r w:rsidR="00FF1585">
        <w:rPr>
          <w:lang w:val="es-ES"/>
        </w:rPr>
        <w:t>ón bancaria</w:t>
      </w:r>
      <w:r w:rsidRPr="00756410">
        <w:rPr>
          <w:lang w:val="es-419"/>
        </w:rPr>
        <w:t xml:space="preserve"> solo haya saldos posteriores a la agrupación </w:t>
      </w:r>
      <w:r w:rsidR="0014496F">
        <w:rPr>
          <w:lang w:val="es-419"/>
        </w:rPr>
        <w:t>(</w:t>
      </w:r>
      <w:r w:rsidR="0014496F">
        <w:rPr>
          <w:i/>
          <w:iCs/>
          <w:lang w:val="es-419"/>
        </w:rPr>
        <w:t>clustering)</w:t>
      </w:r>
      <w:r w:rsidRPr="00756410">
        <w:rPr>
          <w:lang w:val="es-419"/>
        </w:rPr>
        <w:t xml:space="preserve">, </w:t>
      </w:r>
      <w:r w:rsidR="0052234A" w:rsidRPr="00756410">
        <w:rPr>
          <w:lang w:val="es-ES"/>
        </w:rPr>
        <w:t>la responsabilidad de aprobación (firma) pasará plenamente a BMS/GSSC, que asumirá la validación completa de las conciliaciones bancarias.</w:t>
      </w:r>
    </w:p>
  </w:footnote>
  <w:footnote w:id="36">
    <w:p w14:paraId="3710F9B1" w14:textId="66AAAC0D" w:rsidR="00011B58" w:rsidRPr="00756410" w:rsidRDefault="00011B58" w:rsidP="00011B58">
      <w:pPr>
        <w:pStyle w:val="FootnoteText"/>
        <w:rPr>
          <w:lang w:val="es-419"/>
        </w:rPr>
      </w:pPr>
      <w:r>
        <w:rPr>
          <w:rStyle w:val="FootnoteReference"/>
        </w:rPr>
        <w:footnoteRef/>
      </w:r>
      <w:r w:rsidR="0062363E" w:rsidRPr="00756410">
        <w:rPr>
          <w:lang w:val="es-419"/>
        </w:rPr>
        <w:t xml:space="preserve"> Se aplican consideraciones especiales cuando el Jefe de la Oficina / Unidad también actúa como representante local de otras agencias de la ONU6 y firma contratos y acuerdos o aprueba solicitudes de adquisiciones electrónicas en Quantum </w:t>
      </w:r>
      <w:r w:rsidRPr="00756410">
        <w:rPr>
          <w:b/>
          <w:lang w:val="es-419"/>
        </w:rPr>
        <w:t xml:space="preserve">en nombre de </w:t>
      </w:r>
      <w:r w:rsidR="0062363E" w:rsidRPr="00756410">
        <w:rPr>
          <w:lang w:val="es-419"/>
        </w:rPr>
        <w:t>estas organizaciones. Cuando el Jefe de la Oficina o Dependencia firma un contrato en nombre de otra organización, lo hace en calidad de representante de la otra organización. El contrato o acuerdo debe prepararse con el membrete u otra plantilla de la organización para la que actúa el RR y no hacer referencia al PNUD, y todas las referencias al PNUD en el acuerdo o contrato deben eliminarse y los logotipos del PNUD deben eliminarse. Las copias de estos contratos o acuerdos deben archivarse de forma segura.</w:t>
      </w:r>
    </w:p>
  </w:footnote>
  <w:footnote w:id="37">
    <w:p w14:paraId="2147CD93" w14:textId="1DA26AD2" w:rsidR="00011B58" w:rsidRPr="00756410" w:rsidRDefault="00011B58" w:rsidP="00011B58">
      <w:pPr>
        <w:pStyle w:val="FootnoteText"/>
        <w:rPr>
          <w:lang w:val="es-419"/>
        </w:rPr>
      </w:pPr>
      <w:r>
        <w:rPr>
          <w:rStyle w:val="FootnoteReference"/>
        </w:rPr>
        <w:footnoteRef/>
      </w:r>
      <w:r w:rsidRPr="00756410">
        <w:rPr>
          <w:lang w:val="es-419"/>
        </w:rPr>
        <w:t xml:space="preserve"> Para las oficinas/unidades con procesos agrupados </w:t>
      </w:r>
      <w:r w:rsidR="0085751A" w:rsidRPr="006A0D67">
        <w:rPr>
          <w:lang w:val="es-419"/>
        </w:rPr>
        <w:t>(</w:t>
      </w:r>
      <w:r w:rsidR="0085751A" w:rsidRPr="00756410">
        <w:rPr>
          <w:rFonts w:ascii="Calibri" w:eastAsia="Calibri" w:hAnsi="Calibri" w:cs="Calibri"/>
          <w:i/>
          <w:iCs/>
          <w:color w:val="004377"/>
          <w:u w:val="single"/>
          <w:lang w:val="es-419"/>
        </w:rPr>
        <w:t xml:space="preserve">clustered) </w:t>
      </w:r>
      <w:r w:rsidRPr="00756410">
        <w:rPr>
          <w:lang w:val="es-419"/>
        </w:rPr>
        <w:t>de cuentas por pagar, el BMS/GSSC nombra al Gerente de Aprobación (segunda autoridad) para los pagos que no son de órdenes de compra y los pagos anticipados realizados en nombre de la oficina/unidad. El BMS/GSSC también nombra al Oficial de Desembolsos (tercera autoridad) para autorizar los desembolsos de pagos con y sin órdenes de compra realizados en nombre de la oficina/unidad solicitante.</w:t>
      </w:r>
    </w:p>
  </w:footnote>
  <w:footnote w:id="38">
    <w:p w14:paraId="5C07E774" w14:textId="4ABC61AA" w:rsidR="00106F90" w:rsidRPr="00756410" w:rsidRDefault="00106F90" w:rsidP="00106F90">
      <w:pPr>
        <w:pStyle w:val="FootnoteText"/>
        <w:rPr>
          <w:lang w:val="es-419"/>
        </w:rPr>
      </w:pPr>
    </w:p>
  </w:footnote>
  <w:footnote w:id="39">
    <w:p w14:paraId="3CBCA593" w14:textId="4EC48097" w:rsidR="0077104B" w:rsidRPr="00756410" w:rsidRDefault="0077104B" w:rsidP="00AB5BD2">
      <w:pPr>
        <w:spacing w:after="0" w:line="240" w:lineRule="auto"/>
        <w:rPr>
          <w:sz w:val="20"/>
          <w:szCs w:val="20"/>
          <w:lang w:val="es-419"/>
        </w:rPr>
      </w:pPr>
      <w:r>
        <w:rPr>
          <w:rStyle w:val="FootnoteReference"/>
        </w:rPr>
        <w:footnoteRef/>
      </w:r>
      <w:r w:rsidRPr="00756410">
        <w:rPr>
          <w:lang w:val="es-419"/>
        </w:rPr>
        <w:t xml:space="preserve"> </w:t>
      </w:r>
      <w:r w:rsidRPr="00756410">
        <w:rPr>
          <w:sz w:val="20"/>
          <w:szCs w:val="20"/>
          <w:lang w:val="es-419"/>
        </w:rPr>
        <w:t xml:space="preserve">Cuando se utiliza el portal de acceso externo de finanzas, la agencia solicitante crea y aprueba la solicitud. El PNUD lleva a cabo el proceso de adquisición utilizando las reglas del PNUD, incluida la creación y aprobación de la OP. Con base en instrucciones escritas de la agencia solicitante, </w:t>
      </w:r>
      <w:r w:rsidR="00D70281">
        <w:rPr>
          <w:sz w:val="20"/>
          <w:szCs w:val="20"/>
          <w:lang w:val="es-419"/>
        </w:rPr>
        <w:t xml:space="preserve">la </w:t>
      </w:r>
      <w:r w:rsidR="009413E3" w:rsidRPr="009413E3">
        <w:rPr>
          <w:sz w:val="20"/>
          <w:szCs w:val="20"/>
          <w:lang w:val="es-419"/>
        </w:rPr>
        <w:t xml:space="preserve">oficina de país </w:t>
      </w:r>
      <w:r w:rsidRPr="00756410">
        <w:rPr>
          <w:sz w:val="20"/>
          <w:szCs w:val="20"/>
          <w:lang w:val="es-419"/>
        </w:rPr>
        <w:t xml:space="preserve">del PNUD ingresa el recibo en Quantum y </w:t>
      </w:r>
      <w:r w:rsidR="00D70281">
        <w:rPr>
          <w:sz w:val="20"/>
          <w:szCs w:val="20"/>
          <w:lang w:val="es-419"/>
        </w:rPr>
        <w:t>la</w:t>
      </w:r>
      <w:r w:rsidR="00D70281" w:rsidRPr="00756410">
        <w:rPr>
          <w:sz w:val="20"/>
          <w:szCs w:val="20"/>
          <w:lang w:val="es-419"/>
        </w:rPr>
        <w:t xml:space="preserve"> </w:t>
      </w:r>
      <w:r w:rsidR="009413E3" w:rsidRPr="009413E3">
        <w:rPr>
          <w:sz w:val="20"/>
          <w:szCs w:val="20"/>
          <w:lang w:val="es-419"/>
        </w:rPr>
        <w:t xml:space="preserve">oficina de país </w:t>
      </w:r>
      <w:r w:rsidRPr="00756410">
        <w:rPr>
          <w:sz w:val="20"/>
          <w:szCs w:val="20"/>
          <w:lang w:val="es-419"/>
        </w:rPr>
        <w:t xml:space="preserve"> crea la factura para el pago. El PNUD aprueba la factura y paga al proveedor.</w:t>
      </w:r>
    </w:p>
  </w:footnote>
  <w:footnote w:id="40">
    <w:p w14:paraId="4058CF10" w14:textId="0026124C" w:rsidR="00CA7534" w:rsidRPr="00756410" w:rsidRDefault="00CA7534" w:rsidP="00CA7534">
      <w:pPr>
        <w:pStyle w:val="FootnoteText"/>
        <w:rPr>
          <w:lang w:val="es-419"/>
        </w:rPr>
      </w:pPr>
      <w:r>
        <w:rPr>
          <w:rStyle w:val="FootnoteReference"/>
        </w:rPr>
        <w:footnoteRef/>
      </w:r>
      <w:r w:rsidRPr="00756410">
        <w:rPr>
          <w:lang w:val="es-419"/>
        </w:rPr>
        <w:t xml:space="preserve"> Si la agencia que no es de Quantum usa el portal de acceso externo de Finance, puede crear y aprobar la solicitud en Quantum; después de lo cual </w:t>
      </w:r>
      <w:r w:rsidR="00D70281">
        <w:rPr>
          <w:lang w:val="es-419"/>
        </w:rPr>
        <w:t>la</w:t>
      </w:r>
      <w:r w:rsidRPr="00756410">
        <w:rPr>
          <w:lang w:val="es-419"/>
        </w:rPr>
        <w:t xml:space="preserve"> CO del PNUD crea y aprueba la OP. A continuación, el organismo </w:t>
      </w:r>
      <w:r w:rsidR="003A57FC">
        <w:rPr>
          <w:lang w:val="es-419"/>
        </w:rPr>
        <w:t xml:space="preserve">que no </w:t>
      </w:r>
      <w:r w:rsidR="008075D0">
        <w:rPr>
          <w:lang w:val="es-419"/>
        </w:rPr>
        <w:t>usa</w:t>
      </w:r>
      <w:r w:rsidR="003A57FC">
        <w:rPr>
          <w:lang w:val="es-419"/>
        </w:rPr>
        <w:t xml:space="preserve"> Quantum </w:t>
      </w:r>
      <w:r w:rsidRPr="00756410">
        <w:rPr>
          <w:lang w:val="es-419"/>
        </w:rPr>
        <w:t xml:space="preserve">proporciona al PNUD la confirmación de que se han recibido los bienes/servicios, tras lo cual el PNUD recibe los artículos en </w:t>
      </w:r>
      <w:r w:rsidR="003A57FC">
        <w:rPr>
          <w:lang w:val="es-419"/>
        </w:rPr>
        <w:t>Qua</w:t>
      </w:r>
      <w:r w:rsidR="008075D0">
        <w:rPr>
          <w:lang w:val="es-419"/>
        </w:rPr>
        <w:t>n</w:t>
      </w:r>
      <w:r w:rsidR="003A57FC">
        <w:rPr>
          <w:lang w:val="es-419"/>
        </w:rPr>
        <w:t>tum</w:t>
      </w:r>
      <w:r w:rsidRPr="00756410">
        <w:rPr>
          <w:lang w:val="es-419"/>
        </w:rPr>
        <w:t>.</w:t>
      </w:r>
    </w:p>
  </w:footnote>
  <w:footnote w:id="41">
    <w:p w14:paraId="660719F3" w14:textId="4F98A462" w:rsidR="00B95305" w:rsidRPr="00756410" w:rsidRDefault="00B95305" w:rsidP="00B95305">
      <w:pPr>
        <w:pStyle w:val="FootnoteText"/>
        <w:rPr>
          <w:lang w:val="es-419"/>
        </w:rPr>
      </w:pPr>
      <w:r>
        <w:rPr>
          <w:rStyle w:val="FootnoteReference"/>
        </w:rPr>
        <w:footnoteRef/>
      </w:r>
      <w:r w:rsidRPr="00756410">
        <w:rPr>
          <w:lang w:val="es-419"/>
        </w:rPr>
        <w:t xml:space="preserve"> Cuando los proyectos son financiados por instituciones financieras internacionales (IFI) como el Banco Mundial, el PNUD, se deben seguir los FRR y </w:t>
      </w:r>
      <w:r w:rsidR="008F5925">
        <w:rPr>
          <w:lang w:val="es-419"/>
        </w:rPr>
        <w:t>el POPP</w:t>
      </w:r>
      <w:r w:rsidRPr="00756410">
        <w:rPr>
          <w:lang w:val="es-419"/>
        </w:rPr>
        <w:t>. Por lo tanto, el PNUD no debe acudir al Banco Mundial para obtener una "no objeción" hasta que se cumplan los requisitos del PNUD.</w:t>
      </w:r>
    </w:p>
  </w:footnote>
  <w:footnote w:id="42">
    <w:p w14:paraId="46C2C78F" w14:textId="77777777" w:rsidR="009B4AEE" w:rsidRPr="00756410" w:rsidRDefault="009B4AEE">
      <w:pPr>
        <w:pStyle w:val="FootnoteText"/>
        <w:rPr>
          <w:lang w:val="es-419"/>
        </w:rPr>
      </w:pPr>
      <w:r>
        <w:rPr>
          <w:rStyle w:val="FootnoteReference"/>
        </w:rPr>
        <w:footnoteRef/>
      </w:r>
      <w:r w:rsidRPr="00756410">
        <w:rPr>
          <w:lang w:val="es-419"/>
        </w:rPr>
        <w:t xml:space="preserve"> Para los proyectos de desarrollo implementados por instituciones nacionales, los gerentes de proyecto deben utilizar el servicio de acceso externo Quantum para aprobar las solicitudes. Si el director del proyecto no puede utilizar el servicio de acceso externo (por ejemplo, no hay conexión a Internet), las solicitudes deben aprobarse fuera de Quantum y enviarse al director de programas del PNUD responsable del proyecto para que las solicite ingresen y aprueben en Quantum. El funcionario del programa del PNUD que aprueba la solicitud en Quantum sólo puede hacerlo para una solicitud aprobada por el director del proyecto fuera de Quantum.</w:t>
      </w:r>
    </w:p>
  </w:footnote>
  <w:footnote w:id="43">
    <w:p w14:paraId="7EB5A6D2" w14:textId="3B09E23D" w:rsidR="00321B8D" w:rsidRPr="00756410" w:rsidRDefault="00321B8D">
      <w:pPr>
        <w:pStyle w:val="FootnoteText"/>
        <w:rPr>
          <w:lang w:val="es-419"/>
        </w:rPr>
      </w:pPr>
      <w:r>
        <w:rPr>
          <w:rStyle w:val="FootnoteReference"/>
        </w:rPr>
        <w:footnoteRef/>
      </w:r>
      <w:r w:rsidR="00A40A72" w:rsidRPr="00756410">
        <w:rPr>
          <w:lang w:val="es-419"/>
        </w:rPr>
        <w:t xml:space="preserve"> En el caso de las oficinas cuyos procesos no están agrupados</w:t>
      </w:r>
      <w:r w:rsidR="00F7168B" w:rsidRPr="006A0D67">
        <w:rPr>
          <w:lang w:val="es-419"/>
        </w:rPr>
        <w:t xml:space="preserve"> (</w:t>
      </w:r>
      <w:r w:rsidR="00F7168B" w:rsidRPr="00756410">
        <w:rPr>
          <w:rFonts w:ascii="Calibri" w:eastAsia="Calibri" w:hAnsi="Calibri" w:cs="Calibri"/>
          <w:i/>
          <w:iCs/>
          <w:color w:val="004377"/>
          <w:u w:val="single"/>
          <w:lang w:val="es-419"/>
        </w:rPr>
        <w:t>non-clustered)</w:t>
      </w:r>
      <w:r w:rsidR="00A40A72" w:rsidRPr="00756410">
        <w:rPr>
          <w:lang w:val="es-419"/>
        </w:rPr>
        <w:t xml:space="preserve"> en el BMS/GSSC, los pasos del cuadro indicados como realizados por el BMS/GSSC se realizan dentro de la oficina/unidad (con la excepción del paso 20, que realizan el BMS/GSSC y el BMS/OFRM/Tesorería para todas las oficinas).</w:t>
      </w:r>
    </w:p>
  </w:footnote>
  <w:footnote w:id="44">
    <w:p w14:paraId="53E44BAB" w14:textId="2DE714FA" w:rsidR="0016462F" w:rsidRPr="00756410" w:rsidRDefault="0016462F" w:rsidP="000229A1">
      <w:pPr>
        <w:pStyle w:val="FootnoteText"/>
        <w:rPr>
          <w:lang w:val="es-419"/>
        </w:rPr>
      </w:pPr>
      <w:r w:rsidRPr="006A0D67">
        <w:rPr>
          <w:rStyle w:val="FootnoteReference"/>
        </w:rPr>
        <w:footnoteRef/>
      </w:r>
      <w:r w:rsidRPr="00756410">
        <w:rPr>
          <w:lang w:val="es-419"/>
        </w:rPr>
        <w:t xml:space="preserve"> </w:t>
      </w:r>
      <w:r w:rsidRPr="00756410">
        <w:rPr>
          <w:rFonts w:cstheme="minorHAnsi"/>
          <w:lang w:val="es-419"/>
        </w:rPr>
        <w:t xml:space="preserve">Para una flexibilidad de oficina/unidad más pequeña, cualquier perfil de </w:t>
      </w:r>
      <w:r w:rsidR="0001612D" w:rsidRPr="006A0D67">
        <w:rPr>
          <w:rFonts w:cstheme="minorHAnsi"/>
          <w:lang w:val="es-419"/>
        </w:rPr>
        <w:t>usuario</w:t>
      </w:r>
      <w:r w:rsidR="0001612D" w:rsidRPr="00756410">
        <w:rPr>
          <w:rFonts w:cstheme="minorHAnsi"/>
          <w:lang w:val="es-419"/>
        </w:rPr>
        <w:t xml:space="preserve"> </w:t>
      </w:r>
      <w:r w:rsidRPr="00756410">
        <w:rPr>
          <w:rFonts w:cstheme="minorHAnsi"/>
          <w:lang w:val="es-419"/>
        </w:rPr>
        <w:t>de IDAM puede crear una solicitud, pero Quantum tiene un control a nivel de transacción que impide que un usuario cree y apruebe la misma solicitud.</w:t>
      </w:r>
    </w:p>
  </w:footnote>
  <w:footnote w:id="45">
    <w:p w14:paraId="7837B6B6" w14:textId="77777777" w:rsidR="0016462F" w:rsidRPr="00756410" w:rsidRDefault="0016462F" w:rsidP="000229A1">
      <w:pPr>
        <w:spacing w:after="0" w:line="240" w:lineRule="auto"/>
        <w:rPr>
          <w:rFonts w:cstheme="minorHAnsi"/>
          <w:color w:val="ED7D31" w:themeColor="accent2"/>
          <w:sz w:val="20"/>
          <w:szCs w:val="20"/>
          <w:lang w:val="es-419"/>
        </w:rPr>
      </w:pPr>
      <w:r w:rsidRPr="00D2258D">
        <w:rPr>
          <w:rStyle w:val="FootnoteReference"/>
          <w:sz w:val="20"/>
          <w:szCs w:val="20"/>
        </w:rPr>
        <w:footnoteRef/>
      </w:r>
      <w:r w:rsidRPr="00756410">
        <w:rPr>
          <w:sz w:val="20"/>
          <w:szCs w:val="20"/>
          <w:lang w:val="es-419"/>
        </w:rPr>
        <w:t xml:space="preserve"> </w:t>
      </w:r>
      <w:r w:rsidRPr="00756410">
        <w:rPr>
          <w:rFonts w:cstheme="minorHAnsi"/>
          <w:sz w:val="20"/>
          <w:szCs w:val="20"/>
          <w:lang w:val="es-419"/>
        </w:rPr>
        <w:t>Consulte la sección 2.1 para obtener más información sobre los registros externos e internos, incluidas las medidas temporales.</w:t>
      </w:r>
    </w:p>
  </w:footnote>
  <w:footnote w:id="46">
    <w:p w14:paraId="396E8633" w14:textId="151C86BA" w:rsidR="0016462F" w:rsidRPr="00756410" w:rsidRDefault="0016462F" w:rsidP="000229A1">
      <w:pPr>
        <w:pStyle w:val="FootnoteText"/>
        <w:rPr>
          <w:lang w:val="es-419"/>
        </w:rPr>
      </w:pPr>
      <w:r w:rsidRPr="000229A1">
        <w:rPr>
          <w:rStyle w:val="FootnoteReference"/>
        </w:rPr>
        <w:footnoteRef/>
      </w:r>
      <w:r w:rsidRPr="00756410">
        <w:rPr>
          <w:lang w:val="es-419"/>
        </w:rPr>
        <w:t xml:space="preserve"> El proceso automatizado de </w:t>
      </w:r>
      <w:r w:rsidR="00EC547E">
        <w:rPr>
          <w:lang w:val="es-419"/>
        </w:rPr>
        <w:t xml:space="preserve">conciliación de tres </w:t>
      </w:r>
      <w:r w:rsidRPr="00756410">
        <w:rPr>
          <w:lang w:val="es-419"/>
        </w:rPr>
        <w:t>vías se ejecuta en Quantum varias veces al día. Si el proceso de validación se realiza correctamente, el pago se aprueba automáticamente y se contabiliza para actualizar los asientos contables en el libro mayor. La factura entra en una retención del sistema (necesita estado de revalidación) cuando hay una discrepancia entre la factura, el recibo y la orden de compra. El desajuste podría deberse a la falta de recibo, cantidad o cantidad. Si el importe (cantidad) facturado es menor o igual que el importe (cantidad) recibido en la orden de compra, la factura se validará y pasará al ciclo de pago para el pago.</w:t>
      </w:r>
    </w:p>
  </w:footnote>
  <w:footnote w:id="47">
    <w:p w14:paraId="506CE9D4" w14:textId="497BD406" w:rsidR="003E21F0" w:rsidRPr="00756410" w:rsidRDefault="003E21F0" w:rsidP="003E21F0">
      <w:pPr>
        <w:spacing w:line="240" w:lineRule="auto"/>
        <w:rPr>
          <w:sz w:val="20"/>
          <w:szCs w:val="20"/>
          <w:lang w:val="es-419"/>
        </w:rPr>
      </w:pPr>
      <w:r w:rsidRPr="00D2258D">
        <w:rPr>
          <w:rStyle w:val="FootnoteReference"/>
        </w:rPr>
        <w:footnoteRef/>
      </w:r>
      <w:r w:rsidRPr="00756410">
        <w:rPr>
          <w:lang w:val="es-419"/>
        </w:rPr>
        <w:t xml:space="preserve"> </w:t>
      </w:r>
      <w:r w:rsidRPr="00756410">
        <w:rPr>
          <w:sz w:val="20"/>
          <w:szCs w:val="20"/>
          <w:lang w:val="es-419"/>
        </w:rPr>
        <w:t xml:space="preserve">Se mejoró Quantum para enviar avisos de remesas a los proveedores por cada pago realizado por el PNUD. Al mismo tiempo, se realizó un cambio para automatizar la descarga de los archivos de ciclo de pago a un repositorio en Quantum, donde está disponible para que las oficinas los vean durante 30 días. Tenga en cuenta que las revisiones de los protocolos de seguridad de la información del PNUD significan que estos archivos ya no deben transferirse a SharePoint ni a ninguna otra aplicación. En el caso de que una oficina reciba una queja de falta de pago de un proveedor, la oficina debe seguir la guía </w:t>
      </w:r>
      <w:hyperlink r:id="rId4" w:history="1">
        <w:r w:rsidRPr="00756410">
          <w:rPr>
            <w:rStyle w:val="Hyperlink"/>
            <w:color w:val="auto"/>
            <w:sz w:val="20"/>
            <w:szCs w:val="20"/>
            <w:lang w:val="es-419"/>
          </w:rPr>
          <w:t>aquí</w:t>
        </w:r>
      </w:hyperlink>
      <w:r w:rsidRPr="00756410">
        <w:rPr>
          <w:sz w:val="20"/>
          <w:szCs w:val="20"/>
          <w:lang w:val="es-419"/>
        </w:rPr>
        <w:t>, cuya visualización está restringida a aquellos con acceso funcional.</w:t>
      </w:r>
    </w:p>
    <w:p w14:paraId="7C2D6A41" w14:textId="7D53487F" w:rsidR="003E21F0" w:rsidRPr="00756410" w:rsidRDefault="003E21F0">
      <w:pPr>
        <w:pStyle w:val="FootnoteText"/>
        <w:rPr>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042C" w14:textId="77777777" w:rsidR="00A66E0C" w:rsidRDefault="00A66E0C">
    <w:pPr>
      <w:pStyle w:val="Header"/>
    </w:pPr>
  </w:p>
  <w:p w14:paraId="0F7EC48F" w14:textId="77777777" w:rsidR="00A66E0C" w:rsidRDefault="00A66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7B62" w14:textId="4FA51B8E" w:rsidR="0082703A" w:rsidRPr="00756410" w:rsidRDefault="0082703A" w:rsidP="004A6FB8">
    <w:pPr>
      <w:jc w:val="center"/>
      <w:rPr>
        <w:b/>
        <w:sz w:val="24"/>
        <w:szCs w:val="24"/>
        <w:lang w:val="es-419"/>
      </w:rPr>
    </w:pPr>
  </w:p>
</w:hdr>
</file>

<file path=word/intelligence2.xml><?xml version="1.0" encoding="utf-8"?>
<int2:intelligence xmlns:int2="http://schemas.microsoft.com/office/intelligence/2020/intelligence" xmlns:oel="http://schemas.microsoft.com/office/2019/extlst">
  <int2:observations>
    <int2:bookmark int2:bookmarkName="_Int_VkY55Rd0" int2:invalidationBookmarkName="" int2:hashCode="ENskL7ladDTz7V" int2:id="KKStzYv8">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0B9"/>
    <w:multiLevelType w:val="hybridMultilevel"/>
    <w:tmpl w:val="9DFC4A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56B41"/>
    <w:multiLevelType w:val="hybridMultilevel"/>
    <w:tmpl w:val="C4487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861A4"/>
    <w:multiLevelType w:val="hybridMultilevel"/>
    <w:tmpl w:val="242865DC"/>
    <w:lvl w:ilvl="0" w:tplc="349250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96217"/>
    <w:multiLevelType w:val="hybridMultilevel"/>
    <w:tmpl w:val="C3D676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2DE"/>
    <w:multiLevelType w:val="hybridMultilevel"/>
    <w:tmpl w:val="4698A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D07D1"/>
    <w:multiLevelType w:val="hybridMultilevel"/>
    <w:tmpl w:val="BAF494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6B1927"/>
    <w:multiLevelType w:val="hybridMultilevel"/>
    <w:tmpl w:val="39168486"/>
    <w:lvl w:ilvl="0" w:tplc="B09E4D4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E07582"/>
    <w:multiLevelType w:val="hybridMultilevel"/>
    <w:tmpl w:val="795676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E97225"/>
    <w:multiLevelType w:val="hybridMultilevel"/>
    <w:tmpl w:val="748A34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473749"/>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D9F4913"/>
    <w:multiLevelType w:val="hybridMultilevel"/>
    <w:tmpl w:val="45E83B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D01809"/>
    <w:multiLevelType w:val="hybridMultilevel"/>
    <w:tmpl w:val="9EFA4E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26872"/>
    <w:multiLevelType w:val="hybridMultilevel"/>
    <w:tmpl w:val="6D62B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332EB3"/>
    <w:multiLevelType w:val="hybridMultilevel"/>
    <w:tmpl w:val="AE8CA4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BE0B5E"/>
    <w:multiLevelType w:val="hybridMultilevel"/>
    <w:tmpl w:val="A3C2BD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167F7B"/>
    <w:multiLevelType w:val="hybridMultilevel"/>
    <w:tmpl w:val="C61A6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407BE"/>
    <w:multiLevelType w:val="hybridMultilevel"/>
    <w:tmpl w:val="0D5CDCF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AD22AD"/>
    <w:multiLevelType w:val="hybridMultilevel"/>
    <w:tmpl w:val="A7807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DC330B"/>
    <w:multiLevelType w:val="hybridMultilevel"/>
    <w:tmpl w:val="F75A00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802508"/>
    <w:multiLevelType w:val="hybridMultilevel"/>
    <w:tmpl w:val="D688DA50"/>
    <w:lvl w:ilvl="0" w:tplc="C228F4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E64DEC"/>
    <w:multiLevelType w:val="multilevel"/>
    <w:tmpl w:val="7C82012C"/>
    <w:lvl w:ilvl="0">
      <w:start w:val="1"/>
      <w:numFmt w:val="decimal"/>
      <w:lvlText w:val="%1."/>
      <w:lvlJc w:val="left"/>
      <w:pPr>
        <w:ind w:left="360" w:hanging="360"/>
      </w:pPr>
      <w:rPr>
        <w:rFonts w:hint="default"/>
      </w:rPr>
    </w:lvl>
    <w:lvl w:ilvl="1">
      <w:start w:val="1"/>
      <w:numFmt w:val="decimal"/>
      <w:isLgl/>
      <w:lvlText w:val="%1.%2"/>
      <w:lvlJc w:val="left"/>
      <w:pPr>
        <w:ind w:left="385" w:hanging="3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8F703DE"/>
    <w:multiLevelType w:val="hybridMultilevel"/>
    <w:tmpl w:val="F866216E"/>
    <w:lvl w:ilvl="0" w:tplc="04090005">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190049A3"/>
    <w:multiLevelType w:val="hybridMultilevel"/>
    <w:tmpl w:val="529C9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B7FB3"/>
    <w:multiLevelType w:val="hybridMultilevel"/>
    <w:tmpl w:val="A1B063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220C7C"/>
    <w:multiLevelType w:val="hybridMultilevel"/>
    <w:tmpl w:val="3A08C8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2E43BB"/>
    <w:multiLevelType w:val="hybridMultilevel"/>
    <w:tmpl w:val="4D120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B314F0"/>
    <w:multiLevelType w:val="hybridMultilevel"/>
    <w:tmpl w:val="CCD21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22375E"/>
    <w:multiLevelType w:val="hybridMultilevel"/>
    <w:tmpl w:val="B7CC8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B05856"/>
    <w:multiLevelType w:val="hybridMultilevel"/>
    <w:tmpl w:val="BF34B034"/>
    <w:lvl w:ilvl="0" w:tplc="30D0258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3C3384"/>
    <w:multiLevelType w:val="multilevel"/>
    <w:tmpl w:val="B9464814"/>
    <w:lvl w:ilvl="0">
      <w:start w:val="1"/>
      <w:numFmt w:val="decimal"/>
      <w:lvlText w:val="%1."/>
      <w:lvlJc w:val="left"/>
      <w:pPr>
        <w:ind w:left="36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2821AE7"/>
    <w:multiLevelType w:val="hybridMultilevel"/>
    <w:tmpl w:val="A8401E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2B07005"/>
    <w:multiLevelType w:val="hybridMultilevel"/>
    <w:tmpl w:val="831EB6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4F56AB"/>
    <w:multiLevelType w:val="hybridMultilevel"/>
    <w:tmpl w:val="4268044A"/>
    <w:lvl w:ilvl="0" w:tplc="DECCE6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34" w15:restartNumberingAfterBreak="0">
    <w:nsid w:val="2A40083E"/>
    <w:multiLevelType w:val="hybridMultilevel"/>
    <w:tmpl w:val="D370F3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C92C77"/>
    <w:multiLevelType w:val="hybridMultilevel"/>
    <w:tmpl w:val="285246CA"/>
    <w:lvl w:ilvl="0" w:tplc="04090005">
      <w:start w:val="1"/>
      <w:numFmt w:val="bullet"/>
      <w:lvlText w:val=""/>
      <w:lvlJc w:val="left"/>
      <w:pPr>
        <w:ind w:left="720" w:hanging="72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BD82722"/>
    <w:multiLevelType w:val="hybridMultilevel"/>
    <w:tmpl w:val="FC526A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C7F34D1"/>
    <w:multiLevelType w:val="hybridMultilevel"/>
    <w:tmpl w:val="E4B808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C8A608E"/>
    <w:multiLevelType w:val="hybridMultilevel"/>
    <w:tmpl w:val="9790DAF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D7524FD"/>
    <w:multiLevelType w:val="hybridMultilevel"/>
    <w:tmpl w:val="56AA3B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E4A7A48"/>
    <w:multiLevelType w:val="hybridMultilevel"/>
    <w:tmpl w:val="F03482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2F6CFB"/>
    <w:multiLevelType w:val="hybridMultilevel"/>
    <w:tmpl w:val="A104BD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7D5023"/>
    <w:multiLevelType w:val="multilevel"/>
    <w:tmpl w:val="D5ACDF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2425283"/>
    <w:multiLevelType w:val="hybridMultilevel"/>
    <w:tmpl w:val="0EE4B8A4"/>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28B4D5F"/>
    <w:multiLevelType w:val="hybridMultilevel"/>
    <w:tmpl w:val="E836F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D30280"/>
    <w:multiLevelType w:val="hybridMultilevel"/>
    <w:tmpl w:val="922C2F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AE11C5"/>
    <w:multiLevelType w:val="hybridMultilevel"/>
    <w:tmpl w:val="71DA23F0"/>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7F3184F"/>
    <w:multiLevelType w:val="hybridMultilevel"/>
    <w:tmpl w:val="9F0AD4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8F72142"/>
    <w:multiLevelType w:val="hybridMultilevel"/>
    <w:tmpl w:val="A1304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94C56D3"/>
    <w:multiLevelType w:val="hybridMultilevel"/>
    <w:tmpl w:val="3250A9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9AD5C65"/>
    <w:multiLevelType w:val="hybridMultilevel"/>
    <w:tmpl w:val="C6FEAC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A8070FB"/>
    <w:multiLevelType w:val="hybridMultilevel"/>
    <w:tmpl w:val="1BF853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AE64E08"/>
    <w:multiLevelType w:val="hybridMultilevel"/>
    <w:tmpl w:val="945AA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626686"/>
    <w:multiLevelType w:val="hybridMultilevel"/>
    <w:tmpl w:val="841EEDDC"/>
    <w:lvl w:ilvl="0" w:tplc="0409000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4" w15:restartNumberingAfterBreak="0">
    <w:nsid w:val="3CC17160"/>
    <w:multiLevelType w:val="hybridMultilevel"/>
    <w:tmpl w:val="5B7AB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C1BEB"/>
    <w:multiLevelType w:val="hybridMultilevel"/>
    <w:tmpl w:val="0C36C13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40DC08C4"/>
    <w:multiLevelType w:val="hybridMultilevel"/>
    <w:tmpl w:val="C7BE43C4"/>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48C6B74"/>
    <w:multiLevelType w:val="hybridMultilevel"/>
    <w:tmpl w:val="EF2628D8"/>
    <w:lvl w:ilvl="0" w:tplc="0409000D">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8215756"/>
    <w:multiLevelType w:val="hybridMultilevel"/>
    <w:tmpl w:val="C9DEC284"/>
    <w:lvl w:ilvl="0" w:tplc="FFFFFFFF">
      <w:start w:val="1"/>
      <w:numFmt w:val="decimal"/>
      <w:lvlText w:val="%1."/>
      <w:lvlJc w:val="left"/>
      <w:pPr>
        <w:ind w:left="360" w:hanging="360"/>
      </w:pPr>
      <w:rPr>
        <w:rFonts w:asciiTheme="minorHAnsi" w:eastAsiaTheme="minorHAnsi" w:hAnsiTheme="minorHAnsi" w:cstheme="minorBidi"/>
      </w:rPr>
    </w:lvl>
    <w:lvl w:ilvl="1" w:tplc="0409001B">
      <w:start w:val="1"/>
      <w:numFmt w:val="lowerRoman"/>
      <w:lvlText w:val="%2."/>
      <w:lvlJc w:val="right"/>
      <w:pPr>
        <w:ind w:left="720" w:hanging="360"/>
      </w:pPr>
    </w:lvl>
    <w:lvl w:ilvl="2" w:tplc="FFFFFFFF">
      <w:start w:val="1"/>
      <w:numFmt w:val="lowerRoman"/>
      <w:lvlText w:val="(%3)"/>
      <w:lvlJc w:val="left"/>
      <w:pPr>
        <w:ind w:left="2160" w:hanging="720"/>
      </w:pPr>
      <w:rPr>
        <w:rFonts w:eastAsia="Times New Roman"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8285F1F"/>
    <w:multiLevelType w:val="hybridMultilevel"/>
    <w:tmpl w:val="CD7814AE"/>
    <w:lvl w:ilvl="0" w:tplc="0409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82B6E1D"/>
    <w:multiLevelType w:val="hybridMultilevel"/>
    <w:tmpl w:val="9D5C4066"/>
    <w:lvl w:ilvl="0" w:tplc="BC941D3A">
      <w:start w:val="1"/>
      <w:numFmt w:val="decimal"/>
      <w:lvlText w:val="%1."/>
      <w:lvlJc w:val="left"/>
      <w:pPr>
        <w:ind w:left="360" w:hanging="360"/>
      </w:pPr>
      <w:rPr>
        <w:rFonts w:asciiTheme="minorHAnsi" w:eastAsiaTheme="minorHAnsi" w:hAnsiTheme="minorHAnsi" w:cstheme="minorBidi"/>
      </w:rPr>
    </w:lvl>
    <w:lvl w:ilvl="1" w:tplc="0409000D">
      <w:start w:val="1"/>
      <w:numFmt w:val="bullet"/>
      <w:lvlText w:val=""/>
      <w:lvlJc w:val="left"/>
      <w:pPr>
        <w:ind w:left="360" w:hanging="360"/>
      </w:pPr>
      <w:rPr>
        <w:rFonts w:ascii="Wingdings" w:hAnsi="Wingdings" w:hint="default"/>
      </w:rPr>
    </w:lvl>
    <w:lvl w:ilvl="2" w:tplc="D436AD70">
      <w:start w:val="1"/>
      <w:numFmt w:val="lowerRoman"/>
      <w:lvlText w:val="(%3)"/>
      <w:lvlJc w:val="left"/>
      <w:pPr>
        <w:ind w:left="2160" w:hanging="720"/>
      </w:pPr>
      <w:rPr>
        <w:rFonts w:eastAsia="Times New Roman"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AC1C20"/>
    <w:multiLevelType w:val="hybridMultilevel"/>
    <w:tmpl w:val="587E42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B750D86"/>
    <w:multiLevelType w:val="hybridMultilevel"/>
    <w:tmpl w:val="C1FEB23E"/>
    <w:lvl w:ilvl="0" w:tplc="8416E39C">
      <w:start w:val="1"/>
      <w:numFmt w:val="bullet"/>
      <w:lvlText w:val=""/>
      <w:lvlJc w:val="left"/>
      <w:pPr>
        <w:ind w:left="360" w:hanging="360"/>
      </w:pPr>
      <w:rPr>
        <w:rFonts w:ascii="Wingdings" w:hAnsi="Wingding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B8855CA"/>
    <w:multiLevelType w:val="hybridMultilevel"/>
    <w:tmpl w:val="E66C74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FC478C"/>
    <w:multiLevelType w:val="hybridMultilevel"/>
    <w:tmpl w:val="01961E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C052C42"/>
    <w:multiLevelType w:val="hybridMultilevel"/>
    <w:tmpl w:val="994A1BD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D4F04DF"/>
    <w:multiLevelType w:val="hybridMultilevel"/>
    <w:tmpl w:val="350C6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D6D25DB"/>
    <w:multiLevelType w:val="hybridMultilevel"/>
    <w:tmpl w:val="33D03D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E044125"/>
    <w:multiLevelType w:val="hybridMultilevel"/>
    <w:tmpl w:val="668678E6"/>
    <w:lvl w:ilvl="0" w:tplc="9D287D2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B15D2C"/>
    <w:multiLevelType w:val="hybridMultilevel"/>
    <w:tmpl w:val="CB9A62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18D5C97"/>
    <w:multiLevelType w:val="hybridMultilevel"/>
    <w:tmpl w:val="B052D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6C91EEF"/>
    <w:multiLevelType w:val="hybridMultilevel"/>
    <w:tmpl w:val="C30AFE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83B09FC"/>
    <w:multiLevelType w:val="hybridMultilevel"/>
    <w:tmpl w:val="90BE61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A123340"/>
    <w:multiLevelType w:val="hybridMultilevel"/>
    <w:tmpl w:val="E6F02FA4"/>
    <w:lvl w:ilvl="0" w:tplc="0409000D">
      <w:start w:val="1"/>
      <w:numFmt w:val="bullet"/>
      <w:lvlText w:val=""/>
      <w:lvlJc w:val="left"/>
      <w:pPr>
        <w:ind w:left="360" w:hanging="360"/>
      </w:pPr>
      <w:rPr>
        <w:rFonts w:ascii="Wingdings" w:hAnsi="Wingdings" w:hint="default"/>
        <w:sz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A315CB9"/>
    <w:multiLevelType w:val="hybridMultilevel"/>
    <w:tmpl w:val="EBA0DF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C671FD6"/>
    <w:multiLevelType w:val="hybridMultilevel"/>
    <w:tmpl w:val="3ABC9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D5371BD"/>
    <w:multiLevelType w:val="hybridMultilevel"/>
    <w:tmpl w:val="CD82716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DF705DC"/>
    <w:multiLevelType w:val="hybridMultilevel"/>
    <w:tmpl w:val="D102C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F52D3C"/>
    <w:multiLevelType w:val="hybridMultilevel"/>
    <w:tmpl w:val="81BA61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F826E3"/>
    <w:multiLevelType w:val="hybridMultilevel"/>
    <w:tmpl w:val="1BA86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700E81"/>
    <w:multiLevelType w:val="hybridMultilevel"/>
    <w:tmpl w:val="550299A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6175792"/>
    <w:multiLevelType w:val="hybridMultilevel"/>
    <w:tmpl w:val="8192495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69D664A"/>
    <w:multiLevelType w:val="hybridMultilevel"/>
    <w:tmpl w:val="EFF2B12A"/>
    <w:lvl w:ilvl="0" w:tplc="F034A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8C4270"/>
    <w:multiLevelType w:val="hybridMultilevel"/>
    <w:tmpl w:val="073259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862381F"/>
    <w:multiLevelType w:val="hybridMultilevel"/>
    <w:tmpl w:val="64B29B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8F72634"/>
    <w:multiLevelType w:val="hybridMultilevel"/>
    <w:tmpl w:val="B4883E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A936726"/>
    <w:multiLevelType w:val="hybridMultilevel"/>
    <w:tmpl w:val="E4F88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AD2D07"/>
    <w:multiLevelType w:val="hybridMultilevel"/>
    <w:tmpl w:val="679AF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EB1897"/>
    <w:multiLevelType w:val="hybridMultilevel"/>
    <w:tmpl w:val="0994C2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C746510"/>
    <w:multiLevelType w:val="hybridMultilevel"/>
    <w:tmpl w:val="76AAD2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FB67576"/>
    <w:multiLevelType w:val="hybridMultilevel"/>
    <w:tmpl w:val="55B09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03B69F6"/>
    <w:multiLevelType w:val="hybridMultilevel"/>
    <w:tmpl w:val="8FAEA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07F1AC9"/>
    <w:multiLevelType w:val="hybridMultilevel"/>
    <w:tmpl w:val="86866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0B76E6"/>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71244ECB"/>
    <w:multiLevelType w:val="hybridMultilevel"/>
    <w:tmpl w:val="02E2137A"/>
    <w:lvl w:ilvl="0" w:tplc="75466CE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7A15E8"/>
    <w:multiLevelType w:val="hybridMultilevel"/>
    <w:tmpl w:val="89AABA0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48568F5"/>
    <w:multiLevelType w:val="hybridMultilevel"/>
    <w:tmpl w:val="75C6B5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5516BE9"/>
    <w:multiLevelType w:val="hybridMultilevel"/>
    <w:tmpl w:val="3A4A9A2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5836B5C"/>
    <w:multiLevelType w:val="hybridMultilevel"/>
    <w:tmpl w:val="06DC90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5BE5CD7"/>
    <w:multiLevelType w:val="hybridMultilevel"/>
    <w:tmpl w:val="B6CEA4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6CB2D4F"/>
    <w:multiLevelType w:val="hybridMultilevel"/>
    <w:tmpl w:val="F98040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7333117"/>
    <w:multiLevelType w:val="hybridMultilevel"/>
    <w:tmpl w:val="DD049A82"/>
    <w:lvl w:ilvl="0" w:tplc="13EA4138">
      <w:numFmt w:val="bullet"/>
      <w:lvlText w:val=""/>
      <w:lvlJc w:val="left"/>
      <w:pPr>
        <w:ind w:left="468" w:hanging="361"/>
      </w:pPr>
      <w:rPr>
        <w:rFonts w:ascii="Wingdings" w:eastAsia="Wingdings" w:hAnsi="Wingdings" w:cs="Wingdings" w:hint="default"/>
        <w:w w:val="100"/>
        <w:lang w:val="en-US" w:eastAsia="en-US" w:bidi="ar-SA"/>
      </w:rPr>
    </w:lvl>
    <w:lvl w:ilvl="1" w:tplc="53660BC2">
      <w:numFmt w:val="bullet"/>
      <w:lvlText w:val=""/>
      <w:lvlJc w:val="left"/>
      <w:pPr>
        <w:ind w:left="648" w:hanging="180"/>
      </w:pPr>
      <w:rPr>
        <w:rFonts w:ascii="Symbol" w:eastAsia="Symbol" w:hAnsi="Symbol" w:cs="Symbol" w:hint="default"/>
        <w:b w:val="0"/>
        <w:bCs w:val="0"/>
        <w:i w:val="0"/>
        <w:iCs w:val="0"/>
        <w:w w:val="100"/>
        <w:sz w:val="22"/>
        <w:szCs w:val="22"/>
        <w:lang w:val="en-US" w:eastAsia="en-US" w:bidi="ar-SA"/>
      </w:rPr>
    </w:lvl>
    <w:lvl w:ilvl="2" w:tplc="91AE5658">
      <w:numFmt w:val="bullet"/>
      <w:lvlText w:val="•"/>
      <w:lvlJc w:val="left"/>
      <w:pPr>
        <w:ind w:left="1119" w:hanging="180"/>
      </w:pPr>
      <w:rPr>
        <w:rFonts w:hint="default"/>
        <w:lang w:val="en-US" w:eastAsia="en-US" w:bidi="ar-SA"/>
      </w:rPr>
    </w:lvl>
    <w:lvl w:ilvl="3" w:tplc="C1C09654">
      <w:numFmt w:val="bullet"/>
      <w:lvlText w:val="•"/>
      <w:lvlJc w:val="left"/>
      <w:pPr>
        <w:ind w:left="1598" w:hanging="180"/>
      </w:pPr>
      <w:rPr>
        <w:rFonts w:hint="default"/>
        <w:lang w:val="en-US" w:eastAsia="en-US" w:bidi="ar-SA"/>
      </w:rPr>
    </w:lvl>
    <w:lvl w:ilvl="4" w:tplc="BC74418C">
      <w:numFmt w:val="bullet"/>
      <w:lvlText w:val="•"/>
      <w:lvlJc w:val="left"/>
      <w:pPr>
        <w:ind w:left="2078" w:hanging="180"/>
      </w:pPr>
      <w:rPr>
        <w:rFonts w:hint="default"/>
        <w:lang w:val="en-US" w:eastAsia="en-US" w:bidi="ar-SA"/>
      </w:rPr>
    </w:lvl>
    <w:lvl w:ilvl="5" w:tplc="F7169D08">
      <w:numFmt w:val="bullet"/>
      <w:lvlText w:val="•"/>
      <w:lvlJc w:val="left"/>
      <w:pPr>
        <w:ind w:left="2557" w:hanging="180"/>
      </w:pPr>
      <w:rPr>
        <w:rFonts w:hint="default"/>
        <w:lang w:val="en-US" w:eastAsia="en-US" w:bidi="ar-SA"/>
      </w:rPr>
    </w:lvl>
    <w:lvl w:ilvl="6" w:tplc="C3BA5A24">
      <w:numFmt w:val="bullet"/>
      <w:lvlText w:val="•"/>
      <w:lvlJc w:val="left"/>
      <w:pPr>
        <w:ind w:left="3036" w:hanging="180"/>
      </w:pPr>
      <w:rPr>
        <w:rFonts w:hint="default"/>
        <w:lang w:val="en-US" w:eastAsia="en-US" w:bidi="ar-SA"/>
      </w:rPr>
    </w:lvl>
    <w:lvl w:ilvl="7" w:tplc="AC3E6C16">
      <w:numFmt w:val="bullet"/>
      <w:lvlText w:val="•"/>
      <w:lvlJc w:val="left"/>
      <w:pPr>
        <w:ind w:left="3516" w:hanging="180"/>
      </w:pPr>
      <w:rPr>
        <w:rFonts w:hint="default"/>
        <w:lang w:val="en-US" w:eastAsia="en-US" w:bidi="ar-SA"/>
      </w:rPr>
    </w:lvl>
    <w:lvl w:ilvl="8" w:tplc="068C8BAA">
      <w:numFmt w:val="bullet"/>
      <w:lvlText w:val="•"/>
      <w:lvlJc w:val="left"/>
      <w:pPr>
        <w:ind w:left="3995" w:hanging="180"/>
      </w:pPr>
      <w:rPr>
        <w:rFonts w:hint="default"/>
        <w:lang w:val="en-US" w:eastAsia="en-US" w:bidi="ar-SA"/>
      </w:rPr>
    </w:lvl>
  </w:abstractNum>
  <w:abstractNum w:abstractNumId="102" w15:restartNumberingAfterBreak="0">
    <w:nsid w:val="77BC4850"/>
    <w:multiLevelType w:val="hybridMultilevel"/>
    <w:tmpl w:val="24402CA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894245C"/>
    <w:multiLevelType w:val="multilevel"/>
    <w:tmpl w:val="409E67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A253CAD"/>
    <w:multiLevelType w:val="hybridMultilevel"/>
    <w:tmpl w:val="CF766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A572E0F"/>
    <w:multiLevelType w:val="hybridMultilevel"/>
    <w:tmpl w:val="647A0676"/>
    <w:lvl w:ilvl="0" w:tplc="04090005">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06" w15:restartNumberingAfterBreak="0">
    <w:nsid w:val="7C2F5D99"/>
    <w:multiLevelType w:val="hybridMultilevel"/>
    <w:tmpl w:val="F7D674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D3370D1"/>
    <w:multiLevelType w:val="multilevel"/>
    <w:tmpl w:val="7B96ACC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7E3A46CC"/>
    <w:multiLevelType w:val="hybridMultilevel"/>
    <w:tmpl w:val="EC3E9DF0"/>
    <w:lvl w:ilvl="0" w:tplc="AE8E031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4B64FA"/>
    <w:multiLevelType w:val="hybridMultilevel"/>
    <w:tmpl w:val="005E6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EE577F9"/>
    <w:multiLevelType w:val="hybridMultilevel"/>
    <w:tmpl w:val="9550C6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FE72262"/>
    <w:multiLevelType w:val="multilevel"/>
    <w:tmpl w:val="72FE1A88"/>
    <w:lvl w:ilvl="0">
      <w:start w:val="6"/>
      <w:numFmt w:val="decimal"/>
      <w:lvlText w:val="%1"/>
      <w:lvlJc w:val="left"/>
      <w:pPr>
        <w:ind w:left="360" w:hanging="360"/>
      </w:pPr>
      <w:rPr>
        <w:rFonts w:hint="default"/>
      </w:rPr>
    </w:lvl>
    <w:lvl w:ilvl="1">
      <w:start w:val="1"/>
      <w:numFmt w:val="decimal"/>
      <w:lvlText w:val="%1.%2"/>
      <w:lvlJc w:val="left"/>
      <w:pPr>
        <w:ind w:left="963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16cid:durableId="1405496463">
    <w:abstractNumId w:val="33"/>
  </w:num>
  <w:num w:numId="2" w16cid:durableId="319696119">
    <w:abstractNumId w:val="44"/>
  </w:num>
  <w:num w:numId="3" w16cid:durableId="1285424425">
    <w:abstractNumId w:val="31"/>
  </w:num>
  <w:num w:numId="4" w16cid:durableId="1362170807">
    <w:abstractNumId w:val="96"/>
  </w:num>
  <w:num w:numId="5" w16cid:durableId="608510610">
    <w:abstractNumId w:val="5"/>
  </w:num>
  <w:num w:numId="6" w16cid:durableId="400062866">
    <w:abstractNumId w:val="20"/>
  </w:num>
  <w:num w:numId="7" w16cid:durableId="347221835">
    <w:abstractNumId w:val="24"/>
  </w:num>
  <w:num w:numId="8" w16cid:durableId="1940987882">
    <w:abstractNumId w:val="108"/>
  </w:num>
  <w:num w:numId="9" w16cid:durableId="647127412">
    <w:abstractNumId w:val="92"/>
  </w:num>
  <w:num w:numId="10" w16cid:durableId="1307199235">
    <w:abstractNumId w:val="4"/>
  </w:num>
  <w:num w:numId="11" w16cid:durableId="575673748">
    <w:abstractNumId w:val="101"/>
  </w:num>
  <w:num w:numId="12" w16cid:durableId="2146967800">
    <w:abstractNumId w:val="100"/>
  </w:num>
  <w:num w:numId="13" w16cid:durableId="259260550">
    <w:abstractNumId w:val="95"/>
  </w:num>
  <w:num w:numId="14" w16cid:durableId="756907868">
    <w:abstractNumId w:val="103"/>
  </w:num>
  <w:num w:numId="15" w16cid:durableId="1011185100">
    <w:abstractNumId w:val="32"/>
  </w:num>
  <w:num w:numId="16" w16cid:durableId="849225245">
    <w:abstractNumId w:val="76"/>
  </w:num>
  <w:num w:numId="17" w16cid:durableId="1948925029">
    <w:abstractNumId w:val="45"/>
  </w:num>
  <w:num w:numId="18" w16cid:durableId="1709991514">
    <w:abstractNumId w:val="59"/>
  </w:num>
  <w:num w:numId="19" w16cid:durableId="1972395486">
    <w:abstractNumId w:val="107"/>
  </w:num>
  <w:num w:numId="20" w16cid:durableId="755708764">
    <w:abstractNumId w:val="26"/>
  </w:num>
  <w:num w:numId="21" w16cid:durableId="1541824530">
    <w:abstractNumId w:val="69"/>
  </w:num>
  <w:num w:numId="22" w16cid:durableId="1738280547">
    <w:abstractNumId w:val="102"/>
  </w:num>
  <w:num w:numId="23" w16cid:durableId="1060136130">
    <w:abstractNumId w:val="93"/>
  </w:num>
  <w:num w:numId="24" w16cid:durableId="2131700276">
    <w:abstractNumId w:val="53"/>
  </w:num>
  <w:num w:numId="25" w16cid:durableId="1937977687">
    <w:abstractNumId w:val="21"/>
  </w:num>
  <w:num w:numId="26" w16cid:durableId="1418596178">
    <w:abstractNumId w:val="105"/>
  </w:num>
  <w:num w:numId="27" w16cid:durableId="1023286237">
    <w:abstractNumId w:val="14"/>
  </w:num>
  <w:num w:numId="28" w16cid:durableId="2076851283">
    <w:abstractNumId w:val="104"/>
  </w:num>
  <w:num w:numId="29" w16cid:durableId="831799091">
    <w:abstractNumId w:val="48"/>
  </w:num>
  <w:num w:numId="30" w16cid:durableId="1960599357">
    <w:abstractNumId w:val="3"/>
  </w:num>
  <w:num w:numId="31" w16cid:durableId="1490944402">
    <w:abstractNumId w:val="94"/>
  </w:num>
  <w:num w:numId="32" w16cid:durableId="1292131220">
    <w:abstractNumId w:val="15"/>
  </w:num>
  <w:num w:numId="33" w16cid:durableId="36903416">
    <w:abstractNumId w:val="87"/>
  </w:num>
  <w:num w:numId="34" w16cid:durableId="9573012">
    <w:abstractNumId w:val="86"/>
  </w:num>
  <w:num w:numId="35" w16cid:durableId="1171214243">
    <w:abstractNumId w:val="77"/>
  </w:num>
  <w:num w:numId="36" w16cid:durableId="683287530">
    <w:abstractNumId w:val="17"/>
  </w:num>
  <w:num w:numId="37" w16cid:durableId="945964656">
    <w:abstractNumId w:val="6"/>
  </w:num>
  <w:num w:numId="38" w16cid:durableId="149634467">
    <w:abstractNumId w:val="65"/>
  </w:num>
  <w:num w:numId="39" w16cid:durableId="1417091621">
    <w:abstractNumId w:val="46"/>
  </w:num>
  <w:num w:numId="40" w16cid:durableId="1087534401">
    <w:abstractNumId w:val="7"/>
  </w:num>
  <w:num w:numId="41" w16cid:durableId="1566262981">
    <w:abstractNumId w:val="41"/>
  </w:num>
  <w:num w:numId="42" w16cid:durableId="1060905219">
    <w:abstractNumId w:val="49"/>
  </w:num>
  <w:num w:numId="43" w16cid:durableId="2078505267">
    <w:abstractNumId w:val="38"/>
  </w:num>
  <w:num w:numId="44" w16cid:durableId="1075904648">
    <w:abstractNumId w:val="11"/>
  </w:num>
  <w:num w:numId="45" w16cid:durableId="1940867831">
    <w:abstractNumId w:val="40"/>
  </w:num>
  <w:num w:numId="46" w16cid:durableId="1876624583">
    <w:abstractNumId w:val="99"/>
  </w:num>
  <w:num w:numId="47" w16cid:durableId="448597257">
    <w:abstractNumId w:val="67"/>
  </w:num>
  <w:num w:numId="48" w16cid:durableId="1111978151">
    <w:abstractNumId w:val="2"/>
  </w:num>
  <w:num w:numId="49" w16cid:durableId="31543267">
    <w:abstractNumId w:val="90"/>
  </w:num>
  <w:num w:numId="50" w16cid:durableId="464548487">
    <w:abstractNumId w:val="83"/>
  </w:num>
  <w:num w:numId="51" w16cid:durableId="1236280771">
    <w:abstractNumId w:val="88"/>
  </w:num>
  <w:num w:numId="52" w16cid:durableId="879780960">
    <w:abstractNumId w:val="110"/>
  </w:num>
  <w:num w:numId="53" w16cid:durableId="1667712053">
    <w:abstractNumId w:val="85"/>
  </w:num>
  <w:num w:numId="54" w16cid:durableId="824199963">
    <w:abstractNumId w:val="22"/>
  </w:num>
  <w:num w:numId="55" w16cid:durableId="1853227332">
    <w:abstractNumId w:val="54"/>
  </w:num>
  <w:num w:numId="56" w16cid:durableId="342166640">
    <w:abstractNumId w:val="79"/>
  </w:num>
  <w:num w:numId="57" w16cid:durableId="408425836">
    <w:abstractNumId w:val="8"/>
  </w:num>
  <w:num w:numId="58" w16cid:durableId="1293053070">
    <w:abstractNumId w:val="71"/>
  </w:num>
  <w:num w:numId="59" w16cid:durableId="1300916012">
    <w:abstractNumId w:val="74"/>
  </w:num>
  <w:num w:numId="60" w16cid:durableId="524951867">
    <w:abstractNumId w:val="97"/>
  </w:num>
  <w:num w:numId="61" w16cid:durableId="2114544706">
    <w:abstractNumId w:val="57"/>
  </w:num>
  <w:num w:numId="62" w16cid:durableId="2100371133">
    <w:abstractNumId w:val="62"/>
  </w:num>
  <w:num w:numId="63" w16cid:durableId="1890844979">
    <w:abstractNumId w:val="47"/>
  </w:num>
  <w:num w:numId="64" w16cid:durableId="789085680">
    <w:abstractNumId w:val="80"/>
  </w:num>
  <w:num w:numId="65" w16cid:durableId="566497638">
    <w:abstractNumId w:val="34"/>
  </w:num>
  <w:num w:numId="66" w16cid:durableId="1552577839">
    <w:abstractNumId w:val="72"/>
  </w:num>
  <w:num w:numId="67" w16cid:durableId="163324078">
    <w:abstractNumId w:val="56"/>
  </w:num>
  <w:num w:numId="68" w16cid:durableId="1450777562">
    <w:abstractNumId w:val="81"/>
  </w:num>
  <w:num w:numId="69" w16cid:durableId="1051005259">
    <w:abstractNumId w:val="13"/>
  </w:num>
  <w:num w:numId="70" w16cid:durableId="972904884">
    <w:abstractNumId w:val="9"/>
  </w:num>
  <w:num w:numId="71" w16cid:durableId="911232473">
    <w:abstractNumId w:val="63"/>
  </w:num>
  <w:num w:numId="72" w16cid:durableId="1607079865">
    <w:abstractNumId w:val="51"/>
  </w:num>
  <w:num w:numId="73" w16cid:durableId="100346051">
    <w:abstractNumId w:val="10"/>
  </w:num>
  <w:num w:numId="74" w16cid:durableId="389887239">
    <w:abstractNumId w:val="35"/>
  </w:num>
  <w:num w:numId="75" w16cid:durableId="993223649">
    <w:abstractNumId w:val="1"/>
  </w:num>
  <w:num w:numId="76" w16cid:durableId="2005156596">
    <w:abstractNumId w:val="60"/>
  </w:num>
  <w:num w:numId="77" w16cid:durableId="196435404">
    <w:abstractNumId w:val="39"/>
  </w:num>
  <w:num w:numId="78" w16cid:durableId="1927031153">
    <w:abstractNumId w:val="66"/>
  </w:num>
  <w:num w:numId="79" w16cid:durableId="22755060">
    <w:abstractNumId w:val="78"/>
  </w:num>
  <w:num w:numId="80" w16cid:durableId="450514698">
    <w:abstractNumId w:val="109"/>
  </w:num>
  <w:num w:numId="81" w16cid:durableId="2106267967">
    <w:abstractNumId w:val="68"/>
  </w:num>
  <w:num w:numId="82" w16cid:durableId="248999462">
    <w:abstractNumId w:val="0"/>
  </w:num>
  <w:num w:numId="83" w16cid:durableId="1818188159">
    <w:abstractNumId w:val="25"/>
  </w:num>
  <w:num w:numId="84" w16cid:durableId="1797991314">
    <w:abstractNumId w:val="19"/>
  </w:num>
  <w:num w:numId="85" w16cid:durableId="1780442194">
    <w:abstractNumId w:val="82"/>
  </w:num>
  <w:num w:numId="86" w16cid:durableId="708261881">
    <w:abstractNumId w:val="43"/>
  </w:num>
  <w:num w:numId="87" w16cid:durableId="30038676">
    <w:abstractNumId w:val="36"/>
  </w:num>
  <w:num w:numId="88" w16cid:durableId="2004235741">
    <w:abstractNumId w:val="27"/>
  </w:num>
  <w:num w:numId="89" w16cid:durableId="575700352">
    <w:abstractNumId w:val="75"/>
  </w:num>
  <w:num w:numId="90" w16cid:durableId="60176935">
    <w:abstractNumId w:val="52"/>
  </w:num>
  <w:num w:numId="91" w16cid:durableId="1159343010">
    <w:abstractNumId w:val="29"/>
  </w:num>
  <w:num w:numId="92" w16cid:durableId="281694689">
    <w:abstractNumId w:val="111"/>
  </w:num>
  <w:num w:numId="93" w16cid:durableId="1390885799">
    <w:abstractNumId w:val="42"/>
  </w:num>
  <w:num w:numId="94" w16cid:durableId="208566086">
    <w:abstractNumId w:val="18"/>
  </w:num>
  <w:num w:numId="95" w16cid:durableId="2037997233">
    <w:abstractNumId w:val="91"/>
  </w:num>
  <w:num w:numId="96" w16cid:durableId="1972664945">
    <w:abstractNumId w:val="23"/>
  </w:num>
  <w:num w:numId="97" w16cid:durableId="1048191404">
    <w:abstractNumId w:val="106"/>
  </w:num>
  <w:num w:numId="98" w16cid:durableId="199129716">
    <w:abstractNumId w:val="98"/>
  </w:num>
  <w:num w:numId="99" w16cid:durableId="875658535">
    <w:abstractNumId w:val="30"/>
  </w:num>
  <w:num w:numId="100" w16cid:durableId="2073312607">
    <w:abstractNumId w:val="37"/>
  </w:num>
  <w:num w:numId="101" w16cid:durableId="1307708802">
    <w:abstractNumId w:val="73"/>
  </w:num>
  <w:num w:numId="102" w16cid:durableId="2020346319">
    <w:abstractNumId w:val="84"/>
  </w:num>
  <w:num w:numId="103" w16cid:durableId="158498732">
    <w:abstractNumId w:val="50"/>
  </w:num>
  <w:num w:numId="104" w16cid:durableId="2052269063">
    <w:abstractNumId w:val="89"/>
  </w:num>
  <w:num w:numId="105" w16cid:durableId="419641422">
    <w:abstractNumId w:val="64"/>
  </w:num>
  <w:num w:numId="106" w16cid:durableId="59644356">
    <w:abstractNumId w:val="28"/>
  </w:num>
  <w:num w:numId="107" w16cid:durableId="1340505078">
    <w:abstractNumId w:val="58"/>
  </w:num>
  <w:num w:numId="108" w16cid:durableId="736434576">
    <w:abstractNumId w:val="61"/>
  </w:num>
  <w:num w:numId="109" w16cid:durableId="1748965319">
    <w:abstractNumId w:val="70"/>
  </w:num>
  <w:num w:numId="110" w16cid:durableId="1136138918">
    <w:abstractNumId w:val="55"/>
  </w:num>
  <w:num w:numId="111" w16cid:durableId="720447069">
    <w:abstractNumId w:val="16"/>
  </w:num>
  <w:num w:numId="112" w16cid:durableId="1884292840">
    <w:abstractNumId w:val="1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xtzQ2MzcxMDEyNjdW0lEKTi0uzszPAykwrAUA+fsxHiwAAAA="/>
  </w:docVars>
  <w:rsids>
    <w:rsidRoot w:val="00075D80"/>
    <w:rsid w:val="00000776"/>
    <w:rsid w:val="00001077"/>
    <w:rsid w:val="00001C2E"/>
    <w:rsid w:val="00002E47"/>
    <w:rsid w:val="000030BA"/>
    <w:rsid w:val="000032BC"/>
    <w:rsid w:val="00003866"/>
    <w:rsid w:val="00003931"/>
    <w:rsid w:val="00003A3B"/>
    <w:rsid w:val="00004A71"/>
    <w:rsid w:val="0000654F"/>
    <w:rsid w:val="00006CE9"/>
    <w:rsid w:val="00006E87"/>
    <w:rsid w:val="0000736A"/>
    <w:rsid w:val="000105DB"/>
    <w:rsid w:val="000108F7"/>
    <w:rsid w:val="000118A5"/>
    <w:rsid w:val="00011B58"/>
    <w:rsid w:val="00012454"/>
    <w:rsid w:val="000142B5"/>
    <w:rsid w:val="00014397"/>
    <w:rsid w:val="00014BA1"/>
    <w:rsid w:val="00014C0D"/>
    <w:rsid w:val="00015215"/>
    <w:rsid w:val="000158C6"/>
    <w:rsid w:val="00015F21"/>
    <w:rsid w:val="00015F6A"/>
    <w:rsid w:val="0001612D"/>
    <w:rsid w:val="00016669"/>
    <w:rsid w:val="00017379"/>
    <w:rsid w:val="000173E6"/>
    <w:rsid w:val="00020451"/>
    <w:rsid w:val="00020B28"/>
    <w:rsid w:val="00020F7D"/>
    <w:rsid w:val="00021730"/>
    <w:rsid w:val="000229A1"/>
    <w:rsid w:val="00023087"/>
    <w:rsid w:val="00023A01"/>
    <w:rsid w:val="00024187"/>
    <w:rsid w:val="00024823"/>
    <w:rsid w:val="00024D50"/>
    <w:rsid w:val="00024D72"/>
    <w:rsid w:val="00024EA1"/>
    <w:rsid w:val="00024FA6"/>
    <w:rsid w:val="00025001"/>
    <w:rsid w:val="00025B6D"/>
    <w:rsid w:val="00026B2F"/>
    <w:rsid w:val="00027968"/>
    <w:rsid w:val="000310AB"/>
    <w:rsid w:val="00031459"/>
    <w:rsid w:val="0003149A"/>
    <w:rsid w:val="000317C6"/>
    <w:rsid w:val="000322AC"/>
    <w:rsid w:val="00032C5C"/>
    <w:rsid w:val="0003438F"/>
    <w:rsid w:val="00034524"/>
    <w:rsid w:val="00034819"/>
    <w:rsid w:val="00034D2E"/>
    <w:rsid w:val="00034DA2"/>
    <w:rsid w:val="00035873"/>
    <w:rsid w:val="0003602A"/>
    <w:rsid w:val="0003658A"/>
    <w:rsid w:val="0003693B"/>
    <w:rsid w:val="00037429"/>
    <w:rsid w:val="000378AF"/>
    <w:rsid w:val="00037C35"/>
    <w:rsid w:val="00037F82"/>
    <w:rsid w:val="0004098C"/>
    <w:rsid w:val="00040A41"/>
    <w:rsid w:val="00040E07"/>
    <w:rsid w:val="00040F02"/>
    <w:rsid w:val="0004107A"/>
    <w:rsid w:val="000415F9"/>
    <w:rsid w:val="00042236"/>
    <w:rsid w:val="0004280E"/>
    <w:rsid w:val="00043018"/>
    <w:rsid w:val="0004476A"/>
    <w:rsid w:val="00045136"/>
    <w:rsid w:val="00045C5D"/>
    <w:rsid w:val="00046440"/>
    <w:rsid w:val="000464F4"/>
    <w:rsid w:val="000468A3"/>
    <w:rsid w:val="00047141"/>
    <w:rsid w:val="000508EF"/>
    <w:rsid w:val="00050F0C"/>
    <w:rsid w:val="00050F3E"/>
    <w:rsid w:val="000523DD"/>
    <w:rsid w:val="00052C68"/>
    <w:rsid w:val="00053B88"/>
    <w:rsid w:val="00053CC0"/>
    <w:rsid w:val="00053CDF"/>
    <w:rsid w:val="00053DEC"/>
    <w:rsid w:val="0005445E"/>
    <w:rsid w:val="000546D7"/>
    <w:rsid w:val="000560AB"/>
    <w:rsid w:val="000574E1"/>
    <w:rsid w:val="000577F1"/>
    <w:rsid w:val="00057E4C"/>
    <w:rsid w:val="0005C67A"/>
    <w:rsid w:val="000614E1"/>
    <w:rsid w:val="00062143"/>
    <w:rsid w:val="000627D0"/>
    <w:rsid w:val="0006349C"/>
    <w:rsid w:val="00063B8B"/>
    <w:rsid w:val="000657FC"/>
    <w:rsid w:val="00065C5E"/>
    <w:rsid w:val="00066352"/>
    <w:rsid w:val="00066C1E"/>
    <w:rsid w:val="00066E6C"/>
    <w:rsid w:val="000679D3"/>
    <w:rsid w:val="00067EFB"/>
    <w:rsid w:val="0007005B"/>
    <w:rsid w:val="000700FA"/>
    <w:rsid w:val="00070871"/>
    <w:rsid w:val="00070E21"/>
    <w:rsid w:val="000711B6"/>
    <w:rsid w:val="000711E4"/>
    <w:rsid w:val="000712D2"/>
    <w:rsid w:val="00071307"/>
    <w:rsid w:val="00071643"/>
    <w:rsid w:val="000720D7"/>
    <w:rsid w:val="000738FE"/>
    <w:rsid w:val="00074E88"/>
    <w:rsid w:val="000753CE"/>
    <w:rsid w:val="00075D80"/>
    <w:rsid w:val="000763A3"/>
    <w:rsid w:val="00076634"/>
    <w:rsid w:val="000772FB"/>
    <w:rsid w:val="00077579"/>
    <w:rsid w:val="00077AA3"/>
    <w:rsid w:val="00077E5B"/>
    <w:rsid w:val="00080028"/>
    <w:rsid w:val="000808FB"/>
    <w:rsid w:val="000811B5"/>
    <w:rsid w:val="00082247"/>
    <w:rsid w:val="0008297D"/>
    <w:rsid w:val="00082B9B"/>
    <w:rsid w:val="00083463"/>
    <w:rsid w:val="00083B38"/>
    <w:rsid w:val="00083EC4"/>
    <w:rsid w:val="000844CA"/>
    <w:rsid w:val="000845E5"/>
    <w:rsid w:val="0008499D"/>
    <w:rsid w:val="00084D2D"/>
    <w:rsid w:val="00085DDE"/>
    <w:rsid w:val="00085EA1"/>
    <w:rsid w:val="0008662B"/>
    <w:rsid w:val="0008668E"/>
    <w:rsid w:val="000926D1"/>
    <w:rsid w:val="000928C7"/>
    <w:rsid w:val="00092BE3"/>
    <w:rsid w:val="00092DDB"/>
    <w:rsid w:val="00092DFC"/>
    <w:rsid w:val="0009386A"/>
    <w:rsid w:val="00094B83"/>
    <w:rsid w:val="0009627E"/>
    <w:rsid w:val="00096364"/>
    <w:rsid w:val="0009648D"/>
    <w:rsid w:val="000968C4"/>
    <w:rsid w:val="00096D04"/>
    <w:rsid w:val="00097CC5"/>
    <w:rsid w:val="00097E88"/>
    <w:rsid w:val="000A0547"/>
    <w:rsid w:val="000A0D84"/>
    <w:rsid w:val="000A2DF8"/>
    <w:rsid w:val="000A37BE"/>
    <w:rsid w:val="000A40EA"/>
    <w:rsid w:val="000A4D41"/>
    <w:rsid w:val="000A4E4E"/>
    <w:rsid w:val="000A5294"/>
    <w:rsid w:val="000A5800"/>
    <w:rsid w:val="000A603C"/>
    <w:rsid w:val="000A6265"/>
    <w:rsid w:val="000A66B1"/>
    <w:rsid w:val="000A6C5C"/>
    <w:rsid w:val="000A6C98"/>
    <w:rsid w:val="000A7B4A"/>
    <w:rsid w:val="000B14E0"/>
    <w:rsid w:val="000B35C4"/>
    <w:rsid w:val="000B5103"/>
    <w:rsid w:val="000B5BD7"/>
    <w:rsid w:val="000B5C6A"/>
    <w:rsid w:val="000B5E1A"/>
    <w:rsid w:val="000B6A13"/>
    <w:rsid w:val="000B6D5C"/>
    <w:rsid w:val="000B74D4"/>
    <w:rsid w:val="000B75EE"/>
    <w:rsid w:val="000C0216"/>
    <w:rsid w:val="000C070C"/>
    <w:rsid w:val="000C0C3C"/>
    <w:rsid w:val="000C0FE5"/>
    <w:rsid w:val="000C139A"/>
    <w:rsid w:val="000C186A"/>
    <w:rsid w:val="000C1901"/>
    <w:rsid w:val="000C2434"/>
    <w:rsid w:val="000C2F13"/>
    <w:rsid w:val="000C2F34"/>
    <w:rsid w:val="000C304F"/>
    <w:rsid w:val="000C32B6"/>
    <w:rsid w:val="000C3B3D"/>
    <w:rsid w:val="000C3BBF"/>
    <w:rsid w:val="000C4256"/>
    <w:rsid w:val="000C446C"/>
    <w:rsid w:val="000C4CD4"/>
    <w:rsid w:val="000C50DE"/>
    <w:rsid w:val="000C5EEE"/>
    <w:rsid w:val="000D011A"/>
    <w:rsid w:val="000D0A77"/>
    <w:rsid w:val="000D0DD8"/>
    <w:rsid w:val="000D1ED6"/>
    <w:rsid w:val="000D1F1A"/>
    <w:rsid w:val="000D234E"/>
    <w:rsid w:val="000D2906"/>
    <w:rsid w:val="000D3D01"/>
    <w:rsid w:val="000D3ED9"/>
    <w:rsid w:val="000D5048"/>
    <w:rsid w:val="000D5381"/>
    <w:rsid w:val="000D5ADA"/>
    <w:rsid w:val="000D5D6E"/>
    <w:rsid w:val="000D6F86"/>
    <w:rsid w:val="000E00A0"/>
    <w:rsid w:val="000E138D"/>
    <w:rsid w:val="000E1F31"/>
    <w:rsid w:val="000E1F5F"/>
    <w:rsid w:val="000E23E8"/>
    <w:rsid w:val="000E28C7"/>
    <w:rsid w:val="000E34B7"/>
    <w:rsid w:val="000E37D4"/>
    <w:rsid w:val="000E39BB"/>
    <w:rsid w:val="000E3E36"/>
    <w:rsid w:val="000E4320"/>
    <w:rsid w:val="000E43B4"/>
    <w:rsid w:val="000E63C1"/>
    <w:rsid w:val="000E63F7"/>
    <w:rsid w:val="000E683A"/>
    <w:rsid w:val="000E7683"/>
    <w:rsid w:val="000E79F3"/>
    <w:rsid w:val="000F07B8"/>
    <w:rsid w:val="000F0B81"/>
    <w:rsid w:val="000F1CB1"/>
    <w:rsid w:val="000F257E"/>
    <w:rsid w:val="000F27A6"/>
    <w:rsid w:val="000F3577"/>
    <w:rsid w:val="000F36F1"/>
    <w:rsid w:val="000F3C1C"/>
    <w:rsid w:val="000F3D0E"/>
    <w:rsid w:val="000F415B"/>
    <w:rsid w:val="000F4275"/>
    <w:rsid w:val="000F49AC"/>
    <w:rsid w:val="000F4A90"/>
    <w:rsid w:val="000F4C88"/>
    <w:rsid w:val="000F559C"/>
    <w:rsid w:val="000F5985"/>
    <w:rsid w:val="000F667C"/>
    <w:rsid w:val="000F6B83"/>
    <w:rsid w:val="000F7068"/>
    <w:rsid w:val="000F7594"/>
    <w:rsid w:val="000F7705"/>
    <w:rsid w:val="000F7A4B"/>
    <w:rsid w:val="000F7CD3"/>
    <w:rsid w:val="001000E1"/>
    <w:rsid w:val="00100705"/>
    <w:rsid w:val="0010115C"/>
    <w:rsid w:val="001011D3"/>
    <w:rsid w:val="001014EC"/>
    <w:rsid w:val="0010238E"/>
    <w:rsid w:val="0010302A"/>
    <w:rsid w:val="00103EDB"/>
    <w:rsid w:val="00104E1F"/>
    <w:rsid w:val="0010655C"/>
    <w:rsid w:val="00106F90"/>
    <w:rsid w:val="00106F95"/>
    <w:rsid w:val="00107F8E"/>
    <w:rsid w:val="00110387"/>
    <w:rsid w:val="0011038F"/>
    <w:rsid w:val="0011098B"/>
    <w:rsid w:val="00110C41"/>
    <w:rsid w:val="00110F96"/>
    <w:rsid w:val="00111287"/>
    <w:rsid w:val="00111524"/>
    <w:rsid w:val="001130C6"/>
    <w:rsid w:val="00114647"/>
    <w:rsid w:val="00114925"/>
    <w:rsid w:val="00115595"/>
    <w:rsid w:val="0011562F"/>
    <w:rsid w:val="0011659A"/>
    <w:rsid w:val="0011665D"/>
    <w:rsid w:val="00116A94"/>
    <w:rsid w:val="00116E28"/>
    <w:rsid w:val="001172D4"/>
    <w:rsid w:val="00117462"/>
    <w:rsid w:val="00117E9E"/>
    <w:rsid w:val="00120472"/>
    <w:rsid w:val="0012085A"/>
    <w:rsid w:val="00121563"/>
    <w:rsid w:val="0012259B"/>
    <w:rsid w:val="00122AB5"/>
    <w:rsid w:val="00123E68"/>
    <w:rsid w:val="00126173"/>
    <w:rsid w:val="00127B50"/>
    <w:rsid w:val="001302EB"/>
    <w:rsid w:val="001316C1"/>
    <w:rsid w:val="00131E45"/>
    <w:rsid w:val="00132FC4"/>
    <w:rsid w:val="001333E0"/>
    <w:rsid w:val="00133FCD"/>
    <w:rsid w:val="0013429C"/>
    <w:rsid w:val="00134413"/>
    <w:rsid w:val="001353B0"/>
    <w:rsid w:val="001378FB"/>
    <w:rsid w:val="001408AA"/>
    <w:rsid w:val="00140CCA"/>
    <w:rsid w:val="00140E20"/>
    <w:rsid w:val="001419E6"/>
    <w:rsid w:val="001421E1"/>
    <w:rsid w:val="001426A2"/>
    <w:rsid w:val="0014283B"/>
    <w:rsid w:val="001430C6"/>
    <w:rsid w:val="001435CE"/>
    <w:rsid w:val="001438BC"/>
    <w:rsid w:val="0014496F"/>
    <w:rsid w:val="00144ABF"/>
    <w:rsid w:val="0014542E"/>
    <w:rsid w:val="00146274"/>
    <w:rsid w:val="0014680C"/>
    <w:rsid w:val="00146B83"/>
    <w:rsid w:val="00146E75"/>
    <w:rsid w:val="001470A0"/>
    <w:rsid w:val="00147C55"/>
    <w:rsid w:val="00150D3E"/>
    <w:rsid w:val="001516A9"/>
    <w:rsid w:val="00151C6C"/>
    <w:rsid w:val="00152F2E"/>
    <w:rsid w:val="00153393"/>
    <w:rsid w:val="00153839"/>
    <w:rsid w:val="001549DE"/>
    <w:rsid w:val="00154B76"/>
    <w:rsid w:val="0015533F"/>
    <w:rsid w:val="001557DD"/>
    <w:rsid w:val="00155A95"/>
    <w:rsid w:val="00155FBD"/>
    <w:rsid w:val="00156266"/>
    <w:rsid w:val="001571DC"/>
    <w:rsid w:val="0015764B"/>
    <w:rsid w:val="00157813"/>
    <w:rsid w:val="00157A24"/>
    <w:rsid w:val="00157A87"/>
    <w:rsid w:val="00157C07"/>
    <w:rsid w:val="001604B6"/>
    <w:rsid w:val="001609D8"/>
    <w:rsid w:val="00160D75"/>
    <w:rsid w:val="001615A5"/>
    <w:rsid w:val="001631F7"/>
    <w:rsid w:val="001639D3"/>
    <w:rsid w:val="00163C49"/>
    <w:rsid w:val="0016440C"/>
    <w:rsid w:val="001644EB"/>
    <w:rsid w:val="0016462F"/>
    <w:rsid w:val="00164C6A"/>
    <w:rsid w:val="00164C93"/>
    <w:rsid w:val="00165624"/>
    <w:rsid w:val="001658B2"/>
    <w:rsid w:val="00167218"/>
    <w:rsid w:val="00170196"/>
    <w:rsid w:val="001702CA"/>
    <w:rsid w:val="00170594"/>
    <w:rsid w:val="00170803"/>
    <w:rsid w:val="00170900"/>
    <w:rsid w:val="00170F1E"/>
    <w:rsid w:val="00172AD3"/>
    <w:rsid w:val="00172C03"/>
    <w:rsid w:val="00173FEA"/>
    <w:rsid w:val="00174302"/>
    <w:rsid w:val="00174A58"/>
    <w:rsid w:val="00174ADD"/>
    <w:rsid w:val="00175238"/>
    <w:rsid w:val="0017536E"/>
    <w:rsid w:val="001765C7"/>
    <w:rsid w:val="00177C5D"/>
    <w:rsid w:val="001802C2"/>
    <w:rsid w:val="0018120D"/>
    <w:rsid w:val="00181665"/>
    <w:rsid w:val="0018175F"/>
    <w:rsid w:val="00181C56"/>
    <w:rsid w:val="001824C5"/>
    <w:rsid w:val="00183D44"/>
    <w:rsid w:val="00184ED3"/>
    <w:rsid w:val="00185020"/>
    <w:rsid w:val="001858FD"/>
    <w:rsid w:val="00185B74"/>
    <w:rsid w:val="0018645E"/>
    <w:rsid w:val="00186C1C"/>
    <w:rsid w:val="00190E5C"/>
    <w:rsid w:val="0019169F"/>
    <w:rsid w:val="00192A08"/>
    <w:rsid w:val="00193AAB"/>
    <w:rsid w:val="0019419A"/>
    <w:rsid w:val="001942D6"/>
    <w:rsid w:val="00194E4F"/>
    <w:rsid w:val="00195091"/>
    <w:rsid w:val="00195206"/>
    <w:rsid w:val="0019529B"/>
    <w:rsid w:val="001953C8"/>
    <w:rsid w:val="00195598"/>
    <w:rsid w:val="00195C72"/>
    <w:rsid w:val="00196437"/>
    <w:rsid w:val="00197CDB"/>
    <w:rsid w:val="001A0DAE"/>
    <w:rsid w:val="001A1098"/>
    <w:rsid w:val="001A1200"/>
    <w:rsid w:val="001A19AA"/>
    <w:rsid w:val="001A25B8"/>
    <w:rsid w:val="001A2D3A"/>
    <w:rsid w:val="001A324B"/>
    <w:rsid w:val="001A32C2"/>
    <w:rsid w:val="001A3A35"/>
    <w:rsid w:val="001A45D8"/>
    <w:rsid w:val="001A4B5E"/>
    <w:rsid w:val="001A4B75"/>
    <w:rsid w:val="001A4E65"/>
    <w:rsid w:val="001A5C6D"/>
    <w:rsid w:val="001A5E4A"/>
    <w:rsid w:val="001A63A4"/>
    <w:rsid w:val="001A670C"/>
    <w:rsid w:val="001A7708"/>
    <w:rsid w:val="001A7DCA"/>
    <w:rsid w:val="001A7EC5"/>
    <w:rsid w:val="001B0071"/>
    <w:rsid w:val="001B0655"/>
    <w:rsid w:val="001B0D62"/>
    <w:rsid w:val="001B2711"/>
    <w:rsid w:val="001B27F1"/>
    <w:rsid w:val="001B34CE"/>
    <w:rsid w:val="001B445B"/>
    <w:rsid w:val="001B4565"/>
    <w:rsid w:val="001B530F"/>
    <w:rsid w:val="001B585F"/>
    <w:rsid w:val="001B6B89"/>
    <w:rsid w:val="001B6C67"/>
    <w:rsid w:val="001B7585"/>
    <w:rsid w:val="001B7965"/>
    <w:rsid w:val="001C1A5E"/>
    <w:rsid w:val="001C1A63"/>
    <w:rsid w:val="001C1F06"/>
    <w:rsid w:val="001C2486"/>
    <w:rsid w:val="001C25C6"/>
    <w:rsid w:val="001C3243"/>
    <w:rsid w:val="001C40B0"/>
    <w:rsid w:val="001C45E1"/>
    <w:rsid w:val="001C4DF3"/>
    <w:rsid w:val="001C5381"/>
    <w:rsid w:val="001C551D"/>
    <w:rsid w:val="001C5A98"/>
    <w:rsid w:val="001C5B2D"/>
    <w:rsid w:val="001C655C"/>
    <w:rsid w:val="001C6DC0"/>
    <w:rsid w:val="001C75EC"/>
    <w:rsid w:val="001C79FF"/>
    <w:rsid w:val="001C7D65"/>
    <w:rsid w:val="001D0A06"/>
    <w:rsid w:val="001D0DF0"/>
    <w:rsid w:val="001D2326"/>
    <w:rsid w:val="001D24FD"/>
    <w:rsid w:val="001D2F8F"/>
    <w:rsid w:val="001D31E3"/>
    <w:rsid w:val="001D31F4"/>
    <w:rsid w:val="001D33A5"/>
    <w:rsid w:val="001D34C9"/>
    <w:rsid w:val="001D3908"/>
    <w:rsid w:val="001D3B37"/>
    <w:rsid w:val="001D3BF5"/>
    <w:rsid w:val="001D464C"/>
    <w:rsid w:val="001D4BB9"/>
    <w:rsid w:val="001D4FE2"/>
    <w:rsid w:val="001D52BC"/>
    <w:rsid w:val="001D5719"/>
    <w:rsid w:val="001D72E4"/>
    <w:rsid w:val="001D7873"/>
    <w:rsid w:val="001D7A07"/>
    <w:rsid w:val="001D7FCF"/>
    <w:rsid w:val="001E0915"/>
    <w:rsid w:val="001E1206"/>
    <w:rsid w:val="001E16B1"/>
    <w:rsid w:val="001E1D53"/>
    <w:rsid w:val="001E219E"/>
    <w:rsid w:val="001E2CC0"/>
    <w:rsid w:val="001E315C"/>
    <w:rsid w:val="001E3806"/>
    <w:rsid w:val="001E3899"/>
    <w:rsid w:val="001E3AED"/>
    <w:rsid w:val="001E3D5D"/>
    <w:rsid w:val="001E4285"/>
    <w:rsid w:val="001E4F6B"/>
    <w:rsid w:val="001E6EED"/>
    <w:rsid w:val="001E7035"/>
    <w:rsid w:val="001E7385"/>
    <w:rsid w:val="001E7B69"/>
    <w:rsid w:val="001E7B9B"/>
    <w:rsid w:val="001F0458"/>
    <w:rsid w:val="001F08D4"/>
    <w:rsid w:val="001F13DD"/>
    <w:rsid w:val="001F20A3"/>
    <w:rsid w:val="001F27A1"/>
    <w:rsid w:val="001F2F6B"/>
    <w:rsid w:val="001F340F"/>
    <w:rsid w:val="001F358C"/>
    <w:rsid w:val="001F3BCF"/>
    <w:rsid w:val="001F40CF"/>
    <w:rsid w:val="001F54FE"/>
    <w:rsid w:val="001F636E"/>
    <w:rsid w:val="001F666B"/>
    <w:rsid w:val="001F6CC9"/>
    <w:rsid w:val="001F7D78"/>
    <w:rsid w:val="00200FA2"/>
    <w:rsid w:val="00201FC5"/>
    <w:rsid w:val="002028BA"/>
    <w:rsid w:val="00202B3C"/>
    <w:rsid w:val="00204126"/>
    <w:rsid w:val="00204334"/>
    <w:rsid w:val="002045F4"/>
    <w:rsid w:val="00204EBB"/>
    <w:rsid w:val="00205FC6"/>
    <w:rsid w:val="00207131"/>
    <w:rsid w:val="00207525"/>
    <w:rsid w:val="00207ADE"/>
    <w:rsid w:val="00207FFC"/>
    <w:rsid w:val="00210523"/>
    <w:rsid w:val="00211251"/>
    <w:rsid w:val="00211839"/>
    <w:rsid w:val="00211E4E"/>
    <w:rsid w:val="002126AD"/>
    <w:rsid w:val="00212EC7"/>
    <w:rsid w:val="0021322C"/>
    <w:rsid w:val="002139D2"/>
    <w:rsid w:val="00214165"/>
    <w:rsid w:val="00214AB3"/>
    <w:rsid w:val="00215333"/>
    <w:rsid w:val="00215CCC"/>
    <w:rsid w:val="0021626C"/>
    <w:rsid w:val="00216684"/>
    <w:rsid w:val="00216B5E"/>
    <w:rsid w:val="00220244"/>
    <w:rsid w:val="002206F0"/>
    <w:rsid w:val="00220869"/>
    <w:rsid w:val="0022094E"/>
    <w:rsid w:val="00220A28"/>
    <w:rsid w:val="0022142B"/>
    <w:rsid w:val="00221988"/>
    <w:rsid w:val="00222B0C"/>
    <w:rsid w:val="0022318E"/>
    <w:rsid w:val="00223B63"/>
    <w:rsid w:val="00223C3A"/>
    <w:rsid w:val="00223CD7"/>
    <w:rsid w:val="00224F3E"/>
    <w:rsid w:val="00225349"/>
    <w:rsid w:val="00227BA7"/>
    <w:rsid w:val="00227DAF"/>
    <w:rsid w:val="00231540"/>
    <w:rsid w:val="00231AB4"/>
    <w:rsid w:val="00231F3A"/>
    <w:rsid w:val="00232508"/>
    <w:rsid w:val="0023281A"/>
    <w:rsid w:val="002328E1"/>
    <w:rsid w:val="002330D2"/>
    <w:rsid w:val="002334FD"/>
    <w:rsid w:val="00233D09"/>
    <w:rsid w:val="002340B2"/>
    <w:rsid w:val="00235CDD"/>
    <w:rsid w:val="00235E52"/>
    <w:rsid w:val="0023617E"/>
    <w:rsid w:val="00236D9E"/>
    <w:rsid w:val="0023701B"/>
    <w:rsid w:val="0024064D"/>
    <w:rsid w:val="00241599"/>
    <w:rsid w:val="0024162D"/>
    <w:rsid w:val="00241B6B"/>
    <w:rsid w:val="00241D33"/>
    <w:rsid w:val="0024211F"/>
    <w:rsid w:val="00242340"/>
    <w:rsid w:val="00242402"/>
    <w:rsid w:val="002426B0"/>
    <w:rsid w:val="0024355B"/>
    <w:rsid w:val="00243CA2"/>
    <w:rsid w:val="00243D9C"/>
    <w:rsid w:val="002441B4"/>
    <w:rsid w:val="00244261"/>
    <w:rsid w:val="0024474D"/>
    <w:rsid w:val="00244835"/>
    <w:rsid w:val="00244F9C"/>
    <w:rsid w:val="0024546B"/>
    <w:rsid w:val="002458C7"/>
    <w:rsid w:val="00245AD3"/>
    <w:rsid w:val="00246374"/>
    <w:rsid w:val="00246580"/>
    <w:rsid w:val="00247806"/>
    <w:rsid w:val="00247A3D"/>
    <w:rsid w:val="00247BC2"/>
    <w:rsid w:val="002507A3"/>
    <w:rsid w:val="002508ED"/>
    <w:rsid w:val="00250911"/>
    <w:rsid w:val="00250A07"/>
    <w:rsid w:val="002512B1"/>
    <w:rsid w:val="00251460"/>
    <w:rsid w:val="00253C76"/>
    <w:rsid w:val="00254E24"/>
    <w:rsid w:val="002552B0"/>
    <w:rsid w:val="002559E9"/>
    <w:rsid w:val="00255BF3"/>
    <w:rsid w:val="00256DA0"/>
    <w:rsid w:val="002573C9"/>
    <w:rsid w:val="002576CA"/>
    <w:rsid w:val="002616FB"/>
    <w:rsid w:val="00262EE9"/>
    <w:rsid w:val="00262F27"/>
    <w:rsid w:val="00263CB5"/>
    <w:rsid w:val="00263E0D"/>
    <w:rsid w:val="0026418A"/>
    <w:rsid w:val="00264794"/>
    <w:rsid w:val="00265917"/>
    <w:rsid w:val="00266E36"/>
    <w:rsid w:val="002674E9"/>
    <w:rsid w:val="00270BBE"/>
    <w:rsid w:val="00271214"/>
    <w:rsid w:val="00271C20"/>
    <w:rsid w:val="00271E43"/>
    <w:rsid w:val="002729C5"/>
    <w:rsid w:val="00273293"/>
    <w:rsid w:val="00273576"/>
    <w:rsid w:val="0027376B"/>
    <w:rsid w:val="002746F0"/>
    <w:rsid w:val="00274763"/>
    <w:rsid w:val="00276E6D"/>
    <w:rsid w:val="00276F06"/>
    <w:rsid w:val="002773FA"/>
    <w:rsid w:val="00277550"/>
    <w:rsid w:val="002778CD"/>
    <w:rsid w:val="00277BB8"/>
    <w:rsid w:val="00277CB8"/>
    <w:rsid w:val="00277D4C"/>
    <w:rsid w:val="00280134"/>
    <w:rsid w:val="00280A00"/>
    <w:rsid w:val="00281394"/>
    <w:rsid w:val="00281640"/>
    <w:rsid w:val="00281E9D"/>
    <w:rsid w:val="00281F06"/>
    <w:rsid w:val="00283DCD"/>
    <w:rsid w:val="00284569"/>
    <w:rsid w:val="00284CA6"/>
    <w:rsid w:val="002853A6"/>
    <w:rsid w:val="00287145"/>
    <w:rsid w:val="0028723C"/>
    <w:rsid w:val="002876E5"/>
    <w:rsid w:val="002912DF"/>
    <w:rsid w:val="00291749"/>
    <w:rsid w:val="00291B3E"/>
    <w:rsid w:val="00291FEE"/>
    <w:rsid w:val="002925D0"/>
    <w:rsid w:val="002928A3"/>
    <w:rsid w:val="00292CEF"/>
    <w:rsid w:val="0029384D"/>
    <w:rsid w:val="00293C07"/>
    <w:rsid w:val="002957E9"/>
    <w:rsid w:val="0029617A"/>
    <w:rsid w:val="00296B37"/>
    <w:rsid w:val="00296DFE"/>
    <w:rsid w:val="00296E49"/>
    <w:rsid w:val="002975E0"/>
    <w:rsid w:val="002A01A2"/>
    <w:rsid w:val="002A17F7"/>
    <w:rsid w:val="002A38D2"/>
    <w:rsid w:val="002A401D"/>
    <w:rsid w:val="002A47E8"/>
    <w:rsid w:val="002A6873"/>
    <w:rsid w:val="002A69AE"/>
    <w:rsid w:val="002A7D6A"/>
    <w:rsid w:val="002B019C"/>
    <w:rsid w:val="002B0226"/>
    <w:rsid w:val="002B1069"/>
    <w:rsid w:val="002B1456"/>
    <w:rsid w:val="002B1E74"/>
    <w:rsid w:val="002B265F"/>
    <w:rsid w:val="002B2F25"/>
    <w:rsid w:val="002B3320"/>
    <w:rsid w:val="002B37C0"/>
    <w:rsid w:val="002B3A96"/>
    <w:rsid w:val="002B44F3"/>
    <w:rsid w:val="002B4E54"/>
    <w:rsid w:val="002B5220"/>
    <w:rsid w:val="002B5DAF"/>
    <w:rsid w:val="002B5F30"/>
    <w:rsid w:val="002B6083"/>
    <w:rsid w:val="002B6AFE"/>
    <w:rsid w:val="002B6B5A"/>
    <w:rsid w:val="002B6CD9"/>
    <w:rsid w:val="002C03DF"/>
    <w:rsid w:val="002C0B3F"/>
    <w:rsid w:val="002C0CD2"/>
    <w:rsid w:val="002C1258"/>
    <w:rsid w:val="002C18B0"/>
    <w:rsid w:val="002C24F7"/>
    <w:rsid w:val="002C26D4"/>
    <w:rsid w:val="002C2ADA"/>
    <w:rsid w:val="002C3D51"/>
    <w:rsid w:val="002C3ED9"/>
    <w:rsid w:val="002C43F3"/>
    <w:rsid w:val="002C47CD"/>
    <w:rsid w:val="002C4C68"/>
    <w:rsid w:val="002C5099"/>
    <w:rsid w:val="002C5519"/>
    <w:rsid w:val="002C56A7"/>
    <w:rsid w:val="002C7253"/>
    <w:rsid w:val="002C752F"/>
    <w:rsid w:val="002D0605"/>
    <w:rsid w:val="002D0A9F"/>
    <w:rsid w:val="002D0EB9"/>
    <w:rsid w:val="002D126A"/>
    <w:rsid w:val="002D14FF"/>
    <w:rsid w:val="002D2A00"/>
    <w:rsid w:val="002D342F"/>
    <w:rsid w:val="002D380A"/>
    <w:rsid w:val="002D5B80"/>
    <w:rsid w:val="002D6149"/>
    <w:rsid w:val="002E01A5"/>
    <w:rsid w:val="002E0564"/>
    <w:rsid w:val="002E117C"/>
    <w:rsid w:val="002E14BE"/>
    <w:rsid w:val="002E1DA4"/>
    <w:rsid w:val="002E216D"/>
    <w:rsid w:val="002E2D9F"/>
    <w:rsid w:val="002E424C"/>
    <w:rsid w:val="002E46D6"/>
    <w:rsid w:val="002E4744"/>
    <w:rsid w:val="002E4B2B"/>
    <w:rsid w:val="002E4DC3"/>
    <w:rsid w:val="002E5495"/>
    <w:rsid w:val="002E61CD"/>
    <w:rsid w:val="002E6C1F"/>
    <w:rsid w:val="002E7334"/>
    <w:rsid w:val="002E7C0C"/>
    <w:rsid w:val="002E7D90"/>
    <w:rsid w:val="002F02D8"/>
    <w:rsid w:val="002F10EE"/>
    <w:rsid w:val="002F17D4"/>
    <w:rsid w:val="002F2E23"/>
    <w:rsid w:val="002F3EDA"/>
    <w:rsid w:val="002F4248"/>
    <w:rsid w:val="002F5892"/>
    <w:rsid w:val="002F6862"/>
    <w:rsid w:val="002F6A52"/>
    <w:rsid w:val="002F7FDF"/>
    <w:rsid w:val="002F7FF2"/>
    <w:rsid w:val="002F7FF8"/>
    <w:rsid w:val="0030093F"/>
    <w:rsid w:val="00300963"/>
    <w:rsid w:val="00301119"/>
    <w:rsid w:val="00301838"/>
    <w:rsid w:val="00301910"/>
    <w:rsid w:val="00301996"/>
    <w:rsid w:val="00301B3A"/>
    <w:rsid w:val="00301E14"/>
    <w:rsid w:val="00301E1D"/>
    <w:rsid w:val="00303A5D"/>
    <w:rsid w:val="00303B1E"/>
    <w:rsid w:val="0030405A"/>
    <w:rsid w:val="003040E0"/>
    <w:rsid w:val="0030450F"/>
    <w:rsid w:val="003046C6"/>
    <w:rsid w:val="00304DD3"/>
    <w:rsid w:val="003055F4"/>
    <w:rsid w:val="003064F0"/>
    <w:rsid w:val="0030665E"/>
    <w:rsid w:val="00307914"/>
    <w:rsid w:val="00307DE7"/>
    <w:rsid w:val="00307ECA"/>
    <w:rsid w:val="003100E5"/>
    <w:rsid w:val="00310256"/>
    <w:rsid w:val="0031039B"/>
    <w:rsid w:val="00310D99"/>
    <w:rsid w:val="003112A3"/>
    <w:rsid w:val="00311705"/>
    <w:rsid w:val="00311836"/>
    <w:rsid w:val="00312A58"/>
    <w:rsid w:val="00312EBE"/>
    <w:rsid w:val="00313654"/>
    <w:rsid w:val="00313F28"/>
    <w:rsid w:val="00314402"/>
    <w:rsid w:val="0031443E"/>
    <w:rsid w:val="00314522"/>
    <w:rsid w:val="003150C8"/>
    <w:rsid w:val="0031570B"/>
    <w:rsid w:val="00316905"/>
    <w:rsid w:val="00316E2E"/>
    <w:rsid w:val="00316FF3"/>
    <w:rsid w:val="003175AA"/>
    <w:rsid w:val="00320715"/>
    <w:rsid w:val="00320CDC"/>
    <w:rsid w:val="00320DB1"/>
    <w:rsid w:val="0032112A"/>
    <w:rsid w:val="00321345"/>
    <w:rsid w:val="00321B8D"/>
    <w:rsid w:val="00321FFD"/>
    <w:rsid w:val="00323043"/>
    <w:rsid w:val="003231AE"/>
    <w:rsid w:val="003249E6"/>
    <w:rsid w:val="0032599A"/>
    <w:rsid w:val="0032684F"/>
    <w:rsid w:val="0032705B"/>
    <w:rsid w:val="0032733A"/>
    <w:rsid w:val="00330459"/>
    <w:rsid w:val="003306E8"/>
    <w:rsid w:val="0033094F"/>
    <w:rsid w:val="00331072"/>
    <w:rsid w:val="003317B0"/>
    <w:rsid w:val="003330A6"/>
    <w:rsid w:val="003331BB"/>
    <w:rsid w:val="0033394A"/>
    <w:rsid w:val="00333BF9"/>
    <w:rsid w:val="00334A6B"/>
    <w:rsid w:val="00335D41"/>
    <w:rsid w:val="00335E15"/>
    <w:rsid w:val="00336530"/>
    <w:rsid w:val="00336A29"/>
    <w:rsid w:val="00336EC2"/>
    <w:rsid w:val="00337802"/>
    <w:rsid w:val="00337A50"/>
    <w:rsid w:val="00337EE5"/>
    <w:rsid w:val="00337F2F"/>
    <w:rsid w:val="00340475"/>
    <w:rsid w:val="003414F3"/>
    <w:rsid w:val="00341C51"/>
    <w:rsid w:val="00341EA1"/>
    <w:rsid w:val="00342286"/>
    <w:rsid w:val="00343075"/>
    <w:rsid w:val="003438F0"/>
    <w:rsid w:val="00343FE9"/>
    <w:rsid w:val="00345962"/>
    <w:rsid w:val="00345DAB"/>
    <w:rsid w:val="0034689F"/>
    <w:rsid w:val="00347567"/>
    <w:rsid w:val="0034797B"/>
    <w:rsid w:val="003517F3"/>
    <w:rsid w:val="00351D99"/>
    <w:rsid w:val="00352116"/>
    <w:rsid w:val="00352236"/>
    <w:rsid w:val="00354C59"/>
    <w:rsid w:val="00355446"/>
    <w:rsid w:val="00355D02"/>
    <w:rsid w:val="00356003"/>
    <w:rsid w:val="00356696"/>
    <w:rsid w:val="00356A22"/>
    <w:rsid w:val="00356AAB"/>
    <w:rsid w:val="003570E8"/>
    <w:rsid w:val="00357B1A"/>
    <w:rsid w:val="00357E4D"/>
    <w:rsid w:val="00360FF3"/>
    <w:rsid w:val="003616B1"/>
    <w:rsid w:val="00361EEB"/>
    <w:rsid w:val="00362178"/>
    <w:rsid w:val="00362506"/>
    <w:rsid w:val="00362D45"/>
    <w:rsid w:val="00363513"/>
    <w:rsid w:val="0036526D"/>
    <w:rsid w:val="003653AA"/>
    <w:rsid w:val="003653E0"/>
    <w:rsid w:val="0036789A"/>
    <w:rsid w:val="003679E2"/>
    <w:rsid w:val="00367EBA"/>
    <w:rsid w:val="00367FFB"/>
    <w:rsid w:val="003708F7"/>
    <w:rsid w:val="0037159E"/>
    <w:rsid w:val="0037195D"/>
    <w:rsid w:val="00371D11"/>
    <w:rsid w:val="00371DFA"/>
    <w:rsid w:val="00372F85"/>
    <w:rsid w:val="00373657"/>
    <w:rsid w:val="003741AB"/>
    <w:rsid w:val="003745A2"/>
    <w:rsid w:val="003748F7"/>
    <w:rsid w:val="00375F0F"/>
    <w:rsid w:val="00376AF6"/>
    <w:rsid w:val="00377E64"/>
    <w:rsid w:val="00380E06"/>
    <w:rsid w:val="003811B8"/>
    <w:rsid w:val="003818A8"/>
    <w:rsid w:val="00381B09"/>
    <w:rsid w:val="00381D53"/>
    <w:rsid w:val="003825DE"/>
    <w:rsid w:val="00383CDB"/>
    <w:rsid w:val="00383DCC"/>
    <w:rsid w:val="00384F48"/>
    <w:rsid w:val="003855C3"/>
    <w:rsid w:val="003858CA"/>
    <w:rsid w:val="00385CC6"/>
    <w:rsid w:val="00386B31"/>
    <w:rsid w:val="00386B7C"/>
    <w:rsid w:val="0038768E"/>
    <w:rsid w:val="00387A2D"/>
    <w:rsid w:val="00390E6F"/>
    <w:rsid w:val="0039104F"/>
    <w:rsid w:val="003912EB"/>
    <w:rsid w:val="0039193D"/>
    <w:rsid w:val="003933CF"/>
    <w:rsid w:val="00394594"/>
    <w:rsid w:val="00394D7A"/>
    <w:rsid w:val="0039539B"/>
    <w:rsid w:val="00395434"/>
    <w:rsid w:val="00396506"/>
    <w:rsid w:val="003965AD"/>
    <w:rsid w:val="00397461"/>
    <w:rsid w:val="00397C9D"/>
    <w:rsid w:val="00399E9F"/>
    <w:rsid w:val="003A0202"/>
    <w:rsid w:val="003A04B2"/>
    <w:rsid w:val="003A08F6"/>
    <w:rsid w:val="003A0902"/>
    <w:rsid w:val="003A16F6"/>
    <w:rsid w:val="003A177C"/>
    <w:rsid w:val="003A345B"/>
    <w:rsid w:val="003A3CBB"/>
    <w:rsid w:val="003A4857"/>
    <w:rsid w:val="003A515E"/>
    <w:rsid w:val="003A57FC"/>
    <w:rsid w:val="003A5C07"/>
    <w:rsid w:val="003A606E"/>
    <w:rsid w:val="003A6471"/>
    <w:rsid w:val="003A64BC"/>
    <w:rsid w:val="003A6617"/>
    <w:rsid w:val="003A6618"/>
    <w:rsid w:val="003A6F84"/>
    <w:rsid w:val="003A71AB"/>
    <w:rsid w:val="003B0367"/>
    <w:rsid w:val="003B08D4"/>
    <w:rsid w:val="003B0E4B"/>
    <w:rsid w:val="003B102F"/>
    <w:rsid w:val="003B122C"/>
    <w:rsid w:val="003B1DE1"/>
    <w:rsid w:val="003B2691"/>
    <w:rsid w:val="003B2C8B"/>
    <w:rsid w:val="003B2F6E"/>
    <w:rsid w:val="003B30D6"/>
    <w:rsid w:val="003B3430"/>
    <w:rsid w:val="003B498D"/>
    <w:rsid w:val="003B67B6"/>
    <w:rsid w:val="003B6B29"/>
    <w:rsid w:val="003B6D8C"/>
    <w:rsid w:val="003B7C37"/>
    <w:rsid w:val="003C02F5"/>
    <w:rsid w:val="003C160A"/>
    <w:rsid w:val="003C2268"/>
    <w:rsid w:val="003C2B04"/>
    <w:rsid w:val="003C3036"/>
    <w:rsid w:val="003C36FB"/>
    <w:rsid w:val="003C3D3F"/>
    <w:rsid w:val="003C43F6"/>
    <w:rsid w:val="003C46BC"/>
    <w:rsid w:val="003C499B"/>
    <w:rsid w:val="003C68DA"/>
    <w:rsid w:val="003C7716"/>
    <w:rsid w:val="003D130F"/>
    <w:rsid w:val="003D3A34"/>
    <w:rsid w:val="003D3C07"/>
    <w:rsid w:val="003D43D2"/>
    <w:rsid w:val="003D46AC"/>
    <w:rsid w:val="003D47B1"/>
    <w:rsid w:val="003D4F9A"/>
    <w:rsid w:val="003D547C"/>
    <w:rsid w:val="003D6380"/>
    <w:rsid w:val="003D6AE3"/>
    <w:rsid w:val="003D7F08"/>
    <w:rsid w:val="003E1378"/>
    <w:rsid w:val="003E14AB"/>
    <w:rsid w:val="003E15E8"/>
    <w:rsid w:val="003E21F0"/>
    <w:rsid w:val="003E2338"/>
    <w:rsid w:val="003E2827"/>
    <w:rsid w:val="003E2841"/>
    <w:rsid w:val="003E2CFE"/>
    <w:rsid w:val="003E4022"/>
    <w:rsid w:val="003E406B"/>
    <w:rsid w:val="003E442E"/>
    <w:rsid w:val="003E4D2A"/>
    <w:rsid w:val="003E5192"/>
    <w:rsid w:val="003E5B01"/>
    <w:rsid w:val="003E668A"/>
    <w:rsid w:val="003E6E45"/>
    <w:rsid w:val="003E712D"/>
    <w:rsid w:val="003E7C83"/>
    <w:rsid w:val="003E7D5E"/>
    <w:rsid w:val="003F101B"/>
    <w:rsid w:val="003F1A41"/>
    <w:rsid w:val="003F3124"/>
    <w:rsid w:val="003F3D6B"/>
    <w:rsid w:val="003F4837"/>
    <w:rsid w:val="003F4C64"/>
    <w:rsid w:val="003F4D13"/>
    <w:rsid w:val="003F52E4"/>
    <w:rsid w:val="003F598F"/>
    <w:rsid w:val="003F5AF9"/>
    <w:rsid w:val="003F6126"/>
    <w:rsid w:val="003F6492"/>
    <w:rsid w:val="003F72B1"/>
    <w:rsid w:val="003F78F7"/>
    <w:rsid w:val="003F7E23"/>
    <w:rsid w:val="00400204"/>
    <w:rsid w:val="00400434"/>
    <w:rsid w:val="00400A7B"/>
    <w:rsid w:val="004011A4"/>
    <w:rsid w:val="004017E7"/>
    <w:rsid w:val="00401FAB"/>
    <w:rsid w:val="00402A06"/>
    <w:rsid w:val="00404C36"/>
    <w:rsid w:val="00405807"/>
    <w:rsid w:val="004059DD"/>
    <w:rsid w:val="0040656D"/>
    <w:rsid w:val="00406582"/>
    <w:rsid w:val="00407586"/>
    <w:rsid w:val="004078B1"/>
    <w:rsid w:val="00407AB1"/>
    <w:rsid w:val="00407CD4"/>
    <w:rsid w:val="00410158"/>
    <w:rsid w:val="00410B3B"/>
    <w:rsid w:val="00410DD7"/>
    <w:rsid w:val="004120EB"/>
    <w:rsid w:val="00412AB7"/>
    <w:rsid w:val="00412C80"/>
    <w:rsid w:val="004130EE"/>
    <w:rsid w:val="00413FD7"/>
    <w:rsid w:val="00414BE8"/>
    <w:rsid w:val="00414E96"/>
    <w:rsid w:val="0041512D"/>
    <w:rsid w:val="00415C38"/>
    <w:rsid w:val="00415CAF"/>
    <w:rsid w:val="00415CEA"/>
    <w:rsid w:val="00416037"/>
    <w:rsid w:val="004160A7"/>
    <w:rsid w:val="00416AAB"/>
    <w:rsid w:val="00417798"/>
    <w:rsid w:val="004211C9"/>
    <w:rsid w:val="004216FC"/>
    <w:rsid w:val="00422A93"/>
    <w:rsid w:val="00422D35"/>
    <w:rsid w:val="00423131"/>
    <w:rsid w:val="004241E3"/>
    <w:rsid w:val="0042481B"/>
    <w:rsid w:val="00424EE9"/>
    <w:rsid w:val="004252D3"/>
    <w:rsid w:val="004256C4"/>
    <w:rsid w:val="0042600F"/>
    <w:rsid w:val="00427AC5"/>
    <w:rsid w:val="00427F73"/>
    <w:rsid w:val="00431583"/>
    <w:rsid w:val="00431937"/>
    <w:rsid w:val="00431FFA"/>
    <w:rsid w:val="00432D9F"/>
    <w:rsid w:val="00433082"/>
    <w:rsid w:val="0043381D"/>
    <w:rsid w:val="004339F6"/>
    <w:rsid w:val="00433B81"/>
    <w:rsid w:val="00434351"/>
    <w:rsid w:val="00434500"/>
    <w:rsid w:val="00434C96"/>
    <w:rsid w:val="004358D0"/>
    <w:rsid w:val="00435B2D"/>
    <w:rsid w:val="004361DF"/>
    <w:rsid w:val="00437FDB"/>
    <w:rsid w:val="004409C6"/>
    <w:rsid w:val="004420D7"/>
    <w:rsid w:val="0044405E"/>
    <w:rsid w:val="004452CD"/>
    <w:rsid w:val="004455C3"/>
    <w:rsid w:val="00445680"/>
    <w:rsid w:val="00446F0C"/>
    <w:rsid w:val="00450857"/>
    <w:rsid w:val="0045170C"/>
    <w:rsid w:val="00451F22"/>
    <w:rsid w:val="004524E2"/>
    <w:rsid w:val="004525E8"/>
    <w:rsid w:val="00452AEC"/>
    <w:rsid w:val="004539AF"/>
    <w:rsid w:val="0045472A"/>
    <w:rsid w:val="00455D2A"/>
    <w:rsid w:val="004560AD"/>
    <w:rsid w:val="004560D3"/>
    <w:rsid w:val="004579F9"/>
    <w:rsid w:val="00460286"/>
    <w:rsid w:val="00460AAA"/>
    <w:rsid w:val="00460FD9"/>
    <w:rsid w:val="004619FE"/>
    <w:rsid w:val="00461A00"/>
    <w:rsid w:val="0046512A"/>
    <w:rsid w:val="004658FE"/>
    <w:rsid w:val="004659C7"/>
    <w:rsid w:val="00465C98"/>
    <w:rsid w:val="00466178"/>
    <w:rsid w:val="0046749F"/>
    <w:rsid w:val="0046788E"/>
    <w:rsid w:val="0047148F"/>
    <w:rsid w:val="004718F6"/>
    <w:rsid w:val="0047195C"/>
    <w:rsid w:val="004721A4"/>
    <w:rsid w:val="00472239"/>
    <w:rsid w:val="00473065"/>
    <w:rsid w:val="00473113"/>
    <w:rsid w:val="0047355E"/>
    <w:rsid w:val="0047651E"/>
    <w:rsid w:val="00476525"/>
    <w:rsid w:val="0047656B"/>
    <w:rsid w:val="00476E8D"/>
    <w:rsid w:val="00477E71"/>
    <w:rsid w:val="0048091B"/>
    <w:rsid w:val="00480BE9"/>
    <w:rsid w:val="0048166B"/>
    <w:rsid w:val="0048207B"/>
    <w:rsid w:val="00482737"/>
    <w:rsid w:val="004827C3"/>
    <w:rsid w:val="00483ADE"/>
    <w:rsid w:val="00483C4C"/>
    <w:rsid w:val="00484153"/>
    <w:rsid w:val="00484B30"/>
    <w:rsid w:val="00484C24"/>
    <w:rsid w:val="00484E86"/>
    <w:rsid w:val="004855FE"/>
    <w:rsid w:val="00485FAB"/>
    <w:rsid w:val="004862D6"/>
    <w:rsid w:val="00486698"/>
    <w:rsid w:val="004872FC"/>
    <w:rsid w:val="00491939"/>
    <w:rsid w:val="004928EB"/>
    <w:rsid w:val="00493CBC"/>
    <w:rsid w:val="00494060"/>
    <w:rsid w:val="00494207"/>
    <w:rsid w:val="004943D0"/>
    <w:rsid w:val="00494714"/>
    <w:rsid w:val="00494998"/>
    <w:rsid w:val="0049508F"/>
    <w:rsid w:val="0049517E"/>
    <w:rsid w:val="004951D5"/>
    <w:rsid w:val="00495459"/>
    <w:rsid w:val="004956E1"/>
    <w:rsid w:val="00495834"/>
    <w:rsid w:val="004961D4"/>
    <w:rsid w:val="00496C18"/>
    <w:rsid w:val="00497DE1"/>
    <w:rsid w:val="004A0B5B"/>
    <w:rsid w:val="004A1996"/>
    <w:rsid w:val="004A219C"/>
    <w:rsid w:val="004A33CB"/>
    <w:rsid w:val="004A41D7"/>
    <w:rsid w:val="004A4262"/>
    <w:rsid w:val="004A4352"/>
    <w:rsid w:val="004A44F6"/>
    <w:rsid w:val="004A4626"/>
    <w:rsid w:val="004A5C6E"/>
    <w:rsid w:val="004A6FB8"/>
    <w:rsid w:val="004A797B"/>
    <w:rsid w:val="004B0886"/>
    <w:rsid w:val="004B0965"/>
    <w:rsid w:val="004B0D70"/>
    <w:rsid w:val="004B21A6"/>
    <w:rsid w:val="004B22DA"/>
    <w:rsid w:val="004B2DF3"/>
    <w:rsid w:val="004B3145"/>
    <w:rsid w:val="004B417A"/>
    <w:rsid w:val="004B500F"/>
    <w:rsid w:val="004B58A4"/>
    <w:rsid w:val="004B5D67"/>
    <w:rsid w:val="004B5F32"/>
    <w:rsid w:val="004B61F8"/>
    <w:rsid w:val="004B6837"/>
    <w:rsid w:val="004B7DDB"/>
    <w:rsid w:val="004C088C"/>
    <w:rsid w:val="004C0C7F"/>
    <w:rsid w:val="004C0ECE"/>
    <w:rsid w:val="004C112C"/>
    <w:rsid w:val="004C1148"/>
    <w:rsid w:val="004C17D5"/>
    <w:rsid w:val="004C227E"/>
    <w:rsid w:val="004C25C2"/>
    <w:rsid w:val="004C284E"/>
    <w:rsid w:val="004C2A1B"/>
    <w:rsid w:val="004C333C"/>
    <w:rsid w:val="004C3757"/>
    <w:rsid w:val="004C45AD"/>
    <w:rsid w:val="004C4780"/>
    <w:rsid w:val="004C498F"/>
    <w:rsid w:val="004C49CD"/>
    <w:rsid w:val="004C592E"/>
    <w:rsid w:val="004C5FBB"/>
    <w:rsid w:val="004C65A2"/>
    <w:rsid w:val="004C65BF"/>
    <w:rsid w:val="004C682B"/>
    <w:rsid w:val="004D01F8"/>
    <w:rsid w:val="004D07FD"/>
    <w:rsid w:val="004D19CB"/>
    <w:rsid w:val="004D1AFB"/>
    <w:rsid w:val="004D1C23"/>
    <w:rsid w:val="004D1E20"/>
    <w:rsid w:val="004D241A"/>
    <w:rsid w:val="004D2E8F"/>
    <w:rsid w:val="004D3AEF"/>
    <w:rsid w:val="004D3D2F"/>
    <w:rsid w:val="004D3E00"/>
    <w:rsid w:val="004D45D6"/>
    <w:rsid w:val="004D4BAA"/>
    <w:rsid w:val="004D4F27"/>
    <w:rsid w:val="004D5476"/>
    <w:rsid w:val="004D575D"/>
    <w:rsid w:val="004D57E2"/>
    <w:rsid w:val="004D5FF4"/>
    <w:rsid w:val="004D6059"/>
    <w:rsid w:val="004D63CB"/>
    <w:rsid w:val="004D649E"/>
    <w:rsid w:val="004E01F9"/>
    <w:rsid w:val="004E1445"/>
    <w:rsid w:val="004E17C6"/>
    <w:rsid w:val="004E22B6"/>
    <w:rsid w:val="004E2DA0"/>
    <w:rsid w:val="004E316E"/>
    <w:rsid w:val="004E3327"/>
    <w:rsid w:val="004E3926"/>
    <w:rsid w:val="004E59B4"/>
    <w:rsid w:val="004E60B7"/>
    <w:rsid w:val="004E60C8"/>
    <w:rsid w:val="004E63DA"/>
    <w:rsid w:val="004E6C17"/>
    <w:rsid w:val="004E7234"/>
    <w:rsid w:val="004E76F2"/>
    <w:rsid w:val="004E7EF5"/>
    <w:rsid w:val="004F0774"/>
    <w:rsid w:val="004F0A15"/>
    <w:rsid w:val="004F0A77"/>
    <w:rsid w:val="004F0D1E"/>
    <w:rsid w:val="004F1676"/>
    <w:rsid w:val="004F1FD7"/>
    <w:rsid w:val="004F23FD"/>
    <w:rsid w:val="004F24C3"/>
    <w:rsid w:val="004F35CA"/>
    <w:rsid w:val="004F371D"/>
    <w:rsid w:val="004F38D6"/>
    <w:rsid w:val="004F4428"/>
    <w:rsid w:val="004F49C5"/>
    <w:rsid w:val="004F4CFC"/>
    <w:rsid w:val="004F55D4"/>
    <w:rsid w:val="004F5C7F"/>
    <w:rsid w:val="004F5E4F"/>
    <w:rsid w:val="004F64D1"/>
    <w:rsid w:val="004F65B8"/>
    <w:rsid w:val="004F6AC8"/>
    <w:rsid w:val="004F6B82"/>
    <w:rsid w:val="004F76F2"/>
    <w:rsid w:val="0050152D"/>
    <w:rsid w:val="00501DC4"/>
    <w:rsid w:val="00502435"/>
    <w:rsid w:val="00502C32"/>
    <w:rsid w:val="00502C7B"/>
    <w:rsid w:val="00503AC5"/>
    <w:rsid w:val="00503BB9"/>
    <w:rsid w:val="00503C37"/>
    <w:rsid w:val="00503C70"/>
    <w:rsid w:val="00504BFA"/>
    <w:rsid w:val="005068E2"/>
    <w:rsid w:val="00507AF4"/>
    <w:rsid w:val="00507CFC"/>
    <w:rsid w:val="0051004F"/>
    <w:rsid w:val="00510945"/>
    <w:rsid w:val="00510A41"/>
    <w:rsid w:val="00510A67"/>
    <w:rsid w:val="00510ACF"/>
    <w:rsid w:val="00510C55"/>
    <w:rsid w:val="0051102A"/>
    <w:rsid w:val="00511227"/>
    <w:rsid w:val="00511280"/>
    <w:rsid w:val="00511352"/>
    <w:rsid w:val="00512A0D"/>
    <w:rsid w:val="00512AE1"/>
    <w:rsid w:val="00512B87"/>
    <w:rsid w:val="00512F6A"/>
    <w:rsid w:val="00514DBE"/>
    <w:rsid w:val="0051533E"/>
    <w:rsid w:val="00515E1C"/>
    <w:rsid w:val="00517854"/>
    <w:rsid w:val="005200F5"/>
    <w:rsid w:val="00520109"/>
    <w:rsid w:val="005201C9"/>
    <w:rsid w:val="00520342"/>
    <w:rsid w:val="00520816"/>
    <w:rsid w:val="005218F0"/>
    <w:rsid w:val="0052234A"/>
    <w:rsid w:val="005248E2"/>
    <w:rsid w:val="00526550"/>
    <w:rsid w:val="00526648"/>
    <w:rsid w:val="00527DC4"/>
    <w:rsid w:val="00530474"/>
    <w:rsid w:val="00530D0F"/>
    <w:rsid w:val="005315F6"/>
    <w:rsid w:val="00531B4A"/>
    <w:rsid w:val="00531C30"/>
    <w:rsid w:val="00531CEA"/>
    <w:rsid w:val="00531CF3"/>
    <w:rsid w:val="00532D05"/>
    <w:rsid w:val="00532E13"/>
    <w:rsid w:val="00533986"/>
    <w:rsid w:val="00534373"/>
    <w:rsid w:val="0053443F"/>
    <w:rsid w:val="00535F42"/>
    <w:rsid w:val="005371C9"/>
    <w:rsid w:val="00537F9D"/>
    <w:rsid w:val="005401E3"/>
    <w:rsid w:val="0054093B"/>
    <w:rsid w:val="0054135D"/>
    <w:rsid w:val="0054170E"/>
    <w:rsid w:val="005419B8"/>
    <w:rsid w:val="005424BE"/>
    <w:rsid w:val="00543578"/>
    <w:rsid w:val="0054442A"/>
    <w:rsid w:val="00544612"/>
    <w:rsid w:val="00544A29"/>
    <w:rsid w:val="005458C5"/>
    <w:rsid w:val="00545D4D"/>
    <w:rsid w:val="0054620A"/>
    <w:rsid w:val="005469EC"/>
    <w:rsid w:val="0054773C"/>
    <w:rsid w:val="0054774F"/>
    <w:rsid w:val="005479F0"/>
    <w:rsid w:val="00547F1C"/>
    <w:rsid w:val="00550363"/>
    <w:rsid w:val="00550E92"/>
    <w:rsid w:val="00551052"/>
    <w:rsid w:val="0055153F"/>
    <w:rsid w:val="00551D2C"/>
    <w:rsid w:val="00552581"/>
    <w:rsid w:val="00552B1B"/>
    <w:rsid w:val="005537AB"/>
    <w:rsid w:val="005537F0"/>
    <w:rsid w:val="00555526"/>
    <w:rsid w:val="00555CBA"/>
    <w:rsid w:val="0055608D"/>
    <w:rsid w:val="0055655B"/>
    <w:rsid w:val="00556DAC"/>
    <w:rsid w:val="00556E9C"/>
    <w:rsid w:val="00556FB7"/>
    <w:rsid w:val="00557278"/>
    <w:rsid w:val="00557584"/>
    <w:rsid w:val="00557E1F"/>
    <w:rsid w:val="00557F74"/>
    <w:rsid w:val="005609DF"/>
    <w:rsid w:val="00560DE4"/>
    <w:rsid w:val="0056115A"/>
    <w:rsid w:val="00561D43"/>
    <w:rsid w:val="00561E5A"/>
    <w:rsid w:val="0056208B"/>
    <w:rsid w:val="00562E5F"/>
    <w:rsid w:val="005651AE"/>
    <w:rsid w:val="00566985"/>
    <w:rsid w:val="00566F05"/>
    <w:rsid w:val="005671F9"/>
    <w:rsid w:val="005672CE"/>
    <w:rsid w:val="00567349"/>
    <w:rsid w:val="00567675"/>
    <w:rsid w:val="0056779D"/>
    <w:rsid w:val="00567DAC"/>
    <w:rsid w:val="00570C68"/>
    <w:rsid w:val="00570E5D"/>
    <w:rsid w:val="005714D6"/>
    <w:rsid w:val="00571895"/>
    <w:rsid w:val="00571CCB"/>
    <w:rsid w:val="00572459"/>
    <w:rsid w:val="00573388"/>
    <w:rsid w:val="005737CB"/>
    <w:rsid w:val="00573E86"/>
    <w:rsid w:val="00574741"/>
    <w:rsid w:val="005749A3"/>
    <w:rsid w:val="00575236"/>
    <w:rsid w:val="0057550E"/>
    <w:rsid w:val="0057562D"/>
    <w:rsid w:val="00575786"/>
    <w:rsid w:val="0057581E"/>
    <w:rsid w:val="00575EFE"/>
    <w:rsid w:val="00576DD4"/>
    <w:rsid w:val="00576F6C"/>
    <w:rsid w:val="005771B2"/>
    <w:rsid w:val="00581E58"/>
    <w:rsid w:val="005820CD"/>
    <w:rsid w:val="00584E6B"/>
    <w:rsid w:val="0058584C"/>
    <w:rsid w:val="00585AD1"/>
    <w:rsid w:val="00586810"/>
    <w:rsid w:val="005872D9"/>
    <w:rsid w:val="005905DF"/>
    <w:rsid w:val="00590F19"/>
    <w:rsid w:val="0059178C"/>
    <w:rsid w:val="00591A8C"/>
    <w:rsid w:val="00591EC4"/>
    <w:rsid w:val="0059271D"/>
    <w:rsid w:val="00593183"/>
    <w:rsid w:val="00593E7E"/>
    <w:rsid w:val="00595255"/>
    <w:rsid w:val="00595504"/>
    <w:rsid w:val="00595753"/>
    <w:rsid w:val="0059661C"/>
    <w:rsid w:val="00597C21"/>
    <w:rsid w:val="00597D09"/>
    <w:rsid w:val="005A00AB"/>
    <w:rsid w:val="005A060F"/>
    <w:rsid w:val="005A0F76"/>
    <w:rsid w:val="005A1977"/>
    <w:rsid w:val="005A1B6E"/>
    <w:rsid w:val="005A2616"/>
    <w:rsid w:val="005A325D"/>
    <w:rsid w:val="005A354E"/>
    <w:rsid w:val="005A460B"/>
    <w:rsid w:val="005A49C9"/>
    <w:rsid w:val="005A4CA1"/>
    <w:rsid w:val="005A588B"/>
    <w:rsid w:val="005A68B3"/>
    <w:rsid w:val="005A77AA"/>
    <w:rsid w:val="005B1598"/>
    <w:rsid w:val="005B1AE5"/>
    <w:rsid w:val="005B1BD7"/>
    <w:rsid w:val="005B20E7"/>
    <w:rsid w:val="005B305C"/>
    <w:rsid w:val="005B3130"/>
    <w:rsid w:val="005B3EF5"/>
    <w:rsid w:val="005B44B5"/>
    <w:rsid w:val="005B48C7"/>
    <w:rsid w:val="005B6133"/>
    <w:rsid w:val="005B7492"/>
    <w:rsid w:val="005B755E"/>
    <w:rsid w:val="005C0909"/>
    <w:rsid w:val="005C14E3"/>
    <w:rsid w:val="005C152F"/>
    <w:rsid w:val="005C41DF"/>
    <w:rsid w:val="005C52D5"/>
    <w:rsid w:val="005C57A7"/>
    <w:rsid w:val="005C5A21"/>
    <w:rsid w:val="005C5E67"/>
    <w:rsid w:val="005C65E5"/>
    <w:rsid w:val="005C74DF"/>
    <w:rsid w:val="005C7A7E"/>
    <w:rsid w:val="005D028B"/>
    <w:rsid w:val="005D0693"/>
    <w:rsid w:val="005D0826"/>
    <w:rsid w:val="005D0DDF"/>
    <w:rsid w:val="005D10DF"/>
    <w:rsid w:val="005D1BDC"/>
    <w:rsid w:val="005D23CA"/>
    <w:rsid w:val="005D2478"/>
    <w:rsid w:val="005D2A84"/>
    <w:rsid w:val="005D2D12"/>
    <w:rsid w:val="005D2DCB"/>
    <w:rsid w:val="005D3CF5"/>
    <w:rsid w:val="005D3F4A"/>
    <w:rsid w:val="005D41D5"/>
    <w:rsid w:val="005D43C6"/>
    <w:rsid w:val="005D465D"/>
    <w:rsid w:val="005D4C78"/>
    <w:rsid w:val="005D6909"/>
    <w:rsid w:val="005D69F2"/>
    <w:rsid w:val="005D6B59"/>
    <w:rsid w:val="005D6CED"/>
    <w:rsid w:val="005D780B"/>
    <w:rsid w:val="005D7DD5"/>
    <w:rsid w:val="005E089C"/>
    <w:rsid w:val="005E24DA"/>
    <w:rsid w:val="005E2A3F"/>
    <w:rsid w:val="005E2CCC"/>
    <w:rsid w:val="005E33B3"/>
    <w:rsid w:val="005E3E01"/>
    <w:rsid w:val="005E4406"/>
    <w:rsid w:val="005E4730"/>
    <w:rsid w:val="005E47DA"/>
    <w:rsid w:val="005E6712"/>
    <w:rsid w:val="005E7591"/>
    <w:rsid w:val="005E7A2D"/>
    <w:rsid w:val="005E7A55"/>
    <w:rsid w:val="005F02A1"/>
    <w:rsid w:val="005F074B"/>
    <w:rsid w:val="005F0F16"/>
    <w:rsid w:val="005F1864"/>
    <w:rsid w:val="005F2150"/>
    <w:rsid w:val="005F229A"/>
    <w:rsid w:val="005F2671"/>
    <w:rsid w:val="005F2C31"/>
    <w:rsid w:val="005F3027"/>
    <w:rsid w:val="005F3625"/>
    <w:rsid w:val="005F3681"/>
    <w:rsid w:val="005F418E"/>
    <w:rsid w:val="005F4968"/>
    <w:rsid w:val="005F49ED"/>
    <w:rsid w:val="005F4C41"/>
    <w:rsid w:val="005F594A"/>
    <w:rsid w:val="005F5DBC"/>
    <w:rsid w:val="005F661F"/>
    <w:rsid w:val="005F6EAD"/>
    <w:rsid w:val="005F6ECE"/>
    <w:rsid w:val="005F7669"/>
    <w:rsid w:val="005F76F7"/>
    <w:rsid w:val="005F7D03"/>
    <w:rsid w:val="005F7FA9"/>
    <w:rsid w:val="006001DB"/>
    <w:rsid w:val="006008E8"/>
    <w:rsid w:val="00600D5B"/>
    <w:rsid w:val="00601509"/>
    <w:rsid w:val="00601C45"/>
    <w:rsid w:val="00601FAF"/>
    <w:rsid w:val="00602955"/>
    <w:rsid w:val="00602A61"/>
    <w:rsid w:val="00602B6E"/>
    <w:rsid w:val="006036BA"/>
    <w:rsid w:val="00606C51"/>
    <w:rsid w:val="00607C26"/>
    <w:rsid w:val="00610660"/>
    <w:rsid w:val="00610D1A"/>
    <w:rsid w:val="006112C3"/>
    <w:rsid w:val="00611407"/>
    <w:rsid w:val="0061161D"/>
    <w:rsid w:val="0061339C"/>
    <w:rsid w:val="0061392B"/>
    <w:rsid w:val="00613ABD"/>
    <w:rsid w:val="00614460"/>
    <w:rsid w:val="00615439"/>
    <w:rsid w:val="00615908"/>
    <w:rsid w:val="006164B6"/>
    <w:rsid w:val="00616D6D"/>
    <w:rsid w:val="00617019"/>
    <w:rsid w:val="00617099"/>
    <w:rsid w:val="0061724C"/>
    <w:rsid w:val="006177A6"/>
    <w:rsid w:val="006200AD"/>
    <w:rsid w:val="00620244"/>
    <w:rsid w:val="00620966"/>
    <w:rsid w:val="00621B9F"/>
    <w:rsid w:val="00621D95"/>
    <w:rsid w:val="00621DFC"/>
    <w:rsid w:val="00622292"/>
    <w:rsid w:val="0062272A"/>
    <w:rsid w:val="006235A4"/>
    <w:rsid w:val="0062363E"/>
    <w:rsid w:val="006243B4"/>
    <w:rsid w:val="00624F74"/>
    <w:rsid w:val="006251E1"/>
    <w:rsid w:val="0062593D"/>
    <w:rsid w:val="0062615A"/>
    <w:rsid w:val="00626CE5"/>
    <w:rsid w:val="0062733C"/>
    <w:rsid w:val="00627378"/>
    <w:rsid w:val="00627E8D"/>
    <w:rsid w:val="0063017D"/>
    <w:rsid w:val="006310F9"/>
    <w:rsid w:val="0063197F"/>
    <w:rsid w:val="006319D4"/>
    <w:rsid w:val="00631DEE"/>
    <w:rsid w:val="006335D5"/>
    <w:rsid w:val="00633A06"/>
    <w:rsid w:val="00633E89"/>
    <w:rsid w:val="006345D9"/>
    <w:rsid w:val="00635519"/>
    <w:rsid w:val="006360B7"/>
    <w:rsid w:val="006365E2"/>
    <w:rsid w:val="006367E3"/>
    <w:rsid w:val="00637269"/>
    <w:rsid w:val="00637C0B"/>
    <w:rsid w:val="00637E61"/>
    <w:rsid w:val="006408EC"/>
    <w:rsid w:val="006409FA"/>
    <w:rsid w:val="00640E96"/>
    <w:rsid w:val="00641B33"/>
    <w:rsid w:val="006425C7"/>
    <w:rsid w:val="00642CB2"/>
    <w:rsid w:val="0064313F"/>
    <w:rsid w:val="00644367"/>
    <w:rsid w:val="00644627"/>
    <w:rsid w:val="006447DE"/>
    <w:rsid w:val="0064483C"/>
    <w:rsid w:val="006448DE"/>
    <w:rsid w:val="0064553B"/>
    <w:rsid w:val="00647851"/>
    <w:rsid w:val="00647A7A"/>
    <w:rsid w:val="00647D84"/>
    <w:rsid w:val="00647DB9"/>
    <w:rsid w:val="0065085C"/>
    <w:rsid w:val="006509AC"/>
    <w:rsid w:val="00650F2B"/>
    <w:rsid w:val="006510E3"/>
    <w:rsid w:val="0065184A"/>
    <w:rsid w:val="00651A2E"/>
    <w:rsid w:val="00651D77"/>
    <w:rsid w:val="00652097"/>
    <w:rsid w:val="00652451"/>
    <w:rsid w:val="006524A8"/>
    <w:rsid w:val="006535BD"/>
    <w:rsid w:val="00654F25"/>
    <w:rsid w:val="00655884"/>
    <w:rsid w:val="00655AA6"/>
    <w:rsid w:val="00655E2F"/>
    <w:rsid w:val="006560AB"/>
    <w:rsid w:val="00656774"/>
    <w:rsid w:val="006571B1"/>
    <w:rsid w:val="006571CB"/>
    <w:rsid w:val="006578B9"/>
    <w:rsid w:val="006579EE"/>
    <w:rsid w:val="00661797"/>
    <w:rsid w:val="00661A71"/>
    <w:rsid w:val="00663A76"/>
    <w:rsid w:val="006640A2"/>
    <w:rsid w:val="00665411"/>
    <w:rsid w:val="00665561"/>
    <w:rsid w:val="0066569B"/>
    <w:rsid w:val="00665C01"/>
    <w:rsid w:val="00666091"/>
    <w:rsid w:val="00666F7E"/>
    <w:rsid w:val="00667074"/>
    <w:rsid w:val="0066780F"/>
    <w:rsid w:val="00670A8F"/>
    <w:rsid w:val="00670CAD"/>
    <w:rsid w:val="00670DAF"/>
    <w:rsid w:val="006716E8"/>
    <w:rsid w:val="00671D3A"/>
    <w:rsid w:val="00671E75"/>
    <w:rsid w:val="006723C5"/>
    <w:rsid w:val="00673EAF"/>
    <w:rsid w:val="00674AC5"/>
    <w:rsid w:val="00674D27"/>
    <w:rsid w:val="006764F1"/>
    <w:rsid w:val="006765E2"/>
    <w:rsid w:val="006765EC"/>
    <w:rsid w:val="00676AA7"/>
    <w:rsid w:val="006779F5"/>
    <w:rsid w:val="00677A8F"/>
    <w:rsid w:val="00677DE6"/>
    <w:rsid w:val="006804BF"/>
    <w:rsid w:val="00680DCA"/>
    <w:rsid w:val="00680E60"/>
    <w:rsid w:val="0068176B"/>
    <w:rsid w:val="00681AA7"/>
    <w:rsid w:val="006834A7"/>
    <w:rsid w:val="00684285"/>
    <w:rsid w:val="00684325"/>
    <w:rsid w:val="00684C03"/>
    <w:rsid w:val="00684D4A"/>
    <w:rsid w:val="0068548A"/>
    <w:rsid w:val="0068698A"/>
    <w:rsid w:val="00686BC3"/>
    <w:rsid w:val="00686C80"/>
    <w:rsid w:val="00687315"/>
    <w:rsid w:val="00687697"/>
    <w:rsid w:val="00687842"/>
    <w:rsid w:val="00687DE6"/>
    <w:rsid w:val="00687F13"/>
    <w:rsid w:val="006909E3"/>
    <w:rsid w:val="00690B80"/>
    <w:rsid w:val="006913F1"/>
    <w:rsid w:val="00692315"/>
    <w:rsid w:val="00692A1E"/>
    <w:rsid w:val="00692B8C"/>
    <w:rsid w:val="00692BB5"/>
    <w:rsid w:val="006935F9"/>
    <w:rsid w:val="00693AB0"/>
    <w:rsid w:val="00693C87"/>
    <w:rsid w:val="006942D5"/>
    <w:rsid w:val="00694A4F"/>
    <w:rsid w:val="00694AB2"/>
    <w:rsid w:val="006969F7"/>
    <w:rsid w:val="00697118"/>
    <w:rsid w:val="00697230"/>
    <w:rsid w:val="00697A35"/>
    <w:rsid w:val="006A0D67"/>
    <w:rsid w:val="006A0F08"/>
    <w:rsid w:val="006A1290"/>
    <w:rsid w:val="006A13F8"/>
    <w:rsid w:val="006A1728"/>
    <w:rsid w:val="006A17FB"/>
    <w:rsid w:val="006A1A14"/>
    <w:rsid w:val="006A1BC2"/>
    <w:rsid w:val="006A1D32"/>
    <w:rsid w:val="006A23AB"/>
    <w:rsid w:val="006A2423"/>
    <w:rsid w:val="006A3FCF"/>
    <w:rsid w:val="006A4651"/>
    <w:rsid w:val="006A564D"/>
    <w:rsid w:val="006A5BE3"/>
    <w:rsid w:val="006A5E5A"/>
    <w:rsid w:val="006A6CB5"/>
    <w:rsid w:val="006A7B32"/>
    <w:rsid w:val="006A7B6C"/>
    <w:rsid w:val="006A7D4A"/>
    <w:rsid w:val="006B0705"/>
    <w:rsid w:val="006B0C76"/>
    <w:rsid w:val="006B176F"/>
    <w:rsid w:val="006B1ACD"/>
    <w:rsid w:val="006B2D96"/>
    <w:rsid w:val="006B395F"/>
    <w:rsid w:val="006B3BF6"/>
    <w:rsid w:val="006B4BB6"/>
    <w:rsid w:val="006B4D31"/>
    <w:rsid w:val="006B57B1"/>
    <w:rsid w:val="006B60F0"/>
    <w:rsid w:val="006B6305"/>
    <w:rsid w:val="006B6603"/>
    <w:rsid w:val="006B6BAB"/>
    <w:rsid w:val="006B6FF0"/>
    <w:rsid w:val="006B7075"/>
    <w:rsid w:val="006B74CB"/>
    <w:rsid w:val="006B79D0"/>
    <w:rsid w:val="006B79D7"/>
    <w:rsid w:val="006C0435"/>
    <w:rsid w:val="006C04D6"/>
    <w:rsid w:val="006C0F13"/>
    <w:rsid w:val="006C1282"/>
    <w:rsid w:val="006C191B"/>
    <w:rsid w:val="006C19E6"/>
    <w:rsid w:val="006C1FA5"/>
    <w:rsid w:val="006C2594"/>
    <w:rsid w:val="006C2D6D"/>
    <w:rsid w:val="006C391B"/>
    <w:rsid w:val="006C3A7C"/>
    <w:rsid w:val="006C5D68"/>
    <w:rsid w:val="006C60C1"/>
    <w:rsid w:val="006C63EF"/>
    <w:rsid w:val="006C6CA8"/>
    <w:rsid w:val="006C6F50"/>
    <w:rsid w:val="006C7A82"/>
    <w:rsid w:val="006D0901"/>
    <w:rsid w:val="006D0AA5"/>
    <w:rsid w:val="006D0AE6"/>
    <w:rsid w:val="006D14D7"/>
    <w:rsid w:val="006D20AA"/>
    <w:rsid w:val="006D21B3"/>
    <w:rsid w:val="006D2425"/>
    <w:rsid w:val="006D26ED"/>
    <w:rsid w:val="006D2BAD"/>
    <w:rsid w:val="006D4489"/>
    <w:rsid w:val="006D464C"/>
    <w:rsid w:val="006D4B0E"/>
    <w:rsid w:val="006D563A"/>
    <w:rsid w:val="006D5799"/>
    <w:rsid w:val="006D5CD2"/>
    <w:rsid w:val="006D61FD"/>
    <w:rsid w:val="006D6C0A"/>
    <w:rsid w:val="006D6ECB"/>
    <w:rsid w:val="006D76E5"/>
    <w:rsid w:val="006D76E6"/>
    <w:rsid w:val="006D7E65"/>
    <w:rsid w:val="006E0B35"/>
    <w:rsid w:val="006E0EF5"/>
    <w:rsid w:val="006E1234"/>
    <w:rsid w:val="006E1DED"/>
    <w:rsid w:val="006E200E"/>
    <w:rsid w:val="006E290D"/>
    <w:rsid w:val="006E2E59"/>
    <w:rsid w:val="006E4323"/>
    <w:rsid w:val="006E4D89"/>
    <w:rsid w:val="006E5896"/>
    <w:rsid w:val="006E5F80"/>
    <w:rsid w:val="006E6213"/>
    <w:rsid w:val="006E6366"/>
    <w:rsid w:val="006E6878"/>
    <w:rsid w:val="006E6C74"/>
    <w:rsid w:val="006E6CDF"/>
    <w:rsid w:val="006E6EB2"/>
    <w:rsid w:val="006E75FB"/>
    <w:rsid w:val="006E7E81"/>
    <w:rsid w:val="006F1180"/>
    <w:rsid w:val="006F460A"/>
    <w:rsid w:val="006F4C90"/>
    <w:rsid w:val="006F58DA"/>
    <w:rsid w:val="006F5A3D"/>
    <w:rsid w:val="006F721C"/>
    <w:rsid w:val="006F744F"/>
    <w:rsid w:val="006F7A87"/>
    <w:rsid w:val="00700153"/>
    <w:rsid w:val="00701072"/>
    <w:rsid w:val="00701145"/>
    <w:rsid w:val="00701D6D"/>
    <w:rsid w:val="00702ACF"/>
    <w:rsid w:val="00703760"/>
    <w:rsid w:val="0070408B"/>
    <w:rsid w:val="00705076"/>
    <w:rsid w:val="007066F9"/>
    <w:rsid w:val="00706EF8"/>
    <w:rsid w:val="00706FDE"/>
    <w:rsid w:val="00707387"/>
    <w:rsid w:val="007077EF"/>
    <w:rsid w:val="0071045A"/>
    <w:rsid w:val="00710A1E"/>
    <w:rsid w:val="007113CF"/>
    <w:rsid w:val="00711475"/>
    <w:rsid w:val="0071160C"/>
    <w:rsid w:val="00711E40"/>
    <w:rsid w:val="007121FA"/>
    <w:rsid w:val="00712606"/>
    <w:rsid w:val="00712BBC"/>
    <w:rsid w:val="007133D3"/>
    <w:rsid w:val="00713782"/>
    <w:rsid w:val="00714D0B"/>
    <w:rsid w:val="00714D1D"/>
    <w:rsid w:val="00714DA8"/>
    <w:rsid w:val="007153FF"/>
    <w:rsid w:val="00715562"/>
    <w:rsid w:val="0071569D"/>
    <w:rsid w:val="007164EA"/>
    <w:rsid w:val="00716992"/>
    <w:rsid w:val="00717390"/>
    <w:rsid w:val="0071767B"/>
    <w:rsid w:val="00717905"/>
    <w:rsid w:val="00717FBB"/>
    <w:rsid w:val="007209B2"/>
    <w:rsid w:val="00720D6A"/>
    <w:rsid w:val="00720EB9"/>
    <w:rsid w:val="007211A8"/>
    <w:rsid w:val="00721FC3"/>
    <w:rsid w:val="007231B1"/>
    <w:rsid w:val="007239E5"/>
    <w:rsid w:val="0072475F"/>
    <w:rsid w:val="007258F4"/>
    <w:rsid w:val="00726D02"/>
    <w:rsid w:val="0072714E"/>
    <w:rsid w:val="007272EF"/>
    <w:rsid w:val="00730341"/>
    <w:rsid w:val="0073051A"/>
    <w:rsid w:val="00731001"/>
    <w:rsid w:val="00731800"/>
    <w:rsid w:val="00732603"/>
    <w:rsid w:val="0073298C"/>
    <w:rsid w:val="00734E2C"/>
    <w:rsid w:val="00735C27"/>
    <w:rsid w:val="00735CE4"/>
    <w:rsid w:val="00736033"/>
    <w:rsid w:val="00736078"/>
    <w:rsid w:val="00737DCC"/>
    <w:rsid w:val="0074044F"/>
    <w:rsid w:val="0074080D"/>
    <w:rsid w:val="00740C16"/>
    <w:rsid w:val="00740C42"/>
    <w:rsid w:val="00740EC1"/>
    <w:rsid w:val="007414AB"/>
    <w:rsid w:val="007420A6"/>
    <w:rsid w:val="00742CD6"/>
    <w:rsid w:val="007431E8"/>
    <w:rsid w:val="0074334F"/>
    <w:rsid w:val="007434AD"/>
    <w:rsid w:val="00743D67"/>
    <w:rsid w:val="00743DE2"/>
    <w:rsid w:val="007445B4"/>
    <w:rsid w:val="00744D3E"/>
    <w:rsid w:val="00745206"/>
    <w:rsid w:val="0074666D"/>
    <w:rsid w:val="007467A6"/>
    <w:rsid w:val="0074706E"/>
    <w:rsid w:val="00747C75"/>
    <w:rsid w:val="00747E26"/>
    <w:rsid w:val="0075010C"/>
    <w:rsid w:val="00750FA7"/>
    <w:rsid w:val="00751200"/>
    <w:rsid w:val="00751C00"/>
    <w:rsid w:val="007527B0"/>
    <w:rsid w:val="00752BDE"/>
    <w:rsid w:val="007531A6"/>
    <w:rsid w:val="007536CF"/>
    <w:rsid w:val="00754E2D"/>
    <w:rsid w:val="00755695"/>
    <w:rsid w:val="00756101"/>
    <w:rsid w:val="00756410"/>
    <w:rsid w:val="0075709D"/>
    <w:rsid w:val="007575EC"/>
    <w:rsid w:val="007579EA"/>
    <w:rsid w:val="007579F4"/>
    <w:rsid w:val="00757D90"/>
    <w:rsid w:val="00757E15"/>
    <w:rsid w:val="00760121"/>
    <w:rsid w:val="007602E2"/>
    <w:rsid w:val="00760EED"/>
    <w:rsid w:val="00761866"/>
    <w:rsid w:val="00761EE9"/>
    <w:rsid w:val="007623C0"/>
    <w:rsid w:val="00762BD1"/>
    <w:rsid w:val="00763A35"/>
    <w:rsid w:val="00763AD6"/>
    <w:rsid w:val="007649B3"/>
    <w:rsid w:val="00765117"/>
    <w:rsid w:val="007653FF"/>
    <w:rsid w:val="0076555F"/>
    <w:rsid w:val="0076563B"/>
    <w:rsid w:val="0076588E"/>
    <w:rsid w:val="0076638A"/>
    <w:rsid w:val="00766C63"/>
    <w:rsid w:val="00766ED8"/>
    <w:rsid w:val="00766F65"/>
    <w:rsid w:val="0076743E"/>
    <w:rsid w:val="0077005E"/>
    <w:rsid w:val="00770244"/>
    <w:rsid w:val="00770F77"/>
    <w:rsid w:val="00770FA3"/>
    <w:rsid w:val="0077104B"/>
    <w:rsid w:val="00771728"/>
    <w:rsid w:val="0077198B"/>
    <w:rsid w:val="00771BD0"/>
    <w:rsid w:val="00771CD6"/>
    <w:rsid w:val="00772495"/>
    <w:rsid w:val="007731FE"/>
    <w:rsid w:val="007732BA"/>
    <w:rsid w:val="007734B2"/>
    <w:rsid w:val="0077377D"/>
    <w:rsid w:val="00773863"/>
    <w:rsid w:val="00773A8A"/>
    <w:rsid w:val="00773BAA"/>
    <w:rsid w:val="00775292"/>
    <w:rsid w:val="00775311"/>
    <w:rsid w:val="0077596B"/>
    <w:rsid w:val="00775BD6"/>
    <w:rsid w:val="00776423"/>
    <w:rsid w:val="007770BF"/>
    <w:rsid w:val="007778CD"/>
    <w:rsid w:val="007802E1"/>
    <w:rsid w:val="00780B01"/>
    <w:rsid w:val="0078138E"/>
    <w:rsid w:val="007817AE"/>
    <w:rsid w:val="00781E90"/>
    <w:rsid w:val="00782112"/>
    <w:rsid w:val="0078242D"/>
    <w:rsid w:val="00782C9A"/>
    <w:rsid w:val="00782EE6"/>
    <w:rsid w:val="0078400D"/>
    <w:rsid w:val="00784FC8"/>
    <w:rsid w:val="0078635C"/>
    <w:rsid w:val="0078649A"/>
    <w:rsid w:val="00786F13"/>
    <w:rsid w:val="00791265"/>
    <w:rsid w:val="00791F83"/>
    <w:rsid w:val="0079210C"/>
    <w:rsid w:val="00792297"/>
    <w:rsid w:val="00792514"/>
    <w:rsid w:val="00792D70"/>
    <w:rsid w:val="00792F01"/>
    <w:rsid w:val="007936B7"/>
    <w:rsid w:val="007936E0"/>
    <w:rsid w:val="0079385F"/>
    <w:rsid w:val="00794FCA"/>
    <w:rsid w:val="007953CB"/>
    <w:rsid w:val="00795AEF"/>
    <w:rsid w:val="007960EE"/>
    <w:rsid w:val="00796697"/>
    <w:rsid w:val="00796B36"/>
    <w:rsid w:val="00796E59"/>
    <w:rsid w:val="007970C0"/>
    <w:rsid w:val="007975AD"/>
    <w:rsid w:val="00797878"/>
    <w:rsid w:val="007A038A"/>
    <w:rsid w:val="007A0662"/>
    <w:rsid w:val="007A0963"/>
    <w:rsid w:val="007A1AA4"/>
    <w:rsid w:val="007A2485"/>
    <w:rsid w:val="007A300B"/>
    <w:rsid w:val="007A351A"/>
    <w:rsid w:val="007A4620"/>
    <w:rsid w:val="007A474E"/>
    <w:rsid w:val="007A49A1"/>
    <w:rsid w:val="007A50B3"/>
    <w:rsid w:val="007A54C2"/>
    <w:rsid w:val="007A55C2"/>
    <w:rsid w:val="007A57B2"/>
    <w:rsid w:val="007A5918"/>
    <w:rsid w:val="007A5CBF"/>
    <w:rsid w:val="007A617B"/>
    <w:rsid w:val="007A6432"/>
    <w:rsid w:val="007A67DD"/>
    <w:rsid w:val="007A6C7C"/>
    <w:rsid w:val="007A7D37"/>
    <w:rsid w:val="007A7DA2"/>
    <w:rsid w:val="007B01F4"/>
    <w:rsid w:val="007B037B"/>
    <w:rsid w:val="007B037D"/>
    <w:rsid w:val="007B07D6"/>
    <w:rsid w:val="007B1B06"/>
    <w:rsid w:val="007B1BE3"/>
    <w:rsid w:val="007B1C9A"/>
    <w:rsid w:val="007B2E89"/>
    <w:rsid w:val="007B3229"/>
    <w:rsid w:val="007B3BEC"/>
    <w:rsid w:val="007B45A6"/>
    <w:rsid w:val="007B5202"/>
    <w:rsid w:val="007B5709"/>
    <w:rsid w:val="007B5E1E"/>
    <w:rsid w:val="007B61F6"/>
    <w:rsid w:val="007B6D2C"/>
    <w:rsid w:val="007B73ED"/>
    <w:rsid w:val="007B7683"/>
    <w:rsid w:val="007B7AA0"/>
    <w:rsid w:val="007BAD42"/>
    <w:rsid w:val="007C0728"/>
    <w:rsid w:val="007C0DB0"/>
    <w:rsid w:val="007C15AA"/>
    <w:rsid w:val="007C3187"/>
    <w:rsid w:val="007C352B"/>
    <w:rsid w:val="007C405F"/>
    <w:rsid w:val="007C459A"/>
    <w:rsid w:val="007C592B"/>
    <w:rsid w:val="007C59B4"/>
    <w:rsid w:val="007C6181"/>
    <w:rsid w:val="007C6618"/>
    <w:rsid w:val="007C6B16"/>
    <w:rsid w:val="007C6C48"/>
    <w:rsid w:val="007C6D58"/>
    <w:rsid w:val="007C6E5C"/>
    <w:rsid w:val="007C7560"/>
    <w:rsid w:val="007C7BB4"/>
    <w:rsid w:val="007C7BEA"/>
    <w:rsid w:val="007D07DE"/>
    <w:rsid w:val="007D10F5"/>
    <w:rsid w:val="007D1A02"/>
    <w:rsid w:val="007D200A"/>
    <w:rsid w:val="007D2DFB"/>
    <w:rsid w:val="007D2E13"/>
    <w:rsid w:val="007D2F95"/>
    <w:rsid w:val="007D36A8"/>
    <w:rsid w:val="007D3F45"/>
    <w:rsid w:val="007D4385"/>
    <w:rsid w:val="007D44F4"/>
    <w:rsid w:val="007D4BFA"/>
    <w:rsid w:val="007D5FE2"/>
    <w:rsid w:val="007D6BCD"/>
    <w:rsid w:val="007D6E90"/>
    <w:rsid w:val="007D786F"/>
    <w:rsid w:val="007D7F9F"/>
    <w:rsid w:val="007E0138"/>
    <w:rsid w:val="007E0B40"/>
    <w:rsid w:val="007E0CED"/>
    <w:rsid w:val="007E1DD3"/>
    <w:rsid w:val="007E213F"/>
    <w:rsid w:val="007E3FDD"/>
    <w:rsid w:val="007E411F"/>
    <w:rsid w:val="007E47F5"/>
    <w:rsid w:val="007E6965"/>
    <w:rsid w:val="007E6A65"/>
    <w:rsid w:val="007E75FF"/>
    <w:rsid w:val="007E7DEC"/>
    <w:rsid w:val="007F1A6B"/>
    <w:rsid w:val="007F1DA5"/>
    <w:rsid w:val="007F35D0"/>
    <w:rsid w:val="007F383E"/>
    <w:rsid w:val="007F3D49"/>
    <w:rsid w:val="007F3E59"/>
    <w:rsid w:val="007F4056"/>
    <w:rsid w:val="007F4CDA"/>
    <w:rsid w:val="007F60C5"/>
    <w:rsid w:val="007F673A"/>
    <w:rsid w:val="007F695A"/>
    <w:rsid w:val="007F6992"/>
    <w:rsid w:val="008002E1"/>
    <w:rsid w:val="00801492"/>
    <w:rsid w:val="00801D43"/>
    <w:rsid w:val="00801D9E"/>
    <w:rsid w:val="008021E5"/>
    <w:rsid w:val="008022CF"/>
    <w:rsid w:val="00803336"/>
    <w:rsid w:val="0080435B"/>
    <w:rsid w:val="00805407"/>
    <w:rsid w:val="00805FF3"/>
    <w:rsid w:val="008061C0"/>
    <w:rsid w:val="008064E9"/>
    <w:rsid w:val="00806602"/>
    <w:rsid w:val="008075D0"/>
    <w:rsid w:val="00807937"/>
    <w:rsid w:val="00810537"/>
    <w:rsid w:val="00811923"/>
    <w:rsid w:val="00811F28"/>
    <w:rsid w:val="008121FD"/>
    <w:rsid w:val="008123A8"/>
    <w:rsid w:val="00812AFB"/>
    <w:rsid w:val="0081520E"/>
    <w:rsid w:val="008155ED"/>
    <w:rsid w:val="00815F07"/>
    <w:rsid w:val="00816546"/>
    <w:rsid w:val="00816FD0"/>
    <w:rsid w:val="00817610"/>
    <w:rsid w:val="00817B66"/>
    <w:rsid w:val="00817BEA"/>
    <w:rsid w:val="00817F60"/>
    <w:rsid w:val="008202BF"/>
    <w:rsid w:val="008206F2"/>
    <w:rsid w:val="0082161A"/>
    <w:rsid w:val="00821ED4"/>
    <w:rsid w:val="00824124"/>
    <w:rsid w:val="008243C1"/>
    <w:rsid w:val="008249F5"/>
    <w:rsid w:val="00824DAB"/>
    <w:rsid w:val="008255EC"/>
    <w:rsid w:val="0082597B"/>
    <w:rsid w:val="0082703A"/>
    <w:rsid w:val="00827296"/>
    <w:rsid w:val="0082757A"/>
    <w:rsid w:val="0082782F"/>
    <w:rsid w:val="00827E39"/>
    <w:rsid w:val="00830642"/>
    <w:rsid w:val="008306F4"/>
    <w:rsid w:val="00830BCC"/>
    <w:rsid w:val="00830C0C"/>
    <w:rsid w:val="008313CA"/>
    <w:rsid w:val="00831BD3"/>
    <w:rsid w:val="00834E9F"/>
    <w:rsid w:val="00835811"/>
    <w:rsid w:val="00835FEC"/>
    <w:rsid w:val="008364AD"/>
    <w:rsid w:val="008364EE"/>
    <w:rsid w:val="00836649"/>
    <w:rsid w:val="008370C5"/>
    <w:rsid w:val="00837B06"/>
    <w:rsid w:val="008403DF"/>
    <w:rsid w:val="0084063F"/>
    <w:rsid w:val="00840EB4"/>
    <w:rsid w:val="008417EF"/>
    <w:rsid w:val="00842649"/>
    <w:rsid w:val="00842C30"/>
    <w:rsid w:val="008432B1"/>
    <w:rsid w:val="00843A04"/>
    <w:rsid w:val="00843A63"/>
    <w:rsid w:val="00843ED0"/>
    <w:rsid w:val="00843FC2"/>
    <w:rsid w:val="0084449A"/>
    <w:rsid w:val="008447A3"/>
    <w:rsid w:val="00845014"/>
    <w:rsid w:val="008450A4"/>
    <w:rsid w:val="0084557F"/>
    <w:rsid w:val="00845C82"/>
    <w:rsid w:val="00846FB7"/>
    <w:rsid w:val="00847782"/>
    <w:rsid w:val="00847DD5"/>
    <w:rsid w:val="0085021C"/>
    <w:rsid w:val="0085037A"/>
    <w:rsid w:val="008504B8"/>
    <w:rsid w:val="00852525"/>
    <w:rsid w:val="0085351B"/>
    <w:rsid w:val="008540EC"/>
    <w:rsid w:val="00854AB9"/>
    <w:rsid w:val="00854D08"/>
    <w:rsid w:val="00855897"/>
    <w:rsid w:val="00856E47"/>
    <w:rsid w:val="0085751A"/>
    <w:rsid w:val="0086023F"/>
    <w:rsid w:val="00860F76"/>
    <w:rsid w:val="00861481"/>
    <w:rsid w:val="00861907"/>
    <w:rsid w:val="008627AD"/>
    <w:rsid w:val="00863D5F"/>
    <w:rsid w:val="00863E46"/>
    <w:rsid w:val="00865011"/>
    <w:rsid w:val="0086525B"/>
    <w:rsid w:val="00865C15"/>
    <w:rsid w:val="00865C6E"/>
    <w:rsid w:val="00865F0A"/>
    <w:rsid w:val="00867FC5"/>
    <w:rsid w:val="008713E0"/>
    <w:rsid w:val="00871410"/>
    <w:rsid w:val="008722FB"/>
    <w:rsid w:val="008726D1"/>
    <w:rsid w:val="00873025"/>
    <w:rsid w:val="0087387A"/>
    <w:rsid w:val="008743C9"/>
    <w:rsid w:val="0087489F"/>
    <w:rsid w:val="008756A1"/>
    <w:rsid w:val="00876052"/>
    <w:rsid w:val="00876281"/>
    <w:rsid w:val="008762A9"/>
    <w:rsid w:val="0087631F"/>
    <w:rsid w:val="00876B97"/>
    <w:rsid w:val="00876EB0"/>
    <w:rsid w:val="00877BAC"/>
    <w:rsid w:val="00877BC8"/>
    <w:rsid w:val="00877E0C"/>
    <w:rsid w:val="00877F48"/>
    <w:rsid w:val="008806D7"/>
    <w:rsid w:val="00880703"/>
    <w:rsid w:val="008807A7"/>
    <w:rsid w:val="00880F34"/>
    <w:rsid w:val="00882040"/>
    <w:rsid w:val="00882620"/>
    <w:rsid w:val="00882B18"/>
    <w:rsid w:val="00882C06"/>
    <w:rsid w:val="00882E40"/>
    <w:rsid w:val="00882EB7"/>
    <w:rsid w:val="008844FE"/>
    <w:rsid w:val="00884987"/>
    <w:rsid w:val="008852C0"/>
    <w:rsid w:val="00886065"/>
    <w:rsid w:val="00886339"/>
    <w:rsid w:val="00886725"/>
    <w:rsid w:val="00887DC9"/>
    <w:rsid w:val="00890849"/>
    <w:rsid w:val="00890A25"/>
    <w:rsid w:val="00890A92"/>
    <w:rsid w:val="00890FD7"/>
    <w:rsid w:val="00891A5A"/>
    <w:rsid w:val="00892228"/>
    <w:rsid w:val="00892340"/>
    <w:rsid w:val="00894345"/>
    <w:rsid w:val="008949B1"/>
    <w:rsid w:val="00894DDD"/>
    <w:rsid w:val="008956E6"/>
    <w:rsid w:val="00897111"/>
    <w:rsid w:val="008979D9"/>
    <w:rsid w:val="008A15CE"/>
    <w:rsid w:val="008A1801"/>
    <w:rsid w:val="008A2B3D"/>
    <w:rsid w:val="008A38BD"/>
    <w:rsid w:val="008A398C"/>
    <w:rsid w:val="008A44BB"/>
    <w:rsid w:val="008A4553"/>
    <w:rsid w:val="008A4D46"/>
    <w:rsid w:val="008A4D5B"/>
    <w:rsid w:val="008A525E"/>
    <w:rsid w:val="008A64C6"/>
    <w:rsid w:val="008A6E02"/>
    <w:rsid w:val="008A6F6C"/>
    <w:rsid w:val="008A728D"/>
    <w:rsid w:val="008A733F"/>
    <w:rsid w:val="008A7847"/>
    <w:rsid w:val="008A78FA"/>
    <w:rsid w:val="008A7F5B"/>
    <w:rsid w:val="008B0395"/>
    <w:rsid w:val="008B1605"/>
    <w:rsid w:val="008B16D0"/>
    <w:rsid w:val="008B29EA"/>
    <w:rsid w:val="008B2FE0"/>
    <w:rsid w:val="008B314A"/>
    <w:rsid w:val="008B333B"/>
    <w:rsid w:val="008B529A"/>
    <w:rsid w:val="008B55E3"/>
    <w:rsid w:val="008B5605"/>
    <w:rsid w:val="008B5B8E"/>
    <w:rsid w:val="008B5E6B"/>
    <w:rsid w:val="008B64F7"/>
    <w:rsid w:val="008B6575"/>
    <w:rsid w:val="008B6801"/>
    <w:rsid w:val="008C03A4"/>
    <w:rsid w:val="008C0B21"/>
    <w:rsid w:val="008C2357"/>
    <w:rsid w:val="008C354E"/>
    <w:rsid w:val="008C36D9"/>
    <w:rsid w:val="008C36F9"/>
    <w:rsid w:val="008C3C86"/>
    <w:rsid w:val="008C4516"/>
    <w:rsid w:val="008C4953"/>
    <w:rsid w:val="008C59A2"/>
    <w:rsid w:val="008C73B7"/>
    <w:rsid w:val="008D0692"/>
    <w:rsid w:val="008D1275"/>
    <w:rsid w:val="008D157D"/>
    <w:rsid w:val="008D1BAD"/>
    <w:rsid w:val="008D2B74"/>
    <w:rsid w:val="008D3AD7"/>
    <w:rsid w:val="008D3C5B"/>
    <w:rsid w:val="008D446C"/>
    <w:rsid w:val="008D650C"/>
    <w:rsid w:val="008D714F"/>
    <w:rsid w:val="008D7291"/>
    <w:rsid w:val="008D757D"/>
    <w:rsid w:val="008D7700"/>
    <w:rsid w:val="008D7832"/>
    <w:rsid w:val="008D7FCA"/>
    <w:rsid w:val="008E00F6"/>
    <w:rsid w:val="008E04D7"/>
    <w:rsid w:val="008E180F"/>
    <w:rsid w:val="008E2319"/>
    <w:rsid w:val="008E27A4"/>
    <w:rsid w:val="008E3380"/>
    <w:rsid w:val="008E34A1"/>
    <w:rsid w:val="008E4692"/>
    <w:rsid w:val="008E4798"/>
    <w:rsid w:val="008E516C"/>
    <w:rsid w:val="008E52B5"/>
    <w:rsid w:val="008E57FA"/>
    <w:rsid w:val="008E597E"/>
    <w:rsid w:val="008E5AD7"/>
    <w:rsid w:val="008E5FED"/>
    <w:rsid w:val="008E6B4D"/>
    <w:rsid w:val="008E7257"/>
    <w:rsid w:val="008E765A"/>
    <w:rsid w:val="008E786A"/>
    <w:rsid w:val="008F0176"/>
    <w:rsid w:val="008F0267"/>
    <w:rsid w:val="008F036B"/>
    <w:rsid w:val="008F13C4"/>
    <w:rsid w:val="008F203D"/>
    <w:rsid w:val="008F267E"/>
    <w:rsid w:val="008F2A21"/>
    <w:rsid w:val="008F2DB2"/>
    <w:rsid w:val="008F3D52"/>
    <w:rsid w:val="008F4169"/>
    <w:rsid w:val="008F43B2"/>
    <w:rsid w:val="008F4BB9"/>
    <w:rsid w:val="008F50F1"/>
    <w:rsid w:val="008F51F0"/>
    <w:rsid w:val="008F5925"/>
    <w:rsid w:val="008F637A"/>
    <w:rsid w:val="008F713B"/>
    <w:rsid w:val="008F752E"/>
    <w:rsid w:val="008F757D"/>
    <w:rsid w:val="009009BC"/>
    <w:rsid w:val="009009DE"/>
    <w:rsid w:val="00900F4D"/>
    <w:rsid w:val="00902382"/>
    <w:rsid w:val="00903BED"/>
    <w:rsid w:val="00905022"/>
    <w:rsid w:val="00905D8F"/>
    <w:rsid w:val="00906222"/>
    <w:rsid w:val="009075C6"/>
    <w:rsid w:val="00907618"/>
    <w:rsid w:val="00907C9D"/>
    <w:rsid w:val="00907F37"/>
    <w:rsid w:val="0091094C"/>
    <w:rsid w:val="00910A7D"/>
    <w:rsid w:val="00911A42"/>
    <w:rsid w:val="00911F60"/>
    <w:rsid w:val="00912272"/>
    <w:rsid w:val="00912390"/>
    <w:rsid w:val="00912565"/>
    <w:rsid w:val="00913328"/>
    <w:rsid w:val="009134DF"/>
    <w:rsid w:val="0091356F"/>
    <w:rsid w:val="0091388E"/>
    <w:rsid w:val="00913EEE"/>
    <w:rsid w:val="009151AC"/>
    <w:rsid w:val="00915222"/>
    <w:rsid w:val="0091534E"/>
    <w:rsid w:val="009163BE"/>
    <w:rsid w:val="009168C7"/>
    <w:rsid w:val="00917A7A"/>
    <w:rsid w:val="00917FB1"/>
    <w:rsid w:val="00920E17"/>
    <w:rsid w:val="00920ED7"/>
    <w:rsid w:val="00921720"/>
    <w:rsid w:val="00921EAA"/>
    <w:rsid w:val="009227AF"/>
    <w:rsid w:val="0092374E"/>
    <w:rsid w:val="009239E9"/>
    <w:rsid w:val="00926543"/>
    <w:rsid w:val="0092726A"/>
    <w:rsid w:val="00930068"/>
    <w:rsid w:val="009305EB"/>
    <w:rsid w:val="009307BD"/>
    <w:rsid w:val="009308D5"/>
    <w:rsid w:val="00930CCC"/>
    <w:rsid w:val="0093117A"/>
    <w:rsid w:val="009315D4"/>
    <w:rsid w:val="0093168E"/>
    <w:rsid w:val="00931CE6"/>
    <w:rsid w:val="0093387A"/>
    <w:rsid w:val="009349C1"/>
    <w:rsid w:val="00937367"/>
    <w:rsid w:val="00937535"/>
    <w:rsid w:val="00937D59"/>
    <w:rsid w:val="00937F01"/>
    <w:rsid w:val="00940131"/>
    <w:rsid w:val="009408A7"/>
    <w:rsid w:val="009408BA"/>
    <w:rsid w:val="009410ED"/>
    <w:rsid w:val="009413E3"/>
    <w:rsid w:val="0094148E"/>
    <w:rsid w:val="0094231E"/>
    <w:rsid w:val="00942CD1"/>
    <w:rsid w:val="00942DA4"/>
    <w:rsid w:val="00944387"/>
    <w:rsid w:val="009443DE"/>
    <w:rsid w:val="00944D11"/>
    <w:rsid w:val="009458F4"/>
    <w:rsid w:val="009465C3"/>
    <w:rsid w:val="00946812"/>
    <w:rsid w:val="00947222"/>
    <w:rsid w:val="009479AE"/>
    <w:rsid w:val="00947CA2"/>
    <w:rsid w:val="009512A0"/>
    <w:rsid w:val="009529C1"/>
    <w:rsid w:val="00952CEB"/>
    <w:rsid w:val="00953D70"/>
    <w:rsid w:val="00954852"/>
    <w:rsid w:val="009552F5"/>
    <w:rsid w:val="009565C2"/>
    <w:rsid w:val="00956FAD"/>
    <w:rsid w:val="009613F3"/>
    <w:rsid w:val="0096168D"/>
    <w:rsid w:val="00961A82"/>
    <w:rsid w:val="00962F7A"/>
    <w:rsid w:val="00963907"/>
    <w:rsid w:val="00964090"/>
    <w:rsid w:val="00964F07"/>
    <w:rsid w:val="00964FC0"/>
    <w:rsid w:val="009657B6"/>
    <w:rsid w:val="0096584D"/>
    <w:rsid w:val="00965E30"/>
    <w:rsid w:val="00966B46"/>
    <w:rsid w:val="00966C3D"/>
    <w:rsid w:val="0096709D"/>
    <w:rsid w:val="009670EC"/>
    <w:rsid w:val="00967627"/>
    <w:rsid w:val="00967763"/>
    <w:rsid w:val="0097000C"/>
    <w:rsid w:val="009715E6"/>
    <w:rsid w:val="00971F7D"/>
    <w:rsid w:val="00972114"/>
    <w:rsid w:val="0097216D"/>
    <w:rsid w:val="009735A4"/>
    <w:rsid w:val="00974211"/>
    <w:rsid w:val="009744B1"/>
    <w:rsid w:val="00974B20"/>
    <w:rsid w:val="00975FC6"/>
    <w:rsid w:val="00976815"/>
    <w:rsid w:val="00976AA9"/>
    <w:rsid w:val="00976BD9"/>
    <w:rsid w:val="00976C53"/>
    <w:rsid w:val="00976FBD"/>
    <w:rsid w:val="00977A22"/>
    <w:rsid w:val="0098127E"/>
    <w:rsid w:val="0098149C"/>
    <w:rsid w:val="0098249A"/>
    <w:rsid w:val="00982B97"/>
    <w:rsid w:val="00983800"/>
    <w:rsid w:val="00984A11"/>
    <w:rsid w:val="00984EC0"/>
    <w:rsid w:val="00986832"/>
    <w:rsid w:val="00986E08"/>
    <w:rsid w:val="009872F9"/>
    <w:rsid w:val="00987C43"/>
    <w:rsid w:val="00990067"/>
    <w:rsid w:val="009900D0"/>
    <w:rsid w:val="009903E3"/>
    <w:rsid w:val="009910BF"/>
    <w:rsid w:val="00991C69"/>
    <w:rsid w:val="00992142"/>
    <w:rsid w:val="00992567"/>
    <w:rsid w:val="00993027"/>
    <w:rsid w:val="009938DD"/>
    <w:rsid w:val="00993AEE"/>
    <w:rsid w:val="00993BAC"/>
    <w:rsid w:val="00993FD9"/>
    <w:rsid w:val="009946B9"/>
    <w:rsid w:val="00994CFD"/>
    <w:rsid w:val="00995C94"/>
    <w:rsid w:val="009972E0"/>
    <w:rsid w:val="00997753"/>
    <w:rsid w:val="009978BB"/>
    <w:rsid w:val="0099C8AC"/>
    <w:rsid w:val="009A1D3F"/>
    <w:rsid w:val="009A224C"/>
    <w:rsid w:val="009A4270"/>
    <w:rsid w:val="009A4354"/>
    <w:rsid w:val="009A5509"/>
    <w:rsid w:val="009A5837"/>
    <w:rsid w:val="009A60EF"/>
    <w:rsid w:val="009A7ABB"/>
    <w:rsid w:val="009A7BC7"/>
    <w:rsid w:val="009A7C29"/>
    <w:rsid w:val="009B066F"/>
    <w:rsid w:val="009B0BA9"/>
    <w:rsid w:val="009B0DF7"/>
    <w:rsid w:val="009B10C3"/>
    <w:rsid w:val="009B1351"/>
    <w:rsid w:val="009B4AEE"/>
    <w:rsid w:val="009B4B8A"/>
    <w:rsid w:val="009B5269"/>
    <w:rsid w:val="009B585B"/>
    <w:rsid w:val="009B5959"/>
    <w:rsid w:val="009B5F85"/>
    <w:rsid w:val="009B638D"/>
    <w:rsid w:val="009B7456"/>
    <w:rsid w:val="009B7BA8"/>
    <w:rsid w:val="009B7EA1"/>
    <w:rsid w:val="009C013E"/>
    <w:rsid w:val="009C0361"/>
    <w:rsid w:val="009C0EF1"/>
    <w:rsid w:val="009C250D"/>
    <w:rsid w:val="009C3839"/>
    <w:rsid w:val="009C43AE"/>
    <w:rsid w:val="009C4B0A"/>
    <w:rsid w:val="009C4E57"/>
    <w:rsid w:val="009C508E"/>
    <w:rsid w:val="009C763F"/>
    <w:rsid w:val="009C7C1D"/>
    <w:rsid w:val="009C7CB9"/>
    <w:rsid w:val="009D09DD"/>
    <w:rsid w:val="009D1DEF"/>
    <w:rsid w:val="009D2183"/>
    <w:rsid w:val="009D2438"/>
    <w:rsid w:val="009D2814"/>
    <w:rsid w:val="009D394D"/>
    <w:rsid w:val="009D3970"/>
    <w:rsid w:val="009D3DCD"/>
    <w:rsid w:val="009D421C"/>
    <w:rsid w:val="009D4F39"/>
    <w:rsid w:val="009D5685"/>
    <w:rsid w:val="009D5B83"/>
    <w:rsid w:val="009D5E99"/>
    <w:rsid w:val="009D6BA9"/>
    <w:rsid w:val="009D73A4"/>
    <w:rsid w:val="009D7BAE"/>
    <w:rsid w:val="009E03EE"/>
    <w:rsid w:val="009E07B4"/>
    <w:rsid w:val="009E07C3"/>
    <w:rsid w:val="009E0CBC"/>
    <w:rsid w:val="009E2078"/>
    <w:rsid w:val="009E2A22"/>
    <w:rsid w:val="009E3166"/>
    <w:rsid w:val="009E33F1"/>
    <w:rsid w:val="009E37A7"/>
    <w:rsid w:val="009E3867"/>
    <w:rsid w:val="009E3F98"/>
    <w:rsid w:val="009E45EB"/>
    <w:rsid w:val="009E48C7"/>
    <w:rsid w:val="009E4DD1"/>
    <w:rsid w:val="009E4FAF"/>
    <w:rsid w:val="009E5432"/>
    <w:rsid w:val="009E6D06"/>
    <w:rsid w:val="009E6E7B"/>
    <w:rsid w:val="009E728D"/>
    <w:rsid w:val="009E744B"/>
    <w:rsid w:val="009E790E"/>
    <w:rsid w:val="009E7A77"/>
    <w:rsid w:val="009F104D"/>
    <w:rsid w:val="009F1478"/>
    <w:rsid w:val="009F14E8"/>
    <w:rsid w:val="009F1B54"/>
    <w:rsid w:val="009F1C7A"/>
    <w:rsid w:val="009F1C85"/>
    <w:rsid w:val="009F28DE"/>
    <w:rsid w:val="009F34D4"/>
    <w:rsid w:val="009F3C79"/>
    <w:rsid w:val="009F4DA3"/>
    <w:rsid w:val="009F4F88"/>
    <w:rsid w:val="009F5561"/>
    <w:rsid w:val="009F5C1E"/>
    <w:rsid w:val="009F6172"/>
    <w:rsid w:val="00A00989"/>
    <w:rsid w:val="00A00E70"/>
    <w:rsid w:val="00A01A46"/>
    <w:rsid w:val="00A026F6"/>
    <w:rsid w:val="00A03BF5"/>
    <w:rsid w:val="00A03E9B"/>
    <w:rsid w:val="00A0427D"/>
    <w:rsid w:val="00A045A4"/>
    <w:rsid w:val="00A04D78"/>
    <w:rsid w:val="00A051B3"/>
    <w:rsid w:val="00A05B6B"/>
    <w:rsid w:val="00A0634F"/>
    <w:rsid w:val="00A06653"/>
    <w:rsid w:val="00A068C0"/>
    <w:rsid w:val="00A06B77"/>
    <w:rsid w:val="00A06D0F"/>
    <w:rsid w:val="00A07457"/>
    <w:rsid w:val="00A10222"/>
    <w:rsid w:val="00A10416"/>
    <w:rsid w:val="00A10471"/>
    <w:rsid w:val="00A10604"/>
    <w:rsid w:val="00A11B17"/>
    <w:rsid w:val="00A12078"/>
    <w:rsid w:val="00A126A3"/>
    <w:rsid w:val="00A12DB3"/>
    <w:rsid w:val="00A135E6"/>
    <w:rsid w:val="00A13B50"/>
    <w:rsid w:val="00A15298"/>
    <w:rsid w:val="00A15321"/>
    <w:rsid w:val="00A154C1"/>
    <w:rsid w:val="00A1615B"/>
    <w:rsid w:val="00A17E3E"/>
    <w:rsid w:val="00A2086B"/>
    <w:rsid w:val="00A22E73"/>
    <w:rsid w:val="00A23055"/>
    <w:rsid w:val="00A24477"/>
    <w:rsid w:val="00A24D5B"/>
    <w:rsid w:val="00A24F0F"/>
    <w:rsid w:val="00A25367"/>
    <w:rsid w:val="00A25424"/>
    <w:rsid w:val="00A25694"/>
    <w:rsid w:val="00A259B4"/>
    <w:rsid w:val="00A27836"/>
    <w:rsid w:val="00A3090A"/>
    <w:rsid w:val="00A310FE"/>
    <w:rsid w:val="00A3112F"/>
    <w:rsid w:val="00A3167B"/>
    <w:rsid w:val="00A317DC"/>
    <w:rsid w:val="00A33005"/>
    <w:rsid w:val="00A33186"/>
    <w:rsid w:val="00A33DD0"/>
    <w:rsid w:val="00A34227"/>
    <w:rsid w:val="00A343B8"/>
    <w:rsid w:val="00A348CD"/>
    <w:rsid w:val="00A34AA2"/>
    <w:rsid w:val="00A34C21"/>
    <w:rsid w:val="00A35813"/>
    <w:rsid w:val="00A35860"/>
    <w:rsid w:val="00A35ED2"/>
    <w:rsid w:val="00A375FE"/>
    <w:rsid w:val="00A4085E"/>
    <w:rsid w:val="00A40A72"/>
    <w:rsid w:val="00A40D2D"/>
    <w:rsid w:val="00A419E5"/>
    <w:rsid w:val="00A41FF4"/>
    <w:rsid w:val="00A421E5"/>
    <w:rsid w:val="00A42B86"/>
    <w:rsid w:val="00A44439"/>
    <w:rsid w:val="00A45E63"/>
    <w:rsid w:val="00A461CD"/>
    <w:rsid w:val="00A470E2"/>
    <w:rsid w:val="00A50EA4"/>
    <w:rsid w:val="00A5127B"/>
    <w:rsid w:val="00A512B0"/>
    <w:rsid w:val="00A5164B"/>
    <w:rsid w:val="00A51D00"/>
    <w:rsid w:val="00A52203"/>
    <w:rsid w:val="00A52458"/>
    <w:rsid w:val="00A5364E"/>
    <w:rsid w:val="00A537B0"/>
    <w:rsid w:val="00A53A59"/>
    <w:rsid w:val="00A53EDB"/>
    <w:rsid w:val="00A548EE"/>
    <w:rsid w:val="00A54BAD"/>
    <w:rsid w:val="00A550C2"/>
    <w:rsid w:val="00A554D6"/>
    <w:rsid w:val="00A5556A"/>
    <w:rsid w:val="00A55860"/>
    <w:rsid w:val="00A55AF7"/>
    <w:rsid w:val="00A562A8"/>
    <w:rsid w:val="00A5639A"/>
    <w:rsid w:val="00A567ED"/>
    <w:rsid w:val="00A56B87"/>
    <w:rsid w:val="00A56EBD"/>
    <w:rsid w:val="00A56F1A"/>
    <w:rsid w:val="00A57FB3"/>
    <w:rsid w:val="00A603EC"/>
    <w:rsid w:val="00A60688"/>
    <w:rsid w:val="00A60B10"/>
    <w:rsid w:val="00A62AD3"/>
    <w:rsid w:val="00A6320A"/>
    <w:rsid w:val="00A63758"/>
    <w:rsid w:val="00A63EF0"/>
    <w:rsid w:val="00A644F8"/>
    <w:rsid w:val="00A64ADB"/>
    <w:rsid w:val="00A64D58"/>
    <w:rsid w:val="00A66971"/>
    <w:rsid w:val="00A66E0C"/>
    <w:rsid w:val="00A703BB"/>
    <w:rsid w:val="00A71630"/>
    <w:rsid w:val="00A7275C"/>
    <w:rsid w:val="00A72EE5"/>
    <w:rsid w:val="00A74CC4"/>
    <w:rsid w:val="00A75922"/>
    <w:rsid w:val="00A75947"/>
    <w:rsid w:val="00A75B8E"/>
    <w:rsid w:val="00A76133"/>
    <w:rsid w:val="00A762C9"/>
    <w:rsid w:val="00A771A0"/>
    <w:rsid w:val="00A77277"/>
    <w:rsid w:val="00A7727B"/>
    <w:rsid w:val="00A77710"/>
    <w:rsid w:val="00A77983"/>
    <w:rsid w:val="00A80781"/>
    <w:rsid w:val="00A80B90"/>
    <w:rsid w:val="00A81102"/>
    <w:rsid w:val="00A8123B"/>
    <w:rsid w:val="00A8194C"/>
    <w:rsid w:val="00A819E7"/>
    <w:rsid w:val="00A81A8A"/>
    <w:rsid w:val="00A81C56"/>
    <w:rsid w:val="00A81C86"/>
    <w:rsid w:val="00A822B3"/>
    <w:rsid w:val="00A82688"/>
    <w:rsid w:val="00A82C5F"/>
    <w:rsid w:val="00A83CDB"/>
    <w:rsid w:val="00A83E91"/>
    <w:rsid w:val="00A84AF8"/>
    <w:rsid w:val="00A84BCE"/>
    <w:rsid w:val="00A84C11"/>
    <w:rsid w:val="00A84C6F"/>
    <w:rsid w:val="00A86041"/>
    <w:rsid w:val="00A862F1"/>
    <w:rsid w:val="00A86410"/>
    <w:rsid w:val="00A86CEF"/>
    <w:rsid w:val="00A873B5"/>
    <w:rsid w:val="00A90C23"/>
    <w:rsid w:val="00A91D2B"/>
    <w:rsid w:val="00A91F4F"/>
    <w:rsid w:val="00A925F0"/>
    <w:rsid w:val="00A94B62"/>
    <w:rsid w:val="00A95453"/>
    <w:rsid w:val="00A96B05"/>
    <w:rsid w:val="00A973FE"/>
    <w:rsid w:val="00A97446"/>
    <w:rsid w:val="00A97576"/>
    <w:rsid w:val="00A97F2E"/>
    <w:rsid w:val="00AA1528"/>
    <w:rsid w:val="00AA1770"/>
    <w:rsid w:val="00AA2092"/>
    <w:rsid w:val="00AA2ACF"/>
    <w:rsid w:val="00AA2B24"/>
    <w:rsid w:val="00AA30CF"/>
    <w:rsid w:val="00AA37FC"/>
    <w:rsid w:val="00AA5091"/>
    <w:rsid w:val="00AA657C"/>
    <w:rsid w:val="00AA660F"/>
    <w:rsid w:val="00AA663B"/>
    <w:rsid w:val="00AA66A0"/>
    <w:rsid w:val="00AA6714"/>
    <w:rsid w:val="00AA7D75"/>
    <w:rsid w:val="00AB0304"/>
    <w:rsid w:val="00AB12F4"/>
    <w:rsid w:val="00AB1B6F"/>
    <w:rsid w:val="00AB203D"/>
    <w:rsid w:val="00AB2E5A"/>
    <w:rsid w:val="00AB2E67"/>
    <w:rsid w:val="00AB48F4"/>
    <w:rsid w:val="00AB4B26"/>
    <w:rsid w:val="00AB4D9E"/>
    <w:rsid w:val="00AB5BD2"/>
    <w:rsid w:val="00AB5F4A"/>
    <w:rsid w:val="00AB6AC9"/>
    <w:rsid w:val="00AB6C68"/>
    <w:rsid w:val="00AB72EE"/>
    <w:rsid w:val="00AB756D"/>
    <w:rsid w:val="00AC0004"/>
    <w:rsid w:val="00AC0329"/>
    <w:rsid w:val="00AC04F0"/>
    <w:rsid w:val="00AC1287"/>
    <w:rsid w:val="00AC2439"/>
    <w:rsid w:val="00AC2EB0"/>
    <w:rsid w:val="00AC3446"/>
    <w:rsid w:val="00AC3D37"/>
    <w:rsid w:val="00AC51BB"/>
    <w:rsid w:val="00AC709C"/>
    <w:rsid w:val="00AC7BB8"/>
    <w:rsid w:val="00AC7C79"/>
    <w:rsid w:val="00AD02A4"/>
    <w:rsid w:val="00AD082E"/>
    <w:rsid w:val="00AD0EF4"/>
    <w:rsid w:val="00AD13C5"/>
    <w:rsid w:val="00AD16B6"/>
    <w:rsid w:val="00AD2101"/>
    <w:rsid w:val="00AD267A"/>
    <w:rsid w:val="00AD3240"/>
    <w:rsid w:val="00AD3314"/>
    <w:rsid w:val="00AD4010"/>
    <w:rsid w:val="00AD4A16"/>
    <w:rsid w:val="00AD570E"/>
    <w:rsid w:val="00AD59E2"/>
    <w:rsid w:val="00AD697C"/>
    <w:rsid w:val="00AD7654"/>
    <w:rsid w:val="00AD810D"/>
    <w:rsid w:val="00AE1438"/>
    <w:rsid w:val="00AE1B1F"/>
    <w:rsid w:val="00AE1ECA"/>
    <w:rsid w:val="00AE3B2B"/>
    <w:rsid w:val="00AE3BFC"/>
    <w:rsid w:val="00AE3E2D"/>
    <w:rsid w:val="00AE490C"/>
    <w:rsid w:val="00AE51B4"/>
    <w:rsid w:val="00AE6EC5"/>
    <w:rsid w:val="00AE71AC"/>
    <w:rsid w:val="00AE7D4A"/>
    <w:rsid w:val="00AF0144"/>
    <w:rsid w:val="00AF1140"/>
    <w:rsid w:val="00AF3252"/>
    <w:rsid w:val="00AF3389"/>
    <w:rsid w:val="00AF3551"/>
    <w:rsid w:val="00AF370C"/>
    <w:rsid w:val="00AF395D"/>
    <w:rsid w:val="00AF3C12"/>
    <w:rsid w:val="00AF514D"/>
    <w:rsid w:val="00AF5509"/>
    <w:rsid w:val="00AF60D9"/>
    <w:rsid w:val="00AF60E6"/>
    <w:rsid w:val="00AF66A3"/>
    <w:rsid w:val="00AF7295"/>
    <w:rsid w:val="00AF7ABF"/>
    <w:rsid w:val="00AFBB1D"/>
    <w:rsid w:val="00B000A5"/>
    <w:rsid w:val="00B0037C"/>
    <w:rsid w:val="00B00AA5"/>
    <w:rsid w:val="00B01ACD"/>
    <w:rsid w:val="00B03078"/>
    <w:rsid w:val="00B038C7"/>
    <w:rsid w:val="00B03B30"/>
    <w:rsid w:val="00B03B7E"/>
    <w:rsid w:val="00B03FB7"/>
    <w:rsid w:val="00B044BE"/>
    <w:rsid w:val="00B04884"/>
    <w:rsid w:val="00B04D4F"/>
    <w:rsid w:val="00B05A74"/>
    <w:rsid w:val="00B06079"/>
    <w:rsid w:val="00B061EA"/>
    <w:rsid w:val="00B07589"/>
    <w:rsid w:val="00B07FA1"/>
    <w:rsid w:val="00B11CBA"/>
    <w:rsid w:val="00B126D4"/>
    <w:rsid w:val="00B12991"/>
    <w:rsid w:val="00B13C22"/>
    <w:rsid w:val="00B13F42"/>
    <w:rsid w:val="00B1429B"/>
    <w:rsid w:val="00B14A13"/>
    <w:rsid w:val="00B152B1"/>
    <w:rsid w:val="00B1599A"/>
    <w:rsid w:val="00B1609D"/>
    <w:rsid w:val="00B174DF"/>
    <w:rsid w:val="00B20266"/>
    <w:rsid w:val="00B204B6"/>
    <w:rsid w:val="00B222EA"/>
    <w:rsid w:val="00B2232B"/>
    <w:rsid w:val="00B224BD"/>
    <w:rsid w:val="00B22F1C"/>
    <w:rsid w:val="00B231CF"/>
    <w:rsid w:val="00B234C7"/>
    <w:rsid w:val="00B23E9C"/>
    <w:rsid w:val="00B25A54"/>
    <w:rsid w:val="00B262B9"/>
    <w:rsid w:val="00B26526"/>
    <w:rsid w:val="00B2720D"/>
    <w:rsid w:val="00B279AA"/>
    <w:rsid w:val="00B27D72"/>
    <w:rsid w:val="00B27FD5"/>
    <w:rsid w:val="00B309DF"/>
    <w:rsid w:val="00B30FD5"/>
    <w:rsid w:val="00B333EA"/>
    <w:rsid w:val="00B336DB"/>
    <w:rsid w:val="00B34692"/>
    <w:rsid w:val="00B36002"/>
    <w:rsid w:val="00B36148"/>
    <w:rsid w:val="00B36312"/>
    <w:rsid w:val="00B36490"/>
    <w:rsid w:val="00B367C6"/>
    <w:rsid w:val="00B36F5A"/>
    <w:rsid w:val="00B37F93"/>
    <w:rsid w:val="00B401B0"/>
    <w:rsid w:val="00B40E03"/>
    <w:rsid w:val="00B413C7"/>
    <w:rsid w:val="00B41700"/>
    <w:rsid w:val="00B42543"/>
    <w:rsid w:val="00B42D75"/>
    <w:rsid w:val="00B430E7"/>
    <w:rsid w:val="00B43D75"/>
    <w:rsid w:val="00B44BB3"/>
    <w:rsid w:val="00B44E02"/>
    <w:rsid w:val="00B46764"/>
    <w:rsid w:val="00B46E42"/>
    <w:rsid w:val="00B47069"/>
    <w:rsid w:val="00B474EB"/>
    <w:rsid w:val="00B47A2E"/>
    <w:rsid w:val="00B47DF8"/>
    <w:rsid w:val="00B5100E"/>
    <w:rsid w:val="00B5245A"/>
    <w:rsid w:val="00B527EF"/>
    <w:rsid w:val="00B544FA"/>
    <w:rsid w:val="00B553CB"/>
    <w:rsid w:val="00B565DA"/>
    <w:rsid w:val="00B56C25"/>
    <w:rsid w:val="00B56C73"/>
    <w:rsid w:val="00B572E2"/>
    <w:rsid w:val="00B57726"/>
    <w:rsid w:val="00B6095F"/>
    <w:rsid w:val="00B612C3"/>
    <w:rsid w:val="00B622CC"/>
    <w:rsid w:val="00B6295E"/>
    <w:rsid w:val="00B62AC4"/>
    <w:rsid w:val="00B6432F"/>
    <w:rsid w:val="00B64920"/>
    <w:rsid w:val="00B64936"/>
    <w:rsid w:val="00B64F3E"/>
    <w:rsid w:val="00B64FB0"/>
    <w:rsid w:val="00B65016"/>
    <w:rsid w:val="00B65976"/>
    <w:rsid w:val="00B65B59"/>
    <w:rsid w:val="00B665BD"/>
    <w:rsid w:val="00B71743"/>
    <w:rsid w:val="00B71B56"/>
    <w:rsid w:val="00B7228B"/>
    <w:rsid w:val="00B72914"/>
    <w:rsid w:val="00B73E2B"/>
    <w:rsid w:val="00B7482C"/>
    <w:rsid w:val="00B74897"/>
    <w:rsid w:val="00B7508A"/>
    <w:rsid w:val="00B75422"/>
    <w:rsid w:val="00B7583D"/>
    <w:rsid w:val="00B7606E"/>
    <w:rsid w:val="00B760C3"/>
    <w:rsid w:val="00B76BA3"/>
    <w:rsid w:val="00B76E6D"/>
    <w:rsid w:val="00B7748E"/>
    <w:rsid w:val="00B804F9"/>
    <w:rsid w:val="00B80B31"/>
    <w:rsid w:val="00B810BA"/>
    <w:rsid w:val="00B82419"/>
    <w:rsid w:val="00B8256D"/>
    <w:rsid w:val="00B82D94"/>
    <w:rsid w:val="00B8492E"/>
    <w:rsid w:val="00B84AE3"/>
    <w:rsid w:val="00B84C07"/>
    <w:rsid w:val="00B84D47"/>
    <w:rsid w:val="00B86727"/>
    <w:rsid w:val="00B86962"/>
    <w:rsid w:val="00B86CAC"/>
    <w:rsid w:val="00B875F8"/>
    <w:rsid w:val="00B87C02"/>
    <w:rsid w:val="00B87C1E"/>
    <w:rsid w:val="00B87C93"/>
    <w:rsid w:val="00B903EE"/>
    <w:rsid w:val="00B903F8"/>
    <w:rsid w:val="00B91264"/>
    <w:rsid w:val="00B91C07"/>
    <w:rsid w:val="00B929BB"/>
    <w:rsid w:val="00B935B1"/>
    <w:rsid w:val="00B93A81"/>
    <w:rsid w:val="00B93C25"/>
    <w:rsid w:val="00B94DB6"/>
    <w:rsid w:val="00B94FE5"/>
    <w:rsid w:val="00B95305"/>
    <w:rsid w:val="00B964BD"/>
    <w:rsid w:val="00B96A21"/>
    <w:rsid w:val="00B97CC2"/>
    <w:rsid w:val="00BA0ACC"/>
    <w:rsid w:val="00BA119F"/>
    <w:rsid w:val="00BA3081"/>
    <w:rsid w:val="00BA366C"/>
    <w:rsid w:val="00BA3F76"/>
    <w:rsid w:val="00BA5960"/>
    <w:rsid w:val="00BA5DED"/>
    <w:rsid w:val="00BA6934"/>
    <w:rsid w:val="00BA742F"/>
    <w:rsid w:val="00BB0076"/>
    <w:rsid w:val="00BB03F9"/>
    <w:rsid w:val="00BB04BA"/>
    <w:rsid w:val="00BB05CC"/>
    <w:rsid w:val="00BB0D20"/>
    <w:rsid w:val="00BB0E69"/>
    <w:rsid w:val="00BB159E"/>
    <w:rsid w:val="00BB15F6"/>
    <w:rsid w:val="00BB294D"/>
    <w:rsid w:val="00BB2C2F"/>
    <w:rsid w:val="00BB3440"/>
    <w:rsid w:val="00BB40F2"/>
    <w:rsid w:val="00BB42B6"/>
    <w:rsid w:val="00BB49B9"/>
    <w:rsid w:val="00BB5475"/>
    <w:rsid w:val="00BB634B"/>
    <w:rsid w:val="00BB666E"/>
    <w:rsid w:val="00BB77F1"/>
    <w:rsid w:val="00BC01B9"/>
    <w:rsid w:val="00BC076E"/>
    <w:rsid w:val="00BC0BA9"/>
    <w:rsid w:val="00BC1E19"/>
    <w:rsid w:val="00BC25D8"/>
    <w:rsid w:val="00BC2ED2"/>
    <w:rsid w:val="00BC2F8F"/>
    <w:rsid w:val="00BC35D6"/>
    <w:rsid w:val="00BC38F5"/>
    <w:rsid w:val="00BC397E"/>
    <w:rsid w:val="00BC4B71"/>
    <w:rsid w:val="00BC6512"/>
    <w:rsid w:val="00BC6C2E"/>
    <w:rsid w:val="00BD0422"/>
    <w:rsid w:val="00BD205B"/>
    <w:rsid w:val="00BD2088"/>
    <w:rsid w:val="00BD2641"/>
    <w:rsid w:val="00BD3838"/>
    <w:rsid w:val="00BD38C7"/>
    <w:rsid w:val="00BD3908"/>
    <w:rsid w:val="00BD3938"/>
    <w:rsid w:val="00BD3C1C"/>
    <w:rsid w:val="00BD402A"/>
    <w:rsid w:val="00BD4675"/>
    <w:rsid w:val="00BD4830"/>
    <w:rsid w:val="00BD50F8"/>
    <w:rsid w:val="00BD514E"/>
    <w:rsid w:val="00BD51BB"/>
    <w:rsid w:val="00BD5812"/>
    <w:rsid w:val="00BD5ADE"/>
    <w:rsid w:val="00BD6071"/>
    <w:rsid w:val="00BD6847"/>
    <w:rsid w:val="00BD6C9F"/>
    <w:rsid w:val="00BD7D8D"/>
    <w:rsid w:val="00BE0756"/>
    <w:rsid w:val="00BE0E80"/>
    <w:rsid w:val="00BE1195"/>
    <w:rsid w:val="00BE221C"/>
    <w:rsid w:val="00BE270E"/>
    <w:rsid w:val="00BE293A"/>
    <w:rsid w:val="00BE48DB"/>
    <w:rsid w:val="00BE5403"/>
    <w:rsid w:val="00BE56C3"/>
    <w:rsid w:val="00BE68AF"/>
    <w:rsid w:val="00BE6B16"/>
    <w:rsid w:val="00BE701D"/>
    <w:rsid w:val="00BE71AC"/>
    <w:rsid w:val="00BE72EE"/>
    <w:rsid w:val="00BE7B03"/>
    <w:rsid w:val="00BF0AFB"/>
    <w:rsid w:val="00BF11D2"/>
    <w:rsid w:val="00BF16B7"/>
    <w:rsid w:val="00BF1DC4"/>
    <w:rsid w:val="00BF25F4"/>
    <w:rsid w:val="00BF385B"/>
    <w:rsid w:val="00BF3D3C"/>
    <w:rsid w:val="00BF4471"/>
    <w:rsid w:val="00BF48DF"/>
    <w:rsid w:val="00BF544A"/>
    <w:rsid w:val="00BF56A2"/>
    <w:rsid w:val="00BF56B1"/>
    <w:rsid w:val="00BF5CAD"/>
    <w:rsid w:val="00BF602D"/>
    <w:rsid w:val="00BF71C0"/>
    <w:rsid w:val="00BF7785"/>
    <w:rsid w:val="00C00321"/>
    <w:rsid w:val="00C00376"/>
    <w:rsid w:val="00C009A0"/>
    <w:rsid w:val="00C0111A"/>
    <w:rsid w:val="00C01AED"/>
    <w:rsid w:val="00C01D28"/>
    <w:rsid w:val="00C01D2A"/>
    <w:rsid w:val="00C02AD3"/>
    <w:rsid w:val="00C02E3D"/>
    <w:rsid w:val="00C03AF9"/>
    <w:rsid w:val="00C040EF"/>
    <w:rsid w:val="00C048BA"/>
    <w:rsid w:val="00C04C4D"/>
    <w:rsid w:val="00C05925"/>
    <w:rsid w:val="00C06A06"/>
    <w:rsid w:val="00C06ED7"/>
    <w:rsid w:val="00C0793B"/>
    <w:rsid w:val="00C104E7"/>
    <w:rsid w:val="00C107CF"/>
    <w:rsid w:val="00C11348"/>
    <w:rsid w:val="00C1327C"/>
    <w:rsid w:val="00C135ED"/>
    <w:rsid w:val="00C13FC0"/>
    <w:rsid w:val="00C1404A"/>
    <w:rsid w:val="00C140CD"/>
    <w:rsid w:val="00C14695"/>
    <w:rsid w:val="00C14892"/>
    <w:rsid w:val="00C14E73"/>
    <w:rsid w:val="00C152B6"/>
    <w:rsid w:val="00C15957"/>
    <w:rsid w:val="00C17307"/>
    <w:rsid w:val="00C173D0"/>
    <w:rsid w:val="00C17A8B"/>
    <w:rsid w:val="00C17C8A"/>
    <w:rsid w:val="00C20415"/>
    <w:rsid w:val="00C20E26"/>
    <w:rsid w:val="00C20F7E"/>
    <w:rsid w:val="00C2114B"/>
    <w:rsid w:val="00C21474"/>
    <w:rsid w:val="00C215DB"/>
    <w:rsid w:val="00C21C53"/>
    <w:rsid w:val="00C221F1"/>
    <w:rsid w:val="00C23A18"/>
    <w:rsid w:val="00C24118"/>
    <w:rsid w:val="00C248F7"/>
    <w:rsid w:val="00C2552B"/>
    <w:rsid w:val="00C26CCF"/>
    <w:rsid w:val="00C27124"/>
    <w:rsid w:val="00C309C1"/>
    <w:rsid w:val="00C30B61"/>
    <w:rsid w:val="00C30E39"/>
    <w:rsid w:val="00C313F3"/>
    <w:rsid w:val="00C31AFB"/>
    <w:rsid w:val="00C31BD5"/>
    <w:rsid w:val="00C32A66"/>
    <w:rsid w:val="00C3389C"/>
    <w:rsid w:val="00C342B8"/>
    <w:rsid w:val="00C343A1"/>
    <w:rsid w:val="00C346A7"/>
    <w:rsid w:val="00C3562A"/>
    <w:rsid w:val="00C36738"/>
    <w:rsid w:val="00C36971"/>
    <w:rsid w:val="00C3698D"/>
    <w:rsid w:val="00C37127"/>
    <w:rsid w:val="00C3795A"/>
    <w:rsid w:val="00C40525"/>
    <w:rsid w:val="00C4084D"/>
    <w:rsid w:val="00C40F99"/>
    <w:rsid w:val="00C415F2"/>
    <w:rsid w:val="00C41E2D"/>
    <w:rsid w:val="00C427D3"/>
    <w:rsid w:val="00C42990"/>
    <w:rsid w:val="00C42A9E"/>
    <w:rsid w:val="00C43146"/>
    <w:rsid w:val="00C43FA9"/>
    <w:rsid w:val="00C44A38"/>
    <w:rsid w:val="00C45717"/>
    <w:rsid w:val="00C45970"/>
    <w:rsid w:val="00C46F7C"/>
    <w:rsid w:val="00C4736E"/>
    <w:rsid w:val="00C47967"/>
    <w:rsid w:val="00C51DCD"/>
    <w:rsid w:val="00C52298"/>
    <w:rsid w:val="00C536F7"/>
    <w:rsid w:val="00C5406D"/>
    <w:rsid w:val="00C54438"/>
    <w:rsid w:val="00C546ED"/>
    <w:rsid w:val="00C55267"/>
    <w:rsid w:val="00C55426"/>
    <w:rsid w:val="00C5608D"/>
    <w:rsid w:val="00C56D9E"/>
    <w:rsid w:val="00C60699"/>
    <w:rsid w:val="00C606BA"/>
    <w:rsid w:val="00C608FE"/>
    <w:rsid w:val="00C6170C"/>
    <w:rsid w:val="00C61EBF"/>
    <w:rsid w:val="00C62179"/>
    <w:rsid w:val="00C62A0B"/>
    <w:rsid w:val="00C63292"/>
    <w:rsid w:val="00C63FD1"/>
    <w:rsid w:val="00C644DA"/>
    <w:rsid w:val="00C64682"/>
    <w:rsid w:val="00C646C7"/>
    <w:rsid w:val="00C648DA"/>
    <w:rsid w:val="00C6607A"/>
    <w:rsid w:val="00C663CC"/>
    <w:rsid w:val="00C664A9"/>
    <w:rsid w:val="00C666FA"/>
    <w:rsid w:val="00C669E4"/>
    <w:rsid w:val="00C66EBC"/>
    <w:rsid w:val="00C67279"/>
    <w:rsid w:val="00C700D2"/>
    <w:rsid w:val="00C700D6"/>
    <w:rsid w:val="00C7010A"/>
    <w:rsid w:val="00C704C3"/>
    <w:rsid w:val="00C7079B"/>
    <w:rsid w:val="00C7124A"/>
    <w:rsid w:val="00C72798"/>
    <w:rsid w:val="00C729FF"/>
    <w:rsid w:val="00C730B9"/>
    <w:rsid w:val="00C7322F"/>
    <w:rsid w:val="00C734CC"/>
    <w:rsid w:val="00C737F2"/>
    <w:rsid w:val="00C73E3E"/>
    <w:rsid w:val="00C744CE"/>
    <w:rsid w:val="00C752C9"/>
    <w:rsid w:val="00C75BF8"/>
    <w:rsid w:val="00C765FC"/>
    <w:rsid w:val="00C8025D"/>
    <w:rsid w:val="00C81106"/>
    <w:rsid w:val="00C81BE0"/>
    <w:rsid w:val="00C83E15"/>
    <w:rsid w:val="00C83F1F"/>
    <w:rsid w:val="00C85A1A"/>
    <w:rsid w:val="00C85C11"/>
    <w:rsid w:val="00C8611A"/>
    <w:rsid w:val="00C9151B"/>
    <w:rsid w:val="00C927FF"/>
    <w:rsid w:val="00C935E7"/>
    <w:rsid w:val="00C9372D"/>
    <w:rsid w:val="00C945E1"/>
    <w:rsid w:val="00C94684"/>
    <w:rsid w:val="00C9476A"/>
    <w:rsid w:val="00C9506E"/>
    <w:rsid w:val="00C95194"/>
    <w:rsid w:val="00C9569A"/>
    <w:rsid w:val="00C95CD8"/>
    <w:rsid w:val="00C95D85"/>
    <w:rsid w:val="00C96180"/>
    <w:rsid w:val="00C96A81"/>
    <w:rsid w:val="00C96CEE"/>
    <w:rsid w:val="00C97B0F"/>
    <w:rsid w:val="00C97F95"/>
    <w:rsid w:val="00CA0FF3"/>
    <w:rsid w:val="00CA1972"/>
    <w:rsid w:val="00CA1C88"/>
    <w:rsid w:val="00CA1E0D"/>
    <w:rsid w:val="00CA1F14"/>
    <w:rsid w:val="00CA25D6"/>
    <w:rsid w:val="00CA318C"/>
    <w:rsid w:val="00CA3525"/>
    <w:rsid w:val="00CA3AA4"/>
    <w:rsid w:val="00CA538F"/>
    <w:rsid w:val="00CA65B2"/>
    <w:rsid w:val="00CA7534"/>
    <w:rsid w:val="00CB036C"/>
    <w:rsid w:val="00CB04FA"/>
    <w:rsid w:val="00CB1024"/>
    <w:rsid w:val="00CB168C"/>
    <w:rsid w:val="00CB24AF"/>
    <w:rsid w:val="00CB28F4"/>
    <w:rsid w:val="00CB2B13"/>
    <w:rsid w:val="00CB308B"/>
    <w:rsid w:val="00CB434A"/>
    <w:rsid w:val="00CB4B8D"/>
    <w:rsid w:val="00CB54C8"/>
    <w:rsid w:val="00CB5A1E"/>
    <w:rsid w:val="00CB661F"/>
    <w:rsid w:val="00CB6668"/>
    <w:rsid w:val="00CB6B39"/>
    <w:rsid w:val="00CB6E03"/>
    <w:rsid w:val="00CB72D7"/>
    <w:rsid w:val="00CB77E1"/>
    <w:rsid w:val="00CB7C44"/>
    <w:rsid w:val="00CC0401"/>
    <w:rsid w:val="00CC077C"/>
    <w:rsid w:val="00CC0F67"/>
    <w:rsid w:val="00CC15E9"/>
    <w:rsid w:val="00CC1DBC"/>
    <w:rsid w:val="00CC25CB"/>
    <w:rsid w:val="00CC29FB"/>
    <w:rsid w:val="00CC3A58"/>
    <w:rsid w:val="00CC3DE1"/>
    <w:rsid w:val="00CC485B"/>
    <w:rsid w:val="00CC4A78"/>
    <w:rsid w:val="00CC4D03"/>
    <w:rsid w:val="00CC637C"/>
    <w:rsid w:val="00CC6818"/>
    <w:rsid w:val="00CC6D31"/>
    <w:rsid w:val="00CC6D95"/>
    <w:rsid w:val="00CC7321"/>
    <w:rsid w:val="00CC771F"/>
    <w:rsid w:val="00CC7A58"/>
    <w:rsid w:val="00CCA4C8"/>
    <w:rsid w:val="00CD031B"/>
    <w:rsid w:val="00CD1130"/>
    <w:rsid w:val="00CD2CD8"/>
    <w:rsid w:val="00CD3505"/>
    <w:rsid w:val="00CD46A1"/>
    <w:rsid w:val="00CD4D36"/>
    <w:rsid w:val="00CD5A3A"/>
    <w:rsid w:val="00CD5E5F"/>
    <w:rsid w:val="00CD60E6"/>
    <w:rsid w:val="00CD60EF"/>
    <w:rsid w:val="00CD6A3D"/>
    <w:rsid w:val="00CD6B8D"/>
    <w:rsid w:val="00CE06B0"/>
    <w:rsid w:val="00CE0C68"/>
    <w:rsid w:val="00CE1FDD"/>
    <w:rsid w:val="00CE2530"/>
    <w:rsid w:val="00CE37DC"/>
    <w:rsid w:val="00CE46AB"/>
    <w:rsid w:val="00CE474E"/>
    <w:rsid w:val="00CE4B5D"/>
    <w:rsid w:val="00CE50A3"/>
    <w:rsid w:val="00CE536A"/>
    <w:rsid w:val="00CE577E"/>
    <w:rsid w:val="00CE5CD8"/>
    <w:rsid w:val="00CE62D9"/>
    <w:rsid w:val="00CE649F"/>
    <w:rsid w:val="00CE6BC7"/>
    <w:rsid w:val="00CE6E7C"/>
    <w:rsid w:val="00CE749B"/>
    <w:rsid w:val="00CF0AA4"/>
    <w:rsid w:val="00CF0E2F"/>
    <w:rsid w:val="00CF10EF"/>
    <w:rsid w:val="00CF1306"/>
    <w:rsid w:val="00CF1DB8"/>
    <w:rsid w:val="00CF2E50"/>
    <w:rsid w:val="00CF3035"/>
    <w:rsid w:val="00CF3272"/>
    <w:rsid w:val="00CF32EB"/>
    <w:rsid w:val="00CF3718"/>
    <w:rsid w:val="00CF3868"/>
    <w:rsid w:val="00CF46E8"/>
    <w:rsid w:val="00CF4A2C"/>
    <w:rsid w:val="00CF5092"/>
    <w:rsid w:val="00CF5117"/>
    <w:rsid w:val="00CF51C1"/>
    <w:rsid w:val="00CF5234"/>
    <w:rsid w:val="00CF57E1"/>
    <w:rsid w:val="00CF5C20"/>
    <w:rsid w:val="00CF6ADA"/>
    <w:rsid w:val="00CF7731"/>
    <w:rsid w:val="00CF79A8"/>
    <w:rsid w:val="00CF7D17"/>
    <w:rsid w:val="00D003EA"/>
    <w:rsid w:val="00D008E4"/>
    <w:rsid w:val="00D016D4"/>
    <w:rsid w:val="00D0250A"/>
    <w:rsid w:val="00D03DFB"/>
    <w:rsid w:val="00D043B3"/>
    <w:rsid w:val="00D056C7"/>
    <w:rsid w:val="00D05B28"/>
    <w:rsid w:val="00D063D6"/>
    <w:rsid w:val="00D066BB"/>
    <w:rsid w:val="00D06ABF"/>
    <w:rsid w:val="00D07132"/>
    <w:rsid w:val="00D07368"/>
    <w:rsid w:val="00D075B6"/>
    <w:rsid w:val="00D07816"/>
    <w:rsid w:val="00D078A3"/>
    <w:rsid w:val="00D10275"/>
    <w:rsid w:val="00D119E6"/>
    <w:rsid w:val="00D11FAD"/>
    <w:rsid w:val="00D1218D"/>
    <w:rsid w:val="00D12547"/>
    <w:rsid w:val="00D126EB"/>
    <w:rsid w:val="00D1335C"/>
    <w:rsid w:val="00D148DA"/>
    <w:rsid w:val="00D14F09"/>
    <w:rsid w:val="00D151B1"/>
    <w:rsid w:val="00D15479"/>
    <w:rsid w:val="00D15A7D"/>
    <w:rsid w:val="00D15D89"/>
    <w:rsid w:val="00D20265"/>
    <w:rsid w:val="00D20AF7"/>
    <w:rsid w:val="00D20F84"/>
    <w:rsid w:val="00D221B2"/>
    <w:rsid w:val="00D22239"/>
    <w:rsid w:val="00D22548"/>
    <w:rsid w:val="00D2258D"/>
    <w:rsid w:val="00D23329"/>
    <w:rsid w:val="00D234C0"/>
    <w:rsid w:val="00D243BA"/>
    <w:rsid w:val="00D24ADD"/>
    <w:rsid w:val="00D24D88"/>
    <w:rsid w:val="00D26279"/>
    <w:rsid w:val="00D30B42"/>
    <w:rsid w:val="00D31370"/>
    <w:rsid w:val="00D31AF7"/>
    <w:rsid w:val="00D364DD"/>
    <w:rsid w:val="00D36B23"/>
    <w:rsid w:val="00D36E54"/>
    <w:rsid w:val="00D37AE9"/>
    <w:rsid w:val="00D37EA9"/>
    <w:rsid w:val="00D37F6C"/>
    <w:rsid w:val="00D4003C"/>
    <w:rsid w:val="00D40355"/>
    <w:rsid w:val="00D4036D"/>
    <w:rsid w:val="00D41C92"/>
    <w:rsid w:val="00D42380"/>
    <w:rsid w:val="00D430DF"/>
    <w:rsid w:val="00D43125"/>
    <w:rsid w:val="00D433B6"/>
    <w:rsid w:val="00D43A2F"/>
    <w:rsid w:val="00D43D12"/>
    <w:rsid w:val="00D43E96"/>
    <w:rsid w:val="00D44700"/>
    <w:rsid w:val="00D44DC7"/>
    <w:rsid w:val="00D4535F"/>
    <w:rsid w:val="00D4599A"/>
    <w:rsid w:val="00D460B2"/>
    <w:rsid w:val="00D4658B"/>
    <w:rsid w:val="00D47B46"/>
    <w:rsid w:val="00D5088B"/>
    <w:rsid w:val="00D50A16"/>
    <w:rsid w:val="00D50D32"/>
    <w:rsid w:val="00D51DEB"/>
    <w:rsid w:val="00D52A7A"/>
    <w:rsid w:val="00D52C6A"/>
    <w:rsid w:val="00D534EB"/>
    <w:rsid w:val="00D53776"/>
    <w:rsid w:val="00D53BC8"/>
    <w:rsid w:val="00D546EF"/>
    <w:rsid w:val="00D54C47"/>
    <w:rsid w:val="00D553EA"/>
    <w:rsid w:val="00D55BFC"/>
    <w:rsid w:val="00D55DDC"/>
    <w:rsid w:val="00D56DE8"/>
    <w:rsid w:val="00D56E50"/>
    <w:rsid w:val="00D5789D"/>
    <w:rsid w:val="00D57EFC"/>
    <w:rsid w:val="00D57F3A"/>
    <w:rsid w:val="00D60086"/>
    <w:rsid w:val="00D60136"/>
    <w:rsid w:val="00D60A61"/>
    <w:rsid w:val="00D60D4C"/>
    <w:rsid w:val="00D60D52"/>
    <w:rsid w:val="00D61590"/>
    <w:rsid w:val="00D616AC"/>
    <w:rsid w:val="00D6256F"/>
    <w:rsid w:val="00D62585"/>
    <w:rsid w:val="00D6286F"/>
    <w:rsid w:val="00D63CD1"/>
    <w:rsid w:val="00D64043"/>
    <w:rsid w:val="00D643BA"/>
    <w:rsid w:val="00D65907"/>
    <w:rsid w:val="00D66013"/>
    <w:rsid w:val="00D66548"/>
    <w:rsid w:val="00D667A4"/>
    <w:rsid w:val="00D66E1F"/>
    <w:rsid w:val="00D70281"/>
    <w:rsid w:val="00D7043E"/>
    <w:rsid w:val="00D70475"/>
    <w:rsid w:val="00D714A5"/>
    <w:rsid w:val="00D7178A"/>
    <w:rsid w:val="00D71EBC"/>
    <w:rsid w:val="00D733E9"/>
    <w:rsid w:val="00D73B61"/>
    <w:rsid w:val="00D74259"/>
    <w:rsid w:val="00D74836"/>
    <w:rsid w:val="00D74F74"/>
    <w:rsid w:val="00D75CDB"/>
    <w:rsid w:val="00D76823"/>
    <w:rsid w:val="00D76FB3"/>
    <w:rsid w:val="00D77D3A"/>
    <w:rsid w:val="00D803A8"/>
    <w:rsid w:val="00D8193C"/>
    <w:rsid w:val="00D81969"/>
    <w:rsid w:val="00D81E50"/>
    <w:rsid w:val="00D83064"/>
    <w:rsid w:val="00D8342C"/>
    <w:rsid w:val="00D83D56"/>
    <w:rsid w:val="00D8482F"/>
    <w:rsid w:val="00D85A63"/>
    <w:rsid w:val="00D85EFA"/>
    <w:rsid w:val="00D86059"/>
    <w:rsid w:val="00D8633C"/>
    <w:rsid w:val="00D868DD"/>
    <w:rsid w:val="00D86C85"/>
    <w:rsid w:val="00D927B1"/>
    <w:rsid w:val="00D92DFE"/>
    <w:rsid w:val="00D9334D"/>
    <w:rsid w:val="00D94062"/>
    <w:rsid w:val="00D94B32"/>
    <w:rsid w:val="00D94E87"/>
    <w:rsid w:val="00D9530B"/>
    <w:rsid w:val="00D95AE5"/>
    <w:rsid w:val="00D95B67"/>
    <w:rsid w:val="00D9633F"/>
    <w:rsid w:val="00D970C5"/>
    <w:rsid w:val="00D97479"/>
    <w:rsid w:val="00D97809"/>
    <w:rsid w:val="00D97CF4"/>
    <w:rsid w:val="00DA0219"/>
    <w:rsid w:val="00DA04F2"/>
    <w:rsid w:val="00DA089C"/>
    <w:rsid w:val="00DA11F3"/>
    <w:rsid w:val="00DA1409"/>
    <w:rsid w:val="00DA1C90"/>
    <w:rsid w:val="00DA2F89"/>
    <w:rsid w:val="00DA36E4"/>
    <w:rsid w:val="00DA3ADD"/>
    <w:rsid w:val="00DA4C02"/>
    <w:rsid w:val="00DA52E7"/>
    <w:rsid w:val="00DB0432"/>
    <w:rsid w:val="00DB0CE7"/>
    <w:rsid w:val="00DB0F51"/>
    <w:rsid w:val="00DB0FFE"/>
    <w:rsid w:val="00DB1CA7"/>
    <w:rsid w:val="00DB1DB9"/>
    <w:rsid w:val="00DB256B"/>
    <w:rsid w:val="00DB28A9"/>
    <w:rsid w:val="00DB5001"/>
    <w:rsid w:val="00DB6142"/>
    <w:rsid w:val="00DB72A9"/>
    <w:rsid w:val="00DB72C3"/>
    <w:rsid w:val="00DC09B1"/>
    <w:rsid w:val="00DC13E3"/>
    <w:rsid w:val="00DC198C"/>
    <w:rsid w:val="00DC1E8E"/>
    <w:rsid w:val="00DC23A3"/>
    <w:rsid w:val="00DC25E6"/>
    <w:rsid w:val="00DC2A4A"/>
    <w:rsid w:val="00DC2C76"/>
    <w:rsid w:val="00DC2FF1"/>
    <w:rsid w:val="00DC36E7"/>
    <w:rsid w:val="00DC38CA"/>
    <w:rsid w:val="00DC3BED"/>
    <w:rsid w:val="00DC50B1"/>
    <w:rsid w:val="00DC619F"/>
    <w:rsid w:val="00DC641F"/>
    <w:rsid w:val="00DC674F"/>
    <w:rsid w:val="00DC74BE"/>
    <w:rsid w:val="00DC7B4B"/>
    <w:rsid w:val="00DC7F9D"/>
    <w:rsid w:val="00DD0DCE"/>
    <w:rsid w:val="00DD14E7"/>
    <w:rsid w:val="00DD174F"/>
    <w:rsid w:val="00DD1EBD"/>
    <w:rsid w:val="00DD20B2"/>
    <w:rsid w:val="00DD24A1"/>
    <w:rsid w:val="00DD329C"/>
    <w:rsid w:val="00DD3A8F"/>
    <w:rsid w:val="00DD3EB4"/>
    <w:rsid w:val="00DD4391"/>
    <w:rsid w:val="00DD4AEE"/>
    <w:rsid w:val="00DD53B1"/>
    <w:rsid w:val="00DD590A"/>
    <w:rsid w:val="00DD5AA3"/>
    <w:rsid w:val="00DD625F"/>
    <w:rsid w:val="00DD7778"/>
    <w:rsid w:val="00DE02CE"/>
    <w:rsid w:val="00DE0582"/>
    <w:rsid w:val="00DE0668"/>
    <w:rsid w:val="00DE0DEF"/>
    <w:rsid w:val="00DE12FA"/>
    <w:rsid w:val="00DE1523"/>
    <w:rsid w:val="00DE1BCC"/>
    <w:rsid w:val="00DE1E22"/>
    <w:rsid w:val="00DE2055"/>
    <w:rsid w:val="00DE4328"/>
    <w:rsid w:val="00DE4462"/>
    <w:rsid w:val="00DE454A"/>
    <w:rsid w:val="00DE4729"/>
    <w:rsid w:val="00DE4CEB"/>
    <w:rsid w:val="00DE5032"/>
    <w:rsid w:val="00DE50E1"/>
    <w:rsid w:val="00DE6972"/>
    <w:rsid w:val="00DE6DF2"/>
    <w:rsid w:val="00DE6E3B"/>
    <w:rsid w:val="00DE743F"/>
    <w:rsid w:val="00DE7C31"/>
    <w:rsid w:val="00DF0148"/>
    <w:rsid w:val="00DF0678"/>
    <w:rsid w:val="00DF0A21"/>
    <w:rsid w:val="00DF10AD"/>
    <w:rsid w:val="00DF1133"/>
    <w:rsid w:val="00DF30F4"/>
    <w:rsid w:val="00DF3747"/>
    <w:rsid w:val="00DF3AA9"/>
    <w:rsid w:val="00DF3DCC"/>
    <w:rsid w:val="00DF4695"/>
    <w:rsid w:val="00DF4BFD"/>
    <w:rsid w:val="00DF5140"/>
    <w:rsid w:val="00DF5E09"/>
    <w:rsid w:val="00DF77A6"/>
    <w:rsid w:val="00E00326"/>
    <w:rsid w:val="00E01AD8"/>
    <w:rsid w:val="00E021C7"/>
    <w:rsid w:val="00E02456"/>
    <w:rsid w:val="00E0267D"/>
    <w:rsid w:val="00E05719"/>
    <w:rsid w:val="00E05E03"/>
    <w:rsid w:val="00E0693C"/>
    <w:rsid w:val="00E06DF1"/>
    <w:rsid w:val="00E06F45"/>
    <w:rsid w:val="00E072AB"/>
    <w:rsid w:val="00E07628"/>
    <w:rsid w:val="00E103DE"/>
    <w:rsid w:val="00E10D90"/>
    <w:rsid w:val="00E11645"/>
    <w:rsid w:val="00E116D4"/>
    <w:rsid w:val="00E11A97"/>
    <w:rsid w:val="00E129BD"/>
    <w:rsid w:val="00E129C1"/>
    <w:rsid w:val="00E12F89"/>
    <w:rsid w:val="00E1562F"/>
    <w:rsid w:val="00E162A8"/>
    <w:rsid w:val="00E16FF5"/>
    <w:rsid w:val="00E173C1"/>
    <w:rsid w:val="00E17ADC"/>
    <w:rsid w:val="00E2085B"/>
    <w:rsid w:val="00E20FC1"/>
    <w:rsid w:val="00E20FD9"/>
    <w:rsid w:val="00E212F5"/>
    <w:rsid w:val="00E213E6"/>
    <w:rsid w:val="00E21B90"/>
    <w:rsid w:val="00E22308"/>
    <w:rsid w:val="00E22545"/>
    <w:rsid w:val="00E225BE"/>
    <w:rsid w:val="00E2260E"/>
    <w:rsid w:val="00E229C2"/>
    <w:rsid w:val="00E23630"/>
    <w:rsid w:val="00E24026"/>
    <w:rsid w:val="00E247E2"/>
    <w:rsid w:val="00E24AE8"/>
    <w:rsid w:val="00E24D90"/>
    <w:rsid w:val="00E27E7F"/>
    <w:rsid w:val="00E27FA3"/>
    <w:rsid w:val="00E3003D"/>
    <w:rsid w:val="00E30861"/>
    <w:rsid w:val="00E30A0E"/>
    <w:rsid w:val="00E30A2A"/>
    <w:rsid w:val="00E315E4"/>
    <w:rsid w:val="00E3236A"/>
    <w:rsid w:val="00E324B0"/>
    <w:rsid w:val="00E32B16"/>
    <w:rsid w:val="00E33176"/>
    <w:rsid w:val="00E33AEA"/>
    <w:rsid w:val="00E33F1D"/>
    <w:rsid w:val="00E347CE"/>
    <w:rsid w:val="00E35108"/>
    <w:rsid w:val="00E35873"/>
    <w:rsid w:val="00E363CC"/>
    <w:rsid w:val="00E36774"/>
    <w:rsid w:val="00E37249"/>
    <w:rsid w:val="00E3743B"/>
    <w:rsid w:val="00E378A3"/>
    <w:rsid w:val="00E3799C"/>
    <w:rsid w:val="00E4160E"/>
    <w:rsid w:val="00E42856"/>
    <w:rsid w:val="00E432A9"/>
    <w:rsid w:val="00E434A4"/>
    <w:rsid w:val="00E43CAB"/>
    <w:rsid w:val="00E43E51"/>
    <w:rsid w:val="00E43E77"/>
    <w:rsid w:val="00E4494D"/>
    <w:rsid w:val="00E44F1B"/>
    <w:rsid w:val="00E45A67"/>
    <w:rsid w:val="00E45DAE"/>
    <w:rsid w:val="00E4643F"/>
    <w:rsid w:val="00E46905"/>
    <w:rsid w:val="00E47F97"/>
    <w:rsid w:val="00E5081D"/>
    <w:rsid w:val="00E509A6"/>
    <w:rsid w:val="00E50EC4"/>
    <w:rsid w:val="00E51355"/>
    <w:rsid w:val="00E51C92"/>
    <w:rsid w:val="00E51FFB"/>
    <w:rsid w:val="00E523CF"/>
    <w:rsid w:val="00E52424"/>
    <w:rsid w:val="00E526B2"/>
    <w:rsid w:val="00E52F66"/>
    <w:rsid w:val="00E52FE5"/>
    <w:rsid w:val="00E5511F"/>
    <w:rsid w:val="00E55249"/>
    <w:rsid w:val="00E558B7"/>
    <w:rsid w:val="00E56A0E"/>
    <w:rsid w:val="00E56C13"/>
    <w:rsid w:val="00E578DA"/>
    <w:rsid w:val="00E57C57"/>
    <w:rsid w:val="00E60C04"/>
    <w:rsid w:val="00E60C57"/>
    <w:rsid w:val="00E61023"/>
    <w:rsid w:val="00E61454"/>
    <w:rsid w:val="00E618FE"/>
    <w:rsid w:val="00E61B67"/>
    <w:rsid w:val="00E61DA3"/>
    <w:rsid w:val="00E620B8"/>
    <w:rsid w:val="00E626D4"/>
    <w:rsid w:val="00E62C64"/>
    <w:rsid w:val="00E62DC4"/>
    <w:rsid w:val="00E62EE3"/>
    <w:rsid w:val="00E644DE"/>
    <w:rsid w:val="00E64CFA"/>
    <w:rsid w:val="00E6501D"/>
    <w:rsid w:val="00E65ECE"/>
    <w:rsid w:val="00E65EDC"/>
    <w:rsid w:val="00E66041"/>
    <w:rsid w:val="00E672BC"/>
    <w:rsid w:val="00E6730B"/>
    <w:rsid w:val="00E67FAF"/>
    <w:rsid w:val="00E701C0"/>
    <w:rsid w:val="00E7099C"/>
    <w:rsid w:val="00E71212"/>
    <w:rsid w:val="00E7324C"/>
    <w:rsid w:val="00E73B10"/>
    <w:rsid w:val="00E73FDD"/>
    <w:rsid w:val="00E747F7"/>
    <w:rsid w:val="00E75618"/>
    <w:rsid w:val="00E75B81"/>
    <w:rsid w:val="00E75BCF"/>
    <w:rsid w:val="00E75C4C"/>
    <w:rsid w:val="00E766BB"/>
    <w:rsid w:val="00E77444"/>
    <w:rsid w:val="00E77FE0"/>
    <w:rsid w:val="00E80175"/>
    <w:rsid w:val="00E80983"/>
    <w:rsid w:val="00E81A2D"/>
    <w:rsid w:val="00E81BC4"/>
    <w:rsid w:val="00E81F98"/>
    <w:rsid w:val="00E828BB"/>
    <w:rsid w:val="00E83444"/>
    <w:rsid w:val="00E85064"/>
    <w:rsid w:val="00E85340"/>
    <w:rsid w:val="00E85698"/>
    <w:rsid w:val="00E85E19"/>
    <w:rsid w:val="00E86E83"/>
    <w:rsid w:val="00E872BC"/>
    <w:rsid w:val="00E906DB"/>
    <w:rsid w:val="00E913BA"/>
    <w:rsid w:val="00E9186D"/>
    <w:rsid w:val="00E91982"/>
    <w:rsid w:val="00E91C78"/>
    <w:rsid w:val="00E91EC0"/>
    <w:rsid w:val="00E92143"/>
    <w:rsid w:val="00E92289"/>
    <w:rsid w:val="00E9294E"/>
    <w:rsid w:val="00E92A80"/>
    <w:rsid w:val="00E930FE"/>
    <w:rsid w:val="00E932D3"/>
    <w:rsid w:val="00E93811"/>
    <w:rsid w:val="00E93AA0"/>
    <w:rsid w:val="00E9621C"/>
    <w:rsid w:val="00E96304"/>
    <w:rsid w:val="00E96364"/>
    <w:rsid w:val="00E963C3"/>
    <w:rsid w:val="00E978EC"/>
    <w:rsid w:val="00E97A25"/>
    <w:rsid w:val="00EA0739"/>
    <w:rsid w:val="00EA2640"/>
    <w:rsid w:val="00EA2A3A"/>
    <w:rsid w:val="00EA2F6F"/>
    <w:rsid w:val="00EA306F"/>
    <w:rsid w:val="00EA5106"/>
    <w:rsid w:val="00EA51EA"/>
    <w:rsid w:val="00EA5F1E"/>
    <w:rsid w:val="00EA5F50"/>
    <w:rsid w:val="00EA797C"/>
    <w:rsid w:val="00EA7E88"/>
    <w:rsid w:val="00EA7F16"/>
    <w:rsid w:val="00EB0AFA"/>
    <w:rsid w:val="00EB15B8"/>
    <w:rsid w:val="00EB1921"/>
    <w:rsid w:val="00EB1B5A"/>
    <w:rsid w:val="00EB1DDF"/>
    <w:rsid w:val="00EB29E9"/>
    <w:rsid w:val="00EB2B9B"/>
    <w:rsid w:val="00EB3D64"/>
    <w:rsid w:val="00EB4E19"/>
    <w:rsid w:val="00EB5B53"/>
    <w:rsid w:val="00EB645B"/>
    <w:rsid w:val="00EB70DB"/>
    <w:rsid w:val="00EB724F"/>
    <w:rsid w:val="00EB75AA"/>
    <w:rsid w:val="00EB7C93"/>
    <w:rsid w:val="00EC0807"/>
    <w:rsid w:val="00EC08A9"/>
    <w:rsid w:val="00EC0A7A"/>
    <w:rsid w:val="00EC1048"/>
    <w:rsid w:val="00EC16C6"/>
    <w:rsid w:val="00EC1EC2"/>
    <w:rsid w:val="00EC2695"/>
    <w:rsid w:val="00EC2819"/>
    <w:rsid w:val="00EC3361"/>
    <w:rsid w:val="00EC34BA"/>
    <w:rsid w:val="00EC3F2A"/>
    <w:rsid w:val="00EC43A7"/>
    <w:rsid w:val="00EC4A93"/>
    <w:rsid w:val="00EC4BF0"/>
    <w:rsid w:val="00EC4C68"/>
    <w:rsid w:val="00EC547E"/>
    <w:rsid w:val="00EC54BB"/>
    <w:rsid w:val="00EC5872"/>
    <w:rsid w:val="00EC5D24"/>
    <w:rsid w:val="00EC5D70"/>
    <w:rsid w:val="00EC6060"/>
    <w:rsid w:val="00EC6214"/>
    <w:rsid w:val="00EC70BF"/>
    <w:rsid w:val="00EC72CA"/>
    <w:rsid w:val="00EC79FA"/>
    <w:rsid w:val="00EC7F99"/>
    <w:rsid w:val="00ED03C1"/>
    <w:rsid w:val="00ED043B"/>
    <w:rsid w:val="00ED061A"/>
    <w:rsid w:val="00ED0FE6"/>
    <w:rsid w:val="00ED11F4"/>
    <w:rsid w:val="00ED13D2"/>
    <w:rsid w:val="00ED1691"/>
    <w:rsid w:val="00ED1CC4"/>
    <w:rsid w:val="00ED1F1A"/>
    <w:rsid w:val="00ED1F79"/>
    <w:rsid w:val="00ED3536"/>
    <w:rsid w:val="00ED3CA1"/>
    <w:rsid w:val="00ED423E"/>
    <w:rsid w:val="00ED42B1"/>
    <w:rsid w:val="00ED4582"/>
    <w:rsid w:val="00ED5B75"/>
    <w:rsid w:val="00ED5D55"/>
    <w:rsid w:val="00ED65AE"/>
    <w:rsid w:val="00ED698B"/>
    <w:rsid w:val="00ED7607"/>
    <w:rsid w:val="00ED7BFA"/>
    <w:rsid w:val="00EE0114"/>
    <w:rsid w:val="00EE0395"/>
    <w:rsid w:val="00EE123E"/>
    <w:rsid w:val="00EE1285"/>
    <w:rsid w:val="00EE12E6"/>
    <w:rsid w:val="00EE1C90"/>
    <w:rsid w:val="00EE1D1C"/>
    <w:rsid w:val="00EE1EDC"/>
    <w:rsid w:val="00EE312C"/>
    <w:rsid w:val="00EE3646"/>
    <w:rsid w:val="00EE3AD1"/>
    <w:rsid w:val="00EE3B57"/>
    <w:rsid w:val="00EE3DB9"/>
    <w:rsid w:val="00EE4216"/>
    <w:rsid w:val="00EE473B"/>
    <w:rsid w:val="00EE54C1"/>
    <w:rsid w:val="00EE6431"/>
    <w:rsid w:val="00EE654D"/>
    <w:rsid w:val="00EE6934"/>
    <w:rsid w:val="00EE77A8"/>
    <w:rsid w:val="00EE7EC2"/>
    <w:rsid w:val="00EF101F"/>
    <w:rsid w:val="00EF10AD"/>
    <w:rsid w:val="00EF1C21"/>
    <w:rsid w:val="00EF1C80"/>
    <w:rsid w:val="00EF218C"/>
    <w:rsid w:val="00EF26C2"/>
    <w:rsid w:val="00EF3395"/>
    <w:rsid w:val="00EF38D7"/>
    <w:rsid w:val="00EF3982"/>
    <w:rsid w:val="00EF4778"/>
    <w:rsid w:val="00EF48B5"/>
    <w:rsid w:val="00EF4E3E"/>
    <w:rsid w:val="00EF4EB2"/>
    <w:rsid w:val="00EF5826"/>
    <w:rsid w:val="00EF60EB"/>
    <w:rsid w:val="00EF6DE5"/>
    <w:rsid w:val="00EF7278"/>
    <w:rsid w:val="00EF72F9"/>
    <w:rsid w:val="00F00526"/>
    <w:rsid w:val="00F0073C"/>
    <w:rsid w:val="00F0325B"/>
    <w:rsid w:val="00F043D5"/>
    <w:rsid w:val="00F046C3"/>
    <w:rsid w:val="00F04FD2"/>
    <w:rsid w:val="00F0641C"/>
    <w:rsid w:val="00F06F76"/>
    <w:rsid w:val="00F070EC"/>
    <w:rsid w:val="00F07AB6"/>
    <w:rsid w:val="00F110A5"/>
    <w:rsid w:val="00F11B4A"/>
    <w:rsid w:val="00F12375"/>
    <w:rsid w:val="00F1255D"/>
    <w:rsid w:val="00F12780"/>
    <w:rsid w:val="00F1287E"/>
    <w:rsid w:val="00F13376"/>
    <w:rsid w:val="00F141D3"/>
    <w:rsid w:val="00F156F5"/>
    <w:rsid w:val="00F15F13"/>
    <w:rsid w:val="00F2100B"/>
    <w:rsid w:val="00F212C3"/>
    <w:rsid w:val="00F21E7B"/>
    <w:rsid w:val="00F2222E"/>
    <w:rsid w:val="00F2298C"/>
    <w:rsid w:val="00F2317E"/>
    <w:rsid w:val="00F2324B"/>
    <w:rsid w:val="00F2392C"/>
    <w:rsid w:val="00F24C66"/>
    <w:rsid w:val="00F24E31"/>
    <w:rsid w:val="00F25401"/>
    <w:rsid w:val="00F25F53"/>
    <w:rsid w:val="00F26189"/>
    <w:rsid w:val="00F26257"/>
    <w:rsid w:val="00F272D8"/>
    <w:rsid w:val="00F30166"/>
    <w:rsid w:val="00F31037"/>
    <w:rsid w:val="00F31D75"/>
    <w:rsid w:val="00F32178"/>
    <w:rsid w:val="00F32BED"/>
    <w:rsid w:val="00F3417C"/>
    <w:rsid w:val="00F347C6"/>
    <w:rsid w:val="00F34CFA"/>
    <w:rsid w:val="00F35220"/>
    <w:rsid w:val="00F35B29"/>
    <w:rsid w:val="00F36D90"/>
    <w:rsid w:val="00F3713A"/>
    <w:rsid w:val="00F407A0"/>
    <w:rsid w:val="00F40ABC"/>
    <w:rsid w:val="00F4272D"/>
    <w:rsid w:val="00F4288B"/>
    <w:rsid w:val="00F43308"/>
    <w:rsid w:val="00F43EC0"/>
    <w:rsid w:val="00F445F0"/>
    <w:rsid w:val="00F45092"/>
    <w:rsid w:val="00F4570A"/>
    <w:rsid w:val="00F4632F"/>
    <w:rsid w:val="00F4660F"/>
    <w:rsid w:val="00F46A57"/>
    <w:rsid w:val="00F47471"/>
    <w:rsid w:val="00F477D8"/>
    <w:rsid w:val="00F511BE"/>
    <w:rsid w:val="00F51501"/>
    <w:rsid w:val="00F52A7D"/>
    <w:rsid w:val="00F54343"/>
    <w:rsid w:val="00F554B6"/>
    <w:rsid w:val="00F558FC"/>
    <w:rsid w:val="00F55998"/>
    <w:rsid w:val="00F56064"/>
    <w:rsid w:val="00F564D9"/>
    <w:rsid w:val="00F5686D"/>
    <w:rsid w:val="00F56F52"/>
    <w:rsid w:val="00F5727C"/>
    <w:rsid w:val="00F6035C"/>
    <w:rsid w:val="00F604DB"/>
    <w:rsid w:val="00F609F3"/>
    <w:rsid w:val="00F60D51"/>
    <w:rsid w:val="00F6107A"/>
    <w:rsid w:val="00F61205"/>
    <w:rsid w:val="00F61E18"/>
    <w:rsid w:val="00F632D7"/>
    <w:rsid w:val="00F63E2F"/>
    <w:rsid w:val="00F6412C"/>
    <w:rsid w:val="00F6424E"/>
    <w:rsid w:val="00F648BE"/>
    <w:rsid w:val="00F64B72"/>
    <w:rsid w:val="00F64D2A"/>
    <w:rsid w:val="00F6578C"/>
    <w:rsid w:val="00F66375"/>
    <w:rsid w:val="00F66CFA"/>
    <w:rsid w:val="00F7048D"/>
    <w:rsid w:val="00F7094F"/>
    <w:rsid w:val="00F71238"/>
    <w:rsid w:val="00F71481"/>
    <w:rsid w:val="00F7168B"/>
    <w:rsid w:val="00F7185F"/>
    <w:rsid w:val="00F71B1F"/>
    <w:rsid w:val="00F730E9"/>
    <w:rsid w:val="00F7316C"/>
    <w:rsid w:val="00F735F4"/>
    <w:rsid w:val="00F7452A"/>
    <w:rsid w:val="00F7532B"/>
    <w:rsid w:val="00F75853"/>
    <w:rsid w:val="00F7683F"/>
    <w:rsid w:val="00F768C6"/>
    <w:rsid w:val="00F8116C"/>
    <w:rsid w:val="00F8188B"/>
    <w:rsid w:val="00F818F2"/>
    <w:rsid w:val="00F81DC9"/>
    <w:rsid w:val="00F82408"/>
    <w:rsid w:val="00F82D31"/>
    <w:rsid w:val="00F82F61"/>
    <w:rsid w:val="00F82FDA"/>
    <w:rsid w:val="00F831C8"/>
    <w:rsid w:val="00F840AD"/>
    <w:rsid w:val="00F841CB"/>
    <w:rsid w:val="00F84992"/>
    <w:rsid w:val="00F84D30"/>
    <w:rsid w:val="00F85379"/>
    <w:rsid w:val="00F85DFB"/>
    <w:rsid w:val="00F85F8D"/>
    <w:rsid w:val="00F86461"/>
    <w:rsid w:val="00F90DE6"/>
    <w:rsid w:val="00F91053"/>
    <w:rsid w:val="00F914B8"/>
    <w:rsid w:val="00F91AE3"/>
    <w:rsid w:val="00F91C81"/>
    <w:rsid w:val="00F91E58"/>
    <w:rsid w:val="00F92858"/>
    <w:rsid w:val="00F9375A"/>
    <w:rsid w:val="00F9377C"/>
    <w:rsid w:val="00F93FCC"/>
    <w:rsid w:val="00F94127"/>
    <w:rsid w:val="00F9541B"/>
    <w:rsid w:val="00F954F9"/>
    <w:rsid w:val="00F96E5E"/>
    <w:rsid w:val="00F976EC"/>
    <w:rsid w:val="00F97D31"/>
    <w:rsid w:val="00FA1A9F"/>
    <w:rsid w:val="00FA20BE"/>
    <w:rsid w:val="00FA23B0"/>
    <w:rsid w:val="00FA2535"/>
    <w:rsid w:val="00FA2C38"/>
    <w:rsid w:val="00FA326D"/>
    <w:rsid w:val="00FA3FF2"/>
    <w:rsid w:val="00FA50CD"/>
    <w:rsid w:val="00FA54DD"/>
    <w:rsid w:val="00FA6500"/>
    <w:rsid w:val="00FA6BF2"/>
    <w:rsid w:val="00FA6D76"/>
    <w:rsid w:val="00FA6F60"/>
    <w:rsid w:val="00FA7610"/>
    <w:rsid w:val="00FA7859"/>
    <w:rsid w:val="00FA7F38"/>
    <w:rsid w:val="00FA7FFA"/>
    <w:rsid w:val="00FB0075"/>
    <w:rsid w:val="00FB1695"/>
    <w:rsid w:val="00FB1C0D"/>
    <w:rsid w:val="00FB23F8"/>
    <w:rsid w:val="00FB240C"/>
    <w:rsid w:val="00FB3402"/>
    <w:rsid w:val="00FB349E"/>
    <w:rsid w:val="00FB459F"/>
    <w:rsid w:val="00FB4635"/>
    <w:rsid w:val="00FB48BC"/>
    <w:rsid w:val="00FB4D58"/>
    <w:rsid w:val="00FB4EAC"/>
    <w:rsid w:val="00FB5581"/>
    <w:rsid w:val="00FB5D98"/>
    <w:rsid w:val="00FB5F87"/>
    <w:rsid w:val="00FB66F5"/>
    <w:rsid w:val="00FB75B3"/>
    <w:rsid w:val="00FB77CB"/>
    <w:rsid w:val="00FC01C9"/>
    <w:rsid w:val="00FC100D"/>
    <w:rsid w:val="00FC18E1"/>
    <w:rsid w:val="00FC1D12"/>
    <w:rsid w:val="00FC29C9"/>
    <w:rsid w:val="00FC2D0B"/>
    <w:rsid w:val="00FC3762"/>
    <w:rsid w:val="00FC3D4B"/>
    <w:rsid w:val="00FC41B3"/>
    <w:rsid w:val="00FC429C"/>
    <w:rsid w:val="00FC6582"/>
    <w:rsid w:val="00FC6A08"/>
    <w:rsid w:val="00FC738C"/>
    <w:rsid w:val="00FC73FC"/>
    <w:rsid w:val="00FC751F"/>
    <w:rsid w:val="00FC79E7"/>
    <w:rsid w:val="00FC7E63"/>
    <w:rsid w:val="00FD0AAA"/>
    <w:rsid w:val="00FD101C"/>
    <w:rsid w:val="00FD113E"/>
    <w:rsid w:val="00FD1DE9"/>
    <w:rsid w:val="00FD1E22"/>
    <w:rsid w:val="00FD273D"/>
    <w:rsid w:val="00FD3793"/>
    <w:rsid w:val="00FD39E6"/>
    <w:rsid w:val="00FD40D2"/>
    <w:rsid w:val="00FD46E8"/>
    <w:rsid w:val="00FD48A6"/>
    <w:rsid w:val="00FD4A65"/>
    <w:rsid w:val="00FD4B9A"/>
    <w:rsid w:val="00FD4BE4"/>
    <w:rsid w:val="00FD4D46"/>
    <w:rsid w:val="00FD51EA"/>
    <w:rsid w:val="00FD56E3"/>
    <w:rsid w:val="00FD58ED"/>
    <w:rsid w:val="00FD5EA5"/>
    <w:rsid w:val="00FD603E"/>
    <w:rsid w:val="00FD67E4"/>
    <w:rsid w:val="00FD6918"/>
    <w:rsid w:val="00FD6CA7"/>
    <w:rsid w:val="00FD72F6"/>
    <w:rsid w:val="00FD753C"/>
    <w:rsid w:val="00FE072D"/>
    <w:rsid w:val="00FE158B"/>
    <w:rsid w:val="00FE1C71"/>
    <w:rsid w:val="00FE1EBB"/>
    <w:rsid w:val="00FE2EC2"/>
    <w:rsid w:val="00FE2EF2"/>
    <w:rsid w:val="00FE2F33"/>
    <w:rsid w:val="00FE3211"/>
    <w:rsid w:val="00FE344A"/>
    <w:rsid w:val="00FE3A4E"/>
    <w:rsid w:val="00FE3FD6"/>
    <w:rsid w:val="00FE480E"/>
    <w:rsid w:val="00FE4C87"/>
    <w:rsid w:val="00FE4F99"/>
    <w:rsid w:val="00FE5269"/>
    <w:rsid w:val="00FE6FA8"/>
    <w:rsid w:val="00FE7242"/>
    <w:rsid w:val="00FF0660"/>
    <w:rsid w:val="00FF0B19"/>
    <w:rsid w:val="00FF0B9C"/>
    <w:rsid w:val="00FF0BC6"/>
    <w:rsid w:val="00FF0FFE"/>
    <w:rsid w:val="00FF11A9"/>
    <w:rsid w:val="00FF1585"/>
    <w:rsid w:val="00FF1AFD"/>
    <w:rsid w:val="00FF3E53"/>
    <w:rsid w:val="00FF3F21"/>
    <w:rsid w:val="00FF49D2"/>
    <w:rsid w:val="00FF4EF4"/>
    <w:rsid w:val="00FF5080"/>
    <w:rsid w:val="00FF594C"/>
    <w:rsid w:val="0107D378"/>
    <w:rsid w:val="0117505B"/>
    <w:rsid w:val="0134A332"/>
    <w:rsid w:val="01579AA0"/>
    <w:rsid w:val="016BE09F"/>
    <w:rsid w:val="0179D3FE"/>
    <w:rsid w:val="019A348D"/>
    <w:rsid w:val="019DC300"/>
    <w:rsid w:val="01AF2322"/>
    <w:rsid w:val="01CBF866"/>
    <w:rsid w:val="01FF4638"/>
    <w:rsid w:val="02588296"/>
    <w:rsid w:val="0273FF70"/>
    <w:rsid w:val="0274268A"/>
    <w:rsid w:val="0275FD80"/>
    <w:rsid w:val="0279A00D"/>
    <w:rsid w:val="027DF3D9"/>
    <w:rsid w:val="02853CC6"/>
    <w:rsid w:val="0287B1F2"/>
    <w:rsid w:val="02F43290"/>
    <w:rsid w:val="03166A67"/>
    <w:rsid w:val="03209870"/>
    <w:rsid w:val="0356A203"/>
    <w:rsid w:val="0359071F"/>
    <w:rsid w:val="0371BE29"/>
    <w:rsid w:val="037C19DF"/>
    <w:rsid w:val="03A5A03D"/>
    <w:rsid w:val="03B01F3F"/>
    <w:rsid w:val="03B02B95"/>
    <w:rsid w:val="03B92F3E"/>
    <w:rsid w:val="03BAD102"/>
    <w:rsid w:val="03D27256"/>
    <w:rsid w:val="03D39E58"/>
    <w:rsid w:val="03F7D330"/>
    <w:rsid w:val="03F88FCC"/>
    <w:rsid w:val="04112461"/>
    <w:rsid w:val="041414DE"/>
    <w:rsid w:val="042333D0"/>
    <w:rsid w:val="0425FC20"/>
    <w:rsid w:val="0449C9B0"/>
    <w:rsid w:val="044C662C"/>
    <w:rsid w:val="045B79B6"/>
    <w:rsid w:val="046457C3"/>
    <w:rsid w:val="046B9F8E"/>
    <w:rsid w:val="0485A46A"/>
    <w:rsid w:val="049E00EA"/>
    <w:rsid w:val="04A7828B"/>
    <w:rsid w:val="04ABB6DF"/>
    <w:rsid w:val="04C515E1"/>
    <w:rsid w:val="04D57318"/>
    <w:rsid w:val="04DE69C2"/>
    <w:rsid w:val="04EBEB89"/>
    <w:rsid w:val="04ECEB56"/>
    <w:rsid w:val="04EEB8D5"/>
    <w:rsid w:val="04F12DB0"/>
    <w:rsid w:val="050502B9"/>
    <w:rsid w:val="050CADFC"/>
    <w:rsid w:val="052479A3"/>
    <w:rsid w:val="052F99C4"/>
    <w:rsid w:val="053B846A"/>
    <w:rsid w:val="05445A49"/>
    <w:rsid w:val="05651101"/>
    <w:rsid w:val="057C4B0E"/>
    <w:rsid w:val="059BB327"/>
    <w:rsid w:val="059EEAAE"/>
    <w:rsid w:val="05E65959"/>
    <w:rsid w:val="05E8F198"/>
    <w:rsid w:val="05EF7CEF"/>
    <w:rsid w:val="05FD380F"/>
    <w:rsid w:val="060093BD"/>
    <w:rsid w:val="061499CF"/>
    <w:rsid w:val="061C4DC2"/>
    <w:rsid w:val="061ED0C3"/>
    <w:rsid w:val="063868B7"/>
    <w:rsid w:val="063A5DB9"/>
    <w:rsid w:val="063CE9A4"/>
    <w:rsid w:val="0653FB91"/>
    <w:rsid w:val="0666AE32"/>
    <w:rsid w:val="066933EF"/>
    <w:rsid w:val="0679C923"/>
    <w:rsid w:val="068E6479"/>
    <w:rsid w:val="06AB6E49"/>
    <w:rsid w:val="06B00D37"/>
    <w:rsid w:val="06C6C8E2"/>
    <w:rsid w:val="06C85D6F"/>
    <w:rsid w:val="06C8638E"/>
    <w:rsid w:val="06D57DCC"/>
    <w:rsid w:val="071C751A"/>
    <w:rsid w:val="072043A6"/>
    <w:rsid w:val="072725C6"/>
    <w:rsid w:val="073B45DD"/>
    <w:rsid w:val="0764E930"/>
    <w:rsid w:val="076F61D1"/>
    <w:rsid w:val="0778C043"/>
    <w:rsid w:val="0792D777"/>
    <w:rsid w:val="079A1886"/>
    <w:rsid w:val="07A59EED"/>
    <w:rsid w:val="07AACD68"/>
    <w:rsid w:val="07B37D90"/>
    <w:rsid w:val="07B475AA"/>
    <w:rsid w:val="07BB3B5A"/>
    <w:rsid w:val="07C05BF0"/>
    <w:rsid w:val="07F5BD90"/>
    <w:rsid w:val="07FDA1BF"/>
    <w:rsid w:val="08266FF8"/>
    <w:rsid w:val="08324BCF"/>
    <w:rsid w:val="08367242"/>
    <w:rsid w:val="08547B2C"/>
    <w:rsid w:val="086BC292"/>
    <w:rsid w:val="088892B4"/>
    <w:rsid w:val="0889B330"/>
    <w:rsid w:val="0890DAAF"/>
    <w:rsid w:val="08A1024E"/>
    <w:rsid w:val="08C51397"/>
    <w:rsid w:val="08CD3E13"/>
    <w:rsid w:val="08D6236C"/>
    <w:rsid w:val="08E93E69"/>
    <w:rsid w:val="08EE1471"/>
    <w:rsid w:val="08F7661E"/>
    <w:rsid w:val="08F7FCB0"/>
    <w:rsid w:val="092A8009"/>
    <w:rsid w:val="0945EC7F"/>
    <w:rsid w:val="094BF158"/>
    <w:rsid w:val="096446AD"/>
    <w:rsid w:val="0983BFA1"/>
    <w:rsid w:val="0985C93D"/>
    <w:rsid w:val="09890CC2"/>
    <w:rsid w:val="098E0583"/>
    <w:rsid w:val="09A1EA2D"/>
    <w:rsid w:val="09BF2B20"/>
    <w:rsid w:val="0A0E6D87"/>
    <w:rsid w:val="0A1195C4"/>
    <w:rsid w:val="0A227CB9"/>
    <w:rsid w:val="0A24813E"/>
    <w:rsid w:val="0A3F62B3"/>
    <w:rsid w:val="0A4298B4"/>
    <w:rsid w:val="0A470F1A"/>
    <w:rsid w:val="0A510B6B"/>
    <w:rsid w:val="0A5F38BA"/>
    <w:rsid w:val="0A60DFD0"/>
    <w:rsid w:val="0A68255F"/>
    <w:rsid w:val="0A9CE2EF"/>
    <w:rsid w:val="0A9D29E6"/>
    <w:rsid w:val="0ACFBFF3"/>
    <w:rsid w:val="0AEAD853"/>
    <w:rsid w:val="0AEE324E"/>
    <w:rsid w:val="0AF28DD7"/>
    <w:rsid w:val="0B1D09EB"/>
    <w:rsid w:val="0B1FCADA"/>
    <w:rsid w:val="0B36372A"/>
    <w:rsid w:val="0B44D707"/>
    <w:rsid w:val="0B541E40"/>
    <w:rsid w:val="0B5776D0"/>
    <w:rsid w:val="0B58CE6F"/>
    <w:rsid w:val="0B5907B9"/>
    <w:rsid w:val="0B7DCC5B"/>
    <w:rsid w:val="0B92BAAC"/>
    <w:rsid w:val="0B9DB520"/>
    <w:rsid w:val="0BB0C798"/>
    <w:rsid w:val="0BB93F45"/>
    <w:rsid w:val="0BD70C17"/>
    <w:rsid w:val="0BE5CD77"/>
    <w:rsid w:val="0BE99DBD"/>
    <w:rsid w:val="0BEAA733"/>
    <w:rsid w:val="0BEF9DF1"/>
    <w:rsid w:val="0BF7DF19"/>
    <w:rsid w:val="0C243DC4"/>
    <w:rsid w:val="0C2CB6A5"/>
    <w:rsid w:val="0C5CD95C"/>
    <w:rsid w:val="0C62AFBF"/>
    <w:rsid w:val="0C668EB0"/>
    <w:rsid w:val="0C6E506C"/>
    <w:rsid w:val="0C8EA1E4"/>
    <w:rsid w:val="0C98B3D3"/>
    <w:rsid w:val="0C9F3A48"/>
    <w:rsid w:val="0CA691E8"/>
    <w:rsid w:val="0CAD29EF"/>
    <w:rsid w:val="0CF0F72F"/>
    <w:rsid w:val="0D02B0C6"/>
    <w:rsid w:val="0D15AD47"/>
    <w:rsid w:val="0D34FD80"/>
    <w:rsid w:val="0D6EB79F"/>
    <w:rsid w:val="0D8FD242"/>
    <w:rsid w:val="0D912516"/>
    <w:rsid w:val="0D96851D"/>
    <w:rsid w:val="0DCC8715"/>
    <w:rsid w:val="0DDA0004"/>
    <w:rsid w:val="0DDCAAFD"/>
    <w:rsid w:val="0DE3D81E"/>
    <w:rsid w:val="0DEE326E"/>
    <w:rsid w:val="0DFBE551"/>
    <w:rsid w:val="0E020D3B"/>
    <w:rsid w:val="0E1AACC5"/>
    <w:rsid w:val="0E1EB4ED"/>
    <w:rsid w:val="0E20AFF6"/>
    <w:rsid w:val="0E2ACA2E"/>
    <w:rsid w:val="0E2CF80A"/>
    <w:rsid w:val="0E32E592"/>
    <w:rsid w:val="0E37E5F3"/>
    <w:rsid w:val="0E390B09"/>
    <w:rsid w:val="0E465AB3"/>
    <w:rsid w:val="0E51A875"/>
    <w:rsid w:val="0E55EFBD"/>
    <w:rsid w:val="0E5AB8DA"/>
    <w:rsid w:val="0E663F86"/>
    <w:rsid w:val="0E6BCA84"/>
    <w:rsid w:val="0EA64380"/>
    <w:rsid w:val="0EC416CB"/>
    <w:rsid w:val="0EC9CC42"/>
    <w:rsid w:val="0EEBBCFF"/>
    <w:rsid w:val="0EF8128A"/>
    <w:rsid w:val="0F18E303"/>
    <w:rsid w:val="0F1F45CD"/>
    <w:rsid w:val="0F25B113"/>
    <w:rsid w:val="0F5555F0"/>
    <w:rsid w:val="0F5CE0FF"/>
    <w:rsid w:val="0F7D8391"/>
    <w:rsid w:val="0F88E48A"/>
    <w:rsid w:val="0FE23D48"/>
    <w:rsid w:val="1044F1CD"/>
    <w:rsid w:val="1045C511"/>
    <w:rsid w:val="105706D6"/>
    <w:rsid w:val="10687A13"/>
    <w:rsid w:val="107FEA42"/>
    <w:rsid w:val="10A110ED"/>
    <w:rsid w:val="10B22286"/>
    <w:rsid w:val="10B6DF47"/>
    <w:rsid w:val="10C05E6D"/>
    <w:rsid w:val="10D178A8"/>
    <w:rsid w:val="10D4D0C7"/>
    <w:rsid w:val="1132266F"/>
    <w:rsid w:val="114946E9"/>
    <w:rsid w:val="115948A8"/>
    <w:rsid w:val="11703EF1"/>
    <w:rsid w:val="11813F7B"/>
    <w:rsid w:val="1189AA48"/>
    <w:rsid w:val="1190A926"/>
    <w:rsid w:val="119D2F98"/>
    <w:rsid w:val="119DF55A"/>
    <w:rsid w:val="11A5EC9D"/>
    <w:rsid w:val="12087A0F"/>
    <w:rsid w:val="121F1B0A"/>
    <w:rsid w:val="12312F48"/>
    <w:rsid w:val="12546DB9"/>
    <w:rsid w:val="12A05021"/>
    <w:rsid w:val="12A6BBE0"/>
    <w:rsid w:val="12AAC750"/>
    <w:rsid w:val="12AB3FB0"/>
    <w:rsid w:val="12AC0C0F"/>
    <w:rsid w:val="12B1DF72"/>
    <w:rsid w:val="12B2011A"/>
    <w:rsid w:val="12D8A52F"/>
    <w:rsid w:val="12DD00B0"/>
    <w:rsid w:val="12EE4A74"/>
    <w:rsid w:val="1306F6BF"/>
    <w:rsid w:val="132FD4C0"/>
    <w:rsid w:val="1332D820"/>
    <w:rsid w:val="13399278"/>
    <w:rsid w:val="133D4CE8"/>
    <w:rsid w:val="1340C2D7"/>
    <w:rsid w:val="134D8551"/>
    <w:rsid w:val="135D91F4"/>
    <w:rsid w:val="13630B67"/>
    <w:rsid w:val="1373B578"/>
    <w:rsid w:val="1375758E"/>
    <w:rsid w:val="13805A8A"/>
    <w:rsid w:val="139A63B5"/>
    <w:rsid w:val="139C303E"/>
    <w:rsid w:val="13A5A182"/>
    <w:rsid w:val="13AE80EC"/>
    <w:rsid w:val="13BFE660"/>
    <w:rsid w:val="13E0EC47"/>
    <w:rsid w:val="13F3EFA2"/>
    <w:rsid w:val="1404B4C6"/>
    <w:rsid w:val="142E88C6"/>
    <w:rsid w:val="14687C8D"/>
    <w:rsid w:val="149293FE"/>
    <w:rsid w:val="1493B271"/>
    <w:rsid w:val="14BAD376"/>
    <w:rsid w:val="14D30A23"/>
    <w:rsid w:val="14F285B7"/>
    <w:rsid w:val="14F4DF00"/>
    <w:rsid w:val="150EF615"/>
    <w:rsid w:val="151999D2"/>
    <w:rsid w:val="153CA608"/>
    <w:rsid w:val="156075EB"/>
    <w:rsid w:val="156CC159"/>
    <w:rsid w:val="156D484A"/>
    <w:rsid w:val="157C773F"/>
    <w:rsid w:val="158A7444"/>
    <w:rsid w:val="158C743C"/>
    <w:rsid w:val="158E031B"/>
    <w:rsid w:val="15ADA737"/>
    <w:rsid w:val="15C352CB"/>
    <w:rsid w:val="15C6DB63"/>
    <w:rsid w:val="15C80954"/>
    <w:rsid w:val="15E7D2D2"/>
    <w:rsid w:val="15ED4141"/>
    <w:rsid w:val="15F2B1D6"/>
    <w:rsid w:val="1606FA4B"/>
    <w:rsid w:val="16199FB1"/>
    <w:rsid w:val="167C5C13"/>
    <w:rsid w:val="167C8D4E"/>
    <w:rsid w:val="16A2D44B"/>
    <w:rsid w:val="16C1EA8F"/>
    <w:rsid w:val="16C7F217"/>
    <w:rsid w:val="16D633DB"/>
    <w:rsid w:val="16FA4469"/>
    <w:rsid w:val="1704D797"/>
    <w:rsid w:val="17266025"/>
    <w:rsid w:val="173F837C"/>
    <w:rsid w:val="17559A6D"/>
    <w:rsid w:val="1761E60F"/>
    <w:rsid w:val="17831AEC"/>
    <w:rsid w:val="179079C2"/>
    <w:rsid w:val="1793108A"/>
    <w:rsid w:val="17958795"/>
    <w:rsid w:val="17A89B27"/>
    <w:rsid w:val="17AB44A5"/>
    <w:rsid w:val="17CCEC3C"/>
    <w:rsid w:val="17DA3B80"/>
    <w:rsid w:val="17EA8C09"/>
    <w:rsid w:val="17F10C6A"/>
    <w:rsid w:val="18139120"/>
    <w:rsid w:val="18189409"/>
    <w:rsid w:val="18345986"/>
    <w:rsid w:val="183534E3"/>
    <w:rsid w:val="183934B4"/>
    <w:rsid w:val="18407CC3"/>
    <w:rsid w:val="1843F46D"/>
    <w:rsid w:val="184FAEFF"/>
    <w:rsid w:val="186AA015"/>
    <w:rsid w:val="18807DED"/>
    <w:rsid w:val="188B3EA9"/>
    <w:rsid w:val="18F45C98"/>
    <w:rsid w:val="18F597D9"/>
    <w:rsid w:val="18FDD26E"/>
    <w:rsid w:val="19106F8E"/>
    <w:rsid w:val="1916E1A9"/>
    <w:rsid w:val="19217484"/>
    <w:rsid w:val="1928A6E2"/>
    <w:rsid w:val="194F5EC7"/>
    <w:rsid w:val="19601FF1"/>
    <w:rsid w:val="196B1EEE"/>
    <w:rsid w:val="197D1239"/>
    <w:rsid w:val="1986528C"/>
    <w:rsid w:val="199A3F5A"/>
    <w:rsid w:val="19A0923E"/>
    <w:rsid w:val="19B2F7A3"/>
    <w:rsid w:val="19C7894A"/>
    <w:rsid w:val="19EF6CC4"/>
    <w:rsid w:val="19F1A5F8"/>
    <w:rsid w:val="19F750C9"/>
    <w:rsid w:val="1A1DBF57"/>
    <w:rsid w:val="1A22721C"/>
    <w:rsid w:val="1A270C88"/>
    <w:rsid w:val="1A3BB679"/>
    <w:rsid w:val="1A3EC03D"/>
    <w:rsid w:val="1A406066"/>
    <w:rsid w:val="1A42292F"/>
    <w:rsid w:val="1A430210"/>
    <w:rsid w:val="1A590A2D"/>
    <w:rsid w:val="1A8B9148"/>
    <w:rsid w:val="1AA62A48"/>
    <w:rsid w:val="1AB585FC"/>
    <w:rsid w:val="1AB7F84A"/>
    <w:rsid w:val="1AC5DDBC"/>
    <w:rsid w:val="1AEE4400"/>
    <w:rsid w:val="1AF8FDFF"/>
    <w:rsid w:val="1AFD8055"/>
    <w:rsid w:val="1B2EFCD6"/>
    <w:rsid w:val="1B3B5FF1"/>
    <w:rsid w:val="1B3EA8AE"/>
    <w:rsid w:val="1B494AA1"/>
    <w:rsid w:val="1B6A6214"/>
    <w:rsid w:val="1B6F2C35"/>
    <w:rsid w:val="1B894D32"/>
    <w:rsid w:val="1B8D45C2"/>
    <w:rsid w:val="1BB16842"/>
    <w:rsid w:val="1BE59981"/>
    <w:rsid w:val="1BFF8DC1"/>
    <w:rsid w:val="1C0ED9EC"/>
    <w:rsid w:val="1C11E273"/>
    <w:rsid w:val="1C19464E"/>
    <w:rsid w:val="1C355502"/>
    <w:rsid w:val="1C5DF53E"/>
    <w:rsid w:val="1C604974"/>
    <w:rsid w:val="1C6884B9"/>
    <w:rsid w:val="1C781B69"/>
    <w:rsid w:val="1C7B66CD"/>
    <w:rsid w:val="1C9AD2A7"/>
    <w:rsid w:val="1CC20D45"/>
    <w:rsid w:val="1CD3DEB1"/>
    <w:rsid w:val="1CDC2356"/>
    <w:rsid w:val="1CE7B8E8"/>
    <w:rsid w:val="1CEFA8CD"/>
    <w:rsid w:val="1D3C54A4"/>
    <w:rsid w:val="1D4D953C"/>
    <w:rsid w:val="1D52C8CE"/>
    <w:rsid w:val="1D84AAD0"/>
    <w:rsid w:val="1D9FCC5F"/>
    <w:rsid w:val="1DBE815D"/>
    <w:rsid w:val="1DBEC96A"/>
    <w:rsid w:val="1DC45B1B"/>
    <w:rsid w:val="1DDD976C"/>
    <w:rsid w:val="1DEFE60F"/>
    <w:rsid w:val="1E0B3E95"/>
    <w:rsid w:val="1E0D2E15"/>
    <w:rsid w:val="1E1FAC14"/>
    <w:rsid w:val="1E2FAA90"/>
    <w:rsid w:val="1E4BC7CA"/>
    <w:rsid w:val="1E5D0F4C"/>
    <w:rsid w:val="1E67D389"/>
    <w:rsid w:val="1E98F065"/>
    <w:rsid w:val="1E9B19EE"/>
    <w:rsid w:val="1E9BE9F8"/>
    <w:rsid w:val="1EA0E43D"/>
    <w:rsid w:val="1EB4C1C7"/>
    <w:rsid w:val="1EC903A8"/>
    <w:rsid w:val="1EEA760E"/>
    <w:rsid w:val="1EEE0108"/>
    <w:rsid w:val="1F018438"/>
    <w:rsid w:val="1F420AB1"/>
    <w:rsid w:val="1F8B9816"/>
    <w:rsid w:val="1FADE6F2"/>
    <w:rsid w:val="1FB0EC25"/>
    <w:rsid w:val="1FC4866B"/>
    <w:rsid w:val="1FC57EAB"/>
    <w:rsid w:val="1FC7F5E6"/>
    <w:rsid w:val="1FE3BFF6"/>
    <w:rsid w:val="1FE6FD58"/>
    <w:rsid w:val="1FEEFFF8"/>
    <w:rsid w:val="1FFE08C2"/>
    <w:rsid w:val="1FFFF9DD"/>
    <w:rsid w:val="200A252E"/>
    <w:rsid w:val="201A7842"/>
    <w:rsid w:val="20350E4D"/>
    <w:rsid w:val="204AEF1F"/>
    <w:rsid w:val="20708D56"/>
    <w:rsid w:val="207C757E"/>
    <w:rsid w:val="207DDE13"/>
    <w:rsid w:val="20921AB6"/>
    <w:rsid w:val="209CC8B9"/>
    <w:rsid w:val="20AF7927"/>
    <w:rsid w:val="20B16C95"/>
    <w:rsid w:val="20BD6FDD"/>
    <w:rsid w:val="20ED6922"/>
    <w:rsid w:val="210531CF"/>
    <w:rsid w:val="211BA517"/>
    <w:rsid w:val="2130D04B"/>
    <w:rsid w:val="21404E3B"/>
    <w:rsid w:val="21414CA9"/>
    <w:rsid w:val="2154D4F2"/>
    <w:rsid w:val="21653598"/>
    <w:rsid w:val="216EACFE"/>
    <w:rsid w:val="217D0A9E"/>
    <w:rsid w:val="2183CC9B"/>
    <w:rsid w:val="21AB8933"/>
    <w:rsid w:val="21B10DF6"/>
    <w:rsid w:val="21B25D4A"/>
    <w:rsid w:val="21B8EE2B"/>
    <w:rsid w:val="21CBDE57"/>
    <w:rsid w:val="21F42CC2"/>
    <w:rsid w:val="2200E459"/>
    <w:rsid w:val="220725CF"/>
    <w:rsid w:val="221792E5"/>
    <w:rsid w:val="221A0670"/>
    <w:rsid w:val="221A37B5"/>
    <w:rsid w:val="222801F5"/>
    <w:rsid w:val="22517BC1"/>
    <w:rsid w:val="22635F94"/>
    <w:rsid w:val="22785BF9"/>
    <w:rsid w:val="22B40BB7"/>
    <w:rsid w:val="22BA74D6"/>
    <w:rsid w:val="22C04836"/>
    <w:rsid w:val="22D2591A"/>
    <w:rsid w:val="231ED7CF"/>
    <w:rsid w:val="232DC2E2"/>
    <w:rsid w:val="2350D83B"/>
    <w:rsid w:val="23657139"/>
    <w:rsid w:val="236792DD"/>
    <w:rsid w:val="236C92AA"/>
    <w:rsid w:val="2385D883"/>
    <w:rsid w:val="23935FFF"/>
    <w:rsid w:val="23940914"/>
    <w:rsid w:val="23A84DC4"/>
    <w:rsid w:val="23ABD5E1"/>
    <w:rsid w:val="23B07C90"/>
    <w:rsid w:val="23B12F61"/>
    <w:rsid w:val="23B4468B"/>
    <w:rsid w:val="23DD40C2"/>
    <w:rsid w:val="23F7346B"/>
    <w:rsid w:val="23FBCF20"/>
    <w:rsid w:val="23FF9CB0"/>
    <w:rsid w:val="24001D6A"/>
    <w:rsid w:val="240622FA"/>
    <w:rsid w:val="240F43C2"/>
    <w:rsid w:val="2412BAE7"/>
    <w:rsid w:val="241DDC38"/>
    <w:rsid w:val="2439D3C3"/>
    <w:rsid w:val="244EAE46"/>
    <w:rsid w:val="244FD48D"/>
    <w:rsid w:val="2463A25D"/>
    <w:rsid w:val="24938658"/>
    <w:rsid w:val="24A0738A"/>
    <w:rsid w:val="24AD1410"/>
    <w:rsid w:val="24B990C4"/>
    <w:rsid w:val="24C88F11"/>
    <w:rsid w:val="24D2E229"/>
    <w:rsid w:val="24D4F30E"/>
    <w:rsid w:val="24EB5744"/>
    <w:rsid w:val="24F0EA22"/>
    <w:rsid w:val="24F5DBB9"/>
    <w:rsid w:val="2527DD0C"/>
    <w:rsid w:val="25352E50"/>
    <w:rsid w:val="2538A479"/>
    <w:rsid w:val="254C763A"/>
    <w:rsid w:val="2552A9A7"/>
    <w:rsid w:val="2569D762"/>
    <w:rsid w:val="257C15F6"/>
    <w:rsid w:val="258311F2"/>
    <w:rsid w:val="25A99B6D"/>
    <w:rsid w:val="25AB94F1"/>
    <w:rsid w:val="25AF2B04"/>
    <w:rsid w:val="25BE6B55"/>
    <w:rsid w:val="25E47235"/>
    <w:rsid w:val="25FA40AF"/>
    <w:rsid w:val="260AA61D"/>
    <w:rsid w:val="261D22A9"/>
    <w:rsid w:val="2623B02A"/>
    <w:rsid w:val="26301C2A"/>
    <w:rsid w:val="2650C4D6"/>
    <w:rsid w:val="2655288C"/>
    <w:rsid w:val="266CFAE2"/>
    <w:rsid w:val="2676930F"/>
    <w:rsid w:val="268A1832"/>
    <w:rsid w:val="268AAC87"/>
    <w:rsid w:val="26971C69"/>
    <w:rsid w:val="26A568E7"/>
    <w:rsid w:val="26BE91D1"/>
    <w:rsid w:val="26EECF02"/>
    <w:rsid w:val="26EFB11F"/>
    <w:rsid w:val="270285CE"/>
    <w:rsid w:val="270A5A56"/>
    <w:rsid w:val="270C3A76"/>
    <w:rsid w:val="2738D87B"/>
    <w:rsid w:val="27452002"/>
    <w:rsid w:val="27454D58"/>
    <w:rsid w:val="27634981"/>
    <w:rsid w:val="277A5B33"/>
    <w:rsid w:val="279251EC"/>
    <w:rsid w:val="2796B135"/>
    <w:rsid w:val="27A5B426"/>
    <w:rsid w:val="27BFCBC0"/>
    <w:rsid w:val="27C3916D"/>
    <w:rsid w:val="27EBEFDE"/>
    <w:rsid w:val="27FF9315"/>
    <w:rsid w:val="28030A60"/>
    <w:rsid w:val="287394E0"/>
    <w:rsid w:val="28C60F3A"/>
    <w:rsid w:val="28C8D310"/>
    <w:rsid w:val="28E79758"/>
    <w:rsid w:val="291918A0"/>
    <w:rsid w:val="291E6994"/>
    <w:rsid w:val="2930DB60"/>
    <w:rsid w:val="2935199E"/>
    <w:rsid w:val="294B2B7F"/>
    <w:rsid w:val="299874D9"/>
    <w:rsid w:val="29A20030"/>
    <w:rsid w:val="29A457F8"/>
    <w:rsid w:val="29A63E61"/>
    <w:rsid w:val="29D256C2"/>
    <w:rsid w:val="29E28294"/>
    <w:rsid w:val="29E84E83"/>
    <w:rsid w:val="29E9A00D"/>
    <w:rsid w:val="29EF65DC"/>
    <w:rsid w:val="29F00810"/>
    <w:rsid w:val="2A06EF75"/>
    <w:rsid w:val="2A1319BF"/>
    <w:rsid w:val="2A1AEDFD"/>
    <w:rsid w:val="2A2C420E"/>
    <w:rsid w:val="2A5C8C6D"/>
    <w:rsid w:val="2A926D4B"/>
    <w:rsid w:val="2ACBFE0F"/>
    <w:rsid w:val="2AD55564"/>
    <w:rsid w:val="2AE0DF31"/>
    <w:rsid w:val="2AE60A4F"/>
    <w:rsid w:val="2AE65B7D"/>
    <w:rsid w:val="2AFDEEE9"/>
    <w:rsid w:val="2B0249DC"/>
    <w:rsid w:val="2B1A82B8"/>
    <w:rsid w:val="2B204301"/>
    <w:rsid w:val="2B4D6B31"/>
    <w:rsid w:val="2B62CED9"/>
    <w:rsid w:val="2B6E9DAB"/>
    <w:rsid w:val="2B9C931D"/>
    <w:rsid w:val="2BACD4B0"/>
    <w:rsid w:val="2BAE6349"/>
    <w:rsid w:val="2BD4E8E8"/>
    <w:rsid w:val="2BDA51A7"/>
    <w:rsid w:val="2BDCE242"/>
    <w:rsid w:val="2BE39846"/>
    <w:rsid w:val="2BF4F118"/>
    <w:rsid w:val="2C24BF93"/>
    <w:rsid w:val="2C28AF00"/>
    <w:rsid w:val="2C6D5A79"/>
    <w:rsid w:val="2C6F1BBC"/>
    <w:rsid w:val="2C73F683"/>
    <w:rsid w:val="2C79A40A"/>
    <w:rsid w:val="2C79AB94"/>
    <w:rsid w:val="2C84EB86"/>
    <w:rsid w:val="2C92F192"/>
    <w:rsid w:val="2CACE883"/>
    <w:rsid w:val="2CC3C156"/>
    <w:rsid w:val="2CF532F1"/>
    <w:rsid w:val="2D0A6DE2"/>
    <w:rsid w:val="2D12F673"/>
    <w:rsid w:val="2D1E1799"/>
    <w:rsid w:val="2D2CD389"/>
    <w:rsid w:val="2D3F4263"/>
    <w:rsid w:val="2D45E3D8"/>
    <w:rsid w:val="2D79870B"/>
    <w:rsid w:val="2D80B2C7"/>
    <w:rsid w:val="2DA0FCDC"/>
    <w:rsid w:val="2DA84445"/>
    <w:rsid w:val="2DBE5886"/>
    <w:rsid w:val="2DC121A8"/>
    <w:rsid w:val="2DD0E073"/>
    <w:rsid w:val="2DDC6CFB"/>
    <w:rsid w:val="2DDE6EDE"/>
    <w:rsid w:val="2DEB53E2"/>
    <w:rsid w:val="2E06A6E3"/>
    <w:rsid w:val="2E1D0F6A"/>
    <w:rsid w:val="2E1FCD9A"/>
    <w:rsid w:val="2E32AB95"/>
    <w:rsid w:val="2E386F4B"/>
    <w:rsid w:val="2E75EC2D"/>
    <w:rsid w:val="2E7C1A28"/>
    <w:rsid w:val="2EAFA0D2"/>
    <w:rsid w:val="2EB5BF4D"/>
    <w:rsid w:val="2EB98701"/>
    <w:rsid w:val="2F0922AB"/>
    <w:rsid w:val="2F351923"/>
    <w:rsid w:val="2F3DB2CD"/>
    <w:rsid w:val="2F9CCC19"/>
    <w:rsid w:val="2FB0ED38"/>
    <w:rsid w:val="2FB152B0"/>
    <w:rsid w:val="2FB57783"/>
    <w:rsid w:val="2FC5EC19"/>
    <w:rsid w:val="2FCF29C2"/>
    <w:rsid w:val="2FD9010B"/>
    <w:rsid w:val="2FEE5A77"/>
    <w:rsid w:val="300C5D53"/>
    <w:rsid w:val="30113974"/>
    <w:rsid w:val="303958B1"/>
    <w:rsid w:val="303CE46D"/>
    <w:rsid w:val="30429C3C"/>
    <w:rsid w:val="3042AF72"/>
    <w:rsid w:val="304C8441"/>
    <w:rsid w:val="307F756E"/>
    <w:rsid w:val="308E2EC6"/>
    <w:rsid w:val="3096DBF7"/>
    <w:rsid w:val="30AA6803"/>
    <w:rsid w:val="30AC2EE7"/>
    <w:rsid w:val="30C33CBE"/>
    <w:rsid w:val="30E2161C"/>
    <w:rsid w:val="30F6B9A1"/>
    <w:rsid w:val="310609F1"/>
    <w:rsid w:val="3110E86E"/>
    <w:rsid w:val="3112AD38"/>
    <w:rsid w:val="31435811"/>
    <w:rsid w:val="317DC9EF"/>
    <w:rsid w:val="317F3F14"/>
    <w:rsid w:val="31B6E4CF"/>
    <w:rsid w:val="31D6423B"/>
    <w:rsid w:val="320B472D"/>
    <w:rsid w:val="32285F8F"/>
    <w:rsid w:val="323B60F9"/>
    <w:rsid w:val="32471318"/>
    <w:rsid w:val="32481E13"/>
    <w:rsid w:val="32568FFB"/>
    <w:rsid w:val="3258C433"/>
    <w:rsid w:val="32A12195"/>
    <w:rsid w:val="32ABE4B8"/>
    <w:rsid w:val="32C0B12D"/>
    <w:rsid w:val="32CDA5D8"/>
    <w:rsid w:val="32EEEEB4"/>
    <w:rsid w:val="3330BFD6"/>
    <w:rsid w:val="334DE001"/>
    <w:rsid w:val="336AAFCC"/>
    <w:rsid w:val="336D6848"/>
    <w:rsid w:val="3385B96D"/>
    <w:rsid w:val="338E5EE6"/>
    <w:rsid w:val="33905C72"/>
    <w:rsid w:val="339B2918"/>
    <w:rsid w:val="33A658CF"/>
    <w:rsid w:val="33A7C719"/>
    <w:rsid w:val="33B8AD60"/>
    <w:rsid w:val="33B90FF7"/>
    <w:rsid w:val="33D67623"/>
    <w:rsid w:val="33DF5676"/>
    <w:rsid w:val="33E15A1E"/>
    <w:rsid w:val="33E7175D"/>
    <w:rsid w:val="33F0E4E2"/>
    <w:rsid w:val="33F9F939"/>
    <w:rsid w:val="3408422C"/>
    <w:rsid w:val="3419A950"/>
    <w:rsid w:val="3430B223"/>
    <w:rsid w:val="34359353"/>
    <w:rsid w:val="344F56C3"/>
    <w:rsid w:val="3457A88D"/>
    <w:rsid w:val="34707398"/>
    <w:rsid w:val="347B3EE1"/>
    <w:rsid w:val="34820046"/>
    <w:rsid w:val="3494065A"/>
    <w:rsid w:val="34B0E6AA"/>
    <w:rsid w:val="34B3B74B"/>
    <w:rsid w:val="34C19F3D"/>
    <w:rsid w:val="34EE4F3D"/>
    <w:rsid w:val="3510B5A5"/>
    <w:rsid w:val="35227E48"/>
    <w:rsid w:val="35334444"/>
    <w:rsid w:val="353B4977"/>
    <w:rsid w:val="35481705"/>
    <w:rsid w:val="354A972D"/>
    <w:rsid w:val="357DE6C0"/>
    <w:rsid w:val="3585BAD2"/>
    <w:rsid w:val="358613D5"/>
    <w:rsid w:val="35984E35"/>
    <w:rsid w:val="35E93507"/>
    <w:rsid w:val="35EB4393"/>
    <w:rsid w:val="363CA695"/>
    <w:rsid w:val="36508F0F"/>
    <w:rsid w:val="365D1B6E"/>
    <w:rsid w:val="366627FF"/>
    <w:rsid w:val="36766AD5"/>
    <w:rsid w:val="3680116B"/>
    <w:rsid w:val="368E99EC"/>
    <w:rsid w:val="36912323"/>
    <w:rsid w:val="36A3675A"/>
    <w:rsid w:val="36BD9641"/>
    <w:rsid w:val="36C0ED63"/>
    <w:rsid w:val="36C1A2FE"/>
    <w:rsid w:val="36C4D423"/>
    <w:rsid w:val="36D64218"/>
    <w:rsid w:val="36DD210B"/>
    <w:rsid w:val="372603DC"/>
    <w:rsid w:val="3731AD5B"/>
    <w:rsid w:val="374611F5"/>
    <w:rsid w:val="37465F43"/>
    <w:rsid w:val="377794CC"/>
    <w:rsid w:val="3781BC0D"/>
    <w:rsid w:val="378DFB84"/>
    <w:rsid w:val="3793D0E2"/>
    <w:rsid w:val="37CDD675"/>
    <w:rsid w:val="37D3C13B"/>
    <w:rsid w:val="37DD0A66"/>
    <w:rsid w:val="37F538B6"/>
    <w:rsid w:val="37F8F021"/>
    <w:rsid w:val="38211584"/>
    <w:rsid w:val="3859DE30"/>
    <w:rsid w:val="3889D476"/>
    <w:rsid w:val="38A7ADC9"/>
    <w:rsid w:val="38B32996"/>
    <w:rsid w:val="38EE75BD"/>
    <w:rsid w:val="38FC9E61"/>
    <w:rsid w:val="39066573"/>
    <w:rsid w:val="391FAE2A"/>
    <w:rsid w:val="39241014"/>
    <w:rsid w:val="39296C19"/>
    <w:rsid w:val="393408D9"/>
    <w:rsid w:val="3937432E"/>
    <w:rsid w:val="395BB2C3"/>
    <w:rsid w:val="39716F75"/>
    <w:rsid w:val="3977C9B7"/>
    <w:rsid w:val="39B8A187"/>
    <w:rsid w:val="39D6014B"/>
    <w:rsid w:val="39F070A4"/>
    <w:rsid w:val="3A120F17"/>
    <w:rsid w:val="3A1531B6"/>
    <w:rsid w:val="3A41F621"/>
    <w:rsid w:val="3A460F52"/>
    <w:rsid w:val="3A5C367F"/>
    <w:rsid w:val="3A7D023B"/>
    <w:rsid w:val="3A882E66"/>
    <w:rsid w:val="3AB2CA76"/>
    <w:rsid w:val="3ACDEAD2"/>
    <w:rsid w:val="3AF4EB9C"/>
    <w:rsid w:val="3B0BA8FC"/>
    <w:rsid w:val="3B0E7F3F"/>
    <w:rsid w:val="3B222192"/>
    <w:rsid w:val="3B7B11DD"/>
    <w:rsid w:val="3B85E75F"/>
    <w:rsid w:val="3B90AA28"/>
    <w:rsid w:val="3B9B8ED2"/>
    <w:rsid w:val="3BA4013A"/>
    <w:rsid w:val="3BA9B0D7"/>
    <w:rsid w:val="3BBE1044"/>
    <w:rsid w:val="3BC3FD7D"/>
    <w:rsid w:val="3BC5F164"/>
    <w:rsid w:val="3BD055C9"/>
    <w:rsid w:val="3BD68B10"/>
    <w:rsid w:val="3BD9F611"/>
    <w:rsid w:val="3C1C7680"/>
    <w:rsid w:val="3C4507CC"/>
    <w:rsid w:val="3C4A76F9"/>
    <w:rsid w:val="3C69308B"/>
    <w:rsid w:val="3C73026A"/>
    <w:rsid w:val="3C8BE655"/>
    <w:rsid w:val="3C8C7CB7"/>
    <w:rsid w:val="3CAD5E34"/>
    <w:rsid w:val="3CB082AB"/>
    <w:rsid w:val="3CC161C7"/>
    <w:rsid w:val="3CD8B147"/>
    <w:rsid w:val="3CDACD3A"/>
    <w:rsid w:val="3CDCCF89"/>
    <w:rsid w:val="3CE5EEE0"/>
    <w:rsid w:val="3D05FBDC"/>
    <w:rsid w:val="3D128A78"/>
    <w:rsid w:val="3D176599"/>
    <w:rsid w:val="3D27DD4F"/>
    <w:rsid w:val="3D2BD8A2"/>
    <w:rsid w:val="3D837E38"/>
    <w:rsid w:val="3D910567"/>
    <w:rsid w:val="3D950529"/>
    <w:rsid w:val="3D9F6000"/>
    <w:rsid w:val="3DB8A582"/>
    <w:rsid w:val="3DBAB76E"/>
    <w:rsid w:val="3DF78174"/>
    <w:rsid w:val="3E0543C3"/>
    <w:rsid w:val="3E08C947"/>
    <w:rsid w:val="3E093456"/>
    <w:rsid w:val="3E3F53C8"/>
    <w:rsid w:val="3E4377DD"/>
    <w:rsid w:val="3E451333"/>
    <w:rsid w:val="3E55336C"/>
    <w:rsid w:val="3E6F6F70"/>
    <w:rsid w:val="3E7C19E9"/>
    <w:rsid w:val="3E82E6DE"/>
    <w:rsid w:val="3EA84CB6"/>
    <w:rsid w:val="3EAC7D2C"/>
    <w:rsid w:val="3EBF5EB8"/>
    <w:rsid w:val="3EE09264"/>
    <w:rsid w:val="3EE8521B"/>
    <w:rsid w:val="3EF2FC2F"/>
    <w:rsid w:val="3F0C9CDF"/>
    <w:rsid w:val="3F10FDED"/>
    <w:rsid w:val="3F81D5ED"/>
    <w:rsid w:val="3F84EB2C"/>
    <w:rsid w:val="3F9AE965"/>
    <w:rsid w:val="3FC089E2"/>
    <w:rsid w:val="3FDA8323"/>
    <w:rsid w:val="3FDBC3FB"/>
    <w:rsid w:val="3FE67BB3"/>
    <w:rsid w:val="3FF9D97B"/>
    <w:rsid w:val="400460A0"/>
    <w:rsid w:val="403C6E6B"/>
    <w:rsid w:val="4050CFB9"/>
    <w:rsid w:val="40788C18"/>
    <w:rsid w:val="4078E2EF"/>
    <w:rsid w:val="4095760C"/>
    <w:rsid w:val="409619BC"/>
    <w:rsid w:val="40AB947D"/>
    <w:rsid w:val="40E3D3A6"/>
    <w:rsid w:val="40E510CF"/>
    <w:rsid w:val="410C325F"/>
    <w:rsid w:val="4118FC5E"/>
    <w:rsid w:val="41232305"/>
    <w:rsid w:val="412C8CEF"/>
    <w:rsid w:val="417276B6"/>
    <w:rsid w:val="4197D6A4"/>
    <w:rsid w:val="41A4DF30"/>
    <w:rsid w:val="41A67E6D"/>
    <w:rsid w:val="41A8A1F5"/>
    <w:rsid w:val="41D73977"/>
    <w:rsid w:val="41E685D7"/>
    <w:rsid w:val="41F7756F"/>
    <w:rsid w:val="42017DE3"/>
    <w:rsid w:val="42305C3A"/>
    <w:rsid w:val="42357330"/>
    <w:rsid w:val="423EAC77"/>
    <w:rsid w:val="4243F3CF"/>
    <w:rsid w:val="425EA46E"/>
    <w:rsid w:val="4274C61C"/>
    <w:rsid w:val="4286286C"/>
    <w:rsid w:val="42A03E52"/>
    <w:rsid w:val="42B70D94"/>
    <w:rsid w:val="42CC5D29"/>
    <w:rsid w:val="4311853B"/>
    <w:rsid w:val="4318DDD5"/>
    <w:rsid w:val="436C05C6"/>
    <w:rsid w:val="4370DEA2"/>
    <w:rsid w:val="437971C3"/>
    <w:rsid w:val="43946C26"/>
    <w:rsid w:val="43A602E4"/>
    <w:rsid w:val="43AC1935"/>
    <w:rsid w:val="43B07D41"/>
    <w:rsid w:val="43B4290A"/>
    <w:rsid w:val="43C35689"/>
    <w:rsid w:val="43C800FD"/>
    <w:rsid w:val="43DD434A"/>
    <w:rsid w:val="43E7BAC5"/>
    <w:rsid w:val="44078402"/>
    <w:rsid w:val="441467DD"/>
    <w:rsid w:val="44160497"/>
    <w:rsid w:val="441B22C1"/>
    <w:rsid w:val="442463E2"/>
    <w:rsid w:val="444324F1"/>
    <w:rsid w:val="44465B19"/>
    <w:rsid w:val="4447DBA2"/>
    <w:rsid w:val="4463D3A4"/>
    <w:rsid w:val="447540CD"/>
    <w:rsid w:val="447A3DF2"/>
    <w:rsid w:val="447F664F"/>
    <w:rsid w:val="4488CC99"/>
    <w:rsid w:val="44AA6139"/>
    <w:rsid w:val="44BF357B"/>
    <w:rsid w:val="44C28531"/>
    <w:rsid w:val="44D5566B"/>
    <w:rsid w:val="4516DE96"/>
    <w:rsid w:val="453129ED"/>
    <w:rsid w:val="453D9EEA"/>
    <w:rsid w:val="4549E650"/>
    <w:rsid w:val="45536673"/>
    <w:rsid w:val="455DB50A"/>
    <w:rsid w:val="459E2C40"/>
    <w:rsid w:val="45C84313"/>
    <w:rsid w:val="45DF6E47"/>
    <w:rsid w:val="46073016"/>
    <w:rsid w:val="460CF197"/>
    <w:rsid w:val="461E4239"/>
    <w:rsid w:val="463BABC5"/>
    <w:rsid w:val="463BE0E5"/>
    <w:rsid w:val="463ED06D"/>
    <w:rsid w:val="46547F02"/>
    <w:rsid w:val="4657D1E5"/>
    <w:rsid w:val="4666903C"/>
    <w:rsid w:val="469D8B7A"/>
    <w:rsid w:val="46A81354"/>
    <w:rsid w:val="46B45E0D"/>
    <w:rsid w:val="46BD673A"/>
    <w:rsid w:val="470F8F9C"/>
    <w:rsid w:val="4720FE80"/>
    <w:rsid w:val="4729A62D"/>
    <w:rsid w:val="4741F0A2"/>
    <w:rsid w:val="4779DB03"/>
    <w:rsid w:val="477F7490"/>
    <w:rsid w:val="47A49B59"/>
    <w:rsid w:val="47B743A0"/>
    <w:rsid w:val="47C8C330"/>
    <w:rsid w:val="47D3BB19"/>
    <w:rsid w:val="4805A008"/>
    <w:rsid w:val="48224A22"/>
    <w:rsid w:val="484A066C"/>
    <w:rsid w:val="484F3E0D"/>
    <w:rsid w:val="48596040"/>
    <w:rsid w:val="486709A5"/>
    <w:rsid w:val="486EB3BC"/>
    <w:rsid w:val="4877069F"/>
    <w:rsid w:val="488DBA60"/>
    <w:rsid w:val="48A5E36A"/>
    <w:rsid w:val="48C827B4"/>
    <w:rsid w:val="48D34692"/>
    <w:rsid w:val="48EB6971"/>
    <w:rsid w:val="490C6E46"/>
    <w:rsid w:val="49474C28"/>
    <w:rsid w:val="4951F909"/>
    <w:rsid w:val="495E330F"/>
    <w:rsid w:val="4964E47B"/>
    <w:rsid w:val="49796343"/>
    <w:rsid w:val="4983DF3A"/>
    <w:rsid w:val="49A16A61"/>
    <w:rsid w:val="49B66B64"/>
    <w:rsid w:val="49B68697"/>
    <w:rsid w:val="49B970C7"/>
    <w:rsid w:val="49C0C778"/>
    <w:rsid w:val="49D2D311"/>
    <w:rsid w:val="49D40388"/>
    <w:rsid w:val="49D68B16"/>
    <w:rsid w:val="49E22A5D"/>
    <w:rsid w:val="49ECA5DA"/>
    <w:rsid w:val="49F09C29"/>
    <w:rsid w:val="49F3DC25"/>
    <w:rsid w:val="4A17C7CE"/>
    <w:rsid w:val="4A20FC67"/>
    <w:rsid w:val="4A28C95F"/>
    <w:rsid w:val="4A2A392A"/>
    <w:rsid w:val="4A479374"/>
    <w:rsid w:val="4A5E54A5"/>
    <w:rsid w:val="4A6AC3CA"/>
    <w:rsid w:val="4A9A694C"/>
    <w:rsid w:val="4AAAD396"/>
    <w:rsid w:val="4AC84CC1"/>
    <w:rsid w:val="4ACC0E10"/>
    <w:rsid w:val="4AD3AE48"/>
    <w:rsid w:val="4ADA6C0E"/>
    <w:rsid w:val="4AECB12A"/>
    <w:rsid w:val="4AF2FA41"/>
    <w:rsid w:val="4AF33B1C"/>
    <w:rsid w:val="4B0C086B"/>
    <w:rsid w:val="4B3A917B"/>
    <w:rsid w:val="4B3CA0AC"/>
    <w:rsid w:val="4B4B5573"/>
    <w:rsid w:val="4B74ECD5"/>
    <w:rsid w:val="4B7D553C"/>
    <w:rsid w:val="4B80209D"/>
    <w:rsid w:val="4B92917A"/>
    <w:rsid w:val="4BA92339"/>
    <w:rsid w:val="4BAC26FC"/>
    <w:rsid w:val="4BAD436A"/>
    <w:rsid w:val="4BBCCA4C"/>
    <w:rsid w:val="4BBEE55B"/>
    <w:rsid w:val="4BE3098C"/>
    <w:rsid w:val="4BFB5B1D"/>
    <w:rsid w:val="4C0AED78"/>
    <w:rsid w:val="4C1D9DA1"/>
    <w:rsid w:val="4C202FE7"/>
    <w:rsid w:val="4C21643E"/>
    <w:rsid w:val="4C237D12"/>
    <w:rsid w:val="4C2508FE"/>
    <w:rsid w:val="4C3A836D"/>
    <w:rsid w:val="4C3CF3E1"/>
    <w:rsid w:val="4C3F228E"/>
    <w:rsid w:val="4C5BEC32"/>
    <w:rsid w:val="4C8024E3"/>
    <w:rsid w:val="4C90549A"/>
    <w:rsid w:val="4C91A413"/>
    <w:rsid w:val="4CB16FCF"/>
    <w:rsid w:val="4CE04532"/>
    <w:rsid w:val="4CF7D244"/>
    <w:rsid w:val="4D07D1DD"/>
    <w:rsid w:val="4D13A20B"/>
    <w:rsid w:val="4D24C209"/>
    <w:rsid w:val="4D31F826"/>
    <w:rsid w:val="4D4E62E8"/>
    <w:rsid w:val="4D6E877C"/>
    <w:rsid w:val="4D905768"/>
    <w:rsid w:val="4DAF9116"/>
    <w:rsid w:val="4DBDA141"/>
    <w:rsid w:val="4E014B8F"/>
    <w:rsid w:val="4E0F06C4"/>
    <w:rsid w:val="4E11D8A6"/>
    <w:rsid w:val="4E1540FD"/>
    <w:rsid w:val="4E31DAC7"/>
    <w:rsid w:val="4E411E78"/>
    <w:rsid w:val="4E4B971C"/>
    <w:rsid w:val="4E5BD13A"/>
    <w:rsid w:val="4E74C11B"/>
    <w:rsid w:val="4E7E7981"/>
    <w:rsid w:val="4E968F36"/>
    <w:rsid w:val="4EABA406"/>
    <w:rsid w:val="4EE73A2A"/>
    <w:rsid w:val="4EE9A12E"/>
    <w:rsid w:val="4EEC8A2E"/>
    <w:rsid w:val="4EEF351C"/>
    <w:rsid w:val="4EF95CDC"/>
    <w:rsid w:val="4EFC18AB"/>
    <w:rsid w:val="4F02CE25"/>
    <w:rsid w:val="4F22CE2B"/>
    <w:rsid w:val="4F4B3423"/>
    <w:rsid w:val="4F6FCA66"/>
    <w:rsid w:val="4F9BD532"/>
    <w:rsid w:val="4FA48B74"/>
    <w:rsid w:val="4FF9D584"/>
    <w:rsid w:val="5056A6A2"/>
    <w:rsid w:val="509BE8BD"/>
    <w:rsid w:val="50ADA8AA"/>
    <w:rsid w:val="50B78A48"/>
    <w:rsid w:val="50C1C886"/>
    <w:rsid w:val="50D1CA82"/>
    <w:rsid w:val="50E85438"/>
    <w:rsid w:val="50EA9E19"/>
    <w:rsid w:val="50EC2442"/>
    <w:rsid w:val="50F6F3AB"/>
    <w:rsid w:val="50FE2AD7"/>
    <w:rsid w:val="51098210"/>
    <w:rsid w:val="5113909C"/>
    <w:rsid w:val="514C8332"/>
    <w:rsid w:val="515AC0B5"/>
    <w:rsid w:val="516EC462"/>
    <w:rsid w:val="5175BF54"/>
    <w:rsid w:val="51942FD6"/>
    <w:rsid w:val="51A11EA3"/>
    <w:rsid w:val="51AA118A"/>
    <w:rsid w:val="51EBF1EE"/>
    <w:rsid w:val="51FD5D8D"/>
    <w:rsid w:val="51FF1F1C"/>
    <w:rsid w:val="5224318E"/>
    <w:rsid w:val="5229EC0F"/>
    <w:rsid w:val="5242F830"/>
    <w:rsid w:val="524580FF"/>
    <w:rsid w:val="52506A95"/>
    <w:rsid w:val="5285490C"/>
    <w:rsid w:val="528B8A89"/>
    <w:rsid w:val="5294C668"/>
    <w:rsid w:val="52B51013"/>
    <w:rsid w:val="52C6F423"/>
    <w:rsid w:val="52CF423E"/>
    <w:rsid w:val="52D7C350"/>
    <w:rsid w:val="52D7CBF8"/>
    <w:rsid w:val="52E20FDC"/>
    <w:rsid w:val="52E23AFA"/>
    <w:rsid w:val="53253656"/>
    <w:rsid w:val="533599C6"/>
    <w:rsid w:val="534A6590"/>
    <w:rsid w:val="53731C80"/>
    <w:rsid w:val="5380B9BF"/>
    <w:rsid w:val="538E4B5A"/>
    <w:rsid w:val="539245FA"/>
    <w:rsid w:val="5397E2BD"/>
    <w:rsid w:val="53A20359"/>
    <w:rsid w:val="53B4C9A6"/>
    <w:rsid w:val="53CC1AFE"/>
    <w:rsid w:val="53D062FD"/>
    <w:rsid w:val="53DACACF"/>
    <w:rsid w:val="53F69FD3"/>
    <w:rsid w:val="54083F99"/>
    <w:rsid w:val="5408706C"/>
    <w:rsid w:val="5423694B"/>
    <w:rsid w:val="546B307D"/>
    <w:rsid w:val="54720656"/>
    <w:rsid w:val="548DB6F4"/>
    <w:rsid w:val="54925B76"/>
    <w:rsid w:val="549B1B2F"/>
    <w:rsid w:val="549CA1E7"/>
    <w:rsid w:val="54AB6C5C"/>
    <w:rsid w:val="54B16CE9"/>
    <w:rsid w:val="54C245B9"/>
    <w:rsid w:val="55290CFC"/>
    <w:rsid w:val="552CE383"/>
    <w:rsid w:val="553F7DF9"/>
    <w:rsid w:val="55407293"/>
    <w:rsid w:val="55591743"/>
    <w:rsid w:val="5562BC27"/>
    <w:rsid w:val="55638417"/>
    <w:rsid w:val="55811E98"/>
    <w:rsid w:val="55936CCD"/>
    <w:rsid w:val="55B4F3AC"/>
    <w:rsid w:val="55CACEAB"/>
    <w:rsid w:val="55CD3BFB"/>
    <w:rsid w:val="55D2AD22"/>
    <w:rsid w:val="55D9ECEE"/>
    <w:rsid w:val="55E1276F"/>
    <w:rsid w:val="55E75FAD"/>
    <w:rsid w:val="5604705A"/>
    <w:rsid w:val="5612302B"/>
    <w:rsid w:val="56263FB7"/>
    <w:rsid w:val="563A2E71"/>
    <w:rsid w:val="566C0B62"/>
    <w:rsid w:val="56900AC2"/>
    <w:rsid w:val="5696F8FA"/>
    <w:rsid w:val="56A2CD1B"/>
    <w:rsid w:val="56EE933A"/>
    <w:rsid w:val="56F0C974"/>
    <w:rsid w:val="5700D3B7"/>
    <w:rsid w:val="5738B2AA"/>
    <w:rsid w:val="57625F33"/>
    <w:rsid w:val="5762C567"/>
    <w:rsid w:val="5784E872"/>
    <w:rsid w:val="57A3D820"/>
    <w:rsid w:val="57E0210A"/>
    <w:rsid w:val="57F45B78"/>
    <w:rsid w:val="57F8DC81"/>
    <w:rsid w:val="57FAE825"/>
    <w:rsid w:val="580045D6"/>
    <w:rsid w:val="58036083"/>
    <w:rsid w:val="5812B87A"/>
    <w:rsid w:val="584D4543"/>
    <w:rsid w:val="58648A4A"/>
    <w:rsid w:val="58709B46"/>
    <w:rsid w:val="587726E1"/>
    <w:rsid w:val="5882896A"/>
    <w:rsid w:val="5889E069"/>
    <w:rsid w:val="589F83CB"/>
    <w:rsid w:val="58BC148E"/>
    <w:rsid w:val="58BE8381"/>
    <w:rsid w:val="58D81F68"/>
    <w:rsid w:val="58E98FB5"/>
    <w:rsid w:val="592CE3A4"/>
    <w:rsid w:val="59343B92"/>
    <w:rsid w:val="59445AC9"/>
    <w:rsid w:val="594C2F43"/>
    <w:rsid w:val="59507121"/>
    <w:rsid w:val="5958B839"/>
    <w:rsid w:val="5964D421"/>
    <w:rsid w:val="599ED07D"/>
    <w:rsid w:val="59BEE5B0"/>
    <w:rsid w:val="59C16D13"/>
    <w:rsid w:val="59C46B50"/>
    <w:rsid w:val="59EB9B2D"/>
    <w:rsid w:val="59F19854"/>
    <w:rsid w:val="59FAF25E"/>
    <w:rsid w:val="59FD0EA1"/>
    <w:rsid w:val="5A0349E6"/>
    <w:rsid w:val="5A05A886"/>
    <w:rsid w:val="5A0A7DBD"/>
    <w:rsid w:val="5A12C62D"/>
    <w:rsid w:val="5A13270B"/>
    <w:rsid w:val="5A1336D5"/>
    <w:rsid w:val="5A14E9E6"/>
    <w:rsid w:val="5A267122"/>
    <w:rsid w:val="5A314770"/>
    <w:rsid w:val="5A5A5B22"/>
    <w:rsid w:val="5A6C2C05"/>
    <w:rsid w:val="5A6CC89F"/>
    <w:rsid w:val="5AB4683D"/>
    <w:rsid w:val="5AB6FCDC"/>
    <w:rsid w:val="5AC7EA33"/>
    <w:rsid w:val="5AE715C6"/>
    <w:rsid w:val="5AEDE6A0"/>
    <w:rsid w:val="5AF3E0DA"/>
    <w:rsid w:val="5B15D895"/>
    <w:rsid w:val="5B2395DE"/>
    <w:rsid w:val="5B48B23F"/>
    <w:rsid w:val="5B584451"/>
    <w:rsid w:val="5B7D00A8"/>
    <w:rsid w:val="5B88DAFB"/>
    <w:rsid w:val="5B8F2953"/>
    <w:rsid w:val="5BC04D7F"/>
    <w:rsid w:val="5BD516FE"/>
    <w:rsid w:val="5BE9BD66"/>
    <w:rsid w:val="5BEEE4C2"/>
    <w:rsid w:val="5BFF9B88"/>
    <w:rsid w:val="5C0242F0"/>
    <w:rsid w:val="5C1ED2ED"/>
    <w:rsid w:val="5C3332E3"/>
    <w:rsid w:val="5C459A60"/>
    <w:rsid w:val="5C6C5712"/>
    <w:rsid w:val="5C7E7E5A"/>
    <w:rsid w:val="5C859A4C"/>
    <w:rsid w:val="5CA34180"/>
    <w:rsid w:val="5CA8860D"/>
    <w:rsid w:val="5CE76F6F"/>
    <w:rsid w:val="5CF8DA47"/>
    <w:rsid w:val="5D1E0E7D"/>
    <w:rsid w:val="5D38A7F7"/>
    <w:rsid w:val="5D4CF34F"/>
    <w:rsid w:val="5D4EFC39"/>
    <w:rsid w:val="5D7CE737"/>
    <w:rsid w:val="5D878BD0"/>
    <w:rsid w:val="5DB21768"/>
    <w:rsid w:val="5DBC3C22"/>
    <w:rsid w:val="5DCF573E"/>
    <w:rsid w:val="5DD635C7"/>
    <w:rsid w:val="5E2F7068"/>
    <w:rsid w:val="5E300FD3"/>
    <w:rsid w:val="5E40F8C1"/>
    <w:rsid w:val="5E48C75F"/>
    <w:rsid w:val="5E495FF0"/>
    <w:rsid w:val="5E4E96A3"/>
    <w:rsid w:val="5E55FBB0"/>
    <w:rsid w:val="5E601128"/>
    <w:rsid w:val="5E8E8329"/>
    <w:rsid w:val="5E94282F"/>
    <w:rsid w:val="5EA0A623"/>
    <w:rsid w:val="5EB884EF"/>
    <w:rsid w:val="5EC99F1A"/>
    <w:rsid w:val="5ED75E73"/>
    <w:rsid w:val="5EF2A8CD"/>
    <w:rsid w:val="5EFFB68C"/>
    <w:rsid w:val="5F00EA67"/>
    <w:rsid w:val="5F22D18E"/>
    <w:rsid w:val="5F2BB7CE"/>
    <w:rsid w:val="5F3A922B"/>
    <w:rsid w:val="5F56D920"/>
    <w:rsid w:val="5F5CE70F"/>
    <w:rsid w:val="5F5E7DC7"/>
    <w:rsid w:val="5F651D6F"/>
    <w:rsid w:val="5F6A9BC7"/>
    <w:rsid w:val="5F7594C6"/>
    <w:rsid w:val="5F8F142B"/>
    <w:rsid w:val="5FAA6E1E"/>
    <w:rsid w:val="5FAA91EF"/>
    <w:rsid w:val="5FE030DD"/>
    <w:rsid w:val="6003D0DE"/>
    <w:rsid w:val="60174D96"/>
    <w:rsid w:val="601CA435"/>
    <w:rsid w:val="601E2234"/>
    <w:rsid w:val="60233C27"/>
    <w:rsid w:val="6038877A"/>
    <w:rsid w:val="603FDFEA"/>
    <w:rsid w:val="605DE3A5"/>
    <w:rsid w:val="6087411A"/>
    <w:rsid w:val="60C7AA6E"/>
    <w:rsid w:val="60CD1544"/>
    <w:rsid w:val="60FA9F27"/>
    <w:rsid w:val="61075CE3"/>
    <w:rsid w:val="610E817D"/>
    <w:rsid w:val="61273293"/>
    <w:rsid w:val="61385359"/>
    <w:rsid w:val="613FBC8F"/>
    <w:rsid w:val="61BA147F"/>
    <w:rsid w:val="61D7599E"/>
    <w:rsid w:val="61DC95DB"/>
    <w:rsid w:val="61F11FC0"/>
    <w:rsid w:val="62129794"/>
    <w:rsid w:val="6215DBF4"/>
    <w:rsid w:val="621CC159"/>
    <w:rsid w:val="62450035"/>
    <w:rsid w:val="62528C26"/>
    <w:rsid w:val="627E54DA"/>
    <w:rsid w:val="62818A2C"/>
    <w:rsid w:val="62931EAC"/>
    <w:rsid w:val="62A9AB1D"/>
    <w:rsid w:val="62C86A84"/>
    <w:rsid w:val="62D1B805"/>
    <w:rsid w:val="62D31F6B"/>
    <w:rsid w:val="62ED5384"/>
    <w:rsid w:val="632322EB"/>
    <w:rsid w:val="63265760"/>
    <w:rsid w:val="632F45E2"/>
    <w:rsid w:val="634CF809"/>
    <w:rsid w:val="6350B95C"/>
    <w:rsid w:val="635599F7"/>
    <w:rsid w:val="638F0210"/>
    <w:rsid w:val="63909108"/>
    <w:rsid w:val="63C246F4"/>
    <w:rsid w:val="63CE7600"/>
    <w:rsid w:val="63D95759"/>
    <w:rsid w:val="63DC1E0C"/>
    <w:rsid w:val="63E74BFF"/>
    <w:rsid w:val="63E93711"/>
    <w:rsid w:val="63EBCE76"/>
    <w:rsid w:val="63EC2EF5"/>
    <w:rsid w:val="640BB78D"/>
    <w:rsid w:val="64274D8C"/>
    <w:rsid w:val="643054D7"/>
    <w:rsid w:val="6445287A"/>
    <w:rsid w:val="645833CC"/>
    <w:rsid w:val="6477E334"/>
    <w:rsid w:val="64ABF44A"/>
    <w:rsid w:val="64AEA45E"/>
    <w:rsid w:val="64B3264A"/>
    <w:rsid w:val="64BC50CD"/>
    <w:rsid w:val="64DD3529"/>
    <w:rsid w:val="651B9F32"/>
    <w:rsid w:val="65670956"/>
    <w:rsid w:val="658A50F1"/>
    <w:rsid w:val="65D1011E"/>
    <w:rsid w:val="65D14EC7"/>
    <w:rsid w:val="65D59D85"/>
    <w:rsid w:val="65F77562"/>
    <w:rsid w:val="660E15BE"/>
    <w:rsid w:val="663EBB36"/>
    <w:rsid w:val="66640C74"/>
    <w:rsid w:val="6687482C"/>
    <w:rsid w:val="6696FFD4"/>
    <w:rsid w:val="66A7BE80"/>
    <w:rsid w:val="66BDE16E"/>
    <w:rsid w:val="66C06104"/>
    <w:rsid w:val="66FA38AB"/>
    <w:rsid w:val="671FC228"/>
    <w:rsid w:val="67308520"/>
    <w:rsid w:val="6733286B"/>
    <w:rsid w:val="6733CDA2"/>
    <w:rsid w:val="6735C9EB"/>
    <w:rsid w:val="673A830B"/>
    <w:rsid w:val="673D7624"/>
    <w:rsid w:val="673F6921"/>
    <w:rsid w:val="674D76B1"/>
    <w:rsid w:val="6750E40D"/>
    <w:rsid w:val="6759D292"/>
    <w:rsid w:val="676DAB8E"/>
    <w:rsid w:val="6777720F"/>
    <w:rsid w:val="6778E46D"/>
    <w:rsid w:val="679B7519"/>
    <w:rsid w:val="67B12EC0"/>
    <w:rsid w:val="67B1C35B"/>
    <w:rsid w:val="6824D237"/>
    <w:rsid w:val="6829468D"/>
    <w:rsid w:val="6835C0A6"/>
    <w:rsid w:val="6849C3B0"/>
    <w:rsid w:val="6881354A"/>
    <w:rsid w:val="6882ABF2"/>
    <w:rsid w:val="6896C512"/>
    <w:rsid w:val="689DB3A8"/>
    <w:rsid w:val="689E5A28"/>
    <w:rsid w:val="68B83726"/>
    <w:rsid w:val="68D85C13"/>
    <w:rsid w:val="68E12269"/>
    <w:rsid w:val="69077E05"/>
    <w:rsid w:val="6910E982"/>
    <w:rsid w:val="69230AF8"/>
    <w:rsid w:val="6949C4BD"/>
    <w:rsid w:val="694CC4BC"/>
    <w:rsid w:val="698967A2"/>
    <w:rsid w:val="699D7AED"/>
    <w:rsid w:val="69A90A47"/>
    <w:rsid w:val="69B936DD"/>
    <w:rsid w:val="69C31CBB"/>
    <w:rsid w:val="69CF5F86"/>
    <w:rsid w:val="69F134FB"/>
    <w:rsid w:val="69F7225C"/>
    <w:rsid w:val="6A101A16"/>
    <w:rsid w:val="6A162102"/>
    <w:rsid w:val="6A1A8A39"/>
    <w:rsid w:val="6A2A5D1F"/>
    <w:rsid w:val="6A386FCF"/>
    <w:rsid w:val="6A483EEE"/>
    <w:rsid w:val="6A4ACE26"/>
    <w:rsid w:val="6A6AE1C0"/>
    <w:rsid w:val="6A70B717"/>
    <w:rsid w:val="6A77F38A"/>
    <w:rsid w:val="6A8457F5"/>
    <w:rsid w:val="6A8E88D6"/>
    <w:rsid w:val="6AAA3E5A"/>
    <w:rsid w:val="6AC08941"/>
    <w:rsid w:val="6AC3C380"/>
    <w:rsid w:val="6AD76444"/>
    <w:rsid w:val="6ADD5633"/>
    <w:rsid w:val="6AE6122C"/>
    <w:rsid w:val="6B09F9BC"/>
    <w:rsid w:val="6B0B848B"/>
    <w:rsid w:val="6B2501C4"/>
    <w:rsid w:val="6B30D5E5"/>
    <w:rsid w:val="6B47EE55"/>
    <w:rsid w:val="6B78C621"/>
    <w:rsid w:val="6BAB06ED"/>
    <w:rsid w:val="6BBBECCD"/>
    <w:rsid w:val="6BC1B83D"/>
    <w:rsid w:val="6C35F709"/>
    <w:rsid w:val="6C4D218D"/>
    <w:rsid w:val="6C627330"/>
    <w:rsid w:val="6C6CE290"/>
    <w:rsid w:val="6C82BAD5"/>
    <w:rsid w:val="6C9B563D"/>
    <w:rsid w:val="6CA5D13E"/>
    <w:rsid w:val="6CA60C85"/>
    <w:rsid w:val="6CFFE3A1"/>
    <w:rsid w:val="6D0F66F4"/>
    <w:rsid w:val="6D686530"/>
    <w:rsid w:val="6DB33F7D"/>
    <w:rsid w:val="6DBA5314"/>
    <w:rsid w:val="6DE04B4B"/>
    <w:rsid w:val="6DF68696"/>
    <w:rsid w:val="6DF6D40F"/>
    <w:rsid w:val="6E0840E3"/>
    <w:rsid w:val="6E09F3F7"/>
    <w:rsid w:val="6E0C5C7D"/>
    <w:rsid w:val="6E0EC955"/>
    <w:rsid w:val="6E136555"/>
    <w:rsid w:val="6E213079"/>
    <w:rsid w:val="6E34D3C3"/>
    <w:rsid w:val="6E569A78"/>
    <w:rsid w:val="6E60D1A7"/>
    <w:rsid w:val="6E66B0B1"/>
    <w:rsid w:val="6E7A9F9B"/>
    <w:rsid w:val="6E97838B"/>
    <w:rsid w:val="6E9F9C64"/>
    <w:rsid w:val="6EABD96A"/>
    <w:rsid w:val="6EB45E8C"/>
    <w:rsid w:val="6EC18230"/>
    <w:rsid w:val="6EC1D3C1"/>
    <w:rsid w:val="6EE9B811"/>
    <w:rsid w:val="6F01CB0F"/>
    <w:rsid w:val="6F0F2BAD"/>
    <w:rsid w:val="6F20BDD8"/>
    <w:rsid w:val="6F20C44C"/>
    <w:rsid w:val="6F3A5F1C"/>
    <w:rsid w:val="6F423DD7"/>
    <w:rsid w:val="6F4DC434"/>
    <w:rsid w:val="6F50C1B3"/>
    <w:rsid w:val="6F54F3DE"/>
    <w:rsid w:val="6F87618F"/>
    <w:rsid w:val="6F8964B6"/>
    <w:rsid w:val="6F955802"/>
    <w:rsid w:val="6FA19EC4"/>
    <w:rsid w:val="6FA4B9F7"/>
    <w:rsid w:val="6FAA057C"/>
    <w:rsid w:val="6FB1FBCD"/>
    <w:rsid w:val="6FBE2EAB"/>
    <w:rsid w:val="6FDA4BF4"/>
    <w:rsid w:val="701028CF"/>
    <w:rsid w:val="703C45AE"/>
    <w:rsid w:val="704ACFAA"/>
    <w:rsid w:val="7056664F"/>
    <w:rsid w:val="7087F675"/>
    <w:rsid w:val="708C864B"/>
    <w:rsid w:val="708D6B74"/>
    <w:rsid w:val="709B532E"/>
    <w:rsid w:val="70BBD23D"/>
    <w:rsid w:val="70C44AE4"/>
    <w:rsid w:val="70CBCEEE"/>
    <w:rsid w:val="70CC4D53"/>
    <w:rsid w:val="70E58B91"/>
    <w:rsid w:val="70E77CAB"/>
    <w:rsid w:val="710E3B3B"/>
    <w:rsid w:val="7173FC4E"/>
    <w:rsid w:val="717B7615"/>
    <w:rsid w:val="7184B965"/>
    <w:rsid w:val="71883795"/>
    <w:rsid w:val="71977964"/>
    <w:rsid w:val="71A34417"/>
    <w:rsid w:val="71A64F95"/>
    <w:rsid w:val="71B56081"/>
    <w:rsid w:val="71CB75B4"/>
    <w:rsid w:val="71F04566"/>
    <w:rsid w:val="72021124"/>
    <w:rsid w:val="720410D0"/>
    <w:rsid w:val="721A98AC"/>
    <w:rsid w:val="721AAAB7"/>
    <w:rsid w:val="72221432"/>
    <w:rsid w:val="725014F2"/>
    <w:rsid w:val="7257837E"/>
    <w:rsid w:val="72657A37"/>
    <w:rsid w:val="729F17D9"/>
    <w:rsid w:val="72B14E7E"/>
    <w:rsid w:val="72E4E67C"/>
    <w:rsid w:val="72F5F132"/>
    <w:rsid w:val="73083264"/>
    <w:rsid w:val="7314779D"/>
    <w:rsid w:val="7318A497"/>
    <w:rsid w:val="7329C548"/>
    <w:rsid w:val="7332E64E"/>
    <w:rsid w:val="7344938D"/>
    <w:rsid w:val="7346DA00"/>
    <w:rsid w:val="7356DF65"/>
    <w:rsid w:val="736AA2C1"/>
    <w:rsid w:val="737312E0"/>
    <w:rsid w:val="73915703"/>
    <w:rsid w:val="739584EF"/>
    <w:rsid w:val="739B8516"/>
    <w:rsid w:val="73AFBEF0"/>
    <w:rsid w:val="73B3B46D"/>
    <w:rsid w:val="73B97EEA"/>
    <w:rsid w:val="73C432AC"/>
    <w:rsid w:val="73CE5B04"/>
    <w:rsid w:val="73DB4196"/>
    <w:rsid w:val="73E0C371"/>
    <w:rsid w:val="73EFF404"/>
    <w:rsid w:val="740E0622"/>
    <w:rsid w:val="7410C32E"/>
    <w:rsid w:val="7436D9CB"/>
    <w:rsid w:val="743C012B"/>
    <w:rsid w:val="743EB872"/>
    <w:rsid w:val="7441F3BE"/>
    <w:rsid w:val="74458C64"/>
    <w:rsid w:val="7458F274"/>
    <w:rsid w:val="746D01FB"/>
    <w:rsid w:val="746E855E"/>
    <w:rsid w:val="747CDFF7"/>
    <w:rsid w:val="74821DEE"/>
    <w:rsid w:val="74987CD5"/>
    <w:rsid w:val="74AA547E"/>
    <w:rsid w:val="74AA6B3E"/>
    <w:rsid w:val="74B31760"/>
    <w:rsid w:val="74BD0AA1"/>
    <w:rsid w:val="74CB2BB9"/>
    <w:rsid w:val="74D32BB0"/>
    <w:rsid w:val="74D82497"/>
    <w:rsid w:val="74F8A50C"/>
    <w:rsid w:val="74FAB2AB"/>
    <w:rsid w:val="74FF1EBC"/>
    <w:rsid w:val="750FA07D"/>
    <w:rsid w:val="75107596"/>
    <w:rsid w:val="752835C2"/>
    <w:rsid w:val="754E67C6"/>
    <w:rsid w:val="75528071"/>
    <w:rsid w:val="755CAAE6"/>
    <w:rsid w:val="757042EF"/>
    <w:rsid w:val="75750B5B"/>
    <w:rsid w:val="75779C5B"/>
    <w:rsid w:val="7580EEDF"/>
    <w:rsid w:val="7586788B"/>
    <w:rsid w:val="75B4BD9F"/>
    <w:rsid w:val="75B9A4AB"/>
    <w:rsid w:val="75BDF90D"/>
    <w:rsid w:val="75D8BF0D"/>
    <w:rsid w:val="761FB620"/>
    <w:rsid w:val="76270445"/>
    <w:rsid w:val="764199DD"/>
    <w:rsid w:val="76432A55"/>
    <w:rsid w:val="764627A1"/>
    <w:rsid w:val="7647D175"/>
    <w:rsid w:val="7658FC46"/>
    <w:rsid w:val="767443C6"/>
    <w:rsid w:val="767B6B92"/>
    <w:rsid w:val="768D0C57"/>
    <w:rsid w:val="769672E5"/>
    <w:rsid w:val="769C7A28"/>
    <w:rsid w:val="76A605A9"/>
    <w:rsid w:val="76CE20E5"/>
    <w:rsid w:val="76DBC3AB"/>
    <w:rsid w:val="7702235B"/>
    <w:rsid w:val="771462AF"/>
    <w:rsid w:val="77232A31"/>
    <w:rsid w:val="7730B1AF"/>
    <w:rsid w:val="7735C0B8"/>
    <w:rsid w:val="77377670"/>
    <w:rsid w:val="77392446"/>
    <w:rsid w:val="773B72EA"/>
    <w:rsid w:val="7740F346"/>
    <w:rsid w:val="77459805"/>
    <w:rsid w:val="777A650F"/>
    <w:rsid w:val="77915562"/>
    <w:rsid w:val="7796128B"/>
    <w:rsid w:val="779D1064"/>
    <w:rsid w:val="779F7FB2"/>
    <w:rsid w:val="77C5A6E5"/>
    <w:rsid w:val="780C4E22"/>
    <w:rsid w:val="78127102"/>
    <w:rsid w:val="78201E83"/>
    <w:rsid w:val="782AAE7A"/>
    <w:rsid w:val="78428749"/>
    <w:rsid w:val="78435C66"/>
    <w:rsid w:val="7845E643"/>
    <w:rsid w:val="784C4D92"/>
    <w:rsid w:val="784FF11B"/>
    <w:rsid w:val="78589C75"/>
    <w:rsid w:val="78642531"/>
    <w:rsid w:val="78672B50"/>
    <w:rsid w:val="786E4F77"/>
    <w:rsid w:val="78817B89"/>
    <w:rsid w:val="789AFD7E"/>
    <w:rsid w:val="789DC3BC"/>
    <w:rsid w:val="789F284B"/>
    <w:rsid w:val="78A21DC6"/>
    <w:rsid w:val="78DEF778"/>
    <w:rsid w:val="78EA5AAC"/>
    <w:rsid w:val="78EAF782"/>
    <w:rsid w:val="78F500E9"/>
    <w:rsid w:val="7904CE22"/>
    <w:rsid w:val="790B83CB"/>
    <w:rsid w:val="790D327B"/>
    <w:rsid w:val="792B9116"/>
    <w:rsid w:val="79506550"/>
    <w:rsid w:val="796A5FF6"/>
    <w:rsid w:val="796EF47F"/>
    <w:rsid w:val="7976109C"/>
    <w:rsid w:val="7982BD5C"/>
    <w:rsid w:val="7986CE0C"/>
    <w:rsid w:val="799D77AD"/>
    <w:rsid w:val="79CCC08A"/>
    <w:rsid w:val="79FFFD47"/>
    <w:rsid w:val="7A43A188"/>
    <w:rsid w:val="7A6290AB"/>
    <w:rsid w:val="7A68492E"/>
    <w:rsid w:val="7A8912F3"/>
    <w:rsid w:val="7A96175B"/>
    <w:rsid w:val="7AEB5E2D"/>
    <w:rsid w:val="7B101D69"/>
    <w:rsid w:val="7B127B51"/>
    <w:rsid w:val="7B13A282"/>
    <w:rsid w:val="7B14A336"/>
    <w:rsid w:val="7B1A72BC"/>
    <w:rsid w:val="7B26FDE1"/>
    <w:rsid w:val="7B5F5B00"/>
    <w:rsid w:val="7B6ED99A"/>
    <w:rsid w:val="7B8BB354"/>
    <w:rsid w:val="7BA40A7D"/>
    <w:rsid w:val="7BE9C8AC"/>
    <w:rsid w:val="7BF35D25"/>
    <w:rsid w:val="7C088834"/>
    <w:rsid w:val="7C11C7AA"/>
    <w:rsid w:val="7C19149B"/>
    <w:rsid w:val="7C1FACD4"/>
    <w:rsid w:val="7C2BB95D"/>
    <w:rsid w:val="7C46AB72"/>
    <w:rsid w:val="7C4CEAEA"/>
    <w:rsid w:val="7C51D4F2"/>
    <w:rsid w:val="7C73254B"/>
    <w:rsid w:val="7C783B3B"/>
    <w:rsid w:val="7C8857D2"/>
    <w:rsid w:val="7C8896F6"/>
    <w:rsid w:val="7C8DF16C"/>
    <w:rsid w:val="7CBE931A"/>
    <w:rsid w:val="7CC3915C"/>
    <w:rsid w:val="7CDB7B58"/>
    <w:rsid w:val="7CDC95BF"/>
    <w:rsid w:val="7CF3DB59"/>
    <w:rsid w:val="7D0338CC"/>
    <w:rsid w:val="7D299F00"/>
    <w:rsid w:val="7D452074"/>
    <w:rsid w:val="7D4BFE49"/>
    <w:rsid w:val="7D4F684A"/>
    <w:rsid w:val="7D503745"/>
    <w:rsid w:val="7D64FA2B"/>
    <w:rsid w:val="7D664EAE"/>
    <w:rsid w:val="7D9AAEFC"/>
    <w:rsid w:val="7DD4270E"/>
    <w:rsid w:val="7E002F6F"/>
    <w:rsid w:val="7E4645B9"/>
    <w:rsid w:val="7E59ACF3"/>
    <w:rsid w:val="7E6E7304"/>
    <w:rsid w:val="7E8BED44"/>
    <w:rsid w:val="7E8D8154"/>
    <w:rsid w:val="7E93B037"/>
    <w:rsid w:val="7ED82159"/>
    <w:rsid w:val="7EEAE778"/>
    <w:rsid w:val="7EF5A1D9"/>
    <w:rsid w:val="7F13D827"/>
    <w:rsid w:val="7F1F5741"/>
    <w:rsid w:val="7F280211"/>
    <w:rsid w:val="7F49FA59"/>
    <w:rsid w:val="7F61F61C"/>
    <w:rsid w:val="7F6F3994"/>
    <w:rsid w:val="7F7D9B08"/>
    <w:rsid w:val="7F958A90"/>
    <w:rsid w:val="7FB97820"/>
    <w:rsid w:val="7FB9C6A9"/>
    <w:rsid w:val="7FCD2706"/>
    <w:rsid w:val="7FE97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93F5"/>
  <w15:chartTrackingRefBased/>
  <w15:docId w15:val="{0190D628-4B94-42DF-9E54-8707CAA6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7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3"/>
    <w:basedOn w:val="Normal"/>
    <w:link w:val="ListParagraphChar"/>
    <w:uiPriority w:val="34"/>
    <w:qFormat/>
    <w:rsid w:val="00075D80"/>
    <w:pPr>
      <w:ind w:left="720"/>
      <w:contextualSpacing/>
    </w:pPr>
  </w:style>
  <w:style w:type="paragraph" w:styleId="Header">
    <w:name w:val="header"/>
    <w:basedOn w:val="Normal"/>
    <w:link w:val="HeaderChar"/>
    <w:uiPriority w:val="99"/>
    <w:unhideWhenUsed/>
    <w:rsid w:val="00DC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5E6"/>
  </w:style>
  <w:style w:type="paragraph" w:styleId="Footer">
    <w:name w:val="footer"/>
    <w:basedOn w:val="Normal"/>
    <w:link w:val="FooterChar"/>
    <w:uiPriority w:val="99"/>
    <w:unhideWhenUsed/>
    <w:rsid w:val="00DC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5E6"/>
  </w:style>
  <w:style w:type="paragraph" w:styleId="FootnoteText">
    <w:name w:val="footnote text"/>
    <w:basedOn w:val="Normal"/>
    <w:link w:val="FootnoteTextChar"/>
    <w:uiPriority w:val="99"/>
    <w:unhideWhenUsed/>
    <w:rsid w:val="00264794"/>
    <w:pPr>
      <w:spacing w:after="0" w:line="240" w:lineRule="auto"/>
    </w:pPr>
    <w:rPr>
      <w:sz w:val="20"/>
      <w:szCs w:val="20"/>
    </w:rPr>
  </w:style>
  <w:style w:type="character" w:customStyle="1" w:styleId="FootnoteTextChar">
    <w:name w:val="Footnote Text Char"/>
    <w:basedOn w:val="DefaultParagraphFont"/>
    <w:link w:val="FootnoteText"/>
    <w:uiPriority w:val="99"/>
    <w:rsid w:val="00264794"/>
    <w:rPr>
      <w:sz w:val="20"/>
      <w:szCs w:val="20"/>
    </w:rPr>
  </w:style>
  <w:style w:type="character" w:styleId="FootnoteReference">
    <w:name w:val="footnote reference"/>
    <w:basedOn w:val="DefaultParagraphFont"/>
    <w:uiPriority w:val="99"/>
    <w:semiHidden/>
    <w:unhideWhenUsed/>
    <w:rsid w:val="00264794"/>
    <w:rPr>
      <w:vertAlign w:val="superscript"/>
    </w:rPr>
  </w:style>
  <w:style w:type="character" w:customStyle="1" w:styleId="Heading1Char">
    <w:name w:val="Heading 1 Char"/>
    <w:basedOn w:val="DefaultParagraphFont"/>
    <w:link w:val="Heading1"/>
    <w:uiPriority w:val="9"/>
    <w:rsid w:val="002647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47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64794"/>
    <w:rPr>
      <w:color w:val="0563C1" w:themeColor="hyperlink"/>
      <w:u w:val="single"/>
    </w:rPr>
  </w:style>
  <w:style w:type="paragraph" w:styleId="BodyText">
    <w:name w:val="Body Text"/>
    <w:basedOn w:val="Normal"/>
    <w:link w:val="BodyTextChar"/>
    <w:uiPriority w:val="1"/>
    <w:qFormat/>
    <w:rsid w:val="008A4D4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A4D46"/>
    <w:rPr>
      <w:rFonts w:ascii="Calibri" w:eastAsia="Calibri" w:hAnsi="Calibri" w:cs="Calibri"/>
      <w:kern w:val="0"/>
      <w14:ligatures w14:val="none"/>
    </w:rPr>
  </w:style>
  <w:style w:type="table" w:styleId="TableGrid">
    <w:name w:val="Table Grid"/>
    <w:basedOn w:val="TableNormal"/>
    <w:uiPriority w:val="59"/>
    <w:rsid w:val="00EB5B53"/>
    <w:pPr>
      <w:spacing w:after="0" w:line="240" w:lineRule="auto"/>
    </w:pPr>
    <w:tblPr/>
  </w:style>
  <w:style w:type="paragraph" w:styleId="TOCHeading">
    <w:name w:val="TOC Heading"/>
    <w:basedOn w:val="Heading1"/>
    <w:next w:val="Normal"/>
    <w:uiPriority w:val="39"/>
    <w:unhideWhenUsed/>
    <w:qFormat/>
    <w:rsid w:val="00AA2092"/>
    <w:pPr>
      <w:outlineLvl w:val="9"/>
    </w:pPr>
    <w:rPr>
      <w:kern w:val="0"/>
      <w14:ligatures w14:val="none"/>
    </w:rPr>
  </w:style>
  <w:style w:type="paragraph" w:styleId="TOC1">
    <w:name w:val="toc 1"/>
    <w:basedOn w:val="Normal"/>
    <w:next w:val="Normal"/>
    <w:autoRedefine/>
    <w:uiPriority w:val="39"/>
    <w:unhideWhenUsed/>
    <w:rsid w:val="002B019C"/>
    <w:pPr>
      <w:tabs>
        <w:tab w:val="left" w:pos="440"/>
        <w:tab w:val="right" w:leader="dot" w:pos="9926"/>
      </w:tabs>
      <w:spacing w:after="0" w:line="240" w:lineRule="auto"/>
    </w:pPr>
  </w:style>
  <w:style w:type="paragraph" w:styleId="TOC2">
    <w:name w:val="toc 2"/>
    <w:basedOn w:val="Normal"/>
    <w:next w:val="Normal"/>
    <w:autoRedefine/>
    <w:uiPriority w:val="39"/>
    <w:unhideWhenUsed/>
    <w:rsid w:val="00AA2092"/>
    <w:pPr>
      <w:spacing w:after="100"/>
      <w:ind w:left="220"/>
    </w:pPr>
  </w:style>
  <w:style w:type="paragraph" w:customStyle="1" w:styleId="TableParagraph">
    <w:name w:val="Table Paragraph"/>
    <w:basedOn w:val="Normal"/>
    <w:uiPriority w:val="1"/>
    <w:qFormat/>
    <w:rsid w:val="00EC08A9"/>
    <w:pPr>
      <w:widowControl w:val="0"/>
      <w:autoSpaceDE w:val="0"/>
      <w:autoSpaceDN w:val="0"/>
      <w:spacing w:after="0" w:line="240" w:lineRule="auto"/>
      <w:ind w:left="107"/>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F768C6"/>
    <w:rPr>
      <w:color w:val="954F72" w:themeColor="followedHyperlink"/>
      <w:u w:val="single"/>
    </w:rPr>
  </w:style>
  <w:style w:type="character" w:customStyle="1" w:styleId="Heading3Char">
    <w:name w:val="Heading 3 Char"/>
    <w:basedOn w:val="DefaultParagraphFont"/>
    <w:link w:val="Heading3"/>
    <w:uiPriority w:val="9"/>
    <w:rsid w:val="003175A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135ED"/>
    <w:rPr>
      <w:color w:val="605E5C"/>
      <w:shd w:val="clear" w:color="auto" w:fill="E1DFDD"/>
    </w:rPr>
  </w:style>
  <w:style w:type="paragraph" w:customStyle="1" w:styleId="fluidplugincopy1">
    <w:name w:val="fluidplugincopy1"/>
    <w:basedOn w:val="Normal"/>
    <w:rsid w:val="001172D4"/>
    <w:pPr>
      <w:spacing w:after="0" w:line="240" w:lineRule="auto"/>
    </w:pPr>
    <w:rPr>
      <w:rFonts w:ascii="Calibri" w:hAnsi="Calibri" w:cs="Calibri"/>
      <w:kern w:val="0"/>
      <w14:ligatures w14:val="none"/>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locked/>
    <w:rsid w:val="00BE270E"/>
  </w:style>
  <w:style w:type="character" w:customStyle="1" w:styleId="normaltextrun">
    <w:name w:val="normaltextrun"/>
    <w:basedOn w:val="DefaultParagraphFont"/>
    <w:rsid w:val="00371DFA"/>
  </w:style>
  <w:style w:type="paragraph" w:styleId="TOC3">
    <w:name w:val="toc 3"/>
    <w:basedOn w:val="Normal"/>
    <w:next w:val="Normal"/>
    <w:autoRedefine/>
    <w:uiPriority w:val="39"/>
    <w:unhideWhenUsed/>
    <w:rsid w:val="00DB28A9"/>
    <w:pPr>
      <w:spacing w:after="100"/>
      <w:ind w:left="440"/>
    </w:pPr>
  </w:style>
  <w:style w:type="character" w:customStyle="1" w:styleId="eop">
    <w:name w:val="eop"/>
    <w:basedOn w:val="DefaultParagraphFont"/>
    <w:rsid w:val="00011B5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081D"/>
    <w:pPr>
      <w:spacing w:after="0" w:line="240" w:lineRule="auto"/>
    </w:pPr>
  </w:style>
  <w:style w:type="paragraph" w:styleId="CommentSubject">
    <w:name w:val="annotation subject"/>
    <w:basedOn w:val="CommentText"/>
    <w:next w:val="CommentText"/>
    <w:link w:val="CommentSubjectChar"/>
    <w:uiPriority w:val="99"/>
    <w:semiHidden/>
    <w:unhideWhenUsed/>
    <w:rsid w:val="007B7683"/>
    <w:rPr>
      <w:b/>
      <w:bCs/>
    </w:rPr>
  </w:style>
  <w:style w:type="character" w:customStyle="1" w:styleId="CommentSubjectChar">
    <w:name w:val="Comment Subject Char"/>
    <w:basedOn w:val="CommentTextChar"/>
    <w:link w:val="CommentSubject"/>
    <w:uiPriority w:val="99"/>
    <w:semiHidden/>
    <w:rsid w:val="007B7683"/>
    <w:rPr>
      <w:b/>
      <w:bCs/>
      <w:sz w:val="20"/>
      <w:szCs w:val="20"/>
    </w:rPr>
  </w:style>
  <w:style w:type="character" w:styleId="Mention">
    <w:name w:val="Mention"/>
    <w:basedOn w:val="DefaultParagraphFont"/>
    <w:uiPriority w:val="99"/>
    <w:unhideWhenUsed/>
    <w:rsid w:val="006D4489"/>
    <w:rPr>
      <w:color w:val="2B579A"/>
      <w:shd w:val="clear" w:color="auto" w:fill="E1DFDD"/>
    </w:rPr>
  </w:style>
  <w:style w:type="paragraph" w:styleId="NormalWeb">
    <w:name w:val="Normal (Web)"/>
    <w:basedOn w:val="Normal"/>
    <w:uiPriority w:val="99"/>
    <w:unhideWhenUsed/>
    <w:rsid w:val="00E919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B57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B572E2"/>
    <w:rPr>
      <w:rFonts w:ascii="Segoe UI" w:hAnsi="Segoe UI" w:cs="Segoe UI" w:hint="default"/>
      <w:sz w:val="18"/>
      <w:szCs w:val="18"/>
    </w:rPr>
  </w:style>
  <w:style w:type="character" w:styleId="PlaceholderText">
    <w:name w:val="Placeholder Text"/>
    <w:basedOn w:val="DefaultParagraphFont"/>
    <w:uiPriority w:val="99"/>
    <w:semiHidden/>
    <w:rsid w:val="00242340"/>
    <w:rPr>
      <w:color w:val="666666"/>
    </w:rPr>
  </w:style>
  <w:style w:type="table" w:styleId="TableGridLight">
    <w:name w:val="Grid Table Light"/>
    <w:basedOn w:val="TableNormal"/>
    <w:uiPriority w:val="40"/>
    <w:rsid w:val="007738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5209">
      <w:bodyDiv w:val="1"/>
      <w:marLeft w:val="0"/>
      <w:marRight w:val="0"/>
      <w:marTop w:val="0"/>
      <w:marBottom w:val="0"/>
      <w:divBdr>
        <w:top w:val="none" w:sz="0" w:space="0" w:color="auto"/>
        <w:left w:val="none" w:sz="0" w:space="0" w:color="auto"/>
        <w:bottom w:val="none" w:sz="0" w:space="0" w:color="auto"/>
        <w:right w:val="none" w:sz="0" w:space="0" w:color="auto"/>
      </w:divBdr>
    </w:div>
    <w:div w:id="219443039">
      <w:bodyDiv w:val="1"/>
      <w:marLeft w:val="0"/>
      <w:marRight w:val="0"/>
      <w:marTop w:val="0"/>
      <w:marBottom w:val="0"/>
      <w:divBdr>
        <w:top w:val="none" w:sz="0" w:space="0" w:color="auto"/>
        <w:left w:val="none" w:sz="0" w:space="0" w:color="auto"/>
        <w:bottom w:val="none" w:sz="0" w:space="0" w:color="auto"/>
        <w:right w:val="none" w:sz="0" w:space="0" w:color="auto"/>
      </w:divBdr>
    </w:div>
    <w:div w:id="267737128">
      <w:bodyDiv w:val="1"/>
      <w:marLeft w:val="0"/>
      <w:marRight w:val="0"/>
      <w:marTop w:val="0"/>
      <w:marBottom w:val="0"/>
      <w:divBdr>
        <w:top w:val="none" w:sz="0" w:space="0" w:color="auto"/>
        <w:left w:val="none" w:sz="0" w:space="0" w:color="auto"/>
        <w:bottom w:val="none" w:sz="0" w:space="0" w:color="auto"/>
        <w:right w:val="none" w:sz="0" w:space="0" w:color="auto"/>
      </w:divBdr>
    </w:div>
    <w:div w:id="388186986">
      <w:bodyDiv w:val="1"/>
      <w:marLeft w:val="0"/>
      <w:marRight w:val="0"/>
      <w:marTop w:val="0"/>
      <w:marBottom w:val="0"/>
      <w:divBdr>
        <w:top w:val="none" w:sz="0" w:space="0" w:color="auto"/>
        <w:left w:val="none" w:sz="0" w:space="0" w:color="auto"/>
        <w:bottom w:val="none" w:sz="0" w:space="0" w:color="auto"/>
        <w:right w:val="none" w:sz="0" w:space="0" w:color="auto"/>
      </w:divBdr>
    </w:div>
    <w:div w:id="440416080">
      <w:bodyDiv w:val="1"/>
      <w:marLeft w:val="0"/>
      <w:marRight w:val="0"/>
      <w:marTop w:val="0"/>
      <w:marBottom w:val="0"/>
      <w:divBdr>
        <w:top w:val="none" w:sz="0" w:space="0" w:color="auto"/>
        <w:left w:val="none" w:sz="0" w:space="0" w:color="auto"/>
        <w:bottom w:val="none" w:sz="0" w:space="0" w:color="auto"/>
        <w:right w:val="none" w:sz="0" w:space="0" w:color="auto"/>
      </w:divBdr>
      <w:divsChild>
        <w:div w:id="1508472998">
          <w:marLeft w:val="446"/>
          <w:marRight w:val="0"/>
          <w:marTop w:val="0"/>
          <w:marBottom w:val="0"/>
          <w:divBdr>
            <w:top w:val="none" w:sz="0" w:space="0" w:color="auto"/>
            <w:left w:val="none" w:sz="0" w:space="0" w:color="auto"/>
            <w:bottom w:val="none" w:sz="0" w:space="0" w:color="auto"/>
            <w:right w:val="none" w:sz="0" w:space="0" w:color="auto"/>
          </w:divBdr>
        </w:div>
        <w:div w:id="1642885808">
          <w:marLeft w:val="446"/>
          <w:marRight w:val="0"/>
          <w:marTop w:val="0"/>
          <w:marBottom w:val="0"/>
          <w:divBdr>
            <w:top w:val="none" w:sz="0" w:space="0" w:color="auto"/>
            <w:left w:val="none" w:sz="0" w:space="0" w:color="auto"/>
            <w:bottom w:val="none" w:sz="0" w:space="0" w:color="auto"/>
            <w:right w:val="none" w:sz="0" w:space="0" w:color="auto"/>
          </w:divBdr>
        </w:div>
        <w:div w:id="2127120239">
          <w:marLeft w:val="446"/>
          <w:marRight w:val="0"/>
          <w:marTop w:val="0"/>
          <w:marBottom w:val="0"/>
          <w:divBdr>
            <w:top w:val="none" w:sz="0" w:space="0" w:color="auto"/>
            <w:left w:val="none" w:sz="0" w:space="0" w:color="auto"/>
            <w:bottom w:val="none" w:sz="0" w:space="0" w:color="auto"/>
            <w:right w:val="none" w:sz="0" w:space="0" w:color="auto"/>
          </w:divBdr>
        </w:div>
      </w:divsChild>
    </w:div>
    <w:div w:id="738141015">
      <w:bodyDiv w:val="1"/>
      <w:marLeft w:val="0"/>
      <w:marRight w:val="0"/>
      <w:marTop w:val="0"/>
      <w:marBottom w:val="0"/>
      <w:divBdr>
        <w:top w:val="none" w:sz="0" w:space="0" w:color="auto"/>
        <w:left w:val="none" w:sz="0" w:space="0" w:color="auto"/>
        <w:bottom w:val="none" w:sz="0" w:space="0" w:color="auto"/>
        <w:right w:val="none" w:sz="0" w:space="0" w:color="auto"/>
      </w:divBdr>
    </w:div>
    <w:div w:id="739325907">
      <w:bodyDiv w:val="1"/>
      <w:marLeft w:val="0"/>
      <w:marRight w:val="0"/>
      <w:marTop w:val="0"/>
      <w:marBottom w:val="0"/>
      <w:divBdr>
        <w:top w:val="none" w:sz="0" w:space="0" w:color="auto"/>
        <w:left w:val="none" w:sz="0" w:space="0" w:color="auto"/>
        <w:bottom w:val="none" w:sz="0" w:space="0" w:color="auto"/>
        <w:right w:val="none" w:sz="0" w:space="0" w:color="auto"/>
      </w:divBdr>
    </w:div>
    <w:div w:id="900940807">
      <w:bodyDiv w:val="1"/>
      <w:marLeft w:val="0"/>
      <w:marRight w:val="0"/>
      <w:marTop w:val="0"/>
      <w:marBottom w:val="0"/>
      <w:divBdr>
        <w:top w:val="none" w:sz="0" w:space="0" w:color="auto"/>
        <w:left w:val="none" w:sz="0" w:space="0" w:color="auto"/>
        <w:bottom w:val="none" w:sz="0" w:space="0" w:color="auto"/>
        <w:right w:val="none" w:sz="0" w:space="0" w:color="auto"/>
      </w:divBdr>
    </w:div>
    <w:div w:id="960840851">
      <w:bodyDiv w:val="1"/>
      <w:marLeft w:val="0"/>
      <w:marRight w:val="0"/>
      <w:marTop w:val="0"/>
      <w:marBottom w:val="0"/>
      <w:divBdr>
        <w:top w:val="none" w:sz="0" w:space="0" w:color="auto"/>
        <w:left w:val="none" w:sz="0" w:space="0" w:color="auto"/>
        <w:bottom w:val="none" w:sz="0" w:space="0" w:color="auto"/>
        <w:right w:val="none" w:sz="0" w:space="0" w:color="auto"/>
      </w:divBdr>
      <w:divsChild>
        <w:div w:id="973557308">
          <w:marLeft w:val="0"/>
          <w:marRight w:val="0"/>
          <w:marTop w:val="0"/>
          <w:marBottom w:val="0"/>
          <w:divBdr>
            <w:top w:val="none" w:sz="0" w:space="0" w:color="auto"/>
            <w:left w:val="none" w:sz="0" w:space="0" w:color="auto"/>
            <w:bottom w:val="none" w:sz="0" w:space="0" w:color="auto"/>
            <w:right w:val="none" w:sz="0" w:space="0" w:color="auto"/>
          </w:divBdr>
          <w:divsChild>
            <w:div w:id="2033189226">
              <w:marLeft w:val="0"/>
              <w:marRight w:val="0"/>
              <w:marTop w:val="0"/>
              <w:marBottom w:val="0"/>
              <w:divBdr>
                <w:top w:val="none" w:sz="0" w:space="0" w:color="auto"/>
                <w:left w:val="none" w:sz="0" w:space="0" w:color="auto"/>
                <w:bottom w:val="none" w:sz="0" w:space="0" w:color="auto"/>
                <w:right w:val="none" w:sz="0" w:space="0" w:color="auto"/>
              </w:divBdr>
              <w:divsChild>
                <w:div w:id="204417924">
                  <w:marLeft w:val="0"/>
                  <w:marRight w:val="0"/>
                  <w:marTop w:val="0"/>
                  <w:marBottom w:val="0"/>
                  <w:divBdr>
                    <w:top w:val="none" w:sz="0" w:space="0" w:color="auto"/>
                    <w:left w:val="none" w:sz="0" w:space="0" w:color="auto"/>
                    <w:bottom w:val="none" w:sz="0" w:space="0" w:color="auto"/>
                    <w:right w:val="none" w:sz="0" w:space="0" w:color="auto"/>
                  </w:divBdr>
                  <w:divsChild>
                    <w:div w:id="947781642">
                      <w:marLeft w:val="0"/>
                      <w:marRight w:val="0"/>
                      <w:marTop w:val="100"/>
                      <w:marBottom w:val="100"/>
                      <w:divBdr>
                        <w:top w:val="none" w:sz="0" w:space="0" w:color="auto"/>
                        <w:left w:val="none" w:sz="0" w:space="0" w:color="auto"/>
                        <w:bottom w:val="none" w:sz="0" w:space="0" w:color="auto"/>
                        <w:right w:val="none" w:sz="0" w:space="0" w:color="auto"/>
                      </w:divBdr>
                      <w:divsChild>
                        <w:div w:id="1788506628">
                          <w:marLeft w:val="0"/>
                          <w:marRight w:val="0"/>
                          <w:marTop w:val="0"/>
                          <w:marBottom w:val="0"/>
                          <w:divBdr>
                            <w:top w:val="none" w:sz="0" w:space="0" w:color="auto"/>
                            <w:left w:val="none" w:sz="0" w:space="0" w:color="auto"/>
                            <w:bottom w:val="none" w:sz="0" w:space="0" w:color="auto"/>
                            <w:right w:val="none" w:sz="0" w:space="0" w:color="auto"/>
                          </w:divBdr>
                          <w:divsChild>
                            <w:div w:id="1062095666">
                              <w:marLeft w:val="0"/>
                              <w:marRight w:val="0"/>
                              <w:marTop w:val="0"/>
                              <w:marBottom w:val="0"/>
                              <w:divBdr>
                                <w:top w:val="single" w:sz="6" w:space="2" w:color="D1D1D1"/>
                                <w:left w:val="single" w:sz="6" w:space="0" w:color="D1D1D1"/>
                                <w:bottom w:val="single" w:sz="6" w:space="4" w:color="D1D1D1"/>
                                <w:right w:val="single" w:sz="6" w:space="0" w:color="D1D1D1"/>
                              </w:divBdr>
                              <w:divsChild>
                                <w:div w:id="2115248939">
                                  <w:marLeft w:val="0"/>
                                  <w:marRight w:val="0"/>
                                  <w:marTop w:val="30"/>
                                  <w:marBottom w:val="0"/>
                                  <w:divBdr>
                                    <w:top w:val="none" w:sz="0" w:space="0" w:color="auto"/>
                                    <w:left w:val="none" w:sz="0" w:space="0" w:color="auto"/>
                                    <w:bottom w:val="none" w:sz="0" w:space="0" w:color="auto"/>
                                    <w:right w:val="none" w:sz="0" w:space="0" w:color="auto"/>
                                  </w:divBdr>
                                  <w:divsChild>
                                    <w:div w:id="469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199557">
          <w:marLeft w:val="0"/>
          <w:marRight w:val="0"/>
          <w:marTop w:val="0"/>
          <w:marBottom w:val="0"/>
          <w:divBdr>
            <w:top w:val="none" w:sz="0" w:space="0" w:color="auto"/>
            <w:left w:val="none" w:sz="0" w:space="0" w:color="auto"/>
            <w:bottom w:val="none" w:sz="0" w:space="0" w:color="auto"/>
            <w:right w:val="none" w:sz="0" w:space="0" w:color="auto"/>
          </w:divBdr>
          <w:divsChild>
            <w:div w:id="816410867">
              <w:marLeft w:val="0"/>
              <w:marRight w:val="0"/>
              <w:marTop w:val="0"/>
              <w:marBottom w:val="0"/>
              <w:divBdr>
                <w:top w:val="none" w:sz="0" w:space="0" w:color="auto"/>
                <w:left w:val="none" w:sz="0" w:space="0" w:color="auto"/>
                <w:bottom w:val="none" w:sz="0" w:space="0" w:color="auto"/>
                <w:right w:val="none" w:sz="0" w:space="0" w:color="auto"/>
              </w:divBdr>
              <w:divsChild>
                <w:div w:id="1214578979">
                  <w:marLeft w:val="0"/>
                  <w:marRight w:val="0"/>
                  <w:marTop w:val="0"/>
                  <w:marBottom w:val="0"/>
                  <w:divBdr>
                    <w:top w:val="none" w:sz="0" w:space="0" w:color="auto"/>
                    <w:left w:val="none" w:sz="0" w:space="0" w:color="auto"/>
                    <w:bottom w:val="none" w:sz="0" w:space="0" w:color="auto"/>
                    <w:right w:val="none" w:sz="0" w:space="0" w:color="auto"/>
                  </w:divBdr>
                  <w:divsChild>
                    <w:div w:id="1154644238">
                      <w:marLeft w:val="0"/>
                      <w:marRight w:val="0"/>
                      <w:marTop w:val="0"/>
                      <w:marBottom w:val="0"/>
                      <w:divBdr>
                        <w:top w:val="none" w:sz="0" w:space="0" w:color="auto"/>
                        <w:left w:val="none" w:sz="0" w:space="0" w:color="auto"/>
                        <w:bottom w:val="none" w:sz="0" w:space="0" w:color="auto"/>
                        <w:right w:val="none" w:sz="0" w:space="0" w:color="auto"/>
                      </w:divBdr>
                      <w:divsChild>
                        <w:div w:id="332143658">
                          <w:marLeft w:val="0"/>
                          <w:marRight w:val="0"/>
                          <w:marTop w:val="0"/>
                          <w:marBottom w:val="0"/>
                          <w:divBdr>
                            <w:top w:val="none" w:sz="0" w:space="0" w:color="auto"/>
                            <w:left w:val="none" w:sz="0" w:space="0" w:color="auto"/>
                            <w:bottom w:val="none" w:sz="0" w:space="0" w:color="auto"/>
                            <w:right w:val="none" w:sz="0" w:space="0" w:color="auto"/>
                          </w:divBdr>
                          <w:divsChild>
                            <w:div w:id="730739746">
                              <w:marLeft w:val="0"/>
                              <w:marRight w:val="0"/>
                              <w:marTop w:val="0"/>
                              <w:marBottom w:val="0"/>
                              <w:divBdr>
                                <w:top w:val="none" w:sz="0" w:space="0" w:color="auto"/>
                                <w:left w:val="none" w:sz="0" w:space="0" w:color="auto"/>
                                <w:bottom w:val="none" w:sz="0" w:space="0" w:color="auto"/>
                                <w:right w:val="none" w:sz="0" w:space="0" w:color="auto"/>
                              </w:divBdr>
                              <w:divsChild>
                                <w:div w:id="2035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57173">
      <w:bodyDiv w:val="1"/>
      <w:marLeft w:val="0"/>
      <w:marRight w:val="0"/>
      <w:marTop w:val="0"/>
      <w:marBottom w:val="0"/>
      <w:divBdr>
        <w:top w:val="none" w:sz="0" w:space="0" w:color="auto"/>
        <w:left w:val="none" w:sz="0" w:space="0" w:color="auto"/>
        <w:bottom w:val="none" w:sz="0" w:space="0" w:color="auto"/>
        <w:right w:val="none" w:sz="0" w:space="0" w:color="auto"/>
      </w:divBdr>
    </w:div>
    <w:div w:id="1210148326">
      <w:bodyDiv w:val="1"/>
      <w:marLeft w:val="0"/>
      <w:marRight w:val="0"/>
      <w:marTop w:val="0"/>
      <w:marBottom w:val="0"/>
      <w:divBdr>
        <w:top w:val="none" w:sz="0" w:space="0" w:color="auto"/>
        <w:left w:val="none" w:sz="0" w:space="0" w:color="auto"/>
        <w:bottom w:val="none" w:sz="0" w:space="0" w:color="auto"/>
        <w:right w:val="none" w:sz="0" w:space="0" w:color="auto"/>
      </w:divBdr>
    </w:div>
    <w:div w:id="1345744052">
      <w:bodyDiv w:val="1"/>
      <w:marLeft w:val="0"/>
      <w:marRight w:val="0"/>
      <w:marTop w:val="0"/>
      <w:marBottom w:val="0"/>
      <w:divBdr>
        <w:top w:val="none" w:sz="0" w:space="0" w:color="auto"/>
        <w:left w:val="none" w:sz="0" w:space="0" w:color="auto"/>
        <w:bottom w:val="none" w:sz="0" w:space="0" w:color="auto"/>
        <w:right w:val="none" w:sz="0" w:space="0" w:color="auto"/>
      </w:divBdr>
    </w:div>
    <w:div w:id="1387532791">
      <w:bodyDiv w:val="1"/>
      <w:marLeft w:val="0"/>
      <w:marRight w:val="0"/>
      <w:marTop w:val="0"/>
      <w:marBottom w:val="0"/>
      <w:divBdr>
        <w:top w:val="none" w:sz="0" w:space="0" w:color="auto"/>
        <w:left w:val="none" w:sz="0" w:space="0" w:color="auto"/>
        <w:bottom w:val="none" w:sz="0" w:space="0" w:color="auto"/>
        <w:right w:val="none" w:sz="0" w:space="0" w:color="auto"/>
      </w:divBdr>
    </w:div>
    <w:div w:id="1670791761">
      <w:bodyDiv w:val="1"/>
      <w:marLeft w:val="0"/>
      <w:marRight w:val="0"/>
      <w:marTop w:val="0"/>
      <w:marBottom w:val="0"/>
      <w:divBdr>
        <w:top w:val="none" w:sz="0" w:space="0" w:color="auto"/>
        <w:left w:val="none" w:sz="0" w:space="0" w:color="auto"/>
        <w:bottom w:val="none" w:sz="0" w:space="0" w:color="auto"/>
        <w:right w:val="none" w:sz="0" w:space="0" w:color="auto"/>
      </w:divBdr>
    </w:div>
    <w:div w:id="1705597768">
      <w:bodyDiv w:val="1"/>
      <w:marLeft w:val="0"/>
      <w:marRight w:val="0"/>
      <w:marTop w:val="0"/>
      <w:marBottom w:val="0"/>
      <w:divBdr>
        <w:top w:val="none" w:sz="0" w:space="0" w:color="auto"/>
        <w:left w:val="none" w:sz="0" w:space="0" w:color="auto"/>
        <w:bottom w:val="none" w:sz="0" w:space="0" w:color="auto"/>
        <w:right w:val="none" w:sz="0" w:space="0" w:color="auto"/>
      </w:divBdr>
    </w:div>
    <w:div w:id="1742942839">
      <w:bodyDiv w:val="1"/>
      <w:marLeft w:val="0"/>
      <w:marRight w:val="0"/>
      <w:marTop w:val="0"/>
      <w:marBottom w:val="0"/>
      <w:divBdr>
        <w:top w:val="none" w:sz="0" w:space="0" w:color="auto"/>
        <w:left w:val="none" w:sz="0" w:space="0" w:color="auto"/>
        <w:bottom w:val="none" w:sz="0" w:space="0" w:color="auto"/>
        <w:right w:val="none" w:sz="0" w:space="0" w:color="auto"/>
      </w:divBdr>
    </w:div>
    <w:div w:id="1756973096">
      <w:bodyDiv w:val="1"/>
      <w:marLeft w:val="0"/>
      <w:marRight w:val="0"/>
      <w:marTop w:val="0"/>
      <w:marBottom w:val="0"/>
      <w:divBdr>
        <w:top w:val="none" w:sz="0" w:space="0" w:color="auto"/>
        <w:left w:val="none" w:sz="0" w:space="0" w:color="auto"/>
        <w:bottom w:val="none" w:sz="0" w:space="0" w:color="auto"/>
        <w:right w:val="none" w:sz="0" w:space="0" w:color="auto"/>
      </w:divBdr>
      <w:divsChild>
        <w:div w:id="674381949">
          <w:marLeft w:val="446"/>
          <w:marRight w:val="0"/>
          <w:marTop w:val="0"/>
          <w:marBottom w:val="0"/>
          <w:divBdr>
            <w:top w:val="none" w:sz="0" w:space="0" w:color="auto"/>
            <w:left w:val="none" w:sz="0" w:space="0" w:color="auto"/>
            <w:bottom w:val="none" w:sz="0" w:space="0" w:color="auto"/>
            <w:right w:val="none" w:sz="0" w:space="0" w:color="auto"/>
          </w:divBdr>
        </w:div>
        <w:div w:id="1682514237">
          <w:marLeft w:val="446"/>
          <w:marRight w:val="0"/>
          <w:marTop w:val="0"/>
          <w:marBottom w:val="0"/>
          <w:divBdr>
            <w:top w:val="none" w:sz="0" w:space="0" w:color="auto"/>
            <w:left w:val="none" w:sz="0" w:space="0" w:color="auto"/>
            <w:bottom w:val="none" w:sz="0" w:space="0" w:color="auto"/>
            <w:right w:val="none" w:sz="0" w:space="0" w:color="auto"/>
          </w:divBdr>
        </w:div>
        <w:div w:id="20807891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dp.service-now.com/unall?id=kb_category&amp;kb_category=b0a9a5718718e158035ea8690cbb35c7&amp;kb_id=9c8353641bc110509f48a64fad4bcb93" TargetMode="External"/><Relationship Id="rId21" Type="http://schemas.openxmlformats.org/officeDocument/2006/relationships/hyperlink" Target="https://popp.undp.org/es/pagina-de-politica/delegacion-de-autoridades" TargetMode="External"/><Relationship Id="rId42" Type="http://schemas.openxmlformats.org/officeDocument/2006/relationships/hyperlink" Target="https://popp.undp.org/es/gestion-de-programas-y-proyectos" TargetMode="External"/><Relationship Id="rId63" Type="http://schemas.openxmlformats.org/officeDocument/2006/relationships/hyperlink" Target="https://popp.undp.org/es/pagina-de-politica/cierre-financiero-de-fondos-fiduciarios" TargetMode="External"/><Relationship Id="rId84" Type="http://schemas.openxmlformats.org/officeDocument/2006/relationships/hyperlink" Target="https://view.officeapps.live.com/op/embed.aspx?src=https://popp.undp.org/sites/g/files/zskgke421/files/2024-05/FRM_Expense%20Management%20_Supplier%20Management_Policy_0.docx" TargetMode="External"/><Relationship Id="rId138" Type="http://schemas.openxmlformats.org/officeDocument/2006/relationships/hyperlink" Target="https://popp.undp.org/es/documento/tramitacion-de-efectivo-y-recibos-en-tesoreria-0" TargetMode="External"/><Relationship Id="rId159" Type="http://schemas.openxmlformats.org/officeDocument/2006/relationships/hyperlink" Target="https://popp.undp.org/node/11526" TargetMode="External"/><Relationship Id="rId170" Type="http://schemas.openxmlformats.org/officeDocument/2006/relationships/hyperlink" Target="https://popp.undp.org/es/pagina-de-politica/designacion-y-responsabilidades-de-los-signatarios" TargetMode="External"/><Relationship Id="rId191" Type="http://schemas.openxmlformats.org/officeDocument/2006/relationships/hyperlink" Target="https://undp.sharepoint.com/:x:/s/OFRMBusinessAnalytics214/EdRiZTweppBNhlNeXOb40Q8BaMmNPGATDp-yCbfWTtvxKA?e=0iEtko&amp;clickparams=eyAiWC1BcHBOYW1lIiA6ICJNaWNyb3NvZnQgT3V0bG9vayIsICJYLUFwcFZlcnNpb24iIDogIjE2LjAuMTczMjguMjA2NDgiLCAiT1MiIDogIldpbmRvd3MiIH0%3D&amp;CID=592DE14C-0D0A-42C5-AC90-3DF08C7695E2&amp;wdLOR=cBD159FBE-B7C2-4E62-8F87-B8776A5E9F7E" TargetMode="External"/><Relationship Id="rId205" Type="http://schemas.openxmlformats.org/officeDocument/2006/relationships/hyperlink" Target="https://popp.undp.org/es/financial-resources-management/gestion-de-gastos" TargetMode="External"/><Relationship Id="rId10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1" Type="http://schemas.openxmlformats.org/officeDocument/2006/relationships/header" Target="header1.xml"/><Relationship Id="rId32" Type="http://schemas.openxmlformats.org/officeDocument/2006/relationships/hyperlink" Target="https://popp.undp.org/es/pagina-de-politica/etica-fraude-y-practicas-corruptas-en-la-adquisicion" TargetMode="External"/><Relationship Id="rId53" Type="http://schemas.openxmlformats.org/officeDocument/2006/relationships/hyperlink" Target="https://popp.undp.org/node/10501" TargetMode="External"/><Relationship Id="rId74" Type="http://schemas.openxmlformats.org/officeDocument/2006/relationships/hyperlink" Target="https://undp.service-now.com/unall?id=kb_category&amp;kb_id=9c8353641bc110509f48a64fad4bcb93&amp;kb_category=0eae4c4bdb2b60505d6d3dd5f396194e" TargetMode="External"/><Relationship Id="rId128" Type="http://schemas.openxmlformats.org/officeDocument/2006/relationships/hyperlink" Target="https://undp.service-now.com/unall?id=kb_article_view&amp;sysparm_article=KB0013538" TargetMode="External"/><Relationship Id="rId149" Type="http://schemas.openxmlformats.org/officeDocument/2006/relationships/hyperlink" Target="https://undp.sharepoint.com/teams/GSSC/SitePages/FinanceServices/Other-Receivables.aspx?source=https%3a//undp.sharepoint.com/teams/GSSC/SitePages/Forms/ByAuthor.aspx?id%3D%252Fteams%252FGSSC%252FSitePages%252FFinanceServices%26viewid%3D8ba0c08f%252Db47b%252D482e%252D9921%252D034f54a31375" TargetMode="External"/><Relationship Id="rId5" Type="http://schemas.openxmlformats.org/officeDocument/2006/relationships/numbering" Target="numbering.xml"/><Relationship Id="rId95" Type="http://schemas.openxmlformats.org/officeDocument/2006/relationships/hyperlink" Target="https://popp.undp.org/es/adquisiciones" TargetMode="External"/><Relationship Id="rId160" Type="http://schemas.openxmlformats.org/officeDocument/2006/relationships/hyperlink" Target="mailto:cosupport@undp.org" TargetMode="External"/><Relationship Id="rId181" Type="http://schemas.openxmlformats.org/officeDocument/2006/relationships/hyperlink" Target="https://intranet.undp.org/unit/ofrm/fpmr/CFRA/SitePages/Agency%20Services.aspx" TargetMode="External"/><Relationship Id="rId22" Type="http://schemas.openxmlformats.org/officeDocument/2006/relationships/hyperlink" Target="https://undp.sharepoint.com/sites/FinanceBusinessAdvisors-FBA/Lists/ICF%20Repository/AllItems.aspx" TargetMode="External"/><Relationship Id="rId43" Type="http://schemas.openxmlformats.org/officeDocument/2006/relationships/hyperlink" Target="https://popp.undp.org/node/1781" TargetMode="External"/><Relationship Id="rId64"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118" Type="http://schemas.openxmlformats.org/officeDocument/2006/relationships/hyperlink" Target="https://undp.sharepoint.com/teams/GSSC/SitePages/FinanceServices/Home.aspx" TargetMode="External"/><Relationship Id="rId139"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85" Type="http://schemas.openxmlformats.org/officeDocument/2006/relationships/hyperlink" Target="https://undp.service-now.com/unall?id=kb_article_view&amp;sysparm_article=KB0013551" TargetMode="External"/><Relationship Id="rId150" Type="http://schemas.openxmlformats.org/officeDocument/2006/relationships/hyperlink" Target="https://undp.sharepoint.com/teams/GSSC/SitePages/FinanceServices/Deposit-Creation-and-Application.aspx" TargetMode="External"/><Relationship Id="rId171" Type="http://schemas.openxmlformats.org/officeDocument/2006/relationships/hyperlink" Target="https://popp.undp.org/es/pagina-de-politica/gestion-de-la-seguridad" TargetMode="External"/><Relationship Id="rId192" Type="http://schemas.openxmlformats.org/officeDocument/2006/relationships/hyperlink" Target="https://intranet.undp.org/unit/ofrm/fbp/analytics/SitePages/Home.aspx" TargetMode="External"/><Relationship Id="rId206"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2" Type="http://schemas.openxmlformats.org/officeDocument/2006/relationships/footer" Target="footer1.xml"/><Relationship Id="rId33" Type="http://schemas.openxmlformats.org/officeDocument/2006/relationships/hyperlink" Target="https://popp.undp.org/es/documento/sanciones-proveedores" TargetMode="External"/><Relationship Id="rId108" Type="http://schemas.openxmlformats.org/officeDocument/2006/relationships/hyperlink" Target="https://popp.undp.org/es/pagina-de-politica/apertura-y-cierre-de-cuentas-bancarias" TargetMode="External"/><Relationship Id="rId129" Type="http://schemas.openxmlformats.org/officeDocument/2006/relationships/image" Target="media/image5.png"/><Relationship Id="rId54" Type="http://schemas.openxmlformats.org/officeDocument/2006/relationships/hyperlink" Target="https://popp.undp.org/es/pagina-de-politica/cierre-financiero-de-proyectos-de-desarrollo" TargetMode="External"/><Relationship Id="rId75" Type="http://schemas.openxmlformats.org/officeDocument/2006/relationships/hyperlink" Target="https://undp.service-now.com/unall?id=kb_category&amp;kb_category=1d9ec44bdb2b60505d6d3dd5f396191f&amp;kb_id=9c8353641bc110509f48a64fad4bcb93" TargetMode="External"/><Relationship Id="rId96" Type="http://schemas.openxmlformats.org/officeDocument/2006/relationships/hyperlink" Target="https://popp.undp.org/es/adquisiciones" TargetMode="External"/><Relationship Id="rId140" Type="http://schemas.openxmlformats.org/officeDocument/2006/relationships/hyperlink" Target="https://popp.undp.org/es/pagina-de-politica/transferencias-directas-de-efectivo-y-reembolsos" TargetMode="External"/><Relationship Id="rId161" Type="http://schemas.openxmlformats.org/officeDocument/2006/relationships/hyperlink" Target="https://popp.undp.org/es/pagina-de-politica/delegacion-de-autoridades" TargetMode="External"/><Relationship Id="rId182" Type="http://schemas.openxmlformats.org/officeDocument/2006/relationships/hyperlink" Target="https://intranet.undp.org/unit/ofrm/fpmr/CFRA/SitePages/Agency%20Services.aspx" TargetMode="External"/><Relationship Id="rId6" Type="http://schemas.openxmlformats.org/officeDocument/2006/relationships/styles" Target="styles.xml"/><Relationship Id="rId23" Type="http://schemas.openxmlformats.org/officeDocument/2006/relationships/hyperlink" Target="https://undp.sharepoint.com/sites/FinanceBusinessAdvisors-FBA/Lists/ICF%20Repository/AllItems.aspx" TargetMode="External"/><Relationship Id="rId119"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44" Type="http://schemas.openxmlformats.org/officeDocument/2006/relationships/hyperlink" Target="https://popp.undp.org/node/1406" TargetMode="External"/><Relationship Id="rId65" Type="http://schemas.openxmlformats.org/officeDocument/2006/relationships/hyperlink" Target="https://undp.sharepoint.com/teams/GSSC/Shared%20Documents/Forms/Performance%20Reporting.aspx?viewid=fe2091d2%2D9d14%2D4787%2D85f5%2Db32344f1afdd&amp;FolderCTID=0x0120000123C3BD6B97D3438747A92C421D820A&amp;id=%2Fteams%2FGSSC%2FShared%20Documents%2FGSSC%20Client%20SOPs%2FFinance%20Services%2FClient%5FSOP%5FReceipt%5FCreation%5FV0%2E1%2Edocx%2Epdf&amp;parent=%2Fteams%2FGSSC%2FShared%20Documents%2FGSSC%20Client%20SOPs%2FFinance%20Services" TargetMode="External"/><Relationship Id="rId86" Type="http://schemas.openxmlformats.org/officeDocument/2006/relationships/hyperlink" Target="https://undp.sharepoint.com/teams/GSSC/SitePages/FinanceServices/Vendor-Management.aspx" TargetMode="External"/><Relationship Id="rId130" Type="http://schemas.openxmlformats.org/officeDocument/2006/relationships/hyperlink" Target="https://popp.undp.org/es/gestion-de-recursos-financieros" TargetMode="External"/><Relationship Id="rId151" Type="http://schemas.openxmlformats.org/officeDocument/2006/relationships/hyperlink" Target="https://undp.sharepoint.com/teams/GSSC/SitePages/FinanceServices/Accounts-Rece.aspx" TargetMode="External"/><Relationship Id="rId172" Type="http://schemas.openxmlformats.org/officeDocument/2006/relationships/hyperlink" Target="https://popp.undp.org/es/pagina-de-politica/enajenacion-y-amortizacion-total-mobiliario-y-equipo" TargetMode="External"/><Relationship Id="rId193" Type="http://schemas.openxmlformats.org/officeDocument/2006/relationships/hyperlink" Target="https://intranet.undp.org/apps/snapshot/SitePages/ExecSnapshotHomePage.aspx" TargetMode="External"/><Relationship Id="rId207" Type="http://schemas.openxmlformats.org/officeDocument/2006/relationships/hyperlink" Target="https://undp.service-now.com/unall?id=kb_article_view&amp;sysparm_article=KB0013551" TargetMode="External"/><Relationship Id="rId13" Type="http://schemas.openxmlformats.org/officeDocument/2006/relationships/hyperlink" Target="https://popp.undp.org/es/documento/politica-del-marco-de-control-interno-para-el-pnud" TargetMode="External"/><Relationship Id="rId109" Type="http://schemas.openxmlformats.org/officeDocument/2006/relationships/hyperlink" Target="https://popp.undp.org/es/pagina-de-politica/designacion-y-responsabilidades-de-los-signatarios" TargetMode="External"/><Relationship Id="rId34"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55" Type="http://schemas.openxmlformats.org/officeDocument/2006/relationships/hyperlink" Target="https://undp.service-now.com/unall?id=kb_article_view&amp;sys_kb_id=cd5df21fc33a8e50298a1b43e40131f0" TargetMode="External"/><Relationship Id="rId76" Type="http://schemas.openxmlformats.org/officeDocument/2006/relationships/hyperlink" Target="https://undp.sharepoint.com/teams/GSSC/SitePages/FinanceServices/Home.aspx" TargetMode="External"/><Relationship Id="rId9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20" Type="http://schemas.openxmlformats.org/officeDocument/2006/relationships/hyperlink" Target="https://popp.undp.org/es/pagina-de-politica/propiedades-planta-y-equipo-ppe" TargetMode="External"/><Relationship Id="rId141" Type="http://schemas.openxmlformats.org/officeDocument/2006/relationships/hyperlink" Target="https://popp.undp.org/es/pagina-de-politica/gestion-de-la-caja-chica" TargetMode="External"/><Relationship Id="rId7" Type="http://schemas.openxmlformats.org/officeDocument/2006/relationships/settings" Target="settings.xml"/><Relationship Id="rId162" Type="http://schemas.openxmlformats.org/officeDocument/2006/relationships/hyperlink" Target="https://popp.undp.org/es/gestion-de-programas-y-proyectos" TargetMode="External"/><Relationship Id="rId183" Type="http://schemas.openxmlformats.org/officeDocument/2006/relationships/hyperlink" Target="https://popp.undp.org/es/documento/condiciones-generales-de-la-contratacion" TargetMode="External"/><Relationship Id="rId24" Type="http://schemas.openxmlformats.org/officeDocument/2006/relationships/hyperlink" Target="https://app.powerbi.com/groups/34e1e0b6-b985-40f3-8351-1bad930325a2/reports/313b5270-69fe-4967-b607-63769d64aabe/ReportSectionfe59d03eb983e84dd45a?experience=power-bi" TargetMode="External"/><Relationship Id="rId45" Type="http://schemas.openxmlformats.org/officeDocument/2006/relationships/hyperlink" Target="https://undp.service-now.com/unall?id=kb_category&amp;kb_id=9c8353641bc110509f48a64fad4bcb93&amp;kb_category=e6c1d75adb94a1d837d8dbe6f496197f" TargetMode="External"/><Relationship Id="rId66" Type="http://schemas.openxmlformats.org/officeDocument/2006/relationships/hyperlink" Target="https://undp.sharepoint.com/teams/GSSC/Shared%20Documents/GSSC%20Client%20SOPs/Finance%20Services/Client%20SOP_Deposit%20Creation%20Appendix.pptx?web=1" TargetMode="External"/><Relationship Id="rId87"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10" Type="http://schemas.openxmlformats.org/officeDocument/2006/relationships/hyperlink" Target="https://eur03.safelinks.protection.outlook.com/?url=https%3A%2F%2Fundp.sharepoint.com%2Fteams%2Fcollaborationtoolbox%2Fsitepages%2FBank_Signatory_Webinar_Session_06_March_2024.aspx&amp;data=05%7C02%7Cmichelle.armfield%40undp.org%7C3007efc84be749bae4d908dc3fbe0f6d%7Cb3e5db5e2944483799f57488ace54319%7C0%7C0%7C638455333829294667%7CUnknown%7CTWFpbGZsb3d8eyJWIjoiMC4wLjAwMDAiLCJQIjoiV2luMzIiLCJBTiI6Ik1haWwiLCJXVCI6Mn0%3D%7C0%7C%7C%7C&amp;sdata=XQD1lnprHdrN2oJfINDwoSmyte9OlfsVdu9PA1xNcMA%3D&amp;reserved=0" TargetMode="External"/><Relationship Id="rId131" Type="http://schemas.openxmlformats.org/officeDocument/2006/relationships/hyperlink" Target="https://undp.service-now.com/unall?id=kb_category&amp;kb_category=1d9ec44bdb2b60505d6d3dd5f396191f&amp;kb_id=9c8353641bc110509f48a64fad4bcb93" TargetMode="External"/><Relationship Id="rId61" Type="http://schemas.openxmlformats.org/officeDocument/2006/relationships/hyperlink" Target="https://undp.service-now.com/unall?id=kb_article_view&amp;sys_kb_id=cd5df21fc33a8e50298a1b43e40131f0" TargetMode="External"/><Relationship Id="rId82" Type="http://schemas.openxmlformats.org/officeDocument/2006/relationships/hyperlink" Target="https://popp.undp.org/es/pagina-de-politica/gestion-de-proveedores" TargetMode="External"/><Relationship Id="rId152" Type="http://schemas.openxmlformats.org/officeDocument/2006/relationships/hyperlink" Target="https://undp.sharepoint.com/teams/GSSC/SitePages/FinanceServices/Investment-Accounting.aspx" TargetMode="External"/><Relationship Id="rId173" Type="http://schemas.openxmlformats.org/officeDocument/2006/relationships/hyperlink" Target="https://popp.undp.org/es/pagina-de-politica/enajenacion-y-amortizacion-total-mobiliario-y-equipo" TargetMode="External"/><Relationship Id="rId194" Type="http://schemas.openxmlformats.org/officeDocument/2006/relationships/hyperlink" Target="https://web.yammer.com/main/org/undp.org/threads/eyJfdHlwZSI6IlRocmVhZCIsImlkIjoiMjExNTQ4OTkxOTQ1MTEzNiJ9" TargetMode="External"/><Relationship Id="rId199" Type="http://schemas.openxmlformats.org/officeDocument/2006/relationships/header" Target="header2.xml"/><Relationship Id="rId203" Type="http://schemas.openxmlformats.org/officeDocument/2006/relationships/hyperlink" Target="https://popp.undp.org/es/adquisiciones" TargetMode="External"/><Relationship Id="rId208" Type="http://schemas.openxmlformats.org/officeDocument/2006/relationships/hyperlink" Target="https://undp.service-now.com/$viewer.do?sysparm_stack=no&amp;sysparm_sys_id=83d25781c35b8254410dfc1a0501319f" TargetMode="External"/><Relationship Id="rId19" Type="http://schemas.openxmlformats.org/officeDocument/2006/relationships/hyperlink" Target="https://popp.undp.org/es/pagina-de-politica/gestion-de-la-caja-chica" TargetMode="External"/><Relationship Id="rId14" Type="http://schemas.openxmlformats.org/officeDocument/2006/relationships/hyperlink" Target="https://popp.undp.org/es/documento/politica-del-marco-de-control-interno-para-el-pnud" TargetMode="External"/><Relationship Id="rId30" Type="http://schemas.openxmlformats.org/officeDocument/2006/relationships/hyperlink" Target="https://popp.undp.org/es/pagina-de-politica/politica-del-pnud-contra-el-fraude-y-otras-practicas-corruptas" TargetMode="External"/><Relationship Id="rId35" Type="http://schemas.openxmlformats.org/officeDocument/2006/relationships/hyperlink" Target="https://popp.undp.org/es/pagina-de-politica/conservacion-de-documentos-proteccion-de-datos-e-imprevistos" TargetMode="External"/><Relationship Id="rId56" Type="http://schemas.openxmlformats.org/officeDocument/2006/relationships/hyperlink" Target="https://popp.undp.org/es/gestion-de-programas-y-proyectos" TargetMode="External"/><Relationship Id="rId77"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00" Type="http://schemas.openxmlformats.org/officeDocument/2006/relationships/hyperlink" Target="https://popp.undp.org/es/pagina-de-politica/ordenes-de-compra-compromisos-mantenimiento-y-cierre" TargetMode="External"/><Relationship Id="rId105" Type="http://schemas.openxmlformats.org/officeDocument/2006/relationships/hyperlink" Target="https://undp.service-now.com/unall?sys_kb_id=d2ec4c17c34b06d0410dfc1a0501315a&amp;id=kb_article_view&amp;sysparm_rank=38&amp;sysparm_tsqueryId=0ac2007ec3a1d2d0298a1b43e40131e0" TargetMode="External"/><Relationship Id="rId126" Type="http://schemas.openxmlformats.org/officeDocument/2006/relationships/image" Target="media/image4.png"/><Relationship Id="rId147" Type="http://schemas.openxmlformats.org/officeDocument/2006/relationships/hyperlink" Target="https://undp.sharepoint.com/teams/GSSC/SitePages/FinanceServices/Invoice-Processing.aspx" TargetMode="External"/><Relationship Id="rId168"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8" Type="http://schemas.openxmlformats.org/officeDocument/2006/relationships/webSettings" Target="webSettings.xml"/><Relationship Id="rId51" Type="http://schemas.openxmlformats.org/officeDocument/2006/relationships/hyperlink" Target="https://popp.undp.org/policy-page/receipt-goods-services-and-works" TargetMode="External"/><Relationship Id="rId72" Type="http://schemas.openxmlformats.org/officeDocument/2006/relationships/hyperlink" Target="https://popp.undp.org/es/gestion-de-recursos-financieros" TargetMode="External"/><Relationship Id="rId93" Type="http://schemas.openxmlformats.org/officeDocument/2006/relationships/hyperlink" Target="https://popp.undp.org/es/pagina-de-politica/pagos-anticipados" TargetMode="External"/><Relationship Id="rId98" Type="http://schemas.openxmlformats.org/officeDocument/2006/relationships/hyperlink" Target="https://popp.undp.org/es/pagina-de-politica/autoridad-en-materia-de-adquisiciones-y-aumento-de-la-autoridad-delegada-en" TargetMode="External"/><Relationship Id="rId121" Type="http://schemas.openxmlformats.org/officeDocument/2006/relationships/hyperlink" Target="https://popp.undp.org/es/financial-resources-management/gestion-de-inventarios" TargetMode="External"/><Relationship Id="rId142" Type="http://schemas.openxmlformats.org/officeDocument/2006/relationships/hyperlink" Target="https://popp.undp.org/es/pagina-de-politica/gestion-de-la-seguridad" TargetMode="External"/><Relationship Id="rId163" Type="http://schemas.openxmlformats.org/officeDocument/2006/relationships/hyperlink" Target="https://popp.undp.org/node/10536" TargetMode="External"/><Relationship Id="rId184" Type="http://schemas.openxmlformats.org/officeDocument/2006/relationships/hyperlink" Target="https://popp.undp.org/taxonomy/term/186" TargetMode="External"/><Relationship Id="rId189" Type="http://schemas.openxmlformats.org/officeDocument/2006/relationships/hyperlink" Target="https://undp.sharepoint.com/teams/ITM/SitePages/UnifiedDataPlatform.aspx?xsdata=MDV8MDF8fGUyZDQ3OWI4ZmFhYjRjZDI2NzBmMDhkYjk0Y2JhOWZifGIzZTVkYjVlMjk0NDQ4Mzc5OWY1NzQ4OGFjZTU0MzE5fDB8MHw2MzgyNjczNzQ2NTQxNTQ1MTF8VW5rbm93bnxWR1ZoYlhOVFpXTjFjbWwwZVZObGNuWnBZMlY4ZXlKV0lqb2lNQzR3TGpBd01EQWlMQ0pRSWpvaVYybHVNeklpTENKQlRpSTZJazkwYUdWeUlpd2lWMVFpT2pFeGZRPT18MXxMMk5vWVhSekx6RTVPalU0TUdJd05UQmxNbVE0WWpReVpXTTRNMlE1TVRGbU16STRZemswTTJaaVFIUm9jbVZoWkM1Mk1pOXRaWE56WVdkbGN5OHhOamt4TVRRd05qWTBPVGN3fDBjYzAxY2E5N2IyNzQyODcwNGM2MDhkYjk0Y2JhOWY5fGNiYjgyNTAzNjhlNTQzYWQ5ODVjMGYzMTBhZGJiNjFl&amp;sdata=aUdKc0dJQTMyaUpvbnVpUThjYkI1MW5aL0VBekhhcVhBZUxubFNSVnkyQT0%3D&amp;ovuser=b3e5db5e-2944-4837-99f5-7488ace54319%2csaeed.mubarak%40undp.org" TargetMode="External"/><Relationship Id="rId3" Type="http://schemas.openxmlformats.org/officeDocument/2006/relationships/customXml" Target="../customXml/item3.xml"/><Relationship Id="rId25" Type="http://schemas.openxmlformats.org/officeDocument/2006/relationships/hyperlink" Target="https://app.powerbi.com/groups/34e1e0b6-b985-40f3-8351-1bad930325a2/reports/330c50fb-8398-4bef-b67c-4809e0bcd89b/ReportSection?experience=power-bi" TargetMode="External"/><Relationship Id="rId46" Type="http://schemas.openxmlformats.org/officeDocument/2006/relationships/hyperlink" Target="http://popp.undp.org/es/pagina-de-politica/emitir-pedidos-electronicos-requisiciones-electronicas" TargetMode="External"/><Relationship Id="rId67" Type="http://schemas.openxmlformats.org/officeDocument/2006/relationships/hyperlink" Target="https://undp.service-now.com/unall?id=kb_category&amp;kb_category=e6c1d75adb94a1d837d8dbe6f496197f&amp;kb_id=9c8353641bc110509f48a64fad4bcb93" TargetMode="External"/><Relationship Id="rId116" Type="http://schemas.openxmlformats.org/officeDocument/2006/relationships/hyperlink" Target="https://popp.undp.org/es/financial-resources-management/gestion-de-inventarios" TargetMode="External"/><Relationship Id="rId137" Type="http://schemas.openxmlformats.org/officeDocument/2006/relationships/hyperlink" Target="https://undp.sharepoint.com/teams/OHR-Portal/2023%20Generic%20Job%20Descriptions/Forms/AllItems.aspx?id=%2Fteams%2FOHR%2DPortal%2F2023%20Generic%20Job%20Descriptions%2FOM%20%26%20Head%20of%20Sub%2DOffice&amp;viewid=569dbcf1%2Db6d6%2D484d%2Db8e7%2Da615adb16296" TargetMode="External"/><Relationship Id="rId158" Type="http://schemas.openxmlformats.org/officeDocument/2006/relationships/hyperlink" Target="https://popp.undp.org/node/11526" TargetMode="External"/><Relationship Id="rId20" Type="http://schemas.openxmlformats.org/officeDocument/2006/relationships/hyperlink" Target="https://popp.undp.org/es/human-resources-management/no-personal" TargetMode="External"/><Relationship Id="rId41" Type="http://schemas.openxmlformats.org/officeDocument/2006/relationships/hyperlink" Target="mailto:fba.all@undp.org" TargetMode="External"/><Relationship Id="rId62" Type="http://schemas.openxmlformats.org/officeDocument/2006/relationships/hyperlink" Target="https://popp.undp.org/es/documento/gestion-de-fondos-fiduciarios" TargetMode="External"/><Relationship Id="rId83" Type="http://schemas.openxmlformats.org/officeDocument/2006/relationships/hyperlink" Target="https://popp.undp.org/es/pagina-de-politica/ordenes-de-compra-compromisos-mantenimiento-y-cierre" TargetMode="External"/><Relationship Id="rId88" Type="http://schemas.openxmlformats.org/officeDocument/2006/relationships/hyperlink" Target="https://view.officeapps.live.com/op/embed.aspx?src=https://popp.undp.org/sites/g/files/zskgke421/files/2024-05/FRM_Expense%20Management%20_Supplier%20Management_Policy_0.docx" TargetMode="External"/><Relationship Id="rId111" Type="http://schemas.openxmlformats.org/officeDocument/2006/relationships/hyperlink" Target="https://popp.undp.org/es/administrative-services/viajes-de-servicio" TargetMode="External"/><Relationship Id="rId132" Type="http://schemas.openxmlformats.org/officeDocument/2006/relationships/hyperlink" Target="https://undp.sharepoint.com/teams/GSSC/SitePages/FinanceServices/Home.aspx" TargetMode="External"/><Relationship Id="rId153" Type="http://schemas.openxmlformats.org/officeDocument/2006/relationships/hyperlink" Target="https://undp.sharepoint.com/teams/GSSC/SitePages/FinanceServices/Travel-Payment-and-Reconciliation.aspx" TargetMode="External"/><Relationship Id="rId174" Type="http://schemas.openxmlformats.org/officeDocument/2006/relationships/hyperlink" Target="https://popp.undp.org/es/documento/cuentas-por-cobrar" TargetMode="External"/><Relationship Id="rId179" Type="http://schemas.openxmlformats.org/officeDocument/2006/relationships/hyperlink" Target="https://undp.sharepoint.com/sites/FinanceBusinessAdvisors-FBA/Lists/ICF%20Repository/AllItems.aspx" TargetMode="External"/><Relationship Id="rId195" Type="http://schemas.openxmlformats.org/officeDocument/2006/relationships/hyperlink" Target="https://web.yammer.com/main/org/undp.org/threads/eyJfdHlwZSI6IlRocmVhZCIsImlkIjoiMjExNTQ4OTkxOTQ1MTEzNiJ9" TargetMode="External"/><Relationship Id="rId209" Type="http://schemas.openxmlformats.org/officeDocument/2006/relationships/fontTable" Target="fontTable.xml"/><Relationship Id="rId190" Type="http://schemas.openxmlformats.org/officeDocument/2006/relationships/hyperlink" Target="https://undp.sharepoint.com/teams/ITM/SitePages/UNDP-Reporting.aspx?xsdata=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%3D&amp;sdata=SDhTL3RvdHVNUDA0WjVHZGlrdnRkWUxKNjBLaXFvQVYyamxSaXlkU0R3OD0%3D&amp;ovuser=b3e5db5e-2944-4837-99f5-7488ace54319%2Cmichelle.armfield%40undp.org&amp;OR=Teams-HL&amp;CT=1710944354583&amp;clickparams=eyJBcHBOYW1lIjoiVGVhbXMtRGVza3RvcCIsIkFwcFZlcnNpb24iOiI0OS8yNDAyMTUyODYxMSIsIkhhc0ZlZGVyYXRlZFVzZXIiOmZhbHNlfQ%3D%3D" TargetMode="External"/><Relationship Id="rId204" Type="http://schemas.openxmlformats.org/officeDocument/2006/relationships/hyperlink" Target="https://undp.sharepoint.com/teams/GSSC/SitePages/FinanceServices/Vendor-Management.aspx" TargetMode="External"/><Relationship Id="rId15" Type="http://schemas.openxmlformats.org/officeDocument/2006/relationships/hyperlink" Target="https://app.powerbi.com/groups/me/reports/2e4111d1-7a3c-4dd3-9088-d4ccb5e15cc8/ReportSection7001eb9b64898ac009b1?ctid=b3e5db5e-2944-4837-99f5-7488ace54319&amp;experience=power-bi" TargetMode="External"/><Relationship Id="rId36" Type="http://schemas.openxmlformats.org/officeDocument/2006/relationships/hyperlink" Target="https://app.powerbi.com/groups/me/reports/2e4111d1-7a3c-4dd3-9088-d4ccb5e15cc8/ReportSection7001eb9b64898ac009b1?ctid=b3e5db5e-2944-4837-99f5-7488ace54319&amp;experience=power-bi" TargetMode="External"/><Relationship Id="rId57" Type="http://schemas.openxmlformats.org/officeDocument/2006/relationships/hyperlink" Target="https://popp.undp.org/es/pagina-de-politica/provision-de-supervision" TargetMode="External"/><Relationship Id="rId106" Type="http://schemas.openxmlformats.org/officeDocument/2006/relationships/hyperlink" Target="https://popp.undp.org/es/pagina-de-politica/desembolso-de-fondos-realizacion-de-pagos" TargetMode="External"/><Relationship Id="rId127" Type="http://schemas.openxmlformats.org/officeDocument/2006/relationships/hyperlink" Target="https://gssc.info.undp.org/payroll" TargetMode="External"/><Relationship Id="rId10" Type="http://schemas.openxmlformats.org/officeDocument/2006/relationships/endnotes" Target="endnotes.xml"/><Relationship Id="rId31" Type="http://schemas.openxmlformats.org/officeDocument/2006/relationships/hyperlink" Target="https://www.undp.org/accountability/audit/investigations" TargetMode="External"/><Relationship Id="rId52" Type="http://schemas.openxmlformats.org/officeDocument/2006/relationships/hyperlink" Target="https://popp.undp.org/policy-page/receipt-goods-services-and-works" TargetMode="External"/><Relationship Id="rId73" Type="http://schemas.openxmlformats.org/officeDocument/2006/relationships/hyperlink" Target="https://popp.undp.org/es/financial-resources-management/gestion-de-gastos" TargetMode="External"/><Relationship Id="rId78" Type="http://schemas.openxmlformats.org/officeDocument/2006/relationships/hyperlink" Target="https://popp.undp.org/es/adquisiciones" TargetMode="External"/><Relationship Id="rId94" Type="http://schemas.openxmlformats.org/officeDocument/2006/relationships/hyperlink" Target="https://popp.undp.org/es/adquisiciones" TargetMode="External"/><Relationship Id="rId99" Type="http://schemas.openxmlformats.org/officeDocument/2006/relationships/hyperlink" Target="https://popp.undp.org/es/pagina-de-politica/autoridad-en-materia-de-adquisiciones-y-aumento-de-la-autoridad-delegada-en" TargetMode="External"/><Relationship Id="rId101" Type="http://schemas.openxmlformats.org/officeDocument/2006/relationships/hyperlink" Target="https://popp.undp.org/es/pagina-de-politica/cuentas-por-pagar" TargetMode="External"/><Relationship Id="rId122" Type="http://schemas.openxmlformats.org/officeDocument/2006/relationships/hyperlink" Target="https://popp.undp.org/es/financial-resources-management/gestion-de-inventarios" TargetMode="External"/><Relationship Id="rId143" Type="http://schemas.openxmlformats.org/officeDocument/2006/relationships/hyperlink" Target="https://popp.undp.org/es/pagina-de-politica/normas-de-tic-para-la-recuperacion-en-casos-de-desastre-para-las-oficinas-del" TargetMode="External"/><Relationship Id="rId148" Type="http://schemas.openxmlformats.org/officeDocument/2006/relationships/hyperlink" Target="https://undp.sharepoint.com/teams/GSSC/SitePages/FinanceServices/Pay%20Cycle.aspx" TargetMode="External"/><Relationship Id="rId164" Type="http://schemas.openxmlformats.org/officeDocument/2006/relationships/hyperlink" Target="https://popp.undp.org/es/pagina-de-politica/evaluar-y-aprobar" TargetMode="External"/><Relationship Id="rId169" Type="http://schemas.openxmlformats.org/officeDocument/2006/relationships/hyperlink" Target="https://popp.undp.org/es/gestion-de-recursos-humanos" TargetMode="External"/><Relationship Id="rId185" Type="http://schemas.openxmlformats.org/officeDocument/2006/relationships/hyperlink" Target="https://undp.sharepoint.com/sites/UNAgencies/Authorized%20Signatories%20by%20Agency/Forms/AllItems.asp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ndp.sharepoint.com/teams/GSSC/Shared%20Documents/Forms/Performance%20Reporting.aspx?csf=1&amp;web=1&amp;e=ALgl76&amp;CID=fe8265a1%2D5085%2D0000%2D2d5e%2D12afa7909d72&amp;cidOR=SPO&amp;FolderCTID=0x0120000123C3BD6B97D3438747A92C421D820A&amp;id=%2Fteams%2FGSSC%2FShared%20Documents%2FGSSC%20Client%20SOPs%2FFinance%20Services" TargetMode="External"/><Relationship Id="rId210" Type="http://schemas.openxmlformats.org/officeDocument/2006/relationships/theme" Target="theme/theme1.xml"/><Relationship Id="rId26" Type="http://schemas.openxmlformats.org/officeDocument/2006/relationships/hyperlink" Target="https://popp.undp.org/es/pagina-de-politica/gestion-de-los-riesgos-institucionales-erm" TargetMode="External"/><Relationship Id="rId47" Type="http://schemas.openxmlformats.org/officeDocument/2006/relationships/hyperlink" Target="https://popp.undp.org/es/pagina-de-politica/pagos-anticipados" TargetMode="External"/><Relationship Id="rId68" Type="http://schemas.openxmlformats.org/officeDocument/2006/relationships/hyperlink" Target="https://app.powerbi.com/groups/me/reports/37b98fde-7215-44b2-91de-871bb50f82c2/ReportSectionb133d00a212732caa435?ctid=b3e5db5e-2944-4837-99f5-7488ace54319&amp;experience=power-bi" TargetMode="External"/><Relationship Id="rId89" Type="http://schemas.openxmlformats.org/officeDocument/2006/relationships/hyperlink" Target="https://undp.service-now.com/unall?id=kb_article_view&amp;sysparm_article=KB0013551" TargetMode="External"/><Relationship Id="rId112" Type="http://schemas.openxmlformats.org/officeDocument/2006/relationships/hyperlink" Target="https://undp.service-now.com/unall?id=kb_category&amp;kb_id=9c8353641bc110509f48a64fad4bcb93&amp;kb_category=3ba9e5718718e158035ea8690cbb35f2" TargetMode="External"/><Relationship Id="rId133"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54" Type="http://schemas.openxmlformats.org/officeDocument/2006/relationships/hyperlink" Target="https://undp.sharepoint.com/teams/GSSC/SitePages/FinanceServices/Bank-to-Book-(B2B)-Reconciliation.aspx" TargetMode="External"/><Relationship Id="rId175" Type="http://schemas.openxmlformats.org/officeDocument/2006/relationships/hyperlink" Target="https://popp.undp.org/es/documento/anticipo-de-sueldo" TargetMode="External"/><Relationship Id="rId196" Type="http://schemas.openxmlformats.org/officeDocument/2006/relationships/hyperlink" Target="https://undp.service-now.com/unall?id=kb_article&amp;sys_id=160b359293124a5072a03e718bba103f&amp;table=kb_knowledge" TargetMode="External"/><Relationship Id="rId200" Type="http://schemas.openxmlformats.org/officeDocument/2006/relationships/footer" Target="footer2.xml"/><Relationship Id="rId16" Type="http://schemas.openxmlformats.org/officeDocument/2006/relationships/hyperlink" Target="https://app.powerbi.com/groups/me/reports/69945840-ce85-4ccc-b331-237f0c5597e2/f779931b1128377b3b92?ctid=b3e5db5e-2944-4837-99f5-7488ace54319&amp;experience=power-bi" TargetMode="External"/><Relationship Id="rId37" Type="http://schemas.openxmlformats.org/officeDocument/2006/relationships/hyperlink" Target="https://undp.sharepoint.com/teams/ITM/Shared%20Documents/Forms/AllItems.aspx?id=%2Fteams%2FITM%2FShared%20Documents%2FICF%20Monitoring%20Reports%5FUser%20Guide%2Epdf&amp;parent=%2Fteams%2FITM%2FShared%20Documents" TargetMode="External"/><Relationship Id="rId58" Type="http://schemas.openxmlformats.org/officeDocument/2006/relationships/hyperlink" Target="https://popp.undp.org/es/pagina-de-politica/seleccionar-asociados-en-la-ejecucion" TargetMode="External"/><Relationship Id="rId79" Type="http://schemas.openxmlformats.org/officeDocument/2006/relationships/hyperlink" Target="https://popp.undp.org/es/pagina-de-politica/gestion-de-contratos" TargetMode="External"/><Relationship Id="rId102"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123" Type="http://schemas.openxmlformats.org/officeDocument/2006/relationships/hyperlink" Target="https://popp.undp.org/es/gestion-de-recursos-humanos" TargetMode="External"/><Relationship Id="rId144" Type="http://schemas.openxmlformats.org/officeDocument/2006/relationships/hyperlink" Target="https://undp.sharepoint.com/teams/OHR-Portal/2023%20Generic%20Job%20Descriptions/Forms/AllItems.aspx?id=%2Fteams%2FOHR%2DPortal%2F2023%20Generic%20Job%20Descriptions%2FFinance&amp;viewid=569dbcf1%2Db6d6%2D484d%2Db8e7%2Da615adb16296" TargetMode="External"/><Relationship Id="rId90"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65" Type="http://schemas.openxmlformats.org/officeDocument/2006/relationships/hyperlink" Target="https://popp.undp.org/es/pagina-de-politica/autoridad-en-materia-de-adquisiciones-y-aumento-de-la-autoridad-delegada-en" TargetMode="External"/><Relationship Id="rId186" Type="http://schemas.openxmlformats.org/officeDocument/2006/relationships/hyperlink" Target="https://popp.undp.org/es/pagina-de-politica/metodo-armonizado-para-las-transferencias-en-efectivo" TargetMode="External"/><Relationship Id="rId211" Type="http://schemas.microsoft.com/office/2020/10/relationships/intelligence" Target="intelligence2.xml"/><Relationship Id="rId27" Type="http://schemas.openxmlformats.org/officeDocument/2006/relationships/hyperlink" Target="https://popp.undp.org/es/pagina-de-politica/politica-de-lucha-contra-el-blanqueo-de-dinero-y-la-financiacion-del-terrorismo" TargetMode="External"/><Relationship Id="rId48" Type="http://schemas.openxmlformats.org/officeDocument/2006/relationships/hyperlink" Target="https://popp.undp.org/es/pagina-de-politica/transferencias-directas-de-efectivo-y-reembolsos" TargetMode="External"/><Relationship Id="rId69"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113" Type="http://schemas.openxmlformats.org/officeDocument/2006/relationships/image" Target="media/image3.png"/><Relationship Id="rId134" Type="http://schemas.openxmlformats.org/officeDocument/2006/relationships/hyperlink" Target="https://popp.undp.org/es/gestion-de-recursos-financieros" TargetMode="External"/><Relationship Id="rId80" Type="http://schemas.openxmlformats.org/officeDocument/2006/relationships/hyperlink" Target="https://popp.undp.org/es/pagina-de-politica/envio-y-seguro" TargetMode="External"/><Relationship Id="rId155" Type="http://schemas.openxmlformats.org/officeDocument/2006/relationships/hyperlink" Target="https://undp.sharepoint.com/teams/GSSC/SitePages/Fixed-Assets-Processing-and-Inventory-Certifications.aspx" TargetMode="External"/><Relationship Id="rId176" Type="http://schemas.openxmlformats.org/officeDocument/2006/relationships/hyperlink" Target="https://undp.sharepoint.com/sites/FPMR-FinancialClosure" TargetMode="External"/><Relationship Id="rId197" Type="http://schemas.openxmlformats.org/officeDocument/2006/relationships/hyperlink" Target="https://undp.service-now.com/unall?id=kb_article&amp;sys_id=160b359293124a5072a03e718bba103f&amp;table=kb_knowledge" TargetMode="External"/><Relationship Id="rId201" Type="http://schemas.openxmlformats.org/officeDocument/2006/relationships/image" Target="media/image6.emf"/><Relationship Id="rId1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38" Type="http://schemas.openxmlformats.org/officeDocument/2006/relationships/hyperlink" Target="https://undp.service-now.com/unall?id=kb_article&amp;sysparm_article=KB0012844" TargetMode="External"/><Relationship Id="rId59"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103" Type="http://schemas.openxmlformats.org/officeDocument/2006/relationships/hyperlink" Target="https://popp.undp.org/es/documento/pagos-por-anticipado" TargetMode="External"/><Relationship Id="rId124" Type="http://schemas.openxmlformats.org/officeDocument/2006/relationships/hyperlink" Target="https://undp.service-now.com/unall?id=kb_category&amp;kb_category=44ae484bdb2b60505d6d3dd5f396190a&amp;kb_id=9c8353641bc110509f48a64fad4bcb93" TargetMode="External"/><Relationship Id="rId70" Type="http://schemas.openxmlformats.org/officeDocument/2006/relationships/hyperlink" Target="https://popp.undp.org/es/gestion-de-programas-y-proyectos" TargetMode="External"/><Relationship Id="rId91" Type="http://schemas.openxmlformats.org/officeDocument/2006/relationships/hyperlink" Target="https://popp.undp.org/es/adquisiciones" TargetMode="External"/><Relationship Id="rId145"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66" Type="http://schemas.openxmlformats.org/officeDocument/2006/relationships/hyperlink" Target="https://popp.undp.org/es/adquisiciones" TargetMode="External"/><Relationship Id="rId187" Type="http://schemas.openxmlformats.org/officeDocument/2006/relationships/hyperlink" Target="https://popp.undp.org/es/pagina-de-politica/metodo-armonizado-para-las-transferencias-en-efectivo" TargetMode="External"/><Relationship Id="rId1" Type="http://schemas.openxmlformats.org/officeDocument/2006/relationships/customXml" Target="../customXml/item1.xml"/><Relationship Id="rId28" Type="http://schemas.openxmlformats.org/officeDocument/2006/relationships/hyperlink" Target="https://www.undp.org/sites/g/files/zskgke326/files/2022-02/UNDP-OAI-IS-Investigation-Guidelines-ENG-2022.pdf" TargetMode="External"/><Relationship Id="rId49" Type="http://schemas.openxmlformats.org/officeDocument/2006/relationships/hyperlink" Target="https://popp.undp.org/es/financial-resources-management/cash-banking-and-investment/arreglos-de-tesoreria" TargetMode="External"/><Relationship Id="rId114" Type="http://schemas.openxmlformats.org/officeDocument/2006/relationships/hyperlink" Target="https://popp.undp.org/policy-page/authorizing-official-business-travel" TargetMode="External"/><Relationship Id="rId60" Type="http://schemas.openxmlformats.org/officeDocument/2006/relationships/hyperlink" Target="https://undp.sharepoint.com/sites/StreamVideos/_layouts/15/stream.aspx?id=%2Fsites%2FStreamVideos%2FShared%20Documents%2FStream%20Migrated%20Videos%2FQuantum%2FQuantum%2B%20How%20to%20Submit%20New%20Agreements%20EN%20Session%20%231%2Emp4&amp;referrer=StreamWebApp%2EWeb&amp;referrerScenario=AddressBarCopied%2Eview%2E2695e8d3%2D6874%2D448b%2Db635%2Db78ed708c77d" TargetMode="External"/><Relationship Id="rId81" Type="http://schemas.openxmlformats.org/officeDocument/2006/relationships/hyperlink" Target="https://popp.undp.org/es/pagina-de-politica/pago-e-impuestos" TargetMode="External"/><Relationship Id="rId135" Type="http://schemas.openxmlformats.org/officeDocument/2006/relationships/hyperlink" Target="https://popp.undp.org/es/financial-resources-management/planificacion-de-recursos-y-recuperacion-de-costes" TargetMode="External"/><Relationship Id="rId156" Type="http://schemas.openxmlformats.org/officeDocument/2006/relationships/hyperlink" Target="https://undp.sharepoint.com/teams/GSSC/SitePages/FinanceServices/Financial-Close-of-Development-Projects-and-Donor-Refunds.aspx" TargetMode="External"/><Relationship Id="rId177" Type="http://schemas.openxmlformats.org/officeDocument/2006/relationships/hyperlink" Target="mailto:fba.all@undp.org" TargetMode="External"/><Relationship Id="rId198" Type="http://schemas.openxmlformats.org/officeDocument/2006/relationships/hyperlink" Target="https://undp.service-now.com/unall?id=kb_article&amp;sys_id=160b359293124a5072a03e718bba103f&amp;table=kb_knowledge" TargetMode="External"/><Relationship Id="rId202" Type="http://schemas.openxmlformats.org/officeDocument/2006/relationships/image" Target="media/image7.emf"/><Relationship Id="rId18" Type="http://schemas.openxmlformats.org/officeDocument/2006/relationships/hyperlink" Target="https://popp.undp.org/sites/g/files/zskgke421/files/AC_Ethics_Financial%20Disclosure.pdf" TargetMode="External"/><Relationship Id="rId39" Type="http://schemas.openxmlformats.org/officeDocument/2006/relationships/image" Target="media/image1.png"/><Relationship Id="rId50" Type="http://schemas.openxmlformats.org/officeDocument/2006/relationships/hyperlink" Target="https://web.yammer.com/main/org/undp.org/threads/eyJfdHlwZSI6IlRocmVhZCIsImlkIjoiMjExNTQ4OTkxOTQ1MTEzNiJ9" TargetMode="External"/><Relationship Id="rId104" Type="http://schemas.openxmlformats.org/officeDocument/2006/relationships/hyperlink" Target="https://undp.service-now.com/unall?id=kb_article_view&amp;sysparm_article=KB0012870" TargetMode="External"/><Relationship Id="rId125"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146" Type="http://schemas.openxmlformats.org/officeDocument/2006/relationships/hyperlink" Target="https://undp.sharepoint.com/teams/GSSC/SitePages/FinanceServices/Vendor-Management.aspx" TargetMode="External"/><Relationship Id="rId167" Type="http://schemas.openxmlformats.org/officeDocument/2006/relationships/hyperlink" Target="https://popp.undp.org/node/10446" TargetMode="External"/><Relationship Id="rId188" Type="http://schemas.openxmlformats.org/officeDocument/2006/relationships/hyperlink" Target="https://undp.sharepoint.com/:p:/r/teams/ITM/_layouts/15/Doc.aspx?sourcedoc=%7B5031EE01-36BB-4462-A697-48393401B8BE%7D&amp;file=EXT%20Access%20User%20Provisioning%20v2.pptx&amp;wdLOR=cDD463C1B-7BF5-45B0-A127-46E184F3661D&amp;action=edit&amp;mobileredirect=true" TargetMode="External"/><Relationship Id="rId71" Type="http://schemas.openxmlformats.org/officeDocument/2006/relationships/hyperlink" Target="https://popp.undp.org/es/adquisiciones" TargetMode="External"/><Relationship Id="rId92" Type="http://schemas.openxmlformats.org/officeDocument/2006/relationships/hyperlink" Target="https://popp.undp.org/es/pagina-de-politica/ordenes-de-compra-compromisos-mantenimiento-y-cierre" TargetMode="External"/><Relationship Id="rId2" Type="http://schemas.openxmlformats.org/officeDocument/2006/relationships/customXml" Target="../customXml/item2.xml"/><Relationship Id="rId29"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40" Type="http://schemas.openxmlformats.org/officeDocument/2006/relationships/image" Target="media/image2.png"/><Relationship Id="rId115" Type="http://schemas.openxmlformats.org/officeDocument/2006/relationships/hyperlink" Target="https://popp.undp.org/es/administrative-services/propiedades-planta-y-equipo-ppe" TargetMode="External"/><Relationship Id="rId136" Type="http://schemas.openxmlformats.org/officeDocument/2006/relationships/hyperlink" Target="https://undp.sharepoint.com/teams/OHR-Portal/2023%20Generic%20Job%20Descriptions/Forms/AllItems.aspx?id=%2Fteams%2FOHR%2DPortal%2F2023%20Generic%20Job%20Descriptions%2FRR%2DDRR%20%2D%20Generic%20JDs&amp;viewid=569dbcf1%2Db6d6%2D484d%2Db8e7%2Da615adb16296" TargetMode="External"/><Relationship Id="rId157" Type="http://schemas.openxmlformats.org/officeDocument/2006/relationships/hyperlink" Target="https://undp.sharepoint.com/teams/GSSC/SitePages/FinanceServices/Donor-Refunds.aspx?source=https%3a//undp.sharepoint.com/teams/GSSC/SitePages/Forms/ByAuthor.aspx?id%3D%252Fteams%252FGSSC%252FSitePages%252FFinanceServices%26viewid%3D8ba0c08f%252Db47b%252D482e%252D9921%252D034f54a31375" TargetMode="External"/><Relationship Id="rId178" Type="http://schemas.openxmlformats.org/officeDocument/2006/relationships/hyperlink" Target="https://undp.sharepoint.com/:w:/r/teams/OFM/_layouts/15/Doc.aspx?sourcedoc=%7B112AF34B-3E4A-48C0-9063-7D6842C76A21%7D&amp;file=Revised-AC_Accountability_Internal%20Control%20Framework_Budget%20Override%20Guide%20Template%20FINAL%20Version.docx&amp;action=default&amp;mobileredirect=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es/pagina-de-politica/prevision-y-entrega-de-adquisiciones" TargetMode="External"/><Relationship Id="rId2" Type="http://schemas.openxmlformats.org/officeDocument/2006/relationships/hyperlink" Target="https://app.powerbi.com/groups/me/reports/2e4111d1-7a3c-4dd3-9088-d4ccb5e15cc8/ReportSection7001eb9b64898ac009b1?ctid=b3e5db5e-2944-4837-99f5-7488ace54319&amp;experience=power-bi" TargetMode="External"/><Relationship Id="rId1" Type="http://schemas.openxmlformats.org/officeDocument/2006/relationships/hyperlink" Target="https://app.powerbi.com/groups/me/reports/a399228a-5841-4df1-8511-5d44aac50ce4/ReportSectionb26b348a26ebe0744d82?ctid=b3e5db5e-2944-4837-99f5-7488ace54319&amp;experience=power-bi" TargetMode="External"/><Relationship Id="rId4" Type="http://schemas.openxmlformats.org/officeDocument/2006/relationships/hyperlink" Target="https://eur03.safelinks.protection.outlook.com/?url=https%3A%2F%2Fundp.service-now.com%2Fkb_view.do%3Fsysparm_article%3DKB0014914&amp;data=05%7C02%7Cmichelle.armfield%40undp.org%7C3797d0f77cc34840ce3308dcdf39a6fd%7Cb3e5db5e2944483799f57488ace54319%7C0%7C0%7C638630687370190348%7CUnknown%7CTWFpbGZsb3d8eyJWIjoiMC4wLjAwMDAiLCJQIjoiV2luMzIiLCJBTiI6Ik1haWwiLCJXVCI6Mn0%3D%7C0%7C%7C%7C&amp;sdata=2wiHDYTZ7ZZ2uHFcyFOMQ5PGrPqlPh%2FB%2FGfI4m%2BsiB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07e7ad-995c-46d2-bc32-90192f265d43">
      <Terms xmlns="http://schemas.microsoft.com/office/infopath/2007/PartnerControls"/>
    </lcf76f155ced4ddcb4097134ff3c332f>
    <Date xmlns="a007e7ad-995c-46d2-bc32-90192f265d43" xsi:nil="true"/>
    <TaxCatchAll xmlns="07a4eaaf-6901-4ef4-b03e-97cb68874a4d" xsi:nil="true"/>
    <_Flow_SignoffStatus xmlns="a007e7ad-995c-46d2-bc32-90192f265d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86B9E6DDFEC41B907AC7631ADE884" ma:contentTypeVersion="19" ma:contentTypeDescription="Create a new document." ma:contentTypeScope="" ma:versionID="a9fafc23672e1ed471d9256da7a1fb80">
  <xsd:schema xmlns:xsd="http://www.w3.org/2001/XMLSchema" xmlns:xs="http://www.w3.org/2001/XMLSchema" xmlns:p="http://schemas.microsoft.com/office/2006/metadata/properties" xmlns:ns2="a007e7ad-995c-46d2-bc32-90192f265d43" xmlns:ns3="07a4eaaf-6901-4ef4-b03e-97cb68874a4d" targetNamespace="http://schemas.microsoft.com/office/2006/metadata/properties" ma:root="true" ma:fieldsID="6ba63edd97a3139f264a31786a6f0a17" ns2:_="" ns3:_="">
    <xsd:import namespace="a007e7ad-995c-46d2-bc32-90192f265d43"/>
    <xsd:import namespace="07a4eaaf-6901-4ef4-b03e-97cb68874a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Date" minOccurs="0"/>
                <xsd:element ref="ns2:_Flow_SignoffStatu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7e7ad-995c-46d2-bc32-90192f265d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Date" ma:index="13" nillable="true" ma:displayName="Date" ma:format="DateOnly" ma:internalName="Date">
      <xsd:simpleType>
        <xsd:restriction base="dms:DateTime"/>
      </xsd:simpleType>
    </xsd:element>
    <xsd:element name="_Flow_SignoffStatus" ma:index="14" nillable="true" ma:displayName="Sign-off status" ma:internalName="_x0024_Resources_x003a_core_x002c_Signoff_Status_x003b_">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4eaaf-6901-4ef4-b03e-97cb68874a4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6ba1319-3fc5-4358-8a2b-c3beefccf6ff}" ma:internalName="TaxCatchAll" ma:showField="CatchAllData" ma:web="07a4eaaf-6901-4ef4-b03e-97cb68874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ECE2F-BC83-41F3-9B9E-D21C6F1AF971}">
  <ds:schemaRefs>
    <ds:schemaRef ds:uri="http://schemas.openxmlformats.org/officeDocument/2006/bibliography"/>
  </ds:schemaRefs>
</ds:datastoreItem>
</file>

<file path=customXml/itemProps2.xml><?xml version="1.0" encoding="utf-8"?>
<ds:datastoreItem xmlns:ds="http://schemas.openxmlformats.org/officeDocument/2006/customXml" ds:itemID="{4BFA4F82-E1C8-4408-B4B9-4F54252E0E24}">
  <ds:schemaRefs>
    <ds:schemaRef ds:uri="http://schemas.microsoft.com/sharepoint/v3/contenttype/forms"/>
  </ds:schemaRefs>
</ds:datastoreItem>
</file>

<file path=customXml/itemProps3.xml><?xml version="1.0" encoding="utf-8"?>
<ds:datastoreItem xmlns:ds="http://schemas.openxmlformats.org/officeDocument/2006/customXml" ds:itemID="{69BE767F-9E3C-4CD8-99BD-CBD25A9DB516}">
  <ds:schemaRefs>
    <ds:schemaRef ds:uri="http://schemas.microsoft.com/office/2006/metadata/properties"/>
    <ds:schemaRef ds:uri="http://schemas.microsoft.com/office/infopath/2007/PartnerControls"/>
    <ds:schemaRef ds:uri="a007e7ad-995c-46d2-bc32-90192f265d43"/>
    <ds:schemaRef ds:uri="07a4eaaf-6901-4ef4-b03e-97cb68874a4d"/>
  </ds:schemaRefs>
</ds:datastoreItem>
</file>

<file path=customXml/itemProps4.xml><?xml version="1.0" encoding="utf-8"?>
<ds:datastoreItem xmlns:ds="http://schemas.openxmlformats.org/officeDocument/2006/customXml" ds:itemID="{9AB2A02B-D776-4658-86C3-951A9665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7e7ad-995c-46d2-bc32-90192f265d43"/>
    <ds:schemaRef ds:uri="07a4eaaf-6901-4ef4-b03e-97cb6887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48507</Words>
  <Characters>276491</Characters>
  <Application>Microsoft Office Word</Application>
  <DocSecurity>0</DocSecurity>
  <Lines>2304</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BMS/OFM</dc:creator>
  <cp:keywords/>
  <dc:description/>
  <cp:lastModifiedBy>Michelle Armfield</cp:lastModifiedBy>
  <cp:revision>7</cp:revision>
  <cp:lastPrinted>2025-03-14T21:31:00Z</cp:lastPrinted>
  <dcterms:created xsi:type="dcterms:W3CDTF">2025-12-04T21:30:00Z</dcterms:created>
  <dcterms:modified xsi:type="dcterms:W3CDTF">2025-12-05T17:50:00Z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0x01010003786B9E6DDFEC41B907AC7631ADE884</vt:lpwstr>
  </property>
  <property fmtid="{D5CDD505-2E9C-101B-9397-08002B2CF9AE}" pid="3" name="docLang">
    <vt:lpwstr>es</vt:lpwstr>
  </property>
  <property fmtid="{D5CDD505-2E9C-101B-9397-08002B2CF9AE}" pid="4" name="MediaServiceImageTags">
    <vt:lpwstr/>
  </property>
</Properties>
</file>