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3ACF" w14:textId="129E6C5B" w:rsidR="00AA660F" w:rsidRDefault="00AA660F" w:rsidP="05FD380F">
      <w:pPr>
        <w:rPr>
          <w:sz w:val="40"/>
          <w:szCs w:val="40"/>
        </w:rPr>
      </w:pPr>
    </w:p>
    <w:p w14:paraId="4F465774" w14:textId="4743177E" w:rsidR="660E15BE" w:rsidRDefault="660E15BE" w:rsidP="660E15BE">
      <w:pPr>
        <w:rPr>
          <w:sz w:val="40"/>
          <w:szCs w:val="40"/>
        </w:rPr>
      </w:pPr>
    </w:p>
    <w:p w14:paraId="2528D9C8" w14:textId="77777777" w:rsidR="00A66E0C" w:rsidRDefault="00A66E0C" w:rsidP="00A66E0C">
      <w:pPr>
        <w:rPr>
          <w:rFonts w:ascii="Times New Roman" w:hAnsi="Times New Roman" w:cs="Times New Roman"/>
          <w:sz w:val="36"/>
          <w:szCs w:val="36"/>
        </w:rPr>
      </w:pPr>
    </w:p>
    <w:p w14:paraId="4A83F61F" w14:textId="6300BDCA" w:rsidR="00A66E0C" w:rsidRPr="000E4320" w:rsidRDefault="00A66E0C" w:rsidP="363CA695">
      <w:pPr>
        <w:rPr>
          <w:sz w:val="36"/>
          <w:szCs w:val="36"/>
        </w:rPr>
      </w:pPr>
      <w:r w:rsidRPr="363CA695">
        <w:rPr>
          <w:sz w:val="36"/>
          <w:szCs w:val="36"/>
        </w:rPr>
        <w:t xml:space="preserve">United Nations Development </w:t>
      </w:r>
      <w:proofErr w:type="spellStart"/>
      <w:r w:rsidRPr="363CA695">
        <w:rPr>
          <w:sz w:val="36"/>
          <w:szCs w:val="36"/>
        </w:rPr>
        <w:t>Programme</w:t>
      </w:r>
      <w:proofErr w:type="spellEnd"/>
    </w:p>
    <w:p w14:paraId="4385F0CF" w14:textId="77777777" w:rsidR="00A66E0C" w:rsidRPr="000E4320" w:rsidRDefault="00A66E0C" w:rsidP="00A66E0C">
      <w:pPr>
        <w:rPr>
          <w:rFonts w:cstheme="minorHAnsi"/>
        </w:rPr>
      </w:pPr>
    </w:p>
    <w:p w14:paraId="0473FE1C" w14:textId="77777777" w:rsidR="00A66E0C" w:rsidRPr="000E4320" w:rsidRDefault="00A66E0C" w:rsidP="00A66E0C">
      <w:pPr>
        <w:rPr>
          <w:rFonts w:cstheme="minorHAnsi"/>
        </w:rPr>
      </w:pPr>
    </w:p>
    <w:p w14:paraId="70E82188" w14:textId="77777777" w:rsidR="00A66E0C" w:rsidRPr="000E4320" w:rsidRDefault="00A66E0C" w:rsidP="00A66E0C">
      <w:pPr>
        <w:rPr>
          <w:rFonts w:cstheme="minorHAnsi"/>
        </w:rPr>
      </w:pPr>
    </w:p>
    <w:p w14:paraId="145B4270" w14:textId="77777777" w:rsidR="00A66E0C" w:rsidRPr="000E4320" w:rsidRDefault="00A66E0C" w:rsidP="00A66E0C">
      <w:pPr>
        <w:rPr>
          <w:rFonts w:cstheme="minorHAnsi"/>
        </w:rPr>
      </w:pPr>
    </w:p>
    <w:p w14:paraId="0C10890C" w14:textId="77777777" w:rsidR="00A66E0C" w:rsidRPr="000E4320" w:rsidRDefault="00A66E0C" w:rsidP="00A66E0C">
      <w:pPr>
        <w:rPr>
          <w:rFonts w:cstheme="minorHAnsi"/>
        </w:rPr>
      </w:pPr>
    </w:p>
    <w:p w14:paraId="71665A56" w14:textId="77777777" w:rsidR="00A66E0C" w:rsidRPr="000E4320" w:rsidRDefault="00A66E0C" w:rsidP="00A66E0C">
      <w:pPr>
        <w:rPr>
          <w:rFonts w:cstheme="minorHAnsi"/>
        </w:rPr>
      </w:pPr>
    </w:p>
    <w:p w14:paraId="7EA4924B" w14:textId="77777777" w:rsidR="00A66E0C" w:rsidRPr="000E4320" w:rsidRDefault="00A66E0C" w:rsidP="00A66E0C">
      <w:pPr>
        <w:rPr>
          <w:rFonts w:cstheme="minorHAnsi"/>
          <w:sz w:val="40"/>
          <w:szCs w:val="40"/>
        </w:rPr>
      </w:pPr>
      <w:r w:rsidRPr="000E4320">
        <w:rPr>
          <w:rFonts w:cstheme="minorHAnsi"/>
          <w:sz w:val="40"/>
          <w:szCs w:val="40"/>
        </w:rPr>
        <w:t xml:space="preserve">Operational Guide </w:t>
      </w:r>
      <w:proofErr w:type="gramStart"/>
      <w:r w:rsidRPr="000E4320">
        <w:rPr>
          <w:rFonts w:cstheme="minorHAnsi"/>
          <w:sz w:val="40"/>
          <w:szCs w:val="40"/>
        </w:rPr>
        <w:t>of</w:t>
      </w:r>
      <w:proofErr w:type="gramEnd"/>
      <w:r w:rsidRPr="000E4320">
        <w:rPr>
          <w:rFonts w:cstheme="minorHAnsi"/>
          <w:sz w:val="40"/>
          <w:szCs w:val="40"/>
        </w:rPr>
        <w:t xml:space="preserve"> the Internal Control Framework for UNDP</w:t>
      </w:r>
    </w:p>
    <w:p w14:paraId="0A8D4D99" w14:textId="77777777" w:rsidR="00A66E0C" w:rsidRPr="000E4320" w:rsidRDefault="00A66E0C" w:rsidP="00A66E0C">
      <w:pPr>
        <w:rPr>
          <w:rFonts w:cstheme="minorHAnsi"/>
          <w:sz w:val="40"/>
          <w:szCs w:val="40"/>
        </w:rPr>
      </w:pPr>
    </w:p>
    <w:p w14:paraId="69E68DEB" w14:textId="77777777" w:rsidR="00A66E0C" w:rsidRPr="000E4320" w:rsidRDefault="00A66E0C" w:rsidP="00A66E0C">
      <w:pPr>
        <w:rPr>
          <w:rFonts w:cstheme="minorHAnsi"/>
          <w:sz w:val="40"/>
          <w:szCs w:val="40"/>
        </w:rPr>
      </w:pPr>
    </w:p>
    <w:p w14:paraId="4CDF5812" w14:textId="77777777" w:rsidR="00A66E0C" w:rsidRPr="000E4320" w:rsidRDefault="00A66E0C" w:rsidP="660E15BE">
      <w:pPr>
        <w:spacing w:after="0"/>
        <w:rPr>
          <w:sz w:val="24"/>
          <w:szCs w:val="24"/>
        </w:rPr>
      </w:pPr>
      <w:r w:rsidRPr="660E15BE">
        <w:rPr>
          <w:sz w:val="24"/>
          <w:szCs w:val="24"/>
        </w:rPr>
        <w:t xml:space="preserve">Bureau </w:t>
      </w:r>
      <w:proofErr w:type="gramStart"/>
      <w:r w:rsidRPr="660E15BE">
        <w:rPr>
          <w:sz w:val="24"/>
          <w:szCs w:val="24"/>
        </w:rPr>
        <w:t>for</w:t>
      </w:r>
      <w:proofErr w:type="gramEnd"/>
      <w:r w:rsidRPr="660E15BE">
        <w:rPr>
          <w:sz w:val="24"/>
          <w:szCs w:val="24"/>
        </w:rPr>
        <w:t xml:space="preserve"> Management Services</w:t>
      </w:r>
    </w:p>
    <w:p w14:paraId="587786C2" w14:textId="7EA1B868" w:rsidR="660E15BE" w:rsidRDefault="660E15BE" w:rsidP="660E15BE">
      <w:pPr>
        <w:spacing w:after="0"/>
        <w:rPr>
          <w:sz w:val="24"/>
          <w:szCs w:val="24"/>
        </w:rPr>
      </w:pPr>
    </w:p>
    <w:p w14:paraId="093F1E56" w14:textId="007AE498" w:rsidR="00A66E0C" w:rsidRPr="000E4320" w:rsidRDefault="00A66E0C" w:rsidP="00A66E0C">
      <w:pPr>
        <w:rPr>
          <w:rFonts w:cstheme="minorHAnsi"/>
          <w:sz w:val="24"/>
          <w:szCs w:val="24"/>
        </w:rPr>
      </w:pPr>
      <w:r w:rsidRPr="000E4320">
        <w:rPr>
          <w:rFonts w:cstheme="minorHAnsi"/>
          <w:sz w:val="24"/>
          <w:szCs w:val="24"/>
        </w:rPr>
        <w:t xml:space="preserve">Office of Financial </w:t>
      </w:r>
      <w:r w:rsidR="00A40A72">
        <w:rPr>
          <w:rFonts w:cstheme="minorHAnsi"/>
          <w:sz w:val="24"/>
          <w:szCs w:val="24"/>
        </w:rPr>
        <w:t xml:space="preserve">Resources </w:t>
      </w:r>
      <w:r w:rsidRPr="000E4320">
        <w:rPr>
          <w:rFonts w:cstheme="minorHAnsi"/>
          <w:sz w:val="24"/>
          <w:szCs w:val="24"/>
        </w:rPr>
        <w:t>Management</w:t>
      </w:r>
    </w:p>
    <w:p w14:paraId="7ED0E07A" w14:textId="77777777" w:rsidR="00A66E0C" w:rsidRDefault="00A66E0C" w:rsidP="00A66E0C"/>
    <w:p w14:paraId="7FA54469" w14:textId="77777777" w:rsidR="00A66E0C" w:rsidRDefault="00A66E0C" w:rsidP="00A66E0C"/>
    <w:p w14:paraId="2D245DA4" w14:textId="77777777" w:rsidR="00A66E0C" w:rsidRDefault="00A66E0C" w:rsidP="00A66E0C"/>
    <w:p w14:paraId="2EC6E156" w14:textId="77777777" w:rsidR="00A66E0C" w:rsidRDefault="00A66E0C" w:rsidP="00A66E0C"/>
    <w:p w14:paraId="335C420F" w14:textId="77777777" w:rsidR="00A66E0C" w:rsidRDefault="00A66E0C" w:rsidP="00A66E0C"/>
    <w:p w14:paraId="2F42935D" w14:textId="77777777" w:rsidR="00A66E0C" w:rsidRPr="008641E8" w:rsidRDefault="00A66E0C" w:rsidP="00A66E0C"/>
    <w:p w14:paraId="35261EDA" w14:textId="2F474022" w:rsidR="660E15BE" w:rsidRDefault="660E15BE">
      <w:pPr>
        <w:sectPr w:rsidR="660E15BE" w:rsidSect="00A66E0C">
          <w:headerReference w:type="default" r:id="rId11"/>
          <w:footerReference w:type="default" r:id="rId12"/>
          <w:pgSz w:w="12240" w:h="15840"/>
          <w:pgMar w:top="660" w:right="700" w:bottom="1600" w:left="760" w:header="182" w:footer="1403" w:gutter="0"/>
          <w:pgNumType w:start="1"/>
          <w:cols w:space="720"/>
        </w:sectPr>
      </w:pPr>
    </w:p>
    <w:sdt>
      <w:sdtPr>
        <w:rPr>
          <w:rFonts w:asciiTheme="minorHAnsi" w:eastAsiaTheme="minorEastAsia" w:hAnsiTheme="minorHAnsi" w:cstheme="minorBidi"/>
          <w:color w:val="auto"/>
          <w:kern w:val="2"/>
          <w:sz w:val="21"/>
          <w:szCs w:val="21"/>
          <w14:ligatures w14:val="standardContextual"/>
        </w:rPr>
        <w:id w:val="-1620060366"/>
        <w:docPartObj>
          <w:docPartGallery w:val="Table of Contents"/>
          <w:docPartUnique/>
        </w:docPartObj>
      </w:sdtPr>
      <w:sdtEndPr>
        <w:rPr>
          <w:b/>
          <w:bCs/>
          <w:noProof/>
          <w:sz w:val="8"/>
          <w:szCs w:val="8"/>
        </w:rPr>
      </w:sdtEndPr>
      <w:sdtContent>
        <w:p w14:paraId="2D3AC2BF" w14:textId="34C6F52B" w:rsidR="00B56C73" w:rsidRPr="006112C3" w:rsidRDefault="00B56C73" w:rsidP="0077377D">
          <w:pPr>
            <w:pStyle w:val="TOCHeading"/>
            <w:spacing w:before="0"/>
            <w:rPr>
              <w:sz w:val="21"/>
              <w:szCs w:val="21"/>
            </w:rPr>
          </w:pPr>
          <w:r w:rsidRPr="006112C3">
            <w:rPr>
              <w:sz w:val="21"/>
              <w:szCs w:val="21"/>
            </w:rPr>
            <w:t>Table of Contents</w:t>
          </w:r>
        </w:p>
        <w:p w14:paraId="0DEB667B" w14:textId="559C3771" w:rsidR="002B019C" w:rsidRDefault="00B56C73" w:rsidP="002B019C">
          <w:pPr>
            <w:pStyle w:val="TOC1"/>
            <w:rPr>
              <w:rFonts w:eastAsiaTheme="minorEastAsia"/>
              <w:noProof/>
              <w:sz w:val="24"/>
              <w:szCs w:val="24"/>
            </w:rPr>
          </w:pPr>
          <w:r w:rsidRPr="006112C3">
            <w:rPr>
              <w:sz w:val="21"/>
              <w:szCs w:val="21"/>
            </w:rPr>
            <w:fldChar w:fldCharType="begin"/>
          </w:r>
          <w:r w:rsidRPr="006112C3">
            <w:rPr>
              <w:sz w:val="21"/>
              <w:szCs w:val="21"/>
            </w:rPr>
            <w:instrText xml:space="preserve"> TOC \o "1-3" \h \z \u </w:instrText>
          </w:r>
          <w:r w:rsidRPr="006112C3">
            <w:rPr>
              <w:sz w:val="21"/>
              <w:szCs w:val="21"/>
            </w:rPr>
            <w:fldChar w:fldCharType="separate"/>
          </w:r>
          <w:hyperlink w:anchor="_Toc210052732" w:history="1">
            <w:r w:rsidR="002B019C" w:rsidRPr="007F40EB">
              <w:rPr>
                <w:rStyle w:val="Hyperlink"/>
                <w:noProof/>
              </w:rPr>
              <w:t>1</w:t>
            </w:r>
            <w:r w:rsidR="002B019C">
              <w:rPr>
                <w:rFonts w:eastAsiaTheme="minorEastAsia"/>
                <w:noProof/>
                <w:sz w:val="24"/>
                <w:szCs w:val="24"/>
              </w:rPr>
              <w:tab/>
            </w:r>
            <w:r w:rsidR="002B019C" w:rsidRPr="007F40EB">
              <w:rPr>
                <w:rStyle w:val="Hyperlink"/>
                <w:noProof/>
              </w:rPr>
              <w:t>Introduction</w:t>
            </w:r>
            <w:r w:rsidR="002B019C">
              <w:rPr>
                <w:noProof/>
                <w:webHidden/>
              </w:rPr>
              <w:tab/>
            </w:r>
            <w:r w:rsidR="002B019C">
              <w:rPr>
                <w:noProof/>
                <w:webHidden/>
              </w:rPr>
              <w:fldChar w:fldCharType="begin"/>
            </w:r>
            <w:r w:rsidR="002B019C">
              <w:rPr>
                <w:noProof/>
                <w:webHidden/>
              </w:rPr>
              <w:instrText xml:space="preserve"> PAGEREF _Toc210052732 \h </w:instrText>
            </w:r>
            <w:r w:rsidR="002B019C">
              <w:rPr>
                <w:noProof/>
                <w:webHidden/>
              </w:rPr>
            </w:r>
            <w:r w:rsidR="002B019C">
              <w:rPr>
                <w:noProof/>
                <w:webHidden/>
              </w:rPr>
              <w:fldChar w:fldCharType="separate"/>
            </w:r>
            <w:r w:rsidR="007D4385">
              <w:rPr>
                <w:noProof/>
                <w:webHidden/>
              </w:rPr>
              <w:t>4</w:t>
            </w:r>
            <w:r w:rsidR="002B019C">
              <w:rPr>
                <w:noProof/>
                <w:webHidden/>
              </w:rPr>
              <w:fldChar w:fldCharType="end"/>
            </w:r>
          </w:hyperlink>
        </w:p>
        <w:p w14:paraId="1AC7266C" w14:textId="337691F8" w:rsidR="002B019C" w:rsidRDefault="002B019C">
          <w:pPr>
            <w:pStyle w:val="TOC2"/>
            <w:tabs>
              <w:tab w:val="left" w:pos="960"/>
              <w:tab w:val="right" w:leader="dot" w:pos="9926"/>
            </w:tabs>
            <w:rPr>
              <w:rFonts w:eastAsiaTheme="minorEastAsia"/>
              <w:noProof/>
              <w:sz w:val="24"/>
              <w:szCs w:val="24"/>
            </w:rPr>
          </w:pPr>
          <w:hyperlink w:anchor="_Toc210052733" w:history="1">
            <w:r w:rsidRPr="007F40EB">
              <w:rPr>
                <w:rStyle w:val="Hyperlink"/>
                <w:noProof/>
              </w:rPr>
              <w:t>1.1</w:t>
            </w:r>
            <w:r>
              <w:rPr>
                <w:rFonts w:eastAsiaTheme="minorEastAsia"/>
                <w:noProof/>
                <w:sz w:val="24"/>
                <w:szCs w:val="24"/>
              </w:rPr>
              <w:tab/>
            </w:r>
            <w:r w:rsidRPr="007F40EB">
              <w:rPr>
                <w:rStyle w:val="Hyperlink"/>
                <w:noProof/>
              </w:rPr>
              <w:t>What is internal control and why is it important?</w:t>
            </w:r>
            <w:r>
              <w:rPr>
                <w:noProof/>
                <w:webHidden/>
              </w:rPr>
              <w:tab/>
            </w:r>
            <w:r>
              <w:rPr>
                <w:noProof/>
                <w:webHidden/>
              </w:rPr>
              <w:fldChar w:fldCharType="begin"/>
            </w:r>
            <w:r>
              <w:rPr>
                <w:noProof/>
                <w:webHidden/>
              </w:rPr>
              <w:instrText xml:space="preserve"> PAGEREF _Toc210052733 \h </w:instrText>
            </w:r>
            <w:r>
              <w:rPr>
                <w:noProof/>
                <w:webHidden/>
              </w:rPr>
            </w:r>
            <w:r>
              <w:rPr>
                <w:noProof/>
                <w:webHidden/>
              </w:rPr>
              <w:fldChar w:fldCharType="separate"/>
            </w:r>
            <w:r w:rsidR="007D4385">
              <w:rPr>
                <w:noProof/>
                <w:webHidden/>
              </w:rPr>
              <w:t>4</w:t>
            </w:r>
            <w:r>
              <w:rPr>
                <w:noProof/>
                <w:webHidden/>
              </w:rPr>
              <w:fldChar w:fldCharType="end"/>
            </w:r>
          </w:hyperlink>
        </w:p>
        <w:p w14:paraId="6519B760" w14:textId="2082E767" w:rsidR="002B019C" w:rsidRDefault="002B019C">
          <w:pPr>
            <w:pStyle w:val="TOC2"/>
            <w:tabs>
              <w:tab w:val="left" w:pos="960"/>
              <w:tab w:val="right" w:leader="dot" w:pos="9926"/>
            </w:tabs>
            <w:rPr>
              <w:rFonts w:eastAsiaTheme="minorEastAsia"/>
              <w:noProof/>
              <w:sz w:val="24"/>
              <w:szCs w:val="24"/>
            </w:rPr>
          </w:pPr>
          <w:hyperlink w:anchor="_Toc210052734" w:history="1">
            <w:r w:rsidRPr="007F40EB">
              <w:rPr>
                <w:rStyle w:val="Hyperlink"/>
                <w:noProof/>
              </w:rPr>
              <w:t>1.2</w:t>
            </w:r>
            <w:r>
              <w:rPr>
                <w:rFonts w:eastAsiaTheme="minorEastAsia"/>
                <w:noProof/>
                <w:sz w:val="24"/>
                <w:szCs w:val="24"/>
              </w:rPr>
              <w:tab/>
            </w:r>
            <w:r w:rsidRPr="007F40EB">
              <w:rPr>
                <w:rStyle w:val="Hyperlink"/>
                <w:noProof/>
              </w:rPr>
              <w:t>How does UNDP implement internal control?</w:t>
            </w:r>
            <w:r>
              <w:rPr>
                <w:noProof/>
                <w:webHidden/>
              </w:rPr>
              <w:tab/>
            </w:r>
            <w:r>
              <w:rPr>
                <w:noProof/>
                <w:webHidden/>
              </w:rPr>
              <w:fldChar w:fldCharType="begin"/>
            </w:r>
            <w:r>
              <w:rPr>
                <w:noProof/>
                <w:webHidden/>
              </w:rPr>
              <w:instrText xml:space="preserve"> PAGEREF _Toc210052734 \h </w:instrText>
            </w:r>
            <w:r>
              <w:rPr>
                <w:noProof/>
                <w:webHidden/>
              </w:rPr>
            </w:r>
            <w:r>
              <w:rPr>
                <w:noProof/>
                <w:webHidden/>
              </w:rPr>
              <w:fldChar w:fldCharType="separate"/>
            </w:r>
            <w:r w:rsidR="007D4385">
              <w:rPr>
                <w:noProof/>
                <w:webHidden/>
              </w:rPr>
              <w:t>4</w:t>
            </w:r>
            <w:r>
              <w:rPr>
                <w:noProof/>
                <w:webHidden/>
              </w:rPr>
              <w:fldChar w:fldCharType="end"/>
            </w:r>
          </w:hyperlink>
        </w:p>
        <w:p w14:paraId="269CDC48" w14:textId="69E8A78B" w:rsidR="002B019C" w:rsidRDefault="002B019C">
          <w:pPr>
            <w:pStyle w:val="TOC2"/>
            <w:tabs>
              <w:tab w:val="left" w:pos="960"/>
              <w:tab w:val="right" w:leader="dot" w:pos="9926"/>
            </w:tabs>
            <w:rPr>
              <w:rFonts w:eastAsiaTheme="minorEastAsia"/>
              <w:noProof/>
              <w:sz w:val="24"/>
              <w:szCs w:val="24"/>
            </w:rPr>
          </w:pPr>
          <w:hyperlink w:anchor="_Toc210052735" w:history="1">
            <w:r w:rsidRPr="007F40EB">
              <w:rPr>
                <w:rStyle w:val="Hyperlink"/>
                <w:noProof/>
              </w:rPr>
              <w:t>1.3</w:t>
            </w:r>
            <w:r>
              <w:rPr>
                <w:rFonts w:eastAsiaTheme="minorEastAsia"/>
                <w:noProof/>
                <w:sz w:val="24"/>
                <w:szCs w:val="24"/>
              </w:rPr>
              <w:tab/>
            </w:r>
            <w:r w:rsidRPr="007F40EB">
              <w:rPr>
                <w:rStyle w:val="Hyperlink"/>
                <w:noProof/>
              </w:rPr>
              <w:t>Who implements internal control within UNDP?</w:t>
            </w:r>
            <w:r>
              <w:rPr>
                <w:noProof/>
                <w:webHidden/>
              </w:rPr>
              <w:tab/>
            </w:r>
            <w:r>
              <w:rPr>
                <w:noProof/>
                <w:webHidden/>
              </w:rPr>
              <w:fldChar w:fldCharType="begin"/>
            </w:r>
            <w:r>
              <w:rPr>
                <w:noProof/>
                <w:webHidden/>
              </w:rPr>
              <w:instrText xml:space="preserve"> PAGEREF _Toc210052735 \h </w:instrText>
            </w:r>
            <w:r>
              <w:rPr>
                <w:noProof/>
                <w:webHidden/>
              </w:rPr>
            </w:r>
            <w:r>
              <w:rPr>
                <w:noProof/>
                <w:webHidden/>
              </w:rPr>
              <w:fldChar w:fldCharType="separate"/>
            </w:r>
            <w:r w:rsidR="007D4385">
              <w:rPr>
                <w:noProof/>
                <w:webHidden/>
              </w:rPr>
              <w:t>4</w:t>
            </w:r>
            <w:r>
              <w:rPr>
                <w:noProof/>
                <w:webHidden/>
              </w:rPr>
              <w:fldChar w:fldCharType="end"/>
            </w:r>
          </w:hyperlink>
        </w:p>
        <w:p w14:paraId="6ABB7A0A" w14:textId="0E71656F" w:rsidR="002B019C" w:rsidRDefault="002B019C">
          <w:pPr>
            <w:pStyle w:val="TOC2"/>
            <w:tabs>
              <w:tab w:val="left" w:pos="960"/>
              <w:tab w:val="right" w:leader="dot" w:pos="9926"/>
            </w:tabs>
            <w:rPr>
              <w:rFonts w:eastAsiaTheme="minorEastAsia"/>
              <w:noProof/>
              <w:sz w:val="24"/>
              <w:szCs w:val="24"/>
            </w:rPr>
          </w:pPr>
          <w:hyperlink w:anchor="_Toc210052736" w:history="1">
            <w:r w:rsidRPr="007F40EB">
              <w:rPr>
                <w:rStyle w:val="Hyperlink"/>
                <w:noProof/>
              </w:rPr>
              <w:t>1.4</w:t>
            </w:r>
            <w:r>
              <w:rPr>
                <w:rFonts w:eastAsiaTheme="minorEastAsia"/>
                <w:noProof/>
                <w:sz w:val="24"/>
                <w:szCs w:val="24"/>
              </w:rPr>
              <w:tab/>
            </w:r>
            <w:r w:rsidRPr="007F40EB">
              <w:rPr>
                <w:rStyle w:val="Hyperlink"/>
                <w:noProof/>
              </w:rPr>
              <w:t>What are controls and why have them?</w:t>
            </w:r>
            <w:r>
              <w:rPr>
                <w:noProof/>
                <w:webHidden/>
              </w:rPr>
              <w:tab/>
            </w:r>
            <w:r>
              <w:rPr>
                <w:noProof/>
                <w:webHidden/>
              </w:rPr>
              <w:fldChar w:fldCharType="begin"/>
            </w:r>
            <w:r>
              <w:rPr>
                <w:noProof/>
                <w:webHidden/>
              </w:rPr>
              <w:instrText xml:space="preserve"> PAGEREF _Toc210052736 \h </w:instrText>
            </w:r>
            <w:r>
              <w:rPr>
                <w:noProof/>
                <w:webHidden/>
              </w:rPr>
            </w:r>
            <w:r>
              <w:rPr>
                <w:noProof/>
                <w:webHidden/>
              </w:rPr>
              <w:fldChar w:fldCharType="separate"/>
            </w:r>
            <w:r w:rsidR="007D4385">
              <w:rPr>
                <w:noProof/>
                <w:webHidden/>
              </w:rPr>
              <w:t>5</w:t>
            </w:r>
            <w:r>
              <w:rPr>
                <w:noProof/>
                <w:webHidden/>
              </w:rPr>
              <w:fldChar w:fldCharType="end"/>
            </w:r>
          </w:hyperlink>
        </w:p>
        <w:p w14:paraId="3545C134" w14:textId="04638270" w:rsidR="002B019C" w:rsidRDefault="002B019C">
          <w:pPr>
            <w:pStyle w:val="TOC2"/>
            <w:tabs>
              <w:tab w:val="left" w:pos="960"/>
              <w:tab w:val="right" w:leader="dot" w:pos="9926"/>
            </w:tabs>
            <w:rPr>
              <w:rFonts w:eastAsiaTheme="minorEastAsia"/>
              <w:noProof/>
              <w:sz w:val="24"/>
              <w:szCs w:val="24"/>
            </w:rPr>
          </w:pPr>
          <w:hyperlink w:anchor="_Toc210052737" w:history="1">
            <w:r w:rsidRPr="007F40EB">
              <w:rPr>
                <w:rStyle w:val="Hyperlink"/>
                <w:noProof/>
              </w:rPr>
              <w:t>1.5</w:t>
            </w:r>
            <w:r>
              <w:rPr>
                <w:rFonts w:eastAsiaTheme="minorEastAsia"/>
                <w:noProof/>
                <w:sz w:val="24"/>
                <w:szCs w:val="24"/>
              </w:rPr>
              <w:tab/>
            </w:r>
            <w:r w:rsidRPr="007F40EB">
              <w:rPr>
                <w:rStyle w:val="Hyperlink"/>
                <w:noProof/>
              </w:rPr>
              <w:t>What are the limitations of internal control?</w:t>
            </w:r>
            <w:r>
              <w:rPr>
                <w:noProof/>
                <w:webHidden/>
              </w:rPr>
              <w:tab/>
            </w:r>
            <w:r>
              <w:rPr>
                <w:noProof/>
                <w:webHidden/>
              </w:rPr>
              <w:fldChar w:fldCharType="begin"/>
            </w:r>
            <w:r>
              <w:rPr>
                <w:noProof/>
                <w:webHidden/>
              </w:rPr>
              <w:instrText xml:space="preserve"> PAGEREF _Toc210052737 \h </w:instrText>
            </w:r>
            <w:r>
              <w:rPr>
                <w:noProof/>
                <w:webHidden/>
              </w:rPr>
            </w:r>
            <w:r>
              <w:rPr>
                <w:noProof/>
                <w:webHidden/>
              </w:rPr>
              <w:fldChar w:fldCharType="separate"/>
            </w:r>
            <w:r w:rsidR="007D4385">
              <w:rPr>
                <w:noProof/>
                <w:webHidden/>
              </w:rPr>
              <w:t>5</w:t>
            </w:r>
            <w:r>
              <w:rPr>
                <w:noProof/>
                <w:webHidden/>
              </w:rPr>
              <w:fldChar w:fldCharType="end"/>
            </w:r>
          </w:hyperlink>
        </w:p>
        <w:p w14:paraId="5011AD20" w14:textId="323F63E5" w:rsidR="002B019C" w:rsidRDefault="002B019C">
          <w:pPr>
            <w:pStyle w:val="TOC2"/>
            <w:tabs>
              <w:tab w:val="left" w:pos="960"/>
              <w:tab w:val="right" w:leader="dot" w:pos="9926"/>
            </w:tabs>
            <w:rPr>
              <w:rFonts w:eastAsiaTheme="minorEastAsia"/>
              <w:noProof/>
              <w:sz w:val="24"/>
              <w:szCs w:val="24"/>
            </w:rPr>
          </w:pPr>
          <w:hyperlink w:anchor="_Toc210052738" w:history="1">
            <w:r w:rsidRPr="007F40EB">
              <w:rPr>
                <w:rStyle w:val="Hyperlink"/>
                <w:noProof/>
              </w:rPr>
              <w:t>1.6</w:t>
            </w:r>
            <w:r>
              <w:rPr>
                <w:rFonts w:eastAsiaTheme="minorEastAsia"/>
                <w:noProof/>
                <w:sz w:val="24"/>
                <w:szCs w:val="24"/>
              </w:rPr>
              <w:tab/>
            </w:r>
            <w:r w:rsidRPr="007F40EB">
              <w:rPr>
                <w:rStyle w:val="Hyperlink"/>
                <w:noProof/>
              </w:rPr>
              <w:t>What is the purpose of this Guide?</w:t>
            </w:r>
            <w:r>
              <w:rPr>
                <w:noProof/>
                <w:webHidden/>
              </w:rPr>
              <w:tab/>
            </w:r>
            <w:r>
              <w:rPr>
                <w:noProof/>
                <w:webHidden/>
              </w:rPr>
              <w:fldChar w:fldCharType="begin"/>
            </w:r>
            <w:r>
              <w:rPr>
                <w:noProof/>
                <w:webHidden/>
              </w:rPr>
              <w:instrText xml:space="preserve"> PAGEREF _Toc210052738 \h </w:instrText>
            </w:r>
            <w:r>
              <w:rPr>
                <w:noProof/>
                <w:webHidden/>
              </w:rPr>
            </w:r>
            <w:r>
              <w:rPr>
                <w:noProof/>
                <w:webHidden/>
              </w:rPr>
              <w:fldChar w:fldCharType="separate"/>
            </w:r>
            <w:r w:rsidR="007D4385">
              <w:rPr>
                <w:noProof/>
                <w:webHidden/>
              </w:rPr>
              <w:t>6</w:t>
            </w:r>
            <w:r>
              <w:rPr>
                <w:noProof/>
                <w:webHidden/>
              </w:rPr>
              <w:fldChar w:fldCharType="end"/>
            </w:r>
          </w:hyperlink>
        </w:p>
        <w:p w14:paraId="512B782B" w14:textId="28E51542" w:rsidR="002B019C" w:rsidRDefault="002B019C">
          <w:pPr>
            <w:pStyle w:val="TOC2"/>
            <w:tabs>
              <w:tab w:val="left" w:pos="960"/>
              <w:tab w:val="right" w:leader="dot" w:pos="9926"/>
            </w:tabs>
            <w:rPr>
              <w:rFonts w:eastAsiaTheme="minorEastAsia"/>
              <w:noProof/>
              <w:sz w:val="24"/>
              <w:szCs w:val="24"/>
            </w:rPr>
          </w:pPr>
          <w:hyperlink w:anchor="_Toc210052739" w:history="1">
            <w:r w:rsidRPr="007F40EB">
              <w:rPr>
                <w:rStyle w:val="Hyperlink"/>
                <w:noProof/>
              </w:rPr>
              <w:t>1.7</w:t>
            </w:r>
            <w:r>
              <w:rPr>
                <w:rFonts w:eastAsiaTheme="minorEastAsia"/>
                <w:noProof/>
                <w:sz w:val="24"/>
                <w:szCs w:val="24"/>
              </w:rPr>
              <w:tab/>
            </w:r>
            <w:r w:rsidRPr="007F40EB">
              <w:rPr>
                <w:rStyle w:val="Hyperlink"/>
                <w:noProof/>
              </w:rPr>
              <w:t>How should you apply this Guide in your office/unit?</w:t>
            </w:r>
            <w:r>
              <w:rPr>
                <w:noProof/>
                <w:webHidden/>
              </w:rPr>
              <w:tab/>
            </w:r>
            <w:r>
              <w:rPr>
                <w:noProof/>
                <w:webHidden/>
              </w:rPr>
              <w:fldChar w:fldCharType="begin"/>
            </w:r>
            <w:r>
              <w:rPr>
                <w:noProof/>
                <w:webHidden/>
              </w:rPr>
              <w:instrText xml:space="preserve"> PAGEREF _Toc210052739 \h </w:instrText>
            </w:r>
            <w:r>
              <w:rPr>
                <w:noProof/>
                <w:webHidden/>
              </w:rPr>
            </w:r>
            <w:r>
              <w:rPr>
                <w:noProof/>
                <w:webHidden/>
              </w:rPr>
              <w:fldChar w:fldCharType="separate"/>
            </w:r>
            <w:r w:rsidR="007D4385">
              <w:rPr>
                <w:noProof/>
                <w:webHidden/>
              </w:rPr>
              <w:t>6</w:t>
            </w:r>
            <w:r>
              <w:rPr>
                <w:noProof/>
                <w:webHidden/>
              </w:rPr>
              <w:fldChar w:fldCharType="end"/>
            </w:r>
          </w:hyperlink>
        </w:p>
        <w:p w14:paraId="0BADF7C5" w14:textId="5DE3E40F" w:rsidR="002B019C" w:rsidRDefault="002B019C" w:rsidP="002B019C">
          <w:pPr>
            <w:pStyle w:val="TOC1"/>
            <w:rPr>
              <w:rFonts w:eastAsiaTheme="minorEastAsia"/>
              <w:noProof/>
              <w:sz w:val="24"/>
              <w:szCs w:val="24"/>
            </w:rPr>
          </w:pPr>
          <w:hyperlink w:anchor="_Toc210052740" w:history="1">
            <w:r w:rsidRPr="007F40EB">
              <w:rPr>
                <w:rStyle w:val="Hyperlink"/>
                <w:noProof/>
              </w:rPr>
              <w:t>2</w:t>
            </w:r>
            <w:r>
              <w:rPr>
                <w:rFonts w:eastAsiaTheme="minorEastAsia"/>
                <w:noProof/>
                <w:sz w:val="24"/>
                <w:szCs w:val="24"/>
              </w:rPr>
              <w:tab/>
            </w:r>
            <w:r w:rsidRPr="007F40EB">
              <w:rPr>
                <w:rStyle w:val="Hyperlink"/>
                <w:noProof/>
              </w:rPr>
              <w:t>Minimum controls that must be in place in all offices/units</w:t>
            </w:r>
            <w:r>
              <w:rPr>
                <w:noProof/>
                <w:webHidden/>
              </w:rPr>
              <w:tab/>
            </w:r>
            <w:r>
              <w:rPr>
                <w:noProof/>
                <w:webHidden/>
              </w:rPr>
              <w:fldChar w:fldCharType="begin"/>
            </w:r>
            <w:r>
              <w:rPr>
                <w:noProof/>
                <w:webHidden/>
              </w:rPr>
              <w:instrText xml:space="preserve"> PAGEREF _Toc210052740 \h </w:instrText>
            </w:r>
            <w:r>
              <w:rPr>
                <w:noProof/>
                <w:webHidden/>
              </w:rPr>
            </w:r>
            <w:r>
              <w:rPr>
                <w:noProof/>
                <w:webHidden/>
              </w:rPr>
              <w:fldChar w:fldCharType="separate"/>
            </w:r>
            <w:r w:rsidR="007D4385">
              <w:rPr>
                <w:noProof/>
                <w:webHidden/>
              </w:rPr>
              <w:t>7</w:t>
            </w:r>
            <w:r>
              <w:rPr>
                <w:noProof/>
                <w:webHidden/>
              </w:rPr>
              <w:fldChar w:fldCharType="end"/>
            </w:r>
          </w:hyperlink>
        </w:p>
        <w:p w14:paraId="2C06F47E" w14:textId="2E9AE38A" w:rsidR="002B019C" w:rsidRDefault="002B019C">
          <w:pPr>
            <w:pStyle w:val="TOC2"/>
            <w:tabs>
              <w:tab w:val="left" w:pos="960"/>
              <w:tab w:val="right" w:leader="dot" w:pos="9926"/>
            </w:tabs>
            <w:rPr>
              <w:rFonts w:eastAsiaTheme="minorEastAsia"/>
              <w:noProof/>
              <w:sz w:val="24"/>
              <w:szCs w:val="24"/>
            </w:rPr>
          </w:pPr>
          <w:hyperlink w:anchor="_Toc210052741" w:history="1">
            <w:r w:rsidRPr="007F40EB">
              <w:rPr>
                <w:rStyle w:val="Hyperlink"/>
                <w:noProof/>
              </w:rPr>
              <w:t>2.1</w:t>
            </w:r>
            <w:r>
              <w:rPr>
                <w:rFonts w:eastAsiaTheme="minorEastAsia"/>
                <w:noProof/>
                <w:sz w:val="24"/>
                <w:szCs w:val="24"/>
              </w:rPr>
              <w:tab/>
            </w:r>
            <w:r w:rsidRPr="007F40EB">
              <w:rPr>
                <w:rStyle w:val="Hyperlink"/>
                <w:noProof/>
              </w:rPr>
              <w:t>Segregation of duties</w:t>
            </w:r>
            <w:r>
              <w:rPr>
                <w:noProof/>
                <w:webHidden/>
              </w:rPr>
              <w:tab/>
            </w:r>
            <w:r>
              <w:rPr>
                <w:noProof/>
                <w:webHidden/>
              </w:rPr>
              <w:fldChar w:fldCharType="begin"/>
            </w:r>
            <w:r>
              <w:rPr>
                <w:noProof/>
                <w:webHidden/>
              </w:rPr>
              <w:instrText xml:space="preserve"> PAGEREF _Toc210052741 \h </w:instrText>
            </w:r>
            <w:r>
              <w:rPr>
                <w:noProof/>
                <w:webHidden/>
              </w:rPr>
            </w:r>
            <w:r>
              <w:rPr>
                <w:noProof/>
                <w:webHidden/>
              </w:rPr>
              <w:fldChar w:fldCharType="separate"/>
            </w:r>
            <w:r w:rsidR="007D4385">
              <w:rPr>
                <w:noProof/>
                <w:webHidden/>
              </w:rPr>
              <w:t>7</w:t>
            </w:r>
            <w:r>
              <w:rPr>
                <w:noProof/>
                <w:webHidden/>
              </w:rPr>
              <w:fldChar w:fldCharType="end"/>
            </w:r>
          </w:hyperlink>
        </w:p>
        <w:p w14:paraId="21DE5AE5" w14:textId="6DC3B4BA" w:rsidR="002B019C" w:rsidRDefault="002B019C">
          <w:pPr>
            <w:pStyle w:val="TOC2"/>
            <w:tabs>
              <w:tab w:val="left" w:pos="960"/>
              <w:tab w:val="right" w:leader="dot" w:pos="9926"/>
            </w:tabs>
            <w:rPr>
              <w:rFonts w:eastAsiaTheme="minorEastAsia"/>
              <w:noProof/>
              <w:sz w:val="24"/>
              <w:szCs w:val="24"/>
            </w:rPr>
          </w:pPr>
          <w:hyperlink w:anchor="_Toc210052742" w:history="1">
            <w:r w:rsidRPr="007F40EB">
              <w:rPr>
                <w:rStyle w:val="Hyperlink"/>
                <w:noProof/>
              </w:rPr>
              <w:t>2.2</w:t>
            </w:r>
            <w:r>
              <w:rPr>
                <w:rFonts w:eastAsiaTheme="minorEastAsia"/>
                <w:noProof/>
                <w:sz w:val="24"/>
                <w:szCs w:val="24"/>
              </w:rPr>
              <w:tab/>
            </w:r>
            <w:r w:rsidRPr="007F40EB">
              <w:rPr>
                <w:rStyle w:val="Hyperlink"/>
                <w:noProof/>
              </w:rPr>
              <w:t>Identification &amp; management of conflicts of interest</w:t>
            </w:r>
            <w:r>
              <w:rPr>
                <w:noProof/>
                <w:webHidden/>
              </w:rPr>
              <w:tab/>
            </w:r>
            <w:r>
              <w:rPr>
                <w:noProof/>
                <w:webHidden/>
              </w:rPr>
              <w:fldChar w:fldCharType="begin"/>
            </w:r>
            <w:r>
              <w:rPr>
                <w:noProof/>
                <w:webHidden/>
              </w:rPr>
              <w:instrText xml:space="preserve"> PAGEREF _Toc210052742 \h </w:instrText>
            </w:r>
            <w:r>
              <w:rPr>
                <w:noProof/>
                <w:webHidden/>
              </w:rPr>
            </w:r>
            <w:r>
              <w:rPr>
                <w:noProof/>
                <w:webHidden/>
              </w:rPr>
              <w:fldChar w:fldCharType="separate"/>
            </w:r>
            <w:r w:rsidR="007D4385">
              <w:rPr>
                <w:noProof/>
                <w:webHidden/>
              </w:rPr>
              <w:t>10</w:t>
            </w:r>
            <w:r>
              <w:rPr>
                <w:noProof/>
                <w:webHidden/>
              </w:rPr>
              <w:fldChar w:fldCharType="end"/>
            </w:r>
          </w:hyperlink>
        </w:p>
        <w:p w14:paraId="6A51C3DA" w14:textId="0F6CEC6B" w:rsidR="002B019C" w:rsidRDefault="002B019C">
          <w:pPr>
            <w:pStyle w:val="TOC2"/>
            <w:tabs>
              <w:tab w:val="left" w:pos="960"/>
              <w:tab w:val="right" w:leader="dot" w:pos="9926"/>
            </w:tabs>
            <w:rPr>
              <w:rFonts w:eastAsiaTheme="minorEastAsia"/>
              <w:noProof/>
              <w:sz w:val="24"/>
              <w:szCs w:val="24"/>
            </w:rPr>
          </w:pPr>
          <w:hyperlink w:anchor="_Toc210052743" w:history="1">
            <w:r w:rsidRPr="007F40EB">
              <w:rPr>
                <w:rStyle w:val="Hyperlink"/>
                <w:noProof/>
              </w:rPr>
              <w:t>2.3</w:t>
            </w:r>
            <w:r>
              <w:rPr>
                <w:rFonts w:eastAsiaTheme="minorEastAsia"/>
                <w:noProof/>
                <w:sz w:val="24"/>
                <w:szCs w:val="24"/>
              </w:rPr>
              <w:tab/>
            </w:r>
            <w:r w:rsidRPr="007F40EB">
              <w:rPr>
                <w:rStyle w:val="Hyperlink"/>
                <w:noProof/>
              </w:rPr>
              <w:t>Roles that must be performed by staff</w:t>
            </w:r>
            <w:r>
              <w:rPr>
                <w:noProof/>
                <w:webHidden/>
              </w:rPr>
              <w:tab/>
            </w:r>
            <w:r>
              <w:rPr>
                <w:noProof/>
                <w:webHidden/>
              </w:rPr>
              <w:fldChar w:fldCharType="begin"/>
            </w:r>
            <w:r>
              <w:rPr>
                <w:noProof/>
                <w:webHidden/>
              </w:rPr>
              <w:instrText xml:space="preserve"> PAGEREF _Toc210052743 \h </w:instrText>
            </w:r>
            <w:r>
              <w:rPr>
                <w:noProof/>
                <w:webHidden/>
              </w:rPr>
            </w:r>
            <w:r>
              <w:rPr>
                <w:noProof/>
                <w:webHidden/>
              </w:rPr>
              <w:fldChar w:fldCharType="separate"/>
            </w:r>
            <w:r w:rsidR="007D4385">
              <w:rPr>
                <w:noProof/>
                <w:webHidden/>
              </w:rPr>
              <w:t>11</w:t>
            </w:r>
            <w:r>
              <w:rPr>
                <w:noProof/>
                <w:webHidden/>
              </w:rPr>
              <w:fldChar w:fldCharType="end"/>
            </w:r>
          </w:hyperlink>
        </w:p>
        <w:p w14:paraId="5DD37908" w14:textId="18DEA054" w:rsidR="002B019C" w:rsidRDefault="002B019C">
          <w:pPr>
            <w:pStyle w:val="TOC2"/>
            <w:tabs>
              <w:tab w:val="left" w:pos="960"/>
              <w:tab w:val="right" w:leader="dot" w:pos="9926"/>
            </w:tabs>
            <w:rPr>
              <w:rFonts w:eastAsiaTheme="minorEastAsia"/>
              <w:noProof/>
              <w:sz w:val="24"/>
              <w:szCs w:val="24"/>
            </w:rPr>
          </w:pPr>
          <w:hyperlink w:anchor="_Toc210052744" w:history="1">
            <w:r w:rsidRPr="007F40EB">
              <w:rPr>
                <w:rStyle w:val="Hyperlink"/>
                <w:noProof/>
              </w:rPr>
              <w:t>2.4</w:t>
            </w:r>
            <w:r>
              <w:rPr>
                <w:rFonts w:eastAsiaTheme="minorEastAsia"/>
                <w:noProof/>
                <w:sz w:val="24"/>
                <w:szCs w:val="24"/>
              </w:rPr>
              <w:tab/>
            </w:r>
            <w:r w:rsidRPr="007F40EB">
              <w:rPr>
                <w:rStyle w:val="Hyperlink"/>
                <w:noProof/>
              </w:rPr>
              <w:t>Actions or exceptions that must be approved or cleared by an authority owner</w:t>
            </w:r>
            <w:r>
              <w:rPr>
                <w:noProof/>
                <w:webHidden/>
              </w:rPr>
              <w:tab/>
            </w:r>
            <w:r>
              <w:rPr>
                <w:noProof/>
                <w:webHidden/>
              </w:rPr>
              <w:fldChar w:fldCharType="begin"/>
            </w:r>
            <w:r>
              <w:rPr>
                <w:noProof/>
                <w:webHidden/>
              </w:rPr>
              <w:instrText xml:space="preserve"> PAGEREF _Toc210052744 \h </w:instrText>
            </w:r>
            <w:r>
              <w:rPr>
                <w:noProof/>
                <w:webHidden/>
              </w:rPr>
            </w:r>
            <w:r>
              <w:rPr>
                <w:noProof/>
                <w:webHidden/>
              </w:rPr>
              <w:fldChar w:fldCharType="separate"/>
            </w:r>
            <w:r w:rsidR="007D4385">
              <w:rPr>
                <w:noProof/>
                <w:webHidden/>
              </w:rPr>
              <w:t>12</w:t>
            </w:r>
            <w:r>
              <w:rPr>
                <w:noProof/>
                <w:webHidden/>
              </w:rPr>
              <w:fldChar w:fldCharType="end"/>
            </w:r>
          </w:hyperlink>
        </w:p>
        <w:p w14:paraId="14D704E5" w14:textId="67E145BF" w:rsidR="002B019C" w:rsidRDefault="002B019C">
          <w:pPr>
            <w:pStyle w:val="TOC2"/>
            <w:tabs>
              <w:tab w:val="left" w:pos="960"/>
              <w:tab w:val="right" w:leader="dot" w:pos="9926"/>
            </w:tabs>
            <w:rPr>
              <w:rFonts w:eastAsiaTheme="minorEastAsia"/>
              <w:noProof/>
              <w:sz w:val="24"/>
              <w:szCs w:val="24"/>
            </w:rPr>
          </w:pPr>
          <w:hyperlink w:anchor="_Toc210052745" w:history="1">
            <w:r w:rsidRPr="007F40EB">
              <w:rPr>
                <w:rStyle w:val="Hyperlink"/>
                <w:noProof/>
              </w:rPr>
              <w:t>2.5</w:t>
            </w:r>
            <w:r>
              <w:rPr>
                <w:rFonts w:eastAsiaTheme="minorEastAsia"/>
                <w:noProof/>
                <w:sz w:val="24"/>
                <w:szCs w:val="24"/>
              </w:rPr>
              <w:tab/>
            </w:r>
            <w:r w:rsidRPr="007F40EB">
              <w:rPr>
                <w:rStyle w:val="Hyperlink"/>
                <w:noProof/>
              </w:rPr>
              <w:t>Documenting the Office/Unit’s Local ICF</w:t>
            </w:r>
            <w:r>
              <w:rPr>
                <w:noProof/>
                <w:webHidden/>
              </w:rPr>
              <w:tab/>
            </w:r>
            <w:r>
              <w:rPr>
                <w:noProof/>
                <w:webHidden/>
              </w:rPr>
              <w:fldChar w:fldCharType="begin"/>
            </w:r>
            <w:r>
              <w:rPr>
                <w:noProof/>
                <w:webHidden/>
              </w:rPr>
              <w:instrText xml:space="preserve"> PAGEREF _Toc210052745 \h </w:instrText>
            </w:r>
            <w:r>
              <w:rPr>
                <w:noProof/>
                <w:webHidden/>
              </w:rPr>
            </w:r>
            <w:r>
              <w:rPr>
                <w:noProof/>
                <w:webHidden/>
              </w:rPr>
              <w:fldChar w:fldCharType="separate"/>
            </w:r>
            <w:r w:rsidR="007D4385">
              <w:rPr>
                <w:noProof/>
                <w:webHidden/>
              </w:rPr>
              <w:t>13</w:t>
            </w:r>
            <w:r>
              <w:rPr>
                <w:noProof/>
                <w:webHidden/>
              </w:rPr>
              <w:fldChar w:fldCharType="end"/>
            </w:r>
          </w:hyperlink>
        </w:p>
        <w:p w14:paraId="17E388A1" w14:textId="6D3B6DCF" w:rsidR="002B019C" w:rsidRDefault="002B019C">
          <w:pPr>
            <w:pStyle w:val="TOC2"/>
            <w:tabs>
              <w:tab w:val="left" w:pos="960"/>
              <w:tab w:val="right" w:leader="dot" w:pos="9926"/>
            </w:tabs>
            <w:rPr>
              <w:rFonts w:eastAsiaTheme="minorEastAsia"/>
              <w:noProof/>
              <w:sz w:val="24"/>
              <w:szCs w:val="24"/>
            </w:rPr>
          </w:pPr>
          <w:hyperlink w:anchor="_Toc210052746" w:history="1">
            <w:r w:rsidRPr="007F40EB">
              <w:rPr>
                <w:rStyle w:val="Hyperlink"/>
                <w:noProof/>
              </w:rPr>
              <w:t>2.6</w:t>
            </w:r>
            <w:r>
              <w:rPr>
                <w:rFonts w:eastAsiaTheme="minorEastAsia"/>
                <w:noProof/>
                <w:sz w:val="24"/>
                <w:szCs w:val="24"/>
              </w:rPr>
              <w:tab/>
            </w:r>
            <w:r w:rsidRPr="007F40EB">
              <w:rPr>
                <w:rStyle w:val="Hyperlink"/>
                <w:noProof/>
              </w:rPr>
              <w:t>Monitoring &amp; reporting on risk management</w:t>
            </w:r>
            <w:r>
              <w:rPr>
                <w:noProof/>
                <w:webHidden/>
              </w:rPr>
              <w:tab/>
            </w:r>
            <w:r>
              <w:rPr>
                <w:noProof/>
                <w:webHidden/>
              </w:rPr>
              <w:fldChar w:fldCharType="begin"/>
            </w:r>
            <w:r>
              <w:rPr>
                <w:noProof/>
                <w:webHidden/>
              </w:rPr>
              <w:instrText xml:space="preserve"> PAGEREF _Toc210052746 \h </w:instrText>
            </w:r>
            <w:r>
              <w:rPr>
                <w:noProof/>
                <w:webHidden/>
              </w:rPr>
            </w:r>
            <w:r>
              <w:rPr>
                <w:noProof/>
                <w:webHidden/>
              </w:rPr>
              <w:fldChar w:fldCharType="separate"/>
            </w:r>
            <w:r w:rsidR="007D4385">
              <w:rPr>
                <w:noProof/>
                <w:webHidden/>
              </w:rPr>
              <w:t>13</w:t>
            </w:r>
            <w:r>
              <w:rPr>
                <w:noProof/>
                <w:webHidden/>
              </w:rPr>
              <w:fldChar w:fldCharType="end"/>
            </w:r>
          </w:hyperlink>
        </w:p>
        <w:p w14:paraId="0EFD4E40" w14:textId="415A11C6" w:rsidR="002B019C" w:rsidRDefault="002B019C">
          <w:pPr>
            <w:pStyle w:val="TOC2"/>
            <w:tabs>
              <w:tab w:val="left" w:pos="960"/>
              <w:tab w:val="right" w:leader="dot" w:pos="9926"/>
            </w:tabs>
            <w:rPr>
              <w:rFonts w:eastAsiaTheme="minorEastAsia"/>
              <w:noProof/>
              <w:sz w:val="24"/>
              <w:szCs w:val="24"/>
            </w:rPr>
          </w:pPr>
          <w:hyperlink w:anchor="_Toc210052747" w:history="1">
            <w:r w:rsidRPr="007F40EB">
              <w:rPr>
                <w:rStyle w:val="Hyperlink"/>
                <w:noProof/>
              </w:rPr>
              <w:t>2.7</w:t>
            </w:r>
            <w:r>
              <w:rPr>
                <w:rFonts w:eastAsiaTheme="minorEastAsia"/>
                <w:noProof/>
                <w:sz w:val="24"/>
                <w:szCs w:val="24"/>
              </w:rPr>
              <w:tab/>
            </w:r>
            <w:r w:rsidRPr="007F40EB">
              <w:rPr>
                <w:rStyle w:val="Hyperlink"/>
                <w:noProof/>
              </w:rPr>
              <w:t>Mitigating risks associated with money laundering and terrorist financing</w:t>
            </w:r>
            <w:r>
              <w:rPr>
                <w:noProof/>
                <w:webHidden/>
              </w:rPr>
              <w:tab/>
            </w:r>
            <w:r>
              <w:rPr>
                <w:noProof/>
                <w:webHidden/>
              </w:rPr>
              <w:fldChar w:fldCharType="begin"/>
            </w:r>
            <w:r>
              <w:rPr>
                <w:noProof/>
                <w:webHidden/>
              </w:rPr>
              <w:instrText xml:space="preserve"> PAGEREF _Toc210052747 \h </w:instrText>
            </w:r>
            <w:r>
              <w:rPr>
                <w:noProof/>
                <w:webHidden/>
              </w:rPr>
            </w:r>
            <w:r>
              <w:rPr>
                <w:noProof/>
                <w:webHidden/>
              </w:rPr>
              <w:fldChar w:fldCharType="separate"/>
            </w:r>
            <w:r w:rsidR="007D4385">
              <w:rPr>
                <w:noProof/>
                <w:webHidden/>
              </w:rPr>
              <w:t>13</w:t>
            </w:r>
            <w:r>
              <w:rPr>
                <w:noProof/>
                <w:webHidden/>
              </w:rPr>
              <w:fldChar w:fldCharType="end"/>
            </w:r>
          </w:hyperlink>
        </w:p>
        <w:p w14:paraId="26AFA4D9" w14:textId="5526920E" w:rsidR="002B019C" w:rsidRDefault="002B019C">
          <w:pPr>
            <w:pStyle w:val="TOC2"/>
            <w:tabs>
              <w:tab w:val="left" w:pos="960"/>
              <w:tab w:val="right" w:leader="dot" w:pos="9926"/>
            </w:tabs>
            <w:rPr>
              <w:rFonts w:eastAsiaTheme="minorEastAsia"/>
              <w:noProof/>
              <w:sz w:val="24"/>
              <w:szCs w:val="24"/>
            </w:rPr>
          </w:pPr>
          <w:hyperlink w:anchor="_Toc210052748" w:history="1">
            <w:r w:rsidRPr="007F40EB">
              <w:rPr>
                <w:rStyle w:val="Hyperlink"/>
                <w:noProof/>
              </w:rPr>
              <w:t>2.8</w:t>
            </w:r>
            <w:r>
              <w:rPr>
                <w:rFonts w:eastAsiaTheme="minorEastAsia"/>
                <w:noProof/>
                <w:sz w:val="24"/>
                <w:szCs w:val="24"/>
              </w:rPr>
              <w:tab/>
            </w:r>
            <w:r w:rsidRPr="007F40EB">
              <w:rPr>
                <w:rStyle w:val="Hyperlink"/>
                <w:noProof/>
              </w:rPr>
              <w:t>Reporting Fraud</w:t>
            </w:r>
            <w:r>
              <w:rPr>
                <w:noProof/>
                <w:webHidden/>
              </w:rPr>
              <w:tab/>
            </w:r>
            <w:r>
              <w:rPr>
                <w:noProof/>
                <w:webHidden/>
              </w:rPr>
              <w:fldChar w:fldCharType="begin"/>
            </w:r>
            <w:r>
              <w:rPr>
                <w:noProof/>
                <w:webHidden/>
              </w:rPr>
              <w:instrText xml:space="preserve"> PAGEREF _Toc210052748 \h </w:instrText>
            </w:r>
            <w:r>
              <w:rPr>
                <w:noProof/>
                <w:webHidden/>
              </w:rPr>
            </w:r>
            <w:r>
              <w:rPr>
                <w:noProof/>
                <w:webHidden/>
              </w:rPr>
              <w:fldChar w:fldCharType="separate"/>
            </w:r>
            <w:r w:rsidR="007D4385">
              <w:rPr>
                <w:noProof/>
                <w:webHidden/>
              </w:rPr>
              <w:t>14</w:t>
            </w:r>
            <w:r>
              <w:rPr>
                <w:noProof/>
                <w:webHidden/>
              </w:rPr>
              <w:fldChar w:fldCharType="end"/>
            </w:r>
          </w:hyperlink>
        </w:p>
        <w:p w14:paraId="3B53EA21" w14:textId="0560A957" w:rsidR="002B019C" w:rsidRDefault="002B019C">
          <w:pPr>
            <w:pStyle w:val="TOC2"/>
            <w:tabs>
              <w:tab w:val="left" w:pos="960"/>
              <w:tab w:val="right" w:leader="dot" w:pos="9926"/>
            </w:tabs>
            <w:rPr>
              <w:rFonts w:eastAsiaTheme="minorEastAsia"/>
              <w:noProof/>
              <w:sz w:val="24"/>
              <w:szCs w:val="24"/>
            </w:rPr>
          </w:pPr>
          <w:hyperlink w:anchor="_Toc210052749" w:history="1">
            <w:r w:rsidRPr="007F40EB">
              <w:rPr>
                <w:rStyle w:val="Hyperlink"/>
                <w:noProof/>
              </w:rPr>
              <w:t>2.9</w:t>
            </w:r>
            <w:r>
              <w:rPr>
                <w:rFonts w:eastAsiaTheme="minorEastAsia"/>
                <w:noProof/>
                <w:sz w:val="24"/>
                <w:szCs w:val="24"/>
              </w:rPr>
              <w:tab/>
            </w:r>
            <w:r w:rsidRPr="007F40EB">
              <w:rPr>
                <w:rStyle w:val="Hyperlink"/>
                <w:noProof/>
              </w:rPr>
              <w:t>Personal accountability</w:t>
            </w:r>
            <w:r>
              <w:rPr>
                <w:noProof/>
                <w:webHidden/>
              </w:rPr>
              <w:tab/>
            </w:r>
            <w:r>
              <w:rPr>
                <w:noProof/>
                <w:webHidden/>
              </w:rPr>
              <w:fldChar w:fldCharType="begin"/>
            </w:r>
            <w:r>
              <w:rPr>
                <w:noProof/>
                <w:webHidden/>
              </w:rPr>
              <w:instrText xml:space="preserve"> PAGEREF _Toc210052749 \h </w:instrText>
            </w:r>
            <w:r>
              <w:rPr>
                <w:noProof/>
                <w:webHidden/>
              </w:rPr>
            </w:r>
            <w:r>
              <w:rPr>
                <w:noProof/>
                <w:webHidden/>
              </w:rPr>
              <w:fldChar w:fldCharType="separate"/>
            </w:r>
            <w:r w:rsidR="007D4385">
              <w:rPr>
                <w:noProof/>
                <w:webHidden/>
              </w:rPr>
              <w:t>14</w:t>
            </w:r>
            <w:r>
              <w:rPr>
                <w:noProof/>
                <w:webHidden/>
              </w:rPr>
              <w:fldChar w:fldCharType="end"/>
            </w:r>
          </w:hyperlink>
        </w:p>
        <w:p w14:paraId="1D49D0E7" w14:textId="2093FD0E" w:rsidR="002B019C" w:rsidRDefault="002B019C">
          <w:pPr>
            <w:pStyle w:val="TOC2"/>
            <w:tabs>
              <w:tab w:val="left" w:pos="960"/>
              <w:tab w:val="right" w:leader="dot" w:pos="9926"/>
            </w:tabs>
            <w:rPr>
              <w:rFonts w:eastAsiaTheme="minorEastAsia"/>
              <w:noProof/>
              <w:sz w:val="24"/>
              <w:szCs w:val="24"/>
            </w:rPr>
          </w:pPr>
          <w:hyperlink w:anchor="_Toc210052750" w:history="1">
            <w:r w:rsidRPr="007F40EB">
              <w:rPr>
                <w:rStyle w:val="Hyperlink"/>
                <w:noProof/>
              </w:rPr>
              <w:t>2.10</w:t>
            </w:r>
            <w:r>
              <w:rPr>
                <w:rFonts w:eastAsiaTheme="minorEastAsia"/>
                <w:noProof/>
                <w:sz w:val="24"/>
                <w:szCs w:val="24"/>
              </w:rPr>
              <w:tab/>
            </w:r>
            <w:r w:rsidRPr="007F40EB">
              <w:rPr>
                <w:rStyle w:val="Hyperlink"/>
                <w:noProof/>
              </w:rPr>
              <w:t>Documentation management and retention</w:t>
            </w:r>
            <w:r>
              <w:rPr>
                <w:noProof/>
                <w:webHidden/>
              </w:rPr>
              <w:tab/>
            </w:r>
            <w:r>
              <w:rPr>
                <w:noProof/>
                <w:webHidden/>
              </w:rPr>
              <w:fldChar w:fldCharType="begin"/>
            </w:r>
            <w:r>
              <w:rPr>
                <w:noProof/>
                <w:webHidden/>
              </w:rPr>
              <w:instrText xml:space="preserve"> PAGEREF _Toc210052750 \h </w:instrText>
            </w:r>
            <w:r>
              <w:rPr>
                <w:noProof/>
                <w:webHidden/>
              </w:rPr>
            </w:r>
            <w:r>
              <w:rPr>
                <w:noProof/>
                <w:webHidden/>
              </w:rPr>
              <w:fldChar w:fldCharType="separate"/>
            </w:r>
            <w:r w:rsidR="007D4385">
              <w:rPr>
                <w:noProof/>
                <w:webHidden/>
              </w:rPr>
              <w:t>15</w:t>
            </w:r>
            <w:r>
              <w:rPr>
                <w:noProof/>
                <w:webHidden/>
              </w:rPr>
              <w:fldChar w:fldCharType="end"/>
            </w:r>
          </w:hyperlink>
        </w:p>
        <w:p w14:paraId="33DFEA63" w14:textId="02C48DF6" w:rsidR="002B019C" w:rsidRDefault="002B019C" w:rsidP="002B019C">
          <w:pPr>
            <w:pStyle w:val="TOC1"/>
            <w:rPr>
              <w:rFonts w:eastAsiaTheme="minorEastAsia"/>
              <w:noProof/>
              <w:sz w:val="24"/>
              <w:szCs w:val="24"/>
            </w:rPr>
          </w:pPr>
          <w:hyperlink w:anchor="_Toc210052751" w:history="1">
            <w:r w:rsidRPr="007F40EB">
              <w:rPr>
                <w:rStyle w:val="Hyperlink"/>
                <w:noProof/>
              </w:rPr>
              <w:t>3</w:t>
            </w:r>
            <w:r>
              <w:rPr>
                <w:rFonts w:eastAsiaTheme="minorEastAsia"/>
                <w:noProof/>
                <w:sz w:val="24"/>
                <w:szCs w:val="24"/>
              </w:rPr>
              <w:tab/>
            </w:r>
            <w:r w:rsidRPr="007F40EB">
              <w:rPr>
                <w:rStyle w:val="Hyperlink"/>
                <w:noProof/>
              </w:rPr>
              <w:t>ICF implementation in UNDP</w:t>
            </w:r>
            <w:r>
              <w:rPr>
                <w:noProof/>
                <w:webHidden/>
              </w:rPr>
              <w:tab/>
            </w:r>
            <w:r>
              <w:rPr>
                <w:noProof/>
                <w:webHidden/>
              </w:rPr>
              <w:fldChar w:fldCharType="begin"/>
            </w:r>
            <w:r>
              <w:rPr>
                <w:noProof/>
                <w:webHidden/>
              </w:rPr>
              <w:instrText xml:space="preserve"> PAGEREF _Toc210052751 \h </w:instrText>
            </w:r>
            <w:r>
              <w:rPr>
                <w:noProof/>
                <w:webHidden/>
              </w:rPr>
            </w:r>
            <w:r>
              <w:rPr>
                <w:noProof/>
                <w:webHidden/>
              </w:rPr>
              <w:fldChar w:fldCharType="separate"/>
            </w:r>
            <w:r w:rsidR="007D4385">
              <w:rPr>
                <w:noProof/>
                <w:webHidden/>
              </w:rPr>
              <w:t>15</w:t>
            </w:r>
            <w:r>
              <w:rPr>
                <w:noProof/>
                <w:webHidden/>
              </w:rPr>
              <w:fldChar w:fldCharType="end"/>
            </w:r>
          </w:hyperlink>
        </w:p>
        <w:p w14:paraId="302FA1D8" w14:textId="2DBCAED5" w:rsidR="002B019C" w:rsidRDefault="002B019C">
          <w:pPr>
            <w:pStyle w:val="TOC2"/>
            <w:tabs>
              <w:tab w:val="left" w:pos="960"/>
              <w:tab w:val="right" w:leader="dot" w:pos="9926"/>
            </w:tabs>
            <w:rPr>
              <w:rFonts w:eastAsiaTheme="minorEastAsia"/>
              <w:noProof/>
              <w:sz w:val="24"/>
              <w:szCs w:val="24"/>
            </w:rPr>
          </w:pPr>
          <w:hyperlink w:anchor="_Toc210052752" w:history="1">
            <w:r w:rsidRPr="007F40EB">
              <w:rPr>
                <w:rStyle w:val="Hyperlink"/>
                <w:noProof/>
              </w:rPr>
              <w:t>3.1</w:t>
            </w:r>
            <w:r>
              <w:rPr>
                <w:rFonts w:eastAsiaTheme="minorEastAsia"/>
                <w:noProof/>
                <w:sz w:val="24"/>
                <w:szCs w:val="24"/>
              </w:rPr>
              <w:tab/>
            </w:r>
            <w:r w:rsidRPr="007F40EB">
              <w:rPr>
                <w:rStyle w:val="Hyperlink"/>
                <w:noProof/>
              </w:rPr>
              <w:t>How has Quantum simplified and strengthened UNDP’s ICF implementation?</w:t>
            </w:r>
            <w:r>
              <w:rPr>
                <w:noProof/>
                <w:webHidden/>
              </w:rPr>
              <w:tab/>
            </w:r>
            <w:r>
              <w:rPr>
                <w:noProof/>
                <w:webHidden/>
              </w:rPr>
              <w:fldChar w:fldCharType="begin"/>
            </w:r>
            <w:r>
              <w:rPr>
                <w:noProof/>
                <w:webHidden/>
              </w:rPr>
              <w:instrText xml:space="preserve"> PAGEREF _Toc210052752 \h </w:instrText>
            </w:r>
            <w:r>
              <w:rPr>
                <w:noProof/>
                <w:webHidden/>
              </w:rPr>
            </w:r>
            <w:r>
              <w:rPr>
                <w:noProof/>
                <w:webHidden/>
              </w:rPr>
              <w:fldChar w:fldCharType="separate"/>
            </w:r>
            <w:r w:rsidR="007D4385">
              <w:rPr>
                <w:noProof/>
                <w:webHidden/>
              </w:rPr>
              <w:t>15</w:t>
            </w:r>
            <w:r>
              <w:rPr>
                <w:noProof/>
                <w:webHidden/>
              </w:rPr>
              <w:fldChar w:fldCharType="end"/>
            </w:r>
          </w:hyperlink>
        </w:p>
        <w:p w14:paraId="2E60B90E" w14:textId="3A04AFC9" w:rsidR="002B019C" w:rsidRDefault="002B019C">
          <w:pPr>
            <w:pStyle w:val="TOC2"/>
            <w:tabs>
              <w:tab w:val="left" w:pos="960"/>
              <w:tab w:val="right" w:leader="dot" w:pos="9926"/>
            </w:tabs>
            <w:rPr>
              <w:rFonts w:eastAsiaTheme="minorEastAsia"/>
              <w:noProof/>
              <w:sz w:val="24"/>
              <w:szCs w:val="24"/>
            </w:rPr>
          </w:pPr>
          <w:hyperlink w:anchor="_Toc210052753" w:history="1">
            <w:r w:rsidRPr="007F40EB">
              <w:rPr>
                <w:rStyle w:val="Hyperlink"/>
                <w:noProof/>
              </w:rPr>
              <w:t>3.2</w:t>
            </w:r>
            <w:r>
              <w:rPr>
                <w:rFonts w:eastAsiaTheme="minorEastAsia"/>
                <w:noProof/>
                <w:sz w:val="24"/>
                <w:szCs w:val="24"/>
              </w:rPr>
              <w:tab/>
            </w:r>
            <w:r w:rsidRPr="007F40EB">
              <w:rPr>
                <w:rStyle w:val="Hyperlink"/>
                <w:noProof/>
              </w:rPr>
              <w:t>What controls still require monitoring by all offices/units? (within and outside the ERP platform)</w:t>
            </w:r>
            <w:r>
              <w:rPr>
                <w:noProof/>
                <w:webHidden/>
              </w:rPr>
              <w:tab/>
            </w:r>
            <w:r>
              <w:rPr>
                <w:noProof/>
                <w:webHidden/>
              </w:rPr>
              <w:fldChar w:fldCharType="begin"/>
            </w:r>
            <w:r>
              <w:rPr>
                <w:noProof/>
                <w:webHidden/>
              </w:rPr>
              <w:instrText xml:space="preserve"> PAGEREF _Toc210052753 \h </w:instrText>
            </w:r>
            <w:r>
              <w:rPr>
                <w:noProof/>
                <w:webHidden/>
              </w:rPr>
            </w:r>
            <w:r>
              <w:rPr>
                <w:noProof/>
                <w:webHidden/>
              </w:rPr>
              <w:fldChar w:fldCharType="separate"/>
            </w:r>
            <w:r w:rsidR="007D4385">
              <w:rPr>
                <w:noProof/>
                <w:webHidden/>
              </w:rPr>
              <w:t>15</w:t>
            </w:r>
            <w:r>
              <w:rPr>
                <w:noProof/>
                <w:webHidden/>
              </w:rPr>
              <w:fldChar w:fldCharType="end"/>
            </w:r>
          </w:hyperlink>
        </w:p>
        <w:p w14:paraId="4FA822E7" w14:textId="5E4524C2" w:rsidR="002B019C" w:rsidRDefault="002B019C">
          <w:pPr>
            <w:pStyle w:val="TOC2"/>
            <w:tabs>
              <w:tab w:val="left" w:pos="960"/>
              <w:tab w:val="right" w:leader="dot" w:pos="9926"/>
            </w:tabs>
            <w:rPr>
              <w:rFonts w:eastAsiaTheme="minorEastAsia"/>
              <w:noProof/>
              <w:sz w:val="24"/>
              <w:szCs w:val="24"/>
            </w:rPr>
          </w:pPr>
          <w:hyperlink w:anchor="_Toc210052754" w:history="1">
            <w:r w:rsidRPr="007F40EB">
              <w:rPr>
                <w:rStyle w:val="Hyperlink"/>
                <w:noProof/>
              </w:rPr>
              <w:t>3.3</w:t>
            </w:r>
            <w:r>
              <w:rPr>
                <w:rFonts w:eastAsiaTheme="minorEastAsia"/>
                <w:noProof/>
                <w:sz w:val="24"/>
                <w:szCs w:val="24"/>
              </w:rPr>
              <w:tab/>
            </w:r>
            <w:r w:rsidRPr="007F40EB">
              <w:rPr>
                <w:rStyle w:val="Hyperlink"/>
                <w:noProof/>
              </w:rPr>
              <w:t>Overview of IDAM roles and the ICF</w:t>
            </w:r>
            <w:r>
              <w:rPr>
                <w:noProof/>
                <w:webHidden/>
              </w:rPr>
              <w:tab/>
            </w:r>
            <w:r>
              <w:rPr>
                <w:noProof/>
                <w:webHidden/>
              </w:rPr>
              <w:fldChar w:fldCharType="begin"/>
            </w:r>
            <w:r>
              <w:rPr>
                <w:noProof/>
                <w:webHidden/>
              </w:rPr>
              <w:instrText xml:space="preserve"> PAGEREF _Toc210052754 \h </w:instrText>
            </w:r>
            <w:r>
              <w:rPr>
                <w:noProof/>
                <w:webHidden/>
              </w:rPr>
            </w:r>
            <w:r>
              <w:rPr>
                <w:noProof/>
                <w:webHidden/>
              </w:rPr>
              <w:fldChar w:fldCharType="separate"/>
            </w:r>
            <w:r w:rsidR="007D4385">
              <w:rPr>
                <w:noProof/>
                <w:webHidden/>
              </w:rPr>
              <w:t>16</w:t>
            </w:r>
            <w:r>
              <w:rPr>
                <w:noProof/>
                <w:webHidden/>
              </w:rPr>
              <w:fldChar w:fldCharType="end"/>
            </w:r>
          </w:hyperlink>
        </w:p>
        <w:p w14:paraId="004FE970" w14:textId="3FA75098" w:rsidR="002B019C" w:rsidRDefault="002B019C" w:rsidP="002B019C">
          <w:pPr>
            <w:pStyle w:val="TOC1"/>
            <w:rPr>
              <w:rFonts w:eastAsiaTheme="minorEastAsia"/>
              <w:noProof/>
              <w:sz w:val="24"/>
              <w:szCs w:val="24"/>
            </w:rPr>
          </w:pPr>
          <w:hyperlink w:anchor="_Toc210052755" w:history="1">
            <w:r w:rsidRPr="007F40EB">
              <w:rPr>
                <w:rStyle w:val="Hyperlink"/>
                <w:noProof/>
              </w:rPr>
              <w:t>4</w:t>
            </w:r>
            <w:r>
              <w:rPr>
                <w:rFonts w:eastAsiaTheme="minorEastAsia"/>
                <w:noProof/>
                <w:sz w:val="24"/>
                <w:szCs w:val="24"/>
              </w:rPr>
              <w:tab/>
            </w:r>
            <w:r w:rsidRPr="007F40EB">
              <w:rPr>
                <w:rStyle w:val="Hyperlink"/>
                <w:noProof/>
              </w:rPr>
              <w:t>Programme &amp; Project Management</w:t>
            </w:r>
            <w:r>
              <w:rPr>
                <w:noProof/>
                <w:webHidden/>
              </w:rPr>
              <w:tab/>
            </w:r>
            <w:r>
              <w:rPr>
                <w:noProof/>
                <w:webHidden/>
              </w:rPr>
              <w:fldChar w:fldCharType="begin"/>
            </w:r>
            <w:r>
              <w:rPr>
                <w:noProof/>
                <w:webHidden/>
              </w:rPr>
              <w:instrText xml:space="preserve"> PAGEREF _Toc210052755 \h </w:instrText>
            </w:r>
            <w:r>
              <w:rPr>
                <w:noProof/>
                <w:webHidden/>
              </w:rPr>
            </w:r>
            <w:r>
              <w:rPr>
                <w:noProof/>
                <w:webHidden/>
              </w:rPr>
              <w:fldChar w:fldCharType="separate"/>
            </w:r>
            <w:r w:rsidR="007D4385">
              <w:rPr>
                <w:noProof/>
                <w:webHidden/>
              </w:rPr>
              <w:t>19</w:t>
            </w:r>
            <w:r>
              <w:rPr>
                <w:noProof/>
                <w:webHidden/>
              </w:rPr>
              <w:fldChar w:fldCharType="end"/>
            </w:r>
          </w:hyperlink>
        </w:p>
        <w:p w14:paraId="14BB2849" w14:textId="329A1DAC" w:rsidR="002B019C" w:rsidRDefault="002B019C">
          <w:pPr>
            <w:pStyle w:val="TOC2"/>
            <w:tabs>
              <w:tab w:val="left" w:pos="960"/>
              <w:tab w:val="right" w:leader="dot" w:pos="9926"/>
            </w:tabs>
            <w:rPr>
              <w:rFonts w:eastAsiaTheme="minorEastAsia"/>
              <w:noProof/>
              <w:sz w:val="24"/>
              <w:szCs w:val="24"/>
            </w:rPr>
          </w:pPr>
          <w:hyperlink w:anchor="_Toc210052756" w:history="1">
            <w:r w:rsidRPr="007F40EB">
              <w:rPr>
                <w:rStyle w:val="Hyperlink"/>
                <w:noProof/>
              </w:rPr>
              <w:t>4.1</w:t>
            </w:r>
            <w:r>
              <w:rPr>
                <w:rFonts w:eastAsiaTheme="minorEastAsia"/>
                <w:noProof/>
                <w:sz w:val="24"/>
                <w:szCs w:val="24"/>
              </w:rPr>
              <w:tab/>
            </w:r>
            <w:r w:rsidRPr="007F40EB">
              <w:rPr>
                <w:rStyle w:val="Hyperlink"/>
                <w:noProof/>
              </w:rPr>
              <w:t>Project Manager</w:t>
            </w:r>
            <w:r>
              <w:rPr>
                <w:noProof/>
                <w:webHidden/>
              </w:rPr>
              <w:tab/>
            </w:r>
            <w:r>
              <w:rPr>
                <w:noProof/>
                <w:webHidden/>
              </w:rPr>
              <w:fldChar w:fldCharType="begin"/>
            </w:r>
            <w:r>
              <w:rPr>
                <w:noProof/>
                <w:webHidden/>
              </w:rPr>
              <w:instrText xml:space="preserve"> PAGEREF _Toc210052756 \h </w:instrText>
            </w:r>
            <w:r>
              <w:rPr>
                <w:noProof/>
                <w:webHidden/>
              </w:rPr>
            </w:r>
            <w:r>
              <w:rPr>
                <w:noProof/>
                <w:webHidden/>
              </w:rPr>
              <w:fldChar w:fldCharType="separate"/>
            </w:r>
            <w:r w:rsidR="007D4385">
              <w:rPr>
                <w:noProof/>
                <w:webHidden/>
              </w:rPr>
              <w:t>20</w:t>
            </w:r>
            <w:r>
              <w:rPr>
                <w:noProof/>
                <w:webHidden/>
              </w:rPr>
              <w:fldChar w:fldCharType="end"/>
            </w:r>
          </w:hyperlink>
        </w:p>
        <w:p w14:paraId="6B052DA5" w14:textId="7CC6D2C1" w:rsidR="002B019C" w:rsidRDefault="002B019C">
          <w:pPr>
            <w:pStyle w:val="TOC2"/>
            <w:tabs>
              <w:tab w:val="left" w:pos="960"/>
              <w:tab w:val="right" w:leader="dot" w:pos="9926"/>
            </w:tabs>
            <w:rPr>
              <w:rFonts w:eastAsiaTheme="minorEastAsia"/>
              <w:noProof/>
              <w:sz w:val="24"/>
              <w:szCs w:val="24"/>
            </w:rPr>
          </w:pPr>
          <w:hyperlink w:anchor="_Toc210052757" w:history="1">
            <w:r w:rsidRPr="007F40EB">
              <w:rPr>
                <w:rStyle w:val="Hyperlink"/>
                <w:noProof/>
              </w:rPr>
              <w:t>4.2</w:t>
            </w:r>
            <w:r>
              <w:rPr>
                <w:rFonts w:eastAsiaTheme="minorEastAsia"/>
                <w:noProof/>
                <w:sz w:val="24"/>
                <w:szCs w:val="24"/>
              </w:rPr>
              <w:tab/>
            </w:r>
            <w:r w:rsidRPr="007F40EB">
              <w:rPr>
                <w:rStyle w:val="Hyperlink"/>
                <w:noProof/>
              </w:rPr>
              <w:t>Programme Officer</w:t>
            </w:r>
            <w:r>
              <w:rPr>
                <w:noProof/>
                <w:webHidden/>
              </w:rPr>
              <w:tab/>
            </w:r>
            <w:r>
              <w:rPr>
                <w:noProof/>
                <w:webHidden/>
              </w:rPr>
              <w:fldChar w:fldCharType="begin"/>
            </w:r>
            <w:r>
              <w:rPr>
                <w:noProof/>
                <w:webHidden/>
              </w:rPr>
              <w:instrText xml:space="preserve"> PAGEREF _Toc210052757 \h </w:instrText>
            </w:r>
            <w:r>
              <w:rPr>
                <w:noProof/>
                <w:webHidden/>
              </w:rPr>
            </w:r>
            <w:r>
              <w:rPr>
                <w:noProof/>
                <w:webHidden/>
              </w:rPr>
              <w:fldChar w:fldCharType="separate"/>
            </w:r>
            <w:r w:rsidR="007D4385">
              <w:rPr>
                <w:noProof/>
                <w:webHidden/>
              </w:rPr>
              <w:t>23</w:t>
            </w:r>
            <w:r>
              <w:rPr>
                <w:noProof/>
                <w:webHidden/>
              </w:rPr>
              <w:fldChar w:fldCharType="end"/>
            </w:r>
          </w:hyperlink>
        </w:p>
        <w:p w14:paraId="40B4F2D5" w14:textId="7ADE74EF" w:rsidR="002B019C" w:rsidRDefault="002B019C">
          <w:pPr>
            <w:pStyle w:val="TOC2"/>
            <w:tabs>
              <w:tab w:val="left" w:pos="960"/>
              <w:tab w:val="right" w:leader="dot" w:pos="9926"/>
            </w:tabs>
            <w:rPr>
              <w:rFonts w:eastAsiaTheme="minorEastAsia"/>
              <w:noProof/>
              <w:sz w:val="24"/>
              <w:szCs w:val="24"/>
            </w:rPr>
          </w:pPr>
          <w:hyperlink w:anchor="_Toc210052758" w:history="1">
            <w:r w:rsidRPr="007F40EB">
              <w:rPr>
                <w:rStyle w:val="Hyperlink"/>
                <w:noProof/>
              </w:rPr>
              <w:t>4.3</w:t>
            </w:r>
            <w:r>
              <w:rPr>
                <w:rFonts w:eastAsiaTheme="minorEastAsia"/>
                <w:noProof/>
                <w:sz w:val="24"/>
                <w:szCs w:val="24"/>
              </w:rPr>
              <w:tab/>
            </w:r>
            <w:r w:rsidRPr="007F40EB">
              <w:rPr>
                <w:rStyle w:val="Hyperlink"/>
                <w:noProof/>
              </w:rPr>
              <w:t>Trust Fund Manager</w:t>
            </w:r>
            <w:r>
              <w:rPr>
                <w:noProof/>
                <w:webHidden/>
              </w:rPr>
              <w:tab/>
            </w:r>
            <w:r>
              <w:rPr>
                <w:noProof/>
                <w:webHidden/>
              </w:rPr>
              <w:fldChar w:fldCharType="begin"/>
            </w:r>
            <w:r>
              <w:rPr>
                <w:noProof/>
                <w:webHidden/>
              </w:rPr>
              <w:instrText xml:space="preserve"> PAGEREF _Toc210052758 \h </w:instrText>
            </w:r>
            <w:r>
              <w:rPr>
                <w:noProof/>
                <w:webHidden/>
              </w:rPr>
            </w:r>
            <w:r>
              <w:rPr>
                <w:noProof/>
                <w:webHidden/>
              </w:rPr>
              <w:fldChar w:fldCharType="separate"/>
            </w:r>
            <w:r w:rsidR="007D4385">
              <w:rPr>
                <w:noProof/>
                <w:webHidden/>
              </w:rPr>
              <w:t>24</w:t>
            </w:r>
            <w:r>
              <w:rPr>
                <w:noProof/>
                <w:webHidden/>
              </w:rPr>
              <w:fldChar w:fldCharType="end"/>
            </w:r>
          </w:hyperlink>
        </w:p>
        <w:p w14:paraId="78D4A3FA" w14:textId="43F74626" w:rsidR="002B019C" w:rsidRDefault="002B019C">
          <w:pPr>
            <w:pStyle w:val="TOC2"/>
            <w:tabs>
              <w:tab w:val="left" w:pos="960"/>
              <w:tab w:val="right" w:leader="dot" w:pos="9926"/>
            </w:tabs>
            <w:rPr>
              <w:rFonts w:eastAsiaTheme="minorEastAsia"/>
              <w:noProof/>
              <w:sz w:val="24"/>
              <w:szCs w:val="24"/>
            </w:rPr>
          </w:pPr>
          <w:hyperlink w:anchor="_Toc210052759" w:history="1">
            <w:r w:rsidRPr="007F40EB">
              <w:rPr>
                <w:rStyle w:val="Hyperlink"/>
                <w:noProof/>
              </w:rPr>
              <w:t>4.4</w:t>
            </w:r>
            <w:r>
              <w:rPr>
                <w:rFonts w:eastAsiaTheme="minorEastAsia"/>
                <w:noProof/>
                <w:sz w:val="24"/>
                <w:szCs w:val="24"/>
              </w:rPr>
              <w:tab/>
            </w:r>
            <w:r w:rsidRPr="007F40EB">
              <w:rPr>
                <w:rStyle w:val="Hyperlink"/>
                <w:noProof/>
              </w:rPr>
              <w:t>Assistant Resident Representative – Programmes (or HQ-equivalent)</w:t>
            </w:r>
            <w:r>
              <w:rPr>
                <w:noProof/>
                <w:webHidden/>
              </w:rPr>
              <w:tab/>
            </w:r>
            <w:r>
              <w:rPr>
                <w:noProof/>
                <w:webHidden/>
              </w:rPr>
              <w:fldChar w:fldCharType="begin"/>
            </w:r>
            <w:r>
              <w:rPr>
                <w:noProof/>
                <w:webHidden/>
              </w:rPr>
              <w:instrText xml:space="preserve"> PAGEREF _Toc210052759 \h </w:instrText>
            </w:r>
            <w:r>
              <w:rPr>
                <w:noProof/>
                <w:webHidden/>
              </w:rPr>
            </w:r>
            <w:r>
              <w:rPr>
                <w:noProof/>
                <w:webHidden/>
              </w:rPr>
              <w:fldChar w:fldCharType="separate"/>
            </w:r>
            <w:r w:rsidR="007D4385">
              <w:rPr>
                <w:noProof/>
                <w:webHidden/>
              </w:rPr>
              <w:t>25</w:t>
            </w:r>
            <w:r>
              <w:rPr>
                <w:noProof/>
                <w:webHidden/>
              </w:rPr>
              <w:fldChar w:fldCharType="end"/>
            </w:r>
          </w:hyperlink>
        </w:p>
        <w:p w14:paraId="10A39C6B" w14:textId="515570F9" w:rsidR="002B019C" w:rsidRDefault="002B019C" w:rsidP="002B019C">
          <w:pPr>
            <w:pStyle w:val="TOC1"/>
            <w:rPr>
              <w:rFonts w:eastAsiaTheme="minorEastAsia"/>
              <w:noProof/>
              <w:sz w:val="24"/>
              <w:szCs w:val="24"/>
            </w:rPr>
          </w:pPr>
          <w:hyperlink w:anchor="_Toc210052760" w:history="1">
            <w:r w:rsidRPr="007F40EB">
              <w:rPr>
                <w:rStyle w:val="Hyperlink"/>
                <w:noProof/>
              </w:rPr>
              <w:t>5</w:t>
            </w:r>
            <w:r>
              <w:rPr>
                <w:rFonts w:eastAsiaTheme="minorEastAsia"/>
                <w:noProof/>
                <w:sz w:val="24"/>
                <w:szCs w:val="24"/>
              </w:rPr>
              <w:tab/>
            </w:r>
            <w:r w:rsidRPr="007F40EB">
              <w:rPr>
                <w:rStyle w:val="Hyperlink"/>
                <w:noProof/>
              </w:rPr>
              <w:t>Procure and Pay</w:t>
            </w:r>
            <w:r>
              <w:rPr>
                <w:noProof/>
                <w:webHidden/>
              </w:rPr>
              <w:tab/>
            </w:r>
            <w:r>
              <w:rPr>
                <w:noProof/>
                <w:webHidden/>
              </w:rPr>
              <w:fldChar w:fldCharType="begin"/>
            </w:r>
            <w:r>
              <w:rPr>
                <w:noProof/>
                <w:webHidden/>
              </w:rPr>
              <w:instrText xml:space="preserve"> PAGEREF _Toc210052760 \h </w:instrText>
            </w:r>
            <w:r>
              <w:rPr>
                <w:noProof/>
                <w:webHidden/>
              </w:rPr>
            </w:r>
            <w:r>
              <w:rPr>
                <w:noProof/>
                <w:webHidden/>
              </w:rPr>
              <w:fldChar w:fldCharType="separate"/>
            </w:r>
            <w:r w:rsidR="007D4385">
              <w:rPr>
                <w:noProof/>
                <w:webHidden/>
              </w:rPr>
              <w:t>26</w:t>
            </w:r>
            <w:r>
              <w:rPr>
                <w:noProof/>
                <w:webHidden/>
              </w:rPr>
              <w:fldChar w:fldCharType="end"/>
            </w:r>
          </w:hyperlink>
        </w:p>
        <w:p w14:paraId="6FB46C3E" w14:textId="4F0DAF53" w:rsidR="002B019C" w:rsidRDefault="002B019C">
          <w:pPr>
            <w:pStyle w:val="TOC2"/>
            <w:tabs>
              <w:tab w:val="left" w:pos="960"/>
              <w:tab w:val="right" w:leader="dot" w:pos="9926"/>
            </w:tabs>
            <w:rPr>
              <w:rFonts w:eastAsiaTheme="minorEastAsia"/>
              <w:noProof/>
              <w:sz w:val="24"/>
              <w:szCs w:val="24"/>
            </w:rPr>
          </w:pPr>
          <w:hyperlink w:anchor="_Toc210052761" w:history="1">
            <w:r w:rsidRPr="007F40EB">
              <w:rPr>
                <w:rStyle w:val="Hyperlink"/>
                <w:noProof/>
              </w:rPr>
              <w:t>5.1</w:t>
            </w:r>
            <w:r>
              <w:rPr>
                <w:rFonts w:eastAsiaTheme="minorEastAsia"/>
                <w:noProof/>
                <w:sz w:val="24"/>
                <w:szCs w:val="24"/>
              </w:rPr>
              <w:tab/>
            </w:r>
            <w:r w:rsidRPr="007F40EB">
              <w:rPr>
                <w:rStyle w:val="Hyperlink"/>
                <w:noProof/>
              </w:rPr>
              <w:t>Procurement Buyer</w:t>
            </w:r>
            <w:r>
              <w:rPr>
                <w:noProof/>
                <w:webHidden/>
              </w:rPr>
              <w:tab/>
            </w:r>
            <w:r>
              <w:rPr>
                <w:noProof/>
                <w:webHidden/>
              </w:rPr>
              <w:fldChar w:fldCharType="begin"/>
            </w:r>
            <w:r>
              <w:rPr>
                <w:noProof/>
                <w:webHidden/>
              </w:rPr>
              <w:instrText xml:space="preserve"> PAGEREF _Toc210052761 \h </w:instrText>
            </w:r>
            <w:r>
              <w:rPr>
                <w:noProof/>
                <w:webHidden/>
              </w:rPr>
            </w:r>
            <w:r>
              <w:rPr>
                <w:noProof/>
                <w:webHidden/>
              </w:rPr>
              <w:fldChar w:fldCharType="separate"/>
            </w:r>
            <w:r w:rsidR="007D4385">
              <w:rPr>
                <w:noProof/>
                <w:webHidden/>
              </w:rPr>
              <w:t>26</w:t>
            </w:r>
            <w:r>
              <w:rPr>
                <w:noProof/>
                <w:webHidden/>
              </w:rPr>
              <w:fldChar w:fldCharType="end"/>
            </w:r>
          </w:hyperlink>
        </w:p>
        <w:p w14:paraId="77A96947" w14:textId="2E12F06A" w:rsidR="002B019C" w:rsidRDefault="002B019C">
          <w:pPr>
            <w:pStyle w:val="TOC2"/>
            <w:tabs>
              <w:tab w:val="left" w:pos="960"/>
              <w:tab w:val="right" w:leader="dot" w:pos="9926"/>
            </w:tabs>
            <w:rPr>
              <w:rFonts w:eastAsiaTheme="minorEastAsia"/>
              <w:noProof/>
              <w:sz w:val="24"/>
              <w:szCs w:val="24"/>
            </w:rPr>
          </w:pPr>
          <w:hyperlink w:anchor="_Toc210052762" w:history="1">
            <w:r w:rsidRPr="007F40EB">
              <w:rPr>
                <w:rStyle w:val="Hyperlink"/>
                <w:noProof/>
              </w:rPr>
              <w:t>5.2</w:t>
            </w:r>
            <w:r>
              <w:rPr>
                <w:rFonts w:eastAsiaTheme="minorEastAsia"/>
                <w:noProof/>
                <w:sz w:val="24"/>
                <w:szCs w:val="24"/>
              </w:rPr>
              <w:tab/>
            </w:r>
            <w:r w:rsidRPr="007F40EB">
              <w:rPr>
                <w:rStyle w:val="Hyperlink"/>
                <w:noProof/>
              </w:rPr>
              <w:t>Supplier Maintenance (Level 1 approver)</w:t>
            </w:r>
            <w:r>
              <w:rPr>
                <w:noProof/>
                <w:webHidden/>
              </w:rPr>
              <w:tab/>
            </w:r>
            <w:r>
              <w:rPr>
                <w:noProof/>
                <w:webHidden/>
              </w:rPr>
              <w:fldChar w:fldCharType="begin"/>
            </w:r>
            <w:r>
              <w:rPr>
                <w:noProof/>
                <w:webHidden/>
              </w:rPr>
              <w:instrText xml:space="preserve"> PAGEREF _Toc210052762 \h </w:instrText>
            </w:r>
            <w:r>
              <w:rPr>
                <w:noProof/>
                <w:webHidden/>
              </w:rPr>
            </w:r>
            <w:r>
              <w:rPr>
                <w:noProof/>
                <w:webHidden/>
              </w:rPr>
              <w:fldChar w:fldCharType="separate"/>
            </w:r>
            <w:r w:rsidR="007D4385">
              <w:rPr>
                <w:noProof/>
                <w:webHidden/>
              </w:rPr>
              <w:t>27</w:t>
            </w:r>
            <w:r>
              <w:rPr>
                <w:noProof/>
                <w:webHidden/>
              </w:rPr>
              <w:fldChar w:fldCharType="end"/>
            </w:r>
          </w:hyperlink>
        </w:p>
        <w:p w14:paraId="3938B238" w14:textId="3A4585C8" w:rsidR="002B019C" w:rsidRDefault="002B019C">
          <w:pPr>
            <w:pStyle w:val="TOC2"/>
            <w:tabs>
              <w:tab w:val="left" w:pos="960"/>
              <w:tab w:val="right" w:leader="dot" w:pos="9926"/>
            </w:tabs>
            <w:rPr>
              <w:rFonts w:eastAsiaTheme="minorEastAsia"/>
              <w:noProof/>
              <w:sz w:val="24"/>
              <w:szCs w:val="24"/>
            </w:rPr>
          </w:pPr>
          <w:hyperlink w:anchor="_Toc210052763" w:history="1">
            <w:r w:rsidRPr="007F40EB">
              <w:rPr>
                <w:rStyle w:val="Hyperlink"/>
                <w:noProof/>
              </w:rPr>
              <w:t>5.3</w:t>
            </w:r>
            <w:r>
              <w:rPr>
                <w:rFonts w:eastAsiaTheme="minorEastAsia"/>
                <w:noProof/>
                <w:sz w:val="24"/>
                <w:szCs w:val="24"/>
              </w:rPr>
              <w:tab/>
            </w:r>
            <w:r w:rsidRPr="007F40EB">
              <w:rPr>
                <w:rStyle w:val="Hyperlink"/>
                <w:noProof/>
              </w:rPr>
              <w:t>Supplier Approver (Level 2 approver)</w:t>
            </w:r>
            <w:r>
              <w:rPr>
                <w:noProof/>
                <w:webHidden/>
              </w:rPr>
              <w:tab/>
            </w:r>
            <w:r>
              <w:rPr>
                <w:noProof/>
                <w:webHidden/>
              </w:rPr>
              <w:fldChar w:fldCharType="begin"/>
            </w:r>
            <w:r>
              <w:rPr>
                <w:noProof/>
                <w:webHidden/>
              </w:rPr>
              <w:instrText xml:space="preserve"> PAGEREF _Toc210052763 \h </w:instrText>
            </w:r>
            <w:r>
              <w:rPr>
                <w:noProof/>
                <w:webHidden/>
              </w:rPr>
            </w:r>
            <w:r>
              <w:rPr>
                <w:noProof/>
                <w:webHidden/>
              </w:rPr>
              <w:fldChar w:fldCharType="separate"/>
            </w:r>
            <w:r w:rsidR="007D4385">
              <w:rPr>
                <w:noProof/>
                <w:webHidden/>
              </w:rPr>
              <w:t>28</w:t>
            </w:r>
            <w:r>
              <w:rPr>
                <w:noProof/>
                <w:webHidden/>
              </w:rPr>
              <w:fldChar w:fldCharType="end"/>
            </w:r>
          </w:hyperlink>
        </w:p>
        <w:p w14:paraId="4F19D7B3" w14:textId="0CD68718" w:rsidR="002B019C" w:rsidRDefault="002B019C">
          <w:pPr>
            <w:pStyle w:val="TOC2"/>
            <w:tabs>
              <w:tab w:val="left" w:pos="960"/>
              <w:tab w:val="right" w:leader="dot" w:pos="9926"/>
            </w:tabs>
            <w:rPr>
              <w:rFonts w:eastAsiaTheme="minorEastAsia"/>
              <w:noProof/>
              <w:sz w:val="24"/>
              <w:szCs w:val="24"/>
            </w:rPr>
          </w:pPr>
          <w:hyperlink w:anchor="_Toc210052764" w:history="1">
            <w:r w:rsidRPr="007F40EB">
              <w:rPr>
                <w:rStyle w:val="Hyperlink"/>
                <w:noProof/>
              </w:rPr>
              <w:t>5.4</w:t>
            </w:r>
            <w:r>
              <w:rPr>
                <w:rFonts w:eastAsiaTheme="minorEastAsia"/>
                <w:noProof/>
                <w:sz w:val="24"/>
                <w:szCs w:val="24"/>
              </w:rPr>
              <w:tab/>
            </w:r>
            <w:r w:rsidRPr="007F40EB">
              <w:rPr>
                <w:rStyle w:val="Hyperlink"/>
                <w:noProof/>
              </w:rPr>
              <w:t>Approving Manager (second authority, verifying officer)</w:t>
            </w:r>
            <w:r>
              <w:rPr>
                <w:noProof/>
                <w:webHidden/>
              </w:rPr>
              <w:tab/>
            </w:r>
            <w:r>
              <w:rPr>
                <w:noProof/>
                <w:webHidden/>
              </w:rPr>
              <w:fldChar w:fldCharType="begin"/>
            </w:r>
            <w:r>
              <w:rPr>
                <w:noProof/>
                <w:webHidden/>
              </w:rPr>
              <w:instrText xml:space="preserve"> PAGEREF _Toc210052764 \h </w:instrText>
            </w:r>
            <w:r>
              <w:rPr>
                <w:noProof/>
                <w:webHidden/>
              </w:rPr>
            </w:r>
            <w:r>
              <w:rPr>
                <w:noProof/>
                <w:webHidden/>
              </w:rPr>
              <w:fldChar w:fldCharType="separate"/>
            </w:r>
            <w:r w:rsidR="007D4385">
              <w:rPr>
                <w:noProof/>
                <w:webHidden/>
              </w:rPr>
              <w:t>28</w:t>
            </w:r>
            <w:r>
              <w:rPr>
                <w:noProof/>
                <w:webHidden/>
              </w:rPr>
              <w:fldChar w:fldCharType="end"/>
            </w:r>
          </w:hyperlink>
        </w:p>
        <w:p w14:paraId="2D74C133" w14:textId="319FAC22" w:rsidR="002B019C" w:rsidRDefault="002B019C">
          <w:pPr>
            <w:pStyle w:val="TOC2"/>
            <w:tabs>
              <w:tab w:val="left" w:pos="960"/>
              <w:tab w:val="right" w:leader="dot" w:pos="9926"/>
            </w:tabs>
            <w:rPr>
              <w:rFonts w:eastAsiaTheme="minorEastAsia"/>
              <w:noProof/>
              <w:sz w:val="24"/>
              <w:szCs w:val="24"/>
            </w:rPr>
          </w:pPr>
          <w:hyperlink w:anchor="_Toc210052765" w:history="1">
            <w:r w:rsidRPr="007F40EB">
              <w:rPr>
                <w:rStyle w:val="Hyperlink"/>
                <w:noProof/>
              </w:rPr>
              <w:t>5.5</w:t>
            </w:r>
            <w:r>
              <w:rPr>
                <w:rFonts w:eastAsiaTheme="minorEastAsia"/>
                <w:noProof/>
                <w:sz w:val="24"/>
                <w:szCs w:val="24"/>
              </w:rPr>
              <w:tab/>
            </w:r>
            <w:r w:rsidRPr="007F40EB">
              <w:rPr>
                <w:rStyle w:val="Hyperlink"/>
                <w:noProof/>
              </w:rPr>
              <w:t>Disbursing Officer (third authority)</w:t>
            </w:r>
            <w:r>
              <w:rPr>
                <w:noProof/>
                <w:webHidden/>
              </w:rPr>
              <w:tab/>
            </w:r>
            <w:r>
              <w:rPr>
                <w:noProof/>
                <w:webHidden/>
              </w:rPr>
              <w:fldChar w:fldCharType="begin"/>
            </w:r>
            <w:r>
              <w:rPr>
                <w:noProof/>
                <w:webHidden/>
              </w:rPr>
              <w:instrText xml:space="preserve"> PAGEREF _Toc210052765 \h </w:instrText>
            </w:r>
            <w:r>
              <w:rPr>
                <w:noProof/>
                <w:webHidden/>
              </w:rPr>
            </w:r>
            <w:r>
              <w:rPr>
                <w:noProof/>
                <w:webHidden/>
              </w:rPr>
              <w:fldChar w:fldCharType="separate"/>
            </w:r>
            <w:r w:rsidR="007D4385">
              <w:rPr>
                <w:noProof/>
                <w:webHidden/>
              </w:rPr>
              <w:t>31</w:t>
            </w:r>
            <w:r>
              <w:rPr>
                <w:noProof/>
                <w:webHidden/>
              </w:rPr>
              <w:fldChar w:fldCharType="end"/>
            </w:r>
          </w:hyperlink>
        </w:p>
        <w:p w14:paraId="73248CD4" w14:textId="3C9246D1" w:rsidR="002B019C" w:rsidRDefault="002B019C">
          <w:pPr>
            <w:pStyle w:val="TOC2"/>
            <w:tabs>
              <w:tab w:val="left" w:pos="960"/>
              <w:tab w:val="right" w:leader="dot" w:pos="9926"/>
            </w:tabs>
            <w:rPr>
              <w:rFonts w:eastAsiaTheme="minorEastAsia"/>
              <w:noProof/>
              <w:sz w:val="24"/>
              <w:szCs w:val="24"/>
            </w:rPr>
          </w:pPr>
          <w:hyperlink w:anchor="_Toc210052766" w:history="1">
            <w:r w:rsidRPr="007F40EB">
              <w:rPr>
                <w:rStyle w:val="Hyperlink"/>
                <w:noProof/>
              </w:rPr>
              <w:t>5.6</w:t>
            </w:r>
            <w:r>
              <w:rPr>
                <w:rFonts w:eastAsiaTheme="minorEastAsia"/>
                <w:noProof/>
                <w:sz w:val="24"/>
                <w:szCs w:val="24"/>
              </w:rPr>
              <w:tab/>
            </w:r>
            <w:r w:rsidRPr="007F40EB">
              <w:rPr>
                <w:rStyle w:val="Hyperlink"/>
                <w:noProof/>
              </w:rPr>
              <w:t>Bank account and bank account signatory management</w:t>
            </w:r>
            <w:r>
              <w:rPr>
                <w:noProof/>
                <w:webHidden/>
              </w:rPr>
              <w:tab/>
            </w:r>
            <w:r>
              <w:rPr>
                <w:noProof/>
                <w:webHidden/>
              </w:rPr>
              <w:fldChar w:fldCharType="begin"/>
            </w:r>
            <w:r>
              <w:rPr>
                <w:noProof/>
                <w:webHidden/>
              </w:rPr>
              <w:instrText xml:space="preserve"> PAGEREF _Toc210052766 \h </w:instrText>
            </w:r>
            <w:r>
              <w:rPr>
                <w:noProof/>
                <w:webHidden/>
              </w:rPr>
            </w:r>
            <w:r>
              <w:rPr>
                <w:noProof/>
                <w:webHidden/>
              </w:rPr>
              <w:fldChar w:fldCharType="separate"/>
            </w:r>
            <w:r w:rsidR="007D4385">
              <w:rPr>
                <w:noProof/>
                <w:webHidden/>
              </w:rPr>
              <w:t>32</w:t>
            </w:r>
            <w:r>
              <w:rPr>
                <w:noProof/>
                <w:webHidden/>
              </w:rPr>
              <w:fldChar w:fldCharType="end"/>
            </w:r>
          </w:hyperlink>
        </w:p>
        <w:p w14:paraId="5C3B8FE8" w14:textId="2FE75D2F" w:rsidR="002B019C" w:rsidRDefault="002B019C" w:rsidP="002B019C">
          <w:pPr>
            <w:pStyle w:val="TOC1"/>
            <w:rPr>
              <w:rFonts w:eastAsiaTheme="minorEastAsia"/>
              <w:noProof/>
              <w:sz w:val="24"/>
              <w:szCs w:val="24"/>
            </w:rPr>
          </w:pPr>
          <w:hyperlink w:anchor="_Toc210052767" w:history="1">
            <w:r w:rsidRPr="007F40EB">
              <w:rPr>
                <w:rStyle w:val="Hyperlink"/>
                <w:noProof/>
              </w:rPr>
              <w:t>6</w:t>
            </w:r>
            <w:r>
              <w:rPr>
                <w:rFonts w:eastAsiaTheme="minorEastAsia"/>
                <w:noProof/>
                <w:sz w:val="24"/>
                <w:szCs w:val="24"/>
              </w:rPr>
              <w:tab/>
            </w:r>
            <w:r w:rsidRPr="007F40EB">
              <w:rPr>
                <w:rStyle w:val="Hyperlink"/>
                <w:noProof/>
              </w:rPr>
              <w:t>Travel</w:t>
            </w:r>
            <w:r>
              <w:rPr>
                <w:noProof/>
                <w:webHidden/>
              </w:rPr>
              <w:tab/>
            </w:r>
            <w:r>
              <w:rPr>
                <w:noProof/>
                <w:webHidden/>
              </w:rPr>
              <w:fldChar w:fldCharType="begin"/>
            </w:r>
            <w:r>
              <w:rPr>
                <w:noProof/>
                <w:webHidden/>
              </w:rPr>
              <w:instrText xml:space="preserve"> PAGEREF _Toc210052767 \h </w:instrText>
            </w:r>
            <w:r>
              <w:rPr>
                <w:noProof/>
                <w:webHidden/>
              </w:rPr>
            </w:r>
            <w:r>
              <w:rPr>
                <w:noProof/>
                <w:webHidden/>
              </w:rPr>
              <w:fldChar w:fldCharType="separate"/>
            </w:r>
            <w:r w:rsidR="007D4385">
              <w:rPr>
                <w:noProof/>
                <w:webHidden/>
              </w:rPr>
              <w:t>33</w:t>
            </w:r>
            <w:r>
              <w:rPr>
                <w:noProof/>
                <w:webHidden/>
              </w:rPr>
              <w:fldChar w:fldCharType="end"/>
            </w:r>
          </w:hyperlink>
        </w:p>
        <w:p w14:paraId="740CB0E3" w14:textId="03DAE368" w:rsidR="002B019C" w:rsidRDefault="002B019C" w:rsidP="002B019C">
          <w:pPr>
            <w:pStyle w:val="TOC1"/>
            <w:rPr>
              <w:rFonts w:eastAsiaTheme="minorEastAsia"/>
              <w:noProof/>
              <w:sz w:val="24"/>
              <w:szCs w:val="24"/>
            </w:rPr>
          </w:pPr>
          <w:hyperlink w:anchor="_Toc210052768" w:history="1">
            <w:r w:rsidRPr="007F40EB">
              <w:rPr>
                <w:rStyle w:val="Hyperlink"/>
                <w:noProof/>
              </w:rPr>
              <w:t>7</w:t>
            </w:r>
            <w:r>
              <w:rPr>
                <w:rFonts w:eastAsiaTheme="minorEastAsia"/>
                <w:noProof/>
                <w:sz w:val="24"/>
                <w:szCs w:val="24"/>
              </w:rPr>
              <w:tab/>
            </w:r>
            <w:r w:rsidRPr="007F40EB">
              <w:rPr>
                <w:rStyle w:val="Hyperlink"/>
                <w:noProof/>
              </w:rPr>
              <w:t>Asset &amp; Inventory Management Internal Control Roles</w:t>
            </w:r>
            <w:r>
              <w:rPr>
                <w:noProof/>
                <w:webHidden/>
              </w:rPr>
              <w:tab/>
            </w:r>
            <w:r>
              <w:rPr>
                <w:noProof/>
                <w:webHidden/>
              </w:rPr>
              <w:fldChar w:fldCharType="begin"/>
            </w:r>
            <w:r>
              <w:rPr>
                <w:noProof/>
                <w:webHidden/>
              </w:rPr>
              <w:instrText xml:space="preserve"> PAGEREF _Toc210052768 \h </w:instrText>
            </w:r>
            <w:r>
              <w:rPr>
                <w:noProof/>
                <w:webHidden/>
              </w:rPr>
            </w:r>
            <w:r>
              <w:rPr>
                <w:noProof/>
                <w:webHidden/>
              </w:rPr>
              <w:fldChar w:fldCharType="separate"/>
            </w:r>
            <w:r w:rsidR="007D4385">
              <w:rPr>
                <w:noProof/>
                <w:webHidden/>
              </w:rPr>
              <w:t>35</w:t>
            </w:r>
            <w:r>
              <w:rPr>
                <w:noProof/>
                <w:webHidden/>
              </w:rPr>
              <w:fldChar w:fldCharType="end"/>
            </w:r>
          </w:hyperlink>
        </w:p>
        <w:p w14:paraId="25EAED1A" w14:textId="0ADEF5A1" w:rsidR="002B019C" w:rsidRDefault="002B019C">
          <w:pPr>
            <w:pStyle w:val="TOC2"/>
            <w:tabs>
              <w:tab w:val="left" w:pos="960"/>
              <w:tab w:val="right" w:leader="dot" w:pos="9926"/>
            </w:tabs>
            <w:rPr>
              <w:rFonts w:eastAsiaTheme="minorEastAsia"/>
              <w:noProof/>
              <w:sz w:val="24"/>
              <w:szCs w:val="24"/>
            </w:rPr>
          </w:pPr>
          <w:hyperlink w:anchor="_Toc210052769" w:history="1">
            <w:r w:rsidRPr="007F40EB">
              <w:rPr>
                <w:rStyle w:val="Hyperlink"/>
                <w:noProof/>
              </w:rPr>
              <w:t>7.1</w:t>
            </w:r>
            <w:r>
              <w:rPr>
                <w:rFonts w:eastAsiaTheme="minorEastAsia"/>
                <w:noProof/>
                <w:sz w:val="24"/>
                <w:szCs w:val="24"/>
              </w:rPr>
              <w:tab/>
            </w:r>
            <w:r w:rsidRPr="007F40EB">
              <w:rPr>
                <w:rStyle w:val="Hyperlink"/>
                <w:noProof/>
              </w:rPr>
              <w:t>Asset Manager</w:t>
            </w:r>
            <w:r>
              <w:rPr>
                <w:noProof/>
                <w:webHidden/>
              </w:rPr>
              <w:tab/>
            </w:r>
            <w:r>
              <w:rPr>
                <w:noProof/>
                <w:webHidden/>
              </w:rPr>
              <w:fldChar w:fldCharType="begin"/>
            </w:r>
            <w:r>
              <w:rPr>
                <w:noProof/>
                <w:webHidden/>
              </w:rPr>
              <w:instrText xml:space="preserve"> PAGEREF _Toc210052769 \h </w:instrText>
            </w:r>
            <w:r>
              <w:rPr>
                <w:noProof/>
                <w:webHidden/>
              </w:rPr>
            </w:r>
            <w:r>
              <w:rPr>
                <w:noProof/>
                <w:webHidden/>
              </w:rPr>
              <w:fldChar w:fldCharType="separate"/>
            </w:r>
            <w:r w:rsidR="007D4385">
              <w:rPr>
                <w:noProof/>
                <w:webHidden/>
              </w:rPr>
              <w:t>36</w:t>
            </w:r>
            <w:r>
              <w:rPr>
                <w:noProof/>
                <w:webHidden/>
              </w:rPr>
              <w:fldChar w:fldCharType="end"/>
            </w:r>
          </w:hyperlink>
        </w:p>
        <w:p w14:paraId="4096C301" w14:textId="39A33591" w:rsidR="002B019C" w:rsidRDefault="002B019C">
          <w:pPr>
            <w:pStyle w:val="TOC2"/>
            <w:tabs>
              <w:tab w:val="left" w:pos="960"/>
              <w:tab w:val="right" w:leader="dot" w:pos="9926"/>
            </w:tabs>
            <w:rPr>
              <w:rFonts w:eastAsiaTheme="minorEastAsia"/>
              <w:noProof/>
              <w:sz w:val="24"/>
              <w:szCs w:val="24"/>
            </w:rPr>
          </w:pPr>
          <w:hyperlink w:anchor="_Toc210052770" w:history="1">
            <w:r w:rsidRPr="007F40EB">
              <w:rPr>
                <w:rStyle w:val="Hyperlink"/>
                <w:noProof/>
              </w:rPr>
              <w:t>7.2</w:t>
            </w:r>
            <w:r>
              <w:rPr>
                <w:rFonts w:eastAsiaTheme="minorEastAsia"/>
                <w:noProof/>
                <w:sz w:val="24"/>
                <w:szCs w:val="24"/>
              </w:rPr>
              <w:tab/>
            </w:r>
            <w:r w:rsidRPr="007F40EB">
              <w:rPr>
                <w:rStyle w:val="Hyperlink"/>
                <w:noProof/>
              </w:rPr>
              <w:t>Asset Focal Point</w:t>
            </w:r>
            <w:r>
              <w:rPr>
                <w:noProof/>
                <w:webHidden/>
              </w:rPr>
              <w:tab/>
            </w:r>
            <w:r>
              <w:rPr>
                <w:noProof/>
                <w:webHidden/>
              </w:rPr>
              <w:fldChar w:fldCharType="begin"/>
            </w:r>
            <w:r>
              <w:rPr>
                <w:noProof/>
                <w:webHidden/>
              </w:rPr>
              <w:instrText xml:space="preserve"> PAGEREF _Toc210052770 \h </w:instrText>
            </w:r>
            <w:r>
              <w:rPr>
                <w:noProof/>
                <w:webHidden/>
              </w:rPr>
            </w:r>
            <w:r>
              <w:rPr>
                <w:noProof/>
                <w:webHidden/>
              </w:rPr>
              <w:fldChar w:fldCharType="separate"/>
            </w:r>
            <w:r w:rsidR="007D4385">
              <w:rPr>
                <w:noProof/>
                <w:webHidden/>
              </w:rPr>
              <w:t>36</w:t>
            </w:r>
            <w:r>
              <w:rPr>
                <w:noProof/>
                <w:webHidden/>
              </w:rPr>
              <w:fldChar w:fldCharType="end"/>
            </w:r>
          </w:hyperlink>
        </w:p>
        <w:p w14:paraId="72C3DEEB" w14:textId="7966A121" w:rsidR="002B019C" w:rsidRDefault="002B019C">
          <w:pPr>
            <w:pStyle w:val="TOC2"/>
            <w:tabs>
              <w:tab w:val="left" w:pos="960"/>
              <w:tab w:val="right" w:leader="dot" w:pos="9926"/>
            </w:tabs>
            <w:rPr>
              <w:rFonts w:eastAsiaTheme="minorEastAsia"/>
              <w:noProof/>
              <w:sz w:val="24"/>
              <w:szCs w:val="24"/>
            </w:rPr>
          </w:pPr>
          <w:hyperlink w:anchor="_Toc210052771" w:history="1">
            <w:r w:rsidRPr="007F40EB">
              <w:rPr>
                <w:rStyle w:val="Hyperlink"/>
                <w:noProof/>
              </w:rPr>
              <w:t>7.3</w:t>
            </w:r>
            <w:r>
              <w:rPr>
                <w:rFonts w:eastAsiaTheme="minorEastAsia"/>
                <w:noProof/>
                <w:sz w:val="24"/>
                <w:szCs w:val="24"/>
              </w:rPr>
              <w:tab/>
            </w:r>
            <w:r w:rsidRPr="007F40EB">
              <w:rPr>
                <w:rStyle w:val="Hyperlink"/>
                <w:noProof/>
              </w:rPr>
              <w:t>Fixed Asset Physical Verification Coordinator</w:t>
            </w:r>
            <w:r>
              <w:rPr>
                <w:noProof/>
                <w:webHidden/>
              </w:rPr>
              <w:tab/>
            </w:r>
            <w:r>
              <w:rPr>
                <w:noProof/>
                <w:webHidden/>
              </w:rPr>
              <w:fldChar w:fldCharType="begin"/>
            </w:r>
            <w:r>
              <w:rPr>
                <w:noProof/>
                <w:webHidden/>
              </w:rPr>
              <w:instrText xml:space="preserve"> PAGEREF _Toc210052771 \h </w:instrText>
            </w:r>
            <w:r>
              <w:rPr>
                <w:noProof/>
                <w:webHidden/>
              </w:rPr>
            </w:r>
            <w:r>
              <w:rPr>
                <w:noProof/>
                <w:webHidden/>
              </w:rPr>
              <w:fldChar w:fldCharType="separate"/>
            </w:r>
            <w:r w:rsidR="007D4385">
              <w:rPr>
                <w:noProof/>
                <w:webHidden/>
              </w:rPr>
              <w:t>37</w:t>
            </w:r>
            <w:r>
              <w:rPr>
                <w:noProof/>
                <w:webHidden/>
              </w:rPr>
              <w:fldChar w:fldCharType="end"/>
            </w:r>
          </w:hyperlink>
        </w:p>
        <w:p w14:paraId="5F4BCA3E" w14:textId="4D41BFB2" w:rsidR="002B019C" w:rsidRDefault="002B019C">
          <w:pPr>
            <w:pStyle w:val="TOC2"/>
            <w:tabs>
              <w:tab w:val="left" w:pos="960"/>
              <w:tab w:val="right" w:leader="dot" w:pos="9926"/>
            </w:tabs>
            <w:rPr>
              <w:rFonts w:eastAsiaTheme="minorEastAsia"/>
              <w:noProof/>
              <w:sz w:val="24"/>
              <w:szCs w:val="24"/>
            </w:rPr>
          </w:pPr>
          <w:hyperlink w:anchor="_Toc210052772" w:history="1">
            <w:r w:rsidRPr="007F40EB">
              <w:rPr>
                <w:rStyle w:val="Hyperlink"/>
                <w:noProof/>
              </w:rPr>
              <w:t>7.4</w:t>
            </w:r>
            <w:r>
              <w:rPr>
                <w:rFonts w:eastAsiaTheme="minorEastAsia"/>
                <w:noProof/>
                <w:sz w:val="24"/>
                <w:szCs w:val="24"/>
              </w:rPr>
              <w:tab/>
            </w:r>
            <w:r w:rsidRPr="007F40EB">
              <w:rPr>
                <w:rStyle w:val="Hyperlink"/>
                <w:noProof/>
              </w:rPr>
              <w:t>Inventory Manager</w:t>
            </w:r>
            <w:r>
              <w:rPr>
                <w:noProof/>
                <w:webHidden/>
              </w:rPr>
              <w:tab/>
            </w:r>
            <w:r>
              <w:rPr>
                <w:noProof/>
                <w:webHidden/>
              </w:rPr>
              <w:fldChar w:fldCharType="begin"/>
            </w:r>
            <w:r>
              <w:rPr>
                <w:noProof/>
                <w:webHidden/>
              </w:rPr>
              <w:instrText xml:space="preserve"> PAGEREF _Toc210052772 \h </w:instrText>
            </w:r>
            <w:r>
              <w:rPr>
                <w:noProof/>
                <w:webHidden/>
              </w:rPr>
            </w:r>
            <w:r>
              <w:rPr>
                <w:noProof/>
                <w:webHidden/>
              </w:rPr>
              <w:fldChar w:fldCharType="separate"/>
            </w:r>
            <w:r w:rsidR="007D4385">
              <w:rPr>
                <w:noProof/>
                <w:webHidden/>
              </w:rPr>
              <w:t>37</w:t>
            </w:r>
            <w:r>
              <w:rPr>
                <w:noProof/>
                <w:webHidden/>
              </w:rPr>
              <w:fldChar w:fldCharType="end"/>
            </w:r>
          </w:hyperlink>
        </w:p>
        <w:p w14:paraId="799A8383" w14:textId="42AB561B" w:rsidR="002B019C" w:rsidRDefault="002B019C">
          <w:pPr>
            <w:pStyle w:val="TOC2"/>
            <w:tabs>
              <w:tab w:val="left" w:pos="960"/>
              <w:tab w:val="right" w:leader="dot" w:pos="9926"/>
            </w:tabs>
            <w:rPr>
              <w:rFonts w:eastAsiaTheme="minorEastAsia"/>
              <w:noProof/>
              <w:sz w:val="24"/>
              <w:szCs w:val="24"/>
            </w:rPr>
          </w:pPr>
          <w:hyperlink w:anchor="_Toc210052773" w:history="1">
            <w:r w:rsidRPr="007F40EB">
              <w:rPr>
                <w:rStyle w:val="Hyperlink"/>
                <w:noProof/>
              </w:rPr>
              <w:t>7.5</w:t>
            </w:r>
            <w:r>
              <w:rPr>
                <w:rFonts w:eastAsiaTheme="minorEastAsia"/>
                <w:noProof/>
                <w:sz w:val="24"/>
                <w:szCs w:val="24"/>
              </w:rPr>
              <w:tab/>
            </w:r>
            <w:r w:rsidRPr="007F40EB">
              <w:rPr>
                <w:rStyle w:val="Hyperlink"/>
                <w:noProof/>
              </w:rPr>
              <w:t>Inventory Focal Point</w:t>
            </w:r>
            <w:r>
              <w:rPr>
                <w:noProof/>
                <w:webHidden/>
              </w:rPr>
              <w:tab/>
            </w:r>
            <w:r>
              <w:rPr>
                <w:noProof/>
                <w:webHidden/>
              </w:rPr>
              <w:fldChar w:fldCharType="begin"/>
            </w:r>
            <w:r>
              <w:rPr>
                <w:noProof/>
                <w:webHidden/>
              </w:rPr>
              <w:instrText xml:space="preserve"> PAGEREF _Toc210052773 \h </w:instrText>
            </w:r>
            <w:r>
              <w:rPr>
                <w:noProof/>
                <w:webHidden/>
              </w:rPr>
            </w:r>
            <w:r>
              <w:rPr>
                <w:noProof/>
                <w:webHidden/>
              </w:rPr>
              <w:fldChar w:fldCharType="separate"/>
            </w:r>
            <w:r w:rsidR="007D4385">
              <w:rPr>
                <w:noProof/>
                <w:webHidden/>
              </w:rPr>
              <w:t>37</w:t>
            </w:r>
            <w:r>
              <w:rPr>
                <w:noProof/>
                <w:webHidden/>
              </w:rPr>
              <w:fldChar w:fldCharType="end"/>
            </w:r>
          </w:hyperlink>
        </w:p>
        <w:p w14:paraId="37B4345F" w14:textId="687878A5" w:rsidR="002B019C" w:rsidRDefault="002B019C">
          <w:pPr>
            <w:pStyle w:val="TOC2"/>
            <w:tabs>
              <w:tab w:val="left" w:pos="960"/>
              <w:tab w:val="right" w:leader="dot" w:pos="9926"/>
            </w:tabs>
            <w:rPr>
              <w:rFonts w:eastAsiaTheme="minorEastAsia"/>
              <w:noProof/>
              <w:sz w:val="24"/>
              <w:szCs w:val="24"/>
            </w:rPr>
          </w:pPr>
          <w:hyperlink w:anchor="_Toc210052774" w:history="1">
            <w:r w:rsidRPr="007F40EB">
              <w:rPr>
                <w:rStyle w:val="Hyperlink"/>
                <w:noProof/>
              </w:rPr>
              <w:t>7.6</w:t>
            </w:r>
            <w:r>
              <w:rPr>
                <w:rFonts w:eastAsiaTheme="minorEastAsia"/>
                <w:noProof/>
                <w:sz w:val="24"/>
                <w:szCs w:val="24"/>
              </w:rPr>
              <w:tab/>
            </w:r>
            <w:r w:rsidRPr="007F40EB">
              <w:rPr>
                <w:rStyle w:val="Hyperlink"/>
                <w:noProof/>
              </w:rPr>
              <w:t>Inventory Physical Count Coordinator</w:t>
            </w:r>
            <w:r>
              <w:rPr>
                <w:noProof/>
                <w:webHidden/>
              </w:rPr>
              <w:tab/>
            </w:r>
            <w:r>
              <w:rPr>
                <w:noProof/>
                <w:webHidden/>
              </w:rPr>
              <w:fldChar w:fldCharType="begin"/>
            </w:r>
            <w:r>
              <w:rPr>
                <w:noProof/>
                <w:webHidden/>
              </w:rPr>
              <w:instrText xml:space="preserve"> PAGEREF _Toc210052774 \h </w:instrText>
            </w:r>
            <w:r>
              <w:rPr>
                <w:noProof/>
                <w:webHidden/>
              </w:rPr>
            </w:r>
            <w:r>
              <w:rPr>
                <w:noProof/>
                <w:webHidden/>
              </w:rPr>
              <w:fldChar w:fldCharType="separate"/>
            </w:r>
            <w:r w:rsidR="007D4385">
              <w:rPr>
                <w:noProof/>
                <w:webHidden/>
              </w:rPr>
              <w:t>38</w:t>
            </w:r>
            <w:r>
              <w:rPr>
                <w:noProof/>
                <w:webHidden/>
              </w:rPr>
              <w:fldChar w:fldCharType="end"/>
            </w:r>
          </w:hyperlink>
        </w:p>
        <w:p w14:paraId="1749FD0D" w14:textId="00DDAB57" w:rsidR="002B019C" w:rsidRDefault="002B019C" w:rsidP="002B019C">
          <w:pPr>
            <w:pStyle w:val="TOC1"/>
            <w:rPr>
              <w:rFonts w:eastAsiaTheme="minorEastAsia"/>
              <w:noProof/>
              <w:sz w:val="24"/>
              <w:szCs w:val="24"/>
            </w:rPr>
          </w:pPr>
          <w:hyperlink w:anchor="_Toc210052775" w:history="1">
            <w:r w:rsidRPr="007F40EB">
              <w:rPr>
                <w:rStyle w:val="Hyperlink"/>
                <w:noProof/>
              </w:rPr>
              <w:t>8</w:t>
            </w:r>
            <w:r>
              <w:rPr>
                <w:rFonts w:eastAsiaTheme="minorEastAsia"/>
                <w:noProof/>
                <w:sz w:val="24"/>
                <w:szCs w:val="24"/>
              </w:rPr>
              <w:tab/>
            </w:r>
            <w:r w:rsidRPr="007F40EB">
              <w:rPr>
                <w:rStyle w:val="Hyperlink"/>
                <w:noProof/>
              </w:rPr>
              <w:t>Human Resources</w:t>
            </w:r>
            <w:r>
              <w:rPr>
                <w:noProof/>
                <w:webHidden/>
              </w:rPr>
              <w:tab/>
            </w:r>
            <w:r>
              <w:rPr>
                <w:noProof/>
                <w:webHidden/>
              </w:rPr>
              <w:fldChar w:fldCharType="begin"/>
            </w:r>
            <w:r>
              <w:rPr>
                <w:noProof/>
                <w:webHidden/>
              </w:rPr>
              <w:instrText xml:space="preserve"> PAGEREF _Toc210052775 \h </w:instrText>
            </w:r>
            <w:r>
              <w:rPr>
                <w:noProof/>
                <w:webHidden/>
              </w:rPr>
            </w:r>
            <w:r>
              <w:rPr>
                <w:noProof/>
                <w:webHidden/>
              </w:rPr>
              <w:fldChar w:fldCharType="separate"/>
            </w:r>
            <w:r w:rsidR="007D4385">
              <w:rPr>
                <w:noProof/>
                <w:webHidden/>
              </w:rPr>
              <w:t>38</w:t>
            </w:r>
            <w:r>
              <w:rPr>
                <w:noProof/>
                <w:webHidden/>
              </w:rPr>
              <w:fldChar w:fldCharType="end"/>
            </w:r>
          </w:hyperlink>
        </w:p>
        <w:p w14:paraId="0C7D9BB7" w14:textId="411EAF3F" w:rsidR="002B019C" w:rsidRDefault="002B019C">
          <w:pPr>
            <w:pStyle w:val="TOC2"/>
            <w:tabs>
              <w:tab w:val="left" w:pos="960"/>
              <w:tab w:val="right" w:leader="dot" w:pos="9926"/>
            </w:tabs>
            <w:rPr>
              <w:rFonts w:eastAsiaTheme="minorEastAsia"/>
              <w:noProof/>
              <w:sz w:val="24"/>
              <w:szCs w:val="24"/>
            </w:rPr>
          </w:pPr>
          <w:hyperlink w:anchor="_Toc210052776" w:history="1">
            <w:r w:rsidRPr="007F40EB">
              <w:rPr>
                <w:rStyle w:val="Hyperlink"/>
                <w:noProof/>
              </w:rPr>
              <w:t>8.1</w:t>
            </w:r>
            <w:r>
              <w:rPr>
                <w:rFonts w:eastAsiaTheme="minorEastAsia"/>
                <w:noProof/>
                <w:sz w:val="24"/>
                <w:szCs w:val="24"/>
              </w:rPr>
              <w:tab/>
            </w:r>
            <w:r w:rsidRPr="007F40EB">
              <w:rPr>
                <w:rStyle w:val="Hyperlink"/>
                <w:noProof/>
              </w:rPr>
              <w:t>HR Focal Point</w:t>
            </w:r>
            <w:r>
              <w:rPr>
                <w:noProof/>
                <w:webHidden/>
              </w:rPr>
              <w:tab/>
            </w:r>
            <w:r>
              <w:rPr>
                <w:noProof/>
                <w:webHidden/>
              </w:rPr>
              <w:fldChar w:fldCharType="begin"/>
            </w:r>
            <w:r>
              <w:rPr>
                <w:noProof/>
                <w:webHidden/>
              </w:rPr>
              <w:instrText xml:space="preserve"> PAGEREF _Toc210052776 \h </w:instrText>
            </w:r>
            <w:r>
              <w:rPr>
                <w:noProof/>
                <w:webHidden/>
              </w:rPr>
            </w:r>
            <w:r>
              <w:rPr>
                <w:noProof/>
                <w:webHidden/>
              </w:rPr>
              <w:fldChar w:fldCharType="separate"/>
            </w:r>
            <w:r w:rsidR="007D4385">
              <w:rPr>
                <w:noProof/>
                <w:webHidden/>
              </w:rPr>
              <w:t>38</w:t>
            </w:r>
            <w:r>
              <w:rPr>
                <w:noProof/>
                <w:webHidden/>
              </w:rPr>
              <w:fldChar w:fldCharType="end"/>
            </w:r>
          </w:hyperlink>
        </w:p>
        <w:p w14:paraId="49CB739A" w14:textId="73C977BC" w:rsidR="002B019C" w:rsidRDefault="002B019C">
          <w:pPr>
            <w:pStyle w:val="TOC2"/>
            <w:tabs>
              <w:tab w:val="left" w:pos="960"/>
              <w:tab w:val="right" w:leader="dot" w:pos="9926"/>
            </w:tabs>
            <w:rPr>
              <w:rFonts w:eastAsiaTheme="minorEastAsia"/>
              <w:noProof/>
              <w:sz w:val="24"/>
              <w:szCs w:val="24"/>
            </w:rPr>
          </w:pPr>
          <w:hyperlink w:anchor="_Toc210052777" w:history="1">
            <w:r w:rsidRPr="007F40EB">
              <w:rPr>
                <w:rStyle w:val="Hyperlink"/>
                <w:noProof/>
              </w:rPr>
              <w:t>8.2</w:t>
            </w:r>
            <w:r>
              <w:rPr>
                <w:rFonts w:eastAsiaTheme="minorEastAsia"/>
                <w:noProof/>
                <w:sz w:val="24"/>
                <w:szCs w:val="24"/>
              </w:rPr>
              <w:tab/>
            </w:r>
            <w:r w:rsidRPr="007F40EB">
              <w:rPr>
                <w:rStyle w:val="Hyperlink"/>
                <w:noProof/>
              </w:rPr>
              <w:t>HR Administrator (first authority, committing officer)</w:t>
            </w:r>
            <w:r>
              <w:rPr>
                <w:noProof/>
                <w:webHidden/>
              </w:rPr>
              <w:tab/>
            </w:r>
            <w:r>
              <w:rPr>
                <w:noProof/>
                <w:webHidden/>
              </w:rPr>
              <w:fldChar w:fldCharType="begin"/>
            </w:r>
            <w:r>
              <w:rPr>
                <w:noProof/>
                <w:webHidden/>
              </w:rPr>
              <w:instrText xml:space="preserve"> PAGEREF _Toc210052777 \h </w:instrText>
            </w:r>
            <w:r>
              <w:rPr>
                <w:noProof/>
                <w:webHidden/>
              </w:rPr>
            </w:r>
            <w:r>
              <w:rPr>
                <w:noProof/>
                <w:webHidden/>
              </w:rPr>
              <w:fldChar w:fldCharType="separate"/>
            </w:r>
            <w:r w:rsidR="007D4385">
              <w:rPr>
                <w:noProof/>
                <w:webHidden/>
              </w:rPr>
              <w:t>39</w:t>
            </w:r>
            <w:r>
              <w:rPr>
                <w:noProof/>
                <w:webHidden/>
              </w:rPr>
              <w:fldChar w:fldCharType="end"/>
            </w:r>
          </w:hyperlink>
        </w:p>
        <w:p w14:paraId="1D1EB6A9" w14:textId="230BC1D2" w:rsidR="002B019C" w:rsidRDefault="002B019C">
          <w:pPr>
            <w:pStyle w:val="TOC2"/>
            <w:tabs>
              <w:tab w:val="left" w:pos="960"/>
              <w:tab w:val="right" w:leader="dot" w:pos="9926"/>
            </w:tabs>
            <w:rPr>
              <w:rFonts w:eastAsiaTheme="minorEastAsia"/>
              <w:noProof/>
              <w:sz w:val="24"/>
              <w:szCs w:val="24"/>
            </w:rPr>
          </w:pPr>
          <w:hyperlink w:anchor="_Toc210052778" w:history="1">
            <w:r w:rsidRPr="007F40EB">
              <w:rPr>
                <w:rStyle w:val="Hyperlink"/>
                <w:noProof/>
              </w:rPr>
              <w:t>8.3</w:t>
            </w:r>
            <w:r>
              <w:rPr>
                <w:rFonts w:eastAsiaTheme="minorEastAsia"/>
                <w:noProof/>
                <w:sz w:val="24"/>
                <w:szCs w:val="24"/>
              </w:rPr>
              <w:tab/>
            </w:r>
            <w:r w:rsidRPr="007F40EB">
              <w:rPr>
                <w:rStyle w:val="Hyperlink"/>
                <w:noProof/>
              </w:rPr>
              <w:t>Global Payroll Administrator (second authority, verifying officer)</w:t>
            </w:r>
            <w:r>
              <w:rPr>
                <w:noProof/>
                <w:webHidden/>
              </w:rPr>
              <w:tab/>
            </w:r>
            <w:r>
              <w:rPr>
                <w:noProof/>
                <w:webHidden/>
              </w:rPr>
              <w:fldChar w:fldCharType="begin"/>
            </w:r>
            <w:r>
              <w:rPr>
                <w:noProof/>
                <w:webHidden/>
              </w:rPr>
              <w:instrText xml:space="preserve"> PAGEREF _Toc210052778 \h </w:instrText>
            </w:r>
            <w:r>
              <w:rPr>
                <w:noProof/>
                <w:webHidden/>
              </w:rPr>
            </w:r>
            <w:r>
              <w:rPr>
                <w:noProof/>
                <w:webHidden/>
              </w:rPr>
              <w:fldChar w:fldCharType="separate"/>
            </w:r>
            <w:r w:rsidR="007D4385">
              <w:rPr>
                <w:noProof/>
                <w:webHidden/>
              </w:rPr>
              <w:t>40</w:t>
            </w:r>
            <w:r>
              <w:rPr>
                <w:noProof/>
                <w:webHidden/>
              </w:rPr>
              <w:fldChar w:fldCharType="end"/>
            </w:r>
          </w:hyperlink>
        </w:p>
        <w:p w14:paraId="3E523175" w14:textId="0531BB54" w:rsidR="002B019C" w:rsidRDefault="002B019C">
          <w:pPr>
            <w:pStyle w:val="TOC2"/>
            <w:tabs>
              <w:tab w:val="left" w:pos="960"/>
              <w:tab w:val="right" w:leader="dot" w:pos="9926"/>
            </w:tabs>
            <w:rPr>
              <w:rFonts w:eastAsiaTheme="minorEastAsia"/>
              <w:noProof/>
              <w:sz w:val="24"/>
              <w:szCs w:val="24"/>
            </w:rPr>
          </w:pPr>
          <w:hyperlink w:anchor="_Toc210052779" w:history="1">
            <w:r w:rsidRPr="007F40EB">
              <w:rPr>
                <w:rStyle w:val="Hyperlink"/>
                <w:noProof/>
              </w:rPr>
              <w:t>8.4</w:t>
            </w:r>
            <w:r>
              <w:rPr>
                <w:rFonts w:eastAsiaTheme="minorEastAsia"/>
                <w:noProof/>
                <w:sz w:val="24"/>
                <w:szCs w:val="24"/>
              </w:rPr>
              <w:tab/>
            </w:r>
            <w:r w:rsidRPr="007F40EB">
              <w:rPr>
                <w:rStyle w:val="Hyperlink"/>
                <w:noProof/>
              </w:rPr>
              <w:t>Disbursing Officer – Payroll (third authority, disbursement officer)</w:t>
            </w:r>
            <w:r>
              <w:rPr>
                <w:noProof/>
                <w:webHidden/>
              </w:rPr>
              <w:tab/>
            </w:r>
            <w:r>
              <w:rPr>
                <w:noProof/>
                <w:webHidden/>
              </w:rPr>
              <w:fldChar w:fldCharType="begin"/>
            </w:r>
            <w:r>
              <w:rPr>
                <w:noProof/>
                <w:webHidden/>
              </w:rPr>
              <w:instrText xml:space="preserve"> PAGEREF _Toc210052779 \h </w:instrText>
            </w:r>
            <w:r>
              <w:rPr>
                <w:noProof/>
                <w:webHidden/>
              </w:rPr>
            </w:r>
            <w:r>
              <w:rPr>
                <w:noProof/>
                <w:webHidden/>
              </w:rPr>
              <w:fldChar w:fldCharType="separate"/>
            </w:r>
            <w:r w:rsidR="007D4385">
              <w:rPr>
                <w:noProof/>
                <w:webHidden/>
              </w:rPr>
              <w:t>41</w:t>
            </w:r>
            <w:r>
              <w:rPr>
                <w:noProof/>
                <w:webHidden/>
              </w:rPr>
              <w:fldChar w:fldCharType="end"/>
            </w:r>
          </w:hyperlink>
        </w:p>
        <w:p w14:paraId="72403AF4" w14:textId="61894BD7" w:rsidR="002B019C" w:rsidRDefault="002B019C">
          <w:pPr>
            <w:pStyle w:val="TOC2"/>
            <w:tabs>
              <w:tab w:val="left" w:pos="960"/>
              <w:tab w:val="right" w:leader="dot" w:pos="9926"/>
            </w:tabs>
            <w:rPr>
              <w:rFonts w:eastAsiaTheme="minorEastAsia"/>
              <w:noProof/>
              <w:sz w:val="24"/>
              <w:szCs w:val="24"/>
            </w:rPr>
          </w:pPr>
          <w:hyperlink w:anchor="_Toc210052780" w:history="1">
            <w:r w:rsidRPr="007F40EB">
              <w:rPr>
                <w:rStyle w:val="Hyperlink"/>
                <w:noProof/>
              </w:rPr>
              <w:t>8.5</w:t>
            </w:r>
            <w:r>
              <w:rPr>
                <w:rFonts w:eastAsiaTheme="minorEastAsia"/>
                <w:noProof/>
                <w:sz w:val="24"/>
                <w:szCs w:val="24"/>
              </w:rPr>
              <w:tab/>
            </w:r>
            <w:r w:rsidRPr="007F40EB">
              <w:rPr>
                <w:rStyle w:val="Hyperlink"/>
                <w:noProof/>
              </w:rPr>
              <w:t>Position Administration (various roles)</w:t>
            </w:r>
            <w:r>
              <w:rPr>
                <w:noProof/>
                <w:webHidden/>
              </w:rPr>
              <w:tab/>
            </w:r>
            <w:r>
              <w:rPr>
                <w:noProof/>
                <w:webHidden/>
              </w:rPr>
              <w:fldChar w:fldCharType="begin"/>
            </w:r>
            <w:r>
              <w:rPr>
                <w:noProof/>
                <w:webHidden/>
              </w:rPr>
              <w:instrText xml:space="preserve"> PAGEREF _Toc210052780 \h </w:instrText>
            </w:r>
            <w:r>
              <w:rPr>
                <w:noProof/>
                <w:webHidden/>
              </w:rPr>
            </w:r>
            <w:r>
              <w:rPr>
                <w:noProof/>
                <w:webHidden/>
              </w:rPr>
              <w:fldChar w:fldCharType="separate"/>
            </w:r>
            <w:r w:rsidR="007D4385">
              <w:rPr>
                <w:noProof/>
                <w:webHidden/>
              </w:rPr>
              <w:t>42</w:t>
            </w:r>
            <w:r>
              <w:rPr>
                <w:noProof/>
                <w:webHidden/>
              </w:rPr>
              <w:fldChar w:fldCharType="end"/>
            </w:r>
          </w:hyperlink>
        </w:p>
        <w:p w14:paraId="2522A099" w14:textId="562D2502" w:rsidR="002B019C" w:rsidRDefault="002B019C" w:rsidP="002B019C">
          <w:pPr>
            <w:pStyle w:val="TOC1"/>
            <w:rPr>
              <w:rFonts w:eastAsiaTheme="minorEastAsia"/>
              <w:noProof/>
              <w:sz w:val="24"/>
              <w:szCs w:val="24"/>
            </w:rPr>
          </w:pPr>
          <w:hyperlink w:anchor="_Toc210052781" w:history="1">
            <w:r w:rsidRPr="007F40EB">
              <w:rPr>
                <w:rStyle w:val="Hyperlink"/>
                <w:noProof/>
              </w:rPr>
              <w:t>9</w:t>
            </w:r>
            <w:r>
              <w:rPr>
                <w:rFonts w:eastAsiaTheme="minorEastAsia"/>
                <w:noProof/>
                <w:sz w:val="24"/>
                <w:szCs w:val="24"/>
              </w:rPr>
              <w:tab/>
            </w:r>
            <w:r w:rsidRPr="007F40EB">
              <w:rPr>
                <w:rStyle w:val="Hyperlink"/>
                <w:noProof/>
              </w:rPr>
              <w:t>General Financial Management</w:t>
            </w:r>
            <w:r>
              <w:rPr>
                <w:noProof/>
                <w:webHidden/>
              </w:rPr>
              <w:tab/>
            </w:r>
            <w:r>
              <w:rPr>
                <w:noProof/>
                <w:webHidden/>
              </w:rPr>
              <w:fldChar w:fldCharType="begin"/>
            </w:r>
            <w:r>
              <w:rPr>
                <w:noProof/>
                <w:webHidden/>
              </w:rPr>
              <w:instrText xml:space="preserve"> PAGEREF _Toc210052781 \h </w:instrText>
            </w:r>
            <w:r>
              <w:rPr>
                <w:noProof/>
                <w:webHidden/>
              </w:rPr>
            </w:r>
            <w:r>
              <w:rPr>
                <w:noProof/>
                <w:webHidden/>
              </w:rPr>
              <w:fldChar w:fldCharType="separate"/>
            </w:r>
            <w:r w:rsidR="007D4385">
              <w:rPr>
                <w:noProof/>
                <w:webHidden/>
              </w:rPr>
              <w:t>43</w:t>
            </w:r>
            <w:r>
              <w:rPr>
                <w:noProof/>
                <w:webHidden/>
              </w:rPr>
              <w:fldChar w:fldCharType="end"/>
            </w:r>
          </w:hyperlink>
        </w:p>
        <w:p w14:paraId="3C77CE19" w14:textId="237FF833" w:rsidR="002B019C" w:rsidRDefault="002B019C">
          <w:pPr>
            <w:pStyle w:val="TOC2"/>
            <w:tabs>
              <w:tab w:val="left" w:pos="960"/>
              <w:tab w:val="right" w:leader="dot" w:pos="9926"/>
            </w:tabs>
            <w:rPr>
              <w:rFonts w:eastAsiaTheme="minorEastAsia"/>
              <w:noProof/>
              <w:sz w:val="24"/>
              <w:szCs w:val="24"/>
            </w:rPr>
          </w:pPr>
          <w:hyperlink w:anchor="_Toc210052782" w:history="1">
            <w:r w:rsidRPr="007F40EB">
              <w:rPr>
                <w:rStyle w:val="Hyperlink"/>
                <w:noProof/>
              </w:rPr>
              <w:t>9.1</w:t>
            </w:r>
            <w:r>
              <w:rPr>
                <w:rFonts w:eastAsiaTheme="minorEastAsia"/>
                <w:noProof/>
                <w:sz w:val="24"/>
                <w:szCs w:val="24"/>
              </w:rPr>
              <w:tab/>
            </w:r>
            <w:r w:rsidRPr="007F40EB">
              <w:rPr>
                <w:rStyle w:val="Hyperlink"/>
                <w:noProof/>
              </w:rPr>
              <w:t>DRR Operations (or HQ-equivalent)</w:t>
            </w:r>
            <w:r>
              <w:rPr>
                <w:noProof/>
                <w:webHidden/>
              </w:rPr>
              <w:tab/>
            </w:r>
            <w:r>
              <w:rPr>
                <w:noProof/>
                <w:webHidden/>
              </w:rPr>
              <w:fldChar w:fldCharType="begin"/>
            </w:r>
            <w:r>
              <w:rPr>
                <w:noProof/>
                <w:webHidden/>
              </w:rPr>
              <w:instrText xml:space="preserve"> PAGEREF _Toc210052782 \h </w:instrText>
            </w:r>
            <w:r>
              <w:rPr>
                <w:noProof/>
                <w:webHidden/>
              </w:rPr>
            </w:r>
            <w:r>
              <w:rPr>
                <w:noProof/>
                <w:webHidden/>
              </w:rPr>
              <w:fldChar w:fldCharType="separate"/>
            </w:r>
            <w:r w:rsidR="007D4385">
              <w:rPr>
                <w:noProof/>
                <w:webHidden/>
              </w:rPr>
              <w:t>43</w:t>
            </w:r>
            <w:r>
              <w:rPr>
                <w:noProof/>
                <w:webHidden/>
              </w:rPr>
              <w:fldChar w:fldCharType="end"/>
            </w:r>
          </w:hyperlink>
        </w:p>
        <w:p w14:paraId="5B2A579E" w14:textId="0C289ACF" w:rsidR="002B019C" w:rsidRDefault="002B019C">
          <w:pPr>
            <w:pStyle w:val="TOC2"/>
            <w:tabs>
              <w:tab w:val="left" w:pos="960"/>
              <w:tab w:val="right" w:leader="dot" w:pos="9926"/>
            </w:tabs>
            <w:rPr>
              <w:rFonts w:eastAsiaTheme="minorEastAsia"/>
              <w:noProof/>
              <w:sz w:val="24"/>
              <w:szCs w:val="24"/>
            </w:rPr>
          </w:pPr>
          <w:hyperlink w:anchor="_Toc210052783" w:history="1">
            <w:r w:rsidRPr="007F40EB">
              <w:rPr>
                <w:rStyle w:val="Hyperlink"/>
                <w:noProof/>
              </w:rPr>
              <w:t>9.2</w:t>
            </w:r>
            <w:r>
              <w:rPr>
                <w:rFonts w:eastAsiaTheme="minorEastAsia"/>
                <w:noProof/>
                <w:sz w:val="24"/>
                <w:szCs w:val="24"/>
              </w:rPr>
              <w:tab/>
            </w:r>
            <w:r w:rsidRPr="007F40EB">
              <w:rPr>
                <w:rStyle w:val="Hyperlink"/>
                <w:noProof/>
              </w:rPr>
              <w:t>Operations Manager</w:t>
            </w:r>
            <w:r>
              <w:rPr>
                <w:noProof/>
                <w:webHidden/>
              </w:rPr>
              <w:tab/>
            </w:r>
            <w:r>
              <w:rPr>
                <w:noProof/>
                <w:webHidden/>
              </w:rPr>
              <w:fldChar w:fldCharType="begin"/>
            </w:r>
            <w:r>
              <w:rPr>
                <w:noProof/>
                <w:webHidden/>
              </w:rPr>
              <w:instrText xml:space="preserve"> PAGEREF _Toc210052783 \h </w:instrText>
            </w:r>
            <w:r>
              <w:rPr>
                <w:noProof/>
                <w:webHidden/>
              </w:rPr>
            </w:r>
            <w:r>
              <w:rPr>
                <w:noProof/>
                <w:webHidden/>
              </w:rPr>
              <w:fldChar w:fldCharType="separate"/>
            </w:r>
            <w:r w:rsidR="007D4385">
              <w:rPr>
                <w:noProof/>
                <w:webHidden/>
              </w:rPr>
              <w:t>44</w:t>
            </w:r>
            <w:r>
              <w:rPr>
                <w:noProof/>
                <w:webHidden/>
              </w:rPr>
              <w:fldChar w:fldCharType="end"/>
            </w:r>
          </w:hyperlink>
        </w:p>
        <w:p w14:paraId="02702DA1" w14:textId="46F767F2" w:rsidR="002B019C" w:rsidRDefault="002B019C">
          <w:pPr>
            <w:pStyle w:val="TOC2"/>
            <w:tabs>
              <w:tab w:val="left" w:pos="960"/>
              <w:tab w:val="right" w:leader="dot" w:pos="9926"/>
            </w:tabs>
            <w:rPr>
              <w:rFonts w:eastAsiaTheme="minorEastAsia"/>
              <w:noProof/>
              <w:sz w:val="24"/>
              <w:szCs w:val="24"/>
            </w:rPr>
          </w:pPr>
          <w:hyperlink w:anchor="_Toc210052784" w:history="1">
            <w:r w:rsidRPr="007F40EB">
              <w:rPr>
                <w:rStyle w:val="Hyperlink"/>
                <w:noProof/>
              </w:rPr>
              <w:t>9.3</w:t>
            </w:r>
            <w:r>
              <w:rPr>
                <w:rFonts w:eastAsiaTheme="minorEastAsia"/>
                <w:noProof/>
                <w:sz w:val="24"/>
                <w:szCs w:val="24"/>
              </w:rPr>
              <w:tab/>
            </w:r>
            <w:r w:rsidRPr="007F40EB">
              <w:rPr>
                <w:rStyle w:val="Hyperlink"/>
                <w:noProof/>
              </w:rPr>
              <w:t>Finance Staff</w:t>
            </w:r>
            <w:r>
              <w:rPr>
                <w:noProof/>
                <w:webHidden/>
              </w:rPr>
              <w:tab/>
            </w:r>
            <w:r>
              <w:rPr>
                <w:noProof/>
                <w:webHidden/>
              </w:rPr>
              <w:fldChar w:fldCharType="begin"/>
            </w:r>
            <w:r>
              <w:rPr>
                <w:noProof/>
                <w:webHidden/>
              </w:rPr>
              <w:instrText xml:space="preserve"> PAGEREF _Toc210052784 \h </w:instrText>
            </w:r>
            <w:r>
              <w:rPr>
                <w:noProof/>
                <w:webHidden/>
              </w:rPr>
            </w:r>
            <w:r>
              <w:rPr>
                <w:noProof/>
                <w:webHidden/>
              </w:rPr>
              <w:fldChar w:fldCharType="separate"/>
            </w:r>
            <w:r w:rsidR="007D4385">
              <w:rPr>
                <w:noProof/>
                <w:webHidden/>
              </w:rPr>
              <w:t>45</w:t>
            </w:r>
            <w:r>
              <w:rPr>
                <w:noProof/>
                <w:webHidden/>
              </w:rPr>
              <w:fldChar w:fldCharType="end"/>
            </w:r>
          </w:hyperlink>
        </w:p>
        <w:p w14:paraId="24933C2D" w14:textId="6E57D30E" w:rsidR="002B019C" w:rsidRDefault="002B019C">
          <w:pPr>
            <w:pStyle w:val="TOC2"/>
            <w:tabs>
              <w:tab w:val="left" w:pos="960"/>
              <w:tab w:val="right" w:leader="dot" w:pos="9926"/>
            </w:tabs>
            <w:rPr>
              <w:rFonts w:eastAsiaTheme="minorEastAsia"/>
              <w:noProof/>
              <w:sz w:val="24"/>
              <w:szCs w:val="24"/>
            </w:rPr>
          </w:pPr>
          <w:hyperlink w:anchor="_Toc210052785" w:history="1">
            <w:r w:rsidRPr="007F40EB">
              <w:rPr>
                <w:rStyle w:val="Hyperlink"/>
                <w:noProof/>
              </w:rPr>
              <w:t>9.4</w:t>
            </w:r>
            <w:r>
              <w:rPr>
                <w:rFonts w:eastAsiaTheme="minorEastAsia"/>
                <w:noProof/>
                <w:sz w:val="24"/>
                <w:szCs w:val="24"/>
              </w:rPr>
              <w:tab/>
            </w:r>
            <w:r w:rsidRPr="007F40EB">
              <w:rPr>
                <w:rStyle w:val="Hyperlink"/>
                <w:noProof/>
              </w:rPr>
              <w:t>BMS/GSSC finance team</w:t>
            </w:r>
            <w:r>
              <w:rPr>
                <w:noProof/>
                <w:webHidden/>
              </w:rPr>
              <w:tab/>
            </w:r>
            <w:r>
              <w:rPr>
                <w:noProof/>
                <w:webHidden/>
              </w:rPr>
              <w:fldChar w:fldCharType="begin"/>
            </w:r>
            <w:r>
              <w:rPr>
                <w:noProof/>
                <w:webHidden/>
              </w:rPr>
              <w:instrText xml:space="preserve"> PAGEREF _Toc210052785 \h </w:instrText>
            </w:r>
            <w:r>
              <w:rPr>
                <w:noProof/>
                <w:webHidden/>
              </w:rPr>
            </w:r>
            <w:r>
              <w:rPr>
                <w:noProof/>
                <w:webHidden/>
              </w:rPr>
              <w:fldChar w:fldCharType="separate"/>
            </w:r>
            <w:r w:rsidR="007D4385">
              <w:rPr>
                <w:noProof/>
                <w:webHidden/>
              </w:rPr>
              <w:t>49</w:t>
            </w:r>
            <w:r>
              <w:rPr>
                <w:noProof/>
                <w:webHidden/>
              </w:rPr>
              <w:fldChar w:fldCharType="end"/>
            </w:r>
          </w:hyperlink>
        </w:p>
        <w:p w14:paraId="3F785727" w14:textId="4988C5BA" w:rsidR="002B019C" w:rsidRDefault="002B019C" w:rsidP="0037159E">
          <w:pPr>
            <w:pStyle w:val="TOC1"/>
            <w:spacing w:after="240"/>
            <w:rPr>
              <w:rFonts w:eastAsiaTheme="minorEastAsia"/>
              <w:noProof/>
              <w:sz w:val="24"/>
              <w:szCs w:val="24"/>
            </w:rPr>
          </w:pPr>
          <w:hyperlink w:anchor="_Toc210052786" w:history="1">
            <w:r w:rsidRPr="007F40EB">
              <w:rPr>
                <w:rStyle w:val="Hyperlink"/>
                <w:noProof/>
              </w:rPr>
              <w:t>10</w:t>
            </w:r>
            <w:r>
              <w:rPr>
                <w:rFonts w:eastAsiaTheme="minorEastAsia"/>
                <w:noProof/>
                <w:sz w:val="24"/>
                <w:szCs w:val="24"/>
              </w:rPr>
              <w:tab/>
            </w:r>
            <w:r w:rsidRPr="007F40EB">
              <w:rPr>
                <w:rStyle w:val="Hyperlink"/>
                <w:noProof/>
              </w:rPr>
              <w:t>Head of Office/Unit</w:t>
            </w:r>
            <w:r>
              <w:rPr>
                <w:noProof/>
                <w:webHidden/>
              </w:rPr>
              <w:tab/>
            </w:r>
            <w:r>
              <w:rPr>
                <w:noProof/>
                <w:webHidden/>
              </w:rPr>
              <w:fldChar w:fldCharType="begin"/>
            </w:r>
            <w:r>
              <w:rPr>
                <w:noProof/>
                <w:webHidden/>
              </w:rPr>
              <w:instrText xml:space="preserve"> PAGEREF _Toc210052786 \h </w:instrText>
            </w:r>
            <w:r>
              <w:rPr>
                <w:noProof/>
                <w:webHidden/>
              </w:rPr>
            </w:r>
            <w:r>
              <w:rPr>
                <w:noProof/>
                <w:webHidden/>
              </w:rPr>
              <w:fldChar w:fldCharType="separate"/>
            </w:r>
            <w:r w:rsidR="007D4385">
              <w:rPr>
                <w:noProof/>
                <w:webHidden/>
              </w:rPr>
              <w:t>49</w:t>
            </w:r>
            <w:r>
              <w:rPr>
                <w:noProof/>
                <w:webHidden/>
              </w:rPr>
              <w:fldChar w:fldCharType="end"/>
            </w:r>
          </w:hyperlink>
        </w:p>
        <w:p w14:paraId="06B4449E" w14:textId="5C341B51" w:rsidR="002B019C" w:rsidRDefault="002B019C" w:rsidP="0037159E">
          <w:pPr>
            <w:pStyle w:val="TOC1"/>
            <w:spacing w:after="240"/>
            <w:rPr>
              <w:rFonts w:eastAsiaTheme="minorEastAsia"/>
              <w:noProof/>
              <w:sz w:val="24"/>
              <w:szCs w:val="24"/>
            </w:rPr>
          </w:pPr>
          <w:hyperlink w:anchor="_Toc210052787" w:history="1">
            <w:r w:rsidRPr="007F40EB">
              <w:rPr>
                <w:rStyle w:val="Hyperlink"/>
                <w:noProof/>
              </w:rPr>
              <w:t>11</w:t>
            </w:r>
            <w:r>
              <w:rPr>
                <w:rFonts w:eastAsiaTheme="minorEastAsia"/>
                <w:noProof/>
                <w:sz w:val="24"/>
                <w:szCs w:val="24"/>
              </w:rPr>
              <w:tab/>
            </w:r>
            <w:r w:rsidRPr="007F40EB">
              <w:rPr>
                <w:rStyle w:val="Hyperlink"/>
                <w:noProof/>
              </w:rPr>
              <w:t>Other Internal Control Roles</w:t>
            </w:r>
            <w:r>
              <w:rPr>
                <w:noProof/>
                <w:webHidden/>
              </w:rPr>
              <w:tab/>
            </w:r>
            <w:r>
              <w:rPr>
                <w:noProof/>
                <w:webHidden/>
              </w:rPr>
              <w:fldChar w:fldCharType="begin"/>
            </w:r>
            <w:r>
              <w:rPr>
                <w:noProof/>
                <w:webHidden/>
              </w:rPr>
              <w:instrText xml:space="preserve"> PAGEREF _Toc210052787 \h </w:instrText>
            </w:r>
            <w:r>
              <w:rPr>
                <w:noProof/>
                <w:webHidden/>
              </w:rPr>
            </w:r>
            <w:r>
              <w:rPr>
                <w:noProof/>
                <w:webHidden/>
              </w:rPr>
              <w:fldChar w:fldCharType="separate"/>
            </w:r>
            <w:r w:rsidR="007D4385">
              <w:rPr>
                <w:noProof/>
                <w:webHidden/>
              </w:rPr>
              <w:t>54</w:t>
            </w:r>
            <w:r>
              <w:rPr>
                <w:noProof/>
                <w:webHidden/>
              </w:rPr>
              <w:fldChar w:fldCharType="end"/>
            </w:r>
          </w:hyperlink>
        </w:p>
        <w:p w14:paraId="4CB925E2" w14:textId="3E2B3490" w:rsidR="002B019C" w:rsidRPr="0037159E" w:rsidRDefault="002B019C" w:rsidP="0037159E">
          <w:pPr>
            <w:pStyle w:val="TOC2"/>
            <w:tabs>
              <w:tab w:val="left" w:pos="960"/>
              <w:tab w:val="right" w:leader="dot" w:pos="9926"/>
            </w:tabs>
            <w:rPr>
              <w:rStyle w:val="Hyperlink"/>
              <w:noProof/>
            </w:rPr>
          </w:pPr>
          <w:hyperlink w:anchor="_Toc210052788" w:history="1">
            <w:r w:rsidRPr="007F40EB">
              <w:rPr>
                <w:rStyle w:val="Hyperlink"/>
                <w:noProof/>
              </w:rPr>
              <w:t>11.1</w:t>
            </w:r>
            <w:r w:rsidRPr="0037159E">
              <w:rPr>
                <w:rStyle w:val="Hyperlink"/>
                <w:noProof/>
              </w:rPr>
              <w:tab/>
            </w:r>
            <w:r w:rsidRPr="007F40EB">
              <w:rPr>
                <w:rStyle w:val="Hyperlink"/>
                <w:noProof/>
              </w:rPr>
              <w:t>Designated Officials to submit service requests to BMS/GSSC</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_Toc210052788 \h </w:instrText>
            </w:r>
            <w:r w:rsidRPr="0037159E">
              <w:rPr>
                <w:rStyle w:val="Hyperlink"/>
                <w:noProof/>
                <w:webHidden/>
              </w:rPr>
            </w:r>
            <w:r w:rsidRPr="0037159E">
              <w:rPr>
                <w:rStyle w:val="Hyperlink"/>
                <w:noProof/>
                <w:webHidden/>
              </w:rPr>
              <w:fldChar w:fldCharType="separate"/>
            </w:r>
            <w:r w:rsidR="007D4385">
              <w:rPr>
                <w:rStyle w:val="Hyperlink"/>
                <w:noProof/>
                <w:webHidden/>
              </w:rPr>
              <w:t>54</w:t>
            </w:r>
            <w:r w:rsidRPr="0037159E">
              <w:rPr>
                <w:rStyle w:val="Hyperlink"/>
                <w:noProof/>
                <w:webHidden/>
              </w:rPr>
              <w:fldChar w:fldCharType="end"/>
            </w:r>
          </w:hyperlink>
        </w:p>
        <w:p w14:paraId="75EF29B0" w14:textId="0388DF4E" w:rsidR="002B019C" w:rsidRDefault="002B019C" w:rsidP="0037159E">
          <w:pPr>
            <w:pStyle w:val="TOC2"/>
            <w:tabs>
              <w:tab w:val="left" w:pos="960"/>
              <w:tab w:val="right" w:leader="dot" w:pos="9926"/>
            </w:tabs>
            <w:rPr>
              <w:rFonts w:eastAsiaTheme="minorEastAsia"/>
              <w:noProof/>
              <w:sz w:val="24"/>
              <w:szCs w:val="24"/>
            </w:rPr>
          </w:pPr>
          <w:hyperlink w:anchor="_Toc210052789" w:history="1">
            <w:r w:rsidRPr="007F40EB">
              <w:rPr>
                <w:rStyle w:val="Hyperlink"/>
                <w:noProof/>
              </w:rPr>
              <w:t>11.2</w:t>
            </w:r>
            <w:r w:rsidRPr="0037159E">
              <w:rPr>
                <w:rStyle w:val="Hyperlink"/>
                <w:noProof/>
              </w:rPr>
              <w:tab/>
            </w:r>
            <w:r w:rsidRPr="007F40EB">
              <w:rPr>
                <w:rStyle w:val="Hyperlink"/>
                <w:noProof/>
              </w:rPr>
              <w:t>IDAM Focal Points &amp; IDAM Request Approvers</w:t>
            </w:r>
            <w:r w:rsidRPr="0037159E">
              <w:rPr>
                <w:rStyle w:val="Hyperlink"/>
                <w:noProof/>
                <w:webHidden/>
              </w:rPr>
              <w:tab/>
            </w:r>
            <w:r w:rsidRPr="0037159E">
              <w:rPr>
                <w:rStyle w:val="Hyperlink"/>
                <w:noProof/>
                <w:webHidden/>
              </w:rPr>
              <w:fldChar w:fldCharType="begin"/>
            </w:r>
            <w:r w:rsidRPr="0037159E">
              <w:rPr>
                <w:rStyle w:val="Hyperlink"/>
                <w:noProof/>
                <w:webHidden/>
              </w:rPr>
              <w:instrText xml:space="preserve"> PAGEREF _Toc210052789 \h </w:instrText>
            </w:r>
            <w:r w:rsidRPr="0037159E">
              <w:rPr>
                <w:rStyle w:val="Hyperlink"/>
                <w:noProof/>
                <w:webHidden/>
              </w:rPr>
            </w:r>
            <w:r w:rsidRPr="0037159E">
              <w:rPr>
                <w:rStyle w:val="Hyperlink"/>
                <w:noProof/>
                <w:webHidden/>
              </w:rPr>
              <w:fldChar w:fldCharType="separate"/>
            </w:r>
            <w:r w:rsidR="007D4385">
              <w:rPr>
                <w:rStyle w:val="Hyperlink"/>
                <w:noProof/>
                <w:webHidden/>
              </w:rPr>
              <w:t>54</w:t>
            </w:r>
            <w:r w:rsidRPr="0037159E">
              <w:rPr>
                <w:rStyle w:val="Hyperlink"/>
                <w:noProof/>
                <w:webHidden/>
              </w:rPr>
              <w:fldChar w:fldCharType="end"/>
            </w:r>
          </w:hyperlink>
        </w:p>
        <w:p w14:paraId="731F35ED" w14:textId="7741E084" w:rsidR="002B019C" w:rsidRDefault="002B019C" w:rsidP="0037159E">
          <w:pPr>
            <w:pStyle w:val="TOC1"/>
            <w:spacing w:after="240"/>
            <w:rPr>
              <w:rFonts w:eastAsiaTheme="minorEastAsia"/>
              <w:noProof/>
              <w:sz w:val="24"/>
              <w:szCs w:val="24"/>
            </w:rPr>
          </w:pPr>
          <w:hyperlink w:anchor="_Toc210052790" w:history="1">
            <w:r w:rsidRPr="007F40EB">
              <w:rPr>
                <w:rStyle w:val="Hyperlink"/>
                <w:noProof/>
              </w:rPr>
              <w:t>12</w:t>
            </w:r>
            <w:r>
              <w:rPr>
                <w:rFonts w:eastAsiaTheme="minorEastAsia"/>
                <w:noProof/>
                <w:sz w:val="24"/>
                <w:szCs w:val="24"/>
              </w:rPr>
              <w:tab/>
            </w:r>
            <w:r w:rsidRPr="007F40EB">
              <w:rPr>
                <w:rStyle w:val="Hyperlink"/>
                <w:noProof/>
              </w:rPr>
              <w:t>Transactions performed at request of UNDP offices/units or UN agencies</w:t>
            </w:r>
            <w:r>
              <w:rPr>
                <w:noProof/>
                <w:webHidden/>
              </w:rPr>
              <w:tab/>
            </w:r>
            <w:r>
              <w:rPr>
                <w:noProof/>
                <w:webHidden/>
              </w:rPr>
              <w:fldChar w:fldCharType="begin"/>
            </w:r>
            <w:r>
              <w:rPr>
                <w:noProof/>
                <w:webHidden/>
              </w:rPr>
              <w:instrText xml:space="preserve"> PAGEREF _Toc210052790 \h </w:instrText>
            </w:r>
            <w:r>
              <w:rPr>
                <w:noProof/>
                <w:webHidden/>
              </w:rPr>
            </w:r>
            <w:r>
              <w:rPr>
                <w:noProof/>
                <w:webHidden/>
              </w:rPr>
              <w:fldChar w:fldCharType="separate"/>
            </w:r>
            <w:r w:rsidR="007D4385">
              <w:rPr>
                <w:noProof/>
                <w:webHidden/>
              </w:rPr>
              <w:t>55</w:t>
            </w:r>
            <w:r>
              <w:rPr>
                <w:noProof/>
                <w:webHidden/>
              </w:rPr>
              <w:fldChar w:fldCharType="end"/>
            </w:r>
          </w:hyperlink>
        </w:p>
        <w:p w14:paraId="0F64C202" w14:textId="7F6304A3" w:rsidR="002B019C" w:rsidRDefault="002B019C" w:rsidP="0037159E">
          <w:pPr>
            <w:pStyle w:val="TOC1"/>
            <w:spacing w:after="240"/>
            <w:rPr>
              <w:rFonts w:eastAsiaTheme="minorEastAsia"/>
              <w:noProof/>
              <w:sz w:val="24"/>
              <w:szCs w:val="24"/>
            </w:rPr>
          </w:pPr>
          <w:hyperlink w:anchor="_Toc210052791" w:history="1">
            <w:r w:rsidRPr="007F40EB">
              <w:rPr>
                <w:rStyle w:val="Hyperlink"/>
                <w:noProof/>
              </w:rPr>
              <w:t>13</w:t>
            </w:r>
            <w:r>
              <w:rPr>
                <w:rFonts w:eastAsiaTheme="minorEastAsia"/>
                <w:noProof/>
                <w:sz w:val="24"/>
                <w:szCs w:val="24"/>
              </w:rPr>
              <w:tab/>
            </w:r>
            <w:r w:rsidRPr="007F40EB">
              <w:rPr>
                <w:rStyle w:val="Hyperlink"/>
                <w:noProof/>
              </w:rPr>
              <w:t>Cash transfer modalities for Partners</w:t>
            </w:r>
            <w:r>
              <w:rPr>
                <w:noProof/>
                <w:webHidden/>
              </w:rPr>
              <w:tab/>
            </w:r>
            <w:r>
              <w:rPr>
                <w:noProof/>
                <w:webHidden/>
              </w:rPr>
              <w:fldChar w:fldCharType="begin"/>
            </w:r>
            <w:r>
              <w:rPr>
                <w:noProof/>
                <w:webHidden/>
              </w:rPr>
              <w:instrText xml:space="preserve"> PAGEREF _Toc210052791 \h </w:instrText>
            </w:r>
            <w:r>
              <w:rPr>
                <w:noProof/>
                <w:webHidden/>
              </w:rPr>
            </w:r>
            <w:r>
              <w:rPr>
                <w:noProof/>
                <w:webHidden/>
              </w:rPr>
              <w:fldChar w:fldCharType="separate"/>
            </w:r>
            <w:r w:rsidR="007D4385">
              <w:rPr>
                <w:noProof/>
                <w:webHidden/>
              </w:rPr>
              <w:t>56</w:t>
            </w:r>
            <w:r>
              <w:rPr>
                <w:noProof/>
                <w:webHidden/>
              </w:rPr>
              <w:fldChar w:fldCharType="end"/>
            </w:r>
          </w:hyperlink>
        </w:p>
        <w:p w14:paraId="27737269" w14:textId="075CD397" w:rsidR="002B019C" w:rsidRDefault="002B019C" w:rsidP="0037159E">
          <w:pPr>
            <w:pStyle w:val="TOC1"/>
            <w:spacing w:after="240"/>
            <w:rPr>
              <w:rFonts w:eastAsiaTheme="minorEastAsia"/>
              <w:noProof/>
              <w:sz w:val="24"/>
              <w:szCs w:val="24"/>
            </w:rPr>
          </w:pPr>
          <w:hyperlink w:anchor="_Toc210052792" w:history="1">
            <w:r w:rsidRPr="007F40EB">
              <w:rPr>
                <w:rStyle w:val="Hyperlink"/>
                <w:noProof/>
              </w:rPr>
              <w:t>14</w:t>
            </w:r>
            <w:r>
              <w:rPr>
                <w:rFonts w:eastAsiaTheme="minorEastAsia"/>
                <w:noProof/>
                <w:sz w:val="24"/>
                <w:szCs w:val="24"/>
              </w:rPr>
              <w:tab/>
            </w:r>
            <w:r w:rsidRPr="007F40EB">
              <w:rPr>
                <w:rStyle w:val="Hyperlink"/>
                <w:noProof/>
              </w:rPr>
              <w:t>Transaction services performed for Partners</w:t>
            </w:r>
            <w:r>
              <w:rPr>
                <w:noProof/>
                <w:webHidden/>
              </w:rPr>
              <w:tab/>
            </w:r>
            <w:r>
              <w:rPr>
                <w:noProof/>
                <w:webHidden/>
              </w:rPr>
              <w:fldChar w:fldCharType="begin"/>
            </w:r>
            <w:r>
              <w:rPr>
                <w:noProof/>
                <w:webHidden/>
              </w:rPr>
              <w:instrText xml:space="preserve"> PAGEREF _Toc210052792 \h </w:instrText>
            </w:r>
            <w:r>
              <w:rPr>
                <w:noProof/>
                <w:webHidden/>
              </w:rPr>
            </w:r>
            <w:r>
              <w:rPr>
                <w:noProof/>
                <w:webHidden/>
              </w:rPr>
              <w:fldChar w:fldCharType="separate"/>
            </w:r>
            <w:r w:rsidR="007D4385">
              <w:rPr>
                <w:noProof/>
                <w:webHidden/>
              </w:rPr>
              <w:t>57</w:t>
            </w:r>
            <w:r>
              <w:rPr>
                <w:noProof/>
                <w:webHidden/>
              </w:rPr>
              <w:fldChar w:fldCharType="end"/>
            </w:r>
          </w:hyperlink>
        </w:p>
        <w:p w14:paraId="12F8FC04" w14:textId="33886CA6" w:rsidR="002B019C" w:rsidRDefault="002B019C" w:rsidP="0037159E">
          <w:pPr>
            <w:pStyle w:val="TOC1"/>
            <w:spacing w:after="240"/>
            <w:rPr>
              <w:rFonts w:eastAsiaTheme="minorEastAsia"/>
              <w:noProof/>
              <w:sz w:val="24"/>
              <w:szCs w:val="24"/>
            </w:rPr>
          </w:pPr>
          <w:hyperlink w:anchor="_Toc210052793" w:history="1">
            <w:r w:rsidRPr="007F40EB">
              <w:rPr>
                <w:rStyle w:val="Hyperlink"/>
                <w:noProof/>
              </w:rPr>
              <w:t>15</w:t>
            </w:r>
            <w:r>
              <w:rPr>
                <w:rFonts w:eastAsiaTheme="minorEastAsia"/>
                <w:noProof/>
                <w:sz w:val="24"/>
                <w:szCs w:val="24"/>
              </w:rPr>
              <w:tab/>
            </w:r>
            <w:r w:rsidRPr="007F40EB">
              <w:rPr>
                <w:rStyle w:val="Hyperlink"/>
                <w:noProof/>
              </w:rPr>
              <w:t>External Access Facility</w:t>
            </w:r>
            <w:r>
              <w:rPr>
                <w:noProof/>
                <w:webHidden/>
              </w:rPr>
              <w:tab/>
            </w:r>
            <w:r>
              <w:rPr>
                <w:noProof/>
                <w:webHidden/>
              </w:rPr>
              <w:fldChar w:fldCharType="begin"/>
            </w:r>
            <w:r>
              <w:rPr>
                <w:noProof/>
                <w:webHidden/>
              </w:rPr>
              <w:instrText xml:space="preserve"> PAGEREF _Toc210052793 \h </w:instrText>
            </w:r>
            <w:r>
              <w:rPr>
                <w:noProof/>
                <w:webHidden/>
              </w:rPr>
            </w:r>
            <w:r>
              <w:rPr>
                <w:noProof/>
                <w:webHidden/>
              </w:rPr>
              <w:fldChar w:fldCharType="separate"/>
            </w:r>
            <w:r w:rsidR="007D4385">
              <w:rPr>
                <w:noProof/>
                <w:webHidden/>
              </w:rPr>
              <w:t>58</w:t>
            </w:r>
            <w:r>
              <w:rPr>
                <w:noProof/>
                <w:webHidden/>
              </w:rPr>
              <w:fldChar w:fldCharType="end"/>
            </w:r>
          </w:hyperlink>
        </w:p>
        <w:p w14:paraId="74E8DF12" w14:textId="7D0E034C" w:rsidR="002B019C" w:rsidRDefault="002B019C" w:rsidP="0037159E">
          <w:pPr>
            <w:pStyle w:val="TOC1"/>
            <w:spacing w:after="240"/>
            <w:rPr>
              <w:rFonts w:eastAsiaTheme="minorEastAsia"/>
              <w:noProof/>
              <w:sz w:val="24"/>
              <w:szCs w:val="24"/>
            </w:rPr>
          </w:pPr>
          <w:hyperlink w:anchor="_Toc210052794" w:history="1">
            <w:r w:rsidRPr="007F40EB">
              <w:rPr>
                <w:rStyle w:val="Hyperlink"/>
                <w:noProof/>
              </w:rPr>
              <w:t>16</w:t>
            </w:r>
            <w:r>
              <w:rPr>
                <w:rFonts w:eastAsiaTheme="minorEastAsia"/>
                <w:noProof/>
                <w:sz w:val="24"/>
                <w:szCs w:val="24"/>
              </w:rPr>
              <w:tab/>
            </w:r>
            <w:r w:rsidRPr="007F40EB">
              <w:rPr>
                <w:rStyle w:val="Hyperlink"/>
                <w:noProof/>
              </w:rPr>
              <w:t>Management Reports</w:t>
            </w:r>
            <w:r>
              <w:rPr>
                <w:noProof/>
                <w:webHidden/>
              </w:rPr>
              <w:tab/>
            </w:r>
            <w:r>
              <w:rPr>
                <w:noProof/>
                <w:webHidden/>
              </w:rPr>
              <w:fldChar w:fldCharType="begin"/>
            </w:r>
            <w:r>
              <w:rPr>
                <w:noProof/>
                <w:webHidden/>
              </w:rPr>
              <w:instrText xml:space="preserve"> PAGEREF _Toc210052794 \h </w:instrText>
            </w:r>
            <w:r>
              <w:rPr>
                <w:noProof/>
                <w:webHidden/>
              </w:rPr>
            </w:r>
            <w:r>
              <w:rPr>
                <w:noProof/>
                <w:webHidden/>
              </w:rPr>
              <w:fldChar w:fldCharType="separate"/>
            </w:r>
            <w:r w:rsidR="007D4385">
              <w:rPr>
                <w:noProof/>
                <w:webHidden/>
              </w:rPr>
              <w:t>59</w:t>
            </w:r>
            <w:r>
              <w:rPr>
                <w:noProof/>
                <w:webHidden/>
              </w:rPr>
              <w:fldChar w:fldCharType="end"/>
            </w:r>
          </w:hyperlink>
        </w:p>
        <w:p w14:paraId="24C2A988" w14:textId="481443FD" w:rsidR="002B019C" w:rsidRPr="0037159E" w:rsidRDefault="002B019C" w:rsidP="002B019C">
          <w:pPr>
            <w:pStyle w:val="TOC1"/>
            <w:rPr>
              <w:rFonts w:eastAsiaTheme="minorEastAsia"/>
              <w:noProof/>
              <w:sz w:val="21"/>
              <w:szCs w:val="21"/>
            </w:rPr>
          </w:pPr>
          <w:hyperlink w:anchor="_Toc210052795" w:history="1">
            <w:r w:rsidRPr="0037159E">
              <w:rPr>
                <w:rStyle w:val="Hyperlink"/>
                <w:noProof/>
                <w:sz w:val="21"/>
                <w:szCs w:val="21"/>
              </w:rPr>
              <w:t>Annex 1: Overview of ICF Monitoring Reports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_Toc210052795 \h </w:instrText>
            </w:r>
            <w:r w:rsidRPr="0037159E">
              <w:rPr>
                <w:noProof/>
                <w:webHidden/>
                <w:sz w:val="21"/>
                <w:szCs w:val="21"/>
              </w:rPr>
            </w:r>
            <w:r w:rsidRPr="0037159E">
              <w:rPr>
                <w:noProof/>
                <w:webHidden/>
                <w:sz w:val="21"/>
                <w:szCs w:val="21"/>
              </w:rPr>
              <w:fldChar w:fldCharType="separate"/>
            </w:r>
            <w:r w:rsidR="007D4385">
              <w:rPr>
                <w:noProof/>
                <w:webHidden/>
                <w:sz w:val="21"/>
                <w:szCs w:val="21"/>
              </w:rPr>
              <w:t>60</w:t>
            </w:r>
            <w:r w:rsidRPr="0037159E">
              <w:rPr>
                <w:noProof/>
                <w:webHidden/>
                <w:sz w:val="21"/>
                <w:szCs w:val="21"/>
              </w:rPr>
              <w:fldChar w:fldCharType="end"/>
            </w:r>
          </w:hyperlink>
        </w:p>
        <w:p w14:paraId="5AEE80C6" w14:textId="6D70CCAA" w:rsidR="002B019C" w:rsidRPr="0037159E" w:rsidRDefault="002B019C" w:rsidP="002B019C">
          <w:pPr>
            <w:pStyle w:val="TOC1"/>
            <w:rPr>
              <w:rFonts w:eastAsiaTheme="minorEastAsia"/>
              <w:noProof/>
              <w:sz w:val="21"/>
              <w:szCs w:val="21"/>
            </w:rPr>
          </w:pPr>
          <w:hyperlink w:anchor="_Toc210052796" w:history="1">
            <w:r w:rsidRPr="0037159E">
              <w:rPr>
                <w:rStyle w:val="Hyperlink"/>
                <w:noProof/>
                <w:sz w:val="21"/>
                <w:szCs w:val="21"/>
              </w:rPr>
              <w:t>Annex 2: Overview of IDAM HR Business Profiles and their purpose</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_Toc210052796 \h </w:instrText>
            </w:r>
            <w:r w:rsidRPr="0037159E">
              <w:rPr>
                <w:noProof/>
                <w:webHidden/>
                <w:sz w:val="21"/>
                <w:szCs w:val="21"/>
              </w:rPr>
            </w:r>
            <w:r w:rsidRPr="0037159E">
              <w:rPr>
                <w:noProof/>
                <w:webHidden/>
                <w:sz w:val="21"/>
                <w:szCs w:val="21"/>
              </w:rPr>
              <w:fldChar w:fldCharType="separate"/>
            </w:r>
            <w:r w:rsidR="007D4385">
              <w:rPr>
                <w:noProof/>
                <w:webHidden/>
                <w:sz w:val="21"/>
                <w:szCs w:val="21"/>
              </w:rPr>
              <w:t>61</w:t>
            </w:r>
            <w:r w:rsidRPr="0037159E">
              <w:rPr>
                <w:noProof/>
                <w:webHidden/>
                <w:sz w:val="21"/>
                <w:szCs w:val="21"/>
              </w:rPr>
              <w:fldChar w:fldCharType="end"/>
            </w:r>
          </w:hyperlink>
        </w:p>
        <w:p w14:paraId="0ACF18E1" w14:textId="2468C34C" w:rsidR="002B019C" w:rsidRPr="0037159E" w:rsidRDefault="002B019C" w:rsidP="002B019C">
          <w:pPr>
            <w:pStyle w:val="TOC1"/>
            <w:rPr>
              <w:rFonts w:eastAsiaTheme="minorEastAsia"/>
              <w:noProof/>
              <w:sz w:val="21"/>
              <w:szCs w:val="21"/>
            </w:rPr>
          </w:pPr>
          <w:hyperlink w:anchor="_Toc210052797" w:history="1">
            <w:r w:rsidRPr="0037159E">
              <w:rPr>
                <w:rStyle w:val="Hyperlink"/>
                <w:noProof/>
                <w:sz w:val="21"/>
                <w:szCs w:val="21"/>
              </w:rPr>
              <w:t>Annex 3: Overview of Finance Business Profiles and Supplementary Roles and Quantum capabilities</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_Toc210052797 \h </w:instrText>
            </w:r>
            <w:r w:rsidRPr="0037159E">
              <w:rPr>
                <w:noProof/>
                <w:webHidden/>
                <w:sz w:val="21"/>
                <w:szCs w:val="21"/>
              </w:rPr>
            </w:r>
            <w:r w:rsidRPr="0037159E">
              <w:rPr>
                <w:noProof/>
                <w:webHidden/>
                <w:sz w:val="21"/>
                <w:szCs w:val="21"/>
              </w:rPr>
              <w:fldChar w:fldCharType="separate"/>
            </w:r>
            <w:r w:rsidR="007D4385">
              <w:rPr>
                <w:noProof/>
                <w:webHidden/>
                <w:sz w:val="21"/>
                <w:szCs w:val="21"/>
              </w:rPr>
              <w:t>64</w:t>
            </w:r>
            <w:r w:rsidRPr="0037159E">
              <w:rPr>
                <w:noProof/>
                <w:webHidden/>
                <w:sz w:val="21"/>
                <w:szCs w:val="21"/>
              </w:rPr>
              <w:fldChar w:fldCharType="end"/>
            </w:r>
          </w:hyperlink>
        </w:p>
        <w:p w14:paraId="45FA2743" w14:textId="3BE024E4" w:rsidR="002B019C" w:rsidRPr="0037159E" w:rsidRDefault="002B019C" w:rsidP="002B019C">
          <w:pPr>
            <w:pStyle w:val="TOC1"/>
            <w:rPr>
              <w:rFonts w:eastAsiaTheme="minorEastAsia"/>
              <w:noProof/>
              <w:sz w:val="21"/>
              <w:szCs w:val="21"/>
            </w:rPr>
          </w:pPr>
          <w:hyperlink w:anchor="_Toc210052798" w:history="1">
            <w:r w:rsidRPr="0037159E">
              <w:rPr>
                <w:rStyle w:val="Hyperlink"/>
                <w:noProof/>
                <w:sz w:val="21"/>
                <w:szCs w:val="21"/>
              </w:rPr>
              <w:t>Annex 4: Overview of internal control roles by functional area</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_Toc210052798 \h </w:instrText>
            </w:r>
            <w:r w:rsidRPr="0037159E">
              <w:rPr>
                <w:noProof/>
                <w:webHidden/>
                <w:sz w:val="21"/>
                <w:szCs w:val="21"/>
              </w:rPr>
            </w:r>
            <w:r w:rsidRPr="0037159E">
              <w:rPr>
                <w:noProof/>
                <w:webHidden/>
                <w:sz w:val="21"/>
                <w:szCs w:val="21"/>
              </w:rPr>
              <w:fldChar w:fldCharType="separate"/>
            </w:r>
            <w:r w:rsidR="007D4385">
              <w:rPr>
                <w:noProof/>
                <w:webHidden/>
                <w:sz w:val="21"/>
                <w:szCs w:val="21"/>
              </w:rPr>
              <w:t>65</w:t>
            </w:r>
            <w:r w:rsidRPr="0037159E">
              <w:rPr>
                <w:noProof/>
                <w:webHidden/>
                <w:sz w:val="21"/>
                <w:szCs w:val="21"/>
              </w:rPr>
              <w:fldChar w:fldCharType="end"/>
            </w:r>
          </w:hyperlink>
        </w:p>
        <w:p w14:paraId="28C0FFAC" w14:textId="2CDB69A7" w:rsidR="002B019C" w:rsidRPr="0037159E" w:rsidRDefault="002B019C" w:rsidP="002B019C">
          <w:pPr>
            <w:pStyle w:val="TOC1"/>
            <w:rPr>
              <w:rFonts w:eastAsiaTheme="minorEastAsia"/>
              <w:noProof/>
              <w:sz w:val="21"/>
              <w:szCs w:val="21"/>
            </w:rPr>
          </w:pPr>
          <w:hyperlink w:anchor="_Toc210052799" w:history="1">
            <w:r w:rsidRPr="0037159E">
              <w:rPr>
                <w:rStyle w:val="Hyperlink"/>
                <w:noProof/>
                <w:sz w:val="21"/>
                <w:szCs w:val="21"/>
              </w:rPr>
              <w:t>Annex 5: Process Overview: Procure &amp; Pay</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_Toc210052799 \h </w:instrText>
            </w:r>
            <w:r w:rsidRPr="0037159E">
              <w:rPr>
                <w:noProof/>
                <w:webHidden/>
                <w:sz w:val="21"/>
                <w:szCs w:val="21"/>
              </w:rPr>
            </w:r>
            <w:r w:rsidRPr="0037159E">
              <w:rPr>
                <w:noProof/>
                <w:webHidden/>
                <w:sz w:val="21"/>
                <w:szCs w:val="21"/>
              </w:rPr>
              <w:fldChar w:fldCharType="separate"/>
            </w:r>
            <w:r w:rsidR="007D4385">
              <w:rPr>
                <w:noProof/>
                <w:webHidden/>
                <w:sz w:val="21"/>
                <w:szCs w:val="21"/>
              </w:rPr>
              <w:t>67</w:t>
            </w:r>
            <w:r w:rsidRPr="0037159E">
              <w:rPr>
                <w:noProof/>
                <w:webHidden/>
                <w:sz w:val="21"/>
                <w:szCs w:val="21"/>
              </w:rPr>
              <w:fldChar w:fldCharType="end"/>
            </w:r>
          </w:hyperlink>
        </w:p>
        <w:p w14:paraId="0F1D2428" w14:textId="53F71B73" w:rsidR="002B019C" w:rsidRPr="0037159E" w:rsidRDefault="002B019C" w:rsidP="002B019C">
          <w:pPr>
            <w:pStyle w:val="TOC1"/>
            <w:rPr>
              <w:rFonts w:eastAsiaTheme="minorEastAsia"/>
              <w:noProof/>
              <w:sz w:val="21"/>
              <w:szCs w:val="21"/>
            </w:rPr>
          </w:pPr>
          <w:hyperlink w:anchor="_Toc210052800" w:history="1">
            <w:r w:rsidRPr="0037159E">
              <w:rPr>
                <w:rStyle w:val="Hyperlink"/>
                <w:noProof/>
                <w:sz w:val="21"/>
                <w:szCs w:val="21"/>
              </w:rPr>
              <w:t>Annex 6: Overview of segregation of duties &amp; other controls &amp; how enforced</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_Toc210052800 \h </w:instrText>
            </w:r>
            <w:r w:rsidRPr="0037159E">
              <w:rPr>
                <w:noProof/>
                <w:webHidden/>
                <w:sz w:val="21"/>
                <w:szCs w:val="21"/>
              </w:rPr>
            </w:r>
            <w:r w:rsidRPr="0037159E">
              <w:rPr>
                <w:noProof/>
                <w:webHidden/>
                <w:sz w:val="21"/>
                <w:szCs w:val="21"/>
              </w:rPr>
              <w:fldChar w:fldCharType="separate"/>
            </w:r>
            <w:r w:rsidR="007D4385">
              <w:rPr>
                <w:noProof/>
                <w:webHidden/>
                <w:sz w:val="21"/>
                <w:szCs w:val="21"/>
              </w:rPr>
              <w:t>70</w:t>
            </w:r>
            <w:r w:rsidRPr="0037159E">
              <w:rPr>
                <w:noProof/>
                <w:webHidden/>
                <w:sz w:val="21"/>
                <w:szCs w:val="21"/>
              </w:rPr>
              <w:fldChar w:fldCharType="end"/>
            </w:r>
          </w:hyperlink>
        </w:p>
        <w:p w14:paraId="6C00CE9F" w14:textId="2CEDFD91" w:rsidR="002B019C" w:rsidRPr="0037159E" w:rsidRDefault="002B019C" w:rsidP="002B019C">
          <w:pPr>
            <w:pStyle w:val="TOC1"/>
            <w:rPr>
              <w:rFonts w:eastAsiaTheme="minorEastAsia"/>
              <w:noProof/>
              <w:sz w:val="21"/>
              <w:szCs w:val="21"/>
            </w:rPr>
          </w:pPr>
          <w:hyperlink w:anchor="_Toc210052801" w:history="1">
            <w:r w:rsidRPr="0037159E">
              <w:rPr>
                <w:rStyle w:val="Hyperlink"/>
                <w:noProof/>
                <w:sz w:val="21"/>
                <w:szCs w:val="21"/>
              </w:rPr>
              <w:t>Annex 7: Overview of where key actions are performed</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_Toc210052801 \h </w:instrText>
            </w:r>
            <w:r w:rsidRPr="0037159E">
              <w:rPr>
                <w:noProof/>
                <w:webHidden/>
                <w:sz w:val="21"/>
                <w:szCs w:val="21"/>
              </w:rPr>
            </w:r>
            <w:r w:rsidRPr="0037159E">
              <w:rPr>
                <w:noProof/>
                <w:webHidden/>
                <w:sz w:val="21"/>
                <w:szCs w:val="21"/>
              </w:rPr>
              <w:fldChar w:fldCharType="separate"/>
            </w:r>
            <w:r w:rsidR="007D4385">
              <w:rPr>
                <w:noProof/>
                <w:webHidden/>
                <w:sz w:val="21"/>
                <w:szCs w:val="21"/>
              </w:rPr>
              <w:t>72</w:t>
            </w:r>
            <w:r w:rsidRPr="0037159E">
              <w:rPr>
                <w:noProof/>
                <w:webHidden/>
                <w:sz w:val="21"/>
                <w:szCs w:val="21"/>
              </w:rPr>
              <w:fldChar w:fldCharType="end"/>
            </w:r>
          </w:hyperlink>
        </w:p>
        <w:p w14:paraId="76039D86" w14:textId="3AF2BBA4" w:rsidR="002B019C" w:rsidRPr="0037159E" w:rsidRDefault="002B019C" w:rsidP="002B019C">
          <w:pPr>
            <w:pStyle w:val="TOC1"/>
            <w:rPr>
              <w:rFonts w:eastAsiaTheme="minorEastAsia"/>
              <w:noProof/>
              <w:sz w:val="21"/>
              <w:szCs w:val="21"/>
            </w:rPr>
          </w:pPr>
          <w:hyperlink w:anchor="_Toc210052802" w:history="1">
            <w:r w:rsidRPr="0037159E">
              <w:rPr>
                <w:rStyle w:val="Hyperlink"/>
                <w:noProof/>
                <w:sz w:val="21"/>
                <w:szCs w:val="21"/>
              </w:rPr>
              <w:t>Annex 8: Glossary</w:t>
            </w:r>
            <w:r w:rsidRPr="0037159E">
              <w:rPr>
                <w:noProof/>
                <w:webHidden/>
                <w:sz w:val="21"/>
                <w:szCs w:val="21"/>
              </w:rPr>
              <w:tab/>
            </w:r>
            <w:r w:rsidRPr="0037159E">
              <w:rPr>
                <w:noProof/>
                <w:webHidden/>
                <w:sz w:val="21"/>
                <w:szCs w:val="21"/>
              </w:rPr>
              <w:fldChar w:fldCharType="begin"/>
            </w:r>
            <w:r w:rsidRPr="0037159E">
              <w:rPr>
                <w:noProof/>
                <w:webHidden/>
                <w:sz w:val="21"/>
                <w:szCs w:val="21"/>
              </w:rPr>
              <w:instrText xml:space="preserve"> PAGEREF _Toc210052802 \h </w:instrText>
            </w:r>
            <w:r w:rsidRPr="0037159E">
              <w:rPr>
                <w:noProof/>
                <w:webHidden/>
                <w:sz w:val="21"/>
                <w:szCs w:val="21"/>
              </w:rPr>
            </w:r>
            <w:r w:rsidRPr="0037159E">
              <w:rPr>
                <w:noProof/>
                <w:webHidden/>
                <w:sz w:val="21"/>
                <w:szCs w:val="21"/>
              </w:rPr>
              <w:fldChar w:fldCharType="separate"/>
            </w:r>
            <w:r w:rsidR="007D4385">
              <w:rPr>
                <w:noProof/>
                <w:webHidden/>
                <w:sz w:val="21"/>
                <w:szCs w:val="21"/>
              </w:rPr>
              <w:t>76</w:t>
            </w:r>
            <w:r w:rsidRPr="0037159E">
              <w:rPr>
                <w:noProof/>
                <w:webHidden/>
                <w:sz w:val="21"/>
                <w:szCs w:val="21"/>
              </w:rPr>
              <w:fldChar w:fldCharType="end"/>
            </w:r>
          </w:hyperlink>
        </w:p>
        <w:p w14:paraId="424DD52E" w14:textId="2C49FEC0" w:rsidR="00B56C73" w:rsidRPr="0077377D" w:rsidRDefault="00B56C73" w:rsidP="0077377D">
          <w:pPr>
            <w:rPr>
              <w:sz w:val="8"/>
              <w:szCs w:val="8"/>
            </w:rPr>
          </w:pPr>
          <w:r w:rsidRPr="006112C3">
            <w:rPr>
              <w:b/>
              <w:bCs/>
              <w:noProof/>
              <w:sz w:val="21"/>
              <w:szCs w:val="21"/>
            </w:rPr>
            <w:lastRenderedPageBreak/>
            <w:fldChar w:fldCharType="end"/>
          </w:r>
        </w:p>
      </w:sdtContent>
    </w:sdt>
    <w:p w14:paraId="6B46F6BA" w14:textId="38FE0B51" w:rsidR="00075D80" w:rsidRDefault="003B498D">
      <w:pPr>
        <w:pStyle w:val="Heading1"/>
        <w:numPr>
          <w:ilvl w:val="0"/>
          <w:numId w:val="93"/>
        </w:numPr>
        <w:spacing w:after="240"/>
      </w:pPr>
      <w:bookmarkStart w:id="0" w:name="_Toc210052732"/>
      <w:r>
        <w:t>I</w:t>
      </w:r>
      <w:r w:rsidR="00075D80">
        <w:t>ntroduction</w:t>
      </w:r>
      <w:bookmarkEnd w:id="0"/>
    </w:p>
    <w:p w14:paraId="59B4D041" w14:textId="056847B1" w:rsidR="00075D80" w:rsidRPr="00264794" w:rsidRDefault="00075D80">
      <w:pPr>
        <w:pStyle w:val="Heading2"/>
        <w:numPr>
          <w:ilvl w:val="1"/>
          <w:numId w:val="6"/>
        </w:numPr>
        <w:spacing w:after="240"/>
      </w:pPr>
      <w:bookmarkStart w:id="1" w:name="_Toc210052733"/>
      <w:r w:rsidRPr="00264794">
        <w:t>What is internal control</w:t>
      </w:r>
      <w:r w:rsidR="004658FE">
        <w:t xml:space="preserve"> and why is it important?</w:t>
      </w:r>
      <w:bookmarkEnd w:id="1"/>
    </w:p>
    <w:p w14:paraId="7C8BAA90" w14:textId="4C06DE22" w:rsidR="004E76F2" w:rsidRPr="00F84992" w:rsidRDefault="00AC0004" w:rsidP="363CA695">
      <w:pPr>
        <w:spacing w:line="240" w:lineRule="auto"/>
      </w:pPr>
      <w:r w:rsidRPr="00F84992">
        <w:t xml:space="preserve">Internal controls are a foundational component of sound organizational management and help UNDP to </w:t>
      </w:r>
      <w:r w:rsidRPr="00F84992">
        <w:rPr>
          <w:b/>
          <w:bCs/>
        </w:rPr>
        <w:t>achieve its strategic objectives in an effective, efficient, transparent, and accountable manner</w:t>
      </w:r>
      <w:r w:rsidRPr="00F84992">
        <w:t>.</w:t>
      </w:r>
      <w:r w:rsidR="004E76F2" w:rsidRPr="00F84992">
        <w:t xml:space="preserve"> A strong internal control framework is also a pre-requisite for ensuring that UNDP maintains its reputation for integrity in the delivery of its </w:t>
      </w:r>
      <w:proofErr w:type="spellStart"/>
      <w:r w:rsidR="004E76F2" w:rsidRPr="00F84992">
        <w:t>programmes</w:t>
      </w:r>
      <w:proofErr w:type="spellEnd"/>
      <w:r w:rsidRPr="00F84992">
        <w:t xml:space="preserve">. </w:t>
      </w:r>
    </w:p>
    <w:p w14:paraId="2906F503" w14:textId="69AD3508" w:rsidR="008A4D46" w:rsidRDefault="00DC25E6" w:rsidP="00AD810D">
      <w:pPr>
        <w:spacing w:line="240" w:lineRule="auto"/>
      </w:pPr>
      <w:r w:rsidRPr="363CA695">
        <w:t xml:space="preserve">UNDP defines internal control as a process, </w:t>
      </w:r>
      <w:proofErr w:type="gramStart"/>
      <w:r w:rsidRPr="363CA695">
        <w:t>effected</w:t>
      </w:r>
      <w:proofErr w:type="gramEnd"/>
      <w:r w:rsidRPr="363CA695">
        <w:t xml:space="preserve"> by the governing body, management, or other personnel</w:t>
      </w:r>
      <w:r w:rsidR="00264794" w:rsidRPr="363CA695">
        <w:t xml:space="preserve">, </w:t>
      </w:r>
      <w:r w:rsidRPr="363CA695">
        <w:rPr>
          <w:b/>
          <w:bCs/>
        </w:rPr>
        <w:t xml:space="preserve">designed to provide reasonable assurance regarding the achievement of objectives </w:t>
      </w:r>
      <w:r w:rsidRPr="363CA695">
        <w:t>in the categories of: (</w:t>
      </w:r>
      <w:proofErr w:type="spellStart"/>
      <w:r w:rsidRPr="363CA695">
        <w:t>i</w:t>
      </w:r>
      <w:proofErr w:type="spellEnd"/>
      <w:r w:rsidRPr="363CA695">
        <w:t>) effectiveness and efficiency of operations; (ii) reliability of financial reporting; and (iii) compliance with applicable laws and regulations</w:t>
      </w:r>
      <w:r w:rsidR="00264794" w:rsidRPr="363CA695">
        <w:rPr>
          <w:rStyle w:val="FootnoteReference"/>
        </w:rPr>
        <w:footnoteReference w:id="2"/>
      </w:r>
      <w:r w:rsidRPr="363CA695">
        <w:t>.</w:t>
      </w:r>
      <w:r w:rsidR="0057562D" w:rsidRPr="363CA695">
        <w:t xml:space="preserve"> </w:t>
      </w:r>
      <w:hyperlink r:id="rId13" w:history="1">
        <w:r w:rsidR="00264794" w:rsidRPr="363CA695">
          <w:rPr>
            <w:rStyle w:val="Hyperlink"/>
          </w:rPr>
          <w:t>UNDP’s Internal Control Framework (ICF) Policy</w:t>
        </w:r>
      </w:hyperlink>
      <w:r w:rsidR="00264794" w:rsidRPr="363CA695">
        <w:t xml:space="preserve"> articulates the key components of UNDP’s internal control framework</w:t>
      </w:r>
      <w:r w:rsidR="008A4D46" w:rsidRPr="363CA695">
        <w:t xml:space="preserve">, which is built on industry leading </w:t>
      </w:r>
      <w:r w:rsidR="006F721C" w:rsidRPr="363CA695">
        <w:t xml:space="preserve">control </w:t>
      </w:r>
      <w:r w:rsidR="008A4D46" w:rsidRPr="363CA695">
        <w:t>frameworks</w:t>
      </w:r>
      <w:r w:rsidR="00A75947" w:rsidRPr="363CA695">
        <w:rPr>
          <w:rStyle w:val="FootnoteReference"/>
        </w:rPr>
        <w:footnoteReference w:id="3"/>
      </w:r>
      <w:r w:rsidR="008A4D46" w:rsidRPr="363CA695">
        <w:t xml:space="preserve"> (COSO (“what we do”) and the Three lines Model (</w:t>
      </w:r>
      <w:r w:rsidR="006F721C" w:rsidRPr="363CA695">
        <w:t>“</w:t>
      </w:r>
      <w:r w:rsidR="008A4D46" w:rsidRPr="363CA695">
        <w:t>who does it”)</w:t>
      </w:r>
      <w:r w:rsidR="006F721C" w:rsidRPr="363CA695">
        <w:t>), within the context of UNDP</w:t>
      </w:r>
      <w:r w:rsidR="001438BC" w:rsidRPr="363CA695">
        <w:t>’s</w:t>
      </w:r>
      <w:r w:rsidR="006F721C" w:rsidRPr="363CA695">
        <w:t xml:space="preserve"> Accountability Framework.</w:t>
      </w:r>
    </w:p>
    <w:p w14:paraId="3886A41D" w14:textId="1F365B54" w:rsidR="001438BC" w:rsidRDefault="001438BC">
      <w:pPr>
        <w:pStyle w:val="Heading2"/>
        <w:numPr>
          <w:ilvl w:val="1"/>
          <w:numId w:val="6"/>
        </w:numPr>
        <w:spacing w:after="240"/>
      </w:pPr>
      <w:bookmarkStart w:id="2" w:name="_Toc210052734"/>
      <w:r>
        <w:t>How does UNDP implement internal control?</w:t>
      </w:r>
      <w:bookmarkEnd w:id="2"/>
    </w:p>
    <w:p w14:paraId="4ED8254D" w14:textId="0560B0B0" w:rsidR="008A4D46" w:rsidRPr="00F84992" w:rsidRDefault="008A4D46" w:rsidP="00817B66">
      <w:pPr>
        <w:spacing w:line="240" w:lineRule="auto"/>
      </w:pPr>
      <w:r w:rsidRPr="00F84992">
        <w:rPr>
          <w:b/>
          <w:u w:val="single"/>
        </w:rPr>
        <w:t>To</w:t>
      </w:r>
      <w:r w:rsidRPr="00F84992">
        <w:rPr>
          <w:b/>
          <w:spacing w:val="-3"/>
          <w:u w:val="single"/>
        </w:rPr>
        <w:t xml:space="preserve"> </w:t>
      </w:r>
      <w:r w:rsidRPr="00F84992">
        <w:rPr>
          <w:b/>
          <w:u w:val="single"/>
        </w:rPr>
        <w:t>action</w:t>
      </w:r>
      <w:r w:rsidRPr="00F84992">
        <w:rPr>
          <w:b/>
          <w:spacing w:val="-3"/>
          <w:u w:val="single"/>
        </w:rPr>
        <w:t xml:space="preserve"> </w:t>
      </w:r>
      <w:r w:rsidRPr="00F84992">
        <w:rPr>
          <w:b/>
          <w:u w:val="single"/>
        </w:rPr>
        <w:t>internal</w:t>
      </w:r>
      <w:r w:rsidRPr="00F84992">
        <w:rPr>
          <w:b/>
          <w:spacing w:val="-4"/>
          <w:u w:val="single"/>
        </w:rPr>
        <w:t xml:space="preserve"> </w:t>
      </w:r>
      <w:r w:rsidRPr="00F84992">
        <w:rPr>
          <w:b/>
          <w:u w:val="single"/>
        </w:rPr>
        <w:t>controls</w:t>
      </w:r>
      <w:r w:rsidRPr="00F84992">
        <w:t>,</w:t>
      </w:r>
      <w:r w:rsidRPr="00F84992">
        <w:rPr>
          <w:spacing w:val="-2"/>
        </w:rPr>
        <w:t xml:space="preserve"> </w:t>
      </w:r>
      <w:r w:rsidRPr="00F84992">
        <w:t>UNDP</w:t>
      </w:r>
      <w:r w:rsidRPr="00F84992">
        <w:rPr>
          <w:spacing w:val="-1"/>
        </w:rPr>
        <w:t xml:space="preserve"> </w:t>
      </w:r>
      <w:r w:rsidRPr="00F84992">
        <w:t>works</w:t>
      </w:r>
      <w:r w:rsidRPr="00F84992">
        <w:rPr>
          <w:spacing w:val="-2"/>
        </w:rPr>
        <w:t xml:space="preserve"> </w:t>
      </w:r>
      <w:r w:rsidRPr="00F84992">
        <w:t>through</w:t>
      </w:r>
      <w:r w:rsidRPr="00F84992">
        <w:rPr>
          <w:spacing w:val="-2"/>
        </w:rPr>
        <w:t xml:space="preserve"> </w:t>
      </w:r>
      <w:r w:rsidRPr="00F84992">
        <w:rPr>
          <w:b/>
        </w:rPr>
        <w:t>three</w:t>
      </w:r>
      <w:r w:rsidRPr="00F84992">
        <w:rPr>
          <w:b/>
          <w:spacing w:val="-3"/>
        </w:rPr>
        <w:t xml:space="preserve"> </w:t>
      </w:r>
      <w:r w:rsidRPr="00F84992">
        <w:rPr>
          <w:b/>
        </w:rPr>
        <w:t>critical</w:t>
      </w:r>
      <w:r w:rsidRPr="00F84992">
        <w:rPr>
          <w:b/>
          <w:spacing w:val="-4"/>
        </w:rPr>
        <w:t xml:space="preserve"> </w:t>
      </w:r>
      <w:r w:rsidRPr="00F84992">
        <w:rPr>
          <w:b/>
        </w:rPr>
        <w:t>pillars</w:t>
      </w:r>
      <w:r w:rsidRPr="00F84992">
        <w:t>:</w:t>
      </w:r>
    </w:p>
    <w:p w14:paraId="3B93676E" w14:textId="3BF5FFE5" w:rsidR="008A4D46" w:rsidRPr="00F84992" w:rsidRDefault="008A4D46">
      <w:pPr>
        <w:pStyle w:val="ListParagraph"/>
        <w:widowControl w:val="0"/>
        <w:numPr>
          <w:ilvl w:val="0"/>
          <w:numId w:val="1"/>
        </w:numPr>
        <w:tabs>
          <w:tab w:val="left" w:pos="540"/>
          <w:tab w:val="left" w:pos="541"/>
        </w:tabs>
        <w:autoSpaceDE w:val="0"/>
        <w:autoSpaceDN w:val="0"/>
        <w:spacing w:before="89" w:line="240" w:lineRule="auto"/>
        <w:ind w:right="36"/>
        <w:rPr>
          <w:rFonts w:ascii="Wingdings" w:hAnsi="Wingdings"/>
        </w:rPr>
      </w:pPr>
      <w:r w:rsidRPr="00F84992">
        <w:rPr>
          <w:b/>
          <w:bCs/>
        </w:rPr>
        <w:t>People</w:t>
      </w:r>
      <w:r w:rsidRPr="00F84992">
        <w:t>: with clear objectives, authorities, accountabilities, roles and responsibilities; acting with the</w:t>
      </w:r>
      <w:r w:rsidRPr="00F84992">
        <w:rPr>
          <w:spacing w:val="-47"/>
        </w:rPr>
        <w:t xml:space="preserve"> </w:t>
      </w:r>
      <w:r w:rsidRPr="00F84992">
        <w:t>highest standards of efficiency, competence and integrity; receiving routine training and</w:t>
      </w:r>
      <w:r w:rsidRPr="00F84992">
        <w:rPr>
          <w:spacing w:val="1"/>
        </w:rPr>
        <w:t xml:space="preserve"> </w:t>
      </w:r>
      <w:r w:rsidRPr="00F84992">
        <w:t>performance feedback; with access to open communication channels for reporting internal control</w:t>
      </w:r>
      <w:r w:rsidRPr="00F84992">
        <w:rPr>
          <w:spacing w:val="1"/>
        </w:rPr>
        <w:t xml:space="preserve"> </w:t>
      </w:r>
      <w:r w:rsidRPr="00F84992">
        <w:t>matters</w:t>
      </w:r>
      <w:r w:rsidR="001438BC" w:rsidRPr="00F84992">
        <w:t>.</w:t>
      </w:r>
    </w:p>
    <w:p w14:paraId="4218AB91" w14:textId="10B0720D" w:rsidR="008A4D46" w:rsidRPr="00F84992" w:rsidRDefault="008A4D46">
      <w:pPr>
        <w:pStyle w:val="ListParagraph"/>
        <w:widowControl w:val="0"/>
        <w:numPr>
          <w:ilvl w:val="0"/>
          <w:numId w:val="1"/>
        </w:numPr>
        <w:tabs>
          <w:tab w:val="left" w:pos="540"/>
          <w:tab w:val="left" w:pos="541"/>
        </w:tabs>
        <w:autoSpaceDE w:val="0"/>
        <w:autoSpaceDN w:val="0"/>
        <w:spacing w:line="240" w:lineRule="auto"/>
        <w:ind w:right="36"/>
        <w:rPr>
          <w:rFonts w:ascii="Wingdings" w:hAnsi="Wingdings"/>
        </w:rPr>
      </w:pPr>
      <w:r w:rsidRPr="00F84992">
        <w:rPr>
          <w:b/>
          <w:bCs/>
        </w:rPr>
        <w:t>Processes</w:t>
      </w:r>
      <w:r w:rsidRPr="00F84992">
        <w:t>: that: (a) are clearly defined; (b) mitigate risk through selective deployment of preventive,</w:t>
      </w:r>
      <w:r w:rsidRPr="00F84992">
        <w:rPr>
          <w:spacing w:val="-48"/>
        </w:rPr>
        <w:t xml:space="preserve"> </w:t>
      </w:r>
      <w:r w:rsidRPr="00F84992">
        <w:t>detective, and corrective controls; (c) are routinely monitored for efficiency and effectiveness</w:t>
      </w:r>
      <w:r w:rsidRPr="00F84992">
        <w:rPr>
          <w:spacing w:val="1"/>
        </w:rPr>
        <w:t xml:space="preserve"> </w:t>
      </w:r>
      <w:r w:rsidRPr="00F84992">
        <w:t>(including cost-effectiveness); and (d) are continuously enhanced through implementation</w:t>
      </w:r>
      <w:r w:rsidRPr="00F84992">
        <w:rPr>
          <w:spacing w:val="1"/>
        </w:rPr>
        <w:t xml:space="preserve"> </w:t>
      </w:r>
      <w:r w:rsidRPr="00F84992">
        <w:t>experience, and</w:t>
      </w:r>
      <w:r w:rsidRPr="00F84992">
        <w:rPr>
          <w:spacing w:val="-1"/>
        </w:rPr>
        <w:t xml:space="preserve"> </w:t>
      </w:r>
      <w:r w:rsidRPr="00F84992">
        <w:t>audit</w:t>
      </w:r>
      <w:r w:rsidRPr="00F84992">
        <w:rPr>
          <w:spacing w:val="-2"/>
        </w:rPr>
        <w:t xml:space="preserve"> </w:t>
      </w:r>
      <w:r w:rsidRPr="00F84992">
        <w:t>&amp;</w:t>
      </w:r>
      <w:r w:rsidRPr="00F84992">
        <w:rPr>
          <w:spacing w:val="-2"/>
        </w:rPr>
        <w:t xml:space="preserve"> </w:t>
      </w:r>
      <w:r w:rsidRPr="00F84992">
        <w:t>evaluation</w:t>
      </w:r>
      <w:r w:rsidRPr="00F84992">
        <w:rPr>
          <w:spacing w:val="-1"/>
        </w:rPr>
        <w:t xml:space="preserve"> </w:t>
      </w:r>
      <w:r w:rsidRPr="00F84992">
        <w:t>findings</w:t>
      </w:r>
      <w:r w:rsidR="001438BC" w:rsidRPr="00F84992">
        <w:t>.</w:t>
      </w:r>
      <w:r w:rsidRPr="00F84992">
        <w:t xml:space="preserve"> </w:t>
      </w:r>
    </w:p>
    <w:p w14:paraId="477ABA09" w14:textId="77777777" w:rsidR="008A4D46" w:rsidRPr="00F84992" w:rsidRDefault="008A4D46">
      <w:pPr>
        <w:pStyle w:val="ListParagraph"/>
        <w:widowControl w:val="0"/>
        <w:numPr>
          <w:ilvl w:val="0"/>
          <w:numId w:val="1"/>
        </w:numPr>
        <w:tabs>
          <w:tab w:val="left" w:pos="540"/>
          <w:tab w:val="left" w:pos="541"/>
        </w:tabs>
        <w:autoSpaceDE w:val="0"/>
        <w:autoSpaceDN w:val="0"/>
        <w:spacing w:line="240" w:lineRule="auto"/>
        <w:ind w:right="36"/>
        <w:contextualSpacing w:val="0"/>
        <w:rPr>
          <w:rFonts w:ascii="Wingdings" w:hAnsi="Wingdings"/>
        </w:rPr>
      </w:pPr>
      <w:r w:rsidRPr="00F84992">
        <w:rPr>
          <w:b/>
        </w:rPr>
        <w:t xml:space="preserve">Technology: </w:t>
      </w:r>
      <w:r w:rsidRPr="00F84992">
        <w:t>that: (a) supports efficient and effective implementation of policies and procedures; (b)</w:t>
      </w:r>
      <w:r w:rsidRPr="00F84992">
        <w:rPr>
          <w:spacing w:val="-47"/>
        </w:rPr>
        <w:t xml:space="preserve"> </w:t>
      </w:r>
      <w:r w:rsidRPr="00F84992">
        <w:t>mitigates risk through defined and segregated roles and rights; (c) is safeguarded and appropriately</w:t>
      </w:r>
      <w:r w:rsidRPr="00F84992">
        <w:rPr>
          <w:spacing w:val="1"/>
        </w:rPr>
        <w:t xml:space="preserve"> </w:t>
      </w:r>
      <w:r w:rsidRPr="00F84992">
        <w:t>used; and (d) supports monitoring of internal control effectiveness (including considerations of cost</w:t>
      </w:r>
      <w:r w:rsidRPr="00F84992">
        <w:rPr>
          <w:spacing w:val="1"/>
        </w:rPr>
        <w:t xml:space="preserve"> </w:t>
      </w:r>
      <w:r w:rsidRPr="00F84992">
        <w:t>effectiveness).</w:t>
      </w:r>
    </w:p>
    <w:p w14:paraId="1A16F0CF" w14:textId="0987C52A" w:rsidR="001438BC" w:rsidRDefault="001438BC">
      <w:pPr>
        <w:pStyle w:val="Heading2"/>
        <w:numPr>
          <w:ilvl w:val="1"/>
          <w:numId w:val="6"/>
        </w:numPr>
        <w:spacing w:after="240"/>
      </w:pPr>
      <w:bookmarkStart w:id="3" w:name="_Toc210052735"/>
      <w:r>
        <w:t xml:space="preserve">Who implements </w:t>
      </w:r>
      <w:r w:rsidR="00AA2092">
        <w:t>i</w:t>
      </w:r>
      <w:r>
        <w:t xml:space="preserve">nternal </w:t>
      </w:r>
      <w:r w:rsidR="00AA2092">
        <w:t>c</w:t>
      </w:r>
      <w:r>
        <w:t>ontrol</w:t>
      </w:r>
      <w:r w:rsidR="00FA7859">
        <w:t xml:space="preserve"> within UNDP</w:t>
      </w:r>
      <w:r>
        <w:t>?</w:t>
      </w:r>
      <w:bookmarkEnd w:id="3"/>
    </w:p>
    <w:p w14:paraId="37325B91" w14:textId="50D3650E" w:rsidR="001438BC" w:rsidRPr="00F84992" w:rsidRDefault="001438BC" w:rsidP="00817B66">
      <w:pPr>
        <w:spacing w:line="240" w:lineRule="auto"/>
      </w:pPr>
      <w:r w:rsidRPr="00F84992">
        <w:rPr>
          <w:b/>
          <w:bCs/>
          <w:u w:val="single"/>
        </w:rPr>
        <w:t>Everybody.</w:t>
      </w:r>
      <w:r w:rsidRPr="00F84992">
        <w:t xml:space="preserve"> </w:t>
      </w:r>
      <w:r w:rsidR="00CE4B5D" w:rsidRPr="00F84992">
        <w:t>The implementation of i</w:t>
      </w:r>
      <w:r w:rsidRPr="00F84992">
        <w:t>nternal control</w:t>
      </w:r>
      <w:r w:rsidR="00CE4B5D" w:rsidRPr="00F84992">
        <w:t>s in our daily work</w:t>
      </w:r>
      <w:r w:rsidRPr="00F84992">
        <w:t xml:space="preserve"> is a key responsibility of all UNDP personnel, including: </w:t>
      </w:r>
    </w:p>
    <w:p w14:paraId="154BEE59" w14:textId="39D94F54" w:rsidR="00CE4B5D" w:rsidRPr="00F84992" w:rsidRDefault="00CE4B5D">
      <w:pPr>
        <w:pStyle w:val="ListParagraph"/>
        <w:numPr>
          <w:ilvl w:val="0"/>
          <w:numId w:val="2"/>
        </w:numPr>
        <w:spacing w:line="240" w:lineRule="auto"/>
      </w:pPr>
      <w:r w:rsidRPr="00F84992">
        <w:rPr>
          <w:b/>
          <w:bCs/>
        </w:rPr>
        <w:t xml:space="preserve">Those who have </w:t>
      </w:r>
      <w:r w:rsidR="00F407A0" w:rsidRPr="00F84992">
        <w:rPr>
          <w:b/>
          <w:bCs/>
        </w:rPr>
        <w:t xml:space="preserve">‘first line’ </w:t>
      </w:r>
      <w:proofErr w:type="spellStart"/>
      <w:r w:rsidRPr="00F84992">
        <w:rPr>
          <w:b/>
          <w:bCs/>
        </w:rPr>
        <w:t>programme</w:t>
      </w:r>
      <w:proofErr w:type="spellEnd"/>
      <w:r w:rsidRPr="00F84992">
        <w:rPr>
          <w:b/>
          <w:bCs/>
        </w:rPr>
        <w:t xml:space="preserve"> and operations implementation responsibilities.</w:t>
      </w:r>
      <w:r w:rsidRPr="00F84992">
        <w:t xml:space="preserve"> In UNDP this includes </w:t>
      </w:r>
      <w:r w:rsidR="001438BC" w:rsidRPr="00F84992">
        <w:t xml:space="preserve">personnel at field, regional and headquarters offices and the shared services center </w:t>
      </w:r>
      <w:r w:rsidRPr="00F84992">
        <w:t>who</w:t>
      </w:r>
      <w:r w:rsidR="001438BC" w:rsidRPr="00F84992">
        <w:t xml:space="preserve"> </w:t>
      </w:r>
      <w:r w:rsidRPr="00F84992">
        <w:t>are responsible for applying</w:t>
      </w:r>
      <w:r w:rsidR="001438BC" w:rsidRPr="00F84992">
        <w:t xml:space="preserve"> existing policies and procedures in their daily work to ensure that objectives are met and resources entrusted to UNDP are effectively managed. </w:t>
      </w:r>
    </w:p>
    <w:p w14:paraId="4593C515" w14:textId="77777777" w:rsidR="006A0F08" w:rsidRPr="00CE4B5D" w:rsidRDefault="006A0F08" w:rsidP="00817B66">
      <w:pPr>
        <w:pStyle w:val="ListParagraph"/>
        <w:spacing w:line="240" w:lineRule="auto"/>
      </w:pPr>
    </w:p>
    <w:p w14:paraId="7AAAFF78" w14:textId="6E9758A3" w:rsidR="001438BC" w:rsidRPr="00F84992" w:rsidRDefault="00CE4B5D">
      <w:pPr>
        <w:pStyle w:val="ListParagraph"/>
        <w:numPr>
          <w:ilvl w:val="0"/>
          <w:numId w:val="2"/>
        </w:numPr>
        <w:spacing w:line="240" w:lineRule="auto"/>
      </w:pPr>
      <w:r w:rsidRPr="00F84992">
        <w:rPr>
          <w:b/>
          <w:bCs/>
        </w:rPr>
        <w:lastRenderedPageBreak/>
        <w:t>T</w:t>
      </w:r>
      <w:r w:rsidR="001438BC" w:rsidRPr="00F84992">
        <w:rPr>
          <w:b/>
          <w:bCs/>
        </w:rPr>
        <w:t xml:space="preserve">hose who have </w:t>
      </w:r>
      <w:r w:rsidR="00F407A0" w:rsidRPr="00F84992">
        <w:rPr>
          <w:b/>
          <w:bCs/>
        </w:rPr>
        <w:t xml:space="preserve">‘second line’ </w:t>
      </w:r>
      <w:r w:rsidR="001438BC" w:rsidRPr="00F84992">
        <w:rPr>
          <w:b/>
          <w:bCs/>
        </w:rPr>
        <w:t>monitoring and oversight responsibilities.</w:t>
      </w:r>
      <w:r w:rsidR="001438BC" w:rsidRPr="00F84992">
        <w:t xml:space="preserve"> In UNDP, this includes Regional and HQ Bureau Directors and Executive Directors of affiliated </w:t>
      </w:r>
      <w:proofErr w:type="spellStart"/>
      <w:r w:rsidR="001438BC" w:rsidRPr="00F84992">
        <w:t>programmes</w:t>
      </w:r>
      <w:proofErr w:type="spellEnd"/>
      <w:r w:rsidR="001438BC" w:rsidRPr="00F84992">
        <w:t xml:space="preserve"> in their oversight capacity; BMS in its compliance monitoring and audit coordination role; the CPO, CFO, and Treasurer as functional authority owners under the UNDP FRRs, and the Ethics office.</w:t>
      </w:r>
    </w:p>
    <w:p w14:paraId="3D5760DB" w14:textId="3205F612" w:rsidR="007239E5" w:rsidRDefault="00FA7859" w:rsidP="00AD810D">
      <w:pPr>
        <w:spacing w:line="240" w:lineRule="auto"/>
      </w:pPr>
      <w:r w:rsidRPr="363CA695">
        <w:t xml:space="preserve">Refer to </w:t>
      </w:r>
      <w:hyperlink r:id="rId14">
        <w:r w:rsidRPr="363CA695">
          <w:rPr>
            <w:rStyle w:val="Hyperlink"/>
          </w:rPr>
          <w:t>UNDP’s Internal Control Framework (ICF) Policy</w:t>
        </w:r>
      </w:hyperlink>
      <w:r w:rsidRPr="363CA695">
        <w:t xml:space="preserve"> for a more comprehensive description of who does what in UNDP’s internal control framework.  </w:t>
      </w:r>
    </w:p>
    <w:p w14:paraId="400929C5" w14:textId="0CBC9EA8" w:rsidR="00CE4B5D" w:rsidRDefault="00CE4B5D">
      <w:pPr>
        <w:pStyle w:val="Heading2"/>
        <w:numPr>
          <w:ilvl w:val="1"/>
          <w:numId w:val="6"/>
        </w:numPr>
        <w:spacing w:after="240"/>
      </w:pPr>
      <w:bookmarkStart w:id="4" w:name="_Toc210052736"/>
      <w:r w:rsidRPr="363CA695">
        <w:t xml:space="preserve">What are </w:t>
      </w:r>
      <w:r w:rsidR="001E4F6B" w:rsidRPr="363CA695">
        <w:t xml:space="preserve">controls and why </w:t>
      </w:r>
      <w:proofErr w:type="gramStart"/>
      <w:r w:rsidR="001E4F6B" w:rsidRPr="363CA695">
        <w:t>have</w:t>
      </w:r>
      <w:proofErr w:type="gramEnd"/>
      <w:r w:rsidR="001E4F6B" w:rsidRPr="363CA695">
        <w:t xml:space="preserve"> them</w:t>
      </w:r>
      <w:r w:rsidRPr="363CA695">
        <w:t>?</w:t>
      </w:r>
      <w:bookmarkEnd w:id="4"/>
    </w:p>
    <w:p w14:paraId="06EC189A" w14:textId="141BDFF7" w:rsidR="001438BC" w:rsidRPr="00F84992" w:rsidRDefault="00B80B31" w:rsidP="363CA695">
      <w:pPr>
        <w:spacing w:line="240" w:lineRule="auto"/>
      </w:pPr>
      <w:r w:rsidRPr="00F84992">
        <w:t>C</w:t>
      </w:r>
      <w:r w:rsidR="001609D8" w:rsidRPr="00F84992">
        <w:t>ontrol</w:t>
      </w:r>
      <w:r w:rsidRPr="00F84992">
        <w:t xml:space="preserve">s </w:t>
      </w:r>
      <w:r w:rsidR="001609D8" w:rsidRPr="00F84992">
        <w:t>performed by all UNDP offices/units provide management with reasonable assurance that financial information is timely and accurate, transactions are authorized, valid and complete, and that assets are properly safeguarded and accounted for, and that UNDP complies with its regulatory framework (e.g. FRRs, EB decisions, legal agreements, etc.).</w:t>
      </w:r>
      <w:r w:rsidR="00D9530B" w:rsidRPr="00F84992">
        <w:t xml:space="preserve"> </w:t>
      </w:r>
      <w:r w:rsidR="00595255" w:rsidRPr="00F84992">
        <w:t>These controls can be automated (i.e. within the ERP</w:t>
      </w:r>
      <w:r w:rsidR="00A33005" w:rsidRPr="00F84992">
        <w:t xml:space="preserve"> platform</w:t>
      </w:r>
      <w:r w:rsidR="00A33005" w:rsidRPr="00F84992">
        <w:rPr>
          <w:rStyle w:val="FootnoteReference"/>
        </w:rPr>
        <w:footnoteReference w:id="4"/>
      </w:r>
      <w:r w:rsidR="00595255" w:rsidRPr="00F84992">
        <w:t>) or manual (outside the ERP</w:t>
      </w:r>
      <w:r w:rsidR="002A401D" w:rsidRPr="00F84992">
        <w:t xml:space="preserve"> platform</w:t>
      </w:r>
      <w:r w:rsidR="00595255" w:rsidRPr="00F84992">
        <w:t xml:space="preserve">). </w:t>
      </w:r>
      <w:r w:rsidR="00FA7859" w:rsidRPr="00F84992">
        <w:t xml:space="preserve">UNDP deploys </w:t>
      </w:r>
      <w:r w:rsidR="00AA2092" w:rsidRPr="00F84992">
        <w:t>the following</w:t>
      </w:r>
      <w:r w:rsidR="00FA7859" w:rsidRPr="00F84992">
        <w:t xml:space="preserve"> </w:t>
      </w:r>
      <w:r w:rsidR="001E4F6B" w:rsidRPr="00F84992">
        <w:t>control categories</w:t>
      </w:r>
      <w:r w:rsidR="00FA7859" w:rsidRPr="00F84992">
        <w:t xml:space="preserve">: </w:t>
      </w:r>
    </w:p>
    <w:p w14:paraId="00901243" w14:textId="25862F65" w:rsidR="00595255" w:rsidRPr="00F84992" w:rsidRDefault="00595255">
      <w:pPr>
        <w:pStyle w:val="ListParagraph"/>
        <w:numPr>
          <w:ilvl w:val="0"/>
          <w:numId w:val="3"/>
        </w:numPr>
        <w:spacing w:line="240" w:lineRule="auto"/>
      </w:pPr>
      <w:r w:rsidRPr="00F84992">
        <w:rPr>
          <w:b/>
          <w:bCs/>
        </w:rPr>
        <w:t>Preventive:</w:t>
      </w:r>
      <w:r w:rsidRPr="00F84992">
        <w:t xml:space="preserve"> Controls that attempt to deter or prevent an error or irregularity from happening. Examples </w:t>
      </w:r>
      <w:proofErr w:type="gramStart"/>
      <w:r w:rsidRPr="00F84992">
        <w:t>include:</w:t>
      </w:r>
      <w:proofErr w:type="gramEnd"/>
      <w:r w:rsidRPr="00F84992">
        <w:t xml:space="preserve"> POPP policies &amp; procedures; segregation of duties; pre-approval of actions or transactions; controls over access (e.g., pre-approval of access, passwords</w:t>
      </w:r>
      <w:r w:rsidR="00A75947" w:rsidRPr="00F84992">
        <w:t>, master data change controls, encrypted payment files</w:t>
      </w:r>
      <w:r w:rsidRPr="00F84992">
        <w:t>); physical security over cash/assets/inventories; training &amp; performance evaluation of personnel.</w:t>
      </w:r>
    </w:p>
    <w:p w14:paraId="62090327" w14:textId="77777777" w:rsidR="00595255" w:rsidRPr="00F84992" w:rsidRDefault="00595255" w:rsidP="00817B66">
      <w:pPr>
        <w:pStyle w:val="ListParagraph"/>
        <w:spacing w:line="240" w:lineRule="auto"/>
        <w:ind w:left="360"/>
      </w:pPr>
    </w:p>
    <w:p w14:paraId="607FAF84" w14:textId="18AE1A1F" w:rsidR="00595255" w:rsidRPr="00F84992" w:rsidRDefault="00595255">
      <w:pPr>
        <w:pStyle w:val="ListParagraph"/>
        <w:numPr>
          <w:ilvl w:val="0"/>
          <w:numId w:val="4"/>
        </w:numPr>
        <w:spacing w:line="240" w:lineRule="auto"/>
      </w:pPr>
      <w:r w:rsidRPr="00F84992">
        <w:rPr>
          <w:b/>
          <w:bCs/>
        </w:rPr>
        <w:t>Detective:</w:t>
      </w:r>
      <w:r w:rsidRPr="00F84992">
        <w:t xml:space="preserve"> Controls that confirm preventive controls </w:t>
      </w:r>
      <w:proofErr w:type="gramStart"/>
      <w:r w:rsidRPr="00F84992">
        <w:t>are operating</w:t>
      </w:r>
      <w:proofErr w:type="gramEnd"/>
      <w:r w:rsidRPr="00F84992">
        <w:t xml:space="preserve"> as intended; and that detect errors or irregularities after they’ve occurred, but before they become a bigger problem. Examples </w:t>
      </w:r>
      <w:proofErr w:type="gramStart"/>
      <w:r w:rsidRPr="00F84992">
        <w:t>include:</w:t>
      </w:r>
      <w:proofErr w:type="gramEnd"/>
      <w:r w:rsidRPr="00F84992">
        <w:t xml:space="preserve"> Account reconciliations; exception reports; </w:t>
      </w:r>
      <w:r w:rsidR="00A75947" w:rsidRPr="00F84992">
        <w:t xml:space="preserve">transaction validation rules; </w:t>
      </w:r>
      <w:r w:rsidRPr="00F84992">
        <w:t>physical verifications of cash/assets/</w:t>
      </w:r>
      <w:r w:rsidR="007A1AA4" w:rsidRPr="00F84992">
        <w:t xml:space="preserve"> </w:t>
      </w:r>
      <w:r w:rsidRPr="00F84992">
        <w:t>inventories; office performance reviews (e.g. budget to actual); and audit trails identifying who executed each step of a process.</w:t>
      </w:r>
    </w:p>
    <w:p w14:paraId="56D477E7" w14:textId="77777777" w:rsidR="00595255" w:rsidRPr="00F84992" w:rsidRDefault="00595255" w:rsidP="00817B66">
      <w:pPr>
        <w:pStyle w:val="ListParagraph"/>
        <w:spacing w:line="240" w:lineRule="auto"/>
        <w:ind w:left="360"/>
      </w:pPr>
    </w:p>
    <w:p w14:paraId="7FD56040" w14:textId="34693594" w:rsidR="003B498D" w:rsidRPr="00F84992" w:rsidRDefault="00595255">
      <w:pPr>
        <w:pStyle w:val="ListParagraph"/>
        <w:numPr>
          <w:ilvl w:val="0"/>
          <w:numId w:val="5"/>
        </w:numPr>
        <w:spacing w:line="240" w:lineRule="auto"/>
      </w:pPr>
      <w:r w:rsidRPr="00F84992">
        <w:rPr>
          <w:b/>
          <w:bCs/>
        </w:rPr>
        <w:t>Corrective:</w:t>
      </w:r>
      <w:r w:rsidRPr="00F84992">
        <w:t xml:space="preserve"> Controls put in place when errors or irregularities have been detected. If unintentional errors, corrective controls can include training and capacity building; if intentional irregularities/fraud: disciplinary action; and if policy, procedure or system gap: update/revise policy, procedure or system.</w:t>
      </w:r>
    </w:p>
    <w:p w14:paraId="56261B1A" w14:textId="72DD74CD" w:rsidR="00075D80" w:rsidRDefault="00075D80">
      <w:pPr>
        <w:pStyle w:val="Heading2"/>
        <w:numPr>
          <w:ilvl w:val="1"/>
          <w:numId w:val="6"/>
        </w:numPr>
        <w:spacing w:after="240"/>
      </w:pPr>
      <w:bookmarkStart w:id="5" w:name="_Toc210052737"/>
      <w:r>
        <w:t xml:space="preserve">What are the limitations of </w:t>
      </w:r>
      <w:r w:rsidR="00D60D52">
        <w:t>i</w:t>
      </w:r>
      <w:r w:rsidR="00D4658B">
        <w:t xml:space="preserve">nternal </w:t>
      </w:r>
      <w:r w:rsidR="00D60D52">
        <w:t>c</w:t>
      </w:r>
      <w:r w:rsidR="00D4658B">
        <w:t>ontrol</w:t>
      </w:r>
      <w:r>
        <w:t>?</w:t>
      </w:r>
      <w:bookmarkEnd w:id="5"/>
    </w:p>
    <w:p w14:paraId="69010576" w14:textId="148C1292" w:rsidR="003B498D" w:rsidRPr="00F84992" w:rsidRDefault="003B498D" w:rsidP="363CA695">
      <w:pPr>
        <w:spacing w:line="240" w:lineRule="auto"/>
      </w:pPr>
      <w:r w:rsidRPr="363CA695">
        <w:t>Internal control systems cannot provide absolute assurance that UNDP will achieve all its objectives.</w:t>
      </w:r>
      <w:r w:rsidR="006F721C" w:rsidRPr="363CA695">
        <w:t xml:space="preserve"> The aim of </w:t>
      </w:r>
      <w:r w:rsidR="006F721C" w:rsidRPr="363CA695">
        <w:rPr>
          <w:b/>
          <w:bCs/>
        </w:rPr>
        <w:t>internal control therefore is to achieve reasonable assurance</w:t>
      </w:r>
      <w:r w:rsidR="006F721C" w:rsidRPr="363CA695">
        <w:t xml:space="preserve"> that UNDP will achieve its objectives in an </w:t>
      </w:r>
      <w:r w:rsidR="006F721C" w:rsidRPr="00F84992">
        <w:t xml:space="preserve">efficient manner. The effectiveness of </w:t>
      </w:r>
      <w:r w:rsidR="00D9530B" w:rsidRPr="00F84992">
        <w:t xml:space="preserve">an </w:t>
      </w:r>
      <w:r w:rsidR="006F721C" w:rsidRPr="00F84992">
        <w:t>internal control</w:t>
      </w:r>
      <w:r w:rsidR="00D9530B" w:rsidRPr="00F84992">
        <w:t xml:space="preserve"> system </w:t>
      </w:r>
      <w:r w:rsidR="006F721C" w:rsidRPr="00F84992">
        <w:t>can be undermined by</w:t>
      </w:r>
      <w:r w:rsidR="00D9530B" w:rsidRPr="00F84992">
        <w:t>:</w:t>
      </w:r>
      <w:r w:rsidR="00A33186" w:rsidRPr="00F84992">
        <w:t xml:space="preserve"> (</w:t>
      </w:r>
      <w:proofErr w:type="spellStart"/>
      <w:r w:rsidR="00A33186" w:rsidRPr="00F84992">
        <w:t>i</w:t>
      </w:r>
      <w:proofErr w:type="spellEnd"/>
      <w:r w:rsidR="00A33186" w:rsidRPr="00F84992">
        <w:t xml:space="preserve">) human error - a person involved in a control system could simply make a mistake due to workload volume or technical understanding (e.g. assigning the wrong person to the task); (ii) management override of key controls (e.g., authorizing exceptions); or </w:t>
      </w:r>
      <w:r w:rsidR="00D9530B" w:rsidRPr="00F84992">
        <w:t>(</w:t>
      </w:r>
      <w:r w:rsidR="00A33186" w:rsidRPr="00F84992">
        <w:t>ii</w:t>
      </w:r>
      <w:r w:rsidR="00D9530B" w:rsidRPr="00F84992">
        <w:t>i)</w:t>
      </w:r>
      <w:r w:rsidR="006F721C" w:rsidRPr="00F84992">
        <w:t xml:space="preserve"> collusion </w:t>
      </w:r>
      <w:r w:rsidR="00D9530B" w:rsidRPr="00F84992">
        <w:t>between two or more personnel to circumvent controls</w:t>
      </w:r>
      <w:r w:rsidR="00A33186" w:rsidRPr="00F84992">
        <w:t>.</w:t>
      </w:r>
    </w:p>
    <w:p w14:paraId="25F38876" w14:textId="26823957" w:rsidR="00075D80" w:rsidRPr="00F84992" w:rsidRDefault="004252D3" w:rsidP="363CA695">
      <w:pPr>
        <w:spacing w:line="240" w:lineRule="auto"/>
      </w:pPr>
      <w:r w:rsidRPr="00F84992">
        <w:rPr>
          <w:b/>
          <w:bCs/>
        </w:rPr>
        <w:t>The tone you set for your team on the importance of internal control matters!</w:t>
      </w:r>
      <w:r w:rsidRPr="00F84992">
        <w:t xml:space="preserve"> </w:t>
      </w:r>
      <w:r w:rsidR="00A33186" w:rsidRPr="00F84992">
        <w:t>A</w:t>
      </w:r>
      <w:r w:rsidR="00D9530B" w:rsidRPr="00F84992">
        <w:t xml:space="preserve"> strong internal control system depends on the tone at the top. As a manager, it is the tone you set personally that determines how well your </w:t>
      </w:r>
      <w:r w:rsidR="005A0F76" w:rsidRPr="00F84992">
        <w:t>personnel</w:t>
      </w:r>
      <w:r w:rsidR="00D9530B" w:rsidRPr="00F84992">
        <w:t xml:space="preserve"> will implement internal controls. If you don’t value them, neither will your </w:t>
      </w:r>
      <w:r w:rsidR="005A0F76" w:rsidRPr="00F84992">
        <w:t>team.</w:t>
      </w:r>
      <w:r w:rsidR="001E4F6B" w:rsidRPr="00F84992">
        <w:t xml:space="preserve"> Some good practices include:</w:t>
      </w:r>
    </w:p>
    <w:tbl>
      <w:tblPr>
        <w:tblStyle w:val="TableGrid"/>
        <w:tblW w:w="0" w:type="auto"/>
        <w:tblInd w:w="-95" w:type="dxa"/>
        <w:tblCellMar>
          <w:bottom w:w="43" w:type="dxa"/>
        </w:tblCellMar>
        <w:tblLook w:val="04A0" w:firstRow="1" w:lastRow="0" w:firstColumn="1" w:lastColumn="0" w:noHBand="0" w:noVBand="1"/>
      </w:tblPr>
      <w:tblGrid>
        <w:gridCol w:w="9926"/>
      </w:tblGrid>
      <w:tr w:rsidR="00147C55" w:rsidRPr="006723C5" w14:paraId="6BA933F0" w14:textId="77777777" w:rsidTr="310609F1">
        <w:trPr>
          <w:trHeight w:val="20"/>
          <w:tblHeader/>
        </w:trPr>
        <w:tc>
          <w:tcPr>
            <w:tcW w:w="9926" w:type="dxa"/>
            <w:shd w:val="clear" w:color="auto" w:fill="002060"/>
          </w:tcPr>
          <w:p w14:paraId="16DB0706" w14:textId="23F4D790" w:rsidR="001E4F6B" w:rsidRPr="00F84992" w:rsidRDefault="001E4F6B" w:rsidP="00383DCC">
            <w:pPr>
              <w:rPr>
                <w:b/>
                <w:bCs/>
                <w:sz w:val="20"/>
                <w:szCs w:val="20"/>
              </w:rPr>
            </w:pPr>
            <w:r w:rsidRPr="00F84992">
              <w:rPr>
                <w:b/>
                <w:bCs/>
                <w:sz w:val="20"/>
                <w:szCs w:val="20"/>
              </w:rPr>
              <w:t>Top 10 tips for managers</w:t>
            </w:r>
          </w:p>
        </w:tc>
      </w:tr>
      <w:tr w:rsidR="006723C5" w:rsidRPr="006723C5" w14:paraId="5F9C7C0C" w14:textId="77777777" w:rsidTr="310609F1">
        <w:trPr>
          <w:trHeight w:val="20"/>
        </w:trPr>
        <w:tc>
          <w:tcPr>
            <w:tcW w:w="9926" w:type="dxa"/>
          </w:tcPr>
          <w:p w14:paraId="76A629BF" w14:textId="14BD94D5" w:rsidR="001E4F6B" w:rsidRPr="00F84992" w:rsidRDefault="001E4F6B">
            <w:pPr>
              <w:pStyle w:val="ListParagraph"/>
              <w:numPr>
                <w:ilvl w:val="0"/>
                <w:numId w:val="110"/>
              </w:numPr>
              <w:rPr>
                <w:sz w:val="20"/>
                <w:szCs w:val="20"/>
              </w:rPr>
            </w:pPr>
            <w:r w:rsidRPr="00F84992">
              <w:rPr>
                <w:sz w:val="20"/>
                <w:szCs w:val="20"/>
              </w:rPr>
              <w:t xml:space="preserve">Value your signature – you will instill a clear sense that the control process is more important than just the signature. </w:t>
            </w:r>
          </w:p>
        </w:tc>
      </w:tr>
      <w:tr w:rsidR="006723C5" w:rsidRPr="006723C5" w14:paraId="43792EEB" w14:textId="77777777" w:rsidTr="310609F1">
        <w:trPr>
          <w:trHeight w:val="20"/>
        </w:trPr>
        <w:tc>
          <w:tcPr>
            <w:tcW w:w="9926" w:type="dxa"/>
          </w:tcPr>
          <w:p w14:paraId="7BF36511" w14:textId="39A99676" w:rsidR="001E4F6B" w:rsidRPr="00F84992" w:rsidRDefault="001E4F6B">
            <w:pPr>
              <w:pStyle w:val="ListParagraph"/>
              <w:numPr>
                <w:ilvl w:val="0"/>
                <w:numId w:val="110"/>
              </w:numPr>
              <w:rPr>
                <w:sz w:val="20"/>
                <w:szCs w:val="20"/>
              </w:rPr>
            </w:pPr>
            <w:r w:rsidRPr="00F84992">
              <w:rPr>
                <w:sz w:val="20"/>
                <w:szCs w:val="20"/>
              </w:rPr>
              <w:lastRenderedPageBreak/>
              <w:t xml:space="preserve">Understand your own management style and how it affects those who work for you. </w:t>
            </w:r>
          </w:p>
        </w:tc>
      </w:tr>
      <w:tr w:rsidR="006723C5" w:rsidRPr="006723C5" w14:paraId="62769324" w14:textId="77777777" w:rsidTr="310609F1">
        <w:trPr>
          <w:trHeight w:val="20"/>
        </w:trPr>
        <w:tc>
          <w:tcPr>
            <w:tcW w:w="9926" w:type="dxa"/>
          </w:tcPr>
          <w:p w14:paraId="5FA545E0" w14:textId="348137D7" w:rsidR="001E4F6B" w:rsidRPr="00F84992" w:rsidRDefault="001E4F6B">
            <w:pPr>
              <w:pStyle w:val="ListParagraph"/>
              <w:numPr>
                <w:ilvl w:val="0"/>
                <w:numId w:val="110"/>
              </w:numPr>
              <w:rPr>
                <w:sz w:val="20"/>
                <w:szCs w:val="20"/>
              </w:rPr>
            </w:pPr>
            <w:r w:rsidRPr="00F84992">
              <w:rPr>
                <w:sz w:val="20"/>
                <w:szCs w:val="20"/>
              </w:rPr>
              <w:t xml:space="preserve">Build a strong performance plan for your office - an essential first step in developing objectives &amp; related activities. </w:t>
            </w:r>
          </w:p>
        </w:tc>
      </w:tr>
      <w:tr w:rsidR="006723C5" w:rsidRPr="006723C5" w14:paraId="3F26BEA0" w14:textId="77777777" w:rsidTr="310609F1">
        <w:trPr>
          <w:trHeight w:val="20"/>
        </w:trPr>
        <w:tc>
          <w:tcPr>
            <w:tcW w:w="9926" w:type="dxa"/>
          </w:tcPr>
          <w:p w14:paraId="553A7852" w14:textId="49FF64C0" w:rsidR="001E4F6B" w:rsidRPr="00F84992" w:rsidRDefault="001E4F6B">
            <w:pPr>
              <w:pStyle w:val="ListParagraph"/>
              <w:numPr>
                <w:ilvl w:val="0"/>
                <w:numId w:val="110"/>
              </w:numPr>
              <w:rPr>
                <w:sz w:val="20"/>
                <w:szCs w:val="20"/>
              </w:rPr>
            </w:pPr>
            <w:r w:rsidRPr="00F84992">
              <w:rPr>
                <w:sz w:val="20"/>
                <w:szCs w:val="20"/>
              </w:rPr>
              <w:t xml:space="preserve">Never set an objective without assigning the responsibility and target date to achieve it. </w:t>
            </w:r>
          </w:p>
        </w:tc>
      </w:tr>
      <w:tr w:rsidR="006723C5" w:rsidRPr="006723C5" w14:paraId="60E346E9" w14:textId="77777777" w:rsidTr="310609F1">
        <w:trPr>
          <w:trHeight w:val="20"/>
        </w:trPr>
        <w:tc>
          <w:tcPr>
            <w:tcW w:w="9926" w:type="dxa"/>
          </w:tcPr>
          <w:p w14:paraId="4C6BDBFD" w14:textId="6CFF0142" w:rsidR="001E4F6B" w:rsidRPr="00F84992" w:rsidRDefault="001E4F6B">
            <w:pPr>
              <w:pStyle w:val="ListParagraph"/>
              <w:numPr>
                <w:ilvl w:val="0"/>
                <w:numId w:val="110"/>
              </w:numPr>
              <w:rPr>
                <w:sz w:val="20"/>
                <w:szCs w:val="20"/>
              </w:rPr>
            </w:pPr>
            <w:r w:rsidRPr="00F84992">
              <w:rPr>
                <w:sz w:val="20"/>
                <w:szCs w:val="20"/>
              </w:rPr>
              <w:t xml:space="preserve">Take care when sub-delegating formal delegated authorities assigned to you. You may not have the power to sub-delegate certain authorities. </w:t>
            </w:r>
          </w:p>
        </w:tc>
      </w:tr>
      <w:tr w:rsidR="006723C5" w:rsidRPr="006723C5" w14:paraId="2A32EAE7" w14:textId="77777777" w:rsidTr="310609F1">
        <w:trPr>
          <w:trHeight w:val="20"/>
        </w:trPr>
        <w:tc>
          <w:tcPr>
            <w:tcW w:w="9926" w:type="dxa"/>
          </w:tcPr>
          <w:p w14:paraId="0A2435DC" w14:textId="0611B5AC" w:rsidR="001E4F6B" w:rsidRPr="00F84992" w:rsidRDefault="001E4F6B">
            <w:pPr>
              <w:pStyle w:val="ListParagraph"/>
              <w:numPr>
                <w:ilvl w:val="0"/>
                <w:numId w:val="110"/>
              </w:numPr>
              <w:rPr>
                <w:sz w:val="20"/>
                <w:szCs w:val="20"/>
              </w:rPr>
            </w:pPr>
            <w:r w:rsidRPr="00F84992">
              <w:rPr>
                <w:sz w:val="20"/>
                <w:szCs w:val="20"/>
              </w:rPr>
              <w:t xml:space="preserve">Remember that the quality of internal control is heavily influenced by the way people are organized and managed – this includes: the </w:t>
            </w:r>
            <w:r w:rsidR="006723C5" w:rsidRPr="00F84992">
              <w:rPr>
                <w:sz w:val="20"/>
                <w:szCs w:val="20"/>
              </w:rPr>
              <w:t>way</w:t>
            </w:r>
            <w:r w:rsidRPr="00F84992">
              <w:rPr>
                <w:sz w:val="20"/>
                <w:szCs w:val="20"/>
              </w:rPr>
              <w:t xml:space="preserve"> objectives and tasks are defined and delegated; the way control activities are supervised and monitored; and</w:t>
            </w:r>
            <w:r w:rsidR="00A75947" w:rsidRPr="00F84992">
              <w:rPr>
                <w:sz w:val="20"/>
                <w:szCs w:val="20"/>
              </w:rPr>
              <w:t xml:space="preserve"> the positive reinforcement provided to staff to implement controls effectively</w:t>
            </w:r>
            <w:r w:rsidRPr="00F84992">
              <w:rPr>
                <w:sz w:val="20"/>
                <w:szCs w:val="20"/>
              </w:rPr>
              <w:t xml:space="preserve">. </w:t>
            </w:r>
          </w:p>
        </w:tc>
      </w:tr>
      <w:tr w:rsidR="006723C5" w:rsidRPr="006723C5" w14:paraId="50F13125" w14:textId="77777777" w:rsidTr="310609F1">
        <w:trPr>
          <w:trHeight w:val="20"/>
        </w:trPr>
        <w:tc>
          <w:tcPr>
            <w:tcW w:w="9926" w:type="dxa"/>
          </w:tcPr>
          <w:p w14:paraId="7E6A594F" w14:textId="26422401" w:rsidR="001E4F6B" w:rsidRPr="00F84992" w:rsidRDefault="001E4F6B">
            <w:pPr>
              <w:pStyle w:val="ListParagraph"/>
              <w:numPr>
                <w:ilvl w:val="0"/>
                <w:numId w:val="110"/>
              </w:numPr>
              <w:rPr>
                <w:sz w:val="20"/>
                <w:szCs w:val="20"/>
              </w:rPr>
            </w:pPr>
            <w:r w:rsidRPr="00F84992">
              <w:rPr>
                <w:sz w:val="20"/>
                <w:szCs w:val="20"/>
              </w:rPr>
              <w:t xml:space="preserve">Focus on higher-level controls whenever possible. Controls that operate across </w:t>
            </w:r>
            <w:proofErr w:type="gramStart"/>
            <w:r w:rsidRPr="00F84992">
              <w:rPr>
                <w:sz w:val="20"/>
                <w:szCs w:val="20"/>
              </w:rPr>
              <w:t>a number of</w:t>
            </w:r>
            <w:proofErr w:type="gramEnd"/>
            <w:r w:rsidRPr="00F84992">
              <w:rPr>
                <w:sz w:val="20"/>
                <w:szCs w:val="20"/>
              </w:rPr>
              <w:t xml:space="preserve"> transactions are inherently more useful to you as a manager.</w:t>
            </w:r>
          </w:p>
        </w:tc>
      </w:tr>
      <w:tr w:rsidR="006723C5" w:rsidRPr="006723C5" w14:paraId="5C366476" w14:textId="77777777" w:rsidTr="310609F1">
        <w:trPr>
          <w:trHeight w:val="20"/>
        </w:trPr>
        <w:tc>
          <w:tcPr>
            <w:tcW w:w="9926" w:type="dxa"/>
          </w:tcPr>
          <w:p w14:paraId="4FF7459C" w14:textId="2990F91F" w:rsidR="001E4F6B" w:rsidRPr="00F84992" w:rsidRDefault="001E4F6B">
            <w:pPr>
              <w:pStyle w:val="ListParagraph"/>
              <w:numPr>
                <w:ilvl w:val="0"/>
                <w:numId w:val="110"/>
              </w:numPr>
              <w:rPr>
                <w:sz w:val="20"/>
                <w:szCs w:val="20"/>
              </w:rPr>
            </w:pPr>
            <w:r w:rsidRPr="00F84992">
              <w:rPr>
                <w:sz w:val="20"/>
                <w:szCs w:val="20"/>
              </w:rPr>
              <w:t>Maintain the right balance between supervision and micro-management. Think through how the objective/task can be delegated and lay down clear rules on what needs to be reported up the line.</w:t>
            </w:r>
          </w:p>
        </w:tc>
      </w:tr>
      <w:tr w:rsidR="006723C5" w:rsidRPr="006723C5" w14:paraId="298A4B52" w14:textId="77777777" w:rsidTr="310609F1">
        <w:trPr>
          <w:trHeight w:val="20"/>
        </w:trPr>
        <w:tc>
          <w:tcPr>
            <w:tcW w:w="9926" w:type="dxa"/>
          </w:tcPr>
          <w:p w14:paraId="2DB8E733" w14:textId="5AF8F676" w:rsidR="001E4F6B" w:rsidRPr="00F84992" w:rsidRDefault="001E4F6B">
            <w:pPr>
              <w:pStyle w:val="ListParagraph"/>
              <w:numPr>
                <w:ilvl w:val="0"/>
                <w:numId w:val="110"/>
              </w:numPr>
              <w:rPr>
                <w:sz w:val="20"/>
                <w:szCs w:val="20"/>
              </w:rPr>
            </w:pPr>
            <w:r w:rsidRPr="00F84992">
              <w:rPr>
                <w:sz w:val="20"/>
                <w:szCs w:val="20"/>
              </w:rPr>
              <w:t>Remember that the goal of internal control is to provide reasonable assurance that systems are working as well as expected. When controls fail, often the answer is to improve the way the controls operate – not to add more layers of control.</w:t>
            </w:r>
          </w:p>
        </w:tc>
      </w:tr>
      <w:tr w:rsidR="006723C5" w:rsidRPr="006723C5" w14:paraId="5A21CF85" w14:textId="77777777" w:rsidTr="310609F1">
        <w:trPr>
          <w:trHeight w:val="20"/>
        </w:trPr>
        <w:tc>
          <w:tcPr>
            <w:tcW w:w="9926" w:type="dxa"/>
          </w:tcPr>
          <w:p w14:paraId="397860AE" w14:textId="2390D21B" w:rsidR="001E4F6B" w:rsidRPr="00F84992" w:rsidRDefault="001E4F6B">
            <w:pPr>
              <w:pStyle w:val="ListParagraph"/>
              <w:numPr>
                <w:ilvl w:val="0"/>
                <w:numId w:val="110"/>
              </w:numPr>
              <w:rPr>
                <w:sz w:val="20"/>
                <w:szCs w:val="20"/>
              </w:rPr>
            </w:pPr>
            <w:r w:rsidRPr="00F84992">
              <w:rPr>
                <w:sz w:val="20"/>
                <w:szCs w:val="20"/>
              </w:rPr>
              <w:t>Follow the rules. UNDP’s processes and systems have been designed to include strong internal controls.</w:t>
            </w:r>
          </w:p>
        </w:tc>
      </w:tr>
    </w:tbl>
    <w:p w14:paraId="19A38B2D" w14:textId="77777777" w:rsidR="001E4F6B" w:rsidRDefault="001E4F6B" w:rsidP="00817B66">
      <w:pPr>
        <w:spacing w:line="240" w:lineRule="auto"/>
      </w:pPr>
    </w:p>
    <w:p w14:paraId="076D0239" w14:textId="681BD75F" w:rsidR="00075D80" w:rsidRDefault="00075D80">
      <w:pPr>
        <w:pStyle w:val="Heading2"/>
        <w:numPr>
          <w:ilvl w:val="1"/>
          <w:numId w:val="6"/>
        </w:numPr>
        <w:spacing w:after="240"/>
      </w:pPr>
      <w:bookmarkStart w:id="6" w:name="_Toc210052738"/>
      <w:r>
        <w:t>What is the purpose of this Guide?</w:t>
      </w:r>
      <w:bookmarkEnd w:id="6"/>
    </w:p>
    <w:p w14:paraId="4BD2636E" w14:textId="5779E39F" w:rsidR="004C25C2" w:rsidRDefault="00AC0004" w:rsidP="00817B66">
      <w:pPr>
        <w:spacing w:line="240" w:lineRule="auto"/>
      </w:pPr>
      <w:r w:rsidRPr="363CA695">
        <w:t>This Operational Guide of the</w:t>
      </w:r>
      <w:r w:rsidR="005A0F76" w:rsidRPr="363CA695">
        <w:t xml:space="preserve"> UNDP</w:t>
      </w:r>
      <w:r w:rsidRPr="363CA695">
        <w:t xml:space="preserve"> Internal Control Framework </w:t>
      </w:r>
      <w:r w:rsidR="005A0F76" w:rsidRPr="363CA695">
        <w:t xml:space="preserve">(“the Guide”) </w:t>
      </w:r>
      <w:r w:rsidRPr="363CA695">
        <w:t xml:space="preserve">serves as a supplementary document to the Internal Control Framework Policy. Given the complexity of UNDP’s activities and the resulting breadth and depth of POPP content, the purpose of this </w:t>
      </w:r>
      <w:r w:rsidR="005A0F76" w:rsidRPr="363CA695">
        <w:t>Guide</w:t>
      </w:r>
      <w:r w:rsidRPr="363CA695">
        <w:t xml:space="preserve"> is to bring together the key internal control requirements included throughout the POPP to help UNDP offices</w:t>
      </w:r>
      <w:r w:rsidR="005A0F76" w:rsidRPr="363CA695">
        <w:t>/units</w:t>
      </w:r>
      <w:r w:rsidRPr="363CA695">
        <w:t xml:space="preserve"> implement effective internal controls. Specifically, the Guide: (</w:t>
      </w:r>
      <w:proofErr w:type="spellStart"/>
      <w:r w:rsidRPr="363CA695">
        <w:t>i</w:t>
      </w:r>
      <w:proofErr w:type="spellEnd"/>
      <w:r w:rsidRPr="363CA695">
        <w:t>) articulates the key day-to-day internal control roles and their associated authorities, accountabilities, and responsibilities; (ii) describes, at a high level, some key process control points; and (iii) identifies the supporting technology roles (i.e., ERP), rights, and available tools to affect and monitor internal control implementation.</w:t>
      </w:r>
    </w:p>
    <w:p w14:paraId="243073E7" w14:textId="77777777" w:rsidR="008021E5" w:rsidRDefault="008021E5" w:rsidP="00817B66">
      <w:pPr>
        <w:spacing w:line="240" w:lineRule="auto"/>
      </w:pPr>
      <w:r w:rsidRPr="00F158DD">
        <w:t>This Guide should help Heads of Offices/Units in their management capacity and Bureaus in their oversight or monitoring capacity (as relevant) to understand and implement more effectively the requirements for internal control, and to devise their own internal control procedures and oversight approaches that consider their specific circumstances, characteristics of their country, region and/or outposted office/unit operations, and the</w:t>
      </w:r>
      <w:r>
        <w:t xml:space="preserve"> internal control</w:t>
      </w:r>
      <w:r w:rsidRPr="00F158DD">
        <w:t xml:space="preserve"> risks faced. </w:t>
      </w:r>
    </w:p>
    <w:p w14:paraId="45B05101" w14:textId="268DB291" w:rsidR="00075D80" w:rsidRDefault="00075D80">
      <w:pPr>
        <w:pStyle w:val="Heading2"/>
        <w:numPr>
          <w:ilvl w:val="1"/>
          <w:numId w:val="6"/>
        </w:numPr>
        <w:spacing w:after="240"/>
      </w:pPr>
      <w:bookmarkStart w:id="7" w:name="_Toc210052739"/>
      <w:r w:rsidRPr="363CA695">
        <w:t xml:space="preserve">How should you </w:t>
      </w:r>
      <w:proofErr w:type="gramStart"/>
      <w:r w:rsidRPr="363CA695">
        <w:t>apply</w:t>
      </w:r>
      <w:proofErr w:type="gramEnd"/>
      <w:r w:rsidRPr="363CA695">
        <w:t xml:space="preserve"> this Guide in your office</w:t>
      </w:r>
      <w:r w:rsidR="00B80B31" w:rsidRPr="363CA695">
        <w:t>/unit</w:t>
      </w:r>
      <w:r w:rsidRPr="363CA695">
        <w:t>?</w:t>
      </w:r>
      <w:bookmarkEnd w:id="7"/>
    </w:p>
    <w:p w14:paraId="6A1E403B" w14:textId="09B6AD64" w:rsidR="008021E5" w:rsidRPr="00F84992" w:rsidRDefault="0055153F" w:rsidP="00817B66">
      <w:pPr>
        <w:spacing w:line="240" w:lineRule="auto"/>
      </w:pPr>
      <w:r w:rsidRPr="00F84992">
        <w:t>This</w:t>
      </w:r>
      <w:r w:rsidR="00882040" w:rsidRPr="00F84992">
        <w:t xml:space="preserve"> Guide sets out the minimum controls that should be functioning in each office</w:t>
      </w:r>
      <w:r w:rsidR="00B80B31" w:rsidRPr="00F84992">
        <w:t>/unit</w:t>
      </w:r>
      <w:r w:rsidRPr="00F84992">
        <w:t xml:space="preserve">. However, UNDP is a </w:t>
      </w:r>
      <w:r w:rsidR="00CB04FA" w:rsidRPr="00F84992">
        <w:t xml:space="preserve">predominantly </w:t>
      </w:r>
      <w:r w:rsidRPr="00F84992">
        <w:t>decentralized organization, and e</w:t>
      </w:r>
      <w:r w:rsidR="00882C06" w:rsidRPr="00F84992">
        <w:t xml:space="preserve">ach </w:t>
      </w:r>
      <w:r w:rsidR="00507CFC" w:rsidRPr="00F84992">
        <w:t>office/unit</w:t>
      </w:r>
      <w:r w:rsidR="00882C06" w:rsidRPr="00F84992">
        <w:t xml:space="preserve"> has differing programmatic and operational activities, size, </w:t>
      </w:r>
      <w:r w:rsidR="00507CFC" w:rsidRPr="00F84992">
        <w:t xml:space="preserve">personnel </w:t>
      </w:r>
      <w:r w:rsidR="00882C06" w:rsidRPr="00F84992">
        <w:t>capacities, and local operating context that may generate localized risks for management of internal controls.</w:t>
      </w:r>
      <w:r w:rsidR="00507CFC" w:rsidRPr="00F84992">
        <w:t xml:space="preserve"> As a result, the </w:t>
      </w:r>
      <w:r w:rsidRPr="00F84992">
        <w:t>h</w:t>
      </w:r>
      <w:r w:rsidR="00507CFC" w:rsidRPr="00F84992">
        <w:t xml:space="preserve">ead of the office/unit should ensure a localized risk assessment </w:t>
      </w:r>
      <w:r w:rsidRPr="00F84992">
        <w:t xml:space="preserve">is periodically performed </w:t>
      </w:r>
      <w:r w:rsidR="00507CFC" w:rsidRPr="00F84992">
        <w:t>on the office</w:t>
      </w:r>
      <w:r w:rsidR="00B80B31" w:rsidRPr="00F84992">
        <w:t>/unit’s</w:t>
      </w:r>
      <w:r w:rsidR="00507CFC" w:rsidRPr="00F84992">
        <w:t xml:space="preserve"> programmatic and operational activities </w:t>
      </w:r>
      <w:r w:rsidRPr="00F84992">
        <w:t xml:space="preserve">to identify: (a) strengths (where implementing the minimum controls may be sufficient); and (b) weaknesses or </w:t>
      </w:r>
      <w:r w:rsidR="00507CFC" w:rsidRPr="00F84992">
        <w:t xml:space="preserve">areas where there may be heightened risks due to </w:t>
      </w:r>
      <w:r w:rsidRPr="00F84992">
        <w:t xml:space="preserve">the nature of the </w:t>
      </w:r>
      <w:proofErr w:type="spellStart"/>
      <w:r w:rsidRPr="00F84992">
        <w:t>programme</w:t>
      </w:r>
      <w:proofErr w:type="spellEnd"/>
      <w:r w:rsidRPr="00F84992">
        <w:t>, partnerships, internal capacities, local environments, etc. (where it may be prudent to put in place stronger preventive or detective controls to mitigate these heightened risks</w:t>
      </w:r>
      <w:r w:rsidR="0004280E" w:rsidRPr="00F84992">
        <w:t>)</w:t>
      </w:r>
      <w:r w:rsidRPr="00F84992">
        <w:t xml:space="preserve">. </w:t>
      </w:r>
      <w:r w:rsidR="008E516C" w:rsidRPr="00F84992">
        <w:t>For example, i</w:t>
      </w:r>
      <w:r w:rsidRPr="00F84992">
        <w:t xml:space="preserve">f a particular project features cash-heavy interventions, stronger controls over cash management may be warranted. </w:t>
      </w:r>
      <w:r w:rsidR="008021E5" w:rsidRPr="00F84992">
        <w:t>Heads of offices/units, in collaboration with their respective Bureau, have considerable scope in designing an internal control system that makes sense for their office/unit.</w:t>
      </w:r>
    </w:p>
    <w:p w14:paraId="783BE2FC" w14:textId="274D2FE7" w:rsidR="008021E5" w:rsidRDefault="008021E5" w:rsidP="00817B66">
      <w:pPr>
        <w:spacing w:line="240" w:lineRule="auto"/>
      </w:pPr>
      <w:r w:rsidRPr="363CA695">
        <w:lastRenderedPageBreak/>
        <w:t xml:space="preserve">This risk-informed internal control system designed for the local context should be documented in a local ICF for the office/unit. </w:t>
      </w:r>
      <w:r w:rsidR="00882C06" w:rsidRPr="363CA695">
        <w:t xml:space="preserve">Given the dynamic nature of </w:t>
      </w:r>
      <w:r w:rsidR="008E516C" w:rsidRPr="363CA695">
        <w:t xml:space="preserve">office/unit </w:t>
      </w:r>
      <w:r w:rsidR="00882C06" w:rsidRPr="363CA695">
        <w:t>environment</w:t>
      </w:r>
      <w:r w:rsidRPr="363CA695">
        <w:t>s</w:t>
      </w:r>
      <w:r w:rsidR="00882C06" w:rsidRPr="363CA695">
        <w:t xml:space="preserve">, </w:t>
      </w:r>
      <w:r w:rsidRPr="363CA695">
        <w:t xml:space="preserve">internal control </w:t>
      </w:r>
      <w:r w:rsidR="00882C06" w:rsidRPr="363CA695">
        <w:t xml:space="preserve">risks should be periodically </w:t>
      </w:r>
      <w:r w:rsidRPr="363CA695">
        <w:t>re-</w:t>
      </w:r>
      <w:r w:rsidR="00882C06" w:rsidRPr="363CA695">
        <w:t xml:space="preserve">assessed and the local ICF updated accordingly. </w:t>
      </w:r>
    </w:p>
    <w:p w14:paraId="2BFC1E9B" w14:textId="21E6EE8C" w:rsidR="00A33186" w:rsidRDefault="00A33186">
      <w:pPr>
        <w:pStyle w:val="Heading1"/>
        <w:numPr>
          <w:ilvl w:val="0"/>
          <w:numId w:val="93"/>
        </w:numPr>
        <w:spacing w:after="240"/>
      </w:pPr>
      <w:bookmarkStart w:id="8" w:name="_Toc210052740"/>
      <w:r>
        <w:t>Minimum controls that must be in place in all offices</w:t>
      </w:r>
      <w:r w:rsidR="00B80B31">
        <w:t>/units</w:t>
      </w:r>
      <w:bookmarkEnd w:id="8"/>
    </w:p>
    <w:p w14:paraId="19A7ACB0" w14:textId="004D90A7" w:rsidR="00484153" w:rsidRDefault="00A33186" w:rsidP="00817B66">
      <w:pPr>
        <w:spacing w:line="240" w:lineRule="auto"/>
      </w:pPr>
      <w:r>
        <w:t xml:space="preserve">The following </w:t>
      </w:r>
      <w:r w:rsidRPr="009D59C3">
        <w:t xml:space="preserve">minimum controls must be in place </w:t>
      </w:r>
      <w:r>
        <w:t>in every office</w:t>
      </w:r>
      <w:r w:rsidR="00B80B31">
        <w:t>/unit</w:t>
      </w:r>
      <w:r>
        <w:t>:</w:t>
      </w:r>
    </w:p>
    <w:p w14:paraId="1E54807A" w14:textId="77777777" w:rsidR="00D50A16" w:rsidRDefault="005D7DD5" w:rsidP="008A2B3D">
      <w:pPr>
        <w:spacing w:after="0" w:line="240" w:lineRule="auto"/>
        <w:ind w:left="360"/>
      </w:pPr>
      <w:r>
        <w:t xml:space="preserve">2.1 </w:t>
      </w:r>
      <w:r>
        <w:tab/>
      </w:r>
      <w:r w:rsidR="00A33186">
        <w:t>Segregation of duties.</w:t>
      </w:r>
    </w:p>
    <w:p w14:paraId="7A39F2EF" w14:textId="77777777" w:rsidR="00D50A16" w:rsidRDefault="005D7DD5" w:rsidP="008A2B3D">
      <w:pPr>
        <w:spacing w:after="0" w:line="240" w:lineRule="auto"/>
        <w:ind w:left="360"/>
      </w:pPr>
      <w:r>
        <w:t xml:space="preserve">2.2 </w:t>
      </w:r>
      <w:r>
        <w:tab/>
      </w:r>
      <w:r w:rsidR="00A33186" w:rsidRPr="363CA695">
        <w:t>Procedures to identify and manage conflicts of interest.</w:t>
      </w:r>
    </w:p>
    <w:p w14:paraId="5BFE7176" w14:textId="7BFED4E3" w:rsidR="00A33186" w:rsidRDefault="005D7DD5" w:rsidP="008A2B3D">
      <w:pPr>
        <w:spacing w:after="0" w:line="240" w:lineRule="auto"/>
        <w:ind w:left="360"/>
      </w:pPr>
      <w:r>
        <w:t xml:space="preserve">2.3 </w:t>
      </w:r>
      <w:r>
        <w:tab/>
      </w:r>
      <w:r w:rsidR="00A33186">
        <w:t>Minimum control functions that must be performed by staff.</w:t>
      </w:r>
    </w:p>
    <w:p w14:paraId="4FEBA420" w14:textId="39130106" w:rsidR="00A33186" w:rsidRDefault="005D7DD5" w:rsidP="008A2B3D">
      <w:pPr>
        <w:spacing w:after="0" w:line="240" w:lineRule="auto"/>
        <w:ind w:left="360"/>
      </w:pPr>
      <w:r>
        <w:t xml:space="preserve">2.4 </w:t>
      </w:r>
      <w:r>
        <w:tab/>
      </w:r>
      <w:r w:rsidR="00A33186">
        <w:t xml:space="preserve">Actions that must be </w:t>
      </w:r>
      <w:proofErr w:type="gramStart"/>
      <w:r w:rsidR="00A33186">
        <w:t>cleared</w:t>
      </w:r>
      <w:proofErr w:type="gramEnd"/>
      <w:r w:rsidR="00A33186">
        <w:t xml:space="preserve"> or approved by a functional authority owner (e.g., CFO, Treasurer, CPO).</w:t>
      </w:r>
    </w:p>
    <w:p w14:paraId="47D77070" w14:textId="2F68439C" w:rsidR="00A33186" w:rsidRDefault="005D7DD5" w:rsidP="008A2B3D">
      <w:pPr>
        <w:spacing w:after="0" w:line="240" w:lineRule="auto"/>
        <w:ind w:left="360"/>
      </w:pPr>
      <w:r>
        <w:t>2.5</w:t>
      </w:r>
      <w:r>
        <w:tab/>
      </w:r>
      <w:r w:rsidR="00A33186">
        <w:t>A documented local ICF.</w:t>
      </w:r>
    </w:p>
    <w:p w14:paraId="3DA204C9" w14:textId="375332DC" w:rsidR="00A33186" w:rsidRDefault="005D7DD5" w:rsidP="008A2B3D">
      <w:pPr>
        <w:spacing w:after="0" w:line="240" w:lineRule="auto"/>
        <w:ind w:left="360"/>
      </w:pPr>
      <w:r>
        <w:t xml:space="preserve">2.6 </w:t>
      </w:r>
      <w:r>
        <w:tab/>
      </w:r>
      <w:r w:rsidR="00A33186">
        <w:t>Monitoring and reporting on risk management.</w:t>
      </w:r>
    </w:p>
    <w:p w14:paraId="641014F2" w14:textId="55132172" w:rsidR="00A33186" w:rsidRPr="00F84992" w:rsidRDefault="005D7DD5" w:rsidP="008A2B3D">
      <w:pPr>
        <w:spacing w:after="0" w:line="240" w:lineRule="auto"/>
        <w:ind w:left="360"/>
      </w:pPr>
      <w:r>
        <w:t xml:space="preserve">2.7 </w:t>
      </w:r>
      <w:r>
        <w:tab/>
      </w:r>
      <w:r w:rsidR="00A33186">
        <w:t xml:space="preserve">Mitigating risks associated with </w:t>
      </w:r>
      <w:r w:rsidR="00A33186" w:rsidRPr="00F84992">
        <w:t>money laundering and terrorist financing</w:t>
      </w:r>
      <w:r w:rsidR="00DE1BCC" w:rsidRPr="00F84992">
        <w:t xml:space="preserve"> (AML/CFT)</w:t>
      </w:r>
      <w:r w:rsidR="00A33186" w:rsidRPr="00F84992">
        <w:t>.</w:t>
      </w:r>
    </w:p>
    <w:p w14:paraId="138836E0" w14:textId="3EAF9E97" w:rsidR="00A33186" w:rsidRPr="00F84992" w:rsidRDefault="005D7DD5" w:rsidP="008A2B3D">
      <w:pPr>
        <w:spacing w:after="0" w:line="240" w:lineRule="auto"/>
        <w:ind w:left="360"/>
      </w:pPr>
      <w:r w:rsidRPr="00F84992">
        <w:t xml:space="preserve">2.8 </w:t>
      </w:r>
      <w:r w:rsidRPr="00F84992">
        <w:tab/>
      </w:r>
      <w:r w:rsidR="00A33186" w:rsidRPr="00F84992">
        <w:t>Promptly reporting fraud.</w:t>
      </w:r>
    </w:p>
    <w:p w14:paraId="0DCA6342" w14:textId="51E5FF4F" w:rsidR="00A33186" w:rsidRPr="00F84992" w:rsidRDefault="005D7DD5" w:rsidP="008A2B3D">
      <w:pPr>
        <w:spacing w:after="0" w:line="240" w:lineRule="auto"/>
        <w:ind w:left="360"/>
      </w:pPr>
      <w:r w:rsidRPr="00F84992">
        <w:t xml:space="preserve">2.9 </w:t>
      </w:r>
      <w:r w:rsidRPr="00F84992">
        <w:tab/>
      </w:r>
      <w:r w:rsidR="0008297D" w:rsidRPr="00F84992">
        <w:t>Clear communication and understanding of</w:t>
      </w:r>
      <w:r w:rsidR="00A33186" w:rsidRPr="00F84992">
        <w:t xml:space="preserve"> personal accountability.</w:t>
      </w:r>
    </w:p>
    <w:p w14:paraId="69AEE64D" w14:textId="1A2854A3" w:rsidR="00281394" w:rsidRPr="00F84992" w:rsidRDefault="005D7DD5" w:rsidP="008A2B3D">
      <w:pPr>
        <w:spacing w:after="0" w:line="240" w:lineRule="auto"/>
        <w:ind w:left="360"/>
      </w:pPr>
      <w:r w:rsidRPr="00F84992">
        <w:t xml:space="preserve">2.10 </w:t>
      </w:r>
      <w:r w:rsidR="00281394" w:rsidRPr="00F84992">
        <w:t>Document</w:t>
      </w:r>
      <w:r w:rsidR="009E744B" w:rsidRPr="00F84992">
        <w:t>ation</w:t>
      </w:r>
      <w:r w:rsidR="00281394" w:rsidRPr="00F84992">
        <w:t xml:space="preserve"> management and retention.</w:t>
      </w:r>
    </w:p>
    <w:p w14:paraId="64AB6113" w14:textId="516DCEB6" w:rsidR="00A33186" w:rsidRDefault="00A33186" w:rsidP="008A2B3D">
      <w:pPr>
        <w:spacing w:before="240" w:line="240" w:lineRule="auto"/>
      </w:pPr>
      <w:r>
        <w:t>These minimum controls are</w:t>
      </w:r>
      <w:r w:rsidRPr="00BB3C56">
        <w:t xml:space="preserve"> described further in the</w:t>
      </w:r>
      <w:r w:rsidRPr="00BB3C56">
        <w:rPr>
          <w:spacing w:val="1"/>
        </w:rPr>
        <w:t xml:space="preserve"> </w:t>
      </w:r>
      <w:r w:rsidRPr="00BB3C56">
        <w:t>sections</w:t>
      </w:r>
      <w:r w:rsidRPr="00BB3C56">
        <w:rPr>
          <w:spacing w:val="-1"/>
        </w:rPr>
        <w:t xml:space="preserve"> </w:t>
      </w:r>
      <w:r w:rsidRPr="00BB3C56">
        <w:t>below</w:t>
      </w:r>
      <w:r>
        <w:t>.</w:t>
      </w:r>
    </w:p>
    <w:p w14:paraId="21B6B224" w14:textId="39D80E74" w:rsidR="00A33186" w:rsidRDefault="00A33186">
      <w:pPr>
        <w:pStyle w:val="Heading2"/>
        <w:numPr>
          <w:ilvl w:val="1"/>
          <w:numId w:val="93"/>
        </w:numPr>
        <w:spacing w:after="240"/>
      </w:pPr>
      <w:bookmarkStart w:id="9" w:name="_Toc210052741"/>
      <w:r>
        <w:t>Segregation of duties</w:t>
      </w:r>
      <w:bookmarkEnd w:id="9"/>
    </w:p>
    <w:p w14:paraId="430AB5D2" w14:textId="58A55FC0" w:rsidR="00307ECA" w:rsidRPr="003567BF" w:rsidRDefault="00A33186" w:rsidP="00817B66">
      <w:pPr>
        <w:spacing w:line="240" w:lineRule="auto"/>
      </w:pPr>
      <w:r w:rsidRPr="363CA695">
        <w:t>Segregation of duties is based on ensuring that no one staff member can: (</w:t>
      </w:r>
      <w:proofErr w:type="spellStart"/>
      <w:r w:rsidRPr="363CA695">
        <w:t>i</w:t>
      </w:r>
      <w:proofErr w:type="spellEnd"/>
      <w:r w:rsidRPr="363CA695">
        <w:t xml:space="preserve">) have custody of assets; (ii) authorize and approve the use of assets; and (iii) record and report assets. </w:t>
      </w:r>
      <w:r w:rsidR="00307ECA" w:rsidRPr="363CA695">
        <w:t xml:space="preserve">Segregation of duties is anchored in UNDP </w:t>
      </w:r>
      <w:r w:rsidR="00AA6714" w:rsidRPr="363CA695">
        <w:t>F</w:t>
      </w:r>
      <w:r w:rsidR="00307ECA" w:rsidRPr="363CA695">
        <w:t>inancial</w:t>
      </w:r>
      <w:r w:rsidR="00307ECA" w:rsidRPr="00F84992">
        <w:t xml:space="preserve"> </w:t>
      </w:r>
      <w:r w:rsidR="00AA6714" w:rsidRPr="00F84992">
        <w:t>R</w:t>
      </w:r>
      <w:r w:rsidR="00307ECA" w:rsidRPr="00F84992">
        <w:t xml:space="preserve">egulation 20.02 and is a keystone control that helps UNDP safeguard its assets and mitigate the risk of fraud and error. </w:t>
      </w:r>
      <w:r w:rsidR="00307ECA" w:rsidRPr="00F84992">
        <w:rPr>
          <w:u w:val="single"/>
        </w:rPr>
        <w:t xml:space="preserve">It is critically important </w:t>
      </w:r>
      <w:r w:rsidR="00AA6714" w:rsidRPr="00F84992">
        <w:rPr>
          <w:u w:val="single"/>
        </w:rPr>
        <w:t>in the</w:t>
      </w:r>
      <w:r w:rsidR="00307ECA" w:rsidRPr="00F84992">
        <w:rPr>
          <w:u w:val="single"/>
        </w:rPr>
        <w:t xml:space="preserve"> procure-to-pay</w:t>
      </w:r>
      <w:r w:rsidR="00AA6714" w:rsidRPr="00F84992">
        <w:rPr>
          <w:u w:val="single"/>
        </w:rPr>
        <w:t xml:space="preserve"> process</w:t>
      </w:r>
      <w:r w:rsidR="00C20E26" w:rsidRPr="00F84992">
        <w:rPr>
          <w:u w:val="single"/>
        </w:rPr>
        <w:t xml:space="preserve"> (refer to section </w:t>
      </w:r>
      <w:r w:rsidR="00146274" w:rsidRPr="00F84992">
        <w:rPr>
          <w:u w:val="single"/>
        </w:rPr>
        <w:t>5</w:t>
      </w:r>
      <w:r w:rsidR="00C20E26" w:rsidRPr="00F84992">
        <w:rPr>
          <w:u w:val="single"/>
        </w:rPr>
        <w:t xml:space="preserve"> for more information)</w:t>
      </w:r>
      <w:r w:rsidR="00307ECA" w:rsidRPr="00F84992">
        <w:t xml:space="preserve">. There </w:t>
      </w:r>
      <w:r w:rsidR="00307ECA" w:rsidRPr="363CA695">
        <w:t>are 8 areas where segregation of duties must be in place and functioning, unless a</w:t>
      </w:r>
      <w:r w:rsidR="00C20E26" w:rsidRPr="363CA695">
        <w:t xml:space="preserve"> timebound</w:t>
      </w:r>
      <w:r w:rsidR="00307ECA" w:rsidRPr="363CA695">
        <w:t xml:space="preserve"> exception has been granted by the CFO in writing, under specific conditions and based on the implementation of agreed compensating controls (per </w:t>
      </w:r>
      <w:r w:rsidR="00C20E26" w:rsidRPr="363CA695">
        <w:t>Financial R</w:t>
      </w:r>
      <w:r w:rsidR="00307ECA" w:rsidRPr="363CA695">
        <w:t>ule 120.04), as illustrated in Table 1 below.</w:t>
      </w:r>
    </w:p>
    <w:tbl>
      <w:tblPr>
        <w:tblStyle w:val="TableGrid"/>
        <w:tblW w:w="9715" w:type="dxa"/>
        <w:tblLook w:val="04A0" w:firstRow="1" w:lastRow="0" w:firstColumn="1" w:lastColumn="0" w:noHBand="0" w:noVBand="1"/>
      </w:tblPr>
      <w:tblGrid>
        <w:gridCol w:w="355"/>
        <w:gridCol w:w="6300"/>
        <w:gridCol w:w="1350"/>
        <w:gridCol w:w="1710"/>
      </w:tblGrid>
      <w:tr w:rsidR="00B1609D" w14:paraId="243E66D0" w14:textId="77777777" w:rsidTr="2DA84445">
        <w:trPr>
          <w:tblHeader/>
        </w:trPr>
        <w:tc>
          <w:tcPr>
            <w:tcW w:w="355" w:type="dxa"/>
            <w:shd w:val="clear" w:color="auto" w:fill="F4B083" w:themeFill="accent2" w:themeFillTint="99"/>
          </w:tcPr>
          <w:p w14:paraId="4B5038EC" w14:textId="745C9713" w:rsidR="00E324B0" w:rsidRPr="00D44DC7" w:rsidRDefault="00E324B0">
            <w:pPr>
              <w:rPr>
                <w:b/>
                <w:bCs/>
                <w:sz w:val="20"/>
                <w:szCs w:val="20"/>
              </w:rPr>
            </w:pPr>
            <w:r>
              <w:rPr>
                <w:b/>
                <w:bCs/>
                <w:sz w:val="20"/>
                <w:szCs w:val="20"/>
              </w:rPr>
              <w:t>#</w:t>
            </w:r>
          </w:p>
        </w:tc>
        <w:tc>
          <w:tcPr>
            <w:tcW w:w="6300" w:type="dxa"/>
            <w:shd w:val="clear" w:color="auto" w:fill="F4B083" w:themeFill="accent2" w:themeFillTint="99"/>
          </w:tcPr>
          <w:p w14:paraId="39CE103D" w14:textId="657EC4C9" w:rsidR="00E324B0" w:rsidRPr="00D44DC7" w:rsidRDefault="00E324B0">
            <w:pPr>
              <w:rPr>
                <w:b/>
                <w:bCs/>
                <w:sz w:val="20"/>
                <w:szCs w:val="20"/>
              </w:rPr>
            </w:pPr>
            <w:r w:rsidRPr="00D44DC7">
              <w:rPr>
                <w:b/>
                <w:bCs/>
                <w:sz w:val="20"/>
                <w:szCs w:val="20"/>
              </w:rPr>
              <w:t>Roles that must be segregated</w:t>
            </w:r>
          </w:p>
        </w:tc>
        <w:tc>
          <w:tcPr>
            <w:tcW w:w="1350" w:type="dxa"/>
            <w:shd w:val="clear" w:color="auto" w:fill="F4B083" w:themeFill="accent2" w:themeFillTint="99"/>
          </w:tcPr>
          <w:p w14:paraId="3151CB4E" w14:textId="48E37A69" w:rsidR="00E324B0" w:rsidRPr="00D44DC7" w:rsidRDefault="00E324B0">
            <w:pPr>
              <w:rPr>
                <w:b/>
                <w:bCs/>
                <w:sz w:val="20"/>
                <w:szCs w:val="20"/>
              </w:rPr>
            </w:pPr>
            <w:r w:rsidRPr="00D44DC7">
              <w:rPr>
                <w:b/>
                <w:bCs/>
                <w:sz w:val="20"/>
                <w:szCs w:val="20"/>
              </w:rPr>
              <w:t>ERP-enforced</w:t>
            </w:r>
          </w:p>
        </w:tc>
        <w:tc>
          <w:tcPr>
            <w:tcW w:w="1710" w:type="dxa"/>
            <w:shd w:val="clear" w:color="auto" w:fill="F4B083" w:themeFill="accent2" w:themeFillTint="99"/>
          </w:tcPr>
          <w:p w14:paraId="29F12C54" w14:textId="5BF2DD4C" w:rsidR="00E324B0" w:rsidRPr="00D44DC7" w:rsidRDefault="00E324B0">
            <w:pPr>
              <w:rPr>
                <w:b/>
                <w:bCs/>
                <w:sz w:val="20"/>
                <w:szCs w:val="20"/>
              </w:rPr>
            </w:pPr>
            <w:r>
              <w:rPr>
                <w:b/>
                <w:bCs/>
                <w:sz w:val="20"/>
                <w:szCs w:val="20"/>
              </w:rPr>
              <w:t>More information</w:t>
            </w:r>
          </w:p>
        </w:tc>
      </w:tr>
      <w:tr w:rsidR="00B1609D" w14:paraId="2B4520B0" w14:textId="77777777" w:rsidTr="2DA84445">
        <w:tc>
          <w:tcPr>
            <w:tcW w:w="355" w:type="dxa"/>
            <w:tcBorders>
              <w:bottom w:val="nil"/>
            </w:tcBorders>
          </w:tcPr>
          <w:p w14:paraId="4752CA01" w14:textId="5ECE87B4" w:rsidR="00E324B0" w:rsidRDefault="00E324B0">
            <w:pPr>
              <w:rPr>
                <w:sz w:val="20"/>
                <w:szCs w:val="20"/>
              </w:rPr>
            </w:pPr>
            <w:r>
              <w:rPr>
                <w:sz w:val="20"/>
                <w:szCs w:val="20"/>
              </w:rPr>
              <w:t>1</w:t>
            </w:r>
          </w:p>
        </w:tc>
        <w:tc>
          <w:tcPr>
            <w:tcW w:w="6300" w:type="dxa"/>
            <w:tcBorders>
              <w:bottom w:val="nil"/>
            </w:tcBorders>
          </w:tcPr>
          <w:p w14:paraId="08FAFA4E" w14:textId="4D7FD178" w:rsidR="00E324B0" w:rsidRPr="00D44DC7" w:rsidRDefault="00E324B0" w:rsidP="363CA695">
            <w:pPr>
              <w:rPr>
                <w:sz w:val="20"/>
                <w:szCs w:val="20"/>
              </w:rPr>
            </w:pPr>
            <w:r w:rsidRPr="363CA695">
              <w:rPr>
                <w:b/>
                <w:bCs/>
                <w:sz w:val="20"/>
                <w:szCs w:val="20"/>
              </w:rPr>
              <w:t>Three authorities:</w:t>
            </w:r>
            <w:r w:rsidRPr="363CA695">
              <w:rPr>
                <w:sz w:val="20"/>
                <w:szCs w:val="20"/>
              </w:rPr>
              <w:t xml:space="preserve"> The three authorities (Project Manager, Approving Manager, and Disbursement Officer) must be segregated for</w:t>
            </w:r>
            <w:r w:rsidRPr="363CA695">
              <w:rPr>
                <w:b/>
                <w:bCs/>
                <w:sz w:val="20"/>
                <w:szCs w:val="20"/>
              </w:rPr>
              <w:t xml:space="preserve">: </w:t>
            </w:r>
            <w:r w:rsidRPr="363CA695">
              <w:rPr>
                <w:sz w:val="20"/>
                <w:szCs w:val="20"/>
              </w:rPr>
              <w:t>(</w:t>
            </w:r>
            <w:proofErr w:type="spellStart"/>
            <w:r w:rsidRPr="363CA695">
              <w:rPr>
                <w:sz w:val="20"/>
                <w:szCs w:val="20"/>
              </w:rPr>
              <w:t>i</w:t>
            </w:r>
            <w:proofErr w:type="spellEnd"/>
            <w:r w:rsidRPr="363CA695">
              <w:rPr>
                <w:sz w:val="20"/>
                <w:szCs w:val="20"/>
              </w:rPr>
              <w:t>) Procure-to-Pay transactions (procurement, commitments, expense, and disbursements);</w:t>
            </w:r>
            <w:r w:rsidRPr="363CA695">
              <w:rPr>
                <w:spacing w:val="-1"/>
                <w:sz w:val="20"/>
                <w:szCs w:val="20"/>
              </w:rPr>
              <w:t xml:space="preserve"> </w:t>
            </w:r>
            <w:r w:rsidRPr="363CA695">
              <w:rPr>
                <w:sz w:val="20"/>
                <w:szCs w:val="20"/>
              </w:rPr>
              <w:t>and</w:t>
            </w:r>
            <w:r w:rsidRPr="363CA695">
              <w:rPr>
                <w:spacing w:val="-3"/>
                <w:sz w:val="20"/>
                <w:szCs w:val="20"/>
              </w:rPr>
              <w:t xml:space="preserve"> </w:t>
            </w:r>
            <w:r w:rsidRPr="363CA695">
              <w:rPr>
                <w:sz w:val="20"/>
                <w:szCs w:val="20"/>
              </w:rPr>
              <w:t>(ii) payroll</w:t>
            </w:r>
            <w:r w:rsidRPr="363CA695">
              <w:rPr>
                <w:spacing w:val="-1"/>
                <w:sz w:val="20"/>
                <w:szCs w:val="20"/>
              </w:rPr>
              <w:t xml:space="preserve"> </w:t>
            </w:r>
            <w:r w:rsidRPr="363CA695">
              <w:rPr>
                <w:sz w:val="20"/>
                <w:szCs w:val="20"/>
              </w:rPr>
              <w:t>transactions. The three authorities must also be appropriately segregated for country office staff when processing emergency transactions that cannot be done by the BMS/GSSC in time</w:t>
            </w:r>
            <w:r w:rsidRPr="363CA695">
              <w:rPr>
                <w:rStyle w:val="FootnoteReference"/>
                <w:sz w:val="20"/>
                <w:szCs w:val="20"/>
              </w:rPr>
              <w:footnoteReference w:id="5"/>
            </w:r>
            <w:r w:rsidRPr="363CA695">
              <w:rPr>
                <w:sz w:val="20"/>
                <w:szCs w:val="20"/>
              </w:rPr>
              <w:t>.</w:t>
            </w:r>
          </w:p>
        </w:tc>
        <w:tc>
          <w:tcPr>
            <w:tcW w:w="1350" w:type="dxa"/>
            <w:tcBorders>
              <w:bottom w:val="nil"/>
            </w:tcBorders>
          </w:tcPr>
          <w:p w14:paraId="1F61336B" w14:textId="4A27E853" w:rsidR="00E324B0" w:rsidRPr="000B5C6A" w:rsidRDefault="000B5C6A" w:rsidP="00EE123E">
            <w:pPr>
              <w:jc w:val="center"/>
              <w:rPr>
                <w:rFonts w:cstheme="minorHAnsi"/>
                <w:sz w:val="20"/>
                <w:szCs w:val="20"/>
              </w:rPr>
            </w:pPr>
            <w:r w:rsidRPr="00F84992">
              <w:rPr>
                <w:rFonts w:cstheme="minorHAnsi"/>
                <w:sz w:val="20"/>
                <w:szCs w:val="20"/>
              </w:rPr>
              <w:t>Yes</w:t>
            </w:r>
          </w:p>
        </w:tc>
        <w:tc>
          <w:tcPr>
            <w:tcW w:w="1710" w:type="dxa"/>
            <w:tcBorders>
              <w:bottom w:val="nil"/>
            </w:tcBorders>
          </w:tcPr>
          <w:p w14:paraId="176F9776" w14:textId="0484FB09" w:rsidR="00E324B0" w:rsidRDefault="00E324B0">
            <w:pPr>
              <w:rPr>
                <w:sz w:val="20"/>
                <w:szCs w:val="20"/>
              </w:rPr>
            </w:pPr>
            <w:hyperlink w:anchor="_Procure_and_Pay" w:history="1">
              <w:r w:rsidRPr="005D7DD5">
                <w:rPr>
                  <w:rStyle w:val="Hyperlink"/>
                  <w:sz w:val="20"/>
                  <w:szCs w:val="20"/>
                </w:rPr>
                <w:t xml:space="preserve">Section </w:t>
              </w:r>
              <w:r w:rsidR="00146274" w:rsidRPr="005D7DD5">
                <w:rPr>
                  <w:rStyle w:val="Hyperlink"/>
                  <w:sz w:val="20"/>
                  <w:szCs w:val="20"/>
                </w:rPr>
                <w:t>5</w:t>
              </w:r>
            </w:hyperlink>
            <w:r w:rsidRPr="00146274">
              <w:rPr>
                <w:sz w:val="20"/>
                <w:szCs w:val="20"/>
              </w:rPr>
              <w:t xml:space="preserve"> for Procure-to-Pay and </w:t>
            </w:r>
            <w:hyperlink w:anchor="_Human_Resources" w:history="1">
              <w:r w:rsidRPr="005D7DD5">
                <w:rPr>
                  <w:rStyle w:val="Hyperlink"/>
                  <w:sz w:val="20"/>
                  <w:szCs w:val="20"/>
                </w:rPr>
                <w:t xml:space="preserve">section </w:t>
              </w:r>
              <w:r w:rsidR="00146274" w:rsidRPr="005D7DD5">
                <w:rPr>
                  <w:rStyle w:val="Hyperlink"/>
                  <w:sz w:val="20"/>
                  <w:szCs w:val="20"/>
                </w:rPr>
                <w:t>8</w:t>
              </w:r>
            </w:hyperlink>
            <w:r w:rsidRPr="00146274">
              <w:rPr>
                <w:sz w:val="20"/>
                <w:szCs w:val="20"/>
              </w:rPr>
              <w:t xml:space="preserve"> for Payroll.</w:t>
            </w:r>
          </w:p>
          <w:p w14:paraId="6D2683D7" w14:textId="77777777" w:rsidR="00E324B0" w:rsidRDefault="00E324B0">
            <w:pPr>
              <w:rPr>
                <w:sz w:val="20"/>
                <w:szCs w:val="20"/>
              </w:rPr>
            </w:pPr>
          </w:p>
          <w:p w14:paraId="1DB04BE2" w14:textId="77777777" w:rsidR="00E324B0" w:rsidRDefault="00E324B0">
            <w:pPr>
              <w:rPr>
                <w:sz w:val="20"/>
                <w:szCs w:val="20"/>
              </w:rPr>
            </w:pPr>
          </w:p>
          <w:p w14:paraId="6EFE425F" w14:textId="2C9A24E3" w:rsidR="00A24D5B" w:rsidRPr="00D44DC7" w:rsidRDefault="00A24D5B">
            <w:pPr>
              <w:rPr>
                <w:sz w:val="20"/>
                <w:szCs w:val="20"/>
              </w:rPr>
            </w:pPr>
          </w:p>
        </w:tc>
      </w:tr>
      <w:tr w:rsidR="00B1609D" w14:paraId="4EF91D8C" w14:textId="77777777" w:rsidTr="2DA84445">
        <w:tc>
          <w:tcPr>
            <w:tcW w:w="355" w:type="dxa"/>
            <w:tcBorders>
              <w:top w:val="nil"/>
              <w:left w:val="single" w:sz="4" w:space="0" w:color="auto"/>
              <w:bottom w:val="single" w:sz="4" w:space="0" w:color="auto"/>
              <w:right w:val="single" w:sz="4" w:space="0" w:color="auto"/>
            </w:tcBorders>
          </w:tcPr>
          <w:p w14:paraId="6153D7F7" w14:textId="77777777" w:rsidR="00A24D5B" w:rsidRDefault="00A24D5B">
            <w:pPr>
              <w:rPr>
                <w:sz w:val="20"/>
                <w:szCs w:val="20"/>
              </w:rPr>
            </w:pPr>
          </w:p>
        </w:tc>
        <w:tc>
          <w:tcPr>
            <w:tcW w:w="6300" w:type="dxa"/>
            <w:tcBorders>
              <w:top w:val="nil"/>
              <w:left w:val="single" w:sz="4" w:space="0" w:color="auto"/>
              <w:bottom w:val="single" w:sz="4" w:space="0" w:color="auto"/>
              <w:right w:val="single" w:sz="4" w:space="0" w:color="auto"/>
            </w:tcBorders>
          </w:tcPr>
          <w:p w14:paraId="6890FB31" w14:textId="27CF60CF" w:rsidR="00A24D5B" w:rsidRPr="00E324B0" w:rsidRDefault="00A24D5B" w:rsidP="363CA695">
            <w:pPr>
              <w:rPr>
                <w:b/>
                <w:bCs/>
                <w:sz w:val="20"/>
                <w:szCs w:val="20"/>
              </w:rPr>
            </w:pPr>
            <w:r w:rsidRPr="363CA695">
              <w:rPr>
                <w:sz w:val="20"/>
                <w:szCs w:val="20"/>
                <w:u w:val="single"/>
              </w:rPr>
              <w:t>Exceptions:</w:t>
            </w:r>
            <w:r w:rsidRPr="363CA695">
              <w:rPr>
                <w:sz w:val="20"/>
                <w:szCs w:val="20"/>
              </w:rPr>
              <w:t xml:space="preserve"> The CFO may approve exceptions for small offices or those with special circumstances, with appropriate compensating controls.</w:t>
            </w:r>
          </w:p>
        </w:tc>
        <w:tc>
          <w:tcPr>
            <w:tcW w:w="1350" w:type="dxa"/>
            <w:tcBorders>
              <w:top w:val="nil"/>
              <w:left w:val="single" w:sz="4" w:space="0" w:color="auto"/>
              <w:bottom w:val="single" w:sz="4" w:space="0" w:color="auto"/>
              <w:right w:val="single" w:sz="4" w:space="0" w:color="auto"/>
            </w:tcBorders>
          </w:tcPr>
          <w:p w14:paraId="1D016630" w14:textId="77777777" w:rsidR="00A24D5B" w:rsidRPr="00EE123E" w:rsidRDefault="00A24D5B" w:rsidP="7F61F61C">
            <w:pPr>
              <w:jc w:val="center"/>
              <w:rPr>
                <w:rFonts w:eastAsiaTheme="minorEastAsia"/>
                <w:sz w:val="20"/>
                <w:szCs w:val="20"/>
              </w:rPr>
            </w:pPr>
          </w:p>
        </w:tc>
        <w:tc>
          <w:tcPr>
            <w:tcW w:w="1710" w:type="dxa"/>
            <w:tcBorders>
              <w:top w:val="nil"/>
              <w:left w:val="single" w:sz="4" w:space="0" w:color="auto"/>
              <w:bottom w:val="single" w:sz="4" w:space="0" w:color="auto"/>
              <w:right w:val="single" w:sz="4" w:space="0" w:color="auto"/>
            </w:tcBorders>
          </w:tcPr>
          <w:p w14:paraId="59B9FBAE" w14:textId="386463B1" w:rsidR="00A24D5B" w:rsidRDefault="00A24D5B">
            <w:pPr>
              <w:rPr>
                <w:sz w:val="20"/>
                <w:szCs w:val="20"/>
                <w:highlight w:val="yellow"/>
              </w:rPr>
            </w:pPr>
            <w:r w:rsidRPr="00146274">
              <w:rPr>
                <w:sz w:val="20"/>
                <w:szCs w:val="20"/>
              </w:rPr>
              <w:t xml:space="preserve">Refer section </w:t>
            </w:r>
            <w:r w:rsidR="00146274" w:rsidRPr="00146274">
              <w:rPr>
                <w:sz w:val="20"/>
                <w:szCs w:val="20"/>
              </w:rPr>
              <w:t>3.3</w:t>
            </w:r>
            <w:r w:rsidRPr="00146274">
              <w:rPr>
                <w:sz w:val="20"/>
                <w:szCs w:val="20"/>
              </w:rPr>
              <w:t xml:space="preserve"> for smaller office flexibilities</w:t>
            </w:r>
          </w:p>
        </w:tc>
      </w:tr>
      <w:tr w:rsidR="00983800" w14:paraId="0DCE94D2" w14:textId="77777777" w:rsidTr="2DA84445">
        <w:tc>
          <w:tcPr>
            <w:tcW w:w="355" w:type="dxa"/>
            <w:tcBorders>
              <w:top w:val="single" w:sz="4" w:space="0" w:color="auto"/>
              <w:left w:val="single" w:sz="4" w:space="0" w:color="auto"/>
              <w:bottom w:val="nil"/>
              <w:right w:val="single" w:sz="4" w:space="0" w:color="auto"/>
            </w:tcBorders>
          </w:tcPr>
          <w:p w14:paraId="337CE4B7" w14:textId="467A809A" w:rsidR="00EE123E" w:rsidRPr="00EE123E" w:rsidRDefault="00EE123E" w:rsidP="00EE123E">
            <w:pPr>
              <w:rPr>
                <w:sz w:val="20"/>
                <w:szCs w:val="20"/>
              </w:rPr>
            </w:pPr>
            <w:r w:rsidRPr="00EE123E">
              <w:rPr>
                <w:sz w:val="20"/>
                <w:szCs w:val="20"/>
              </w:rPr>
              <w:t>2</w:t>
            </w:r>
          </w:p>
        </w:tc>
        <w:tc>
          <w:tcPr>
            <w:tcW w:w="6300" w:type="dxa"/>
            <w:tcBorders>
              <w:top w:val="single" w:sz="4" w:space="0" w:color="auto"/>
              <w:left w:val="single" w:sz="4" w:space="0" w:color="auto"/>
              <w:bottom w:val="nil"/>
              <w:right w:val="single" w:sz="4" w:space="0" w:color="auto"/>
            </w:tcBorders>
          </w:tcPr>
          <w:p w14:paraId="1603C240" w14:textId="0451E7A7" w:rsidR="00EE123E" w:rsidRPr="00EE123E" w:rsidRDefault="00EE123E" w:rsidP="363CA695">
            <w:pPr>
              <w:rPr>
                <w:sz w:val="20"/>
                <w:szCs w:val="20"/>
              </w:rPr>
            </w:pPr>
            <w:r w:rsidRPr="363CA695">
              <w:rPr>
                <w:b/>
                <w:bCs/>
                <w:sz w:val="20"/>
                <w:szCs w:val="20"/>
              </w:rPr>
              <w:t>One IDAM Business Profile for financial transactions</w:t>
            </w:r>
            <w:r w:rsidR="005B755E" w:rsidRPr="363CA695">
              <w:rPr>
                <w:rStyle w:val="FootnoteReference"/>
                <w:b/>
                <w:bCs/>
                <w:sz w:val="20"/>
                <w:szCs w:val="20"/>
              </w:rPr>
              <w:footnoteReference w:id="6"/>
            </w:r>
            <w:r w:rsidRPr="363CA695">
              <w:rPr>
                <w:b/>
                <w:bCs/>
                <w:sz w:val="20"/>
                <w:szCs w:val="20"/>
              </w:rPr>
              <w:t>:</w:t>
            </w:r>
            <w:r w:rsidRPr="363CA695">
              <w:rPr>
                <w:sz w:val="20"/>
                <w:szCs w:val="20"/>
              </w:rPr>
              <w:t xml:space="preserve"> Standard IDAM Business Profiles have been designed to segregate duties</w:t>
            </w:r>
            <w:r w:rsidR="00EC08A9" w:rsidRPr="363CA695">
              <w:rPr>
                <w:sz w:val="20"/>
                <w:szCs w:val="20"/>
              </w:rPr>
              <w:t xml:space="preserve"> at the ERP-role </w:t>
            </w:r>
            <w:r w:rsidR="00EC08A9" w:rsidRPr="363CA695">
              <w:rPr>
                <w:sz w:val="20"/>
                <w:szCs w:val="20"/>
              </w:rPr>
              <w:lastRenderedPageBreak/>
              <w:t>assignment stage</w:t>
            </w:r>
            <w:r w:rsidRPr="363CA695">
              <w:rPr>
                <w:sz w:val="20"/>
                <w:szCs w:val="20"/>
              </w:rPr>
              <w:t xml:space="preserve">. As a result, staff must have only one IDAM Business Profile that is consistent </w:t>
            </w:r>
            <w:r w:rsidRPr="00F84992">
              <w:rPr>
                <w:sz w:val="20"/>
                <w:szCs w:val="20"/>
              </w:rPr>
              <w:t>with their role (e.g. Project Manager, Buyer, Approving Manager (L1-2, Senior Manager), Finance User, General User</w:t>
            </w:r>
            <w:r w:rsidRPr="00F84992">
              <w:rPr>
                <w:rStyle w:val="FootnoteReference"/>
                <w:sz w:val="20"/>
                <w:szCs w:val="20"/>
              </w:rPr>
              <w:footnoteReference w:id="7"/>
            </w:r>
            <w:r w:rsidRPr="00F84992">
              <w:rPr>
                <w:sz w:val="20"/>
                <w:szCs w:val="20"/>
              </w:rPr>
              <w:t xml:space="preserve">). To see how Quantum IDAM supports </w:t>
            </w:r>
            <w:r w:rsidRPr="363CA695">
              <w:rPr>
                <w:sz w:val="20"/>
                <w:szCs w:val="20"/>
              </w:rPr>
              <w:t xml:space="preserve">segregation of duties, refer to </w:t>
            </w:r>
            <w:r w:rsidR="00146274" w:rsidRPr="363CA695">
              <w:rPr>
                <w:sz w:val="20"/>
                <w:szCs w:val="20"/>
              </w:rPr>
              <w:t>section 3.</w:t>
            </w:r>
          </w:p>
        </w:tc>
        <w:tc>
          <w:tcPr>
            <w:tcW w:w="1350" w:type="dxa"/>
            <w:tcBorders>
              <w:top w:val="single" w:sz="4" w:space="0" w:color="auto"/>
              <w:left w:val="single" w:sz="4" w:space="0" w:color="auto"/>
              <w:bottom w:val="nil"/>
              <w:right w:val="single" w:sz="4" w:space="0" w:color="auto"/>
            </w:tcBorders>
          </w:tcPr>
          <w:p w14:paraId="293FE193" w14:textId="1971B1B7" w:rsidR="00EE123E" w:rsidRDefault="000B5C6A" w:rsidP="00EE123E">
            <w:pPr>
              <w:jc w:val="center"/>
            </w:pPr>
            <w:r w:rsidRPr="00F84992">
              <w:rPr>
                <w:rFonts w:cstheme="minorHAnsi"/>
                <w:sz w:val="20"/>
                <w:szCs w:val="20"/>
              </w:rPr>
              <w:lastRenderedPageBreak/>
              <w:t>Yes</w:t>
            </w:r>
          </w:p>
        </w:tc>
        <w:tc>
          <w:tcPr>
            <w:tcW w:w="1710" w:type="dxa"/>
            <w:tcBorders>
              <w:top w:val="single" w:sz="4" w:space="0" w:color="auto"/>
              <w:left w:val="single" w:sz="4" w:space="0" w:color="auto"/>
              <w:bottom w:val="nil"/>
              <w:right w:val="single" w:sz="4" w:space="0" w:color="auto"/>
            </w:tcBorders>
          </w:tcPr>
          <w:p w14:paraId="6381E929" w14:textId="1C2CC0D9" w:rsidR="00EE123E" w:rsidRDefault="00A24D5B" w:rsidP="00EE123E">
            <w:pPr>
              <w:rPr>
                <w:sz w:val="20"/>
                <w:szCs w:val="20"/>
              </w:rPr>
            </w:pPr>
            <w:r w:rsidRPr="00146274">
              <w:rPr>
                <w:sz w:val="20"/>
                <w:szCs w:val="20"/>
              </w:rPr>
              <w:t xml:space="preserve">Refer </w:t>
            </w:r>
            <w:r w:rsidR="00146274">
              <w:rPr>
                <w:sz w:val="20"/>
                <w:szCs w:val="20"/>
              </w:rPr>
              <w:t>section 3</w:t>
            </w:r>
          </w:p>
          <w:p w14:paraId="242430D5" w14:textId="77777777" w:rsidR="00A24D5B" w:rsidRDefault="00A24D5B" w:rsidP="00EE123E">
            <w:pPr>
              <w:rPr>
                <w:sz w:val="20"/>
                <w:szCs w:val="20"/>
              </w:rPr>
            </w:pPr>
          </w:p>
          <w:p w14:paraId="04DB54C4" w14:textId="77777777" w:rsidR="00A24D5B" w:rsidRDefault="00A24D5B" w:rsidP="00EE123E">
            <w:pPr>
              <w:rPr>
                <w:sz w:val="20"/>
                <w:szCs w:val="20"/>
              </w:rPr>
            </w:pPr>
          </w:p>
          <w:p w14:paraId="1F93F70F" w14:textId="77777777" w:rsidR="00A24D5B" w:rsidRDefault="00A24D5B" w:rsidP="00EE123E">
            <w:pPr>
              <w:rPr>
                <w:sz w:val="20"/>
                <w:szCs w:val="20"/>
              </w:rPr>
            </w:pPr>
          </w:p>
          <w:p w14:paraId="577CCB61" w14:textId="77777777" w:rsidR="00A24D5B" w:rsidRDefault="00A24D5B" w:rsidP="00EE123E">
            <w:pPr>
              <w:rPr>
                <w:sz w:val="20"/>
                <w:szCs w:val="20"/>
              </w:rPr>
            </w:pPr>
          </w:p>
          <w:p w14:paraId="3FD53FE9" w14:textId="77777777" w:rsidR="00A24D5B" w:rsidRDefault="00A24D5B" w:rsidP="00EE123E">
            <w:pPr>
              <w:rPr>
                <w:sz w:val="20"/>
                <w:szCs w:val="20"/>
              </w:rPr>
            </w:pPr>
          </w:p>
          <w:p w14:paraId="12BD9374" w14:textId="5CE9BD65" w:rsidR="00A24D5B" w:rsidRPr="00A24D5B" w:rsidRDefault="00A24D5B" w:rsidP="00EE123E">
            <w:pPr>
              <w:rPr>
                <w:sz w:val="20"/>
                <w:szCs w:val="20"/>
              </w:rPr>
            </w:pPr>
          </w:p>
        </w:tc>
      </w:tr>
      <w:tr w:rsidR="00983800" w14:paraId="09BB59E1" w14:textId="77777777" w:rsidTr="2DA84445">
        <w:tc>
          <w:tcPr>
            <w:tcW w:w="355" w:type="dxa"/>
            <w:tcBorders>
              <w:top w:val="nil"/>
              <w:left w:val="single" w:sz="4" w:space="0" w:color="auto"/>
              <w:bottom w:val="nil"/>
              <w:right w:val="single" w:sz="4" w:space="0" w:color="auto"/>
            </w:tcBorders>
          </w:tcPr>
          <w:p w14:paraId="31730299" w14:textId="77777777" w:rsidR="00E324B0" w:rsidRDefault="00E324B0"/>
        </w:tc>
        <w:tc>
          <w:tcPr>
            <w:tcW w:w="6300" w:type="dxa"/>
            <w:tcBorders>
              <w:top w:val="nil"/>
              <w:left w:val="single" w:sz="4" w:space="0" w:color="auto"/>
              <w:bottom w:val="nil"/>
              <w:right w:val="single" w:sz="4" w:space="0" w:color="auto"/>
            </w:tcBorders>
          </w:tcPr>
          <w:p w14:paraId="1233A5AA" w14:textId="1197CC62" w:rsidR="00A24D5B" w:rsidRDefault="46BD673A" w:rsidP="363CA695">
            <w:pPr>
              <w:rPr>
                <w:sz w:val="20"/>
                <w:szCs w:val="20"/>
              </w:rPr>
            </w:pPr>
            <w:r w:rsidRPr="00F84992">
              <w:rPr>
                <w:sz w:val="20"/>
                <w:szCs w:val="20"/>
                <w:u w:val="single"/>
              </w:rPr>
              <w:t xml:space="preserve">Standing approved </w:t>
            </w:r>
            <w:r w:rsidRPr="363CA695">
              <w:rPr>
                <w:sz w:val="20"/>
                <w:szCs w:val="20"/>
                <w:u w:val="single"/>
              </w:rPr>
              <w:t>exception:</w:t>
            </w:r>
            <w:r w:rsidR="704ACFAA" w:rsidRPr="363CA695">
              <w:rPr>
                <w:sz w:val="20"/>
                <w:szCs w:val="20"/>
                <w:u w:val="single"/>
              </w:rPr>
              <w:t xml:space="preserve"> Dual Project Manager and Approving Manager roles for RR/DRR/Operations Manager (OM) (and HQ equivalents): </w:t>
            </w:r>
            <w:r w:rsidR="704ACFAA" w:rsidRPr="363CA695">
              <w:rPr>
                <w:sz w:val="20"/>
                <w:szCs w:val="20"/>
              </w:rPr>
              <w:t xml:space="preserve">IDAM does not currently allow more than one Business Profile to be assigned to a single user. However, the ICF acknowledges that the RR/DRR/OM (and HQ-equivalents) may need to act as Project Manager on some transactions and Approving Manager on other transactions. As a result, these </w:t>
            </w:r>
            <w:r w:rsidR="704ACFAA" w:rsidRPr="00F84992">
              <w:rPr>
                <w:sz w:val="20"/>
                <w:szCs w:val="20"/>
              </w:rPr>
              <w:t xml:space="preserve">positions (and only these positions) </w:t>
            </w:r>
            <w:r w:rsidRPr="363CA695">
              <w:rPr>
                <w:sz w:val="20"/>
                <w:szCs w:val="20"/>
              </w:rPr>
              <w:t xml:space="preserve">may hold dual Project Manager and Approving Manager roles </w:t>
            </w:r>
            <w:r w:rsidRPr="363CA695">
              <w:rPr>
                <w:b/>
                <w:bCs/>
                <w:sz w:val="20"/>
                <w:szCs w:val="20"/>
              </w:rPr>
              <w:t>if</w:t>
            </w:r>
            <w:r w:rsidRPr="363CA695">
              <w:rPr>
                <w:b/>
                <w:bCs/>
                <w:spacing w:val="1"/>
                <w:sz w:val="20"/>
                <w:szCs w:val="20"/>
              </w:rPr>
              <w:t xml:space="preserve"> </w:t>
            </w:r>
            <w:r w:rsidRPr="363CA695">
              <w:rPr>
                <w:b/>
                <w:bCs/>
                <w:sz w:val="20"/>
                <w:szCs w:val="20"/>
              </w:rPr>
              <w:t>segregation of duties is upheld, and conflicts of interest are avoided</w:t>
            </w:r>
            <w:r w:rsidRPr="363CA695">
              <w:rPr>
                <w:sz w:val="20"/>
                <w:szCs w:val="20"/>
              </w:rPr>
              <w:t xml:space="preserve">. </w:t>
            </w:r>
            <w:r w:rsidR="704ACFAA" w:rsidRPr="363CA695">
              <w:rPr>
                <w:sz w:val="20"/>
                <w:szCs w:val="20"/>
              </w:rPr>
              <w:t>Specifically, they must not: (</w:t>
            </w:r>
            <w:proofErr w:type="spellStart"/>
            <w:r w:rsidR="704ACFAA" w:rsidRPr="363CA695">
              <w:rPr>
                <w:sz w:val="20"/>
                <w:szCs w:val="20"/>
              </w:rPr>
              <w:t>i</w:t>
            </w:r>
            <w:proofErr w:type="spellEnd"/>
            <w:r w:rsidR="704ACFAA" w:rsidRPr="363CA695">
              <w:rPr>
                <w:sz w:val="20"/>
                <w:szCs w:val="20"/>
              </w:rPr>
              <w:t xml:space="preserve">) approve a requisition and the associated PO (this segregation of duty requirement is preventatively enforced by a transaction-level control in </w:t>
            </w:r>
            <w:r w:rsidR="704ACFAA" w:rsidRPr="00F84992">
              <w:rPr>
                <w:sz w:val="20"/>
                <w:szCs w:val="20"/>
              </w:rPr>
              <w:t xml:space="preserve">Quantum); or (ii) </w:t>
            </w:r>
            <w:r w:rsidR="009F5C1E" w:rsidRPr="00F84992">
              <w:rPr>
                <w:sz w:val="20"/>
                <w:szCs w:val="20"/>
              </w:rPr>
              <w:t xml:space="preserve">irrespective of whether they approved e-requisitions on their projects, </w:t>
            </w:r>
            <w:r w:rsidR="704ACFAA" w:rsidRPr="00F84992">
              <w:rPr>
                <w:sz w:val="20"/>
                <w:szCs w:val="20"/>
              </w:rPr>
              <w:t>act as Approving Manager for transactions charged to their own projects</w:t>
            </w:r>
            <w:r w:rsidR="001C1A5E">
              <w:rPr>
                <w:sz w:val="20"/>
                <w:szCs w:val="20"/>
              </w:rPr>
              <w:t xml:space="preserve"> (development or management)</w:t>
            </w:r>
            <w:r w:rsidR="704ACFAA" w:rsidRPr="00F84992">
              <w:rPr>
                <w:sz w:val="20"/>
                <w:szCs w:val="20"/>
              </w:rPr>
              <w:t xml:space="preserve">, as this represents a conflict of interest. </w:t>
            </w:r>
            <w:hyperlink r:id="rId15" w:history="1">
              <w:r w:rsidR="704ACFAA" w:rsidRPr="00944D11">
                <w:rPr>
                  <w:rStyle w:val="Hyperlink"/>
                  <w:sz w:val="20"/>
                  <w:szCs w:val="20"/>
                </w:rPr>
                <w:t>ICF Monitoring Reports</w:t>
              </w:r>
            </w:hyperlink>
            <w:r w:rsidR="704ACFAA" w:rsidRPr="00F84992">
              <w:rPr>
                <w:sz w:val="20"/>
                <w:szCs w:val="20"/>
              </w:rPr>
              <w:t xml:space="preserve"> </w:t>
            </w:r>
            <w:r w:rsidR="008E516C" w:rsidRPr="00F84992">
              <w:rPr>
                <w:sz w:val="20"/>
                <w:szCs w:val="20"/>
              </w:rPr>
              <w:t xml:space="preserve">(refreshed daily) </w:t>
            </w:r>
            <w:r w:rsidR="704ACFAA" w:rsidRPr="00F84992">
              <w:rPr>
                <w:sz w:val="20"/>
                <w:szCs w:val="20"/>
              </w:rPr>
              <w:t xml:space="preserve">are available for </w:t>
            </w:r>
            <w:r w:rsidR="006B6FF0" w:rsidRPr="00F84992">
              <w:rPr>
                <w:sz w:val="20"/>
                <w:szCs w:val="20"/>
              </w:rPr>
              <w:t xml:space="preserve">IDAM Approvers and Focal Points in </w:t>
            </w:r>
            <w:r w:rsidR="704ACFAA" w:rsidRPr="00F84992">
              <w:rPr>
                <w:sz w:val="20"/>
                <w:szCs w:val="20"/>
              </w:rPr>
              <w:t xml:space="preserve">offices/units to ensure they comply with these ICF requirements. </w:t>
            </w:r>
            <w:r w:rsidR="704ACFAA" w:rsidRPr="363CA695">
              <w:rPr>
                <w:sz w:val="20"/>
                <w:szCs w:val="20"/>
              </w:rPr>
              <w:t>BMS also monitors profile uses &amp; violations.</w:t>
            </w:r>
          </w:p>
          <w:p w14:paraId="62671ADC" w14:textId="77777777" w:rsidR="00A24D5B" w:rsidRDefault="00A24D5B" w:rsidP="00A24D5B">
            <w:pPr>
              <w:rPr>
                <w:b/>
                <w:bCs/>
                <w:sz w:val="20"/>
                <w:szCs w:val="20"/>
              </w:rPr>
            </w:pPr>
          </w:p>
          <w:p w14:paraId="287E5B4A" w14:textId="30D1090B" w:rsidR="00A24D5B" w:rsidRPr="00080028" w:rsidRDefault="00A24D5B" w:rsidP="363CA695">
            <w:pPr>
              <w:rPr>
                <w:sz w:val="20"/>
                <w:szCs w:val="20"/>
              </w:rPr>
            </w:pPr>
            <w:r w:rsidRPr="00F84992">
              <w:rPr>
                <w:b/>
                <w:bCs/>
                <w:sz w:val="20"/>
                <w:szCs w:val="20"/>
              </w:rPr>
              <w:t>As an interim measure</w:t>
            </w:r>
            <w:r w:rsidR="00747E26" w:rsidRPr="00F84992">
              <w:rPr>
                <w:b/>
                <w:bCs/>
                <w:sz w:val="20"/>
                <w:szCs w:val="20"/>
              </w:rPr>
              <w:t>,</w:t>
            </w:r>
            <w:r w:rsidRPr="00F84992">
              <w:rPr>
                <w:b/>
                <w:bCs/>
                <w:sz w:val="20"/>
                <w:szCs w:val="20"/>
              </w:rPr>
              <w:t xml:space="preserve"> </w:t>
            </w:r>
            <w:r w:rsidRPr="00F84992">
              <w:rPr>
                <w:sz w:val="20"/>
                <w:szCs w:val="20"/>
              </w:rPr>
              <w:t xml:space="preserve">to accommodate the permitted ICF flexibility </w:t>
            </w:r>
            <w:r w:rsidR="00424EE9" w:rsidRPr="00F84992">
              <w:rPr>
                <w:sz w:val="20"/>
                <w:szCs w:val="20"/>
              </w:rPr>
              <w:t xml:space="preserve">for the RR/DRR/OM (and HQ </w:t>
            </w:r>
            <w:r w:rsidR="00424EE9" w:rsidRPr="363CA695">
              <w:rPr>
                <w:sz w:val="20"/>
                <w:szCs w:val="20"/>
              </w:rPr>
              <w:t>equivalents) in IDAM/Quantum</w:t>
            </w:r>
            <w:r w:rsidR="004D01F8" w:rsidRPr="363CA695">
              <w:rPr>
                <w:sz w:val="20"/>
                <w:szCs w:val="20"/>
              </w:rPr>
              <w:t>,</w:t>
            </w:r>
            <w:r w:rsidRPr="363CA695">
              <w:rPr>
                <w:sz w:val="20"/>
                <w:szCs w:val="20"/>
              </w:rPr>
              <w:t xml:space="preserve"> </w:t>
            </w:r>
            <w:r w:rsidR="00424EE9" w:rsidRPr="363CA695">
              <w:rPr>
                <w:sz w:val="20"/>
                <w:szCs w:val="20"/>
              </w:rPr>
              <w:t>the</w:t>
            </w:r>
            <w:r w:rsidRPr="363CA695">
              <w:rPr>
                <w:sz w:val="20"/>
                <w:szCs w:val="20"/>
              </w:rPr>
              <w:t xml:space="preserve"> Approving Manager </w:t>
            </w:r>
            <w:r w:rsidR="00424EE9" w:rsidRPr="363CA695">
              <w:rPr>
                <w:sz w:val="20"/>
                <w:szCs w:val="20"/>
              </w:rPr>
              <w:t xml:space="preserve">Business Profile can be assigned </w:t>
            </w:r>
            <w:r w:rsidRPr="363CA695">
              <w:rPr>
                <w:sz w:val="20"/>
                <w:szCs w:val="20"/>
              </w:rPr>
              <w:t xml:space="preserve">in </w:t>
            </w:r>
            <w:proofErr w:type="gramStart"/>
            <w:r w:rsidRPr="363CA695">
              <w:rPr>
                <w:sz w:val="20"/>
                <w:szCs w:val="20"/>
              </w:rPr>
              <w:t>IDAM</w:t>
            </w:r>
            <w:proofErr w:type="gramEnd"/>
            <w:r w:rsidRPr="363CA695">
              <w:rPr>
                <w:sz w:val="20"/>
                <w:szCs w:val="20"/>
              </w:rPr>
              <w:t xml:space="preserve"> and </w:t>
            </w:r>
            <w:r w:rsidR="00424EE9" w:rsidRPr="363CA695">
              <w:rPr>
                <w:sz w:val="20"/>
                <w:szCs w:val="20"/>
              </w:rPr>
              <w:t>the</w:t>
            </w:r>
            <w:r w:rsidRPr="363CA695">
              <w:rPr>
                <w:sz w:val="20"/>
                <w:szCs w:val="20"/>
              </w:rPr>
              <w:t xml:space="preserve"> Project Manager</w:t>
            </w:r>
            <w:r w:rsidR="00424EE9" w:rsidRPr="363CA695">
              <w:rPr>
                <w:sz w:val="20"/>
                <w:szCs w:val="20"/>
              </w:rPr>
              <w:t xml:space="preserve"> role can be assigned</w:t>
            </w:r>
            <w:r w:rsidRPr="363CA695">
              <w:rPr>
                <w:sz w:val="20"/>
                <w:szCs w:val="20"/>
              </w:rPr>
              <w:t xml:space="preserve"> directly in the </w:t>
            </w:r>
            <w:r w:rsidR="00424EE9" w:rsidRPr="363CA695">
              <w:rPr>
                <w:sz w:val="20"/>
                <w:szCs w:val="20"/>
              </w:rPr>
              <w:t xml:space="preserve">Quantum </w:t>
            </w:r>
            <w:r w:rsidRPr="363CA695">
              <w:rPr>
                <w:sz w:val="20"/>
                <w:szCs w:val="20"/>
              </w:rPr>
              <w:t>PPM Project Manager assignment field</w:t>
            </w:r>
            <w:r w:rsidRPr="363CA695">
              <w:rPr>
                <w:rStyle w:val="FootnoteReference"/>
                <w:sz w:val="20"/>
                <w:szCs w:val="20"/>
              </w:rPr>
              <w:footnoteReference w:id="8"/>
            </w:r>
            <w:r w:rsidRPr="363CA695">
              <w:rPr>
                <w:sz w:val="20"/>
                <w:szCs w:val="20"/>
              </w:rPr>
              <w:t xml:space="preserve">. </w:t>
            </w:r>
          </w:p>
          <w:p w14:paraId="4930014C" w14:textId="595F209D" w:rsidR="00E324B0" w:rsidRDefault="00E324B0"/>
        </w:tc>
        <w:tc>
          <w:tcPr>
            <w:tcW w:w="1350" w:type="dxa"/>
            <w:tcBorders>
              <w:top w:val="nil"/>
              <w:left w:val="single" w:sz="4" w:space="0" w:color="auto"/>
              <w:bottom w:val="nil"/>
              <w:right w:val="single" w:sz="4" w:space="0" w:color="auto"/>
            </w:tcBorders>
          </w:tcPr>
          <w:p w14:paraId="51AEA59D" w14:textId="77777777" w:rsidR="00E324B0" w:rsidRDefault="00E324B0"/>
        </w:tc>
        <w:tc>
          <w:tcPr>
            <w:tcW w:w="1710" w:type="dxa"/>
            <w:tcBorders>
              <w:top w:val="nil"/>
              <w:left w:val="single" w:sz="4" w:space="0" w:color="auto"/>
              <w:bottom w:val="nil"/>
            </w:tcBorders>
          </w:tcPr>
          <w:p w14:paraId="34144C2E" w14:textId="301DCD97" w:rsidR="00E324B0" w:rsidRPr="00424EE9" w:rsidRDefault="00424EE9">
            <w:pPr>
              <w:rPr>
                <w:sz w:val="20"/>
                <w:szCs w:val="20"/>
              </w:rPr>
            </w:pPr>
            <w:r w:rsidRPr="00146274">
              <w:rPr>
                <w:sz w:val="20"/>
                <w:szCs w:val="20"/>
              </w:rPr>
              <w:t xml:space="preserve">Refer section </w:t>
            </w:r>
            <w:r w:rsidR="00146274" w:rsidRPr="00146274">
              <w:rPr>
                <w:sz w:val="20"/>
                <w:szCs w:val="20"/>
              </w:rPr>
              <w:t>3.2</w:t>
            </w:r>
            <w:r w:rsidRPr="00146274">
              <w:rPr>
                <w:sz w:val="20"/>
                <w:szCs w:val="20"/>
              </w:rPr>
              <w:t xml:space="preserve"> for more information on ICF Monitoring Reports</w:t>
            </w:r>
          </w:p>
        </w:tc>
      </w:tr>
      <w:tr w:rsidR="00983800" w14:paraId="0830647E" w14:textId="77777777" w:rsidTr="2DA84445">
        <w:trPr>
          <w:trHeight w:val="1404"/>
        </w:trPr>
        <w:tc>
          <w:tcPr>
            <w:tcW w:w="355" w:type="dxa"/>
            <w:tcBorders>
              <w:top w:val="nil"/>
              <w:left w:val="single" w:sz="4" w:space="0" w:color="auto"/>
              <w:right w:val="single" w:sz="4" w:space="0" w:color="auto"/>
            </w:tcBorders>
          </w:tcPr>
          <w:p w14:paraId="0039203D" w14:textId="77777777" w:rsidR="00E324B0" w:rsidRDefault="00E324B0"/>
        </w:tc>
        <w:tc>
          <w:tcPr>
            <w:tcW w:w="6300" w:type="dxa"/>
            <w:tcBorders>
              <w:top w:val="nil"/>
              <w:left w:val="single" w:sz="4" w:space="0" w:color="auto"/>
              <w:right w:val="single" w:sz="4" w:space="0" w:color="auto"/>
            </w:tcBorders>
          </w:tcPr>
          <w:p w14:paraId="7373C60E" w14:textId="3E3C1745" w:rsidR="00E324B0" w:rsidRPr="00341C51" w:rsidRDefault="00A24D5B" w:rsidP="363CA695">
            <w:pPr>
              <w:pStyle w:val="TableParagraph"/>
              <w:spacing w:line="268" w:lineRule="exact"/>
              <w:ind w:left="0" w:right="210"/>
              <w:rPr>
                <w:sz w:val="20"/>
                <w:szCs w:val="20"/>
              </w:rPr>
            </w:pPr>
            <w:r w:rsidRPr="363CA695">
              <w:rPr>
                <w:sz w:val="20"/>
                <w:szCs w:val="20"/>
                <w:u w:val="single"/>
              </w:rPr>
              <w:t>Exceptions requiring CFO approval:</w:t>
            </w:r>
            <w:r w:rsidRPr="363CA695">
              <w:rPr>
                <w:sz w:val="20"/>
                <w:szCs w:val="20"/>
              </w:rPr>
              <w:t xml:space="preserve"> If, based upon local or special circumstances,</w:t>
            </w:r>
            <w:r w:rsidRPr="363CA695">
              <w:rPr>
                <w:spacing w:val="-1"/>
                <w:sz w:val="20"/>
                <w:szCs w:val="20"/>
              </w:rPr>
              <w:t xml:space="preserve"> </w:t>
            </w:r>
            <w:r w:rsidR="00146274" w:rsidRPr="363CA695">
              <w:rPr>
                <w:sz w:val="20"/>
                <w:szCs w:val="20"/>
              </w:rPr>
              <w:t>an office/unit</w:t>
            </w:r>
            <w:r w:rsidRPr="363CA695">
              <w:rPr>
                <w:sz w:val="20"/>
                <w:szCs w:val="20"/>
              </w:rPr>
              <w:t xml:space="preserve"> requires a staff member to hold more than one IDAM Business Profile, exceptional</w:t>
            </w:r>
            <w:r w:rsidRPr="363CA695">
              <w:rPr>
                <w:spacing w:val="-1"/>
                <w:sz w:val="20"/>
                <w:szCs w:val="20"/>
              </w:rPr>
              <w:t xml:space="preserve"> </w:t>
            </w:r>
            <w:r w:rsidRPr="363CA695">
              <w:rPr>
                <w:sz w:val="20"/>
                <w:szCs w:val="20"/>
              </w:rPr>
              <w:t>approval</w:t>
            </w:r>
            <w:r w:rsidRPr="363CA695">
              <w:rPr>
                <w:spacing w:val="-4"/>
                <w:sz w:val="20"/>
                <w:szCs w:val="20"/>
              </w:rPr>
              <w:t xml:space="preserve"> </w:t>
            </w:r>
            <w:r w:rsidRPr="363CA695">
              <w:rPr>
                <w:sz w:val="20"/>
                <w:szCs w:val="20"/>
              </w:rPr>
              <w:t>must</w:t>
            </w:r>
            <w:r w:rsidRPr="363CA695">
              <w:rPr>
                <w:spacing w:val="1"/>
                <w:sz w:val="20"/>
                <w:szCs w:val="20"/>
              </w:rPr>
              <w:t xml:space="preserve"> </w:t>
            </w:r>
            <w:r w:rsidRPr="363CA695">
              <w:rPr>
                <w:sz w:val="20"/>
                <w:szCs w:val="20"/>
              </w:rPr>
              <w:t>be granted</w:t>
            </w:r>
            <w:r w:rsidRPr="363CA695">
              <w:rPr>
                <w:spacing w:val="-2"/>
                <w:sz w:val="20"/>
                <w:szCs w:val="20"/>
              </w:rPr>
              <w:t xml:space="preserve"> </w:t>
            </w:r>
            <w:r w:rsidRPr="363CA695">
              <w:rPr>
                <w:sz w:val="20"/>
                <w:szCs w:val="20"/>
              </w:rPr>
              <w:t>by</w:t>
            </w:r>
            <w:r w:rsidRPr="363CA695">
              <w:rPr>
                <w:spacing w:val="-1"/>
                <w:sz w:val="20"/>
                <w:szCs w:val="20"/>
              </w:rPr>
              <w:t xml:space="preserve"> the CFO.</w:t>
            </w:r>
            <w:r w:rsidRPr="363CA695">
              <w:rPr>
                <w:sz w:val="20"/>
                <w:szCs w:val="20"/>
              </w:rPr>
              <w:t xml:space="preserve"> This approval should be included as supporting documentation attached to the IDAM access request.</w:t>
            </w:r>
          </w:p>
        </w:tc>
        <w:tc>
          <w:tcPr>
            <w:tcW w:w="1350" w:type="dxa"/>
            <w:tcBorders>
              <w:top w:val="nil"/>
              <w:left w:val="single" w:sz="4" w:space="0" w:color="auto"/>
              <w:right w:val="single" w:sz="4" w:space="0" w:color="auto"/>
            </w:tcBorders>
          </w:tcPr>
          <w:p w14:paraId="3B820591" w14:textId="77777777" w:rsidR="00E324B0" w:rsidRDefault="00E324B0"/>
        </w:tc>
        <w:tc>
          <w:tcPr>
            <w:tcW w:w="1710" w:type="dxa"/>
            <w:tcBorders>
              <w:top w:val="nil"/>
              <w:left w:val="single" w:sz="4" w:space="0" w:color="auto"/>
            </w:tcBorders>
          </w:tcPr>
          <w:p w14:paraId="061C5688" w14:textId="160EA11E" w:rsidR="00E324B0" w:rsidRDefault="004D01F8">
            <w:r w:rsidRPr="00146274">
              <w:rPr>
                <w:sz w:val="20"/>
                <w:szCs w:val="20"/>
              </w:rPr>
              <w:t xml:space="preserve">Refer section </w:t>
            </w:r>
            <w:r w:rsidR="00146274" w:rsidRPr="00146274">
              <w:rPr>
                <w:sz w:val="20"/>
                <w:szCs w:val="20"/>
              </w:rPr>
              <w:t>3.3</w:t>
            </w:r>
            <w:r w:rsidRPr="00146274">
              <w:rPr>
                <w:sz w:val="20"/>
                <w:szCs w:val="20"/>
              </w:rPr>
              <w:t xml:space="preserve"> for smaller office</w:t>
            </w:r>
            <w:r w:rsidR="00B80B31" w:rsidRPr="00146274">
              <w:rPr>
                <w:sz w:val="20"/>
                <w:szCs w:val="20"/>
              </w:rPr>
              <w:t>/unit</w:t>
            </w:r>
            <w:r w:rsidRPr="00146274">
              <w:rPr>
                <w:sz w:val="20"/>
                <w:szCs w:val="20"/>
              </w:rPr>
              <w:t xml:space="preserve"> flexibilities</w:t>
            </w:r>
          </w:p>
        </w:tc>
      </w:tr>
      <w:tr w:rsidR="00962F7A" w14:paraId="54069AFE" w14:textId="77777777" w:rsidTr="2DA84445">
        <w:tc>
          <w:tcPr>
            <w:tcW w:w="355" w:type="dxa"/>
            <w:tcBorders>
              <w:bottom w:val="nil"/>
            </w:tcBorders>
          </w:tcPr>
          <w:p w14:paraId="69057F0F" w14:textId="5EDD5439" w:rsidR="00E324B0" w:rsidRPr="00962F7A" w:rsidRDefault="002E2D9F">
            <w:pPr>
              <w:rPr>
                <w:sz w:val="20"/>
                <w:szCs w:val="20"/>
              </w:rPr>
            </w:pPr>
            <w:r w:rsidRPr="00962F7A">
              <w:rPr>
                <w:sz w:val="20"/>
                <w:szCs w:val="20"/>
              </w:rPr>
              <w:t>3</w:t>
            </w:r>
          </w:p>
        </w:tc>
        <w:tc>
          <w:tcPr>
            <w:tcW w:w="6300" w:type="dxa"/>
            <w:tcBorders>
              <w:bottom w:val="nil"/>
            </w:tcBorders>
          </w:tcPr>
          <w:p w14:paraId="7578CA73" w14:textId="679A6A6B" w:rsidR="00E324B0" w:rsidRPr="00F84992" w:rsidRDefault="002E2D9F" w:rsidP="363CA695">
            <w:pPr>
              <w:rPr>
                <w:sz w:val="20"/>
                <w:szCs w:val="20"/>
              </w:rPr>
            </w:pPr>
            <w:r w:rsidRPr="00F84992">
              <w:rPr>
                <w:b/>
                <w:bCs/>
                <w:sz w:val="20"/>
                <w:szCs w:val="20"/>
              </w:rPr>
              <w:t>Supplier creation and approval:</w:t>
            </w:r>
            <w:r w:rsidRPr="00F84992">
              <w:rPr>
                <w:sz w:val="20"/>
                <w:szCs w:val="20"/>
              </w:rPr>
              <w:t xml:space="preserve"> </w:t>
            </w:r>
            <w:r w:rsidR="000657FC" w:rsidRPr="00F84992">
              <w:rPr>
                <w:sz w:val="20"/>
                <w:szCs w:val="20"/>
              </w:rPr>
              <w:t xml:space="preserve">UNDP implemented a </w:t>
            </w:r>
            <w:r w:rsidR="008E516C" w:rsidRPr="00F84992">
              <w:rPr>
                <w:sz w:val="20"/>
                <w:szCs w:val="20"/>
              </w:rPr>
              <w:t xml:space="preserve">Quantum </w:t>
            </w:r>
            <w:r w:rsidR="000657FC" w:rsidRPr="00F84992">
              <w:rPr>
                <w:sz w:val="20"/>
                <w:szCs w:val="20"/>
              </w:rPr>
              <w:t>Supplier Portal to allow suppliers to self-register and update their information as needed, which was envisaged to push data entry closer to its originating source</w:t>
            </w:r>
            <w:r w:rsidR="00962F7A" w:rsidRPr="00F84992">
              <w:rPr>
                <w:sz w:val="20"/>
                <w:szCs w:val="20"/>
              </w:rPr>
              <w:t xml:space="preserve"> (a key Quantum efficiency gain that is being corporately </w:t>
            </w:r>
            <w:r w:rsidR="00962F7A" w:rsidRPr="00F84992">
              <w:rPr>
                <w:sz w:val="20"/>
                <w:szCs w:val="20"/>
              </w:rPr>
              <w:lastRenderedPageBreak/>
              <w:t>monitored)</w:t>
            </w:r>
            <w:r w:rsidR="000657FC" w:rsidRPr="00F84992">
              <w:rPr>
                <w:sz w:val="20"/>
                <w:szCs w:val="20"/>
              </w:rPr>
              <w:t xml:space="preserve">. When a supplier self-registers or edits its information in the Supplier Portal, the supplier registration/edit request is electronically routed to a CO/HQ office Level 1 approver (L1) </w:t>
            </w:r>
            <w:r w:rsidR="00F914B8" w:rsidRPr="00F84992">
              <w:rPr>
                <w:sz w:val="20"/>
                <w:szCs w:val="20"/>
              </w:rPr>
              <w:t>(</w:t>
            </w:r>
            <w:r w:rsidR="000657FC" w:rsidRPr="00F84992">
              <w:rPr>
                <w:sz w:val="20"/>
                <w:szCs w:val="20"/>
              </w:rPr>
              <w:t>holding IDAM Supplier Maintenance supplementary role</w:t>
            </w:r>
            <w:r w:rsidR="00F914B8" w:rsidRPr="00F84992">
              <w:rPr>
                <w:sz w:val="20"/>
                <w:szCs w:val="20"/>
              </w:rPr>
              <w:t>)</w:t>
            </w:r>
            <w:r w:rsidR="000657FC" w:rsidRPr="00F84992">
              <w:rPr>
                <w:sz w:val="20"/>
                <w:szCs w:val="20"/>
              </w:rPr>
              <w:t xml:space="preserve"> who is best positioned to confirm the validity and legitimacy of the request in the context of the CO/HQ office’s business activities. Following the CO/HQ office L1 approval, the supplier registration/edit request is then routed to a Level 2</w:t>
            </w:r>
            <w:r w:rsidR="00F914B8" w:rsidRPr="00F84992">
              <w:rPr>
                <w:sz w:val="20"/>
                <w:szCs w:val="20"/>
              </w:rPr>
              <w:t xml:space="preserve"> </w:t>
            </w:r>
            <w:r w:rsidR="000657FC" w:rsidRPr="00F84992">
              <w:rPr>
                <w:sz w:val="20"/>
                <w:szCs w:val="20"/>
              </w:rPr>
              <w:t xml:space="preserve">approver </w:t>
            </w:r>
            <w:r w:rsidR="00F914B8" w:rsidRPr="00F84992">
              <w:rPr>
                <w:sz w:val="20"/>
                <w:szCs w:val="20"/>
              </w:rPr>
              <w:t xml:space="preserve">(L2) </w:t>
            </w:r>
            <w:r w:rsidR="000657FC" w:rsidRPr="00F84992">
              <w:rPr>
                <w:sz w:val="20"/>
                <w:szCs w:val="20"/>
              </w:rPr>
              <w:t>(Supplier Manager role, performed by BMS/GSSC for all offices</w:t>
            </w:r>
            <w:r w:rsidR="00B80B31" w:rsidRPr="00F84992">
              <w:rPr>
                <w:sz w:val="20"/>
                <w:szCs w:val="20"/>
              </w:rPr>
              <w:t>/units</w:t>
            </w:r>
            <w:r w:rsidR="000657FC" w:rsidRPr="00F84992">
              <w:rPr>
                <w:rStyle w:val="FootnoteReference"/>
                <w:sz w:val="20"/>
                <w:szCs w:val="20"/>
              </w:rPr>
              <w:footnoteReference w:id="9"/>
            </w:r>
            <w:r w:rsidR="000657FC" w:rsidRPr="00F84992">
              <w:rPr>
                <w:sz w:val="20"/>
                <w:szCs w:val="20"/>
              </w:rPr>
              <w:t xml:space="preserve">) who reviews and approves the supplier banking details and supporting documents in line with UNDP’s </w:t>
            </w:r>
            <w:r w:rsidR="00F914B8" w:rsidRPr="00F84992">
              <w:rPr>
                <w:sz w:val="20"/>
                <w:szCs w:val="20"/>
              </w:rPr>
              <w:t xml:space="preserve">POPP and related </w:t>
            </w:r>
            <w:r w:rsidR="000657FC" w:rsidRPr="00F84992">
              <w:rPr>
                <w:sz w:val="20"/>
                <w:szCs w:val="20"/>
              </w:rPr>
              <w:t>ICF requirements.</w:t>
            </w:r>
          </w:p>
          <w:p w14:paraId="438BFB62" w14:textId="5678A58A" w:rsidR="00962F7A" w:rsidRPr="00F84992" w:rsidRDefault="00962F7A" w:rsidP="00962F7A">
            <w:pPr>
              <w:rPr>
                <w:sz w:val="20"/>
                <w:szCs w:val="20"/>
              </w:rPr>
            </w:pPr>
          </w:p>
        </w:tc>
        <w:tc>
          <w:tcPr>
            <w:tcW w:w="1350" w:type="dxa"/>
            <w:tcBorders>
              <w:bottom w:val="nil"/>
            </w:tcBorders>
          </w:tcPr>
          <w:p w14:paraId="35929BF2" w14:textId="77777777" w:rsidR="000B5C6A" w:rsidRPr="00F84992" w:rsidRDefault="000B5C6A" w:rsidP="00962F7A">
            <w:pPr>
              <w:jc w:val="center"/>
              <w:rPr>
                <w:rFonts w:cstheme="minorHAnsi"/>
                <w:i/>
                <w:iCs/>
                <w:sz w:val="18"/>
                <w:szCs w:val="18"/>
              </w:rPr>
            </w:pPr>
            <w:r w:rsidRPr="00F84992">
              <w:rPr>
                <w:rFonts w:cstheme="minorHAnsi"/>
                <w:sz w:val="20"/>
                <w:szCs w:val="20"/>
              </w:rPr>
              <w:lastRenderedPageBreak/>
              <w:t>Yes</w:t>
            </w:r>
            <w:r w:rsidRPr="00F84992">
              <w:rPr>
                <w:rFonts w:cstheme="minorHAnsi"/>
                <w:i/>
                <w:iCs/>
                <w:sz w:val="18"/>
                <w:szCs w:val="18"/>
              </w:rPr>
              <w:t xml:space="preserve"> </w:t>
            </w:r>
          </w:p>
          <w:p w14:paraId="7EB86924" w14:textId="24965048" w:rsidR="00983800" w:rsidRPr="00F84992" w:rsidRDefault="00983800" w:rsidP="00962F7A">
            <w:pPr>
              <w:jc w:val="center"/>
              <w:rPr>
                <w:rFonts w:cstheme="minorHAnsi"/>
                <w:i/>
                <w:iCs/>
                <w:sz w:val="18"/>
                <w:szCs w:val="18"/>
              </w:rPr>
            </w:pPr>
            <w:r w:rsidRPr="00F84992">
              <w:rPr>
                <w:rFonts w:cstheme="minorHAnsi"/>
                <w:i/>
                <w:iCs/>
                <w:sz w:val="18"/>
                <w:szCs w:val="18"/>
              </w:rPr>
              <w:t>(for external supplier registrations)</w:t>
            </w:r>
          </w:p>
          <w:p w14:paraId="251134FB" w14:textId="77777777" w:rsidR="00983800" w:rsidRDefault="00983800">
            <w:pPr>
              <w:rPr>
                <w:rFonts w:cstheme="minorHAnsi"/>
                <w:i/>
                <w:iCs/>
                <w:sz w:val="18"/>
                <w:szCs w:val="18"/>
              </w:rPr>
            </w:pPr>
          </w:p>
          <w:p w14:paraId="77D35D09" w14:textId="77777777" w:rsidR="00962F7A" w:rsidRDefault="00962F7A" w:rsidP="00962F7A">
            <w:pPr>
              <w:jc w:val="center"/>
              <w:rPr>
                <w:rFonts w:cstheme="minorHAnsi"/>
                <w:sz w:val="18"/>
                <w:szCs w:val="18"/>
              </w:rPr>
            </w:pPr>
          </w:p>
          <w:p w14:paraId="14E6052C" w14:textId="77777777" w:rsidR="00962F7A" w:rsidRDefault="00962F7A" w:rsidP="00962F7A">
            <w:pPr>
              <w:jc w:val="center"/>
              <w:rPr>
                <w:rFonts w:cstheme="minorHAnsi"/>
                <w:sz w:val="18"/>
                <w:szCs w:val="18"/>
              </w:rPr>
            </w:pPr>
          </w:p>
          <w:p w14:paraId="44039E3D" w14:textId="77777777" w:rsidR="00962F7A" w:rsidRDefault="00962F7A" w:rsidP="00962F7A">
            <w:pPr>
              <w:jc w:val="center"/>
              <w:rPr>
                <w:rFonts w:cstheme="minorHAnsi"/>
                <w:sz w:val="18"/>
                <w:szCs w:val="18"/>
              </w:rPr>
            </w:pPr>
          </w:p>
          <w:p w14:paraId="2C3ACEA7" w14:textId="77777777" w:rsidR="00962F7A" w:rsidRDefault="00962F7A" w:rsidP="00962F7A">
            <w:pPr>
              <w:jc w:val="center"/>
              <w:rPr>
                <w:rFonts w:cstheme="minorHAnsi"/>
                <w:sz w:val="18"/>
                <w:szCs w:val="18"/>
              </w:rPr>
            </w:pPr>
          </w:p>
          <w:p w14:paraId="6CA0F3B1" w14:textId="77777777" w:rsidR="00962F7A" w:rsidRDefault="00962F7A" w:rsidP="00962F7A">
            <w:pPr>
              <w:jc w:val="center"/>
              <w:rPr>
                <w:rFonts w:cstheme="minorHAnsi"/>
                <w:sz w:val="18"/>
                <w:szCs w:val="18"/>
              </w:rPr>
            </w:pPr>
          </w:p>
          <w:p w14:paraId="3D150E6D" w14:textId="77777777" w:rsidR="00962F7A" w:rsidRDefault="00962F7A" w:rsidP="00962F7A">
            <w:pPr>
              <w:jc w:val="center"/>
              <w:rPr>
                <w:rFonts w:cstheme="minorHAnsi"/>
                <w:sz w:val="18"/>
                <w:szCs w:val="18"/>
              </w:rPr>
            </w:pPr>
          </w:p>
          <w:p w14:paraId="3CE5E77B" w14:textId="77777777" w:rsidR="00962F7A" w:rsidRDefault="00962F7A" w:rsidP="00962F7A">
            <w:pPr>
              <w:jc w:val="center"/>
              <w:rPr>
                <w:rFonts w:cstheme="minorHAnsi"/>
                <w:sz w:val="18"/>
                <w:szCs w:val="18"/>
              </w:rPr>
            </w:pPr>
          </w:p>
          <w:p w14:paraId="7DE27CDE" w14:textId="77777777" w:rsidR="00962F7A" w:rsidRDefault="00962F7A" w:rsidP="00962F7A">
            <w:pPr>
              <w:jc w:val="center"/>
              <w:rPr>
                <w:rFonts w:cstheme="minorHAnsi"/>
                <w:sz w:val="18"/>
                <w:szCs w:val="18"/>
              </w:rPr>
            </w:pPr>
          </w:p>
          <w:p w14:paraId="40B98E2C" w14:textId="77777777" w:rsidR="00962F7A" w:rsidRDefault="00962F7A" w:rsidP="00962F7A">
            <w:pPr>
              <w:jc w:val="center"/>
              <w:rPr>
                <w:rFonts w:cstheme="minorHAnsi"/>
                <w:sz w:val="18"/>
                <w:szCs w:val="18"/>
              </w:rPr>
            </w:pPr>
          </w:p>
          <w:p w14:paraId="68C154F5" w14:textId="77777777" w:rsidR="00962F7A" w:rsidRDefault="00962F7A" w:rsidP="00962F7A">
            <w:pPr>
              <w:jc w:val="center"/>
              <w:rPr>
                <w:rFonts w:cstheme="minorHAnsi"/>
                <w:sz w:val="18"/>
                <w:szCs w:val="18"/>
              </w:rPr>
            </w:pPr>
          </w:p>
          <w:p w14:paraId="6C37AE9F" w14:textId="510F2C67" w:rsidR="00983800" w:rsidRPr="00983800" w:rsidRDefault="00983800" w:rsidP="00962F7A">
            <w:pPr>
              <w:rPr>
                <w:rFonts w:cstheme="minorHAnsi"/>
                <w:i/>
                <w:iCs/>
                <w:sz w:val="18"/>
                <w:szCs w:val="18"/>
              </w:rPr>
            </w:pPr>
          </w:p>
        </w:tc>
        <w:tc>
          <w:tcPr>
            <w:tcW w:w="1710" w:type="dxa"/>
            <w:tcBorders>
              <w:bottom w:val="nil"/>
            </w:tcBorders>
          </w:tcPr>
          <w:p w14:paraId="31698036" w14:textId="6E012BE0" w:rsidR="00E324B0" w:rsidRDefault="00983800">
            <w:pPr>
              <w:rPr>
                <w:sz w:val="20"/>
                <w:szCs w:val="20"/>
              </w:rPr>
            </w:pPr>
            <w:r w:rsidRPr="00146274">
              <w:rPr>
                <w:sz w:val="20"/>
                <w:szCs w:val="20"/>
              </w:rPr>
              <w:lastRenderedPageBreak/>
              <w:t xml:space="preserve">Refer section </w:t>
            </w:r>
            <w:r w:rsidR="00146274" w:rsidRPr="00146274">
              <w:rPr>
                <w:sz w:val="20"/>
                <w:szCs w:val="20"/>
              </w:rPr>
              <w:t>5</w:t>
            </w:r>
            <w:r w:rsidRPr="00146274">
              <w:rPr>
                <w:sz w:val="20"/>
                <w:szCs w:val="20"/>
              </w:rPr>
              <w:t xml:space="preserve"> on </w:t>
            </w:r>
            <w:r w:rsidR="00146274" w:rsidRPr="00146274">
              <w:rPr>
                <w:sz w:val="20"/>
                <w:szCs w:val="20"/>
              </w:rPr>
              <w:t>Procure and Pay</w:t>
            </w:r>
            <w:r w:rsidR="00F954F9">
              <w:rPr>
                <w:sz w:val="20"/>
                <w:szCs w:val="20"/>
              </w:rPr>
              <w:t xml:space="preserve"> </w:t>
            </w:r>
          </w:p>
          <w:p w14:paraId="3A367E1B" w14:textId="77777777" w:rsidR="00962F7A" w:rsidRDefault="00962F7A">
            <w:pPr>
              <w:rPr>
                <w:sz w:val="20"/>
                <w:szCs w:val="20"/>
              </w:rPr>
            </w:pPr>
          </w:p>
          <w:p w14:paraId="15E54143" w14:textId="2E2E3AE8" w:rsidR="00962F7A" w:rsidRPr="00F84992" w:rsidRDefault="00962F7A">
            <w:pPr>
              <w:rPr>
                <w:color w:val="0070C0"/>
                <w:sz w:val="20"/>
                <w:szCs w:val="20"/>
              </w:rPr>
            </w:pPr>
            <w:hyperlink r:id="rId16" w:history="1">
              <w:r w:rsidRPr="00F84992">
                <w:rPr>
                  <w:rStyle w:val="Hyperlink"/>
                  <w:color w:val="0070C0"/>
                  <w:sz w:val="20"/>
                  <w:szCs w:val="20"/>
                </w:rPr>
                <w:t>BMS/GSSC Supplier Registration Dashboard</w:t>
              </w:r>
            </w:hyperlink>
            <w:r w:rsidRPr="00F84992">
              <w:rPr>
                <w:color w:val="0070C0"/>
                <w:sz w:val="20"/>
                <w:szCs w:val="20"/>
              </w:rPr>
              <w:t xml:space="preserve"> </w:t>
            </w:r>
          </w:p>
          <w:p w14:paraId="3ACA3EB7" w14:textId="77777777" w:rsidR="00983800" w:rsidRDefault="00983800"/>
          <w:p w14:paraId="2F3309AA" w14:textId="17F6602E" w:rsidR="00983800" w:rsidRDefault="00983800"/>
        </w:tc>
      </w:tr>
      <w:tr w:rsidR="00962F7A" w14:paraId="59C939D1" w14:textId="77777777" w:rsidTr="2DA84445">
        <w:tc>
          <w:tcPr>
            <w:tcW w:w="355" w:type="dxa"/>
            <w:tcBorders>
              <w:top w:val="nil"/>
              <w:left w:val="single" w:sz="4" w:space="0" w:color="auto"/>
              <w:bottom w:val="single" w:sz="4" w:space="0" w:color="auto"/>
              <w:right w:val="single" w:sz="4" w:space="0" w:color="auto"/>
            </w:tcBorders>
          </w:tcPr>
          <w:p w14:paraId="1DE14273" w14:textId="77777777" w:rsidR="00962F7A" w:rsidRPr="00F914B8" w:rsidRDefault="00962F7A">
            <w:pPr>
              <w:rPr>
                <w:sz w:val="20"/>
                <w:szCs w:val="20"/>
              </w:rPr>
            </w:pPr>
          </w:p>
        </w:tc>
        <w:tc>
          <w:tcPr>
            <w:tcW w:w="6300" w:type="dxa"/>
            <w:tcBorders>
              <w:top w:val="nil"/>
              <w:left w:val="single" w:sz="4" w:space="0" w:color="auto"/>
              <w:bottom w:val="single" w:sz="4" w:space="0" w:color="auto"/>
              <w:right w:val="single" w:sz="4" w:space="0" w:color="auto"/>
            </w:tcBorders>
          </w:tcPr>
          <w:p w14:paraId="0069305A" w14:textId="6B68D3A4" w:rsidR="00962F7A" w:rsidRPr="00F84992" w:rsidRDefault="00962F7A" w:rsidP="363CA695">
            <w:pPr>
              <w:rPr>
                <w:sz w:val="20"/>
                <w:szCs w:val="20"/>
              </w:rPr>
            </w:pPr>
            <w:r w:rsidRPr="00F84992">
              <w:rPr>
                <w:b/>
                <w:bCs/>
                <w:sz w:val="20"/>
                <w:szCs w:val="20"/>
              </w:rPr>
              <w:t>As an interim measure</w:t>
            </w:r>
            <w:r w:rsidRPr="00F84992">
              <w:rPr>
                <w:sz w:val="20"/>
                <w:szCs w:val="20"/>
              </w:rPr>
              <w:t xml:space="preserve"> to address supplier self-registration challenges and to address the backlog of supplier registration requests, UNDP Procurement Buyers have been permitted to temporarily hold an IDAM Supplier Maintenance supplementary role (L1) to allow them to perform an ‘internal registration’ of the supplier in Quantum. Given the business imperative to be able to register and pay suppliers, and the performance of an independent L2 approval of the supplier in all cases, the control risk has been assessed as manageable for this interim period.</w:t>
            </w:r>
          </w:p>
          <w:p w14:paraId="5E7089FE" w14:textId="77777777" w:rsidR="00962F7A" w:rsidRPr="00F84992" w:rsidRDefault="00962F7A" w:rsidP="00962F7A">
            <w:pPr>
              <w:rPr>
                <w:sz w:val="20"/>
                <w:szCs w:val="20"/>
              </w:rPr>
            </w:pPr>
          </w:p>
          <w:p w14:paraId="1E6AAFF1" w14:textId="2B682A44" w:rsidR="00962F7A" w:rsidRPr="00F84992" w:rsidRDefault="00962F7A" w:rsidP="00962F7A">
            <w:pPr>
              <w:rPr>
                <w:sz w:val="20"/>
                <w:szCs w:val="20"/>
              </w:rPr>
            </w:pPr>
            <w:r w:rsidRPr="00F84992">
              <w:rPr>
                <w:sz w:val="20"/>
                <w:szCs w:val="20"/>
              </w:rPr>
              <w:t xml:space="preserve">While a compliance review is still performed by BMS/GSSC as the L2 approver in all cases, given UNDP’s decentralized business model and the risks involved with supplier creation/modification (including of bank accounts), the L1 approval is an important additional safeguard performed by CO/HQ office staff familiar with the CO’s business needs to confirm the legitimacy and validity of the supplier request/modification. Now that Quantum implementation is stabilized, and the volume of </w:t>
            </w:r>
            <w:r w:rsidRPr="00F84992">
              <w:rPr>
                <w:sz w:val="20"/>
                <w:szCs w:val="20"/>
                <w:u w:val="single"/>
              </w:rPr>
              <w:t>internal</w:t>
            </w:r>
            <w:r w:rsidRPr="00F84992">
              <w:rPr>
                <w:sz w:val="20"/>
                <w:szCs w:val="20"/>
              </w:rPr>
              <w:t xml:space="preserve"> supplier registrations is expected to decline and become the exception rather than the norm</w:t>
            </w:r>
            <w:r w:rsidRPr="00F84992">
              <w:t>,</w:t>
            </w:r>
            <w:r w:rsidRPr="00F84992">
              <w:rPr>
                <w:sz w:val="20"/>
                <w:szCs w:val="20"/>
              </w:rPr>
              <w:t xml:space="preserve"> BMS is working to re-introduce a stricter separation between supplier creation and the performance of the L1 approval in all offices</w:t>
            </w:r>
            <w:r w:rsidR="00B80B31" w:rsidRPr="00F84992">
              <w:rPr>
                <w:sz w:val="20"/>
                <w:szCs w:val="20"/>
              </w:rPr>
              <w:t>/units</w:t>
            </w:r>
            <w:r w:rsidRPr="00F84992">
              <w:rPr>
                <w:rStyle w:val="FootnoteReference"/>
                <w:sz w:val="20"/>
                <w:szCs w:val="20"/>
              </w:rPr>
              <w:footnoteReference w:id="10"/>
            </w:r>
            <w:r w:rsidRPr="00F84992">
              <w:rPr>
                <w:sz w:val="20"/>
                <w:szCs w:val="20"/>
              </w:rPr>
              <w:t xml:space="preserve">. </w:t>
            </w:r>
          </w:p>
          <w:p w14:paraId="6D9EE3F0" w14:textId="77777777" w:rsidR="00F768C6" w:rsidRPr="00F84992" w:rsidRDefault="00F768C6" w:rsidP="00962F7A">
            <w:pPr>
              <w:rPr>
                <w:sz w:val="20"/>
                <w:szCs w:val="20"/>
              </w:rPr>
            </w:pPr>
          </w:p>
          <w:p w14:paraId="65BF09B2" w14:textId="2893D6E1" w:rsidR="00962F7A" w:rsidRPr="00F84992" w:rsidRDefault="00F768C6" w:rsidP="363CA695">
            <w:pPr>
              <w:rPr>
                <w:sz w:val="20"/>
                <w:szCs w:val="20"/>
              </w:rPr>
            </w:pPr>
            <w:r w:rsidRPr="00F84992">
              <w:rPr>
                <w:sz w:val="20"/>
                <w:szCs w:val="20"/>
              </w:rPr>
              <w:t>Roles incompatible with supplier approvals: In all cases, staff holding Supplier Maintenance (L1) or Supplier Approver (L2) supplementary roles must not: (</w:t>
            </w:r>
            <w:proofErr w:type="spellStart"/>
            <w:r w:rsidRPr="00F84992">
              <w:rPr>
                <w:sz w:val="20"/>
                <w:szCs w:val="20"/>
              </w:rPr>
              <w:t>i</w:t>
            </w:r>
            <w:proofErr w:type="spellEnd"/>
            <w:r w:rsidRPr="00F84992">
              <w:rPr>
                <w:sz w:val="20"/>
                <w:szCs w:val="20"/>
              </w:rPr>
              <w:t xml:space="preserve">) create suppliers, </w:t>
            </w:r>
            <w:proofErr w:type="gramStart"/>
            <w:r w:rsidRPr="00F84992">
              <w:rPr>
                <w:sz w:val="20"/>
                <w:szCs w:val="20"/>
              </w:rPr>
              <w:t>PO’s</w:t>
            </w:r>
            <w:proofErr w:type="gramEnd"/>
            <w:r w:rsidRPr="00F84992">
              <w:rPr>
                <w:sz w:val="20"/>
                <w:szCs w:val="20"/>
              </w:rPr>
              <w:t>, or invoices (</w:t>
            </w:r>
            <w:r w:rsidR="004E76F2" w:rsidRPr="00F84992">
              <w:rPr>
                <w:sz w:val="20"/>
                <w:szCs w:val="20"/>
              </w:rPr>
              <w:t>excepting interim measures noted above</w:t>
            </w:r>
            <w:r w:rsidRPr="00F84992">
              <w:rPr>
                <w:sz w:val="20"/>
                <w:szCs w:val="20"/>
              </w:rPr>
              <w:t>); (ii) prepare bank reconciliations; or (iii) be a single signatory on a bank account.</w:t>
            </w:r>
          </w:p>
        </w:tc>
        <w:tc>
          <w:tcPr>
            <w:tcW w:w="1350" w:type="dxa"/>
            <w:tcBorders>
              <w:top w:val="nil"/>
              <w:left w:val="single" w:sz="4" w:space="0" w:color="auto"/>
              <w:bottom w:val="single" w:sz="4" w:space="0" w:color="auto"/>
              <w:right w:val="single" w:sz="4" w:space="0" w:color="auto"/>
            </w:tcBorders>
          </w:tcPr>
          <w:p w14:paraId="6CE3DC49" w14:textId="4E275870" w:rsidR="00962F7A" w:rsidRPr="00EE123E" w:rsidRDefault="00962F7A" w:rsidP="00F554B6">
            <w:pPr>
              <w:jc w:val="center"/>
              <w:rPr>
                <w:rFonts w:ascii="Webdings" w:hAnsi="Webdings"/>
                <w:sz w:val="32"/>
                <w:szCs w:val="32"/>
              </w:rPr>
            </w:pPr>
            <w:r w:rsidRPr="00F84992">
              <w:rPr>
                <w:rFonts w:cstheme="minorHAnsi"/>
                <w:sz w:val="18"/>
                <w:szCs w:val="18"/>
              </w:rPr>
              <w:t xml:space="preserve">Partially </w:t>
            </w:r>
            <w:r w:rsidRPr="00F84992">
              <w:rPr>
                <w:rFonts w:cstheme="minorHAnsi"/>
                <w:i/>
                <w:iCs/>
                <w:sz w:val="18"/>
                <w:szCs w:val="18"/>
              </w:rPr>
              <w:br/>
              <w:t>(for internal registrations)</w:t>
            </w:r>
          </w:p>
        </w:tc>
        <w:tc>
          <w:tcPr>
            <w:tcW w:w="1710" w:type="dxa"/>
            <w:tcBorders>
              <w:top w:val="nil"/>
              <w:left w:val="single" w:sz="4" w:space="0" w:color="auto"/>
              <w:bottom w:val="single" w:sz="4" w:space="0" w:color="auto"/>
              <w:right w:val="single" w:sz="4" w:space="0" w:color="auto"/>
            </w:tcBorders>
          </w:tcPr>
          <w:p w14:paraId="7C86C890" w14:textId="77777777" w:rsidR="00962F7A" w:rsidRDefault="00962F7A"/>
        </w:tc>
      </w:tr>
      <w:tr w:rsidR="00B1609D" w14:paraId="062C62D1" w14:textId="77777777" w:rsidTr="2DA84445">
        <w:trPr>
          <w:trHeight w:val="1070"/>
        </w:trPr>
        <w:tc>
          <w:tcPr>
            <w:tcW w:w="355" w:type="dxa"/>
            <w:tcBorders>
              <w:top w:val="single" w:sz="4" w:space="0" w:color="auto"/>
            </w:tcBorders>
          </w:tcPr>
          <w:p w14:paraId="026599DD" w14:textId="370B66C7" w:rsidR="00F554B6" w:rsidRPr="00F914B8" w:rsidRDefault="00F554B6">
            <w:pPr>
              <w:rPr>
                <w:sz w:val="20"/>
                <w:szCs w:val="20"/>
              </w:rPr>
            </w:pPr>
            <w:r w:rsidRPr="00F914B8">
              <w:rPr>
                <w:sz w:val="20"/>
                <w:szCs w:val="20"/>
              </w:rPr>
              <w:t>4</w:t>
            </w:r>
          </w:p>
        </w:tc>
        <w:tc>
          <w:tcPr>
            <w:tcW w:w="6300" w:type="dxa"/>
            <w:tcBorders>
              <w:top w:val="single" w:sz="4" w:space="0" w:color="auto"/>
            </w:tcBorders>
          </w:tcPr>
          <w:p w14:paraId="0ECC747A" w14:textId="491E9726" w:rsidR="00F554B6" w:rsidRPr="00341C51" w:rsidRDefault="00F554B6" w:rsidP="363CA695">
            <w:pPr>
              <w:rPr>
                <w:sz w:val="20"/>
                <w:szCs w:val="20"/>
              </w:rPr>
            </w:pPr>
            <w:r w:rsidRPr="363CA695">
              <w:rPr>
                <w:b/>
                <w:bCs/>
                <w:sz w:val="20"/>
                <w:szCs w:val="20"/>
              </w:rPr>
              <w:t>Roles incompatible with Procurement Buyer:</w:t>
            </w:r>
            <w:r w:rsidRPr="363CA695">
              <w:rPr>
                <w:sz w:val="20"/>
                <w:szCs w:val="20"/>
              </w:rPr>
              <w:t xml:space="preserve"> Buyers must not: (</w:t>
            </w:r>
            <w:proofErr w:type="spellStart"/>
            <w:r w:rsidRPr="363CA695">
              <w:rPr>
                <w:sz w:val="20"/>
                <w:szCs w:val="20"/>
              </w:rPr>
              <w:t>i</w:t>
            </w:r>
            <w:proofErr w:type="spellEnd"/>
            <w:r w:rsidRPr="363CA695">
              <w:rPr>
                <w:sz w:val="20"/>
                <w:szCs w:val="20"/>
              </w:rPr>
              <w:t xml:space="preserve">) approve </w:t>
            </w:r>
            <w:r w:rsidRPr="00F84992">
              <w:rPr>
                <w:sz w:val="20"/>
                <w:szCs w:val="20"/>
              </w:rPr>
              <w:t>suppliers</w:t>
            </w:r>
            <w:r w:rsidR="00962F7A" w:rsidRPr="00F84992">
              <w:rPr>
                <w:sz w:val="20"/>
                <w:szCs w:val="20"/>
              </w:rPr>
              <w:t xml:space="preserve"> (noting the interim exception measures adopted in point 3 above)</w:t>
            </w:r>
            <w:r w:rsidRPr="00F84992">
              <w:rPr>
                <w:sz w:val="20"/>
                <w:szCs w:val="20"/>
              </w:rPr>
              <w:t>; (ii) receipt goods, services, or works; or (iii) approve invoices for payment.</w:t>
            </w:r>
          </w:p>
        </w:tc>
        <w:tc>
          <w:tcPr>
            <w:tcW w:w="1350" w:type="dxa"/>
            <w:tcBorders>
              <w:top w:val="single" w:sz="4" w:space="0" w:color="auto"/>
            </w:tcBorders>
          </w:tcPr>
          <w:p w14:paraId="7B36CD6E" w14:textId="77777777" w:rsidR="000B5C6A" w:rsidRPr="00F84992" w:rsidRDefault="000B5C6A" w:rsidP="00962F7A">
            <w:pPr>
              <w:jc w:val="center"/>
              <w:rPr>
                <w:rFonts w:cstheme="minorHAnsi"/>
                <w:sz w:val="18"/>
                <w:szCs w:val="18"/>
              </w:rPr>
            </w:pPr>
            <w:r w:rsidRPr="00F84992">
              <w:rPr>
                <w:rFonts w:cstheme="minorHAnsi"/>
                <w:sz w:val="20"/>
                <w:szCs w:val="20"/>
              </w:rPr>
              <w:t>Yes</w:t>
            </w:r>
            <w:r w:rsidRPr="00F84992">
              <w:rPr>
                <w:rFonts w:cstheme="minorHAnsi"/>
                <w:sz w:val="18"/>
                <w:szCs w:val="18"/>
              </w:rPr>
              <w:t xml:space="preserve"> </w:t>
            </w:r>
          </w:p>
          <w:p w14:paraId="549D20D9" w14:textId="2B26667F" w:rsidR="00962F7A" w:rsidRDefault="00962F7A" w:rsidP="00962F7A">
            <w:pPr>
              <w:jc w:val="center"/>
            </w:pPr>
            <w:r w:rsidRPr="00F84992">
              <w:rPr>
                <w:rFonts w:cstheme="minorHAnsi"/>
                <w:sz w:val="18"/>
                <w:szCs w:val="18"/>
              </w:rPr>
              <w:t>(except L1 supplier approval</w:t>
            </w:r>
            <w:r w:rsidRPr="00F84992">
              <w:rPr>
                <w:rFonts w:cstheme="minorHAnsi"/>
                <w:i/>
                <w:iCs/>
                <w:sz w:val="18"/>
                <w:szCs w:val="18"/>
              </w:rPr>
              <w:t>)</w:t>
            </w:r>
          </w:p>
        </w:tc>
        <w:tc>
          <w:tcPr>
            <w:tcW w:w="1710" w:type="dxa"/>
            <w:tcBorders>
              <w:top w:val="single" w:sz="4" w:space="0" w:color="auto"/>
            </w:tcBorders>
          </w:tcPr>
          <w:p w14:paraId="36F41571" w14:textId="2079DD08" w:rsidR="00F954F9" w:rsidRDefault="00F954F9" w:rsidP="00F954F9">
            <w:pPr>
              <w:rPr>
                <w:sz w:val="20"/>
                <w:szCs w:val="20"/>
              </w:rPr>
            </w:pPr>
            <w:r w:rsidRPr="00146274">
              <w:rPr>
                <w:sz w:val="20"/>
                <w:szCs w:val="20"/>
              </w:rPr>
              <w:t xml:space="preserve">Refer section </w:t>
            </w:r>
            <w:r w:rsidR="00146274" w:rsidRPr="00146274">
              <w:rPr>
                <w:sz w:val="20"/>
                <w:szCs w:val="20"/>
              </w:rPr>
              <w:t>5.1</w:t>
            </w:r>
            <w:r w:rsidRPr="00146274">
              <w:rPr>
                <w:sz w:val="20"/>
                <w:szCs w:val="20"/>
              </w:rPr>
              <w:t xml:space="preserve"> on Buyers</w:t>
            </w:r>
            <w:r w:rsidR="00146274">
              <w:rPr>
                <w:sz w:val="20"/>
                <w:szCs w:val="20"/>
              </w:rPr>
              <w:t>.</w:t>
            </w:r>
          </w:p>
          <w:p w14:paraId="2B01FBFA" w14:textId="77777777" w:rsidR="00F554B6" w:rsidRDefault="00F554B6"/>
        </w:tc>
      </w:tr>
      <w:tr w:rsidR="00B1609D" w14:paraId="6CD75E6A" w14:textId="77777777" w:rsidTr="2DA84445">
        <w:trPr>
          <w:trHeight w:val="800"/>
        </w:trPr>
        <w:tc>
          <w:tcPr>
            <w:tcW w:w="355" w:type="dxa"/>
          </w:tcPr>
          <w:p w14:paraId="762948D7" w14:textId="28A65414" w:rsidR="00E324B0" w:rsidRPr="00F914B8" w:rsidRDefault="00962F7A">
            <w:pPr>
              <w:rPr>
                <w:sz w:val="20"/>
                <w:szCs w:val="20"/>
              </w:rPr>
            </w:pPr>
            <w:r>
              <w:rPr>
                <w:sz w:val="20"/>
                <w:szCs w:val="20"/>
              </w:rPr>
              <w:lastRenderedPageBreak/>
              <w:t>5</w:t>
            </w:r>
          </w:p>
        </w:tc>
        <w:tc>
          <w:tcPr>
            <w:tcW w:w="6300" w:type="dxa"/>
          </w:tcPr>
          <w:p w14:paraId="1C74F31E" w14:textId="06AFAEC4" w:rsidR="00E324B0" w:rsidRPr="00F914B8" w:rsidRDefault="001B6B89">
            <w:pPr>
              <w:rPr>
                <w:sz w:val="20"/>
                <w:szCs w:val="20"/>
              </w:rPr>
            </w:pPr>
            <w:r>
              <w:rPr>
                <w:b/>
                <w:bCs/>
                <w:sz w:val="20"/>
                <w:szCs w:val="20"/>
              </w:rPr>
              <w:t>Roles incompatible with b</w:t>
            </w:r>
            <w:r w:rsidR="00F554B6" w:rsidRPr="00F914B8">
              <w:rPr>
                <w:b/>
                <w:bCs/>
                <w:sz w:val="20"/>
                <w:szCs w:val="20"/>
              </w:rPr>
              <w:t>ank reconciliation preparers:</w:t>
            </w:r>
            <w:r w:rsidR="00F554B6" w:rsidRPr="00F914B8">
              <w:rPr>
                <w:sz w:val="20"/>
                <w:szCs w:val="20"/>
              </w:rPr>
              <w:t xml:space="preserve"> Bank reconciliation preparers must not be bank signatories or approve invoices or </w:t>
            </w:r>
            <w:r w:rsidR="00F554B6" w:rsidRPr="00F84992">
              <w:rPr>
                <w:sz w:val="20"/>
                <w:szCs w:val="20"/>
              </w:rPr>
              <w:t>supplier</w:t>
            </w:r>
            <w:r w:rsidR="001F358C" w:rsidRPr="00F84992">
              <w:rPr>
                <w:sz w:val="20"/>
                <w:szCs w:val="20"/>
              </w:rPr>
              <w:t>s in Quantum</w:t>
            </w:r>
            <w:r w:rsidR="00F554B6" w:rsidRPr="00F84992">
              <w:rPr>
                <w:sz w:val="20"/>
                <w:szCs w:val="20"/>
              </w:rPr>
              <w:t>.</w:t>
            </w:r>
            <w:r w:rsidR="00512B87" w:rsidRPr="00F84992">
              <w:rPr>
                <w:sz w:val="20"/>
                <w:szCs w:val="20"/>
              </w:rPr>
              <w:t xml:space="preserve"> Note: all bank reconciliations are prepared by BMS/GSSC.</w:t>
            </w:r>
          </w:p>
        </w:tc>
        <w:tc>
          <w:tcPr>
            <w:tcW w:w="1350" w:type="dxa"/>
          </w:tcPr>
          <w:p w14:paraId="4D9F8E81" w14:textId="7BDBDAA4" w:rsidR="00E324B0" w:rsidRPr="000B5C6A" w:rsidRDefault="000B5C6A" w:rsidP="00962F7A">
            <w:pPr>
              <w:jc w:val="center"/>
              <w:rPr>
                <w:sz w:val="20"/>
                <w:szCs w:val="20"/>
              </w:rPr>
            </w:pPr>
            <w:r w:rsidRPr="009A7C29">
              <w:rPr>
                <w:rFonts w:cstheme="minorHAnsi"/>
                <w:sz w:val="20"/>
                <w:szCs w:val="20"/>
              </w:rPr>
              <w:t>Yes</w:t>
            </w:r>
            <w:r w:rsidRPr="009A7C29">
              <w:rPr>
                <w:sz w:val="20"/>
                <w:szCs w:val="20"/>
              </w:rPr>
              <w:t xml:space="preserve"> </w:t>
            </w:r>
          </w:p>
        </w:tc>
        <w:tc>
          <w:tcPr>
            <w:tcW w:w="1710" w:type="dxa"/>
          </w:tcPr>
          <w:p w14:paraId="7D2AC513" w14:textId="52142E45" w:rsidR="00E324B0" w:rsidRDefault="00E324B0"/>
        </w:tc>
      </w:tr>
      <w:tr w:rsidR="00F954F9" w14:paraId="1EE482AF" w14:textId="77777777" w:rsidTr="2DA84445">
        <w:trPr>
          <w:trHeight w:val="1016"/>
        </w:trPr>
        <w:tc>
          <w:tcPr>
            <w:tcW w:w="355" w:type="dxa"/>
          </w:tcPr>
          <w:p w14:paraId="1D57A8E4" w14:textId="18D42011" w:rsidR="00F954F9" w:rsidRPr="00B1609D" w:rsidRDefault="00F954F9">
            <w:pPr>
              <w:rPr>
                <w:sz w:val="20"/>
                <w:szCs w:val="20"/>
              </w:rPr>
            </w:pPr>
            <w:r>
              <w:rPr>
                <w:sz w:val="20"/>
                <w:szCs w:val="20"/>
              </w:rPr>
              <w:t>6</w:t>
            </w:r>
          </w:p>
        </w:tc>
        <w:tc>
          <w:tcPr>
            <w:tcW w:w="6300" w:type="dxa"/>
          </w:tcPr>
          <w:p w14:paraId="46F6FAD6" w14:textId="0BA88CA3" w:rsidR="00F954F9" w:rsidRPr="00341C51" w:rsidRDefault="00F954F9" w:rsidP="363CA695">
            <w:pPr>
              <w:rPr>
                <w:sz w:val="20"/>
                <w:szCs w:val="20"/>
              </w:rPr>
            </w:pPr>
            <w:bookmarkStart w:id="10" w:name="_Hlk180506914"/>
            <w:r w:rsidRPr="363CA695">
              <w:rPr>
                <w:b/>
                <w:bCs/>
                <w:sz w:val="20"/>
                <w:szCs w:val="20"/>
              </w:rPr>
              <w:t>Roles incompatible with bank account signatories:</w:t>
            </w:r>
            <w:r w:rsidRPr="363CA695">
              <w:rPr>
                <w:sz w:val="20"/>
                <w:szCs w:val="20"/>
              </w:rPr>
              <w:t xml:space="preserve"> Bank signatories</w:t>
            </w:r>
            <w:r w:rsidR="00CB04FA" w:rsidRPr="363CA695">
              <w:rPr>
                <w:sz w:val="20"/>
                <w:szCs w:val="20"/>
              </w:rPr>
              <w:t>: (</w:t>
            </w:r>
            <w:proofErr w:type="spellStart"/>
            <w:r w:rsidR="00CB04FA" w:rsidRPr="363CA695">
              <w:rPr>
                <w:sz w:val="20"/>
                <w:szCs w:val="20"/>
              </w:rPr>
              <w:t>i</w:t>
            </w:r>
            <w:proofErr w:type="spellEnd"/>
            <w:r w:rsidR="00CB04FA" w:rsidRPr="363CA695">
              <w:rPr>
                <w:sz w:val="20"/>
                <w:szCs w:val="20"/>
              </w:rPr>
              <w:t>)</w:t>
            </w:r>
            <w:r w:rsidRPr="363CA695">
              <w:rPr>
                <w:sz w:val="20"/>
                <w:szCs w:val="20"/>
              </w:rPr>
              <w:t xml:space="preserve"> must not prepare bank reconciliations or create invoices or deposits</w:t>
            </w:r>
            <w:r w:rsidR="00CB04FA" w:rsidRPr="363CA695">
              <w:rPr>
                <w:sz w:val="20"/>
                <w:szCs w:val="20"/>
              </w:rPr>
              <w:t>; (ii)</w:t>
            </w:r>
            <w:r w:rsidR="00037C35" w:rsidRPr="363CA695">
              <w:rPr>
                <w:sz w:val="20"/>
                <w:szCs w:val="20"/>
              </w:rPr>
              <w:t xml:space="preserve"> w</w:t>
            </w:r>
            <w:r w:rsidRPr="363CA695">
              <w:rPr>
                <w:sz w:val="20"/>
                <w:szCs w:val="20"/>
              </w:rPr>
              <w:t>here they are the only signatory on a bank account, as approved by the Treasurer, they must not approve suppliers.</w:t>
            </w:r>
            <w:bookmarkEnd w:id="10"/>
          </w:p>
        </w:tc>
        <w:tc>
          <w:tcPr>
            <w:tcW w:w="1350" w:type="dxa"/>
          </w:tcPr>
          <w:p w14:paraId="726F7254" w14:textId="34CF86EB" w:rsidR="00F954F9" w:rsidRPr="009A7C29" w:rsidRDefault="000B5C6A" w:rsidP="363CA695">
            <w:pPr>
              <w:jc w:val="center"/>
              <w:rPr>
                <w:sz w:val="20"/>
                <w:szCs w:val="20"/>
              </w:rPr>
            </w:pPr>
            <w:r w:rsidRPr="009A7C29">
              <w:rPr>
                <w:sz w:val="20"/>
                <w:szCs w:val="20"/>
              </w:rPr>
              <w:t xml:space="preserve">Yes </w:t>
            </w:r>
            <w:r w:rsidR="00CB04FA" w:rsidRPr="009A7C29">
              <w:rPr>
                <w:sz w:val="20"/>
                <w:szCs w:val="20"/>
              </w:rPr>
              <w:t>for (</w:t>
            </w:r>
            <w:proofErr w:type="spellStart"/>
            <w:r w:rsidR="00CB04FA" w:rsidRPr="009A7C29">
              <w:rPr>
                <w:sz w:val="20"/>
                <w:szCs w:val="20"/>
              </w:rPr>
              <w:t>i</w:t>
            </w:r>
            <w:proofErr w:type="spellEnd"/>
            <w:r w:rsidR="00CB04FA" w:rsidRPr="009A7C29">
              <w:rPr>
                <w:sz w:val="20"/>
                <w:szCs w:val="20"/>
              </w:rPr>
              <w:t>)</w:t>
            </w:r>
          </w:p>
          <w:p w14:paraId="0C01AC93" w14:textId="220A3FE1" w:rsidR="00CB04FA" w:rsidRPr="006B57B1" w:rsidRDefault="00CB04FA" w:rsidP="00B1609D">
            <w:pPr>
              <w:jc w:val="center"/>
              <w:rPr>
                <w:rFonts w:cstheme="minorHAnsi"/>
                <w:sz w:val="20"/>
                <w:szCs w:val="20"/>
              </w:rPr>
            </w:pPr>
            <w:r w:rsidRPr="009A7C29">
              <w:rPr>
                <w:rFonts w:cstheme="minorHAnsi"/>
                <w:sz w:val="20"/>
                <w:szCs w:val="20"/>
              </w:rPr>
              <w:t>No for (ii)</w:t>
            </w:r>
          </w:p>
        </w:tc>
        <w:tc>
          <w:tcPr>
            <w:tcW w:w="1710" w:type="dxa"/>
          </w:tcPr>
          <w:p w14:paraId="37464C29" w14:textId="21C56158" w:rsidR="00F954F9" w:rsidRPr="005B44B5" w:rsidRDefault="00F954F9">
            <w:pPr>
              <w:rPr>
                <w:sz w:val="20"/>
                <w:szCs w:val="20"/>
              </w:rPr>
            </w:pPr>
          </w:p>
        </w:tc>
      </w:tr>
      <w:tr w:rsidR="00B1609D" w14:paraId="68524845" w14:textId="77777777" w:rsidTr="2DA84445">
        <w:trPr>
          <w:trHeight w:val="2546"/>
        </w:trPr>
        <w:tc>
          <w:tcPr>
            <w:tcW w:w="355" w:type="dxa"/>
          </w:tcPr>
          <w:p w14:paraId="27901DA8" w14:textId="503D652E" w:rsidR="00E324B0" w:rsidRPr="00B1609D" w:rsidRDefault="005B44B5">
            <w:pPr>
              <w:rPr>
                <w:sz w:val="20"/>
                <w:szCs w:val="20"/>
              </w:rPr>
            </w:pPr>
            <w:r>
              <w:rPr>
                <w:sz w:val="20"/>
                <w:szCs w:val="20"/>
              </w:rPr>
              <w:t>7</w:t>
            </w:r>
          </w:p>
        </w:tc>
        <w:tc>
          <w:tcPr>
            <w:tcW w:w="6300" w:type="dxa"/>
          </w:tcPr>
          <w:p w14:paraId="1D4DF3BC" w14:textId="4896FFCA" w:rsidR="00E324B0" w:rsidRPr="00B1609D" w:rsidRDefault="00B1609D">
            <w:pPr>
              <w:rPr>
                <w:sz w:val="20"/>
                <w:szCs w:val="20"/>
              </w:rPr>
            </w:pPr>
            <w:r>
              <w:rPr>
                <w:b/>
                <w:bCs/>
                <w:sz w:val="20"/>
                <w:szCs w:val="20"/>
              </w:rPr>
              <w:t>R</w:t>
            </w:r>
            <w:r w:rsidRPr="00B1609D">
              <w:rPr>
                <w:b/>
                <w:bCs/>
                <w:sz w:val="20"/>
                <w:szCs w:val="20"/>
              </w:rPr>
              <w:t>ecording and physical verification</w:t>
            </w:r>
            <w:r>
              <w:rPr>
                <w:b/>
                <w:bCs/>
                <w:sz w:val="20"/>
                <w:szCs w:val="20"/>
              </w:rPr>
              <w:t xml:space="preserve"> of fixed a</w:t>
            </w:r>
            <w:r w:rsidRPr="00B1609D">
              <w:rPr>
                <w:b/>
                <w:bCs/>
                <w:sz w:val="20"/>
                <w:szCs w:val="20"/>
              </w:rPr>
              <w:t>sset</w:t>
            </w:r>
            <w:r>
              <w:rPr>
                <w:b/>
                <w:bCs/>
                <w:sz w:val="20"/>
                <w:szCs w:val="20"/>
              </w:rPr>
              <w:t>s</w:t>
            </w:r>
            <w:r w:rsidRPr="00B1609D">
              <w:rPr>
                <w:b/>
                <w:bCs/>
                <w:sz w:val="20"/>
                <w:szCs w:val="20"/>
              </w:rPr>
              <w:t xml:space="preserve"> </w:t>
            </w:r>
            <w:r>
              <w:rPr>
                <w:b/>
                <w:bCs/>
                <w:sz w:val="20"/>
                <w:szCs w:val="20"/>
              </w:rPr>
              <w:t>and</w:t>
            </w:r>
            <w:r w:rsidRPr="00B1609D">
              <w:rPr>
                <w:b/>
                <w:bCs/>
                <w:sz w:val="20"/>
                <w:szCs w:val="20"/>
              </w:rPr>
              <w:t xml:space="preserve"> inventor</w:t>
            </w:r>
            <w:r>
              <w:rPr>
                <w:b/>
                <w:bCs/>
                <w:sz w:val="20"/>
                <w:szCs w:val="20"/>
              </w:rPr>
              <w:t>ies</w:t>
            </w:r>
            <w:r w:rsidRPr="00B1609D">
              <w:rPr>
                <w:b/>
                <w:bCs/>
                <w:sz w:val="20"/>
                <w:szCs w:val="20"/>
              </w:rPr>
              <w:t>:</w:t>
            </w:r>
            <w:r w:rsidRPr="00B1609D">
              <w:rPr>
                <w:sz w:val="20"/>
                <w:szCs w:val="20"/>
              </w:rPr>
              <w:t xml:space="preserve"> The Asset Focal Point communicating asset changes to the BMS/GSSC must not be involved in or responsible for the physical count of fixed assets (i.e., must not be the Physical Verification Coordinator or part of the count team). Similarly, the Inventory Focal Point recording and reporting inventory to the BMS/GSSC must not be involved in or responsible for the physical count of inventory. (i.e., </w:t>
            </w:r>
            <w:proofErr w:type="gramStart"/>
            <w:r w:rsidRPr="00F84992">
              <w:rPr>
                <w:sz w:val="20"/>
                <w:szCs w:val="20"/>
              </w:rPr>
              <w:t>must</w:t>
            </w:r>
            <w:proofErr w:type="gramEnd"/>
            <w:r w:rsidRPr="00F84992">
              <w:rPr>
                <w:sz w:val="20"/>
                <w:szCs w:val="20"/>
              </w:rPr>
              <w:t xml:space="preserve"> not be the Inventory Physical Count Coordinator or part of the count team). Elements of these roles are executed outside the ERP, so offices</w:t>
            </w:r>
            <w:r w:rsidR="00B80B31" w:rsidRPr="00F84992">
              <w:rPr>
                <w:sz w:val="20"/>
                <w:szCs w:val="20"/>
              </w:rPr>
              <w:t>/units</w:t>
            </w:r>
            <w:r w:rsidRPr="00F84992">
              <w:rPr>
                <w:sz w:val="20"/>
                <w:szCs w:val="20"/>
              </w:rPr>
              <w:t xml:space="preserve"> must diligently ensure the required segregation of duties are enforced.</w:t>
            </w:r>
          </w:p>
        </w:tc>
        <w:tc>
          <w:tcPr>
            <w:tcW w:w="1350" w:type="dxa"/>
          </w:tcPr>
          <w:p w14:paraId="66C8713A" w14:textId="732B124E" w:rsidR="00B1609D" w:rsidRPr="009A7C29" w:rsidRDefault="000B5C6A" w:rsidP="00B1609D">
            <w:pPr>
              <w:jc w:val="center"/>
              <w:rPr>
                <w:rFonts w:cstheme="minorHAnsi"/>
                <w:sz w:val="20"/>
                <w:szCs w:val="20"/>
              </w:rPr>
            </w:pPr>
            <w:r w:rsidRPr="009A7C29">
              <w:rPr>
                <w:rFonts w:cstheme="minorHAnsi"/>
                <w:sz w:val="20"/>
                <w:szCs w:val="20"/>
              </w:rPr>
              <w:t>No</w:t>
            </w:r>
          </w:p>
          <w:p w14:paraId="528C2413" w14:textId="77777777" w:rsidR="00E324B0" w:rsidRDefault="00E324B0"/>
        </w:tc>
        <w:tc>
          <w:tcPr>
            <w:tcW w:w="1710" w:type="dxa"/>
          </w:tcPr>
          <w:p w14:paraId="6550D041" w14:textId="5DBB6AE3" w:rsidR="00E324B0" w:rsidRPr="005B44B5" w:rsidRDefault="00B1609D">
            <w:pPr>
              <w:rPr>
                <w:sz w:val="20"/>
                <w:szCs w:val="20"/>
              </w:rPr>
            </w:pPr>
            <w:r w:rsidRPr="005B44B5">
              <w:rPr>
                <w:sz w:val="20"/>
                <w:szCs w:val="20"/>
              </w:rPr>
              <w:t xml:space="preserve">Refer </w:t>
            </w:r>
            <w:r w:rsidR="00146274">
              <w:rPr>
                <w:sz w:val="20"/>
                <w:szCs w:val="20"/>
              </w:rPr>
              <w:t>section 7.</w:t>
            </w:r>
          </w:p>
        </w:tc>
      </w:tr>
      <w:tr w:rsidR="00B1609D" w14:paraId="64DC1B99" w14:textId="77777777" w:rsidTr="2DA84445">
        <w:tc>
          <w:tcPr>
            <w:tcW w:w="355" w:type="dxa"/>
          </w:tcPr>
          <w:p w14:paraId="2CACA303" w14:textId="112724CA" w:rsidR="00B1609D" w:rsidRPr="001B6B89" w:rsidRDefault="005B44B5">
            <w:pPr>
              <w:rPr>
                <w:sz w:val="20"/>
                <w:szCs w:val="20"/>
              </w:rPr>
            </w:pPr>
            <w:r>
              <w:rPr>
                <w:sz w:val="20"/>
                <w:szCs w:val="20"/>
              </w:rPr>
              <w:t>8</w:t>
            </w:r>
          </w:p>
        </w:tc>
        <w:tc>
          <w:tcPr>
            <w:tcW w:w="6300" w:type="dxa"/>
          </w:tcPr>
          <w:p w14:paraId="75F68294" w14:textId="234EFD85" w:rsidR="00B1609D" w:rsidRPr="00341C51" w:rsidRDefault="00B1609D" w:rsidP="00B1609D">
            <w:pPr>
              <w:rPr>
                <w:sz w:val="20"/>
                <w:szCs w:val="20"/>
              </w:rPr>
            </w:pPr>
            <w:r w:rsidRPr="001B6B89">
              <w:rPr>
                <w:b/>
                <w:bCs/>
                <w:sz w:val="20"/>
                <w:szCs w:val="20"/>
              </w:rPr>
              <w:t>Emergency Transactions:</w:t>
            </w:r>
            <w:r w:rsidRPr="00B1609D">
              <w:rPr>
                <w:sz w:val="20"/>
                <w:szCs w:val="20"/>
              </w:rPr>
              <w:t xml:space="preserve"> The first, second and third authorities must be appropriately segregated for country office staff when processing emergency transactions that cannot be done by the BMS/GSSC in time. See </w:t>
            </w:r>
            <w:hyperlink r:id="rId17" w:history="1">
              <w:r w:rsidR="00782C9A" w:rsidRPr="00255E51">
                <w:rPr>
                  <w:rStyle w:val="Hyperlink"/>
                  <w:sz w:val="20"/>
                  <w:szCs w:val="20"/>
                </w:rPr>
                <w:t>GSSC SOP on Emergency Financial Transactions</w:t>
              </w:r>
            </w:hyperlink>
            <w:r w:rsidR="00782C9A">
              <w:rPr>
                <w:color w:val="ED7D31" w:themeColor="accent2"/>
                <w:sz w:val="20"/>
                <w:szCs w:val="20"/>
              </w:rPr>
              <w:t>.</w:t>
            </w:r>
          </w:p>
        </w:tc>
        <w:tc>
          <w:tcPr>
            <w:tcW w:w="1350" w:type="dxa"/>
          </w:tcPr>
          <w:p w14:paraId="0CFC5577" w14:textId="77FFF467" w:rsidR="00B1609D" w:rsidRPr="00B1609D" w:rsidRDefault="00782C9A" w:rsidP="00B1609D">
            <w:pPr>
              <w:jc w:val="center"/>
              <w:rPr>
                <w:rFonts w:ascii="Webdings" w:hAnsi="Webdings"/>
                <w:sz w:val="24"/>
                <w:szCs w:val="24"/>
              </w:rPr>
            </w:pPr>
            <w:r>
              <w:rPr>
                <w:rFonts w:cstheme="minorHAnsi"/>
                <w:sz w:val="20"/>
                <w:szCs w:val="20"/>
              </w:rPr>
              <w:t>No</w:t>
            </w:r>
          </w:p>
        </w:tc>
        <w:tc>
          <w:tcPr>
            <w:tcW w:w="1710" w:type="dxa"/>
          </w:tcPr>
          <w:p w14:paraId="476766B5" w14:textId="5D287B4D" w:rsidR="00B1609D" w:rsidRPr="00B1609D" w:rsidRDefault="00782C9A">
            <w:pPr>
              <w:rPr>
                <w:sz w:val="20"/>
                <w:szCs w:val="20"/>
              </w:rPr>
            </w:pPr>
            <w:r w:rsidRPr="00782C9A">
              <w:rPr>
                <w:sz w:val="20"/>
                <w:szCs w:val="20"/>
                <w:lang w:val="en-MY"/>
              </w:rPr>
              <w:t>COs may only make manual payments outside Quantum</w:t>
            </w:r>
          </w:p>
        </w:tc>
      </w:tr>
    </w:tbl>
    <w:p w14:paraId="2037639C" w14:textId="77777777" w:rsidR="00A33186" w:rsidRPr="00B56C73" w:rsidRDefault="00A33186">
      <w:pPr>
        <w:rPr>
          <w:sz w:val="8"/>
          <w:szCs w:val="8"/>
        </w:rPr>
      </w:pPr>
    </w:p>
    <w:p w14:paraId="1D616E08" w14:textId="7DCD4E25" w:rsidR="005B44B5" w:rsidRPr="002E4525" w:rsidRDefault="005B44B5">
      <w:pPr>
        <w:pStyle w:val="Heading2"/>
        <w:numPr>
          <w:ilvl w:val="1"/>
          <w:numId w:val="93"/>
        </w:numPr>
        <w:spacing w:after="240"/>
      </w:pPr>
      <w:bookmarkStart w:id="11" w:name="_Toc134134741"/>
      <w:bookmarkStart w:id="12" w:name="_Toc210052742"/>
      <w:r w:rsidRPr="002E4525">
        <w:t>Identification &amp; management of conflicts of interest</w:t>
      </w:r>
      <w:bookmarkEnd w:id="11"/>
      <w:bookmarkEnd w:id="12"/>
    </w:p>
    <w:p w14:paraId="3DC6F0EA" w14:textId="4BD034D2" w:rsidR="005B44B5" w:rsidRPr="002E4525" w:rsidRDefault="005B44B5" w:rsidP="00817B66">
      <w:pPr>
        <w:spacing w:line="240" w:lineRule="auto"/>
      </w:pPr>
      <w:r w:rsidRPr="005B44B5">
        <w:rPr>
          <w:b/>
          <w:bCs/>
        </w:rPr>
        <w:t>Conflict between the interests of UNDP and the Individual:</w:t>
      </w:r>
      <w:r w:rsidRPr="002E4525">
        <w:t xml:space="preserve"> Staff regulation 1.2(g) clarifies that UNDP staff shall not use knowledge gained from their official functions for private gain, financial or otherwise, or for the gain of any third party, including family, friends, and those whom they favor. Situations may arise where an individual acting for UNDP faces a potential conflict between the interests of UNDP and the interests of the individual. While staff regulation 1.2(m) further provides that staff have a positive obligation to disclose to their head of office</w:t>
      </w:r>
      <w:r w:rsidR="00B80B31">
        <w:t>/unit</w:t>
      </w:r>
      <w:r w:rsidRPr="002E4525">
        <w:t xml:space="preserve"> any potential or actual conflict of interest so that it may be resolved in favor of the interests of the Organization, internal procedures and controls must also be applied in every office</w:t>
      </w:r>
      <w:r w:rsidR="00B80B31">
        <w:t>/unit</w:t>
      </w:r>
      <w:r w:rsidRPr="002E4525">
        <w:t xml:space="preserve"> to identify and to manage any potential conflicts, so that the interests of UNDP are always protected. Some examples of conflicts of interest are provided below.</w:t>
      </w:r>
    </w:p>
    <w:p w14:paraId="062745DD" w14:textId="3489C7FF" w:rsidR="005B44B5" w:rsidRDefault="005B44B5">
      <w:pPr>
        <w:pStyle w:val="ListParagraph"/>
        <w:numPr>
          <w:ilvl w:val="0"/>
          <w:numId w:val="8"/>
        </w:numPr>
        <w:spacing w:line="240" w:lineRule="auto"/>
      </w:pPr>
      <w:r w:rsidRPr="005B44B5">
        <w:rPr>
          <w:b/>
          <w:bCs/>
        </w:rPr>
        <w:t>Payments to individuals:</w:t>
      </w:r>
      <w:r w:rsidRPr="002E4525">
        <w:t xml:space="preserve"> Creation or approval of transactions that relate to persons or entities in which the individual acting for UNDP has an interest, such as </w:t>
      </w:r>
      <w:proofErr w:type="gramStart"/>
      <w:r w:rsidRPr="002E4525">
        <w:t>a payment</w:t>
      </w:r>
      <w:proofErr w:type="gramEnd"/>
      <w:r w:rsidRPr="002E4525">
        <w:t xml:space="preserve"> to self, a relative, a friend, or a company in which they have a financial interest; or authorization of travel for self, a relative, or a friend.</w:t>
      </w:r>
    </w:p>
    <w:p w14:paraId="2722946E" w14:textId="77777777" w:rsidR="005B44B5" w:rsidRPr="002E4525" w:rsidRDefault="005B44B5" w:rsidP="00817B66">
      <w:pPr>
        <w:pStyle w:val="ListParagraph"/>
        <w:spacing w:line="240" w:lineRule="auto"/>
      </w:pPr>
    </w:p>
    <w:p w14:paraId="2BAFF113" w14:textId="0CD25CCC" w:rsidR="005B44B5" w:rsidRPr="009A7C29" w:rsidRDefault="005B44B5">
      <w:pPr>
        <w:pStyle w:val="ListParagraph"/>
        <w:numPr>
          <w:ilvl w:val="0"/>
          <w:numId w:val="8"/>
        </w:numPr>
        <w:spacing w:line="240" w:lineRule="auto"/>
      </w:pPr>
      <w:r w:rsidRPr="363CA695">
        <w:rPr>
          <w:b/>
          <w:bCs/>
        </w:rPr>
        <w:t>Project Management:</w:t>
      </w:r>
      <w:r w:rsidRPr="363CA695">
        <w:t xml:space="preserve"> Where a staff member is both a Project Manager and an Approving Manager, they should not approve POs, non-PO invoices</w:t>
      </w:r>
      <w:r w:rsidRPr="009A7C29">
        <w:t>, or prepaid invoices for their projects</w:t>
      </w:r>
      <w:r w:rsidR="001C1A5E">
        <w:t xml:space="preserve"> (development or management)</w:t>
      </w:r>
      <w:r w:rsidRPr="009A7C29">
        <w:t xml:space="preserve">. </w:t>
      </w:r>
      <w:r w:rsidR="002B6083" w:rsidRPr="009A7C29">
        <w:t>Acting a</w:t>
      </w:r>
      <w:r w:rsidRPr="009A7C29">
        <w:t>s</w:t>
      </w:r>
      <w:r w:rsidR="002B6083" w:rsidRPr="009A7C29">
        <w:t xml:space="preserve"> an</w:t>
      </w:r>
      <w:r w:rsidRPr="009A7C29">
        <w:t xml:space="preserve"> Approving Manager for transactions charged to their own projects represents a conflict of interest.</w:t>
      </w:r>
    </w:p>
    <w:p w14:paraId="1C02C2E2" w14:textId="77777777" w:rsidR="00A75947" w:rsidRPr="009A7C29" w:rsidRDefault="00A75947" w:rsidP="00A75947">
      <w:pPr>
        <w:pStyle w:val="ListParagraph"/>
      </w:pPr>
    </w:p>
    <w:p w14:paraId="6004248B" w14:textId="77777777" w:rsidR="00A75947" w:rsidRPr="00235BFF" w:rsidRDefault="00A75947">
      <w:pPr>
        <w:pStyle w:val="ListParagraph"/>
        <w:numPr>
          <w:ilvl w:val="0"/>
          <w:numId w:val="8"/>
        </w:numPr>
        <w:spacing w:line="240" w:lineRule="auto"/>
        <w:rPr>
          <w:color w:val="ED7D31" w:themeColor="accent2"/>
        </w:rPr>
      </w:pPr>
      <w:r w:rsidRPr="00312A58">
        <w:rPr>
          <w:b/>
          <w:bCs/>
        </w:rPr>
        <w:t>Involvement in committees:</w:t>
      </w:r>
      <w:r w:rsidRPr="00312A58">
        <w:t xml:space="preserve"> Personnel who participate in oversight or advisory committees (e.g. </w:t>
      </w:r>
      <w:r w:rsidRPr="009A7C29">
        <w:t xml:space="preserve">procurement oversight committees, investment advisory committees etc.) should formally acknowledge that they do not have any conflict of interest in agenda items presented for committee deliberation or recuse themselves if a conflict of interest arises. Where required by the </w:t>
      </w:r>
      <w:hyperlink r:id="rId18" w:history="1">
        <w:r w:rsidRPr="009A7C29">
          <w:rPr>
            <w:rStyle w:val="Hyperlink"/>
            <w:color w:val="auto"/>
          </w:rPr>
          <w:t xml:space="preserve">Financial Disclosure </w:t>
        </w:r>
        <w:proofErr w:type="spellStart"/>
        <w:r w:rsidRPr="009A7C29">
          <w:rPr>
            <w:rStyle w:val="Hyperlink"/>
            <w:color w:val="auto"/>
          </w:rPr>
          <w:t>Programme</w:t>
        </w:r>
        <w:proofErr w:type="spellEnd"/>
        <w:r w:rsidRPr="009A7C29">
          <w:rPr>
            <w:rStyle w:val="Hyperlink"/>
            <w:color w:val="auto"/>
          </w:rPr>
          <w:t xml:space="preserve"> policy</w:t>
        </w:r>
      </w:hyperlink>
      <w:r w:rsidRPr="009A7C29">
        <w:t xml:space="preserve">, personnel must also promptly complete their annual Financial Disclosure </w:t>
      </w:r>
      <w:r w:rsidRPr="009A7C29">
        <w:lastRenderedPageBreak/>
        <w:t xml:space="preserve">Statement, to confirm that there are no </w:t>
      </w:r>
      <w:r w:rsidRPr="009A7C29">
        <w:rPr>
          <w:shd w:val="clear" w:color="auto" w:fill="FCFCFC"/>
        </w:rPr>
        <w:t>actual, apparent, and potential conflicts between their professional responsibilities and private financial interests and activities.</w:t>
      </w:r>
    </w:p>
    <w:p w14:paraId="425D9019" w14:textId="017F6484" w:rsidR="005B44B5" w:rsidRPr="002E4525" w:rsidRDefault="005B44B5" w:rsidP="00817B66">
      <w:pPr>
        <w:spacing w:line="240" w:lineRule="auto"/>
      </w:pPr>
      <w:r w:rsidRPr="363CA695">
        <w:rPr>
          <w:b/>
          <w:bCs/>
        </w:rPr>
        <w:t>Actions required:</w:t>
      </w:r>
      <w:r w:rsidRPr="363CA695">
        <w:t xml:space="preserve"> Where potential conflicts arise, the individual should inform their UNDP management and decline from processing a transaction and pass the transaction to another manager for processing. Where avoiding such transactions could occur routinely, the option to excuse or recuse the individual formally in writing should be discussed with their line manager and referred to the Head of Office</w:t>
      </w:r>
      <w:r w:rsidR="00B80B31" w:rsidRPr="363CA695">
        <w:t>/Unit</w:t>
      </w:r>
      <w:r w:rsidRPr="363CA695">
        <w:t>. The Head of Office</w:t>
      </w:r>
      <w:r w:rsidR="00B80B31" w:rsidRPr="363CA695">
        <w:t>/Unit</w:t>
      </w:r>
      <w:r w:rsidRPr="363CA695">
        <w:t>, as part of their overall accountability, may then exercise their best judgment if this conflict of interest poses an operational risk to the office</w:t>
      </w:r>
      <w:r w:rsidR="00B80B31" w:rsidRPr="363CA695">
        <w:t>/unit</w:t>
      </w:r>
      <w:r w:rsidRPr="363CA695">
        <w:t>.</w:t>
      </w:r>
    </w:p>
    <w:p w14:paraId="4FB42C3F" w14:textId="71118E9C" w:rsidR="002B6083" w:rsidRDefault="002B6083">
      <w:pPr>
        <w:pStyle w:val="Heading2"/>
        <w:numPr>
          <w:ilvl w:val="1"/>
          <w:numId w:val="93"/>
        </w:numPr>
        <w:spacing w:after="240"/>
      </w:pPr>
      <w:bookmarkStart w:id="13" w:name="_Toc210052743"/>
      <w:r>
        <w:t>Roles that must be performed by staff</w:t>
      </w:r>
      <w:bookmarkEnd w:id="13"/>
      <w:r w:rsidR="00B47A2E">
        <w:t xml:space="preserve"> </w:t>
      </w:r>
    </w:p>
    <w:p w14:paraId="23B832B5" w14:textId="1C8FBD7A" w:rsidR="00B47A2E" w:rsidRDefault="00B47A2E" w:rsidP="00817B66">
      <w:pPr>
        <w:spacing w:line="240" w:lineRule="auto"/>
      </w:pPr>
      <w:r w:rsidRPr="009A7C29">
        <w:rPr>
          <w:b/>
          <w:bCs/>
        </w:rPr>
        <w:t xml:space="preserve">Why is this important? </w:t>
      </w:r>
      <w:r w:rsidRPr="009A7C29">
        <w:t>In principle, non-staff personnel cannot perform “inherent” functions of the UN, which includes: (a) binding</w:t>
      </w:r>
      <w:r w:rsidRPr="009A7C29">
        <w:rPr>
          <w:spacing w:val="1"/>
        </w:rPr>
        <w:t xml:space="preserve"> </w:t>
      </w:r>
      <w:r w:rsidRPr="009A7C29">
        <w:t xml:space="preserve">UNDP to take some action </w:t>
      </w:r>
      <w:r w:rsidRPr="363CA695">
        <w:t xml:space="preserve">by contract (i.e., incurring legal or financial commitments); (b) exerting ultimate </w:t>
      </w:r>
      <w:r w:rsidRPr="363CA695">
        <w:rPr>
          <w:spacing w:val="-47"/>
        </w:rPr>
        <w:t xml:space="preserve"> </w:t>
      </w:r>
      <w:r w:rsidRPr="363CA695">
        <w:t>control</w:t>
      </w:r>
      <w:r w:rsidRPr="363CA695">
        <w:rPr>
          <w:spacing w:val="-3"/>
        </w:rPr>
        <w:t xml:space="preserve"> </w:t>
      </w:r>
      <w:r w:rsidRPr="363CA695">
        <w:t>over</w:t>
      </w:r>
      <w:r w:rsidRPr="363CA695">
        <w:rPr>
          <w:spacing w:val="-1"/>
        </w:rPr>
        <w:t xml:space="preserve"> </w:t>
      </w:r>
      <w:r w:rsidRPr="363CA695">
        <w:t>the</w:t>
      </w:r>
      <w:r w:rsidRPr="363CA695">
        <w:rPr>
          <w:spacing w:val="-3"/>
        </w:rPr>
        <w:t xml:space="preserve"> </w:t>
      </w:r>
      <w:r w:rsidRPr="363CA695">
        <w:t>acquisition,</w:t>
      </w:r>
      <w:r w:rsidRPr="363CA695">
        <w:rPr>
          <w:spacing w:val="-1"/>
        </w:rPr>
        <w:t xml:space="preserve"> </w:t>
      </w:r>
      <w:r w:rsidRPr="363CA695">
        <w:t>use,</w:t>
      </w:r>
      <w:r w:rsidRPr="363CA695">
        <w:rPr>
          <w:spacing w:val="-2"/>
        </w:rPr>
        <w:t xml:space="preserve"> </w:t>
      </w:r>
      <w:r w:rsidRPr="363CA695">
        <w:t>or</w:t>
      </w:r>
      <w:r w:rsidRPr="363CA695">
        <w:rPr>
          <w:spacing w:val="-1"/>
        </w:rPr>
        <w:t xml:space="preserve"> </w:t>
      </w:r>
      <w:r w:rsidRPr="363CA695">
        <w:t>disposition</w:t>
      </w:r>
      <w:r w:rsidRPr="363CA695">
        <w:rPr>
          <w:spacing w:val="-4"/>
        </w:rPr>
        <w:t xml:space="preserve"> </w:t>
      </w:r>
      <w:r w:rsidRPr="363CA695">
        <w:t>of</w:t>
      </w:r>
      <w:r w:rsidRPr="363CA695">
        <w:rPr>
          <w:spacing w:val="-3"/>
        </w:rPr>
        <w:t xml:space="preserve"> </w:t>
      </w:r>
      <w:r w:rsidRPr="363CA695">
        <w:t>United Nations</w:t>
      </w:r>
      <w:r w:rsidRPr="363CA695">
        <w:rPr>
          <w:spacing w:val="-1"/>
        </w:rPr>
        <w:t xml:space="preserve"> </w:t>
      </w:r>
      <w:r w:rsidRPr="363CA695">
        <w:t>property;</w:t>
      </w:r>
      <w:r w:rsidRPr="363CA695">
        <w:rPr>
          <w:spacing w:val="1"/>
        </w:rPr>
        <w:t xml:space="preserve"> </w:t>
      </w:r>
      <w:r w:rsidRPr="363CA695">
        <w:t>(c)</w:t>
      </w:r>
      <w:r w:rsidRPr="363CA695">
        <w:rPr>
          <w:spacing w:val="-3"/>
        </w:rPr>
        <w:t xml:space="preserve"> </w:t>
      </w:r>
      <w:r w:rsidRPr="363CA695">
        <w:t>establishing</w:t>
      </w:r>
      <w:r w:rsidRPr="363CA695">
        <w:rPr>
          <w:spacing w:val="-1"/>
        </w:rPr>
        <w:t xml:space="preserve"> </w:t>
      </w:r>
      <w:r w:rsidRPr="363CA695">
        <w:t>policies</w:t>
      </w:r>
      <w:r w:rsidRPr="363CA695">
        <w:rPr>
          <w:spacing w:val="-3"/>
        </w:rPr>
        <w:t xml:space="preserve"> </w:t>
      </w:r>
      <w:r w:rsidRPr="363CA695">
        <w:t xml:space="preserve">or procedures for the collection, control, or disbursement of funds; or (d) acting as internal control custodian of the organization. As a result, </w:t>
      </w:r>
      <w:r w:rsidRPr="363CA695">
        <w:rPr>
          <w:b/>
          <w:bCs/>
        </w:rPr>
        <w:t xml:space="preserve">non-staff personnel cannot perform control functions that encompass these areas, including transaction approvals (second &amp; third authority) or </w:t>
      </w:r>
      <w:r w:rsidR="00EC3F2A">
        <w:rPr>
          <w:b/>
          <w:bCs/>
        </w:rPr>
        <w:t>asset management</w:t>
      </w:r>
      <w:r w:rsidRPr="363CA695">
        <w:rPr>
          <w:b/>
          <w:bCs/>
        </w:rPr>
        <w:t xml:space="preserve"> </w:t>
      </w:r>
      <w:r w:rsidR="00EC3F2A">
        <w:rPr>
          <w:b/>
          <w:bCs/>
        </w:rPr>
        <w:t>decision-making</w:t>
      </w:r>
      <w:r w:rsidRPr="363CA695">
        <w:rPr>
          <w:b/>
          <w:bCs/>
        </w:rPr>
        <w:t xml:space="preserve"> (as reflected in the roles</w:t>
      </w:r>
      <w:r w:rsidR="00B64FB0" w:rsidRPr="363CA695">
        <w:rPr>
          <w:b/>
          <w:bCs/>
        </w:rPr>
        <w:t xml:space="preserve"> in the table below</w:t>
      </w:r>
      <w:r w:rsidRPr="363CA695">
        <w:rPr>
          <w:b/>
          <w:bCs/>
        </w:rPr>
        <w:t xml:space="preserve"> that must be performed by UNDP staff members).</w:t>
      </w:r>
      <w:r w:rsidRPr="363CA695">
        <w:t xml:space="preserve"> Within this </w:t>
      </w:r>
      <w:proofErr w:type="gramStart"/>
      <w:r w:rsidRPr="363CA695">
        <w:t>context, and</w:t>
      </w:r>
      <w:proofErr w:type="gramEnd"/>
      <w:r w:rsidRPr="363CA695">
        <w:t xml:space="preserve"> barring the roles specified </w:t>
      </w:r>
      <w:r w:rsidR="00EC3F2A">
        <w:t>below</w:t>
      </w:r>
      <w:r w:rsidRPr="363CA695">
        <w:t xml:space="preserve"> that must be performed by UNDP staff members, Heads of Offices</w:t>
      </w:r>
      <w:r w:rsidR="00B80B31" w:rsidRPr="363CA695">
        <w:t>/Units</w:t>
      </w:r>
      <w:r w:rsidRPr="363CA695">
        <w:t xml:space="preserve"> should exercise discretion in assigning the remaining roles specified in this Guide based on the specific circumstances and risks of their local operating/environmental context and office</w:t>
      </w:r>
      <w:r w:rsidR="00B80B31" w:rsidRPr="363CA695">
        <w:t>/unit</w:t>
      </w:r>
      <w:r w:rsidRPr="363CA695">
        <w:t xml:space="preserve"> capacities.</w:t>
      </w:r>
    </w:p>
    <w:tbl>
      <w:tblPr>
        <w:tblStyle w:val="TableGrid"/>
        <w:tblW w:w="0" w:type="auto"/>
        <w:tblLook w:val="04A0" w:firstRow="1" w:lastRow="0" w:firstColumn="1" w:lastColumn="0" w:noHBand="0" w:noVBand="1"/>
      </w:tblPr>
      <w:tblGrid>
        <w:gridCol w:w="4963"/>
        <w:gridCol w:w="4963"/>
      </w:tblGrid>
      <w:tr w:rsidR="00BD402A" w14:paraId="41E9302C" w14:textId="77777777" w:rsidTr="23657139">
        <w:tc>
          <w:tcPr>
            <w:tcW w:w="4963" w:type="dxa"/>
            <w:shd w:val="clear" w:color="auto" w:fill="002060"/>
          </w:tcPr>
          <w:p w14:paraId="30495CA5" w14:textId="460FD9AC" w:rsidR="00BD402A" w:rsidRPr="00BD402A" w:rsidRDefault="00BD402A" w:rsidP="00817B66">
            <w:pPr>
              <w:rPr>
                <w:b/>
                <w:bCs/>
              </w:rPr>
            </w:pPr>
            <w:r w:rsidRPr="00BD402A">
              <w:rPr>
                <w:b/>
                <w:bCs/>
              </w:rPr>
              <w:t>Staff includes</w:t>
            </w:r>
            <w:r>
              <w:rPr>
                <w:b/>
                <w:bCs/>
              </w:rPr>
              <w:t>:</w:t>
            </w:r>
          </w:p>
        </w:tc>
        <w:tc>
          <w:tcPr>
            <w:tcW w:w="4963" w:type="dxa"/>
            <w:shd w:val="clear" w:color="auto" w:fill="00B050"/>
          </w:tcPr>
          <w:p w14:paraId="0973FE23" w14:textId="691E6656" w:rsidR="00BD402A" w:rsidRPr="00DF4695" w:rsidRDefault="00BD402A" w:rsidP="00817B66">
            <w:pPr>
              <w:rPr>
                <w:b/>
                <w:bCs/>
                <w:color w:val="FFFFFF" w:themeColor="background1"/>
              </w:rPr>
            </w:pPr>
            <w:r w:rsidRPr="00DF4695">
              <w:rPr>
                <w:b/>
                <w:bCs/>
                <w:color w:val="FFFFFF" w:themeColor="background1"/>
              </w:rPr>
              <w:t>Non-staff includes:</w:t>
            </w:r>
          </w:p>
        </w:tc>
      </w:tr>
      <w:tr w:rsidR="00BD402A" w14:paraId="0F1F16DD" w14:textId="77777777" w:rsidTr="23657139">
        <w:trPr>
          <w:trHeight w:val="1754"/>
        </w:trPr>
        <w:tc>
          <w:tcPr>
            <w:tcW w:w="4963" w:type="dxa"/>
          </w:tcPr>
          <w:p w14:paraId="0E3407C0" w14:textId="77777777" w:rsidR="00BD402A" w:rsidRPr="00DF4695" w:rsidRDefault="00BD402A" w:rsidP="00817B66">
            <w:pPr>
              <w:rPr>
                <w:sz w:val="20"/>
                <w:szCs w:val="20"/>
              </w:rPr>
            </w:pPr>
            <w:r w:rsidRPr="00DF4695">
              <w:rPr>
                <w:sz w:val="20"/>
                <w:szCs w:val="20"/>
              </w:rPr>
              <w:t>Those holding UNDP letters of appointment (LOAs) governed by UN Staff Regulations and Rules, including:</w:t>
            </w:r>
          </w:p>
          <w:p w14:paraId="3B34721A" w14:textId="55298208" w:rsidR="00BD402A" w:rsidRPr="00DF4695" w:rsidRDefault="00BD402A">
            <w:pPr>
              <w:pStyle w:val="ListParagraph"/>
              <w:numPr>
                <w:ilvl w:val="0"/>
                <w:numId w:val="9"/>
              </w:numPr>
              <w:rPr>
                <w:sz w:val="20"/>
                <w:szCs w:val="20"/>
              </w:rPr>
            </w:pPr>
            <w:r w:rsidRPr="00DF4695">
              <w:rPr>
                <w:sz w:val="20"/>
                <w:szCs w:val="20"/>
              </w:rPr>
              <w:t>Fixed Term Appointments (FTA)</w:t>
            </w:r>
          </w:p>
          <w:p w14:paraId="08D15A57" w14:textId="50705EE2" w:rsidR="00BD402A" w:rsidRPr="00DF4695" w:rsidRDefault="00BD402A">
            <w:pPr>
              <w:pStyle w:val="ListParagraph"/>
              <w:numPr>
                <w:ilvl w:val="0"/>
                <w:numId w:val="9"/>
              </w:numPr>
              <w:rPr>
                <w:sz w:val="20"/>
                <w:szCs w:val="20"/>
              </w:rPr>
            </w:pPr>
            <w:proofErr w:type="gramStart"/>
            <w:r w:rsidRPr="00DF4695">
              <w:rPr>
                <w:sz w:val="20"/>
                <w:szCs w:val="20"/>
              </w:rPr>
              <w:t>Continuing</w:t>
            </w:r>
            <w:proofErr w:type="gramEnd"/>
            <w:r w:rsidRPr="00DF4695">
              <w:rPr>
                <w:sz w:val="20"/>
                <w:szCs w:val="20"/>
              </w:rPr>
              <w:t xml:space="preserve"> or Permanent Appointments (CA/PA)</w:t>
            </w:r>
          </w:p>
          <w:p w14:paraId="29E9EF50" w14:textId="555AFFF5" w:rsidR="00BD402A" w:rsidRPr="00DF4695" w:rsidRDefault="00BD402A">
            <w:pPr>
              <w:pStyle w:val="ListParagraph"/>
              <w:numPr>
                <w:ilvl w:val="0"/>
                <w:numId w:val="9"/>
              </w:numPr>
              <w:rPr>
                <w:sz w:val="20"/>
                <w:szCs w:val="20"/>
              </w:rPr>
            </w:pPr>
            <w:r w:rsidRPr="00DF4695">
              <w:rPr>
                <w:sz w:val="20"/>
                <w:szCs w:val="20"/>
              </w:rPr>
              <w:t>Temporary Appointments (TA)</w:t>
            </w:r>
          </w:p>
        </w:tc>
        <w:tc>
          <w:tcPr>
            <w:tcW w:w="4963" w:type="dxa"/>
          </w:tcPr>
          <w:p w14:paraId="4E3D418E" w14:textId="729128ED" w:rsidR="00BD402A" w:rsidRPr="009A7C29" w:rsidRDefault="3731AD5B">
            <w:pPr>
              <w:pStyle w:val="ListParagraph"/>
              <w:numPr>
                <w:ilvl w:val="0"/>
                <w:numId w:val="10"/>
              </w:numPr>
              <w:rPr>
                <w:sz w:val="20"/>
                <w:szCs w:val="20"/>
              </w:rPr>
            </w:pPr>
            <w:r w:rsidRPr="009A7C29">
              <w:rPr>
                <w:sz w:val="20"/>
                <w:szCs w:val="20"/>
              </w:rPr>
              <w:t xml:space="preserve">Personnel on </w:t>
            </w:r>
            <w:r w:rsidR="00BD402A" w:rsidRPr="009A7C29">
              <w:rPr>
                <w:sz w:val="20"/>
                <w:szCs w:val="20"/>
              </w:rPr>
              <w:t>N</w:t>
            </w:r>
            <w:r w:rsidR="17831AEC" w:rsidRPr="009A7C29">
              <w:rPr>
                <w:sz w:val="20"/>
                <w:szCs w:val="20"/>
              </w:rPr>
              <w:t xml:space="preserve">ational and International </w:t>
            </w:r>
            <w:r w:rsidR="00BD402A" w:rsidRPr="009A7C29">
              <w:rPr>
                <w:sz w:val="20"/>
                <w:szCs w:val="20"/>
              </w:rPr>
              <w:t>P</w:t>
            </w:r>
            <w:r w:rsidR="425EA46E" w:rsidRPr="009A7C29">
              <w:rPr>
                <w:sz w:val="20"/>
                <w:szCs w:val="20"/>
              </w:rPr>
              <w:t xml:space="preserve">ersonnel </w:t>
            </w:r>
            <w:r w:rsidR="00BD402A" w:rsidRPr="009A7C29">
              <w:rPr>
                <w:sz w:val="20"/>
                <w:szCs w:val="20"/>
              </w:rPr>
              <w:t>S</w:t>
            </w:r>
            <w:r w:rsidR="1C355502" w:rsidRPr="009A7C29">
              <w:rPr>
                <w:sz w:val="20"/>
                <w:szCs w:val="20"/>
              </w:rPr>
              <w:t xml:space="preserve">ervice </w:t>
            </w:r>
            <w:r w:rsidR="00BD402A" w:rsidRPr="009A7C29">
              <w:rPr>
                <w:sz w:val="20"/>
                <w:szCs w:val="20"/>
              </w:rPr>
              <w:t>A</w:t>
            </w:r>
            <w:r w:rsidR="7F1F5741" w:rsidRPr="009A7C29">
              <w:rPr>
                <w:sz w:val="20"/>
                <w:szCs w:val="20"/>
              </w:rPr>
              <w:t xml:space="preserve">greement </w:t>
            </w:r>
            <w:r w:rsidR="00BD402A" w:rsidRPr="009A7C29">
              <w:rPr>
                <w:sz w:val="20"/>
                <w:szCs w:val="20"/>
              </w:rPr>
              <w:t>contracts</w:t>
            </w:r>
          </w:p>
          <w:p w14:paraId="4864C203" w14:textId="1EEC91F9" w:rsidR="00BD402A" w:rsidRPr="009A7C29" w:rsidRDefault="7DD4270E">
            <w:pPr>
              <w:pStyle w:val="ListParagraph"/>
              <w:numPr>
                <w:ilvl w:val="0"/>
                <w:numId w:val="10"/>
              </w:numPr>
              <w:rPr>
                <w:sz w:val="20"/>
                <w:szCs w:val="20"/>
              </w:rPr>
            </w:pPr>
            <w:r w:rsidRPr="009A7C29">
              <w:rPr>
                <w:sz w:val="20"/>
                <w:szCs w:val="20"/>
              </w:rPr>
              <w:t xml:space="preserve">Personnel on </w:t>
            </w:r>
            <w:r w:rsidR="00BD402A" w:rsidRPr="009A7C29">
              <w:rPr>
                <w:sz w:val="20"/>
                <w:szCs w:val="20"/>
              </w:rPr>
              <w:t>Reimbursable Loan Agreements (RLAs) or Non-Reimbursable Loan Agreements (NRLAs) from non-UN entities</w:t>
            </w:r>
          </w:p>
          <w:p w14:paraId="5FDD130E" w14:textId="1EA97193" w:rsidR="00BD402A" w:rsidRPr="009A7C29" w:rsidRDefault="00BD402A">
            <w:pPr>
              <w:pStyle w:val="ListParagraph"/>
              <w:numPr>
                <w:ilvl w:val="0"/>
                <w:numId w:val="10"/>
              </w:numPr>
              <w:rPr>
                <w:sz w:val="20"/>
                <w:szCs w:val="20"/>
              </w:rPr>
            </w:pPr>
            <w:r w:rsidRPr="009A7C29">
              <w:rPr>
                <w:sz w:val="20"/>
                <w:szCs w:val="20"/>
              </w:rPr>
              <w:t>UN volunteers (UNV</w:t>
            </w:r>
            <w:r w:rsidR="67B12EC0" w:rsidRPr="009A7C29">
              <w:rPr>
                <w:sz w:val="20"/>
                <w:szCs w:val="20"/>
              </w:rPr>
              <w:t>s</w:t>
            </w:r>
            <w:r w:rsidRPr="009A7C29">
              <w:rPr>
                <w:sz w:val="20"/>
                <w:szCs w:val="20"/>
              </w:rPr>
              <w:t>)</w:t>
            </w:r>
          </w:p>
          <w:p w14:paraId="2C67C00E" w14:textId="77777777" w:rsidR="00BD402A" w:rsidRPr="009A7C29" w:rsidRDefault="00BD402A">
            <w:pPr>
              <w:pStyle w:val="ListParagraph"/>
              <w:numPr>
                <w:ilvl w:val="0"/>
                <w:numId w:val="10"/>
              </w:numPr>
              <w:rPr>
                <w:sz w:val="20"/>
                <w:szCs w:val="20"/>
              </w:rPr>
            </w:pPr>
            <w:r w:rsidRPr="009A7C29">
              <w:rPr>
                <w:sz w:val="20"/>
                <w:szCs w:val="20"/>
              </w:rPr>
              <w:t xml:space="preserve">Individual Contractors (ICs) </w:t>
            </w:r>
          </w:p>
          <w:p w14:paraId="12ABE2E4" w14:textId="0AFA43D8" w:rsidR="00BD402A" w:rsidRPr="009A7C29" w:rsidRDefault="00BD402A">
            <w:pPr>
              <w:pStyle w:val="ListParagraph"/>
              <w:numPr>
                <w:ilvl w:val="0"/>
                <w:numId w:val="10"/>
              </w:numPr>
              <w:rPr>
                <w:sz w:val="20"/>
                <w:szCs w:val="20"/>
              </w:rPr>
            </w:pPr>
            <w:r w:rsidRPr="009A7C29">
              <w:rPr>
                <w:sz w:val="20"/>
                <w:szCs w:val="20"/>
              </w:rPr>
              <w:t>Interns</w:t>
            </w:r>
          </w:p>
          <w:p w14:paraId="2505EA5E" w14:textId="389C2E4E" w:rsidR="00BD402A" w:rsidRPr="009A7C29" w:rsidRDefault="6E09F3F7">
            <w:pPr>
              <w:pStyle w:val="ListParagraph"/>
              <w:numPr>
                <w:ilvl w:val="0"/>
                <w:numId w:val="10"/>
              </w:numPr>
              <w:rPr>
                <w:sz w:val="20"/>
                <w:szCs w:val="20"/>
              </w:rPr>
            </w:pPr>
            <w:r w:rsidRPr="009A7C29">
              <w:rPr>
                <w:sz w:val="20"/>
                <w:szCs w:val="20"/>
              </w:rPr>
              <w:t>Fellows</w:t>
            </w:r>
          </w:p>
          <w:p w14:paraId="29C6A99A" w14:textId="005BD208" w:rsidR="00BD402A" w:rsidRPr="009A7C29" w:rsidRDefault="6E09F3F7">
            <w:pPr>
              <w:pStyle w:val="ListParagraph"/>
              <w:numPr>
                <w:ilvl w:val="0"/>
                <w:numId w:val="10"/>
              </w:numPr>
              <w:rPr>
                <w:sz w:val="20"/>
                <w:szCs w:val="20"/>
              </w:rPr>
            </w:pPr>
            <w:proofErr w:type="gramStart"/>
            <w:r w:rsidRPr="009A7C29">
              <w:rPr>
                <w:sz w:val="20"/>
                <w:szCs w:val="20"/>
              </w:rPr>
              <w:t>Seconded</w:t>
            </w:r>
            <w:proofErr w:type="gramEnd"/>
            <w:r w:rsidRPr="009A7C29">
              <w:rPr>
                <w:sz w:val="20"/>
                <w:szCs w:val="20"/>
              </w:rPr>
              <w:t xml:space="preserve"> Technical Experts</w:t>
            </w:r>
          </w:p>
          <w:p w14:paraId="0E8E960D" w14:textId="1A79F91B" w:rsidR="00BD402A" w:rsidRPr="00DF4695" w:rsidRDefault="6E09F3F7">
            <w:pPr>
              <w:pStyle w:val="ListParagraph"/>
              <w:numPr>
                <w:ilvl w:val="0"/>
                <w:numId w:val="10"/>
              </w:numPr>
              <w:rPr>
                <w:sz w:val="20"/>
                <w:szCs w:val="20"/>
              </w:rPr>
            </w:pPr>
            <w:r w:rsidRPr="009A7C29">
              <w:rPr>
                <w:sz w:val="20"/>
                <w:szCs w:val="20"/>
              </w:rPr>
              <w:t>Pro-bono colleagues</w:t>
            </w:r>
          </w:p>
        </w:tc>
      </w:tr>
    </w:tbl>
    <w:p w14:paraId="48EB4D7B" w14:textId="77777777" w:rsidR="00F11B4A" w:rsidRPr="00DF4695" w:rsidRDefault="00F11B4A" w:rsidP="00B47A2E">
      <w:pPr>
        <w:tabs>
          <w:tab w:val="left" w:pos="5076"/>
        </w:tabs>
        <w:ind w:left="113"/>
        <w:rPr>
          <w:b/>
          <w:bCs/>
          <w:color w:val="FFFFFF" w:themeColor="background1"/>
          <w:sz w:val="8"/>
          <w:szCs w:val="8"/>
        </w:rPr>
      </w:pPr>
      <w:r w:rsidRPr="00DF4695">
        <w:rPr>
          <w:b/>
          <w:bCs/>
          <w:color w:val="FFFFFF" w:themeColor="background1"/>
          <w:sz w:val="8"/>
          <w:szCs w:val="8"/>
        </w:rPr>
        <w:tab/>
      </w:r>
    </w:p>
    <w:tbl>
      <w:tblPr>
        <w:tblStyle w:val="TableGrid"/>
        <w:tblW w:w="0" w:type="auto"/>
        <w:tblLook w:val="04A0" w:firstRow="1" w:lastRow="0" w:firstColumn="1" w:lastColumn="0" w:noHBand="0" w:noVBand="1"/>
      </w:tblPr>
      <w:tblGrid>
        <w:gridCol w:w="4963"/>
        <w:gridCol w:w="4963"/>
      </w:tblGrid>
      <w:tr w:rsidR="00B47A2E" w14:paraId="2AAC7517" w14:textId="77777777" w:rsidTr="363CA695">
        <w:trPr>
          <w:trHeight w:val="359"/>
          <w:tblHeader/>
        </w:trPr>
        <w:tc>
          <w:tcPr>
            <w:tcW w:w="4963" w:type="dxa"/>
            <w:shd w:val="clear" w:color="auto" w:fill="002060"/>
          </w:tcPr>
          <w:p w14:paraId="264359BA" w14:textId="6E6393AA" w:rsidR="00B47A2E" w:rsidRPr="003175AA" w:rsidRDefault="00B47A2E" w:rsidP="002B6083">
            <w:pPr>
              <w:rPr>
                <w:b/>
                <w:bCs/>
                <w:color w:val="FFFFFF" w:themeColor="background1"/>
              </w:rPr>
            </w:pPr>
            <w:r w:rsidRPr="003175AA">
              <w:rPr>
                <w:b/>
                <w:bCs/>
                <w:color w:val="FFFFFF" w:themeColor="background1"/>
              </w:rPr>
              <w:t>ICF roles that must be performed by staff:</w:t>
            </w:r>
          </w:p>
        </w:tc>
        <w:tc>
          <w:tcPr>
            <w:tcW w:w="4963" w:type="dxa"/>
            <w:shd w:val="clear" w:color="auto" w:fill="00B050"/>
          </w:tcPr>
          <w:p w14:paraId="00D5F1DE" w14:textId="2A1E0071" w:rsidR="00B47A2E" w:rsidRPr="003175AA" w:rsidRDefault="00B47A2E" w:rsidP="00B47A2E">
            <w:pPr>
              <w:rPr>
                <w:b/>
                <w:bCs/>
                <w:color w:val="FFFFFF" w:themeColor="background1"/>
              </w:rPr>
            </w:pPr>
            <w:r w:rsidRPr="003175AA">
              <w:rPr>
                <w:b/>
                <w:bCs/>
                <w:color w:val="FFFFFF" w:themeColor="background1"/>
              </w:rPr>
              <w:t>ICF roles that may be performed by non-staff</w:t>
            </w:r>
            <w:r w:rsidR="003175AA">
              <w:rPr>
                <w:b/>
                <w:bCs/>
                <w:color w:val="FFFFFF" w:themeColor="background1"/>
              </w:rPr>
              <w:t>:</w:t>
            </w:r>
          </w:p>
        </w:tc>
      </w:tr>
      <w:tr w:rsidR="00B47A2E" w14:paraId="615E4CC9" w14:textId="77777777" w:rsidTr="363CA695">
        <w:trPr>
          <w:trHeight w:val="1016"/>
        </w:trPr>
        <w:tc>
          <w:tcPr>
            <w:tcW w:w="4963" w:type="dxa"/>
          </w:tcPr>
          <w:p w14:paraId="09F63888" w14:textId="77777777" w:rsidR="00B47A2E" w:rsidRPr="00DF4695" w:rsidRDefault="00B47A2E" w:rsidP="00B47A2E">
            <w:pPr>
              <w:pStyle w:val="TableParagraph"/>
              <w:tabs>
                <w:tab w:val="left" w:pos="468"/>
                <w:tab w:val="left" w:pos="469"/>
              </w:tabs>
              <w:spacing w:line="268" w:lineRule="exact"/>
              <w:ind w:left="0"/>
              <w:rPr>
                <w:rFonts w:ascii="Wingdings" w:hAnsi="Wingdings"/>
                <w:sz w:val="20"/>
                <w:szCs w:val="20"/>
                <w:u w:val="single"/>
              </w:rPr>
            </w:pPr>
            <w:r w:rsidRPr="00DF4695">
              <w:rPr>
                <w:sz w:val="20"/>
                <w:szCs w:val="20"/>
                <w:u w:val="single"/>
              </w:rPr>
              <w:t>Finance:</w:t>
            </w:r>
          </w:p>
          <w:p w14:paraId="57054855" w14:textId="550A5F48" w:rsidR="00B47A2E" w:rsidRPr="00DF4695" w:rsidRDefault="00B47A2E">
            <w:pPr>
              <w:pStyle w:val="TableParagraph"/>
              <w:numPr>
                <w:ilvl w:val="0"/>
                <w:numId w:val="11"/>
              </w:numPr>
              <w:tabs>
                <w:tab w:val="left" w:pos="468"/>
                <w:tab w:val="left" w:pos="469"/>
              </w:tabs>
              <w:spacing w:line="268" w:lineRule="exact"/>
              <w:rPr>
                <w:rFonts w:ascii="Wingdings" w:hAnsi="Wingdings"/>
                <w:sz w:val="20"/>
                <w:szCs w:val="20"/>
              </w:rPr>
            </w:pPr>
            <w:r w:rsidRPr="00DF4695">
              <w:rPr>
                <w:sz w:val="20"/>
                <w:szCs w:val="20"/>
              </w:rPr>
              <w:t>2</w:t>
            </w:r>
            <w:r w:rsidRPr="00DF4695">
              <w:rPr>
                <w:sz w:val="20"/>
                <w:szCs w:val="20"/>
                <w:vertAlign w:val="superscript"/>
              </w:rPr>
              <w:t>nd</w:t>
            </w:r>
            <w:r w:rsidRPr="00DF4695">
              <w:rPr>
                <w:spacing w:val="-2"/>
                <w:sz w:val="20"/>
                <w:szCs w:val="20"/>
              </w:rPr>
              <w:t xml:space="preserve"> </w:t>
            </w:r>
            <w:r w:rsidRPr="00DF4695">
              <w:rPr>
                <w:sz w:val="20"/>
                <w:szCs w:val="20"/>
              </w:rPr>
              <w:t>Authority:</w:t>
            </w:r>
            <w:r w:rsidRPr="00DF4695">
              <w:rPr>
                <w:spacing w:val="-2"/>
                <w:sz w:val="20"/>
                <w:szCs w:val="20"/>
              </w:rPr>
              <w:t xml:space="preserve"> </w:t>
            </w:r>
            <w:r w:rsidRPr="00DF4695">
              <w:rPr>
                <w:sz w:val="20"/>
                <w:szCs w:val="20"/>
              </w:rPr>
              <w:t>Approving</w:t>
            </w:r>
            <w:r w:rsidRPr="00DF4695">
              <w:rPr>
                <w:spacing w:val="-2"/>
                <w:sz w:val="20"/>
                <w:szCs w:val="20"/>
              </w:rPr>
              <w:t xml:space="preserve"> </w:t>
            </w:r>
            <w:r w:rsidRPr="00DF4695">
              <w:rPr>
                <w:sz w:val="20"/>
                <w:szCs w:val="20"/>
              </w:rPr>
              <w:t>Managers (including for travel transaction approval)</w:t>
            </w:r>
          </w:p>
          <w:p w14:paraId="00B4BE33"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3</w:t>
            </w:r>
            <w:r w:rsidRPr="00DF4695">
              <w:rPr>
                <w:sz w:val="20"/>
                <w:szCs w:val="20"/>
                <w:vertAlign w:val="superscript"/>
              </w:rPr>
              <w:t>rd</w:t>
            </w:r>
            <w:r w:rsidRPr="00DF4695">
              <w:rPr>
                <w:spacing w:val="-4"/>
                <w:sz w:val="20"/>
                <w:szCs w:val="20"/>
              </w:rPr>
              <w:t xml:space="preserve"> </w:t>
            </w:r>
            <w:r w:rsidRPr="00DF4695">
              <w:rPr>
                <w:sz w:val="20"/>
                <w:szCs w:val="20"/>
              </w:rPr>
              <w:t>Authority:</w:t>
            </w:r>
            <w:r w:rsidRPr="00DF4695">
              <w:rPr>
                <w:spacing w:val="-3"/>
                <w:sz w:val="20"/>
                <w:szCs w:val="20"/>
              </w:rPr>
              <w:t xml:space="preserve"> </w:t>
            </w:r>
            <w:r w:rsidRPr="00DF4695">
              <w:rPr>
                <w:sz w:val="20"/>
                <w:szCs w:val="20"/>
              </w:rPr>
              <w:t>Disbursing</w:t>
            </w:r>
            <w:r w:rsidRPr="00DF4695">
              <w:rPr>
                <w:spacing w:val="-4"/>
                <w:sz w:val="20"/>
                <w:szCs w:val="20"/>
              </w:rPr>
              <w:t xml:space="preserve"> </w:t>
            </w:r>
            <w:r w:rsidRPr="00DF4695">
              <w:rPr>
                <w:sz w:val="20"/>
                <w:szCs w:val="20"/>
              </w:rPr>
              <w:t>Officer</w:t>
            </w:r>
          </w:p>
          <w:p w14:paraId="30F14B6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r w:rsidRPr="00DF4695">
              <w:rPr>
                <w:sz w:val="20"/>
                <w:szCs w:val="20"/>
              </w:rPr>
              <w:t>Bank</w:t>
            </w:r>
            <w:r w:rsidRPr="00DF4695">
              <w:rPr>
                <w:spacing w:val="-2"/>
                <w:sz w:val="20"/>
                <w:szCs w:val="20"/>
              </w:rPr>
              <w:t xml:space="preserve"> </w:t>
            </w:r>
            <w:r w:rsidRPr="00DF4695">
              <w:rPr>
                <w:sz w:val="20"/>
                <w:szCs w:val="20"/>
              </w:rPr>
              <w:t>Account</w:t>
            </w:r>
            <w:r w:rsidRPr="00DF4695">
              <w:rPr>
                <w:spacing w:val="-2"/>
                <w:sz w:val="20"/>
                <w:szCs w:val="20"/>
              </w:rPr>
              <w:t xml:space="preserve"> </w:t>
            </w:r>
            <w:r w:rsidRPr="00DF4695">
              <w:rPr>
                <w:sz w:val="20"/>
                <w:szCs w:val="20"/>
              </w:rPr>
              <w:t>Signatory</w:t>
            </w:r>
          </w:p>
          <w:p w14:paraId="33E73E1C" w14:textId="77777777" w:rsidR="00B47A2E" w:rsidRPr="00DF4695" w:rsidRDefault="00B47A2E">
            <w:pPr>
              <w:pStyle w:val="TableParagraph"/>
              <w:numPr>
                <w:ilvl w:val="0"/>
                <w:numId w:val="11"/>
              </w:numPr>
              <w:tabs>
                <w:tab w:val="left" w:pos="468"/>
                <w:tab w:val="left" w:pos="469"/>
              </w:tabs>
              <w:spacing w:line="267" w:lineRule="exact"/>
              <w:rPr>
                <w:rFonts w:ascii="Wingdings" w:hAnsi="Wingdings"/>
                <w:sz w:val="20"/>
                <w:szCs w:val="20"/>
              </w:rPr>
            </w:pPr>
            <w:r w:rsidRPr="00DF4695">
              <w:rPr>
                <w:sz w:val="20"/>
                <w:szCs w:val="20"/>
              </w:rPr>
              <w:t>Bank</w:t>
            </w:r>
            <w:r w:rsidRPr="00DF4695">
              <w:rPr>
                <w:spacing w:val="-1"/>
                <w:sz w:val="20"/>
                <w:szCs w:val="20"/>
              </w:rPr>
              <w:t xml:space="preserve"> </w:t>
            </w:r>
            <w:r w:rsidRPr="00DF4695">
              <w:rPr>
                <w:sz w:val="20"/>
                <w:szCs w:val="20"/>
              </w:rPr>
              <w:t>Reconciliation</w:t>
            </w:r>
            <w:r w:rsidRPr="00DF4695">
              <w:rPr>
                <w:spacing w:val="-2"/>
                <w:sz w:val="20"/>
                <w:szCs w:val="20"/>
              </w:rPr>
              <w:t xml:space="preserve"> </w:t>
            </w:r>
            <w:r w:rsidRPr="00DF4695">
              <w:rPr>
                <w:sz w:val="20"/>
                <w:szCs w:val="20"/>
              </w:rPr>
              <w:t>Approver</w:t>
            </w:r>
          </w:p>
          <w:p w14:paraId="49468F47"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t>Trust</w:t>
            </w:r>
            <w:r w:rsidRPr="00DF4695">
              <w:rPr>
                <w:spacing w:val="-1"/>
                <w:sz w:val="20"/>
                <w:szCs w:val="20"/>
              </w:rPr>
              <w:t xml:space="preserve"> </w:t>
            </w:r>
            <w:r w:rsidRPr="00DF4695">
              <w:rPr>
                <w:sz w:val="20"/>
                <w:szCs w:val="20"/>
              </w:rPr>
              <w:t>Fund</w:t>
            </w:r>
            <w:r w:rsidRPr="00DF4695">
              <w:rPr>
                <w:spacing w:val="-2"/>
                <w:sz w:val="20"/>
                <w:szCs w:val="20"/>
              </w:rPr>
              <w:t xml:space="preserve"> </w:t>
            </w:r>
            <w:r w:rsidRPr="00DF4695">
              <w:rPr>
                <w:sz w:val="20"/>
                <w:szCs w:val="20"/>
              </w:rPr>
              <w:t>Manager</w:t>
            </w:r>
          </w:p>
          <w:p w14:paraId="32F3637C" w14:textId="77777777" w:rsidR="00B47A2E" w:rsidRPr="00DF4695" w:rsidRDefault="00B47A2E">
            <w:pPr>
              <w:pStyle w:val="TableParagraph"/>
              <w:numPr>
                <w:ilvl w:val="0"/>
                <w:numId w:val="11"/>
              </w:numPr>
              <w:tabs>
                <w:tab w:val="left" w:pos="468"/>
                <w:tab w:val="left" w:pos="469"/>
              </w:tabs>
              <w:rPr>
                <w:rFonts w:ascii="Wingdings" w:hAnsi="Wingdings"/>
                <w:sz w:val="20"/>
                <w:szCs w:val="20"/>
              </w:rPr>
            </w:pPr>
            <w:r w:rsidRPr="00DF4695">
              <w:rPr>
                <w:sz w:val="20"/>
                <w:szCs w:val="20"/>
              </w:rPr>
              <w:lastRenderedPageBreak/>
              <w:t>Safe</w:t>
            </w:r>
            <w:r w:rsidRPr="00DF4695">
              <w:rPr>
                <w:spacing w:val="-1"/>
                <w:sz w:val="20"/>
                <w:szCs w:val="20"/>
              </w:rPr>
              <w:t xml:space="preserve"> </w:t>
            </w:r>
            <w:r w:rsidRPr="00DF4695">
              <w:rPr>
                <w:sz w:val="20"/>
                <w:szCs w:val="20"/>
              </w:rPr>
              <w:t>custodian</w:t>
            </w:r>
          </w:p>
          <w:p w14:paraId="3E3C4F2F" w14:textId="0CBA7A90" w:rsidR="00B47A2E" w:rsidRPr="00DF4695" w:rsidRDefault="76CE20E5">
            <w:pPr>
              <w:pStyle w:val="TableParagraph"/>
              <w:numPr>
                <w:ilvl w:val="0"/>
                <w:numId w:val="11"/>
              </w:numPr>
              <w:tabs>
                <w:tab w:val="left" w:pos="468"/>
                <w:tab w:val="left" w:pos="469"/>
              </w:tabs>
              <w:rPr>
                <w:sz w:val="20"/>
                <w:szCs w:val="20"/>
              </w:rPr>
            </w:pPr>
            <w:r w:rsidRPr="00DF4695">
              <w:rPr>
                <w:sz w:val="20"/>
                <w:szCs w:val="20"/>
              </w:rPr>
              <w:t>Petty</w:t>
            </w:r>
            <w:r w:rsidRPr="00DF4695">
              <w:rPr>
                <w:spacing w:val="-1"/>
                <w:sz w:val="20"/>
                <w:szCs w:val="20"/>
              </w:rPr>
              <w:t xml:space="preserve"> </w:t>
            </w:r>
            <w:r w:rsidRPr="00DF4695">
              <w:rPr>
                <w:sz w:val="20"/>
                <w:szCs w:val="20"/>
              </w:rPr>
              <w:t xml:space="preserve">cash </w:t>
            </w:r>
            <w:r w:rsidRPr="009A7C29">
              <w:rPr>
                <w:sz w:val="20"/>
                <w:szCs w:val="20"/>
              </w:rPr>
              <w:t>custodian</w:t>
            </w:r>
            <w:r w:rsidR="38211584" w:rsidRPr="009A7C29">
              <w:rPr>
                <w:sz w:val="20"/>
                <w:szCs w:val="20"/>
              </w:rPr>
              <w:t xml:space="preserve"> (some exceptions available)</w:t>
            </w:r>
          </w:p>
          <w:p w14:paraId="2AB68E53" w14:textId="77777777" w:rsidR="00B47A2E" w:rsidRPr="00DF4695" w:rsidRDefault="00B47A2E">
            <w:pPr>
              <w:pStyle w:val="TableParagraph"/>
              <w:numPr>
                <w:ilvl w:val="0"/>
                <w:numId w:val="11"/>
              </w:numPr>
              <w:tabs>
                <w:tab w:val="left" w:pos="468"/>
                <w:tab w:val="left" w:pos="469"/>
              </w:tabs>
              <w:spacing w:before="1"/>
              <w:rPr>
                <w:rFonts w:ascii="Wingdings" w:hAnsi="Wingdings"/>
                <w:sz w:val="20"/>
                <w:szCs w:val="20"/>
              </w:rPr>
            </w:pPr>
            <w:r w:rsidRPr="00DF4695">
              <w:rPr>
                <w:sz w:val="20"/>
                <w:szCs w:val="20"/>
              </w:rPr>
              <w:t>Supplemental Quantum</w:t>
            </w:r>
            <w:r w:rsidRPr="00DF4695">
              <w:rPr>
                <w:spacing w:val="-1"/>
                <w:sz w:val="20"/>
                <w:szCs w:val="20"/>
              </w:rPr>
              <w:t xml:space="preserve"> </w:t>
            </w:r>
            <w:r w:rsidRPr="00DF4695">
              <w:rPr>
                <w:sz w:val="20"/>
                <w:szCs w:val="20"/>
              </w:rPr>
              <w:t>roles</w:t>
            </w:r>
            <w:r w:rsidRPr="00DF4695">
              <w:rPr>
                <w:spacing w:val="-2"/>
                <w:sz w:val="20"/>
                <w:szCs w:val="20"/>
              </w:rPr>
              <w:t xml:space="preserve"> </w:t>
            </w:r>
            <w:r w:rsidRPr="00DF4695">
              <w:rPr>
                <w:sz w:val="20"/>
                <w:szCs w:val="20"/>
              </w:rPr>
              <w:t>of:</w:t>
            </w:r>
          </w:p>
          <w:p w14:paraId="387ECE3C" w14:textId="38252E3C"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Supplier Maintenance (L1)</w:t>
            </w:r>
          </w:p>
          <w:p w14:paraId="73BAA398" w14:textId="5104A1F1" w:rsidR="00B47A2E" w:rsidRPr="00DF4695" w:rsidRDefault="00B47A2E">
            <w:pPr>
              <w:pStyle w:val="TableParagraph"/>
              <w:numPr>
                <w:ilvl w:val="1"/>
                <w:numId w:val="11"/>
              </w:numPr>
              <w:tabs>
                <w:tab w:val="left" w:pos="649"/>
              </w:tabs>
              <w:spacing w:line="280" w:lineRule="exact"/>
              <w:rPr>
                <w:sz w:val="20"/>
                <w:szCs w:val="20"/>
              </w:rPr>
            </w:pPr>
            <w:r w:rsidRPr="00DF4695">
              <w:rPr>
                <w:sz w:val="20"/>
                <w:szCs w:val="20"/>
              </w:rPr>
              <w:t>Supplier Approver (L2)</w:t>
            </w:r>
          </w:p>
          <w:p w14:paraId="5A22E937" w14:textId="3504CAEC" w:rsidR="00B47A2E" w:rsidRPr="00DF4695" w:rsidRDefault="00B47A2E">
            <w:pPr>
              <w:pStyle w:val="TableParagraph"/>
              <w:numPr>
                <w:ilvl w:val="1"/>
                <w:numId w:val="11"/>
              </w:numPr>
              <w:tabs>
                <w:tab w:val="left" w:pos="649"/>
              </w:tabs>
              <w:spacing w:before="1"/>
              <w:rPr>
                <w:sz w:val="20"/>
                <w:szCs w:val="20"/>
              </w:rPr>
            </w:pPr>
            <w:r w:rsidRPr="00DF4695">
              <w:rPr>
                <w:sz w:val="20"/>
                <w:szCs w:val="20"/>
              </w:rPr>
              <w:t xml:space="preserve">Override match </w:t>
            </w:r>
            <w:r w:rsidR="000E79F3" w:rsidRPr="00DF4695">
              <w:rPr>
                <w:sz w:val="20"/>
                <w:szCs w:val="20"/>
              </w:rPr>
              <w:t>exception</w:t>
            </w:r>
          </w:p>
          <w:p w14:paraId="76EA068E" w14:textId="371AB52B" w:rsidR="00B47A2E" w:rsidRPr="00DF4695" w:rsidRDefault="00B47A2E">
            <w:pPr>
              <w:pStyle w:val="TableParagraph"/>
              <w:numPr>
                <w:ilvl w:val="1"/>
                <w:numId w:val="11"/>
              </w:numPr>
              <w:tabs>
                <w:tab w:val="left" w:pos="649"/>
              </w:tabs>
              <w:spacing w:before="1"/>
              <w:rPr>
                <w:sz w:val="20"/>
                <w:szCs w:val="20"/>
              </w:rPr>
            </w:pPr>
            <w:r w:rsidRPr="00DF4695">
              <w:rPr>
                <w:sz w:val="20"/>
                <w:szCs w:val="20"/>
              </w:rPr>
              <w:t xml:space="preserve">Fund </w:t>
            </w:r>
            <w:r w:rsidR="000E79F3" w:rsidRPr="00DF4695">
              <w:rPr>
                <w:sz w:val="20"/>
                <w:szCs w:val="20"/>
              </w:rPr>
              <w:t>manager</w:t>
            </w:r>
          </w:p>
          <w:p w14:paraId="328AEFBA" w14:textId="5D578488" w:rsidR="00B47A2E" w:rsidRPr="00DF4695" w:rsidRDefault="00B47A2E" w:rsidP="00B47A2E">
            <w:pPr>
              <w:pStyle w:val="TableParagraph"/>
              <w:tabs>
                <w:tab w:val="left" w:pos="649"/>
              </w:tabs>
              <w:spacing w:before="1"/>
              <w:ind w:left="0"/>
              <w:rPr>
                <w:sz w:val="20"/>
                <w:szCs w:val="20"/>
                <w:u w:val="single"/>
              </w:rPr>
            </w:pPr>
            <w:r w:rsidRPr="00DF4695">
              <w:rPr>
                <w:sz w:val="20"/>
                <w:szCs w:val="20"/>
                <w:u w:val="single"/>
              </w:rPr>
              <w:t>Human Resources:</w:t>
            </w:r>
          </w:p>
          <w:p w14:paraId="0185FE3B" w14:textId="19F4F6AF" w:rsidR="00B47A2E" w:rsidRPr="0061724C" w:rsidRDefault="00B47A2E">
            <w:pPr>
              <w:pStyle w:val="TableParagraph"/>
              <w:numPr>
                <w:ilvl w:val="0"/>
                <w:numId w:val="11"/>
              </w:numPr>
              <w:tabs>
                <w:tab w:val="left" w:pos="468"/>
                <w:tab w:val="left" w:pos="469"/>
              </w:tabs>
              <w:spacing w:line="268" w:lineRule="exact"/>
              <w:rPr>
                <w:sz w:val="20"/>
                <w:szCs w:val="20"/>
              </w:rPr>
            </w:pPr>
            <w:r w:rsidRPr="00DF4695">
              <w:rPr>
                <w:sz w:val="20"/>
                <w:szCs w:val="20"/>
              </w:rPr>
              <w:t>1</w:t>
            </w:r>
            <w:r w:rsidRPr="00DF4695">
              <w:rPr>
                <w:sz w:val="20"/>
                <w:szCs w:val="20"/>
                <w:vertAlign w:val="superscript"/>
              </w:rPr>
              <w:t>st</w:t>
            </w:r>
            <w:r w:rsidRPr="00DF4695">
              <w:rPr>
                <w:spacing w:val="-3"/>
                <w:sz w:val="20"/>
                <w:szCs w:val="20"/>
              </w:rPr>
              <w:t xml:space="preserve"> </w:t>
            </w:r>
            <w:r w:rsidRPr="00DF4695">
              <w:rPr>
                <w:sz w:val="20"/>
                <w:szCs w:val="20"/>
              </w:rPr>
              <w:t>Authority:</w:t>
            </w:r>
            <w:r w:rsidRPr="00DF4695">
              <w:rPr>
                <w:spacing w:val="-3"/>
                <w:sz w:val="20"/>
                <w:szCs w:val="20"/>
              </w:rPr>
              <w:t xml:space="preserve"> </w:t>
            </w:r>
            <w:r w:rsidRPr="00DF4695">
              <w:rPr>
                <w:sz w:val="20"/>
                <w:szCs w:val="20"/>
              </w:rPr>
              <w:t>HR</w:t>
            </w:r>
            <w:r w:rsidRPr="00DF4695">
              <w:rPr>
                <w:spacing w:val="-1"/>
                <w:sz w:val="20"/>
                <w:szCs w:val="20"/>
              </w:rPr>
              <w:t xml:space="preserve"> </w:t>
            </w:r>
            <w:r w:rsidR="0061724C">
              <w:rPr>
                <w:spacing w:val="-1"/>
                <w:sz w:val="20"/>
                <w:szCs w:val="20"/>
              </w:rPr>
              <w:t>Administrator</w:t>
            </w:r>
            <w:r w:rsidR="00D73B61">
              <w:rPr>
                <w:sz w:val="20"/>
                <w:szCs w:val="20"/>
              </w:rPr>
              <w:t xml:space="preserve"> </w:t>
            </w:r>
            <w:r w:rsidR="00C135ED" w:rsidRPr="0061724C">
              <w:rPr>
                <w:sz w:val="20"/>
                <w:szCs w:val="20"/>
              </w:rPr>
              <w:t>(</w:t>
            </w:r>
            <w:r w:rsidR="003A6617">
              <w:rPr>
                <w:sz w:val="20"/>
                <w:szCs w:val="20"/>
              </w:rPr>
              <w:t>in out-posted HQ locations only)</w:t>
            </w:r>
          </w:p>
          <w:p w14:paraId="0C76DAA7" w14:textId="70C6E99E" w:rsidR="00B47A2E" w:rsidRPr="00DF4695" w:rsidRDefault="00B47A2E">
            <w:pPr>
              <w:pStyle w:val="TableParagraph"/>
              <w:numPr>
                <w:ilvl w:val="0"/>
                <w:numId w:val="11"/>
              </w:numPr>
              <w:tabs>
                <w:tab w:val="left" w:pos="468"/>
                <w:tab w:val="left" w:pos="469"/>
              </w:tabs>
              <w:spacing w:before="17"/>
              <w:rPr>
                <w:sz w:val="20"/>
                <w:szCs w:val="20"/>
              </w:rPr>
            </w:pPr>
            <w:r w:rsidRPr="00DF4695">
              <w:rPr>
                <w:sz w:val="20"/>
                <w:szCs w:val="20"/>
              </w:rPr>
              <w:t>2</w:t>
            </w:r>
            <w:r w:rsidRPr="00DF4695">
              <w:rPr>
                <w:sz w:val="20"/>
                <w:szCs w:val="20"/>
                <w:vertAlign w:val="superscript"/>
              </w:rPr>
              <w:t>nd</w:t>
            </w:r>
            <w:r w:rsidRPr="00DF4695">
              <w:rPr>
                <w:spacing w:val="-2"/>
                <w:sz w:val="20"/>
                <w:szCs w:val="20"/>
              </w:rPr>
              <w:t xml:space="preserve"> </w:t>
            </w:r>
            <w:r w:rsidRPr="00DF4695">
              <w:rPr>
                <w:sz w:val="20"/>
                <w:szCs w:val="20"/>
              </w:rPr>
              <w:t>Authority:</w:t>
            </w:r>
            <w:r w:rsidRPr="00DF4695">
              <w:rPr>
                <w:spacing w:val="-2"/>
                <w:sz w:val="20"/>
                <w:szCs w:val="20"/>
              </w:rPr>
              <w:t xml:space="preserve"> </w:t>
            </w:r>
            <w:r w:rsidR="2569D762" w:rsidRPr="00DF4695">
              <w:rPr>
                <w:spacing w:val="-2"/>
                <w:sz w:val="20"/>
                <w:szCs w:val="20"/>
              </w:rPr>
              <w:t xml:space="preserve">Global </w:t>
            </w:r>
            <w:r w:rsidR="0061724C">
              <w:rPr>
                <w:spacing w:val="-2"/>
                <w:sz w:val="20"/>
                <w:szCs w:val="20"/>
              </w:rPr>
              <w:t>Payroll Administrator</w:t>
            </w:r>
          </w:p>
          <w:p w14:paraId="46AEFB81" w14:textId="7EFA49B2" w:rsidR="00B47A2E" w:rsidRPr="00DF4695" w:rsidRDefault="00B47A2E">
            <w:pPr>
              <w:pStyle w:val="TableParagraph"/>
              <w:numPr>
                <w:ilvl w:val="0"/>
                <w:numId w:val="11"/>
              </w:numPr>
              <w:tabs>
                <w:tab w:val="left" w:pos="468"/>
                <w:tab w:val="left" w:pos="469"/>
              </w:tabs>
              <w:spacing w:before="19"/>
              <w:rPr>
                <w:sz w:val="20"/>
                <w:szCs w:val="20"/>
              </w:rPr>
            </w:pPr>
            <w:r w:rsidRPr="00DF4695">
              <w:rPr>
                <w:sz w:val="20"/>
                <w:szCs w:val="20"/>
              </w:rPr>
              <w:t>3</w:t>
            </w:r>
            <w:r w:rsidRPr="00DF4695">
              <w:rPr>
                <w:sz w:val="20"/>
                <w:szCs w:val="20"/>
                <w:vertAlign w:val="superscript"/>
              </w:rPr>
              <w:t>rd</w:t>
            </w:r>
            <w:r w:rsidRPr="00DF4695">
              <w:rPr>
                <w:spacing w:val="-3"/>
                <w:sz w:val="20"/>
                <w:szCs w:val="20"/>
              </w:rPr>
              <w:t xml:space="preserve"> </w:t>
            </w:r>
            <w:r w:rsidRPr="00DF4695">
              <w:rPr>
                <w:sz w:val="20"/>
                <w:szCs w:val="20"/>
              </w:rPr>
              <w:t>Authority:</w:t>
            </w:r>
            <w:r w:rsidRPr="00DF4695">
              <w:rPr>
                <w:spacing w:val="-4"/>
                <w:sz w:val="20"/>
                <w:szCs w:val="20"/>
              </w:rPr>
              <w:t xml:space="preserve"> </w:t>
            </w:r>
            <w:r w:rsidRPr="00DF4695">
              <w:rPr>
                <w:sz w:val="20"/>
                <w:szCs w:val="20"/>
              </w:rPr>
              <w:t>Payroll Validation Tool</w:t>
            </w:r>
            <w:r w:rsidR="0061724C">
              <w:rPr>
                <w:sz w:val="20"/>
                <w:szCs w:val="20"/>
              </w:rPr>
              <w:t xml:space="preserve"> User</w:t>
            </w:r>
          </w:p>
          <w:p w14:paraId="6CDB05FB" w14:textId="767AD8DD" w:rsidR="00B47A2E" w:rsidRPr="00B56C73" w:rsidRDefault="00B47A2E">
            <w:pPr>
              <w:pStyle w:val="TableParagraph"/>
              <w:numPr>
                <w:ilvl w:val="0"/>
                <w:numId w:val="11"/>
              </w:numPr>
              <w:tabs>
                <w:tab w:val="left" w:pos="468"/>
                <w:tab w:val="left" w:pos="469"/>
              </w:tabs>
              <w:spacing w:before="17"/>
              <w:rPr>
                <w:sz w:val="20"/>
                <w:szCs w:val="20"/>
              </w:rPr>
            </w:pPr>
            <w:r w:rsidRPr="00DF4695">
              <w:rPr>
                <w:sz w:val="20"/>
                <w:szCs w:val="20"/>
              </w:rPr>
              <w:t>Position</w:t>
            </w:r>
            <w:r w:rsidRPr="00DF4695">
              <w:rPr>
                <w:spacing w:val="-2"/>
                <w:sz w:val="20"/>
                <w:szCs w:val="20"/>
              </w:rPr>
              <w:t xml:space="preserve"> </w:t>
            </w:r>
            <w:r w:rsidR="003A6617">
              <w:rPr>
                <w:sz w:val="20"/>
                <w:szCs w:val="20"/>
              </w:rPr>
              <w:t>Approver - Head of Office; and Position Approver – Head of Office Bureau Level (refer section 8.</w:t>
            </w:r>
            <w:r w:rsidR="003B122C">
              <w:rPr>
                <w:sz w:val="20"/>
                <w:szCs w:val="20"/>
              </w:rPr>
              <w:t>5</w:t>
            </w:r>
            <w:r w:rsidR="003A6617">
              <w:rPr>
                <w:sz w:val="20"/>
                <w:szCs w:val="20"/>
              </w:rPr>
              <w:t xml:space="preserve"> for more information)</w:t>
            </w:r>
          </w:p>
        </w:tc>
        <w:tc>
          <w:tcPr>
            <w:tcW w:w="4963" w:type="dxa"/>
          </w:tcPr>
          <w:p w14:paraId="2B32DE13" w14:textId="77777777" w:rsidR="00B64FB0" w:rsidRDefault="00B64FB0" w:rsidP="00B64FB0">
            <w:pPr>
              <w:rPr>
                <w:sz w:val="20"/>
                <w:szCs w:val="20"/>
                <w:u w:val="single"/>
              </w:rPr>
            </w:pPr>
            <w:r w:rsidRPr="00DF4695">
              <w:rPr>
                <w:sz w:val="20"/>
                <w:szCs w:val="20"/>
                <w:u w:val="single"/>
              </w:rPr>
              <w:lastRenderedPageBreak/>
              <w:t>Finance:</w:t>
            </w:r>
          </w:p>
          <w:p w14:paraId="04894213" w14:textId="77777777" w:rsidR="00D50A16" w:rsidRPr="00DF4695" w:rsidRDefault="00D50A16">
            <w:pPr>
              <w:pStyle w:val="ListParagraph"/>
              <w:numPr>
                <w:ilvl w:val="0"/>
                <w:numId w:val="12"/>
              </w:numPr>
              <w:rPr>
                <w:sz w:val="20"/>
                <w:szCs w:val="20"/>
              </w:rPr>
            </w:pPr>
            <w:r w:rsidRPr="363CA695">
              <w:rPr>
                <w:sz w:val="20"/>
                <w:szCs w:val="20"/>
              </w:rPr>
              <w:t>Project</w:t>
            </w:r>
            <w:r w:rsidRPr="363CA695">
              <w:rPr>
                <w:spacing w:val="-4"/>
                <w:sz w:val="20"/>
                <w:szCs w:val="20"/>
              </w:rPr>
              <w:t xml:space="preserve"> </w:t>
            </w:r>
            <w:r w:rsidRPr="363CA695">
              <w:rPr>
                <w:sz w:val="20"/>
                <w:szCs w:val="20"/>
              </w:rPr>
              <w:t>Manager</w:t>
            </w:r>
            <w:r w:rsidRPr="363CA695">
              <w:rPr>
                <w:spacing w:val="-2"/>
                <w:sz w:val="20"/>
                <w:szCs w:val="20"/>
              </w:rPr>
              <w:t xml:space="preserve"> (first authority)</w:t>
            </w:r>
            <w:r w:rsidRPr="363CA695">
              <w:rPr>
                <w:rStyle w:val="FootnoteReference"/>
                <w:spacing w:val="-2"/>
                <w:sz w:val="20"/>
                <w:szCs w:val="20"/>
              </w:rPr>
              <w:footnoteReference w:id="11"/>
            </w:r>
          </w:p>
          <w:p w14:paraId="20B886E8" w14:textId="77777777" w:rsidR="00D50A16" w:rsidRPr="00DF4695" w:rsidRDefault="00D50A16">
            <w:pPr>
              <w:pStyle w:val="ListParagraph"/>
              <w:numPr>
                <w:ilvl w:val="0"/>
                <w:numId w:val="12"/>
              </w:numPr>
              <w:rPr>
                <w:sz w:val="20"/>
                <w:szCs w:val="20"/>
              </w:rPr>
            </w:pPr>
            <w:r w:rsidRPr="00DF4695">
              <w:rPr>
                <w:sz w:val="20"/>
                <w:szCs w:val="20"/>
              </w:rPr>
              <w:t>Procurement Buyer</w:t>
            </w:r>
          </w:p>
          <w:p w14:paraId="621C2801" w14:textId="77777777" w:rsidR="00D50A16" w:rsidRPr="00DF4695" w:rsidRDefault="00D50A16">
            <w:pPr>
              <w:pStyle w:val="ListParagraph"/>
              <w:numPr>
                <w:ilvl w:val="0"/>
                <w:numId w:val="12"/>
              </w:numPr>
              <w:rPr>
                <w:sz w:val="20"/>
                <w:szCs w:val="20"/>
              </w:rPr>
            </w:pPr>
            <w:r w:rsidRPr="00DF4695">
              <w:rPr>
                <w:sz w:val="20"/>
                <w:szCs w:val="20"/>
              </w:rPr>
              <w:t>Finance User</w:t>
            </w:r>
            <w:r w:rsidRPr="00DF4695">
              <w:rPr>
                <w:rStyle w:val="FootnoteReference"/>
                <w:sz w:val="20"/>
                <w:szCs w:val="20"/>
              </w:rPr>
              <w:footnoteReference w:id="12"/>
            </w:r>
          </w:p>
          <w:p w14:paraId="6D379144" w14:textId="77777777" w:rsidR="00D50A16" w:rsidRPr="00DF4695" w:rsidRDefault="00D50A16">
            <w:pPr>
              <w:pStyle w:val="ListParagraph"/>
              <w:numPr>
                <w:ilvl w:val="0"/>
                <w:numId w:val="12"/>
              </w:numPr>
              <w:rPr>
                <w:sz w:val="20"/>
                <w:szCs w:val="20"/>
              </w:rPr>
            </w:pPr>
            <w:r w:rsidRPr="00DF4695">
              <w:rPr>
                <w:sz w:val="20"/>
                <w:szCs w:val="20"/>
              </w:rPr>
              <w:t>Travel</w:t>
            </w:r>
            <w:r w:rsidRPr="00DF4695">
              <w:rPr>
                <w:spacing w:val="-5"/>
                <w:sz w:val="20"/>
                <w:szCs w:val="20"/>
              </w:rPr>
              <w:t xml:space="preserve"> </w:t>
            </w:r>
            <w:r w:rsidRPr="00DF4695">
              <w:rPr>
                <w:sz w:val="20"/>
                <w:szCs w:val="20"/>
              </w:rPr>
              <w:t xml:space="preserve">Processor </w:t>
            </w:r>
          </w:p>
          <w:p w14:paraId="07CCD4EB" w14:textId="77777777" w:rsidR="00D50A16" w:rsidRPr="00D50A16" w:rsidRDefault="00D50A16">
            <w:pPr>
              <w:pStyle w:val="ListParagraph"/>
              <w:numPr>
                <w:ilvl w:val="0"/>
                <w:numId w:val="12"/>
              </w:numPr>
              <w:rPr>
                <w:rStyle w:val="Hyperlink"/>
                <w:color w:val="auto"/>
                <w:sz w:val="20"/>
                <w:szCs w:val="20"/>
                <w:u w:val="none"/>
              </w:rPr>
            </w:pPr>
            <w:r w:rsidRPr="00DF4695">
              <w:rPr>
                <w:sz w:val="20"/>
                <w:szCs w:val="20"/>
              </w:rPr>
              <w:t>Development</w:t>
            </w:r>
            <w:r w:rsidRPr="00DF4695">
              <w:rPr>
                <w:spacing w:val="-3"/>
                <w:sz w:val="20"/>
                <w:szCs w:val="20"/>
              </w:rPr>
              <w:t xml:space="preserve"> </w:t>
            </w:r>
            <w:r w:rsidRPr="00DF4695">
              <w:rPr>
                <w:sz w:val="20"/>
                <w:szCs w:val="20"/>
              </w:rPr>
              <w:t>Project</w:t>
            </w:r>
            <w:r w:rsidRPr="00DF4695">
              <w:rPr>
                <w:spacing w:val="-3"/>
                <w:sz w:val="20"/>
                <w:szCs w:val="20"/>
              </w:rPr>
              <w:t xml:space="preserve"> </w:t>
            </w:r>
            <w:r w:rsidRPr="00DF4695">
              <w:rPr>
                <w:sz w:val="20"/>
                <w:szCs w:val="20"/>
              </w:rPr>
              <w:t>Petty</w:t>
            </w:r>
            <w:r w:rsidRPr="00DF4695">
              <w:rPr>
                <w:spacing w:val="-3"/>
                <w:sz w:val="20"/>
                <w:szCs w:val="20"/>
              </w:rPr>
              <w:t xml:space="preserve"> </w:t>
            </w:r>
            <w:r w:rsidRPr="00DF4695">
              <w:rPr>
                <w:sz w:val="20"/>
                <w:szCs w:val="20"/>
              </w:rPr>
              <w:t>Cash</w:t>
            </w:r>
            <w:r w:rsidRPr="00DF4695">
              <w:rPr>
                <w:spacing w:val="-1"/>
                <w:sz w:val="20"/>
                <w:szCs w:val="20"/>
              </w:rPr>
              <w:t xml:space="preserve"> </w:t>
            </w:r>
            <w:r w:rsidRPr="00DF4695">
              <w:rPr>
                <w:sz w:val="20"/>
                <w:szCs w:val="20"/>
              </w:rPr>
              <w:t>Advance holder –</w:t>
            </w:r>
            <w:r w:rsidRPr="00DF4695">
              <w:rPr>
                <w:spacing w:val="-3"/>
                <w:sz w:val="20"/>
                <w:szCs w:val="20"/>
              </w:rPr>
              <w:t xml:space="preserve"> subject to </w:t>
            </w:r>
            <w:hyperlink r:id="rId19" w:history="1">
              <w:r w:rsidRPr="00DF4695">
                <w:rPr>
                  <w:rStyle w:val="Hyperlink"/>
                  <w:spacing w:val="-3"/>
                  <w:sz w:val="20"/>
                  <w:szCs w:val="20"/>
                </w:rPr>
                <w:t>“Management of Petty Cash</w:t>
              </w:r>
              <w:r w:rsidRPr="00DF4695">
                <w:rPr>
                  <w:rStyle w:val="Hyperlink"/>
                  <w:sz w:val="20"/>
                  <w:szCs w:val="20"/>
                </w:rPr>
                <w:t>” policy</w:t>
              </w:r>
            </w:hyperlink>
          </w:p>
          <w:p w14:paraId="33B403FD" w14:textId="29618600" w:rsidR="00D50A16" w:rsidRPr="00D50A16" w:rsidRDefault="00D50A16" w:rsidP="00D50A16">
            <w:pPr>
              <w:rPr>
                <w:rStyle w:val="Hyperlink"/>
                <w:color w:val="auto"/>
                <w:sz w:val="20"/>
                <w:szCs w:val="20"/>
                <w:u w:val="none"/>
              </w:rPr>
            </w:pPr>
          </w:p>
          <w:p w14:paraId="04D60CAE" w14:textId="6DF7DAAE" w:rsidR="000E79F3" w:rsidRPr="00DF4695" w:rsidRDefault="000E79F3" w:rsidP="000E79F3">
            <w:pPr>
              <w:rPr>
                <w:sz w:val="20"/>
                <w:szCs w:val="20"/>
                <w:u w:val="single"/>
              </w:rPr>
            </w:pPr>
            <w:r w:rsidRPr="00DF4695">
              <w:rPr>
                <w:sz w:val="20"/>
                <w:szCs w:val="20"/>
                <w:u w:val="single"/>
              </w:rPr>
              <w:t>Human Resources:</w:t>
            </w:r>
          </w:p>
          <w:p w14:paraId="3101FDE5" w14:textId="77777777" w:rsidR="006B1ACD" w:rsidRPr="006B1ACD" w:rsidRDefault="006B1ACD" w:rsidP="006B1ACD">
            <w:pPr>
              <w:pStyle w:val="ListParagraph"/>
              <w:numPr>
                <w:ilvl w:val="0"/>
                <w:numId w:val="112"/>
              </w:numPr>
              <w:rPr>
                <w:rFonts w:eastAsia="Times New Roman" w:cstheme="minorHAnsi"/>
                <w:kern w:val="0"/>
                <w:sz w:val="20"/>
                <w:szCs w:val="20"/>
                <w14:ligatures w14:val="none"/>
              </w:rPr>
            </w:pPr>
            <w:r w:rsidRPr="006B1ACD">
              <w:rPr>
                <w:rFonts w:eastAsia="Times New Roman" w:cstheme="minorHAnsi"/>
                <w:kern w:val="0"/>
                <w:sz w:val="20"/>
                <w:szCs w:val="20"/>
                <w14:ligatures w14:val="none"/>
              </w:rPr>
              <w:t>Position Administrator - Operating Unit Level Data Access</w:t>
            </w:r>
          </w:p>
          <w:p w14:paraId="3475F9E2" w14:textId="77777777" w:rsidR="006B1ACD" w:rsidRPr="006B1ACD" w:rsidRDefault="006B1ACD" w:rsidP="006B1ACD">
            <w:pPr>
              <w:pStyle w:val="ListParagraph"/>
              <w:numPr>
                <w:ilvl w:val="0"/>
                <w:numId w:val="112"/>
              </w:numPr>
              <w:rPr>
                <w:sz w:val="20"/>
                <w:szCs w:val="20"/>
              </w:rPr>
            </w:pPr>
            <w:r w:rsidRPr="006B1ACD">
              <w:rPr>
                <w:sz w:val="20"/>
                <w:szCs w:val="20"/>
              </w:rPr>
              <w:t>Position Approver HR Manager by Department </w:t>
            </w:r>
          </w:p>
          <w:p w14:paraId="2D0015B7" w14:textId="77777777" w:rsidR="006B1ACD" w:rsidRPr="006B1ACD" w:rsidRDefault="006B1ACD" w:rsidP="006B1ACD">
            <w:pPr>
              <w:pStyle w:val="ListParagraph"/>
              <w:numPr>
                <w:ilvl w:val="0"/>
                <w:numId w:val="112"/>
              </w:numPr>
              <w:rPr>
                <w:sz w:val="20"/>
                <w:szCs w:val="20"/>
              </w:rPr>
            </w:pPr>
            <w:r w:rsidRPr="006B1ACD">
              <w:rPr>
                <w:sz w:val="20"/>
                <w:szCs w:val="20"/>
              </w:rPr>
              <w:t>Position Approver HR Manager Bureau Level </w:t>
            </w:r>
          </w:p>
          <w:p w14:paraId="774DD350" w14:textId="77777777" w:rsidR="006B1ACD" w:rsidRPr="006B1ACD" w:rsidRDefault="006B1ACD" w:rsidP="006B1ACD">
            <w:pPr>
              <w:pStyle w:val="ListParagraph"/>
              <w:numPr>
                <w:ilvl w:val="0"/>
                <w:numId w:val="112"/>
              </w:numPr>
              <w:rPr>
                <w:sz w:val="20"/>
                <w:szCs w:val="20"/>
              </w:rPr>
            </w:pPr>
            <w:r w:rsidRPr="006B1ACD">
              <w:rPr>
                <w:sz w:val="20"/>
                <w:szCs w:val="20"/>
              </w:rPr>
              <w:t>Position Approver Budget Reviewer by Department </w:t>
            </w:r>
          </w:p>
          <w:p w14:paraId="7FB088FD" w14:textId="77777777" w:rsidR="006B1ACD" w:rsidRPr="006B1ACD" w:rsidRDefault="006B1ACD" w:rsidP="006B1ACD">
            <w:pPr>
              <w:pStyle w:val="ListParagraph"/>
              <w:numPr>
                <w:ilvl w:val="0"/>
                <w:numId w:val="112"/>
              </w:numPr>
              <w:rPr>
                <w:sz w:val="20"/>
                <w:szCs w:val="20"/>
              </w:rPr>
            </w:pPr>
            <w:r w:rsidRPr="006B1ACD">
              <w:rPr>
                <w:sz w:val="20"/>
                <w:szCs w:val="20"/>
              </w:rPr>
              <w:t>Position Approver Budget Reviewer Bureau Level </w:t>
            </w:r>
          </w:p>
          <w:p w14:paraId="32844587" w14:textId="77777777" w:rsidR="006B1ACD" w:rsidRPr="006B1ACD" w:rsidRDefault="006B1ACD" w:rsidP="006B1ACD">
            <w:pPr>
              <w:pStyle w:val="ListParagraph"/>
              <w:numPr>
                <w:ilvl w:val="0"/>
                <w:numId w:val="112"/>
              </w:numPr>
              <w:rPr>
                <w:sz w:val="20"/>
                <w:szCs w:val="20"/>
              </w:rPr>
            </w:pPr>
            <w:r w:rsidRPr="006B1ACD">
              <w:rPr>
                <w:sz w:val="20"/>
                <w:szCs w:val="20"/>
              </w:rPr>
              <w:t>Position Approver Bureau Reviewer</w:t>
            </w:r>
          </w:p>
          <w:p w14:paraId="6CC1EF59" w14:textId="4CDD23C5" w:rsidR="006B1ACD" w:rsidRDefault="006B1ACD" w:rsidP="006B1ACD">
            <w:pPr>
              <w:pStyle w:val="ListParagraph"/>
              <w:numPr>
                <w:ilvl w:val="0"/>
                <w:numId w:val="112"/>
              </w:numPr>
              <w:rPr>
                <w:sz w:val="20"/>
                <w:szCs w:val="20"/>
              </w:rPr>
            </w:pPr>
            <w:r w:rsidRPr="006B1ACD">
              <w:rPr>
                <w:sz w:val="20"/>
                <w:szCs w:val="20"/>
              </w:rPr>
              <w:t>Position Approver GSSC</w:t>
            </w:r>
          </w:p>
          <w:p w14:paraId="5DF532F8" w14:textId="266BFADA" w:rsidR="006B1ACD" w:rsidRPr="006B1ACD" w:rsidRDefault="006B1ACD" w:rsidP="006B1ACD">
            <w:pPr>
              <w:pStyle w:val="ListParagraph"/>
              <w:ind w:left="360"/>
              <w:rPr>
                <w:sz w:val="20"/>
                <w:szCs w:val="20"/>
              </w:rPr>
            </w:pPr>
            <w:r>
              <w:rPr>
                <w:sz w:val="20"/>
                <w:szCs w:val="20"/>
              </w:rPr>
              <w:t>(refer section 8.5 for more information)</w:t>
            </w:r>
          </w:p>
          <w:p w14:paraId="3B35C815" w14:textId="35D5F918" w:rsidR="000E79F3" w:rsidRPr="009A7C29" w:rsidRDefault="003175AA">
            <w:pPr>
              <w:pStyle w:val="ListParagraph"/>
              <w:numPr>
                <w:ilvl w:val="0"/>
                <w:numId w:val="106"/>
              </w:numPr>
              <w:textAlignment w:val="baseline"/>
              <w:rPr>
                <w:lang w:eastAsia="en-GB"/>
                <w14:ligatures w14:val="none"/>
              </w:rPr>
            </w:pPr>
            <w:r w:rsidRPr="009A7C29">
              <w:rPr>
                <w:sz w:val="20"/>
                <w:szCs w:val="20"/>
              </w:rPr>
              <w:t>PSAs may serve on corporate committees</w:t>
            </w:r>
            <w:r w:rsidR="00E91982" w:rsidRPr="009A7C29">
              <w:rPr>
                <w:sz w:val="20"/>
                <w:szCs w:val="20"/>
              </w:rPr>
              <w:t xml:space="preserve"> (such as interview panels, contracts and property committee, vendor review committee, etc.).</w:t>
            </w:r>
            <w:r w:rsidRPr="009A7C29">
              <w:rPr>
                <w:sz w:val="20"/>
                <w:szCs w:val="20"/>
              </w:rPr>
              <w:t xml:space="preserve"> </w:t>
            </w:r>
            <w:r w:rsidR="00E91982" w:rsidRPr="009A7C29">
              <w:rPr>
                <w:sz w:val="20"/>
                <w:szCs w:val="20"/>
              </w:rPr>
              <w:t xml:space="preserve"> Except for interview panels,</w:t>
            </w:r>
            <w:r w:rsidRPr="009A7C29">
              <w:rPr>
                <w:sz w:val="20"/>
                <w:szCs w:val="20"/>
              </w:rPr>
              <w:t xml:space="preserve"> PSAs may not serve as chair, alternate chair or be the majority voting members on corporate committees.</w:t>
            </w:r>
            <w:r w:rsidR="00E91982" w:rsidRPr="009A7C29">
              <w:rPr>
                <w:sz w:val="20"/>
                <w:szCs w:val="20"/>
              </w:rPr>
              <w:t xml:space="preserve"> With respect to interview panels, the panel will normally be </w:t>
            </w:r>
            <w:r w:rsidR="00E91982" w:rsidRPr="009A7C29">
              <w:rPr>
                <w:sz w:val="20"/>
                <w:szCs w:val="20"/>
                <w:lang w:eastAsia="en-GB"/>
              </w:rPr>
              <w:t>chaired by an FTA holder. However, when this is not possible, the Head of the Business Unit may authorize the chair of the interview panel to be the PSA holder holding the highest level, who must be at the level of the PSA position or higher.</w:t>
            </w:r>
            <w:r w:rsidR="00E91982" w:rsidRPr="009A7C29">
              <w:rPr>
                <w:lang w:eastAsia="en-GB"/>
              </w:rPr>
              <w:t xml:space="preserve"> </w:t>
            </w:r>
          </w:p>
          <w:p w14:paraId="06D5F2C4" w14:textId="77777777" w:rsidR="00DF4695" w:rsidRPr="00DF4695" w:rsidRDefault="00DF4695" w:rsidP="00DF4695">
            <w:pPr>
              <w:pStyle w:val="ListParagraph"/>
              <w:ind w:left="360"/>
              <w:rPr>
                <w:sz w:val="20"/>
                <w:szCs w:val="20"/>
              </w:rPr>
            </w:pPr>
          </w:p>
          <w:p w14:paraId="2981531D" w14:textId="013088CF" w:rsidR="000E79F3" w:rsidRPr="006A0F08" w:rsidRDefault="003175AA">
            <w:pPr>
              <w:pStyle w:val="ListParagraph"/>
              <w:numPr>
                <w:ilvl w:val="0"/>
                <w:numId w:val="12"/>
              </w:numPr>
              <w:rPr>
                <w:sz w:val="20"/>
                <w:szCs w:val="20"/>
              </w:rPr>
            </w:pPr>
            <w:r w:rsidRPr="363CA695">
              <w:rPr>
                <w:sz w:val="20"/>
                <w:szCs w:val="20"/>
              </w:rPr>
              <w:t>PSAs may also administer or manage a selection process in accordance with the UNDP standard policies &amp; established processes as this is not considered an “inherent function</w:t>
            </w:r>
            <w:r w:rsidR="00CC637C" w:rsidRPr="363CA695">
              <w:rPr>
                <w:sz w:val="20"/>
                <w:szCs w:val="20"/>
              </w:rPr>
              <w:t>.</w:t>
            </w:r>
            <w:r w:rsidRPr="363CA695">
              <w:rPr>
                <w:sz w:val="20"/>
                <w:szCs w:val="20"/>
              </w:rPr>
              <w:t>”</w:t>
            </w:r>
            <w:r w:rsidR="000E79F3" w:rsidRPr="363CA695">
              <w:rPr>
                <w:sz w:val="20"/>
                <w:szCs w:val="20"/>
              </w:rPr>
              <w:t xml:space="preserve"> However, deciding what rules to put into the corporate manuals &amp; policies or making exceptions to such policies, in the interests of the UN is an “inherent function” and may not be performed by PSAs. For more information, refer to </w:t>
            </w:r>
            <w:hyperlink r:id="rId20">
              <w:r w:rsidR="000E79F3" w:rsidRPr="363CA695">
                <w:rPr>
                  <w:color w:val="0462C1"/>
                  <w:sz w:val="20"/>
                  <w:szCs w:val="20"/>
                  <w:u w:val="single"/>
                </w:rPr>
                <w:t>POPP</w:t>
              </w:r>
            </w:hyperlink>
            <w:r w:rsidR="000E79F3" w:rsidRPr="363CA695">
              <w:rPr>
                <w:color w:val="0462C1"/>
                <w:sz w:val="20"/>
                <w:szCs w:val="20"/>
                <w:u w:val="single"/>
              </w:rPr>
              <w:t xml:space="preserve"> </w:t>
            </w:r>
            <w:hyperlink r:id="rId21">
              <w:r w:rsidR="000E79F3" w:rsidRPr="363CA695">
                <w:rPr>
                  <w:color w:val="0462C1"/>
                  <w:sz w:val="20"/>
                  <w:szCs w:val="20"/>
                  <w:u w:val="single"/>
                </w:rPr>
                <w:t>Human Resources</w:t>
              </w:r>
            </w:hyperlink>
            <w:r w:rsidR="000E79F3" w:rsidRPr="363CA695">
              <w:rPr>
                <w:color w:val="0462C1"/>
                <w:sz w:val="20"/>
                <w:szCs w:val="20"/>
                <w:u w:val="single"/>
              </w:rPr>
              <w:t xml:space="preserve"> </w:t>
            </w:r>
            <w:hyperlink r:id="rId22">
              <w:r w:rsidR="000E79F3" w:rsidRPr="363CA695">
                <w:rPr>
                  <w:color w:val="0462C1"/>
                  <w:sz w:val="20"/>
                  <w:szCs w:val="20"/>
                  <w:u w:val="single"/>
                </w:rPr>
                <w:t>Management Non-Staff</w:t>
              </w:r>
            </w:hyperlink>
            <w:r w:rsidR="000E79F3" w:rsidRPr="363CA695">
              <w:rPr>
                <w:color w:val="0462C1"/>
                <w:sz w:val="20"/>
                <w:szCs w:val="20"/>
                <w:u w:val="single"/>
              </w:rPr>
              <w:t>.</w:t>
            </w:r>
          </w:p>
        </w:tc>
      </w:tr>
    </w:tbl>
    <w:p w14:paraId="215233BE" w14:textId="500AB6EC" w:rsidR="00BD402A" w:rsidRDefault="00F11B4A" w:rsidP="00817B66">
      <w:pPr>
        <w:spacing w:line="240" w:lineRule="auto"/>
      </w:pPr>
      <w:r>
        <w:lastRenderedPageBreak/>
        <w:br/>
      </w:r>
      <w:r w:rsidR="00B47A2E" w:rsidRPr="363CA695">
        <w:rPr>
          <w:b/>
          <w:bCs/>
        </w:rPr>
        <w:t>Special situation</w:t>
      </w:r>
      <w:r w:rsidRPr="363CA695">
        <w:rPr>
          <w:b/>
          <w:bCs/>
        </w:rPr>
        <w:t xml:space="preserve"> pertaining to other UN agency staff</w:t>
      </w:r>
      <w:r w:rsidR="00B47A2E" w:rsidRPr="363CA695">
        <w:rPr>
          <w:b/>
          <w:bCs/>
        </w:rPr>
        <w:t>:</w:t>
      </w:r>
      <w:r w:rsidR="00B47A2E" w:rsidRPr="363CA695">
        <w:t xml:space="preserve"> There may be situations where a staff member of another UN Agency applies for and is appointed to a UNDP FTA or TA post and, at BMS/OHR’s instruction, the staff member is placed on an RLA/NRLA for the first year of the appointment (rather than a secondment) due to a lien being held on their post by the transferring UN agency. In such cases, (N)RLA staff from other UN entities should be considered UNDP staff members for the purposes of the ICF, depending upon the delegation and other accountabilities established in the RLA agreement.</w:t>
      </w:r>
    </w:p>
    <w:p w14:paraId="2262B49A" w14:textId="77777777" w:rsidR="00D5789D" w:rsidRPr="00E54A14" w:rsidRDefault="00D5789D">
      <w:pPr>
        <w:pStyle w:val="Heading2"/>
        <w:numPr>
          <w:ilvl w:val="1"/>
          <w:numId w:val="93"/>
        </w:numPr>
        <w:spacing w:after="240"/>
      </w:pPr>
      <w:bookmarkStart w:id="14" w:name="_Toc134134744"/>
      <w:bookmarkStart w:id="15" w:name="_Toc210052744"/>
      <w:r w:rsidRPr="00E54A14">
        <w:t xml:space="preserve">Actions or exceptions that must be approved or </w:t>
      </w:r>
      <w:proofErr w:type="gramStart"/>
      <w:r w:rsidRPr="00E54A14">
        <w:t>cleared</w:t>
      </w:r>
      <w:proofErr w:type="gramEnd"/>
      <w:r w:rsidRPr="00E54A14">
        <w:t xml:space="preserve"> by an authority owner</w:t>
      </w:r>
      <w:bookmarkEnd w:id="14"/>
      <w:bookmarkEnd w:id="15"/>
    </w:p>
    <w:p w14:paraId="3FB74280" w14:textId="18B8A130" w:rsidR="00D5789D" w:rsidRPr="00E54A14" w:rsidRDefault="00D5789D" w:rsidP="00817B66">
      <w:pPr>
        <w:spacing w:line="240" w:lineRule="auto"/>
      </w:pPr>
      <w:r w:rsidRPr="00E54A14">
        <w:t xml:space="preserve">Under the Delegation of Authority (DOA) Policy and specific </w:t>
      </w:r>
      <w:r w:rsidR="00151C6C">
        <w:t xml:space="preserve">POPP </w:t>
      </w:r>
      <w:r w:rsidRPr="00E54A14">
        <w:t xml:space="preserve">sections, certain actions require clearance by the relevant authority owner. Further information is included in the </w:t>
      </w:r>
      <w:hyperlink r:id="rId23">
        <w:r w:rsidRPr="00E54A14">
          <w:rPr>
            <w:rStyle w:val="Hyperlink"/>
          </w:rPr>
          <w:t xml:space="preserve">DOA Policy, </w:t>
        </w:r>
      </w:hyperlink>
      <w:r w:rsidRPr="00E54A14">
        <w:t>Annex A, POPP and/or in relevant areas of this Guide.</w:t>
      </w:r>
    </w:p>
    <w:p w14:paraId="34F1BD8B" w14:textId="1F2FBF60" w:rsidR="00D5789D" w:rsidRPr="00E54A14" w:rsidRDefault="00D5789D">
      <w:pPr>
        <w:pStyle w:val="Heading2"/>
        <w:numPr>
          <w:ilvl w:val="1"/>
          <w:numId w:val="93"/>
        </w:numPr>
        <w:spacing w:after="240"/>
      </w:pPr>
      <w:bookmarkStart w:id="16" w:name="_Toc134134745"/>
      <w:bookmarkStart w:id="17" w:name="_Toc210052745"/>
      <w:r w:rsidRPr="00E54A14">
        <w:lastRenderedPageBreak/>
        <w:t>Documenting the Office</w:t>
      </w:r>
      <w:r w:rsidR="00B80B31">
        <w:t>/Unit’s</w:t>
      </w:r>
      <w:r w:rsidRPr="00E54A14">
        <w:t xml:space="preserve"> Local ICF</w:t>
      </w:r>
      <w:bookmarkEnd w:id="16"/>
      <w:bookmarkEnd w:id="17"/>
    </w:p>
    <w:p w14:paraId="39014C8C" w14:textId="292AFDC8" w:rsidR="00D5789D" w:rsidRPr="009A7C29" w:rsidRDefault="00151C6C" w:rsidP="00817B66">
      <w:pPr>
        <w:spacing w:line="240" w:lineRule="auto"/>
      </w:pPr>
      <w:bookmarkStart w:id="18" w:name="_Hlk194409974"/>
      <w:r w:rsidRPr="009A7C29">
        <w:rPr>
          <w:b/>
          <w:bCs/>
        </w:rPr>
        <w:t>Local ICF content and review cycle:</w:t>
      </w:r>
      <w:r w:rsidRPr="009A7C29">
        <w:t xml:space="preserve"> </w:t>
      </w:r>
      <w:bookmarkEnd w:id="18"/>
      <w:r w:rsidR="00D5789D" w:rsidRPr="363CA695">
        <w:t>Each Head of Office/Unit has overall responsibility for establishing and maintaining adequate internal controls in their office/unit, and for ensuring documentation of the office</w:t>
      </w:r>
      <w:r w:rsidR="00B80B31" w:rsidRPr="363CA695">
        <w:t>/unit</w:t>
      </w:r>
      <w:r w:rsidR="00D5789D" w:rsidRPr="363CA695">
        <w:t>’s internal control procedures in a manner consistent with this Guide. Periodically and at least annually, the Head of Office</w:t>
      </w:r>
      <w:r w:rsidR="00B80B31" w:rsidRPr="363CA695">
        <w:t>/Unit</w:t>
      </w:r>
      <w:r w:rsidR="00D5789D" w:rsidRPr="363CA695">
        <w:t xml:space="preserve"> should review, update  and approve the office</w:t>
      </w:r>
      <w:r w:rsidR="00B80B31" w:rsidRPr="363CA695">
        <w:t>/unit</w:t>
      </w:r>
      <w:r w:rsidR="00D5789D" w:rsidRPr="363CA695">
        <w:t xml:space="preserve">’s documented </w:t>
      </w:r>
      <w:r w:rsidRPr="363CA695">
        <w:t>local ICF</w:t>
      </w:r>
      <w:r w:rsidR="00D5789D" w:rsidRPr="363CA695">
        <w:t xml:space="preserve"> and upload it to the </w:t>
      </w:r>
      <w:hyperlink r:id="rId24">
        <w:r w:rsidR="00D5789D" w:rsidRPr="363CA695">
          <w:rPr>
            <w:rStyle w:val="Hyperlink"/>
          </w:rPr>
          <w:t xml:space="preserve">HQ Local ICF Repository </w:t>
        </w:r>
      </w:hyperlink>
      <w:r w:rsidR="00D5789D" w:rsidRPr="363CA695">
        <w:t>for future reference and audit. The documented local ICF should include the following key minimum elements: (</w:t>
      </w:r>
      <w:proofErr w:type="spellStart"/>
      <w:r w:rsidR="00D5789D" w:rsidRPr="363CA695">
        <w:t>i</w:t>
      </w:r>
      <w:proofErr w:type="spellEnd"/>
      <w:r w:rsidR="00D5789D" w:rsidRPr="363CA695">
        <w:t xml:space="preserve">) distribution of roles; (ii) delegations of authority (including those exercised outside the ERP); (iii) budget override </w:t>
      </w:r>
      <w:r w:rsidR="00E85064" w:rsidRPr="009A7C29">
        <w:t>guidance</w:t>
      </w:r>
      <w:r w:rsidR="00D5789D" w:rsidRPr="009A7C29">
        <w:t>; and (iv) organizational chart of the office</w:t>
      </w:r>
      <w:r w:rsidR="00B80B31" w:rsidRPr="009A7C29">
        <w:t>/unit</w:t>
      </w:r>
      <w:r w:rsidR="00D5789D" w:rsidRPr="009A7C29">
        <w:t xml:space="preserve">. </w:t>
      </w:r>
    </w:p>
    <w:p w14:paraId="64EB0D24" w14:textId="7E8FDB8E" w:rsidR="00D5789D" w:rsidRPr="00E54A14" w:rsidRDefault="00151C6C" w:rsidP="00817B66">
      <w:pPr>
        <w:spacing w:line="240" w:lineRule="auto"/>
      </w:pPr>
      <w:r w:rsidRPr="009A7C29">
        <w:rPr>
          <w:b/>
          <w:bCs/>
        </w:rPr>
        <w:t>Use of electronic tools for local ICF:</w:t>
      </w:r>
      <w:r w:rsidRPr="009A7C29">
        <w:t xml:space="preserve"> </w:t>
      </w:r>
      <w:r w:rsidR="00D5789D" w:rsidRPr="00E54A14">
        <w:t>Offices</w:t>
      </w:r>
      <w:r w:rsidR="00B80B31">
        <w:t>/units</w:t>
      </w:r>
      <w:r w:rsidR="00D5789D" w:rsidRPr="00E54A14">
        <w:t xml:space="preserve"> may use local or regional tools to support management and issuance of delegations of authority (DOA). However, all offices</w:t>
      </w:r>
      <w:r w:rsidR="00B80B31">
        <w:t>/units</w:t>
      </w:r>
      <w:r w:rsidR="00D5789D" w:rsidRPr="00E54A14">
        <w:t xml:space="preserve"> must still upload the required information on their local ICF to the</w:t>
      </w:r>
      <w:r w:rsidR="00D5789D" w:rsidRPr="00151C6C">
        <w:t xml:space="preserve"> </w:t>
      </w:r>
      <w:hyperlink r:id="rId25" w:history="1">
        <w:r w:rsidRPr="00151C6C">
          <w:rPr>
            <w:rStyle w:val="Hyperlink"/>
          </w:rPr>
          <w:t>HQ Local ICF Repository</w:t>
        </w:r>
      </w:hyperlink>
      <w:r w:rsidR="00D5789D" w:rsidRPr="00E54A14">
        <w:t>. In cases where offices</w:t>
      </w:r>
      <w:r w:rsidR="00B80B31">
        <w:t>/units</w:t>
      </w:r>
      <w:r w:rsidR="00D5789D" w:rsidRPr="00E54A14">
        <w:t xml:space="preserve"> use a specific DOA tool, they should still upload the required information about their local ICF, which may include a link to the tool where the DOA information is stored. </w:t>
      </w:r>
    </w:p>
    <w:p w14:paraId="264598AD" w14:textId="19FBC67A" w:rsidR="00D5789D" w:rsidRPr="00E54A14" w:rsidRDefault="00151C6C" w:rsidP="00817B66">
      <w:pPr>
        <w:spacing w:line="240" w:lineRule="auto"/>
      </w:pPr>
      <w:r w:rsidRPr="009A7C29">
        <w:rPr>
          <w:b/>
          <w:bCs/>
        </w:rPr>
        <w:t>Role of BMS/GSSC</w:t>
      </w:r>
      <w:r w:rsidR="00512F6A" w:rsidRPr="009A7C29">
        <w:rPr>
          <w:b/>
          <w:bCs/>
        </w:rPr>
        <w:t>’s processing services</w:t>
      </w:r>
      <w:r w:rsidRPr="009A7C29">
        <w:rPr>
          <w:b/>
          <w:bCs/>
        </w:rPr>
        <w:t>:</w:t>
      </w:r>
      <w:r w:rsidRPr="009A7C29">
        <w:t xml:space="preserve"> </w:t>
      </w:r>
      <w:r w:rsidR="00D5789D" w:rsidRPr="363CA695">
        <w:t>For Country Offices whose business processes are executed through the BMS/GSSC, the local ICF should indicate which processes have been transferred to the BMS/GSSC and who the Head of Office has assigned to be the designated official(s) authorized to submit service requests to the BMS/GSSC.</w:t>
      </w:r>
      <w:r w:rsidR="001A5E4A" w:rsidRPr="363CA695">
        <w:t xml:space="preserve"> </w:t>
      </w:r>
      <w:r w:rsidR="00D5789D" w:rsidRPr="363CA695">
        <w:t>The submission of a service request by Country or HQ offices to the BMS/GSSC constitutes all the necessary authorization for the BMS/GSSC to perform the transaction in its entirety on behalf of the office</w:t>
      </w:r>
      <w:r w:rsidR="00B80B31" w:rsidRPr="363CA695">
        <w:t>/unit</w:t>
      </w:r>
      <w:r w:rsidR="00D5789D" w:rsidRPr="363CA695">
        <w:t xml:space="preserve"> submitting the request. BMS/GSSC services provided monthly without a service request include B2B Reconciliations, Accounts Receivable Reporting, Processing and review of other receivables, Inventory Reporting, and PPR. Offices</w:t>
      </w:r>
      <w:r w:rsidR="00B80B31" w:rsidRPr="363CA695">
        <w:t>/units</w:t>
      </w:r>
      <w:r w:rsidR="00D5789D" w:rsidRPr="363CA695">
        <w:t xml:space="preserve"> should ensure segregation of duties is carefully followed when assigning roles for submitting BMS/GSSC service requests.</w:t>
      </w:r>
    </w:p>
    <w:p w14:paraId="6B818EDA" w14:textId="1798ADE4" w:rsidR="00D5789D" w:rsidRPr="00E54A14" w:rsidRDefault="00151C6C" w:rsidP="00817B66">
      <w:pPr>
        <w:spacing w:line="240" w:lineRule="auto"/>
      </w:pPr>
      <w:r w:rsidRPr="009A7C29">
        <w:rPr>
          <w:b/>
          <w:bCs/>
        </w:rPr>
        <w:t>Remedying identified weaknesses:</w:t>
      </w:r>
      <w:r w:rsidRPr="009A7C29">
        <w:t xml:space="preserve"> </w:t>
      </w:r>
      <w:r w:rsidR="00D5789D" w:rsidRPr="363CA695">
        <w:t xml:space="preserve">In the normal course of business, staff members may identify weaknesses </w:t>
      </w:r>
      <w:r w:rsidR="008370C5" w:rsidRPr="363CA695">
        <w:t xml:space="preserve">or areas of non-compliance </w:t>
      </w:r>
      <w:r w:rsidR="00D5789D" w:rsidRPr="363CA695">
        <w:t>in the office</w:t>
      </w:r>
      <w:r w:rsidR="008370C5" w:rsidRPr="363CA695">
        <w:t>/unit’s ICF.</w:t>
      </w:r>
      <w:r w:rsidR="00D5789D" w:rsidRPr="363CA695">
        <w:t xml:space="preserve"> The Head of Office</w:t>
      </w:r>
      <w:r w:rsidR="008370C5" w:rsidRPr="363CA695">
        <w:t>/Unit</w:t>
      </w:r>
      <w:r w:rsidR="00D5789D" w:rsidRPr="363CA695">
        <w:t xml:space="preserve"> should establish procedures to facilitate receiving </w:t>
      </w:r>
      <w:proofErr w:type="gramStart"/>
      <w:r w:rsidR="00D5789D" w:rsidRPr="363CA695">
        <w:t>staff’s</w:t>
      </w:r>
      <w:proofErr w:type="gramEnd"/>
      <w:r w:rsidR="00D5789D" w:rsidRPr="363CA695">
        <w:t xml:space="preserve"> reports of weaknesses or non-compliance </w:t>
      </w:r>
      <w:proofErr w:type="gramStart"/>
      <w:r w:rsidR="00D5789D" w:rsidRPr="363CA695">
        <w:t>per</w:t>
      </w:r>
      <w:proofErr w:type="gramEnd"/>
      <w:r w:rsidR="00D5789D" w:rsidRPr="363CA695">
        <w:t xml:space="preserve"> financial rule 102.02. The Head of Office</w:t>
      </w:r>
      <w:r w:rsidR="008370C5" w:rsidRPr="363CA695">
        <w:t>/Unit</w:t>
      </w:r>
      <w:r w:rsidR="00D5789D" w:rsidRPr="363CA695">
        <w:t xml:space="preserve"> is responsible for taking remedial action if, in their best judgment, non-compliance poses an operational risk to the office</w:t>
      </w:r>
      <w:r w:rsidR="008370C5" w:rsidRPr="363CA695">
        <w:t>/unit</w:t>
      </w:r>
      <w:r w:rsidR="00D5789D" w:rsidRPr="363CA695">
        <w:t>.</w:t>
      </w:r>
      <w:r w:rsidR="0004476A" w:rsidRPr="0004476A">
        <w:rPr>
          <w:color w:val="ED7D31" w:themeColor="accent2"/>
        </w:rPr>
        <w:t xml:space="preserve"> </w:t>
      </w:r>
      <w:r w:rsidR="0004476A" w:rsidRPr="009A7C29">
        <w:t>Should any inconsistencies in Quantum control configurations be identified by users, this should be promptly reported to BMS/OF</w:t>
      </w:r>
      <w:r w:rsidR="00A40A72">
        <w:t>R</w:t>
      </w:r>
      <w:r w:rsidR="0004476A" w:rsidRPr="009A7C29">
        <w:t>M at fba.all@undp.org.</w:t>
      </w:r>
    </w:p>
    <w:p w14:paraId="4102EAA1" w14:textId="77777777" w:rsidR="00D5789D" w:rsidRPr="00E54A14" w:rsidRDefault="00D5789D">
      <w:pPr>
        <w:pStyle w:val="Heading2"/>
        <w:numPr>
          <w:ilvl w:val="1"/>
          <w:numId w:val="93"/>
        </w:numPr>
        <w:spacing w:after="240"/>
      </w:pPr>
      <w:bookmarkStart w:id="19" w:name="2.6_Monitoring_&amp;_reporting_on_risk_manag"/>
      <w:bookmarkStart w:id="20" w:name="_Toc134134746"/>
      <w:bookmarkStart w:id="21" w:name="_Toc210052746"/>
      <w:bookmarkEnd w:id="19"/>
      <w:r w:rsidRPr="00E54A14">
        <w:t>Monitoring &amp; reporting on risk management</w:t>
      </w:r>
      <w:bookmarkEnd w:id="20"/>
      <w:bookmarkEnd w:id="21"/>
    </w:p>
    <w:p w14:paraId="409EE29C" w14:textId="6154C998" w:rsidR="006D26ED" w:rsidRPr="00D8509D" w:rsidRDefault="00D5789D" w:rsidP="006D26ED">
      <w:pPr>
        <w:spacing w:line="240" w:lineRule="auto"/>
      </w:pPr>
      <w:r w:rsidRPr="363CA695">
        <w:t>Risk management i</w:t>
      </w:r>
      <w:r w:rsidR="00B6432F" w:rsidRPr="363CA695">
        <w:t>s</w:t>
      </w:r>
      <w:r w:rsidRPr="363CA695">
        <w:t xml:space="preserve"> an integral component of UNDP’s Internal Control </w:t>
      </w:r>
      <w:r w:rsidR="00CF1DB8" w:rsidRPr="363CA695">
        <w:t>Framework,</w:t>
      </w:r>
      <w:r w:rsidRPr="363CA695">
        <w:t xml:space="preserve"> and the results of risk monitoring and review must be recorded and reported as appropriate and be used as a regular input to </w:t>
      </w:r>
      <w:proofErr w:type="spellStart"/>
      <w:r w:rsidRPr="363CA695">
        <w:t>programme</w:t>
      </w:r>
      <w:proofErr w:type="spellEnd"/>
      <w:r w:rsidRPr="363CA695">
        <w:t xml:space="preserve"> and project management decisions, audits, and organizational performance. In addition, the status and effectiveness of treatment measures </w:t>
      </w:r>
      <w:proofErr w:type="gramStart"/>
      <w:r w:rsidRPr="363CA695">
        <w:t>needs</w:t>
      </w:r>
      <w:proofErr w:type="gramEnd"/>
      <w:r w:rsidRPr="363CA695">
        <w:t xml:space="preserve"> to be monitored for Moderate, Substantial and High-level risks and included in </w:t>
      </w:r>
      <w:proofErr w:type="spellStart"/>
      <w:r w:rsidRPr="363CA695">
        <w:t>programme</w:t>
      </w:r>
      <w:proofErr w:type="spellEnd"/>
      <w:r w:rsidRPr="363CA695">
        <w:t xml:space="preserve"> and project management monitoring plans and budgets. </w:t>
      </w:r>
      <w:hyperlink r:id="rId26">
        <w:r w:rsidR="006D26ED" w:rsidRPr="363CA695">
          <w:rPr>
            <w:rStyle w:val="Hyperlink"/>
          </w:rPr>
          <w:t xml:space="preserve">The </w:t>
        </w:r>
        <w:proofErr w:type="spellStart"/>
        <w:r w:rsidR="006D26ED" w:rsidRPr="363CA695">
          <w:rPr>
            <w:rStyle w:val="Hyperlink"/>
          </w:rPr>
          <w:t>programme</w:t>
        </w:r>
        <w:proofErr w:type="spellEnd"/>
      </w:hyperlink>
      <w:r w:rsidR="006D26ED" w:rsidRPr="363CA695">
        <w:t xml:space="preserve"> and </w:t>
      </w:r>
      <w:hyperlink r:id="rId27">
        <w:r w:rsidR="006D26ED" w:rsidRPr="363CA695">
          <w:rPr>
            <w:rStyle w:val="Hyperlink"/>
          </w:rPr>
          <w:t>project/portfolio risk</w:t>
        </w:r>
      </w:hyperlink>
      <w:r w:rsidR="006D26ED" w:rsidRPr="363CA695">
        <w:t xml:space="preserve"> dashboards provide an overview of high risks along with their treatment measures implementation status to facilitate risk management and monitoring. For more guidance, refer to </w:t>
      </w:r>
      <w:hyperlink r:id="rId28">
        <w:r w:rsidR="006D26ED" w:rsidRPr="363CA695">
          <w:rPr>
            <w:rStyle w:val="Hyperlink"/>
          </w:rPr>
          <w:t>POPP Enterprise Risk Management</w:t>
        </w:r>
      </w:hyperlink>
      <w:r w:rsidR="006D26ED" w:rsidRPr="363CA695">
        <w:t>.</w:t>
      </w:r>
    </w:p>
    <w:p w14:paraId="1E32730F" w14:textId="77777777" w:rsidR="00D5789D" w:rsidRPr="00E54A14" w:rsidRDefault="00D5789D">
      <w:pPr>
        <w:pStyle w:val="Heading2"/>
        <w:numPr>
          <w:ilvl w:val="1"/>
          <w:numId w:val="93"/>
        </w:numPr>
        <w:spacing w:after="240"/>
      </w:pPr>
      <w:bookmarkStart w:id="22" w:name="_Toc134134748"/>
      <w:bookmarkStart w:id="23" w:name="_Toc210052747"/>
      <w:bookmarkStart w:id="24" w:name="_Hlk115436647"/>
      <w:r w:rsidRPr="00E54A14">
        <w:t>Mitigating risks associated with money laundering and terrorist financing</w:t>
      </w:r>
      <w:bookmarkEnd w:id="22"/>
      <w:bookmarkEnd w:id="23"/>
    </w:p>
    <w:bookmarkEnd w:id="24"/>
    <w:p w14:paraId="1074DAF9" w14:textId="229C0190" w:rsidR="00D5789D" w:rsidRPr="00E54A14" w:rsidRDefault="00D5789D" w:rsidP="00817B66">
      <w:pPr>
        <w:spacing w:line="240" w:lineRule="auto"/>
      </w:pPr>
      <w:r w:rsidRPr="363CA695">
        <w:t>UNDP is committed to the highest ethical standards and will not tolerate the diversion of the resources entrusted to it through money laundering or terrorist financing. Similarly, UNDP will not engage with entities that tolerate the diversion of resources through money laundering or terrorist financing. UNDP’s Anti-Money Laundering (“AML”) and Countering the Financing of Terrorism (“CFT”) (together referred to as “AML/CFT”) Policy (2022) sets out UNDP’s requirements in: (</w:t>
      </w:r>
      <w:proofErr w:type="spellStart"/>
      <w:r w:rsidRPr="363CA695">
        <w:t>i</w:t>
      </w:r>
      <w:proofErr w:type="spellEnd"/>
      <w:r w:rsidRPr="363CA695">
        <w:t xml:space="preserve">) establishing fundamental guiding principles and standards </w:t>
      </w:r>
      <w:r w:rsidRPr="363CA695">
        <w:lastRenderedPageBreak/>
        <w:t xml:space="preserve">regarding AML/CFT, as reflected in the various procedures and controls within UNDP’s policy and procedural framework, and (ii) defining the roles and responsibilities of its management and staff in relation to AML/CFT. </w:t>
      </w:r>
    </w:p>
    <w:p w14:paraId="6E0148BD" w14:textId="20B6DF8A" w:rsidR="00D5789D" w:rsidRPr="00E54A14" w:rsidRDefault="00B6432F" w:rsidP="363CA695">
      <w:pPr>
        <w:spacing w:line="240" w:lineRule="auto"/>
      </w:pPr>
      <w:r w:rsidRPr="009A7C29">
        <w:rPr>
          <w:b/>
          <w:bCs/>
        </w:rPr>
        <w:t>What must be done:</w:t>
      </w:r>
      <w:r w:rsidRPr="009A7C29">
        <w:t xml:space="preserve"> </w:t>
      </w:r>
      <w:r w:rsidR="00D5789D" w:rsidRPr="363CA695">
        <w:t xml:space="preserve">The AML/CFT Policy provides guidance on performing mandatory risk-based due diligence (with risk rating criteria and the process for standard vs. enhanced vetting); establishing and terminating contractual arrangements; suspicious activity reporting and management; and applicable protection against retaliation procedures. </w:t>
      </w:r>
    </w:p>
    <w:p w14:paraId="42506309" w14:textId="4ADE044A" w:rsidR="00D5789D" w:rsidRDefault="00B6432F" w:rsidP="363CA695">
      <w:pPr>
        <w:spacing w:line="240" w:lineRule="auto"/>
      </w:pPr>
      <w:r w:rsidRPr="009A7C29">
        <w:rPr>
          <w:b/>
          <w:bCs/>
        </w:rPr>
        <w:t>Who should do it:</w:t>
      </w:r>
      <w:r w:rsidRPr="009A7C29">
        <w:t xml:space="preserve"> </w:t>
      </w:r>
      <w:r w:rsidR="00D5789D" w:rsidRPr="363CA695">
        <w:t xml:space="preserve">At the CO/office/hub level, the AML/CFT Focal Point role shall be assigned to a UNDP staff member with sufficient experience, independence, and seniority to support the AML/CFT policy implementation and risk management processes for the relevant CO/office/hub. To avoid conflicts of interest, the AML/CFT Focal Point should not have responsibilities for originating and/or maintaining relationships with counterparties. Examples of UNDP staff members who may perform this role include CO operations managers, finance officers, desk officers, etc. </w:t>
      </w:r>
      <w:r w:rsidR="006B6FF0">
        <w:t xml:space="preserve">(and their HQ equivalents). </w:t>
      </w:r>
      <w:r w:rsidR="00D5789D" w:rsidRPr="363CA695">
        <w:t xml:space="preserve">Further information can be found in the </w:t>
      </w:r>
      <w:hyperlink r:id="rId29">
        <w:r w:rsidR="00D5789D" w:rsidRPr="363CA695">
          <w:rPr>
            <w:rStyle w:val="Hyperlink"/>
          </w:rPr>
          <w:t>AML/CFT Policy</w:t>
        </w:r>
      </w:hyperlink>
      <w:r w:rsidR="00D5789D" w:rsidRPr="363CA695">
        <w:t>.</w:t>
      </w:r>
      <w:bookmarkStart w:id="25" w:name="2.9_Personal_accountability"/>
      <w:bookmarkEnd w:id="25"/>
    </w:p>
    <w:p w14:paraId="458C3BD7" w14:textId="77777777" w:rsidR="009F5C1E" w:rsidRPr="00E54A14" w:rsidRDefault="009F5C1E">
      <w:pPr>
        <w:pStyle w:val="Heading2"/>
        <w:numPr>
          <w:ilvl w:val="1"/>
          <w:numId w:val="93"/>
        </w:numPr>
        <w:spacing w:after="240"/>
      </w:pPr>
      <w:bookmarkStart w:id="26" w:name="_Toc210052748"/>
      <w:r w:rsidRPr="00E54A14">
        <w:t>Reporting Fraud</w:t>
      </w:r>
      <w:bookmarkEnd w:id="26"/>
    </w:p>
    <w:p w14:paraId="2FE08810" w14:textId="77777777" w:rsidR="009F5C1E" w:rsidRPr="00E54A14" w:rsidRDefault="009F5C1E" w:rsidP="009F5C1E">
      <w:pPr>
        <w:spacing w:line="240" w:lineRule="auto"/>
      </w:pPr>
      <w:r w:rsidRPr="363CA695">
        <w:t xml:space="preserve">Any act of fraud and corruption in UNDP’s activities depletes funds, assets, and other resources necessary to fulfill UNDP’s mandate. Fraudulent and corrupt practices can also seriously damage UNDP’s reputation and diminish donors’, partners’ and beneficiaries’ trust in </w:t>
      </w:r>
      <w:proofErr w:type="gramStart"/>
      <w:r w:rsidRPr="363CA695">
        <w:t>its</w:t>
      </w:r>
      <w:proofErr w:type="gramEnd"/>
      <w:r w:rsidRPr="363CA695">
        <w:t xml:space="preserve"> ability to deliver results in an accountable and transparent manner. Furthermore, it may affect staff and personnel effectiveness, motivation and morale, and impact on the Organization’s ability to attract and retain a talented work force. UNDP has zero tolerance for fraud and corruption, meaning that UNDP staff members, non-staff personnel, suppliers, implementing partners and responsible parties are not to engage in fraud or corruption.</w:t>
      </w:r>
    </w:p>
    <w:p w14:paraId="23FE8AE2" w14:textId="1AFE5ADF" w:rsidR="00DE1BCC" w:rsidRPr="00DE1BCC" w:rsidRDefault="009F5C1E" w:rsidP="00DE1BCC">
      <w:r w:rsidRPr="363CA695">
        <w:t xml:space="preserve">All incidents of fraud and corruption are to be reported promptly to improve the chances of fund/resource recovery. They will be assessed and, as appropriate, investigated in accordance with the </w:t>
      </w:r>
      <w:hyperlink r:id="rId30">
        <w:r w:rsidRPr="363CA695">
          <w:rPr>
            <w:rStyle w:val="Hyperlink"/>
          </w:rPr>
          <w:t>Investigation Guidelines of the UNDP Office of Audit and Investigations</w:t>
        </w:r>
      </w:hyperlink>
      <w:r w:rsidRPr="363CA695">
        <w:t xml:space="preserve"> (OAI) and the </w:t>
      </w:r>
      <w:hyperlink r:id="rId31">
        <w:r w:rsidRPr="363CA695">
          <w:rPr>
            <w:rStyle w:val="Hyperlink"/>
          </w:rPr>
          <w:t>UNDP Legal Framework for Addressing Non-compliance with UN Standards of Conduct</w:t>
        </w:r>
      </w:hyperlink>
      <w:r w:rsidRPr="363CA695">
        <w:t xml:space="preserve"> (“UNDP Legal Framework”), when applicable. Refer to </w:t>
      </w:r>
      <w:hyperlink r:id="rId32">
        <w:r w:rsidRPr="363CA695">
          <w:rPr>
            <w:rStyle w:val="Hyperlink"/>
          </w:rPr>
          <w:t>POPP Anti-Fraud Policy</w:t>
        </w:r>
      </w:hyperlink>
      <w:r w:rsidRPr="363CA695">
        <w:t xml:space="preserve"> </w:t>
      </w:r>
      <w:r w:rsidRPr="009A7C29">
        <w:t xml:space="preserve">and to </w:t>
      </w:r>
      <w:hyperlink r:id="rId33" w:anchor="report">
        <w:r w:rsidRPr="009A7C29">
          <w:rPr>
            <w:rStyle w:val="Hyperlink"/>
            <w:color w:val="auto"/>
          </w:rPr>
          <w:t>OAI Investigations SharePoint site</w:t>
        </w:r>
      </w:hyperlink>
      <w:r w:rsidRPr="009A7C29">
        <w:t xml:space="preserve"> for more information, including on the different fraud reporting channels. Additionally, any potential fraud related to payments should be brought to the attention of BMS/OF</w:t>
      </w:r>
      <w:r w:rsidR="00A40A72">
        <w:t>R</w:t>
      </w:r>
      <w:r w:rsidRPr="009A7C29">
        <w:t xml:space="preserve">M/Treasury immediately as timing is of the essence to recover the funds. </w:t>
      </w:r>
    </w:p>
    <w:p w14:paraId="52288408" w14:textId="77777777" w:rsidR="00D5789D" w:rsidRPr="00E54A14" w:rsidRDefault="00D5789D">
      <w:pPr>
        <w:pStyle w:val="Heading2"/>
        <w:numPr>
          <w:ilvl w:val="1"/>
          <w:numId w:val="93"/>
        </w:numPr>
        <w:spacing w:after="240"/>
      </w:pPr>
      <w:bookmarkStart w:id="27" w:name="_Toc134134749"/>
      <w:bookmarkStart w:id="28" w:name="_Toc210052749"/>
      <w:r w:rsidRPr="00E54A14">
        <w:t>Personal accountability</w:t>
      </w:r>
      <w:bookmarkEnd w:id="27"/>
      <w:bookmarkEnd w:id="28"/>
    </w:p>
    <w:p w14:paraId="321C847C" w14:textId="336106DE" w:rsidR="000F3577" w:rsidRPr="000F3577" w:rsidRDefault="00D5789D" w:rsidP="000F3577">
      <w:pPr>
        <w:spacing w:line="240" w:lineRule="auto"/>
        <w:rPr>
          <w:color w:val="ED7D31" w:themeColor="accent2"/>
        </w:rPr>
      </w:pPr>
      <w:r w:rsidRPr="00E54A14">
        <w:t xml:space="preserve">Financial rule 102.02 of UNDP FRRs states, “All personnel of UNDP are responsible to the Administrator for the regularity of actions taken by them in the course of their official duties. Any personnel who take any action contrary to these financial rules or the instructions which may be issued in connection therewith may be held personally responsible and </w:t>
      </w:r>
      <w:r w:rsidRPr="009A7C29">
        <w:t>financially liable for the consequence of such action.”</w:t>
      </w:r>
      <w:r w:rsidR="009657B6" w:rsidRPr="009A7C29">
        <w:t xml:space="preserve"> </w:t>
      </w:r>
      <w:r w:rsidR="000F3577" w:rsidRPr="009A7C29">
        <w:t>This is particularly relevant for the application of FRR Chapters F (Utilization of Resources by UNDP) and G (Administration of Resources)</w:t>
      </w:r>
      <w:r w:rsidR="00352236" w:rsidRPr="009A7C29">
        <w:t xml:space="preserve">, including </w:t>
      </w:r>
      <w:r w:rsidR="00796697" w:rsidRPr="009A7C29">
        <w:t xml:space="preserve">related POPP sections on </w:t>
      </w:r>
      <w:hyperlink r:id="rId34" w:history="1">
        <w:r w:rsidR="00796697" w:rsidRPr="00796697">
          <w:rPr>
            <w:rStyle w:val="Hyperlink"/>
          </w:rPr>
          <w:t>Procurement Ethics, Fraud and Corrupt Practices</w:t>
        </w:r>
      </w:hyperlink>
      <w:r w:rsidR="00796697" w:rsidRPr="009A7C29">
        <w:t xml:space="preserve">, and </w:t>
      </w:r>
      <w:hyperlink r:id="rId35" w:history="1">
        <w:r w:rsidR="00796697" w:rsidRPr="00796697">
          <w:rPr>
            <w:rStyle w:val="Hyperlink"/>
          </w:rPr>
          <w:t>Vendor Sanctions</w:t>
        </w:r>
      </w:hyperlink>
      <w:r w:rsidR="00796697">
        <w:rPr>
          <w:color w:val="ED7D31" w:themeColor="accent2"/>
        </w:rPr>
        <w:t>.</w:t>
      </w:r>
    </w:p>
    <w:p w14:paraId="203F50B0" w14:textId="7AC54C98" w:rsidR="000F3577" w:rsidRPr="009A7C29" w:rsidRDefault="000F3577" w:rsidP="363CA695">
      <w:pPr>
        <w:spacing w:line="240" w:lineRule="auto"/>
      </w:pPr>
      <w:r w:rsidRPr="009A7C29">
        <w:t xml:space="preserve">Additionally, staff should be aware that section 5.3 (Recovery for Loss of Property or Assets) of the </w:t>
      </w:r>
      <w:hyperlink r:id="rId36">
        <w:r w:rsidRPr="009A7C29">
          <w:rPr>
            <w:rStyle w:val="Hyperlink"/>
            <w:color w:val="auto"/>
          </w:rPr>
          <w:t>UNDP Legal Framework for Addressing Non-compliance with UN Standards of Conduct</w:t>
        </w:r>
      </w:hyperlink>
      <w:r w:rsidRPr="009A7C29">
        <w:t xml:space="preserve"> states that “Under Staff Rule 10.1 (b), “Where the staff member’s failure to comply with his or her obligations or to observe the standards of conduct expected of an international civil servant is determined by the Secretary-General to constitute misconduct, such staff member may be required to reimburse the United Nations either partially or in full for any financial loss suffered by the United Nations as a result of his or her actions, if such actions are determined to be willful, reckless, or grossly negligent.” Pursuant to that Rule, UNDP will pursue recovery for any financial loss attributable to the staff member’s misconduct (fraud, theft), or gross negligence, or recklessness, in the </w:t>
      </w:r>
      <w:r w:rsidRPr="009A7C29">
        <w:lastRenderedPageBreak/>
        <w:t>management of funds. Such recovery action does not constitute a disciplinary measure (see Staff Rule 10.2 (b)) and is distinct from any disciplinary action being considered or undertaken.</w:t>
      </w:r>
    </w:p>
    <w:p w14:paraId="5E5CABE4" w14:textId="445FB8E3" w:rsidR="00281394" w:rsidRDefault="00281394">
      <w:pPr>
        <w:pStyle w:val="Heading2"/>
        <w:numPr>
          <w:ilvl w:val="1"/>
          <w:numId w:val="93"/>
        </w:numPr>
        <w:spacing w:after="240"/>
      </w:pPr>
      <w:bookmarkStart w:id="29" w:name="_Toc210052750"/>
      <w:r>
        <w:t>Document</w:t>
      </w:r>
      <w:r w:rsidR="00671E75">
        <w:t>ation</w:t>
      </w:r>
      <w:r>
        <w:t xml:space="preserve"> management and retention</w:t>
      </w:r>
      <w:bookmarkEnd w:id="29"/>
    </w:p>
    <w:p w14:paraId="69776D3E" w14:textId="527D94C0" w:rsidR="00371DFA" w:rsidRPr="009A7C29" w:rsidRDefault="00A94B62" w:rsidP="363CA695">
      <w:pPr>
        <w:spacing w:line="240" w:lineRule="auto"/>
        <w:rPr>
          <w:rStyle w:val="normaltextrun"/>
        </w:rPr>
      </w:pPr>
      <w:r>
        <w:rPr>
          <w:rStyle w:val="normaltextrun"/>
          <w:shd w:val="clear" w:color="auto" w:fill="FFFFFF"/>
        </w:rPr>
        <w:t>O</w:t>
      </w:r>
      <w:r w:rsidR="00BE71AC" w:rsidRPr="00BE71AC">
        <w:rPr>
          <w:rStyle w:val="normaltextrun"/>
          <w:shd w:val="clear" w:color="auto" w:fill="FFFFFF"/>
        </w:rPr>
        <w:t xml:space="preserve">ffices should ensure compliance with POPP </w:t>
      </w:r>
      <w:hyperlink r:id="rId37" w:history="1">
        <w:r w:rsidR="00BE71AC" w:rsidRPr="00BE71AC">
          <w:rPr>
            <w:rStyle w:val="Hyperlink"/>
            <w:color w:val="4472C4" w:themeColor="accent1"/>
            <w:shd w:val="clear" w:color="auto" w:fill="FFFFFF"/>
          </w:rPr>
          <w:t>Record Retention, Data Security, and Contingency</w:t>
        </w:r>
      </w:hyperlink>
      <w:r w:rsidR="00BE71AC" w:rsidRPr="00BE71AC">
        <w:rPr>
          <w:rStyle w:val="normaltextrun"/>
          <w:shd w:val="clear" w:color="auto" w:fill="FFFFFF"/>
        </w:rPr>
        <w:t>.</w:t>
      </w:r>
    </w:p>
    <w:p w14:paraId="40D43C85" w14:textId="59BA2885" w:rsidR="00075D80" w:rsidRPr="009A7C29" w:rsidRDefault="00075D80">
      <w:pPr>
        <w:pStyle w:val="Heading1"/>
        <w:numPr>
          <w:ilvl w:val="0"/>
          <w:numId w:val="93"/>
        </w:numPr>
        <w:spacing w:after="240"/>
        <w:rPr>
          <w:color w:val="4472C4" w:themeColor="accent1"/>
        </w:rPr>
      </w:pPr>
      <w:bookmarkStart w:id="30" w:name="_Toc210052751"/>
      <w:r w:rsidRPr="009A7C29">
        <w:rPr>
          <w:color w:val="4472C4" w:themeColor="accent1"/>
        </w:rPr>
        <w:t>ICF implementation in</w:t>
      </w:r>
      <w:r w:rsidR="001F666B" w:rsidRPr="009A7C29">
        <w:rPr>
          <w:color w:val="4472C4" w:themeColor="accent1"/>
        </w:rPr>
        <w:t xml:space="preserve"> UNDP</w:t>
      </w:r>
      <w:bookmarkEnd w:id="30"/>
      <w:r w:rsidRPr="009A7C29">
        <w:rPr>
          <w:color w:val="4472C4" w:themeColor="accent1"/>
        </w:rPr>
        <w:t xml:space="preserve"> </w:t>
      </w:r>
    </w:p>
    <w:p w14:paraId="2D053E0E" w14:textId="035BB8AF" w:rsidR="00262F27" w:rsidRPr="009A7C29" w:rsidRDefault="00262F27">
      <w:pPr>
        <w:pStyle w:val="Heading2"/>
        <w:numPr>
          <w:ilvl w:val="1"/>
          <w:numId w:val="14"/>
        </w:numPr>
        <w:spacing w:after="240"/>
        <w:ind w:left="360"/>
        <w:rPr>
          <w:color w:val="4472C4" w:themeColor="accent1"/>
        </w:rPr>
      </w:pPr>
      <w:bookmarkStart w:id="31" w:name="_Toc210052752"/>
      <w:r w:rsidRPr="009A7C29">
        <w:rPr>
          <w:color w:val="4472C4" w:themeColor="accent1"/>
        </w:rPr>
        <w:t xml:space="preserve">How has Quantum </w:t>
      </w:r>
      <w:r w:rsidR="002C18B0" w:rsidRPr="009A7C29">
        <w:rPr>
          <w:color w:val="4472C4" w:themeColor="accent1"/>
        </w:rPr>
        <w:t xml:space="preserve">simplified and </w:t>
      </w:r>
      <w:r w:rsidRPr="009A7C29">
        <w:rPr>
          <w:color w:val="4472C4" w:themeColor="accent1"/>
        </w:rPr>
        <w:t>strengthen</w:t>
      </w:r>
      <w:r w:rsidR="002C18B0" w:rsidRPr="009A7C29">
        <w:rPr>
          <w:color w:val="4472C4" w:themeColor="accent1"/>
        </w:rPr>
        <w:t>ed</w:t>
      </w:r>
      <w:r w:rsidRPr="009A7C29">
        <w:rPr>
          <w:color w:val="4472C4" w:themeColor="accent1"/>
        </w:rPr>
        <w:t xml:space="preserve"> UNDP’s ICF implementation?</w:t>
      </w:r>
      <w:bookmarkEnd w:id="31"/>
    </w:p>
    <w:p w14:paraId="4B3F29ED" w14:textId="4DBE1E78" w:rsidR="001D2F8F" w:rsidRPr="009A7C29" w:rsidRDefault="00C01D2A" w:rsidP="00817B66">
      <w:pPr>
        <w:pStyle w:val="fluidplugincopy1"/>
        <w:shd w:val="clear" w:color="auto" w:fill="FFFFFF"/>
        <w:rPr>
          <w:rFonts w:asciiTheme="minorHAnsi" w:hAnsiTheme="minorHAnsi" w:cstheme="minorHAnsi"/>
          <w:shd w:val="clear" w:color="auto" w:fill="FFFFFF"/>
        </w:rPr>
      </w:pPr>
      <w:r w:rsidRPr="009A7C29">
        <w:t xml:space="preserve">Quantum is a core part of UNDP’s digital transformation agenda and aims at providing the organization with a modern robust cloud-based management system that brings significant process automation and document digitalization benefits, including with respect to the ICF. </w:t>
      </w:r>
      <w:r w:rsidR="00DF4695" w:rsidRPr="009A7C29">
        <w:t>The majority of UNDP’s ICF is implemented within Quantum.</w:t>
      </w:r>
      <w:r w:rsidR="001172D4" w:rsidRPr="009A7C29">
        <w:t xml:space="preserve"> With the transition to Quantum, </w:t>
      </w:r>
      <w:r w:rsidR="001172D4" w:rsidRPr="009A7C29">
        <w:rPr>
          <w:b/>
          <w:bCs/>
        </w:rPr>
        <w:t>the key elements of our ICF have not changed</w:t>
      </w:r>
      <w:r w:rsidR="001172D4" w:rsidRPr="009A7C29">
        <w:t>, including the required minimum segregation of duties and the control functions that must be performed by a UNDP staff member</w:t>
      </w:r>
      <w:r w:rsidR="001172D4" w:rsidRPr="009A7C29">
        <w:rPr>
          <w:rFonts w:asciiTheme="minorHAnsi" w:hAnsiTheme="minorHAnsi" w:cstheme="minorHAnsi"/>
          <w:shd w:val="clear" w:color="auto" w:fill="FFFFFF"/>
        </w:rPr>
        <w:t xml:space="preserve">. However, </w:t>
      </w:r>
      <w:r w:rsidR="001172D4" w:rsidRPr="009A7C29">
        <w:rPr>
          <w:rFonts w:asciiTheme="minorHAnsi" w:hAnsiTheme="minorHAnsi" w:cstheme="minorHAnsi"/>
          <w:b/>
          <w:bCs/>
          <w:shd w:val="clear" w:color="auto" w:fill="FFFFFF"/>
        </w:rPr>
        <w:t xml:space="preserve">a key benefit of Quantum is that it </w:t>
      </w:r>
      <w:r w:rsidR="001D2F8F" w:rsidRPr="009A7C29">
        <w:rPr>
          <w:rFonts w:asciiTheme="minorHAnsi" w:hAnsiTheme="minorHAnsi" w:cstheme="minorHAnsi"/>
          <w:b/>
          <w:bCs/>
          <w:shd w:val="clear" w:color="auto" w:fill="FFFFFF"/>
        </w:rPr>
        <w:t xml:space="preserve">simplifies </w:t>
      </w:r>
      <w:r w:rsidR="002C18B0" w:rsidRPr="009A7C29">
        <w:rPr>
          <w:rFonts w:asciiTheme="minorHAnsi" w:hAnsiTheme="minorHAnsi" w:cstheme="minorHAnsi"/>
          <w:b/>
          <w:bCs/>
          <w:shd w:val="clear" w:color="auto" w:fill="FFFFFF"/>
        </w:rPr>
        <w:t xml:space="preserve">and strengthens </w:t>
      </w:r>
      <w:r w:rsidR="001D2F8F" w:rsidRPr="009A7C29">
        <w:rPr>
          <w:rFonts w:asciiTheme="minorHAnsi" w:hAnsiTheme="minorHAnsi" w:cstheme="minorHAnsi"/>
          <w:b/>
          <w:bCs/>
          <w:shd w:val="clear" w:color="auto" w:fill="FFFFFF"/>
        </w:rPr>
        <w:t xml:space="preserve">ICF implementation for </w:t>
      </w:r>
      <w:r w:rsidR="000E1F5F" w:rsidRPr="009A7C29">
        <w:rPr>
          <w:rFonts w:asciiTheme="minorHAnsi" w:hAnsiTheme="minorHAnsi" w:cstheme="minorHAnsi"/>
          <w:b/>
          <w:bCs/>
          <w:shd w:val="clear" w:color="auto" w:fill="FFFFFF"/>
        </w:rPr>
        <w:t xml:space="preserve">all </w:t>
      </w:r>
      <w:r w:rsidR="001D2F8F" w:rsidRPr="009A7C29">
        <w:rPr>
          <w:rFonts w:asciiTheme="minorHAnsi" w:hAnsiTheme="minorHAnsi" w:cstheme="minorHAnsi"/>
          <w:b/>
          <w:bCs/>
          <w:shd w:val="clear" w:color="auto" w:fill="FFFFFF"/>
        </w:rPr>
        <w:t>offices</w:t>
      </w:r>
      <w:r w:rsidR="008370C5" w:rsidRPr="009A7C29">
        <w:rPr>
          <w:rFonts w:asciiTheme="minorHAnsi" w:hAnsiTheme="minorHAnsi" w:cstheme="minorHAnsi"/>
          <w:b/>
          <w:bCs/>
          <w:shd w:val="clear" w:color="auto" w:fill="FFFFFF"/>
        </w:rPr>
        <w:t>/units</w:t>
      </w:r>
      <w:r w:rsidR="001D2F8F" w:rsidRPr="009A7C29">
        <w:rPr>
          <w:rFonts w:asciiTheme="minorHAnsi" w:hAnsiTheme="minorHAnsi" w:cstheme="minorHAnsi"/>
          <w:b/>
          <w:bCs/>
          <w:shd w:val="clear" w:color="auto" w:fill="FFFFFF"/>
        </w:rPr>
        <w:t xml:space="preserve"> by</w:t>
      </w:r>
      <w:r w:rsidR="001D2F8F" w:rsidRPr="009A7C29">
        <w:t xml:space="preserve">: </w:t>
      </w:r>
    </w:p>
    <w:p w14:paraId="50F87452" w14:textId="77777777" w:rsidR="001D2F8F" w:rsidRPr="009A7C29" w:rsidRDefault="001D2F8F" w:rsidP="00817B66">
      <w:pPr>
        <w:pStyle w:val="fluidplugincopy1"/>
        <w:shd w:val="clear" w:color="auto" w:fill="FFFFFF"/>
      </w:pPr>
    </w:p>
    <w:p w14:paraId="548EE228" w14:textId="2AAA923D" w:rsidR="00410B3B" w:rsidRPr="009A7C29" w:rsidRDefault="00410B3B">
      <w:pPr>
        <w:pStyle w:val="fluidplugincopy1"/>
        <w:numPr>
          <w:ilvl w:val="0"/>
          <w:numId w:val="13"/>
        </w:numPr>
        <w:shd w:val="clear" w:color="auto" w:fill="FFFFFF"/>
        <w:spacing w:after="240"/>
      </w:pPr>
      <w:r w:rsidRPr="009A7C29">
        <w:rPr>
          <w:b/>
          <w:bCs/>
        </w:rPr>
        <w:t>Automating the ERP access control request and approval process</w:t>
      </w:r>
      <w:r w:rsidRPr="009A7C29">
        <w:t xml:space="preserve">. Access to Quantum is managed through the Identity and Access Management (IDAM) application in UNall. IDAM features an end-to-end electronic workflow for requesting and approving </w:t>
      </w:r>
      <w:r w:rsidR="002A401D" w:rsidRPr="009A7C29">
        <w:t xml:space="preserve">Quantum </w:t>
      </w:r>
      <w:r w:rsidRPr="009A7C29">
        <w:t>access, along with status dashboards, user access history, and a single repository for housing approved ICF exceptions.</w:t>
      </w:r>
    </w:p>
    <w:p w14:paraId="214CC17F" w14:textId="11DCEDCA" w:rsidR="001D2F8F" w:rsidRPr="009A7C29" w:rsidRDefault="00DF4695">
      <w:pPr>
        <w:pStyle w:val="fluidplugincopy1"/>
        <w:numPr>
          <w:ilvl w:val="0"/>
          <w:numId w:val="13"/>
        </w:numPr>
        <w:shd w:val="clear" w:color="auto" w:fill="FFFFFF"/>
        <w:spacing w:after="240"/>
      </w:pPr>
      <w:r w:rsidRPr="009A7C29">
        <w:rPr>
          <w:b/>
          <w:bCs/>
        </w:rPr>
        <w:t>Preventively e</w:t>
      </w:r>
      <w:r w:rsidR="001D2F8F" w:rsidRPr="009A7C29">
        <w:rPr>
          <w:b/>
          <w:bCs/>
        </w:rPr>
        <w:t>nforcing segregation of duties and staff-only control functions</w:t>
      </w:r>
      <w:r w:rsidR="001D2F8F" w:rsidRPr="009A7C29">
        <w:t xml:space="preserve"> at the business profile and supplementary role assignment stage</w:t>
      </w:r>
      <w:r w:rsidR="00410B3B" w:rsidRPr="009A7C29">
        <w:t xml:space="preserve"> in IDAM</w:t>
      </w:r>
      <w:r w:rsidR="001D2F8F" w:rsidRPr="009A7C29">
        <w:t xml:space="preserve"> – if business profiles and</w:t>
      </w:r>
      <w:r w:rsidR="00410B3B" w:rsidRPr="009A7C29">
        <w:t>/or</w:t>
      </w:r>
      <w:r w:rsidR="001D2F8F" w:rsidRPr="009A7C29">
        <w:t xml:space="preserve"> supplementary roles are incompatible under the ICF, IDAM will not allow you to select them.</w:t>
      </w:r>
      <w:r w:rsidR="00410B3B" w:rsidRPr="009A7C29">
        <w:t xml:space="preserve"> </w:t>
      </w:r>
      <w:r w:rsidR="004A44F6" w:rsidRPr="009A7C29">
        <w:t xml:space="preserve">Furthermore, IDAM will not allow you to assign a ‘staff-only’ Business Profile or Supplementary Role to non-staff personnel. </w:t>
      </w:r>
      <w:r w:rsidR="00410B3B" w:rsidRPr="009A7C29">
        <w:t>IDAM does the ICF thinking for you</w:t>
      </w:r>
      <w:r w:rsidR="00E66041" w:rsidRPr="009A7C29">
        <w:t xml:space="preserve"> by only showing you the available ICF-compatible business profiles and supplementary roles for selection</w:t>
      </w:r>
      <w:r w:rsidR="00410B3B" w:rsidRPr="009A7C29">
        <w:t>.</w:t>
      </w:r>
    </w:p>
    <w:p w14:paraId="4EC51968" w14:textId="5AE809DB" w:rsidR="00DD53B1" w:rsidRPr="009A7C29" w:rsidRDefault="00DF4695">
      <w:pPr>
        <w:pStyle w:val="fluidplugincopy1"/>
        <w:numPr>
          <w:ilvl w:val="0"/>
          <w:numId w:val="13"/>
        </w:numPr>
        <w:shd w:val="clear" w:color="auto" w:fill="FFFFFF" w:themeFill="background1"/>
        <w:spacing w:after="240"/>
      </w:pPr>
      <w:r w:rsidRPr="009A7C29">
        <w:rPr>
          <w:b/>
          <w:bCs/>
        </w:rPr>
        <w:t>Preventively e</w:t>
      </w:r>
      <w:r w:rsidR="001D2F8F" w:rsidRPr="009A7C29">
        <w:rPr>
          <w:b/>
          <w:bCs/>
        </w:rPr>
        <w:t>nforcing transaction</w:t>
      </w:r>
      <w:r w:rsidR="00DD53B1" w:rsidRPr="009A7C29">
        <w:rPr>
          <w:b/>
          <w:bCs/>
        </w:rPr>
        <w:t>-</w:t>
      </w:r>
      <w:r w:rsidR="001D2F8F" w:rsidRPr="009A7C29">
        <w:rPr>
          <w:b/>
          <w:bCs/>
        </w:rPr>
        <w:t>level controls to ensure segregation of duties</w:t>
      </w:r>
      <w:r w:rsidR="001D2F8F" w:rsidRPr="009A7C29">
        <w:t xml:space="preserve"> between transaction creation and approval (e.g., same user cannot create and approve a transaction) and between authorities (e.g., same user cannot approve a requisition and related PO).</w:t>
      </w:r>
      <w:r w:rsidRPr="009A7C29">
        <w:t xml:space="preserve"> Quantum won’t let you do what you are not allowed to do.</w:t>
      </w:r>
    </w:p>
    <w:p w14:paraId="455DCD54" w14:textId="7A0086F3" w:rsidR="00C01D2A" w:rsidRPr="009A7C29" w:rsidRDefault="001D2F8F">
      <w:pPr>
        <w:pStyle w:val="fluidplugincopy1"/>
        <w:numPr>
          <w:ilvl w:val="0"/>
          <w:numId w:val="13"/>
        </w:numPr>
        <w:shd w:val="clear" w:color="auto" w:fill="FFFFFF" w:themeFill="background1"/>
        <w:spacing w:after="240"/>
      </w:pPr>
      <w:r w:rsidRPr="009A7C29">
        <w:rPr>
          <w:b/>
          <w:bCs/>
        </w:rPr>
        <w:t>Providing better role-based security</w:t>
      </w:r>
      <w:r w:rsidRPr="009A7C29">
        <w:t xml:space="preserve"> that assigns only the </w:t>
      </w:r>
      <w:proofErr w:type="gramStart"/>
      <w:r w:rsidRPr="009A7C29">
        <w:t>needed access</w:t>
      </w:r>
      <w:proofErr w:type="gramEnd"/>
      <w:r w:rsidRPr="009A7C29">
        <w:t xml:space="preserve"> (read-only vs functional), which was not possible in Atlas</w:t>
      </w:r>
      <w:r w:rsidR="00DD53B1" w:rsidRPr="009A7C29">
        <w:t>.</w:t>
      </w:r>
      <w:r w:rsidR="00DF4695" w:rsidRPr="009A7C29">
        <w:t xml:space="preserve"> This gives more flexibility for offices</w:t>
      </w:r>
      <w:r w:rsidR="008370C5" w:rsidRPr="009A7C29">
        <w:t>/units</w:t>
      </w:r>
      <w:r w:rsidR="00DF4695" w:rsidRPr="009A7C29">
        <w:t xml:space="preserve"> to provide </w:t>
      </w:r>
      <w:r w:rsidR="00485FAB" w:rsidRPr="009A7C29">
        <w:t xml:space="preserve">users with </w:t>
      </w:r>
      <w:r w:rsidR="00DF4695" w:rsidRPr="009A7C29">
        <w:t>view-only access to information</w:t>
      </w:r>
      <w:r w:rsidR="00485FAB" w:rsidRPr="009A7C29">
        <w:t xml:space="preserve"> without accidently assigning non-compatible </w:t>
      </w:r>
      <w:r w:rsidR="002A401D" w:rsidRPr="009A7C29">
        <w:t xml:space="preserve">Quantum </w:t>
      </w:r>
      <w:r w:rsidR="00485FAB" w:rsidRPr="009A7C29">
        <w:t>rights. This minimizes ICF implementation risk.</w:t>
      </w:r>
    </w:p>
    <w:p w14:paraId="5C83979F" w14:textId="4C65DA0D" w:rsidR="00075D80" w:rsidRPr="009A7C29" w:rsidRDefault="00075D80">
      <w:pPr>
        <w:pStyle w:val="Heading2"/>
        <w:numPr>
          <w:ilvl w:val="1"/>
          <w:numId w:val="14"/>
        </w:numPr>
        <w:spacing w:after="240" w:line="240" w:lineRule="auto"/>
        <w:ind w:left="360"/>
        <w:rPr>
          <w:color w:val="4472C4" w:themeColor="accent1"/>
        </w:rPr>
      </w:pPr>
      <w:bookmarkStart w:id="32" w:name="_Toc210052753"/>
      <w:r w:rsidRPr="009A7C29">
        <w:rPr>
          <w:color w:val="4472C4" w:themeColor="accent1"/>
        </w:rPr>
        <w:t xml:space="preserve">What </w:t>
      </w:r>
      <w:r w:rsidR="00F00526" w:rsidRPr="009A7C29">
        <w:rPr>
          <w:color w:val="4472C4" w:themeColor="accent1"/>
        </w:rPr>
        <w:t>controls</w:t>
      </w:r>
      <w:r w:rsidRPr="009A7C29">
        <w:rPr>
          <w:color w:val="4472C4" w:themeColor="accent1"/>
        </w:rPr>
        <w:t xml:space="preserve"> still require monitoring</w:t>
      </w:r>
      <w:r w:rsidR="00F00526" w:rsidRPr="009A7C29">
        <w:rPr>
          <w:color w:val="4472C4" w:themeColor="accent1"/>
        </w:rPr>
        <w:t xml:space="preserve"> by all offices</w:t>
      </w:r>
      <w:r w:rsidR="008370C5" w:rsidRPr="009A7C29">
        <w:rPr>
          <w:color w:val="4472C4" w:themeColor="accent1"/>
        </w:rPr>
        <w:t>/units</w:t>
      </w:r>
      <w:r w:rsidRPr="009A7C29">
        <w:rPr>
          <w:color w:val="4472C4" w:themeColor="accent1"/>
        </w:rPr>
        <w:t>? (</w:t>
      </w:r>
      <w:r w:rsidR="00E66041" w:rsidRPr="009A7C29">
        <w:rPr>
          <w:color w:val="4472C4" w:themeColor="accent1"/>
        </w:rPr>
        <w:t>w</w:t>
      </w:r>
      <w:r w:rsidRPr="009A7C29">
        <w:rPr>
          <w:color w:val="4472C4" w:themeColor="accent1"/>
        </w:rPr>
        <w:t xml:space="preserve">ithin </w:t>
      </w:r>
      <w:r w:rsidR="00E66041" w:rsidRPr="009A7C29">
        <w:rPr>
          <w:color w:val="4472C4" w:themeColor="accent1"/>
        </w:rPr>
        <w:t>and</w:t>
      </w:r>
      <w:r w:rsidRPr="009A7C29">
        <w:rPr>
          <w:color w:val="4472C4" w:themeColor="accent1"/>
        </w:rPr>
        <w:t xml:space="preserve"> outside </w:t>
      </w:r>
      <w:r w:rsidR="00E66041" w:rsidRPr="009A7C29">
        <w:rPr>
          <w:color w:val="4472C4" w:themeColor="accent1"/>
        </w:rPr>
        <w:t xml:space="preserve">the </w:t>
      </w:r>
      <w:r w:rsidRPr="009A7C29">
        <w:rPr>
          <w:color w:val="4472C4" w:themeColor="accent1"/>
        </w:rPr>
        <w:t>ERP</w:t>
      </w:r>
      <w:r w:rsidR="002A401D" w:rsidRPr="009A7C29">
        <w:rPr>
          <w:color w:val="4472C4" w:themeColor="accent1"/>
        </w:rPr>
        <w:t xml:space="preserve"> platform</w:t>
      </w:r>
      <w:r w:rsidRPr="009A7C29">
        <w:rPr>
          <w:color w:val="4472C4" w:themeColor="accent1"/>
        </w:rPr>
        <w:t>)</w:t>
      </w:r>
      <w:bookmarkEnd w:id="32"/>
    </w:p>
    <w:p w14:paraId="38C25C95" w14:textId="25C53A43" w:rsidR="00E4494D" w:rsidRPr="009A7C29" w:rsidRDefault="00E4494D" w:rsidP="363CA695">
      <w:pPr>
        <w:spacing w:line="240" w:lineRule="auto"/>
      </w:pPr>
      <w:r w:rsidRPr="009A7C29">
        <w:t xml:space="preserve">Quantum’s stronger preventive &amp; built-in controls </w:t>
      </w:r>
      <w:r w:rsidRPr="009A7C29">
        <w:rPr>
          <w:b/>
          <w:bCs/>
        </w:rPr>
        <w:t>significantly reduce the extent of manual and post-facto ICF compliance monitoring that offices</w:t>
      </w:r>
      <w:r w:rsidR="008370C5" w:rsidRPr="009A7C29">
        <w:rPr>
          <w:b/>
          <w:bCs/>
        </w:rPr>
        <w:t>/units</w:t>
      </w:r>
      <w:r w:rsidRPr="009A7C29">
        <w:rPr>
          <w:b/>
          <w:bCs/>
        </w:rPr>
        <w:t xml:space="preserve"> need to do</w:t>
      </w:r>
      <w:r w:rsidRPr="009A7C29">
        <w:t xml:space="preserve">. However, not all controls were able to be established as preventive controls at the time of transition to Quantum. </w:t>
      </w:r>
    </w:p>
    <w:p w14:paraId="5FA3F39A" w14:textId="63814F05" w:rsidR="00502C7B" w:rsidRPr="009A7C29" w:rsidRDefault="00E4494D" w:rsidP="363CA695">
      <w:pPr>
        <w:spacing w:line="240" w:lineRule="auto"/>
      </w:pPr>
      <w:r w:rsidRPr="009A7C29">
        <w:rPr>
          <w:b/>
          <w:bCs/>
          <w:u w:val="single"/>
        </w:rPr>
        <w:t xml:space="preserve">Monitoring of actions taken within the </w:t>
      </w:r>
      <w:r w:rsidR="003A08F6" w:rsidRPr="009A7C29">
        <w:rPr>
          <w:b/>
          <w:bCs/>
          <w:u w:val="single"/>
        </w:rPr>
        <w:t>ERP:</w:t>
      </w:r>
      <w:r w:rsidR="003A08F6" w:rsidRPr="009A7C29">
        <w:t xml:space="preserve"> </w:t>
      </w:r>
      <w:r w:rsidRPr="009A7C29">
        <w:t xml:space="preserve">Five </w:t>
      </w:r>
      <w:r w:rsidR="00A33DD0" w:rsidRPr="009A7C29">
        <w:t xml:space="preserve">areas of </w:t>
      </w:r>
      <w:r w:rsidR="00763A35" w:rsidRPr="009A7C29">
        <w:t xml:space="preserve">ERP-based </w:t>
      </w:r>
      <w:r w:rsidR="00A33DD0" w:rsidRPr="009A7C29">
        <w:t xml:space="preserve">ICF implementation compliance </w:t>
      </w:r>
      <w:r w:rsidR="00763A35" w:rsidRPr="009A7C29">
        <w:t xml:space="preserve">remain </w:t>
      </w:r>
      <w:r w:rsidR="00A33DD0" w:rsidRPr="009A7C29">
        <w:t>that offices</w:t>
      </w:r>
      <w:r w:rsidR="008370C5" w:rsidRPr="009A7C29">
        <w:t>/units</w:t>
      </w:r>
      <w:r w:rsidR="00A33DD0" w:rsidRPr="009A7C29">
        <w:t xml:space="preserve"> need to monitor</w:t>
      </w:r>
      <w:r w:rsidR="00763A35" w:rsidRPr="009A7C29">
        <w:t xml:space="preserve"> (monthly at a minimum)</w:t>
      </w:r>
      <w:r w:rsidR="00AC1287" w:rsidRPr="009A7C29">
        <w:t xml:space="preserve">, as shown </w:t>
      </w:r>
      <w:r w:rsidR="00502C7B" w:rsidRPr="009A7C29">
        <w:t>below:</w:t>
      </w:r>
      <w:r w:rsidR="00A33DD0" w:rsidRPr="009A7C29">
        <w:t xml:space="preserve"> </w:t>
      </w:r>
    </w:p>
    <w:p w14:paraId="4D78818F" w14:textId="5C0880A1" w:rsidR="00502C7B" w:rsidRPr="009A7C29" w:rsidRDefault="00502C7B">
      <w:pPr>
        <w:pStyle w:val="ListParagraph"/>
        <w:numPr>
          <w:ilvl w:val="0"/>
          <w:numId w:val="91"/>
        </w:numPr>
      </w:pPr>
      <w:r w:rsidRPr="009A7C29">
        <w:lastRenderedPageBreak/>
        <w:t>Dual Project Manager and Approving Manager roles held by staff who are not RR/DRR/OM (or HQ equivalent), which contravenes the ICF requirement.</w:t>
      </w:r>
    </w:p>
    <w:p w14:paraId="029CA8A6" w14:textId="5E5947D4" w:rsidR="00502C7B" w:rsidRPr="009A7C29" w:rsidRDefault="00502C7B">
      <w:pPr>
        <w:pStyle w:val="ListParagraph"/>
        <w:numPr>
          <w:ilvl w:val="0"/>
          <w:numId w:val="91"/>
        </w:numPr>
      </w:pPr>
      <w:r w:rsidRPr="009A7C29">
        <w:t>Invoices approved by Project Manager for own project</w:t>
      </w:r>
      <w:r w:rsidR="001C1A5E">
        <w:t xml:space="preserve"> (development or management)</w:t>
      </w:r>
      <w:r w:rsidRPr="009A7C29">
        <w:t>, as this is a conflict of interest under the ICF.</w:t>
      </w:r>
    </w:p>
    <w:p w14:paraId="4EC7B56D" w14:textId="29AB61D3" w:rsidR="00502C7B" w:rsidRPr="009A7C29" w:rsidRDefault="00502C7B">
      <w:pPr>
        <w:pStyle w:val="ListParagraph"/>
        <w:numPr>
          <w:ilvl w:val="0"/>
          <w:numId w:val="91"/>
        </w:numPr>
      </w:pPr>
      <w:r w:rsidRPr="009A7C29">
        <w:t xml:space="preserve">Non-alignment between IDAM profiles and PPM Project Manager assignments, identifying Buyers, Finance, Users, and General Users </w:t>
      </w:r>
      <w:r w:rsidR="008713E0" w:rsidRPr="009A7C29">
        <w:t xml:space="preserve">in IDAM </w:t>
      </w:r>
      <w:r w:rsidRPr="009A7C29">
        <w:t>that have also been assigned a Project Manager role directly in PPM</w:t>
      </w:r>
      <w:r w:rsidR="00671E75" w:rsidRPr="009A7C29">
        <w:rPr>
          <w:rStyle w:val="FootnoteReference"/>
        </w:rPr>
        <w:footnoteReference w:id="13"/>
      </w:r>
      <w:r w:rsidRPr="009A7C29">
        <w:t>.</w:t>
      </w:r>
    </w:p>
    <w:p w14:paraId="296928D4" w14:textId="2CC6A86C" w:rsidR="00502C7B" w:rsidRPr="009A7C29" w:rsidRDefault="00502C7B">
      <w:pPr>
        <w:pStyle w:val="ListParagraph"/>
        <w:numPr>
          <w:ilvl w:val="0"/>
          <w:numId w:val="91"/>
        </w:numPr>
      </w:pPr>
      <w:r w:rsidRPr="009A7C29">
        <w:t>Number of supplier approvers (L1 &amp; L2) exceeds ICF limits</w:t>
      </w:r>
      <w:r w:rsidR="008713E0" w:rsidRPr="009A7C29">
        <w:t>.</w:t>
      </w:r>
    </w:p>
    <w:p w14:paraId="1C4041C8" w14:textId="186D1B8D" w:rsidR="00502C7B" w:rsidRPr="009A7C29" w:rsidRDefault="00502C7B">
      <w:pPr>
        <w:pStyle w:val="ListParagraph"/>
        <w:numPr>
          <w:ilvl w:val="0"/>
          <w:numId w:val="91"/>
        </w:numPr>
      </w:pPr>
      <w:r w:rsidRPr="009A7C29">
        <w:t xml:space="preserve">Same invoice </w:t>
      </w:r>
      <w:proofErr w:type="gramStart"/>
      <w:r w:rsidRPr="009A7C29">
        <w:t>approver</w:t>
      </w:r>
      <w:proofErr w:type="gramEnd"/>
      <w:r w:rsidRPr="009A7C29">
        <w:t xml:space="preserve"> and supplier paid, which captures instances where an Approving </w:t>
      </w:r>
      <w:r w:rsidR="008713E0" w:rsidRPr="009A7C29">
        <w:t>M</w:t>
      </w:r>
      <w:r w:rsidRPr="009A7C29">
        <w:t>anager has approved an invoice payable to themselves, which is a conflict of interest under the ICF.</w:t>
      </w:r>
    </w:p>
    <w:p w14:paraId="64FF845D" w14:textId="3908186F" w:rsidR="00262F27" w:rsidRPr="003F4D13" w:rsidRDefault="00A33DD0" w:rsidP="363CA695">
      <w:pPr>
        <w:spacing w:line="240" w:lineRule="auto"/>
        <w:rPr>
          <w:color w:val="ED7D31" w:themeColor="accent2"/>
        </w:rPr>
      </w:pPr>
      <w:r w:rsidRPr="009A7C29">
        <w:t>It is expected that over time these five areas of ‘post-facto ICF monitoring’ will be progressively eliminated as we continue to refine and enhance Quantum processes.</w:t>
      </w:r>
      <w:r w:rsidR="00763A35" w:rsidRPr="009A7C29">
        <w:t xml:space="preserve"> To support offices</w:t>
      </w:r>
      <w:r w:rsidR="008370C5" w:rsidRPr="009A7C29">
        <w:t>/units</w:t>
      </w:r>
      <w:r w:rsidR="00763A35" w:rsidRPr="009A7C29">
        <w:t xml:space="preserve"> with monitoring ICF Implementation in these five areas, Power BI </w:t>
      </w:r>
      <w:hyperlink r:id="rId38" w:history="1">
        <w:r w:rsidR="00C9476A" w:rsidRPr="00944D11">
          <w:rPr>
            <w:rStyle w:val="Hyperlink"/>
            <w:b/>
            <w:bCs/>
          </w:rPr>
          <w:t>ICF Monitoring</w:t>
        </w:r>
      </w:hyperlink>
      <w:r w:rsidR="00944D11">
        <w:rPr>
          <w:b/>
          <w:bCs/>
        </w:rPr>
        <w:t xml:space="preserve"> </w:t>
      </w:r>
      <w:r w:rsidR="00763A35" w:rsidRPr="009A7C29">
        <w:t>reports are available</w:t>
      </w:r>
      <w:r w:rsidR="009B585B" w:rsidRPr="009A7C29">
        <w:t xml:space="preserve">. </w:t>
      </w:r>
      <w:r w:rsidR="00763A35" w:rsidRPr="009A7C29">
        <w:t xml:space="preserve">These reports are accessible to the IDAM Focal Point and IDAM Approver (typically the RR/DRR/Operations Manager or HQ-equivalents) in each BU for review and corrective action. </w:t>
      </w:r>
      <w:r w:rsidR="00122AB5" w:rsidRPr="009A7C29">
        <w:t xml:space="preserve">The reports are refreshed daily at 9am (NY time). For more information, refer to </w:t>
      </w:r>
      <w:hyperlink w:anchor="_Annex_1:_Overview" w:history="1">
        <w:r w:rsidR="009B585B" w:rsidRPr="00876EB0">
          <w:rPr>
            <w:rStyle w:val="Hyperlink"/>
          </w:rPr>
          <w:t>Annex 1</w:t>
        </w:r>
      </w:hyperlink>
      <w:r w:rsidR="009B585B" w:rsidRPr="363CA695">
        <w:rPr>
          <w:color w:val="ED7D31" w:themeColor="accent2"/>
        </w:rPr>
        <w:t xml:space="preserve"> </w:t>
      </w:r>
      <w:r w:rsidR="009B585B" w:rsidRPr="009A7C29">
        <w:t xml:space="preserve">of this Guide and/or </w:t>
      </w:r>
      <w:r w:rsidR="00122AB5" w:rsidRPr="009A7C29">
        <w:t xml:space="preserve">the </w:t>
      </w:r>
      <w:hyperlink r:id="rId39" w:history="1">
        <w:r w:rsidR="00122AB5" w:rsidRPr="00944D11">
          <w:rPr>
            <w:rStyle w:val="Hyperlink"/>
          </w:rPr>
          <w:t>ICF Monitoring Report User Guide</w:t>
        </w:r>
      </w:hyperlink>
      <w:r w:rsidR="00944D11">
        <w:t>.</w:t>
      </w:r>
    </w:p>
    <w:p w14:paraId="40CC7C0D" w14:textId="57FA0D7F" w:rsidR="00512B87" w:rsidRPr="009A7C29" w:rsidRDefault="00E4494D" w:rsidP="363CA695">
      <w:pPr>
        <w:spacing w:line="240" w:lineRule="auto"/>
      </w:pPr>
      <w:r w:rsidRPr="009A7C29">
        <w:rPr>
          <w:b/>
          <w:bCs/>
          <w:u w:val="single"/>
        </w:rPr>
        <w:t xml:space="preserve">Monitoring of actions taken outside </w:t>
      </w:r>
      <w:r w:rsidR="003A08F6" w:rsidRPr="009A7C29">
        <w:rPr>
          <w:b/>
          <w:bCs/>
          <w:u w:val="single"/>
        </w:rPr>
        <w:t>the ERP:</w:t>
      </w:r>
      <w:r w:rsidR="003A08F6" w:rsidRPr="009A7C29">
        <w:t xml:space="preserve"> </w:t>
      </w:r>
      <w:r w:rsidR="00512B87" w:rsidRPr="009A7C29">
        <w:t>There are several areas where controls are executed outside the ERP that must still be implemented and monitored by all offices</w:t>
      </w:r>
      <w:r w:rsidR="008370C5" w:rsidRPr="009A7C29">
        <w:t>/units</w:t>
      </w:r>
      <w:r w:rsidR="004A44F6" w:rsidRPr="009A7C29">
        <w:t xml:space="preserve">. </w:t>
      </w:r>
    </w:p>
    <w:p w14:paraId="16AD5DAC" w14:textId="59CBAFBF" w:rsidR="004A44F6" w:rsidRPr="00DF4695" w:rsidRDefault="004A44F6" w:rsidP="004A44F6">
      <w:pPr>
        <w:pStyle w:val="fluidplugincopy1"/>
        <w:shd w:val="clear" w:color="auto" w:fill="FFFFFF"/>
        <w:spacing w:after="240"/>
        <w:rPr>
          <w:color w:val="ED7D31" w:themeColor="accent2"/>
        </w:rPr>
      </w:pPr>
      <w:r w:rsidRPr="009A7C29">
        <w:t xml:space="preserve">Refer to </w:t>
      </w:r>
      <w:hyperlink w:anchor="_Annex_6:_Overview" w:history="1">
        <w:r w:rsidRPr="00876EB0">
          <w:rPr>
            <w:rStyle w:val="Hyperlink"/>
          </w:rPr>
          <w:t>Annex 6</w:t>
        </w:r>
      </w:hyperlink>
      <w:r w:rsidRPr="003B2C8B">
        <w:rPr>
          <w:color w:val="ED7D31" w:themeColor="accent2"/>
        </w:rPr>
        <w:t xml:space="preserve"> </w:t>
      </w:r>
      <w:r w:rsidRPr="009A7C29">
        <w:t>for an overview of the preventive controls now enforced by IDAM and Quantum, along with those controls executed outside the ERP.</w:t>
      </w:r>
    </w:p>
    <w:p w14:paraId="1AD7D7FC" w14:textId="1B3ECD8E" w:rsidR="00003931" w:rsidRPr="009A7C29" w:rsidRDefault="00003931">
      <w:pPr>
        <w:pStyle w:val="Heading2"/>
        <w:numPr>
          <w:ilvl w:val="1"/>
          <w:numId w:val="14"/>
        </w:numPr>
        <w:spacing w:after="240" w:line="240" w:lineRule="auto"/>
        <w:ind w:left="360"/>
        <w:rPr>
          <w:color w:val="4472C4" w:themeColor="accent1"/>
        </w:rPr>
      </w:pPr>
      <w:bookmarkStart w:id="33" w:name="_Toc210052754"/>
      <w:r w:rsidRPr="009A7C29">
        <w:rPr>
          <w:color w:val="4472C4" w:themeColor="accent1"/>
        </w:rPr>
        <w:t>Overview of IDAM roles</w:t>
      </w:r>
      <w:r w:rsidR="00E4494D" w:rsidRPr="009A7C29">
        <w:rPr>
          <w:color w:val="4472C4" w:themeColor="accent1"/>
        </w:rPr>
        <w:t xml:space="preserve"> and the ICF</w:t>
      </w:r>
      <w:bookmarkEnd w:id="33"/>
    </w:p>
    <w:p w14:paraId="11FE95E0" w14:textId="743D8FF3" w:rsidR="00D733E9" w:rsidRPr="009A7C29" w:rsidRDefault="00D733E9" w:rsidP="363CA695">
      <w:pPr>
        <w:spacing w:line="240" w:lineRule="auto"/>
      </w:pPr>
      <w:r w:rsidRPr="009A7C29">
        <w:t>Access to Quantum can only be granted through IDAM in UNall. Access to IDAM is limited to IDAM Requestors and IDAM Approvers (typically RR/DRR/OM or HQ-equivalents) in each office</w:t>
      </w:r>
      <w:r w:rsidR="008370C5" w:rsidRPr="009A7C29">
        <w:t>/unit</w:t>
      </w:r>
      <w:r w:rsidRPr="009A7C29">
        <w:t xml:space="preserve"> </w:t>
      </w:r>
      <w:r w:rsidRPr="00944D11">
        <w:rPr>
          <w:color w:val="4472C4" w:themeColor="accent1"/>
        </w:rPr>
        <w:t>(</w:t>
      </w:r>
      <w:hyperlink r:id="rId40" w:history="1">
        <w:r w:rsidRPr="00944D11">
          <w:rPr>
            <w:rStyle w:val="Hyperlink"/>
            <w:color w:val="4472C4" w:themeColor="accent1"/>
          </w:rPr>
          <w:t>IDAM User Guide).</w:t>
        </w:r>
      </w:hyperlink>
      <w:r w:rsidRPr="009A7C29">
        <w:t xml:space="preserve"> As part of the IDAM access request electronic workflow, the user access request is first routed to the user’s line manager to approve the request on the basis that the line manager is best equipped to determine the access needed based on the direct report’s day-to-day duties</w:t>
      </w:r>
      <w:r w:rsidRPr="009A7C29">
        <w:rPr>
          <w:rStyle w:val="FootnoteReference"/>
        </w:rPr>
        <w:footnoteReference w:id="14"/>
      </w:r>
      <w:r w:rsidRPr="009A7C29">
        <w:t>. Following the line manager approval, the access request is electronically routed to the IDAM Approver in the relevant office</w:t>
      </w:r>
      <w:r w:rsidR="008370C5" w:rsidRPr="009A7C29">
        <w:t>/unit</w:t>
      </w:r>
      <w:r w:rsidRPr="009A7C29">
        <w:t xml:space="preserve"> for final approval. For Supplementary Roles that carry high financial risk (e.g. Budget Override, Fund Manager), the electronic workflow is routed to BMS/OF</w:t>
      </w:r>
      <w:r w:rsidR="00A40A72">
        <w:t>R</w:t>
      </w:r>
      <w:r w:rsidRPr="009A7C29">
        <w:t>M for approval, prior to final approval by the IDAM Approver.</w:t>
      </w:r>
    </w:p>
    <w:p w14:paraId="30C9CA9C" w14:textId="36C070ED" w:rsidR="00D73B61" w:rsidRPr="009A7C29" w:rsidRDefault="009938DD" w:rsidP="00DA089C">
      <w:pPr>
        <w:spacing w:line="240" w:lineRule="auto"/>
      </w:pPr>
      <w:r w:rsidRPr="009A7C29">
        <w:t>Below is a high-level overview of the ICF roles that are executed within the ERP. There are seven Finance &amp; Procurement Business Profiles, with six being available to all offices</w:t>
      </w:r>
      <w:r w:rsidR="008370C5" w:rsidRPr="009A7C29">
        <w:t>/units</w:t>
      </w:r>
      <w:r w:rsidRPr="009A7C29">
        <w:t xml:space="preserve">, including: Project Manager, Procurement Buyer, Finance User, General User, Manager Level 1, Manager Level 2, </w:t>
      </w:r>
      <w:r w:rsidR="00D73B61" w:rsidRPr="009A7C29">
        <w:t xml:space="preserve">and </w:t>
      </w:r>
      <w:r w:rsidRPr="009A7C29">
        <w:t xml:space="preserve">Senior Manager. The </w:t>
      </w:r>
      <w:r w:rsidR="00D73B61" w:rsidRPr="009A7C29">
        <w:t xml:space="preserve">former </w:t>
      </w:r>
      <w:r w:rsidRPr="009A7C29">
        <w:t xml:space="preserve">Disbursement Officer function </w:t>
      </w:r>
      <w:r w:rsidR="00D73B61" w:rsidRPr="009A7C29">
        <w:t xml:space="preserve">as it relates to disbursement of payments </w:t>
      </w:r>
      <w:r w:rsidRPr="009A7C29">
        <w:t xml:space="preserve">is </w:t>
      </w:r>
      <w:r w:rsidR="00D73B61" w:rsidRPr="009A7C29">
        <w:t xml:space="preserve">now </w:t>
      </w:r>
      <w:r w:rsidRPr="009A7C29">
        <w:t xml:space="preserve">executed by </w:t>
      </w:r>
      <w:r w:rsidR="00D73B61" w:rsidRPr="009A7C29">
        <w:t>BMS/OF</w:t>
      </w:r>
      <w:r w:rsidR="00A40A72">
        <w:t>R</w:t>
      </w:r>
      <w:r w:rsidR="00D73B61" w:rsidRPr="009A7C29">
        <w:t>M/Treasury and BMS/GSSC</w:t>
      </w:r>
      <w:r w:rsidR="00A550C2">
        <w:t xml:space="preserve"> and UNV.</w:t>
      </w:r>
    </w:p>
    <w:p w14:paraId="5C5E7718" w14:textId="0F61386E" w:rsidR="00E4494D" w:rsidRPr="009A7C29" w:rsidRDefault="00D73B61" w:rsidP="363CA695">
      <w:pPr>
        <w:spacing w:line="240" w:lineRule="auto"/>
      </w:pPr>
      <w:r w:rsidRPr="009A7C29">
        <w:lastRenderedPageBreak/>
        <w:t>There are four Human Resources roles that fall within the scope of the ICF</w:t>
      </w:r>
      <w:r w:rsidR="006A0F08" w:rsidRPr="009A7C29">
        <w:t xml:space="preserve">, as shown below. </w:t>
      </w:r>
      <w:r w:rsidRPr="009A7C29">
        <w:t>BMS/GSSC</w:t>
      </w:r>
      <w:r w:rsidR="000E63F7" w:rsidRPr="009A7C29">
        <w:t xml:space="preserve"> </w:t>
      </w:r>
      <w:r w:rsidR="006335D5" w:rsidRPr="009A7C29">
        <w:t xml:space="preserve">performs processes and </w:t>
      </w:r>
      <w:r w:rsidR="000E63F7" w:rsidRPr="009A7C29">
        <w:t>executes the final approval in Quantum</w:t>
      </w:r>
      <w:r w:rsidR="006A0F08" w:rsidRPr="009A7C29">
        <w:t xml:space="preserve"> for</w:t>
      </w:r>
      <w:r w:rsidRPr="009A7C29">
        <w:t xml:space="preserve"> the three authorities </w:t>
      </w:r>
      <w:r w:rsidR="006A0F08" w:rsidRPr="009A7C29">
        <w:t>related to</w:t>
      </w:r>
      <w:r w:rsidRPr="009A7C29">
        <w:t xml:space="preserve"> payroll transactions</w:t>
      </w:r>
      <w:r w:rsidR="006A0F08" w:rsidRPr="009A7C29">
        <w:t>. Various Position</w:t>
      </w:r>
      <w:r w:rsidRPr="009A7C29">
        <w:t xml:space="preserve"> Administratio</w:t>
      </w:r>
      <w:r w:rsidR="006A0F08" w:rsidRPr="009A7C29">
        <w:t xml:space="preserve">n Business Profiles exist to capture CO and </w:t>
      </w:r>
      <w:proofErr w:type="spellStart"/>
      <w:r w:rsidR="00894345" w:rsidRPr="009A7C29">
        <w:t>RBx</w:t>
      </w:r>
      <w:proofErr w:type="spellEnd"/>
      <w:r w:rsidR="006A0F08" w:rsidRPr="009A7C29">
        <w:t xml:space="preserve"> approvals (as relevant) and or BMS/GSSC to action the approvals in Quantum</w:t>
      </w:r>
      <w:r w:rsidR="0098149C">
        <w:t xml:space="preserve"> (refer to section 8.5 for details)</w:t>
      </w:r>
      <w:r w:rsidR="006A0F08" w:rsidRPr="009A7C29">
        <w:t>.</w:t>
      </w:r>
      <w:r w:rsidRPr="009A7C29">
        <w:t xml:space="preserve"> All other HR roles do not fall under the scope of the ICF as they do not involve </w:t>
      </w:r>
      <w:r w:rsidR="006335D5" w:rsidRPr="009A7C29">
        <w:t xml:space="preserve">a new </w:t>
      </w:r>
      <w:r w:rsidRPr="009A7C29">
        <w:t xml:space="preserve">commitment </w:t>
      </w:r>
      <w:r w:rsidR="00A068C0" w:rsidRPr="009A7C29">
        <w:t xml:space="preserve">of funds </w:t>
      </w:r>
      <w:r w:rsidRPr="009A7C29">
        <w:t xml:space="preserve">or </w:t>
      </w:r>
      <w:r w:rsidR="00A068C0" w:rsidRPr="009A7C29">
        <w:t xml:space="preserve">the </w:t>
      </w:r>
      <w:r w:rsidRPr="009A7C29">
        <w:t>release of funds.</w:t>
      </w:r>
      <w:r w:rsidR="00BA5960" w:rsidRPr="009A7C29">
        <w:t xml:space="preserve"> Refer to </w:t>
      </w:r>
      <w:hyperlink w:anchor="_Annex_2:_Overview" w:history="1">
        <w:r w:rsidR="00BA5960" w:rsidRPr="009A7C29">
          <w:rPr>
            <w:rStyle w:val="Hyperlink"/>
            <w:color w:val="auto"/>
          </w:rPr>
          <w:t xml:space="preserve">Annex </w:t>
        </w:r>
        <w:r w:rsidR="008713E0" w:rsidRPr="009A7C29">
          <w:rPr>
            <w:rStyle w:val="Hyperlink"/>
            <w:color w:val="auto"/>
          </w:rPr>
          <w:t>2</w:t>
        </w:r>
      </w:hyperlink>
      <w:r w:rsidR="00BA5960" w:rsidRPr="009A7C29">
        <w:t xml:space="preserve"> for a brief explanation of all IDAM </w:t>
      </w:r>
      <w:r w:rsidR="00A068C0" w:rsidRPr="009A7C29">
        <w:t xml:space="preserve">HR </w:t>
      </w:r>
      <w:r w:rsidR="00BA5960" w:rsidRPr="009A7C29">
        <w:t>roles available for selection by offices</w:t>
      </w:r>
      <w:r w:rsidR="008370C5" w:rsidRPr="009A7C29">
        <w:t>/units</w:t>
      </w:r>
      <w:r w:rsidR="00BA5960" w:rsidRPr="009A7C29">
        <w:t xml:space="preserve"> when requesting access to Quantum.</w:t>
      </w:r>
    </w:p>
    <w:p w14:paraId="5F934EB8" w14:textId="0FB91283" w:rsidR="00E4494D" w:rsidRDefault="00E4494D" w:rsidP="00DC09B1">
      <w:pPr>
        <w:ind w:left="360" w:hanging="360"/>
        <w:jc w:val="center"/>
      </w:pPr>
    </w:p>
    <w:p w14:paraId="7BB12171" w14:textId="31A3BE76" w:rsidR="00614460" w:rsidRDefault="005D6909" w:rsidP="00614460">
      <w:pPr>
        <w:ind w:left="360" w:hanging="360"/>
        <w:jc w:val="center"/>
      </w:pPr>
      <w:r>
        <w:rPr>
          <w:noProof/>
        </w:rPr>
        <w:drawing>
          <wp:inline distT="0" distB="0" distL="0" distR="0" wp14:anchorId="20568D14" wp14:editId="1931DE1C">
            <wp:extent cx="6117484" cy="3546158"/>
            <wp:effectExtent l="0" t="0" r="0" b="0"/>
            <wp:docPr id="183718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150618" cy="3565365"/>
                    </a:xfrm>
                    <a:prstGeom prst="rect">
                      <a:avLst/>
                    </a:prstGeom>
                    <a:noFill/>
                  </pic:spPr>
                </pic:pic>
              </a:graphicData>
            </a:graphic>
          </wp:inline>
        </w:drawing>
      </w:r>
    </w:p>
    <w:p w14:paraId="3C0DA3B6" w14:textId="65FF9442" w:rsidR="00003931" w:rsidRPr="009A7C29" w:rsidRDefault="00C95CD8" w:rsidP="00DA089C">
      <w:pPr>
        <w:spacing w:line="240" w:lineRule="auto"/>
      </w:pPr>
      <w:r w:rsidRPr="009A7C29">
        <w:t xml:space="preserve">When a Business Profile is selected and approved in IDAM, the user is granted a range of capabilities relevant to their business role. For example, when a Project Manager business profile is selected, a series of different Quantum module roles are assigned ‘behind the </w:t>
      </w:r>
      <w:proofErr w:type="gramStart"/>
      <w:r w:rsidRPr="009A7C29">
        <w:t>scenes’</w:t>
      </w:r>
      <w:proofErr w:type="gramEnd"/>
      <w:r w:rsidRPr="009A7C29">
        <w:t xml:space="preserve"> in Quantum PPM, SCM and GL to enable the Project Manager to open and close projects, manage budgets, initiate procurement, receipt goods and services, and request payments, among other capabilities. </w:t>
      </w:r>
    </w:p>
    <w:p w14:paraId="4C2EB0D4" w14:textId="6C03877F" w:rsidR="00C95CD8" w:rsidRDefault="00C95CD8" w:rsidP="005200F5">
      <w:pPr>
        <w:jc w:val="center"/>
      </w:pPr>
      <w:r>
        <w:rPr>
          <w:noProof/>
        </w:rPr>
        <w:lastRenderedPageBreak/>
        <w:drawing>
          <wp:inline distT="0" distB="0" distL="0" distR="0" wp14:anchorId="35605759" wp14:editId="466D1C2D">
            <wp:extent cx="5037069" cy="2584450"/>
            <wp:effectExtent l="0" t="0" r="0" b="6350"/>
            <wp:docPr id="514973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95747" cy="2665865"/>
                    </a:xfrm>
                    <a:prstGeom prst="rect">
                      <a:avLst/>
                    </a:prstGeom>
                    <a:noFill/>
                  </pic:spPr>
                </pic:pic>
              </a:graphicData>
            </a:graphic>
          </wp:inline>
        </w:drawing>
      </w:r>
    </w:p>
    <w:p w14:paraId="69E4B6D2" w14:textId="101E0156" w:rsidR="00FD58ED" w:rsidRDefault="00D6256F" w:rsidP="363CA695">
      <w:pPr>
        <w:spacing w:line="240" w:lineRule="auto"/>
        <w:rPr>
          <w:color w:val="ED7D31" w:themeColor="accent2"/>
        </w:rPr>
      </w:pPr>
      <w:r w:rsidRPr="009A7C29">
        <w:t>The capabilities assigned for each IDAM Business Profile have been carefully configured to ensure the ICF’s requirements for segregation of duties is preserved. The same applies for Supplementary Roles, which can be assigned to certain Business Profiles to execute specific discrete functions under the ICF</w:t>
      </w:r>
      <w:r w:rsidR="00C00321" w:rsidRPr="009A7C29">
        <w:t xml:space="preserve">. </w:t>
      </w:r>
      <w:r w:rsidRPr="009A7C29">
        <w:t xml:space="preserve">Supplementary Roles that are incompatible with a specific Business Profile cannot be assigned in IDAM (e.g. a Procurement Buyer </w:t>
      </w:r>
      <w:r w:rsidR="00C00321" w:rsidRPr="009A7C29">
        <w:t>B</w:t>
      </w:r>
      <w:r w:rsidRPr="009A7C29">
        <w:t xml:space="preserve">usiness </w:t>
      </w:r>
      <w:r w:rsidR="00C00321" w:rsidRPr="009A7C29">
        <w:t>P</w:t>
      </w:r>
      <w:r w:rsidRPr="009A7C29">
        <w:t>rofile cannot be assigned an Expense Receiver Supplementary Role).</w:t>
      </w:r>
      <w:r w:rsidR="0059271D" w:rsidRPr="009A7C29">
        <w:t xml:space="preserve"> Refer to </w:t>
      </w:r>
      <w:hyperlink w:anchor="_Annex_3:_Overview" w:history="1">
        <w:r w:rsidR="0059271D" w:rsidRPr="00876EB0">
          <w:rPr>
            <w:rStyle w:val="Hyperlink"/>
          </w:rPr>
          <w:t xml:space="preserve">Annex </w:t>
        </w:r>
        <w:r w:rsidR="008713E0" w:rsidRPr="00876EB0">
          <w:rPr>
            <w:rStyle w:val="Hyperlink"/>
          </w:rPr>
          <w:t>3</w:t>
        </w:r>
      </w:hyperlink>
      <w:r w:rsidR="0059271D" w:rsidRPr="363CA695">
        <w:rPr>
          <w:color w:val="ED7D31" w:themeColor="accent2"/>
        </w:rPr>
        <w:t xml:space="preserve"> </w:t>
      </w:r>
      <w:r w:rsidR="0059271D" w:rsidRPr="009A7C29">
        <w:t xml:space="preserve">for further details on the Quantum module capabilities granted with each </w:t>
      </w:r>
      <w:r w:rsidR="00A068C0" w:rsidRPr="009A7C29">
        <w:t xml:space="preserve">of the seven Finance &amp; Procurement </w:t>
      </w:r>
      <w:r w:rsidR="0059271D" w:rsidRPr="009A7C29">
        <w:t>Business Profile</w:t>
      </w:r>
      <w:r w:rsidR="00A068C0" w:rsidRPr="009A7C29">
        <w:t>s and related Supplementary Roles</w:t>
      </w:r>
      <w:r w:rsidR="0016462F" w:rsidRPr="009A7C29">
        <w:t xml:space="preserve">; and </w:t>
      </w:r>
      <w:hyperlink w:anchor="_Annex_4:_Overview" w:history="1">
        <w:r w:rsidR="0016462F" w:rsidRPr="00876EB0">
          <w:rPr>
            <w:rStyle w:val="Hyperlink"/>
          </w:rPr>
          <w:t>Annex 4</w:t>
        </w:r>
      </w:hyperlink>
      <w:r w:rsidR="0016462F" w:rsidRPr="363CA695">
        <w:rPr>
          <w:color w:val="ED7D31" w:themeColor="accent2"/>
        </w:rPr>
        <w:t xml:space="preserve"> </w:t>
      </w:r>
      <w:r w:rsidR="0016462F" w:rsidRPr="009A7C29">
        <w:t>for further information on what Business Profiles and Supplementary roles can be assigned within each office/unit.</w:t>
      </w:r>
    </w:p>
    <w:p w14:paraId="3FD77D75" w14:textId="77777777" w:rsidR="006E6EB2" w:rsidRPr="009A7C29" w:rsidRDefault="006E6EB2" w:rsidP="006E6EB2">
      <w:pPr>
        <w:rPr>
          <w:b/>
          <w:bCs/>
        </w:rPr>
      </w:pPr>
      <w:r w:rsidRPr="009A7C29">
        <w:rPr>
          <w:b/>
          <w:bCs/>
        </w:rPr>
        <w:t>Who can approve ICF exceptions?</w:t>
      </w:r>
    </w:p>
    <w:p w14:paraId="18CB7CF3" w14:textId="77777777" w:rsidR="00E91982" w:rsidRPr="00AB5341" w:rsidRDefault="00E91982" w:rsidP="00E91982">
      <w:pPr>
        <w:pStyle w:val="NormalWeb"/>
        <w:rPr>
          <w:rFonts w:asciiTheme="minorHAnsi" w:hAnsiTheme="minorHAnsi" w:cstheme="minorHAnsi"/>
          <w:sz w:val="22"/>
          <w:szCs w:val="22"/>
        </w:rPr>
      </w:pPr>
      <w:bookmarkStart w:id="34" w:name="_Hlk188370354"/>
      <w:r w:rsidRPr="00AB5341">
        <w:rPr>
          <w:rFonts w:asciiTheme="minorHAnsi" w:hAnsiTheme="minorHAnsi" w:cstheme="minorHAnsi"/>
          <w:sz w:val="22"/>
          <w:szCs w:val="22"/>
        </w:rPr>
        <w:t>UNDP’s Financial Rule 120.04 requires that: (a) the Comptroller</w:t>
      </w:r>
      <w:r w:rsidRPr="00AB5341">
        <w:rPr>
          <w:rStyle w:val="FootnoteReference"/>
          <w:rFonts w:asciiTheme="minorHAnsi" w:hAnsiTheme="minorHAnsi" w:cstheme="minorHAnsi"/>
          <w:sz w:val="22"/>
          <w:szCs w:val="22"/>
        </w:rPr>
        <w:footnoteReference w:id="15"/>
      </w:r>
      <w:r w:rsidRPr="00AB5341">
        <w:rPr>
          <w:rFonts w:asciiTheme="minorHAnsi" w:hAnsiTheme="minorHAnsi" w:cstheme="minorHAnsi"/>
          <w:sz w:val="22"/>
          <w:szCs w:val="22"/>
        </w:rPr>
        <w:t xml:space="preserve"> must approve all requests for segregation of duty exceptions; (b) at least two signatories are required to authorize the expense of funds; (c) the exception will be granted for a maximum of 30 calendar days; and (d) the exception will be granted on the basis of proposed compensating controls by the country office or Regional/Central Bureaus, including post facto review by another unit of all transactions made during the period of waived separation of duties. Additionally, offices can also consider implementing other best practices to augment separation of duties controls, such as mandatory vacation policy, periodic rotation of duties, and analytic reviews.</w:t>
      </w:r>
    </w:p>
    <w:p w14:paraId="3C137106" w14:textId="351D8009" w:rsidR="00E91982" w:rsidRPr="00E91982" w:rsidRDefault="00E91982" w:rsidP="363CA695">
      <w:pPr>
        <w:pStyle w:val="NormalWeb"/>
        <w:rPr>
          <w:rFonts w:asciiTheme="minorHAnsi" w:hAnsiTheme="minorHAnsi" w:cstheme="minorBidi"/>
          <w:sz w:val="22"/>
          <w:szCs w:val="22"/>
        </w:rPr>
      </w:pPr>
      <w:r w:rsidRPr="363CA695">
        <w:rPr>
          <w:rFonts w:asciiTheme="minorHAnsi" w:hAnsiTheme="minorHAnsi" w:cstheme="minorBidi"/>
          <w:b/>
          <w:bCs/>
          <w:sz w:val="22"/>
          <w:szCs w:val="22"/>
        </w:rPr>
        <w:t>Business units may seek exceptional approval from the CFO for timebound ICF waivers relating to segregation of duties or assignment of roles required to be fulfilled by staff (as articulated in Section 2.3 of this Guide).</w:t>
      </w:r>
      <w:r w:rsidRPr="363CA695">
        <w:rPr>
          <w:rFonts w:asciiTheme="minorHAnsi" w:hAnsiTheme="minorHAnsi" w:cstheme="minorBidi"/>
          <w:sz w:val="22"/>
          <w:szCs w:val="22"/>
        </w:rPr>
        <w:t xml:space="preserve"> This includes exceptions f</w:t>
      </w:r>
      <w:r w:rsidRPr="009A7C29">
        <w:rPr>
          <w:rFonts w:asciiTheme="minorHAnsi" w:hAnsiTheme="minorHAnsi" w:cstheme="minorBidi"/>
          <w:sz w:val="22"/>
          <w:szCs w:val="22"/>
        </w:rPr>
        <w:t xml:space="preserve">or HR transactional roles that carry internal control financial risk, such as HR Administrator (first authority), Global Payroll Administrator (second authority), Disbursing Officer- Payroll (third authority), and </w:t>
      </w:r>
      <w:bookmarkStart w:id="35" w:name="_Hlk209012022"/>
      <w:r w:rsidR="0098149C" w:rsidRPr="0098149C">
        <w:rPr>
          <w:rFonts w:asciiTheme="minorHAnsi" w:hAnsiTheme="minorHAnsi" w:cstheme="minorHAnsi"/>
          <w:sz w:val="22"/>
          <w:szCs w:val="22"/>
        </w:rPr>
        <w:t>Position</w:t>
      </w:r>
      <w:r w:rsidR="0098149C" w:rsidRPr="0098149C">
        <w:rPr>
          <w:rFonts w:asciiTheme="minorHAnsi" w:hAnsiTheme="minorHAnsi" w:cstheme="minorHAnsi"/>
          <w:spacing w:val="-2"/>
          <w:sz w:val="22"/>
          <w:szCs w:val="22"/>
        </w:rPr>
        <w:t xml:space="preserve"> </w:t>
      </w:r>
      <w:r w:rsidR="0098149C" w:rsidRPr="0098149C">
        <w:rPr>
          <w:rFonts w:asciiTheme="minorHAnsi" w:hAnsiTheme="minorHAnsi" w:cstheme="minorHAnsi"/>
          <w:sz w:val="22"/>
          <w:szCs w:val="22"/>
        </w:rPr>
        <w:t xml:space="preserve">Approver - Head of Office; and Position Approver – Head of Office Bureau Level </w:t>
      </w:r>
      <w:bookmarkEnd w:id="35"/>
      <w:r w:rsidR="0098149C" w:rsidRPr="0098149C">
        <w:rPr>
          <w:rFonts w:asciiTheme="minorHAnsi" w:hAnsiTheme="minorHAnsi" w:cstheme="minorHAnsi"/>
          <w:sz w:val="22"/>
          <w:szCs w:val="22"/>
        </w:rPr>
        <w:t>(refer section 8.5 for more information</w:t>
      </w:r>
      <w:r w:rsidR="0098149C">
        <w:rPr>
          <w:rFonts w:asciiTheme="minorHAnsi" w:hAnsiTheme="minorHAnsi" w:cstheme="minorHAnsi"/>
          <w:sz w:val="22"/>
          <w:szCs w:val="22"/>
        </w:rPr>
        <w:t xml:space="preserve"> on the various position administration roles</w:t>
      </w:r>
      <w:r w:rsidR="0098149C" w:rsidRPr="0098149C">
        <w:rPr>
          <w:rFonts w:asciiTheme="minorHAnsi" w:hAnsiTheme="minorHAnsi" w:cstheme="minorHAnsi"/>
          <w:sz w:val="22"/>
          <w:szCs w:val="22"/>
        </w:rPr>
        <w:t>)</w:t>
      </w:r>
      <w:r w:rsidRPr="009A7C29">
        <w:rPr>
          <w:rFonts w:asciiTheme="minorHAnsi" w:hAnsiTheme="minorHAnsi" w:cstheme="minorBidi"/>
          <w:sz w:val="22"/>
          <w:szCs w:val="22"/>
        </w:rPr>
        <w:t xml:space="preserve">. </w:t>
      </w:r>
      <w:r w:rsidR="009E744B" w:rsidRPr="009A7C29">
        <w:rPr>
          <w:rFonts w:asciiTheme="minorHAnsi" w:hAnsiTheme="minorHAnsi" w:cstheme="minorBidi"/>
          <w:sz w:val="22"/>
          <w:szCs w:val="22"/>
        </w:rPr>
        <w:t>These HR roles fall under the ICF as they involve the commitment, approval</w:t>
      </w:r>
      <w:r w:rsidR="00557F74" w:rsidRPr="009A7C29">
        <w:rPr>
          <w:rFonts w:asciiTheme="minorHAnsi" w:hAnsiTheme="minorHAnsi" w:cstheme="minorBidi"/>
          <w:sz w:val="22"/>
          <w:szCs w:val="22"/>
        </w:rPr>
        <w:t>,</w:t>
      </w:r>
      <w:r w:rsidR="009E744B" w:rsidRPr="009A7C29">
        <w:rPr>
          <w:rFonts w:asciiTheme="minorHAnsi" w:hAnsiTheme="minorHAnsi" w:cstheme="minorBidi"/>
          <w:sz w:val="22"/>
          <w:szCs w:val="22"/>
        </w:rPr>
        <w:t xml:space="preserve"> or disbursement of funds related to </w:t>
      </w:r>
      <w:r w:rsidR="00557F74" w:rsidRPr="009A7C29">
        <w:rPr>
          <w:rFonts w:asciiTheme="minorHAnsi" w:hAnsiTheme="minorHAnsi" w:cstheme="minorBidi"/>
          <w:sz w:val="22"/>
          <w:szCs w:val="22"/>
        </w:rPr>
        <w:t xml:space="preserve">payroll and positions. </w:t>
      </w:r>
      <w:r w:rsidRPr="009A7C29">
        <w:rPr>
          <w:rFonts w:asciiTheme="minorHAnsi" w:hAnsiTheme="minorHAnsi" w:cstheme="minorBidi"/>
          <w:sz w:val="22"/>
          <w:szCs w:val="22"/>
        </w:rPr>
        <w:t xml:space="preserve">Requests for exceptions on all other HR roles </w:t>
      </w:r>
      <w:r w:rsidR="000F49AC" w:rsidRPr="009A7C29">
        <w:rPr>
          <w:rFonts w:asciiTheme="minorHAnsi" w:hAnsiTheme="minorHAnsi" w:cstheme="minorBidi"/>
          <w:sz w:val="22"/>
          <w:szCs w:val="22"/>
        </w:rPr>
        <w:t xml:space="preserve">that do not carry financial transaction risk </w:t>
      </w:r>
      <w:r w:rsidRPr="009A7C29">
        <w:rPr>
          <w:rFonts w:asciiTheme="minorHAnsi" w:hAnsiTheme="minorHAnsi" w:cstheme="minorBidi"/>
          <w:sz w:val="22"/>
          <w:szCs w:val="22"/>
        </w:rPr>
        <w:t>can be approved by the Director, BMS/OHR</w:t>
      </w:r>
      <w:r w:rsidR="00557F74" w:rsidRPr="009A7C29">
        <w:rPr>
          <w:rFonts w:asciiTheme="minorHAnsi" w:hAnsiTheme="minorHAnsi" w:cstheme="minorBidi"/>
          <w:sz w:val="22"/>
          <w:szCs w:val="22"/>
        </w:rPr>
        <w:t xml:space="preserve"> based on his/her assessment of functional risk.</w:t>
      </w:r>
      <w:r w:rsidR="000F49AC" w:rsidRPr="009A7C29">
        <w:rPr>
          <w:rFonts w:asciiTheme="minorHAnsi" w:hAnsiTheme="minorHAnsi" w:cstheme="minorBidi"/>
          <w:sz w:val="22"/>
          <w:szCs w:val="22"/>
        </w:rPr>
        <w:t xml:space="preserve"> Refer to </w:t>
      </w:r>
      <w:hyperlink w:anchor="_Annex_2:_Overview" w:history="1">
        <w:r w:rsidR="000F49AC" w:rsidRPr="00876EB0">
          <w:rPr>
            <w:rStyle w:val="Hyperlink"/>
            <w:rFonts w:asciiTheme="minorHAnsi" w:hAnsiTheme="minorHAnsi" w:cstheme="minorBidi"/>
            <w:sz w:val="22"/>
            <w:szCs w:val="22"/>
          </w:rPr>
          <w:t>Annex 2</w:t>
        </w:r>
      </w:hyperlink>
      <w:r w:rsidR="000F49AC" w:rsidRPr="009A7C29">
        <w:rPr>
          <w:rFonts w:asciiTheme="minorHAnsi" w:hAnsiTheme="minorHAnsi" w:cstheme="minorBidi"/>
          <w:sz w:val="22"/>
          <w:szCs w:val="22"/>
        </w:rPr>
        <w:t xml:space="preserve"> for an overview of all HR roles available to offices/units and their purpose.</w:t>
      </w:r>
    </w:p>
    <w:bookmarkEnd w:id="34"/>
    <w:p w14:paraId="057FBA00" w14:textId="7CA14D26" w:rsidR="006E6EB2" w:rsidRPr="009A7C29" w:rsidRDefault="006E6EB2" w:rsidP="363CA695">
      <w:pPr>
        <w:rPr>
          <w:b/>
          <w:bCs/>
        </w:rPr>
      </w:pPr>
      <w:r w:rsidRPr="009A7C29">
        <w:rPr>
          <w:b/>
          <w:bCs/>
        </w:rPr>
        <w:t>How should ICF exception approvals be requested?</w:t>
      </w:r>
    </w:p>
    <w:p w14:paraId="100F4F25" w14:textId="4955E4FC" w:rsidR="006E6EB2" w:rsidRPr="00043257" w:rsidRDefault="006E6EB2" w:rsidP="007A1AA4">
      <w:pPr>
        <w:spacing w:line="240" w:lineRule="auto"/>
      </w:pPr>
      <w:r w:rsidRPr="363CA695">
        <w:lastRenderedPageBreak/>
        <w:t>Requests for exceptions on Finance and th</w:t>
      </w:r>
      <w:r w:rsidRPr="009A7C29">
        <w:t xml:space="preserve">e abovementioned HR transactional roles </w:t>
      </w:r>
      <w:r w:rsidR="63E74BFF" w:rsidRPr="009A7C29">
        <w:t>(</w:t>
      </w:r>
      <w:r w:rsidR="39241014" w:rsidRPr="009A7C29">
        <w:t xml:space="preserve">i.e., the </w:t>
      </w:r>
      <w:r w:rsidR="63E74BFF" w:rsidRPr="009A7C29">
        <w:t xml:space="preserve">three payroll authorities, and </w:t>
      </w:r>
      <w:r w:rsidR="00DD1EBD" w:rsidRPr="0098149C">
        <w:rPr>
          <w:rFonts w:cstheme="minorHAnsi"/>
        </w:rPr>
        <w:t>Position</w:t>
      </w:r>
      <w:r w:rsidR="00DD1EBD" w:rsidRPr="0098149C">
        <w:rPr>
          <w:rFonts w:cstheme="minorHAnsi"/>
          <w:spacing w:val="-2"/>
        </w:rPr>
        <w:t xml:space="preserve"> </w:t>
      </w:r>
      <w:r w:rsidR="00DD1EBD" w:rsidRPr="0098149C">
        <w:rPr>
          <w:rFonts w:cstheme="minorHAnsi"/>
        </w:rPr>
        <w:t>Approver - Head of Office; and Position Approver – Head of Office Bureau Level</w:t>
      </w:r>
      <w:r w:rsidR="63E74BFF" w:rsidRPr="009A7C29">
        <w:t xml:space="preserve">) </w:t>
      </w:r>
      <w:r w:rsidRPr="009A7C29">
        <w:t xml:space="preserve">should </w:t>
      </w:r>
      <w:r w:rsidRPr="363CA695">
        <w:t xml:space="preserve">be submitted through the </w:t>
      </w:r>
      <w:proofErr w:type="spellStart"/>
      <w:r w:rsidRPr="363CA695">
        <w:t>CBx</w:t>
      </w:r>
      <w:proofErr w:type="spellEnd"/>
      <w:r w:rsidRPr="363CA695">
        <w:t>/</w:t>
      </w:r>
      <w:proofErr w:type="spellStart"/>
      <w:r w:rsidRPr="363CA695">
        <w:t>RBx</w:t>
      </w:r>
      <w:proofErr w:type="spellEnd"/>
      <w:r w:rsidRPr="363CA695">
        <w:t xml:space="preserve"> ICF Focal point to ‘Finance Business Advisors </w:t>
      </w:r>
      <w:hyperlink r:id="rId43">
        <w:r w:rsidRPr="363CA695">
          <w:rPr>
            <w:rStyle w:val="Hyperlink"/>
          </w:rPr>
          <w:t>fba.all@undp.org</w:t>
        </w:r>
      </w:hyperlink>
      <w:r w:rsidRPr="363CA695">
        <w:t xml:space="preserve">). </w:t>
      </w:r>
      <w:r w:rsidRPr="009A7C29">
        <w:t>Each request should set out: (</w:t>
      </w:r>
      <w:proofErr w:type="spellStart"/>
      <w:r w:rsidRPr="009A7C29">
        <w:t>i</w:t>
      </w:r>
      <w:proofErr w:type="spellEnd"/>
      <w:r w:rsidRPr="009A7C29">
        <w:t>) what exception is being requested (segregation of duty, assignment of staff role to non-staff, etc.); (ii) why the timebound exception is needed; and (iii) what compensating controls/review measures the office/unit (or Bx, as relevant) will put in place during the period of the exception; and (iv) what steps the office</w:t>
      </w:r>
      <w:r w:rsidR="008370C5" w:rsidRPr="009A7C29">
        <w:t>/unit</w:t>
      </w:r>
      <w:r w:rsidRPr="009A7C29">
        <w:t xml:space="preserve"> will take to phase out the need for the exception in the medium to longer term. </w:t>
      </w:r>
      <w:r w:rsidRPr="363CA695">
        <w:t>The CFO’s approval of the req</w:t>
      </w:r>
      <w:r w:rsidRPr="009A7C29">
        <w:t xml:space="preserve">uest (if granted) </w:t>
      </w:r>
      <w:r w:rsidRPr="363CA695">
        <w:t xml:space="preserve">should be attached to the IDAM access request as a supporting document when requesting </w:t>
      </w:r>
      <w:proofErr w:type="gramStart"/>
      <w:r w:rsidRPr="363CA695">
        <w:t>the special</w:t>
      </w:r>
      <w:proofErr w:type="gramEnd"/>
      <w:r w:rsidRPr="363CA695">
        <w:t xml:space="preserve"> access in IDAM.</w:t>
      </w:r>
    </w:p>
    <w:p w14:paraId="365BFA4F" w14:textId="23D4B390" w:rsidR="006E6EB2" w:rsidRPr="004A04E4" w:rsidRDefault="006E6EB2" w:rsidP="007A1AA4">
      <w:pPr>
        <w:spacing w:line="240" w:lineRule="auto"/>
      </w:pPr>
      <w:r w:rsidRPr="363CA695">
        <w:t xml:space="preserve">Requests for exceptions pertaining to all other HR roles should be sent to the BMS/OHR Directorate, and their approval thereof should be attached to the IDAM access request as a supporting document when requesting </w:t>
      </w:r>
      <w:proofErr w:type="gramStart"/>
      <w:r w:rsidRPr="363CA695">
        <w:t>the special</w:t>
      </w:r>
      <w:proofErr w:type="gramEnd"/>
      <w:r w:rsidRPr="363CA695">
        <w:t xml:space="preserve"> access.</w:t>
      </w:r>
    </w:p>
    <w:p w14:paraId="019E8790" w14:textId="77CC1173" w:rsidR="006E6EB2" w:rsidRPr="009A7C29" w:rsidRDefault="006E6EB2" w:rsidP="363CA695">
      <w:pPr>
        <w:rPr>
          <w:b/>
          <w:bCs/>
        </w:rPr>
      </w:pPr>
      <w:r w:rsidRPr="009A7C29">
        <w:rPr>
          <w:b/>
          <w:bCs/>
        </w:rPr>
        <w:t xml:space="preserve">What are the </w:t>
      </w:r>
      <w:proofErr w:type="gramStart"/>
      <w:r w:rsidRPr="009A7C29">
        <w:rPr>
          <w:b/>
          <w:bCs/>
        </w:rPr>
        <w:t>flexibilities</w:t>
      </w:r>
      <w:proofErr w:type="gramEnd"/>
      <w:r w:rsidRPr="009A7C29">
        <w:rPr>
          <w:b/>
          <w:bCs/>
        </w:rPr>
        <w:t xml:space="preserve"> for smaller offices</w:t>
      </w:r>
      <w:r w:rsidR="008370C5" w:rsidRPr="009A7C29">
        <w:rPr>
          <w:b/>
          <w:bCs/>
        </w:rPr>
        <w:t>/units</w:t>
      </w:r>
      <w:r w:rsidRPr="009A7C29">
        <w:rPr>
          <w:b/>
          <w:bCs/>
        </w:rPr>
        <w:t>?</w:t>
      </w:r>
    </w:p>
    <w:p w14:paraId="72E56376" w14:textId="2FAD0BAA" w:rsidR="00B84C07" w:rsidRDefault="006E6EB2" w:rsidP="00AD810D">
      <w:r w:rsidRPr="363CA695">
        <w:t>Segregation of authorities in small offices</w:t>
      </w:r>
      <w:r w:rsidR="008370C5" w:rsidRPr="363CA695">
        <w:t>/units</w:t>
      </w:r>
      <w:r w:rsidRPr="363CA695">
        <w:t xml:space="preserve"> or those experiencing prolonged absences of staff performing key internal control functions (such as approving managers): In certain circumstances, particularly in small offices</w:t>
      </w:r>
      <w:r w:rsidR="008370C5" w:rsidRPr="363CA695">
        <w:t>/units</w:t>
      </w:r>
      <w:r w:rsidRPr="363CA695">
        <w:t xml:space="preserve"> (which can include country offices, project offices, or representation offices) or due to prolonged absence, there may be a reduced number of staff available to fulfill key internal control roles (such as approving managers). If such circumstances arise, </w:t>
      </w:r>
      <w:r w:rsidR="008370C5" w:rsidRPr="363CA695">
        <w:t>offices/</w:t>
      </w:r>
      <w:r w:rsidRPr="363CA695">
        <w:t xml:space="preserve">units should seek the assistance of a regional hub (RH) or supporting regional bureau or central bureau to perform the necessary approval functions (second and third authorities).  </w:t>
      </w:r>
    </w:p>
    <w:p w14:paraId="150CA3E7" w14:textId="2AB40B8E" w:rsidR="006E6EB2" w:rsidRDefault="006E6EB2" w:rsidP="006E6EB2">
      <w:r w:rsidRPr="363CA695">
        <w:t>IDAM can accommodate the same business profile in one business unit being extended to a different business unit. For example, if a user is Manager Level 1 in the regional hub, then the country office IDAM focal point can submit an IDAM request to extend the user Manager Level 1 access to the country office to allow regional bureaus to perform the approval function for the country office. All data access and approval rights will be processed automatically by IDAM. If necessary, supporting documents may be sent (and subsequently signed) electronically to the CO and HQ units performing the approval functions. In such cases, the proposed strategy for addressing the ICF for the respective office</w:t>
      </w:r>
      <w:r w:rsidR="008370C5" w:rsidRPr="363CA695">
        <w:t>/unit</w:t>
      </w:r>
      <w:r w:rsidRPr="363CA695">
        <w:t xml:space="preserve"> should be discussed with the relevant bureau, in close consultation with BMS/OF</w:t>
      </w:r>
      <w:r w:rsidR="00A40A72">
        <w:t>R</w:t>
      </w:r>
      <w:r w:rsidRPr="363CA695">
        <w:t>M.</w:t>
      </w:r>
      <w:r w:rsidR="00EF6DE5">
        <w:t xml:space="preserve"> </w:t>
      </w:r>
      <w:r w:rsidR="00EF6DE5" w:rsidRPr="009A7C29">
        <w:t>IDAM rights extended from one business unit to another business unit should be reflected in the relevant local ICF delegations of authority documentation.</w:t>
      </w:r>
    </w:p>
    <w:p w14:paraId="18429AAA" w14:textId="65491A4C" w:rsidR="009F4F88" w:rsidRDefault="009F4F88">
      <w:pPr>
        <w:pStyle w:val="Heading1"/>
        <w:numPr>
          <w:ilvl w:val="0"/>
          <w:numId w:val="93"/>
        </w:numPr>
        <w:spacing w:after="240"/>
      </w:pPr>
      <w:bookmarkStart w:id="36" w:name="_Toc210052755"/>
      <w:proofErr w:type="spellStart"/>
      <w:r w:rsidRPr="363CA695">
        <w:t>Programme</w:t>
      </w:r>
      <w:proofErr w:type="spellEnd"/>
      <w:r w:rsidRPr="363CA695">
        <w:t xml:space="preserve"> &amp; Project Management</w:t>
      </w:r>
      <w:bookmarkEnd w:id="36"/>
    </w:p>
    <w:p w14:paraId="61DA6312" w14:textId="2A58EA93" w:rsidR="00ED3CA1" w:rsidRPr="00ED3CA1" w:rsidRDefault="00597C21" w:rsidP="00DA089C">
      <w:pPr>
        <w:spacing w:line="240" w:lineRule="auto"/>
      </w:pPr>
      <w:r w:rsidRPr="363CA695">
        <w:t xml:space="preserve">The </w:t>
      </w:r>
      <w:hyperlink r:id="rId44">
        <w:r w:rsidRPr="363CA695">
          <w:rPr>
            <w:rStyle w:val="Hyperlink"/>
          </w:rPr>
          <w:t xml:space="preserve">POPP </w:t>
        </w:r>
        <w:proofErr w:type="spellStart"/>
        <w:r w:rsidRPr="363CA695">
          <w:rPr>
            <w:rStyle w:val="Hyperlink"/>
          </w:rPr>
          <w:t>Programme</w:t>
        </w:r>
        <w:proofErr w:type="spellEnd"/>
        <w:r w:rsidRPr="363CA695">
          <w:rPr>
            <w:rStyle w:val="Hyperlink"/>
          </w:rPr>
          <w:t xml:space="preserve"> and Project Management </w:t>
        </w:r>
      </w:hyperlink>
      <w:r w:rsidRPr="363CA695">
        <w:t>comprehensively articulates the roles and responsibilities of Project Managers</w:t>
      </w:r>
      <w:r w:rsidRPr="009A7C29">
        <w:t xml:space="preserve">, </w:t>
      </w:r>
      <w:proofErr w:type="spellStart"/>
      <w:r w:rsidRPr="009A7C29">
        <w:t>Programme</w:t>
      </w:r>
      <w:proofErr w:type="spellEnd"/>
      <w:r w:rsidRPr="009A7C29">
        <w:t xml:space="preserve"> Officers, and Trust Fund Managers</w:t>
      </w:r>
      <w:r w:rsidR="001549DE" w:rsidRPr="009A7C29">
        <w:t>. The </w:t>
      </w:r>
      <w:hyperlink r:id="rId45">
        <w:r w:rsidR="001549DE" w:rsidRPr="009A7C29">
          <w:rPr>
            <w:rStyle w:val="Hyperlink"/>
            <w:color w:val="4472C4" w:themeColor="accent1"/>
          </w:rPr>
          <w:t xml:space="preserve">Visual Guide to Programming: </w:t>
        </w:r>
        <w:proofErr w:type="spellStart"/>
        <w:r w:rsidR="001549DE" w:rsidRPr="009A7C29">
          <w:rPr>
            <w:rStyle w:val="Hyperlink"/>
            <w:color w:val="4472C4" w:themeColor="accent1"/>
          </w:rPr>
          <w:t>Programme</w:t>
        </w:r>
        <w:proofErr w:type="spellEnd"/>
        <w:r w:rsidR="001549DE" w:rsidRPr="009A7C29">
          <w:rPr>
            <w:rStyle w:val="Hyperlink"/>
            <w:color w:val="4472C4" w:themeColor="accent1"/>
          </w:rPr>
          <w:t xml:space="preserve"> Cycle</w:t>
        </w:r>
      </w:hyperlink>
      <w:r w:rsidR="001549DE" w:rsidRPr="009A7C29">
        <w:rPr>
          <w:color w:val="4472C4" w:themeColor="accent1"/>
        </w:rPr>
        <w:t xml:space="preserve">  </w:t>
      </w:r>
      <w:r w:rsidR="001549DE" w:rsidRPr="009A7C29">
        <w:t xml:space="preserve">and the </w:t>
      </w:r>
      <w:hyperlink r:id="rId46">
        <w:r w:rsidR="001549DE" w:rsidRPr="009A7C29">
          <w:rPr>
            <w:rStyle w:val="Hyperlink"/>
            <w:color w:val="4472C4" w:themeColor="accent1"/>
          </w:rPr>
          <w:t>Visual Guide to Programming: Standard Development Project</w:t>
        </w:r>
      </w:hyperlink>
      <w:r w:rsidR="001549DE" w:rsidRPr="009A7C29">
        <w:t xml:space="preserve"> provide an overview of all key roles, documents and guidance for designing, implementing, closing and transitioning a </w:t>
      </w:r>
      <w:proofErr w:type="spellStart"/>
      <w:r w:rsidR="001549DE" w:rsidRPr="009A7C29">
        <w:t>programme</w:t>
      </w:r>
      <w:proofErr w:type="spellEnd"/>
      <w:r w:rsidR="001549DE" w:rsidRPr="009A7C29">
        <w:t xml:space="preserve"> and a development project. The visual guides can be used as checklists and roadmaps to help manage tasks efficiently and securely. Additionally, a range of Quantum Knowledge Articles can be found in UNall at </w:t>
      </w:r>
      <w:hyperlink r:id="rId47">
        <w:r w:rsidR="001549DE" w:rsidRPr="009A7C29">
          <w:rPr>
            <w:rStyle w:val="Hyperlink"/>
            <w:color w:val="4472C4" w:themeColor="accent1"/>
          </w:rPr>
          <w:t>Project &amp; Portfolio Management</w:t>
        </w:r>
      </w:hyperlink>
      <w:r w:rsidR="001549DE" w:rsidRPr="009A7C29">
        <w:t>.</w:t>
      </w:r>
      <w:r w:rsidR="00B56C73" w:rsidRPr="009A7C29">
        <w:t xml:space="preserve"> </w:t>
      </w:r>
      <w:r w:rsidRPr="363CA695">
        <w:t xml:space="preserve">Below is an overview of the key internal control responsibilities fulfilled by </w:t>
      </w:r>
      <w:r w:rsidR="001549DE" w:rsidRPr="363CA695">
        <w:t xml:space="preserve">Project Managers, </w:t>
      </w:r>
      <w:proofErr w:type="spellStart"/>
      <w:r w:rsidR="001549DE" w:rsidRPr="363CA695">
        <w:t>Programme</w:t>
      </w:r>
      <w:proofErr w:type="spellEnd"/>
      <w:r w:rsidR="001549DE" w:rsidRPr="363CA695">
        <w:t xml:space="preserve"> Officers</w:t>
      </w:r>
      <w:r w:rsidR="00926543" w:rsidRPr="363CA695">
        <w:t>,</w:t>
      </w:r>
      <w:r w:rsidR="001549DE" w:rsidRPr="363CA695">
        <w:t xml:space="preserve"> and Trust Fund Manage</w:t>
      </w:r>
      <w:r w:rsidR="001549DE" w:rsidRPr="009A7C29">
        <w:t>rs</w:t>
      </w:r>
      <w:r w:rsidR="00E60C04" w:rsidRPr="009A7C29">
        <w:t xml:space="preserve">, along with oversight responsibilities of the </w:t>
      </w:r>
      <w:r w:rsidR="00694AB2" w:rsidRPr="009A7C29">
        <w:t xml:space="preserve">Assistant </w:t>
      </w:r>
      <w:r w:rsidR="00E60C04" w:rsidRPr="009A7C29">
        <w:t xml:space="preserve">Resident Representative – </w:t>
      </w:r>
      <w:proofErr w:type="spellStart"/>
      <w:r w:rsidR="00E60C04" w:rsidRPr="009A7C29">
        <w:t>Programmes</w:t>
      </w:r>
      <w:proofErr w:type="spellEnd"/>
      <w:r w:rsidR="00E60C04" w:rsidRPr="009A7C29">
        <w:t xml:space="preserve"> (</w:t>
      </w:r>
      <w:r w:rsidR="00694AB2" w:rsidRPr="009A7C29">
        <w:t>A</w:t>
      </w:r>
      <w:r w:rsidR="00E60C04" w:rsidRPr="009A7C29">
        <w:t>RR-P).</w:t>
      </w:r>
    </w:p>
    <w:p w14:paraId="06C049CC" w14:textId="55FE9890" w:rsidR="009F4F88" w:rsidRPr="004B2DF3" w:rsidRDefault="009F4F88">
      <w:pPr>
        <w:pStyle w:val="Heading2"/>
        <w:numPr>
          <w:ilvl w:val="1"/>
          <w:numId w:val="93"/>
        </w:numPr>
        <w:spacing w:after="240"/>
      </w:pPr>
      <w:bookmarkStart w:id="37" w:name="_Toc210052756"/>
      <w:r w:rsidRPr="004B2DF3">
        <w:lastRenderedPageBreak/>
        <w:t>Project Manager</w:t>
      </w:r>
      <w:bookmarkEnd w:id="37"/>
    </w:p>
    <w:p w14:paraId="5D9D6EFE" w14:textId="6F1D54B8" w:rsidR="00EC4C68" w:rsidRPr="00910A7D" w:rsidRDefault="00597C21" w:rsidP="00910A7D">
      <w:pPr>
        <w:spacing w:line="240" w:lineRule="auto"/>
      </w:pPr>
      <w:r w:rsidRPr="363CA695">
        <w:t>Project Managers are responsible for day-to-day project management and decision-making. They ensure that projects produce results specified in the project documents, to the required standards of quality, and within the specified constraints of time and cost. Within this Guide, the ‘Project Manager’ role refers to the person with primary responsibility for managing resources, in that all budgets, commitments and disbursements are assigned to a project in Quantum.</w:t>
      </w:r>
    </w:p>
    <w:p w14:paraId="47C3F8EB" w14:textId="6FE8BDC1" w:rsidR="002559E9" w:rsidRPr="005E061A" w:rsidRDefault="002559E9" w:rsidP="00926543">
      <w:pPr>
        <w:spacing w:line="240" w:lineRule="auto"/>
      </w:pPr>
      <w:r w:rsidRPr="363CA695">
        <w:rPr>
          <w:b/>
          <w:bCs/>
        </w:rPr>
        <w:t>For management projects,</w:t>
      </w:r>
      <w:r w:rsidRPr="363CA695">
        <w:t xml:space="preserve"> the Project Manager role must be assigned to </w:t>
      </w:r>
      <w:proofErr w:type="gramStart"/>
      <w:r w:rsidRPr="363CA695">
        <w:t>managers</w:t>
      </w:r>
      <w:proofErr w:type="gramEnd"/>
      <w:r w:rsidRPr="363CA695">
        <w:t xml:space="preserve"> and this could include RRs, Deputy Resident Representatives (DRRs), </w:t>
      </w:r>
      <w:proofErr w:type="gramStart"/>
      <w:r w:rsidRPr="363CA695">
        <w:t>Assistant Resident</w:t>
      </w:r>
      <w:proofErr w:type="gramEnd"/>
      <w:r w:rsidRPr="363CA695">
        <w:t xml:space="preserve"> Representatives (ARRs) or Operations Managers in   </w:t>
      </w:r>
      <w:proofErr w:type="spellStart"/>
      <w:r w:rsidRPr="363CA695">
        <w:t>COs.</w:t>
      </w:r>
      <w:proofErr w:type="spellEnd"/>
      <w:r w:rsidRPr="363CA695">
        <w:t xml:space="preserve"> At HQ units, they could be Heads of Office, Deputy Heads of Office, or Executive Officers.</w:t>
      </w:r>
    </w:p>
    <w:p w14:paraId="2A776BC7" w14:textId="01ADBAC1" w:rsidR="002559E9" w:rsidRPr="005E061A" w:rsidRDefault="002559E9" w:rsidP="00926543">
      <w:pPr>
        <w:spacing w:line="240" w:lineRule="auto"/>
      </w:pPr>
      <w:r w:rsidRPr="363CA695">
        <w:rPr>
          <w:b/>
          <w:bCs/>
        </w:rPr>
        <w:t>For development projects directly implemented by UNDP,</w:t>
      </w:r>
      <w:r w:rsidRPr="363CA695">
        <w:t xml:space="preserve"> Project Managers could be RRs, DRR </w:t>
      </w:r>
      <w:proofErr w:type="spellStart"/>
      <w:r w:rsidRPr="363CA695">
        <w:t>Programme</w:t>
      </w:r>
      <w:proofErr w:type="spellEnd"/>
      <w:r w:rsidRPr="363CA695">
        <w:t xml:space="preserve"> (limited positions), ARR </w:t>
      </w:r>
      <w:proofErr w:type="spellStart"/>
      <w:r w:rsidRPr="363CA695">
        <w:t>Programme</w:t>
      </w:r>
      <w:proofErr w:type="spellEnd"/>
      <w:r w:rsidRPr="363CA695">
        <w:t>, or Project Managers.</w:t>
      </w:r>
    </w:p>
    <w:p w14:paraId="7D606FC6" w14:textId="1B05141E" w:rsidR="00EC4C68" w:rsidRPr="00ED3DBF" w:rsidRDefault="002559E9" w:rsidP="363CA695">
      <w:pPr>
        <w:spacing w:line="240" w:lineRule="auto"/>
      </w:pPr>
      <w:r w:rsidRPr="363CA695">
        <w:rPr>
          <w:b/>
          <w:bCs/>
        </w:rPr>
        <w:t>For development projects not directly implemented by UNDP,</w:t>
      </w:r>
      <w:r w:rsidRPr="363CA695">
        <w:t xml:space="preserve"> the implementing partner (e.g., government institution, UN agency, Inter-Governmental Organization, or NGO) appoints the Project Manager according to the requirements of POPP (see project management). For these projects, the external national project director (NPD) or chief technical advisor (CTA) is often the primary person responsible for achieving development results and proper use of UNDP resources as agreed in the project document. In this scenario, the external NPD or CTA may use the Quantum external access facility to perform the Project Manager role </w:t>
      </w:r>
      <w:r w:rsidR="00926543" w:rsidRPr="363CA695">
        <w:t xml:space="preserve">(refer section 14 for more information) </w:t>
      </w:r>
      <w:r w:rsidRPr="363CA695">
        <w:t xml:space="preserve">or may approve and submit authorized transactions to the UNDP </w:t>
      </w:r>
      <w:proofErr w:type="spellStart"/>
      <w:r w:rsidRPr="363CA695">
        <w:t>Programme</w:t>
      </w:r>
      <w:proofErr w:type="spellEnd"/>
      <w:r w:rsidRPr="363CA695">
        <w:t xml:space="preserve"> Manager responsible for the project for entry and approval in Quantum.</w:t>
      </w:r>
    </w:p>
    <w:tbl>
      <w:tblPr>
        <w:tblStyle w:val="TableGrid"/>
        <w:tblW w:w="9895" w:type="dxa"/>
        <w:tblCellMar>
          <w:bottom w:w="43" w:type="dxa"/>
        </w:tblCellMar>
        <w:tblLook w:val="04A0" w:firstRow="1" w:lastRow="0" w:firstColumn="1" w:lastColumn="0" w:noHBand="0" w:noVBand="1"/>
      </w:tblPr>
      <w:tblGrid>
        <w:gridCol w:w="9895"/>
      </w:tblGrid>
      <w:tr w:rsidR="003D6AE3" w:rsidRPr="001549DE" w14:paraId="7ACB0C79" w14:textId="77777777" w:rsidTr="310609F1">
        <w:trPr>
          <w:tblHeader/>
        </w:trPr>
        <w:tc>
          <w:tcPr>
            <w:tcW w:w="9895" w:type="dxa"/>
            <w:shd w:val="clear" w:color="auto" w:fill="FFF2CC" w:themeFill="accent4" w:themeFillTint="33"/>
          </w:tcPr>
          <w:p w14:paraId="05ADE230" w14:textId="7A0BBC5B" w:rsidR="003D6AE3" w:rsidRPr="001549DE" w:rsidRDefault="00910A7D" w:rsidP="00910A7D">
            <w:pPr>
              <w:rPr>
                <w:rFonts w:cstheme="minorHAnsi"/>
                <w:b/>
                <w:bCs/>
                <w:sz w:val="20"/>
                <w:szCs w:val="20"/>
              </w:rPr>
            </w:pPr>
            <w:r w:rsidRPr="00DA089C">
              <w:rPr>
                <w:b/>
                <w:bCs/>
                <w:sz w:val="20"/>
                <w:szCs w:val="20"/>
              </w:rPr>
              <w:t>Project Manager (first authority, committing officer): Internal Control Responsibilities performed within each office</w:t>
            </w:r>
            <w:r>
              <w:rPr>
                <w:b/>
                <w:bCs/>
                <w:sz w:val="20"/>
                <w:szCs w:val="20"/>
              </w:rPr>
              <w:t>/unit</w:t>
            </w:r>
          </w:p>
        </w:tc>
      </w:tr>
      <w:tr w:rsidR="004F6AC8" w:rsidRPr="001549DE" w14:paraId="53344A0F" w14:textId="77777777" w:rsidTr="310609F1">
        <w:tc>
          <w:tcPr>
            <w:tcW w:w="9895" w:type="dxa"/>
            <w:shd w:val="clear" w:color="auto" w:fill="9CC2E5" w:themeFill="accent5" w:themeFillTint="99"/>
          </w:tcPr>
          <w:p w14:paraId="5EADF8F2" w14:textId="6C3D6556" w:rsidR="004F6AC8" w:rsidRPr="001549DE" w:rsidRDefault="004F6AC8">
            <w:pPr>
              <w:pStyle w:val="ListParagraph"/>
              <w:numPr>
                <w:ilvl w:val="0"/>
                <w:numId w:val="19"/>
              </w:numPr>
              <w:rPr>
                <w:rFonts w:cstheme="minorHAnsi"/>
                <w:sz w:val="20"/>
                <w:szCs w:val="20"/>
              </w:rPr>
            </w:pPr>
            <w:r w:rsidRPr="001549DE">
              <w:rPr>
                <w:rFonts w:cstheme="minorHAnsi"/>
                <w:b/>
                <w:bCs/>
                <w:sz w:val="20"/>
                <w:szCs w:val="20"/>
              </w:rPr>
              <w:t>Manage Project</w:t>
            </w:r>
            <w:r w:rsidR="00A2086B" w:rsidRPr="001549DE">
              <w:rPr>
                <w:rFonts w:cstheme="minorHAnsi"/>
                <w:b/>
                <w:bCs/>
                <w:sz w:val="20"/>
                <w:szCs w:val="20"/>
              </w:rPr>
              <w:t xml:space="preserve">: </w:t>
            </w:r>
            <w:r w:rsidR="00A2086B" w:rsidRPr="001549DE">
              <w:rPr>
                <w:rFonts w:cstheme="minorHAnsi"/>
                <w:b/>
                <w:sz w:val="20"/>
                <w:szCs w:val="20"/>
              </w:rPr>
              <w:t>Plan,</w:t>
            </w:r>
            <w:r w:rsidR="00A2086B" w:rsidRPr="001549DE">
              <w:rPr>
                <w:rFonts w:cstheme="minorHAnsi"/>
                <w:b/>
                <w:spacing w:val="-3"/>
                <w:sz w:val="20"/>
                <w:szCs w:val="20"/>
              </w:rPr>
              <w:t xml:space="preserve"> </w:t>
            </w:r>
            <w:r w:rsidR="00A2086B" w:rsidRPr="001549DE">
              <w:rPr>
                <w:rFonts w:cstheme="minorHAnsi"/>
                <w:b/>
                <w:sz w:val="20"/>
                <w:szCs w:val="20"/>
              </w:rPr>
              <w:t>implement,</w:t>
            </w:r>
            <w:r w:rsidR="00A2086B" w:rsidRPr="001549DE">
              <w:rPr>
                <w:rFonts w:cstheme="minorHAnsi"/>
                <w:b/>
                <w:spacing w:val="-3"/>
                <w:sz w:val="20"/>
                <w:szCs w:val="20"/>
              </w:rPr>
              <w:t xml:space="preserve"> </w:t>
            </w:r>
            <w:r w:rsidR="00A2086B" w:rsidRPr="001549DE">
              <w:rPr>
                <w:rFonts w:cstheme="minorHAnsi"/>
                <w:b/>
                <w:sz w:val="20"/>
                <w:szCs w:val="20"/>
              </w:rPr>
              <w:t>monitor,</w:t>
            </w:r>
            <w:r w:rsidR="00A2086B" w:rsidRPr="001549DE">
              <w:rPr>
                <w:rFonts w:cstheme="minorHAnsi"/>
                <w:b/>
                <w:spacing w:val="-2"/>
                <w:sz w:val="20"/>
                <w:szCs w:val="20"/>
              </w:rPr>
              <w:t xml:space="preserve"> </w:t>
            </w:r>
            <w:r w:rsidR="00A2086B" w:rsidRPr="001549DE">
              <w:rPr>
                <w:rFonts w:cstheme="minorHAnsi"/>
                <w:b/>
                <w:sz w:val="20"/>
                <w:szCs w:val="20"/>
              </w:rPr>
              <w:t>close</w:t>
            </w:r>
          </w:p>
        </w:tc>
      </w:tr>
      <w:tr w:rsidR="004F6AC8" w:rsidRPr="001549DE" w14:paraId="520B56C7" w14:textId="77777777" w:rsidTr="310609F1">
        <w:tc>
          <w:tcPr>
            <w:tcW w:w="9895" w:type="dxa"/>
          </w:tcPr>
          <w:p w14:paraId="1809FBBE" w14:textId="106534E5" w:rsidR="004F6AC8" w:rsidRPr="004E6C17" w:rsidRDefault="004E6C17">
            <w:pPr>
              <w:pStyle w:val="ListParagraph"/>
              <w:numPr>
                <w:ilvl w:val="0"/>
                <w:numId w:val="102"/>
              </w:numPr>
              <w:rPr>
                <w:sz w:val="20"/>
                <w:szCs w:val="20"/>
              </w:rPr>
            </w:pPr>
            <w:proofErr w:type="gramStart"/>
            <w:r w:rsidRPr="363CA695">
              <w:rPr>
                <w:b/>
                <w:bCs/>
                <w:sz w:val="20"/>
                <w:szCs w:val="20"/>
              </w:rPr>
              <w:t>Manage</w:t>
            </w:r>
            <w:proofErr w:type="gramEnd"/>
            <w:r w:rsidRPr="363CA695">
              <w:rPr>
                <w:b/>
                <w:bCs/>
                <w:sz w:val="20"/>
                <w:szCs w:val="20"/>
              </w:rPr>
              <w:t xml:space="preserve"> project:</w:t>
            </w:r>
            <w:r w:rsidRPr="363CA695">
              <w:rPr>
                <w:sz w:val="20"/>
                <w:szCs w:val="20"/>
              </w:rPr>
              <w:t xml:space="preserve"> </w:t>
            </w:r>
            <w:r w:rsidR="004F6AC8" w:rsidRPr="363CA695">
              <w:rPr>
                <w:sz w:val="20"/>
                <w:szCs w:val="20"/>
              </w:rPr>
              <w:t xml:space="preserve">Project Manager has the authority to run the project </w:t>
            </w:r>
            <w:proofErr w:type="gramStart"/>
            <w:r w:rsidR="004F6AC8" w:rsidRPr="363CA695">
              <w:rPr>
                <w:sz w:val="20"/>
                <w:szCs w:val="20"/>
              </w:rPr>
              <w:t>on a daily basis</w:t>
            </w:r>
            <w:proofErr w:type="gramEnd"/>
            <w:r w:rsidR="004F6AC8" w:rsidRPr="363CA695">
              <w:rPr>
                <w:sz w:val="20"/>
                <w:szCs w:val="20"/>
              </w:rPr>
              <w:t xml:space="preserve"> on behalf of the project board within the requirements set by the project board. </w:t>
            </w:r>
          </w:p>
        </w:tc>
      </w:tr>
      <w:tr w:rsidR="004E6C17" w:rsidRPr="001549DE" w14:paraId="5F883A5D" w14:textId="77777777" w:rsidTr="310609F1">
        <w:tc>
          <w:tcPr>
            <w:tcW w:w="9895" w:type="dxa"/>
          </w:tcPr>
          <w:p w14:paraId="7B0A91CC" w14:textId="44163EF0" w:rsidR="004E6C17" w:rsidRPr="009A7C29" w:rsidRDefault="0A510B6B">
            <w:pPr>
              <w:pStyle w:val="ListParagraph"/>
              <w:numPr>
                <w:ilvl w:val="0"/>
                <w:numId w:val="17"/>
              </w:numPr>
              <w:rPr>
                <w:sz w:val="20"/>
                <w:szCs w:val="20"/>
              </w:rPr>
            </w:pPr>
            <w:r w:rsidRPr="009A7C29">
              <w:rPr>
                <w:b/>
                <w:bCs/>
                <w:sz w:val="20"/>
                <w:szCs w:val="20"/>
              </w:rPr>
              <w:t>Prepare, implement, and monitor (at least monthly) project plans (workplan, budget)</w:t>
            </w:r>
            <w:r w:rsidRPr="009A7C29">
              <w:rPr>
                <w:sz w:val="20"/>
                <w:szCs w:val="20"/>
              </w:rPr>
              <w:t xml:space="preserve"> and sub-plans (procurement</w:t>
            </w:r>
            <w:r w:rsidR="001F13DD" w:rsidRPr="009A7C29">
              <w:rPr>
                <w:rStyle w:val="FootnoteReference"/>
                <w:sz w:val="20"/>
                <w:szCs w:val="20"/>
              </w:rPr>
              <w:footnoteReference w:id="16"/>
            </w:r>
            <w:r w:rsidRPr="009A7C29">
              <w:rPr>
                <w:sz w:val="20"/>
                <w:szCs w:val="20"/>
              </w:rPr>
              <w:t>, recruitment</w:t>
            </w:r>
            <w:r w:rsidR="2CF532F1" w:rsidRPr="009A7C29">
              <w:rPr>
                <w:sz w:val="20"/>
                <w:szCs w:val="20"/>
              </w:rPr>
              <w:t xml:space="preserve">, HACT </w:t>
            </w:r>
            <w:r w:rsidR="002A401D" w:rsidRPr="009A7C29">
              <w:rPr>
                <w:sz w:val="20"/>
                <w:szCs w:val="20"/>
              </w:rPr>
              <w:t>activities</w:t>
            </w:r>
            <w:r w:rsidR="000F49AC" w:rsidRPr="009A7C29">
              <w:rPr>
                <w:sz w:val="20"/>
                <w:szCs w:val="20"/>
              </w:rPr>
              <w:t>, project monitoring, risk management, communication</w:t>
            </w:r>
            <w:r w:rsidRPr="009A7C29">
              <w:rPr>
                <w:sz w:val="20"/>
                <w:szCs w:val="20"/>
              </w:rPr>
              <w:t xml:space="preserve">) </w:t>
            </w:r>
            <w:proofErr w:type="gramStart"/>
            <w:r w:rsidRPr="009A7C29">
              <w:rPr>
                <w:sz w:val="20"/>
                <w:szCs w:val="20"/>
              </w:rPr>
              <w:t>in order to</w:t>
            </w:r>
            <w:proofErr w:type="gramEnd"/>
            <w:r w:rsidRPr="009A7C29">
              <w:rPr>
                <w:sz w:val="20"/>
                <w:szCs w:val="20"/>
              </w:rPr>
              <w:t xml:space="preserve"> achieve project results, ensuring senior management is informed of any proposed changes. Once programmatic activities are complete, the project should be </w:t>
            </w:r>
            <w:r w:rsidRPr="009A7C29">
              <w:rPr>
                <w:b/>
                <w:bCs/>
                <w:sz w:val="20"/>
                <w:szCs w:val="20"/>
              </w:rPr>
              <w:t>promptly designated as operationally closed</w:t>
            </w:r>
            <w:r w:rsidRPr="009A7C29">
              <w:rPr>
                <w:sz w:val="20"/>
                <w:szCs w:val="20"/>
              </w:rPr>
              <w:t>.</w:t>
            </w:r>
          </w:p>
        </w:tc>
      </w:tr>
      <w:tr w:rsidR="004E6C17" w:rsidRPr="001549DE" w14:paraId="28D6B4AC" w14:textId="77777777" w:rsidTr="310609F1">
        <w:tc>
          <w:tcPr>
            <w:tcW w:w="9895" w:type="dxa"/>
          </w:tcPr>
          <w:p w14:paraId="4D17E5C6" w14:textId="119403B1" w:rsidR="004E6C17" w:rsidRPr="009A7C29" w:rsidRDefault="004E6C17">
            <w:pPr>
              <w:pStyle w:val="ListParagraph"/>
              <w:numPr>
                <w:ilvl w:val="0"/>
                <w:numId w:val="17"/>
              </w:numPr>
              <w:rPr>
                <w:rFonts w:cstheme="minorHAnsi"/>
                <w:sz w:val="20"/>
                <w:szCs w:val="20"/>
              </w:rPr>
            </w:pPr>
            <w:r w:rsidRPr="009A7C29">
              <w:rPr>
                <w:rFonts w:cstheme="minorHAnsi"/>
                <w:b/>
                <w:bCs/>
                <w:sz w:val="20"/>
                <w:szCs w:val="20"/>
              </w:rPr>
              <w:t>Ensure sound financial management of project resources and assets</w:t>
            </w:r>
            <w:r w:rsidRPr="009A7C29">
              <w:rPr>
                <w:rFonts w:cstheme="minorHAnsi"/>
                <w:sz w:val="20"/>
                <w:szCs w:val="20"/>
              </w:rPr>
              <w:t>, including prompt collection of accounts receivable; regularly reviewing project reports to ensure that revenue, commitments, expenses, and disbursements are complete and accurately recorded</w:t>
            </w:r>
            <w:r w:rsidR="001D5719" w:rsidRPr="009A7C29">
              <w:rPr>
                <w:rFonts w:cstheme="minorHAnsi"/>
                <w:sz w:val="20"/>
                <w:szCs w:val="20"/>
              </w:rPr>
              <w:t>, (with appropriate follow up on CDRs, NEX advances, and cost-sharing deficits)</w:t>
            </w:r>
            <w:r w:rsidRPr="009A7C29">
              <w:rPr>
                <w:rFonts w:cstheme="minorHAnsi"/>
                <w:sz w:val="20"/>
                <w:szCs w:val="20"/>
              </w:rPr>
              <w:t>; ensuring funds are adequately reserved to cover the full cost of staff; ensuring project assets are physically safeguarded</w:t>
            </w:r>
            <w:r w:rsidR="001D5719" w:rsidRPr="009A7C29">
              <w:rPr>
                <w:rFonts w:cstheme="minorHAnsi"/>
                <w:sz w:val="20"/>
                <w:szCs w:val="20"/>
              </w:rPr>
              <w:t xml:space="preserve">; and ensuring </w:t>
            </w:r>
            <w:r w:rsidR="002A401D" w:rsidRPr="009A7C29">
              <w:rPr>
                <w:rFonts w:cstheme="minorHAnsi"/>
                <w:sz w:val="20"/>
                <w:szCs w:val="20"/>
              </w:rPr>
              <w:t xml:space="preserve">gaps identified through HACT assessment &amp; assurance activities, internal and external audits, </w:t>
            </w:r>
            <w:r w:rsidR="001D5719" w:rsidRPr="009A7C29">
              <w:rPr>
                <w:rFonts w:cstheme="minorHAnsi"/>
                <w:sz w:val="20"/>
                <w:szCs w:val="20"/>
              </w:rPr>
              <w:t>and project risks are addressed.</w:t>
            </w:r>
          </w:p>
        </w:tc>
      </w:tr>
      <w:tr w:rsidR="003D6AE3" w:rsidRPr="001549DE" w14:paraId="63F6B00B" w14:textId="77777777" w:rsidTr="310609F1">
        <w:tc>
          <w:tcPr>
            <w:tcW w:w="9895" w:type="dxa"/>
            <w:shd w:val="clear" w:color="auto" w:fill="9CC2E5" w:themeFill="accent5" w:themeFillTint="99"/>
          </w:tcPr>
          <w:p w14:paraId="4EFD3C14" w14:textId="5198DB45" w:rsidR="003D6AE3" w:rsidRPr="001549DE" w:rsidRDefault="003D6AE3">
            <w:pPr>
              <w:pStyle w:val="ListParagraph"/>
              <w:numPr>
                <w:ilvl w:val="0"/>
                <w:numId w:val="19"/>
              </w:numPr>
              <w:rPr>
                <w:sz w:val="20"/>
                <w:szCs w:val="20"/>
              </w:rPr>
            </w:pPr>
            <w:r w:rsidRPr="363CA695">
              <w:rPr>
                <w:b/>
                <w:bCs/>
                <w:sz w:val="20"/>
                <w:szCs w:val="20"/>
              </w:rPr>
              <w:t>Manage Budget: Establish</w:t>
            </w:r>
            <w:r w:rsidRPr="363CA695">
              <w:rPr>
                <w:b/>
                <w:bCs/>
                <w:spacing w:val="-4"/>
                <w:sz w:val="20"/>
                <w:szCs w:val="20"/>
              </w:rPr>
              <w:t xml:space="preserve"> </w:t>
            </w:r>
            <w:r w:rsidRPr="363CA695">
              <w:rPr>
                <w:b/>
                <w:bCs/>
                <w:sz w:val="20"/>
                <w:szCs w:val="20"/>
              </w:rPr>
              <w:t>annual</w:t>
            </w:r>
            <w:r w:rsidRPr="363CA695">
              <w:rPr>
                <w:b/>
                <w:bCs/>
                <w:spacing w:val="-1"/>
                <w:sz w:val="20"/>
                <w:szCs w:val="20"/>
              </w:rPr>
              <w:t xml:space="preserve"> </w:t>
            </w:r>
            <w:r w:rsidRPr="363CA695">
              <w:rPr>
                <w:b/>
                <w:bCs/>
                <w:sz w:val="20"/>
                <w:szCs w:val="20"/>
              </w:rPr>
              <w:t>&amp;</w:t>
            </w:r>
            <w:r w:rsidRPr="363CA695">
              <w:rPr>
                <w:b/>
                <w:bCs/>
                <w:spacing w:val="-1"/>
                <w:sz w:val="20"/>
                <w:szCs w:val="20"/>
              </w:rPr>
              <w:t xml:space="preserve"> </w:t>
            </w:r>
            <w:r w:rsidRPr="363CA695">
              <w:rPr>
                <w:b/>
                <w:bCs/>
                <w:sz w:val="20"/>
                <w:szCs w:val="20"/>
              </w:rPr>
              <w:t>multi-year</w:t>
            </w:r>
            <w:r w:rsidRPr="363CA695">
              <w:rPr>
                <w:b/>
                <w:bCs/>
                <w:spacing w:val="-3"/>
                <w:sz w:val="20"/>
                <w:szCs w:val="20"/>
              </w:rPr>
              <w:t xml:space="preserve"> </w:t>
            </w:r>
            <w:r w:rsidRPr="363CA695">
              <w:rPr>
                <w:b/>
                <w:bCs/>
                <w:sz w:val="20"/>
                <w:szCs w:val="20"/>
              </w:rPr>
              <w:t>budgets</w:t>
            </w:r>
            <w:r w:rsidRPr="363CA695">
              <w:rPr>
                <w:b/>
                <w:bCs/>
                <w:spacing w:val="-1"/>
                <w:sz w:val="20"/>
                <w:szCs w:val="20"/>
              </w:rPr>
              <w:t xml:space="preserve"> </w:t>
            </w:r>
            <w:r w:rsidRPr="363CA695">
              <w:rPr>
                <w:b/>
                <w:bCs/>
                <w:sz w:val="20"/>
                <w:szCs w:val="20"/>
              </w:rPr>
              <w:t>in</w:t>
            </w:r>
            <w:r w:rsidRPr="363CA695">
              <w:rPr>
                <w:b/>
                <w:bCs/>
                <w:spacing w:val="-4"/>
                <w:sz w:val="20"/>
                <w:szCs w:val="20"/>
              </w:rPr>
              <w:t xml:space="preserve"> </w:t>
            </w:r>
            <w:r w:rsidRPr="363CA695">
              <w:rPr>
                <w:b/>
                <w:bCs/>
                <w:sz w:val="20"/>
                <w:szCs w:val="20"/>
              </w:rPr>
              <w:t>Quantum</w:t>
            </w:r>
          </w:p>
        </w:tc>
      </w:tr>
      <w:tr w:rsidR="003D6AE3" w:rsidRPr="001549DE" w14:paraId="35C24ABB" w14:textId="77777777" w:rsidTr="310609F1">
        <w:tc>
          <w:tcPr>
            <w:tcW w:w="9895" w:type="dxa"/>
          </w:tcPr>
          <w:p w14:paraId="04AE821D" w14:textId="49873328" w:rsidR="003D6AE3" w:rsidRPr="004E6C17" w:rsidRDefault="003D6AE3">
            <w:pPr>
              <w:pStyle w:val="ListParagraph"/>
              <w:numPr>
                <w:ilvl w:val="0"/>
                <w:numId w:val="18"/>
              </w:numPr>
              <w:ind w:left="360"/>
              <w:rPr>
                <w:sz w:val="20"/>
                <w:szCs w:val="20"/>
              </w:rPr>
            </w:pPr>
            <w:r w:rsidRPr="363CA695">
              <w:rPr>
                <w:b/>
                <w:bCs/>
                <w:sz w:val="20"/>
                <w:szCs w:val="20"/>
              </w:rPr>
              <w:t>Pri</w:t>
            </w:r>
            <w:r w:rsidR="004E6C17" w:rsidRPr="363CA695">
              <w:rPr>
                <w:b/>
                <w:bCs/>
                <w:sz w:val="20"/>
                <w:szCs w:val="20"/>
              </w:rPr>
              <w:t>o</w:t>
            </w:r>
            <w:r w:rsidRPr="363CA695">
              <w:rPr>
                <w:b/>
                <w:bCs/>
                <w:sz w:val="20"/>
                <w:szCs w:val="20"/>
              </w:rPr>
              <w:t>r to finalizing the budget in Quantum:</w:t>
            </w:r>
            <w:r w:rsidRPr="363CA695">
              <w:rPr>
                <w:sz w:val="20"/>
                <w:szCs w:val="20"/>
              </w:rPr>
              <w:t xml:space="preserve"> The Project Manager must ensure that: (</w:t>
            </w:r>
            <w:proofErr w:type="spellStart"/>
            <w:r w:rsidRPr="363CA695">
              <w:rPr>
                <w:sz w:val="20"/>
                <w:szCs w:val="20"/>
              </w:rPr>
              <w:t>i</w:t>
            </w:r>
            <w:proofErr w:type="spellEnd"/>
            <w:r w:rsidRPr="363CA695">
              <w:rPr>
                <w:sz w:val="20"/>
                <w:szCs w:val="20"/>
              </w:rPr>
              <w:t xml:space="preserve">) activities and inputs have been correctly entered and are consistent with the annual work plan; (ii) for activities with non-core resources, information entered matches the signed contribution agreement; and (iii) the financial plan is created and consistent with the proposed budget in the project document. </w:t>
            </w:r>
          </w:p>
        </w:tc>
      </w:tr>
      <w:tr w:rsidR="004E6C17" w:rsidRPr="001549DE" w14:paraId="14B1793F" w14:textId="77777777" w:rsidTr="310609F1">
        <w:tc>
          <w:tcPr>
            <w:tcW w:w="9895" w:type="dxa"/>
          </w:tcPr>
          <w:p w14:paraId="0D76769F" w14:textId="33A5A978" w:rsidR="004E6C17" w:rsidRPr="004E6C17" w:rsidRDefault="004E6C17">
            <w:pPr>
              <w:pStyle w:val="ListParagraph"/>
              <w:numPr>
                <w:ilvl w:val="0"/>
                <w:numId w:val="18"/>
              </w:numPr>
              <w:ind w:left="360"/>
              <w:rPr>
                <w:sz w:val="20"/>
                <w:szCs w:val="20"/>
              </w:rPr>
            </w:pPr>
            <w:r w:rsidRPr="363CA695">
              <w:rPr>
                <w:b/>
                <w:bCs/>
                <w:sz w:val="20"/>
                <w:szCs w:val="20"/>
              </w:rPr>
              <w:t>Delegation of project budget creation in Quantum:</w:t>
            </w:r>
            <w:r w:rsidRPr="363CA695">
              <w:rPr>
                <w:sz w:val="20"/>
                <w:szCs w:val="20"/>
              </w:rPr>
              <w:t xml:space="preserve"> With Head of Office/Unit approval, Project Managers may document their approval of project budgets outside Quantum and delegate budget creation in Quantum to Finance staff. The Project Manager remains accountable for ensuring the budget created in Quantum by the Finance User aligns with the approved budget. Budget approval in Quantum is done by Approving Managers.</w:t>
            </w:r>
          </w:p>
        </w:tc>
      </w:tr>
      <w:tr w:rsidR="004E6C17" w:rsidRPr="001549DE" w14:paraId="7794A8E0" w14:textId="77777777" w:rsidTr="310609F1">
        <w:tc>
          <w:tcPr>
            <w:tcW w:w="9895" w:type="dxa"/>
          </w:tcPr>
          <w:p w14:paraId="66BCE471" w14:textId="399DD32A" w:rsidR="004E6C17" w:rsidRPr="004E6C17" w:rsidRDefault="004E6C17">
            <w:pPr>
              <w:pStyle w:val="ListParagraph"/>
              <w:numPr>
                <w:ilvl w:val="0"/>
                <w:numId w:val="18"/>
              </w:numPr>
              <w:ind w:left="360"/>
              <w:rPr>
                <w:sz w:val="20"/>
                <w:szCs w:val="20"/>
              </w:rPr>
            </w:pPr>
            <w:r w:rsidRPr="363CA695">
              <w:rPr>
                <w:b/>
                <w:bCs/>
                <w:sz w:val="20"/>
                <w:szCs w:val="20"/>
              </w:rPr>
              <w:lastRenderedPageBreak/>
              <w:t xml:space="preserve">Multi-year budgeting must be entered </w:t>
            </w:r>
            <w:proofErr w:type="gramStart"/>
            <w:r w:rsidRPr="363CA695">
              <w:rPr>
                <w:b/>
                <w:bCs/>
                <w:sz w:val="20"/>
                <w:szCs w:val="20"/>
              </w:rPr>
              <w:t>in Quantum</w:t>
            </w:r>
            <w:proofErr w:type="gramEnd"/>
            <w:r w:rsidRPr="363CA695">
              <w:rPr>
                <w:b/>
                <w:bCs/>
                <w:sz w:val="20"/>
                <w:szCs w:val="20"/>
              </w:rPr>
              <w:t>:</w:t>
            </w:r>
            <w:r w:rsidRPr="363CA695">
              <w:rPr>
                <w:sz w:val="20"/>
                <w:szCs w:val="20"/>
              </w:rPr>
              <w:t xml:space="preserve"> Project Managers are responsible for ensuring that project budgets are entered into Quantum on a multi-year basis if projects </w:t>
            </w:r>
            <w:r w:rsidRPr="009A7C29">
              <w:rPr>
                <w:sz w:val="20"/>
                <w:szCs w:val="20"/>
              </w:rPr>
              <w:t>last more than a year. In principle, total budgets entered in Quantum should not be greater than the funding amount (the total agreement amount) of the award</w:t>
            </w:r>
            <w:r w:rsidR="00910A7D" w:rsidRPr="009A7C29">
              <w:rPr>
                <w:sz w:val="20"/>
                <w:szCs w:val="20"/>
              </w:rPr>
              <w:t>.</w:t>
            </w:r>
            <w:r w:rsidR="00757E15" w:rsidRPr="009A7C29">
              <w:rPr>
                <w:sz w:val="20"/>
                <w:szCs w:val="20"/>
              </w:rPr>
              <w:t xml:space="preserve"> One exception is for core-funded Institutional Budget projects, where the budget can be created for the full year, even though only 7 months of ASL is issued at the beginning of the year.</w:t>
            </w:r>
          </w:p>
        </w:tc>
      </w:tr>
      <w:tr w:rsidR="004E6C17" w:rsidRPr="001549DE" w14:paraId="564A4C3C" w14:textId="77777777" w:rsidTr="310609F1">
        <w:tc>
          <w:tcPr>
            <w:tcW w:w="9895" w:type="dxa"/>
          </w:tcPr>
          <w:p w14:paraId="5F763E8B" w14:textId="7F0E30EC" w:rsidR="004E6C17" w:rsidRPr="001549DE" w:rsidRDefault="004E6C17">
            <w:pPr>
              <w:pStyle w:val="ListParagraph"/>
              <w:numPr>
                <w:ilvl w:val="0"/>
                <w:numId w:val="18"/>
              </w:numPr>
              <w:ind w:left="360"/>
              <w:rPr>
                <w:b/>
                <w:bCs/>
                <w:sz w:val="20"/>
                <w:szCs w:val="20"/>
              </w:rPr>
            </w:pPr>
            <w:r w:rsidRPr="363CA695">
              <w:rPr>
                <w:b/>
                <w:bCs/>
                <w:sz w:val="20"/>
                <w:szCs w:val="20"/>
              </w:rPr>
              <w:t>Commitments cannot be made unless the contribution has been received:</w:t>
            </w:r>
            <w:r w:rsidRPr="363CA695">
              <w:rPr>
                <w:sz w:val="20"/>
                <w:szCs w:val="20"/>
              </w:rPr>
              <w:t xml:space="preserve"> Quantum allows creation of a budget when the award is </w:t>
            </w:r>
            <w:proofErr w:type="gramStart"/>
            <w:r w:rsidRPr="363CA695">
              <w:rPr>
                <w:sz w:val="20"/>
                <w:szCs w:val="20"/>
              </w:rPr>
              <w:t>setup</w:t>
            </w:r>
            <w:proofErr w:type="gramEnd"/>
            <w:r w:rsidRPr="363CA695">
              <w:rPr>
                <w:sz w:val="20"/>
                <w:szCs w:val="20"/>
              </w:rPr>
              <w:t xml:space="preserve"> even though the contribution has not been received, but it does not permit offices/units to make commitments (i.e., approve POs) unless the contribution has been received.</w:t>
            </w:r>
          </w:p>
        </w:tc>
      </w:tr>
      <w:tr w:rsidR="003D6AE3" w:rsidRPr="001549DE" w14:paraId="51EBAE6F" w14:textId="77777777" w:rsidTr="310609F1">
        <w:tc>
          <w:tcPr>
            <w:tcW w:w="9895" w:type="dxa"/>
            <w:shd w:val="clear" w:color="auto" w:fill="9CC2E5" w:themeFill="accent5" w:themeFillTint="99"/>
          </w:tcPr>
          <w:p w14:paraId="679ECB57" w14:textId="14523357" w:rsidR="003D6AE3" w:rsidRPr="001549DE" w:rsidRDefault="00BA6934">
            <w:pPr>
              <w:pStyle w:val="ListParagraph"/>
              <w:numPr>
                <w:ilvl w:val="0"/>
                <w:numId w:val="19"/>
              </w:numPr>
              <w:rPr>
                <w:rFonts w:cstheme="minorHAnsi"/>
                <w:sz w:val="20"/>
                <w:szCs w:val="20"/>
              </w:rPr>
            </w:pPr>
            <w:r w:rsidRPr="001549DE">
              <w:rPr>
                <w:rFonts w:cstheme="minorHAnsi"/>
                <w:b/>
                <w:bCs/>
                <w:sz w:val="20"/>
                <w:szCs w:val="20"/>
              </w:rPr>
              <w:t>Initiate Procurement: Approves e-procurement purchase requisitions as the first authority</w:t>
            </w:r>
          </w:p>
        </w:tc>
      </w:tr>
      <w:tr w:rsidR="003D6AE3" w:rsidRPr="001549DE" w14:paraId="52589845" w14:textId="77777777" w:rsidTr="310609F1">
        <w:tc>
          <w:tcPr>
            <w:tcW w:w="9895" w:type="dxa"/>
          </w:tcPr>
          <w:p w14:paraId="77D570E2" w14:textId="3B822E43" w:rsidR="003D6AE3" w:rsidRPr="00910A7D" w:rsidRDefault="00BA6934">
            <w:pPr>
              <w:pStyle w:val="ListParagraph"/>
              <w:widowControl w:val="0"/>
              <w:numPr>
                <w:ilvl w:val="0"/>
                <w:numId w:val="20"/>
              </w:numPr>
              <w:autoSpaceDE w:val="0"/>
              <w:autoSpaceDN w:val="0"/>
              <w:ind w:left="360"/>
              <w:rPr>
                <w:sz w:val="20"/>
                <w:szCs w:val="20"/>
              </w:rPr>
            </w:pPr>
            <w:r w:rsidRPr="363CA695">
              <w:rPr>
                <w:b/>
                <w:bCs/>
                <w:sz w:val="20"/>
                <w:szCs w:val="20"/>
              </w:rPr>
              <w:t>Exercising the first authority for project transactions:</w:t>
            </w:r>
            <w:r w:rsidRPr="363CA695">
              <w:rPr>
                <w:sz w:val="20"/>
                <w:szCs w:val="20"/>
              </w:rPr>
              <w:t xml:space="preserve"> The Project Manager is the Committing Officer</w:t>
            </w:r>
            <w:r w:rsidRPr="363CA695">
              <w:rPr>
                <w:rStyle w:val="FootnoteReference"/>
                <w:sz w:val="20"/>
                <w:szCs w:val="20"/>
              </w:rPr>
              <w:footnoteReference w:id="17"/>
            </w:r>
            <w:r w:rsidRPr="363CA695">
              <w:rPr>
                <w:sz w:val="20"/>
                <w:szCs w:val="20"/>
              </w:rPr>
              <w:t>, exercising the first authority for transactions charged to the project. This aut</w:t>
            </w:r>
            <w:r w:rsidRPr="009A7C29">
              <w:rPr>
                <w:sz w:val="20"/>
                <w:szCs w:val="20"/>
              </w:rPr>
              <w:t xml:space="preserve">hority cannot be further delegated. An </w:t>
            </w:r>
            <w:proofErr w:type="gramStart"/>
            <w:r w:rsidRPr="009A7C29">
              <w:rPr>
                <w:sz w:val="20"/>
                <w:szCs w:val="20"/>
              </w:rPr>
              <w:t>alternate</w:t>
            </w:r>
            <w:proofErr w:type="gramEnd"/>
            <w:r w:rsidRPr="009A7C29">
              <w:rPr>
                <w:sz w:val="20"/>
                <w:szCs w:val="20"/>
              </w:rPr>
              <w:t xml:space="preserve"> can be designated to act in the absence of the Committing Officer. Project </w:t>
            </w:r>
            <w:r w:rsidRPr="363CA695">
              <w:rPr>
                <w:sz w:val="20"/>
                <w:szCs w:val="20"/>
              </w:rPr>
              <w:t xml:space="preserve">Managers are responsible for approving e-procurement requisitions in accordance with </w:t>
            </w:r>
            <w:hyperlink r:id="rId48">
              <w:r w:rsidRPr="363CA695">
                <w:rPr>
                  <w:rStyle w:val="Hyperlink"/>
                  <w:sz w:val="20"/>
                  <w:szCs w:val="20"/>
                </w:rPr>
                <w:t>POPP Raising E-requisitions</w:t>
              </w:r>
            </w:hyperlink>
            <w:r w:rsidRPr="363CA695">
              <w:rPr>
                <w:sz w:val="20"/>
                <w:szCs w:val="20"/>
              </w:rPr>
              <w:t xml:space="preserve">. </w:t>
            </w:r>
          </w:p>
        </w:tc>
      </w:tr>
      <w:tr w:rsidR="00910A7D" w:rsidRPr="001549DE" w14:paraId="1E879A41" w14:textId="77777777" w:rsidTr="310609F1">
        <w:tc>
          <w:tcPr>
            <w:tcW w:w="9895" w:type="dxa"/>
          </w:tcPr>
          <w:p w14:paraId="3CD04F86" w14:textId="41AE9DF3" w:rsidR="00910A7D" w:rsidRPr="00910A7D" w:rsidRDefault="00910A7D">
            <w:pPr>
              <w:pStyle w:val="ListParagraph"/>
              <w:widowControl w:val="0"/>
              <w:numPr>
                <w:ilvl w:val="0"/>
                <w:numId w:val="20"/>
              </w:numPr>
              <w:autoSpaceDE w:val="0"/>
              <w:autoSpaceDN w:val="0"/>
              <w:ind w:left="360"/>
              <w:rPr>
                <w:rFonts w:cstheme="minorHAnsi"/>
                <w:sz w:val="20"/>
                <w:szCs w:val="20"/>
              </w:rPr>
            </w:pPr>
            <w:r w:rsidRPr="001549DE">
              <w:rPr>
                <w:rFonts w:cstheme="minorHAnsi"/>
                <w:b/>
                <w:bCs/>
                <w:sz w:val="20"/>
                <w:szCs w:val="20"/>
              </w:rPr>
              <w:t>Scope of first authority role:</w:t>
            </w:r>
            <w:r w:rsidRPr="001549DE">
              <w:rPr>
                <w:rFonts w:cstheme="minorHAnsi"/>
                <w:sz w:val="20"/>
                <w:szCs w:val="20"/>
              </w:rPr>
              <w:t xml:space="preserve"> The concept of first authority applies only to those commitments and expenses directly managed by UNDP such as commitments and expenses in management projects, projects implemented by UNDP, and projects implemented by national institutions where the office/unit provides support to the national institution. It does not apply to projects implemented by national institutions where the UNDP role is limited to issuing advances and/or direct payments. Refer to </w:t>
            </w:r>
            <w:r w:rsidRPr="000C4256">
              <w:rPr>
                <w:rFonts w:cstheme="minorHAnsi"/>
                <w:sz w:val="20"/>
                <w:szCs w:val="20"/>
              </w:rPr>
              <w:t>section 13</w:t>
            </w:r>
            <w:r w:rsidRPr="001549DE">
              <w:rPr>
                <w:rFonts w:cstheme="minorHAnsi"/>
                <w:sz w:val="20"/>
                <w:szCs w:val="20"/>
              </w:rPr>
              <w:t xml:space="preserve"> of this Guide for more information on the office/unit’s responsibilities for projects implemented by national institutions.</w:t>
            </w:r>
          </w:p>
        </w:tc>
      </w:tr>
      <w:tr w:rsidR="00910A7D" w:rsidRPr="001549DE" w14:paraId="01B7E789" w14:textId="77777777" w:rsidTr="310609F1">
        <w:tc>
          <w:tcPr>
            <w:tcW w:w="9895" w:type="dxa"/>
          </w:tcPr>
          <w:p w14:paraId="431E6FE8" w14:textId="4AB34781" w:rsidR="00910A7D" w:rsidRPr="00910A7D" w:rsidRDefault="00910A7D">
            <w:pPr>
              <w:pStyle w:val="ListParagraph"/>
              <w:widowControl w:val="0"/>
              <w:numPr>
                <w:ilvl w:val="0"/>
                <w:numId w:val="20"/>
              </w:numPr>
              <w:autoSpaceDE w:val="0"/>
              <w:autoSpaceDN w:val="0"/>
              <w:ind w:left="360"/>
              <w:rPr>
                <w:sz w:val="20"/>
                <w:szCs w:val="20"/>
              </w:rPr>
            </w:pPr>
            <w:r w:rsidRPr="363CA695">
              <w:rPr>
                <w:b/>
                <w:bCs/>
                <w:sz w:val="20"/>
                <w:szCs w:val="20"/>
              </w:rPr>
              <w:t>Capturing first authority approval for direct UNDP payments that do not require a PO:</w:t>
            </w:r>
            <w:r w:rsidRPr="363CA695">
              <w:rPr>
                <w:sz w:val="20"/>
                <w:szCs w:val="20"/>
              </w:rPr>
              <w:t xml:space="preserve"> For single project payments, such as PCA or grants, the Project Manager approval is manual and should be included as an attachment to the payment (whether it be email authorization, physical/</w:t>
            </w:r>
            <w:proofErr w:type="spellStart"/>
            <w:r w:rsidRPr="363CA695">
              <w:rPr>
                <w:sz w:val="20"/>
                <w:szCs w:val="20"/>
              </w:rPr>
              <w:t>docusign</w:t>
            </w:r>
            <w:proofErr w:type="spellEnd"/>
            <w:r w:rsidRPr="363CA695">
              <w:rPr>
                <w:sz w:val="20"/>
                <w:szCs w:val="20"/>
              </w:rPr>
              <w:t xml:space="preserve"> signature on invoice or similar) to maintain an adequate audit trail. For multi-project invoices, it should be sufficient that the CO has documented their cost share process, including methodology for cost allocation between COAs, and the invoice (including receipt for PO-based payments) is signed off by a delegated official in the CO. </w:t>
            </w:r>
          </w:p>
        </w:tc>
      </w:tr>
      <w:tr w:rsidR="003D6AE3" w:rsidRPr="001549DE" w14:paraId="4A049E17" w14:textId="77777777" w:rsidTr="310609F1">
        <w:tc>
          <w:tcPr>
            <w:tcW w:w="9895" w:type="dxa"/>
            <w:shd w:val="clear" w:color="auto" w:fill="9CC2E5" w:themeFill="accent5" w:themeFillTint="99"/>
          </w:tcPr>
          <w:p w14:paraId="5B32E193" w14:textId="1E0280A4"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Request payments and prepayments: Approve non-PO payment requests and prepayment requests</w:t>
            </w:r>
          </w:p>
        </w:tc>
      </w:tr>
      <w:tr w:rsidR="003D6AE3" w:rsidRPr="001549DE" w14:paraId="32662268" w14:textId="77777777" w:rsidTr="310609F1">
        <w:tc>
          <w:tcPr>
            <w:tcW w:w="9895" w:type="dxa"/>
          </w:tcPr>
          <w:p w14:paraId="45FDBDC6" w14:textId="04A6E273" w:rsidR="003D6AE3" w:rsidRPr="00910A7D" w:rsidRDefault="00127B50">
            <w:pPr>
              <w:pStyle w:val="ListParagraph"/>
              <w:numPr>
                <w:ilvl w:val="0"/>
                <w:numId w:val="21"/>
              </w:numPr>
              <w:rPr>
                <w:sz w:val="20"/>
                <w:szCs w:val="20"/>
              </w:rPr>
            </w:pPr>
            <w:r w:rsidRPr="363CA695">
              <w:rPr>
                <w:b/>
                <w:bCs/>
                <w:sz w:val="20"/>
                <w:szCs w:val="20"/>
              </w:rPr>
              <w:t>Approving non-PO payment requests:</w:t>
            </w:r>
            <w:r w:rsidRPr="363CA695">
              <w:rPr>
                <w:sz w:val="20"/>
                <w:szCs w:val="20"/>
              </w:rPr>
              <w:t xml:space="preserve"> The Project Manager is responsible for approving requests for non-PO payments (e.g., requests for payment of a training workshop) after confirming that: (</w:t>
            </w:r>
            <w:proofErr w:type="spellStart"/>
            <w:r w:rsidRPr="363CA695">
              <w:rPr>
                <w:sz w:val="20"/>
                <w:szCs w:val="20"/>
              </w:rPr>
              <w:t>i</w:t>
            </w:r>
            <w:proofErr w:type="spellEnd"/>
            <w:r w:rsidRPr="363CA695">
              <w:rPr>
                <w:sz w:val="20"/>
                <w:szCs w:val="20"/>
              </w:rPr>
              <w:t>) activities to be financed are withi</w:t>
            </w:r>
            <w:r w:rsidR="00910A7D" w:rsidRPr="363CA695">
              <w:rPr>
                <w:sz w:val="20"/>
                <w:szCs w:val="20"/>
              </w:rPr>
              <w:t>n</w:t>
            </w:r>
            <w:r w:rsidRPr="363CA695">
              <w:rPr>
                <w:sz w:val="20"/>
                <w:szCs w:val="20"/>
              </w:rPr>
              <w:t xml:space="preserve"> UNDP mandate; (ii) payment complies with procurement under POPP or other applicable guidelines; and (iii) goods were received, services were performed, and/or works milestones were reached.</w:t>
            </w:r>
            <w:r w:rsidR="000C4256" w:rsidRPr="363CA695">
              <w:rPr>
                <w:sz w:val="20"/>
                <w:szCs w:val="20"/>
              </w:rPr>
              <w:t xml:space="preserve"> </w:t>
            </w:r>
            <w:r w:rsidRPr="363CA695">
              <w:rPr>
                <w:sz w:val="20"/>
                <w:szCs w:val="20"/>
              </w:rPr>
              <w:t>Project Managers are responsible for resolving budget errors that may be identified by Quantum</w:t>
            </w:r>
            <w:r w:rsidR="000C4256" w:rsidRPr="363CA695">
              <w:rPr>
                <w:sz w:val="20"/>
                <w:szCs w:val="20"/>
              </w:rPr>
              <w:t xml:space="preserve"> </w:t>
            </w:r>
            <w:r w:rsidRPr="363CA695">
              <w:rPr>
                <w:sz w:val="20"/>
                <w:szCs w:val="20"/>
              </w:rPr>
              <w:t xml:space="preserve">automatic checks, or by the BMS/GSSC, or the local finance unit (as applicable), and for providing explanations regarding </w:t>
            </w:r>
            <w:r w:rsidR="00910A7D" w:rsidRPr="363CA695">
              <w:rPr>
                <w:sz w:val="20"/>
                <w:szCs w:val="20"/>
              </w:rPr>
              <w:t xml:space="preserve">POPP </w:t>
            </w:r>
            <w:r w:rsidRPr="363CA695">
              <w:rPr>
                <w:sz w:val="20"/>
                <w:szCs w:val="20"/>
              </w:rPr>
              <w:t>non-compliance</w:t>
            </w:r>
            <w:r w:rsidR="00910A7D" w:rsidRPr="363CA695">
              <w:rPr>
                <w:sz w:val="20"/>
                <w:szCs w:val="20"/>
              </w:rPr>
              <w:t>.</w:t>
            </w:r>
          </w:p>
        </w:tc>
      </w:tr>
      <w:tr w:rsidR="00910A7D" w:rsidRPr="001549DE" w14:paraId="2CC6850B" w14:textId="77777777" w:rsidTr="310609F1">
        <w:tc>
          <w:tcPr>
            <w:tcW w:w="9895" w:type="dxa"/>
          </w:tcPr>
          <w:p w14:paraId="2133FED7" w14:textId="0A73B562" w:rsidR="00910A7D" w:rsidRPr="001549DE" w:rsidRDefault="00910A7D">
            <w:pPr>
              <w:pStyle w:val="ListParagraph"/>
              <w:numPr>
                <w:ilvl w:val="0"/>
                <w:numId w:val="21"/>
              </w:numPr>
              <w:spacing w:after="160"/>
              <w:rPr>
                <w:sz w:val="20"/>
                <w:szCs w:val="20"/>
              </w:rPr>
            </w:pPr>
            <w:r w:rsidRPr="363CA695">
              <w:rPr>
                <w:b/>
                <w:bCs/>
                <w:sz w:val="20"/>
                <w:szCs w:val="20"/>
              </w:rPr>
              <w:t>Approving prepayment requests:</w:t>
            </w:r>
            <w:r w:rsidRPr="363CA695">
              <w:rPr>
                <w:sz w:val="20"/>
                <w:szCs w:val="20"/>
              </w:rPr>
              <w:t xml:space="preserve"> The Project Manager is responsible for ensuring that the prepayment request complies with POPP. Prepayments in Quantum are used for the following:</w:t>
            </w:r>
          </w:p>
          <w:p w14:paraId="62C44F07" w14:textId="77777777" w:rsidR="00910A7D" w:rsidRPr="001549DE" w:rsidRDefault="00910A7D">
            <w:pPr>
              <w:pStyle w:val="ListParagraph"/>
              <w:widowControl w:val="0"/>
              <w:numPr>
                <w:ilvl w:val="0"/>
                <w:numId w:val="22"/>
              </w:numPr>
              <w:autoSpaceDE w:val="0"/>
              <w:autoSpaceDN w:val="0"/>
              <w:spacing w:before="240" w:after="160"/>
              <w:rPr>
                <w:rFonts w:cstheme="minorHAnsi"/>
                <w:sz w:val="20"/>
                <w:szCs w:val="20"/>
              </w:rPr>
            </w:pPr>
            <w:r w:rsidRPr="001549DE">
              <w:rPr>
                <w:rFonts w:cstheme="minorHAnsi"/>
                <w:sz w:val="20"/>
                <w:szCs w:val="20"/>
              </w:rPr>
              <w:t xml:space="preserve">Prepayments to suppliers – Refer to POPP </w:t>
            </w:r>
            <w:hyperlink r:id="rId49" w:history="1">
              <w:r w:rsidRPr="001549DE">
                <w:rPr>
                  <w:rStyle w:val="Hyperlink"/>
                  <w:rFonts w:cstheme="minorHAnsi"/>
                  <w:sz w:val="20"/>
                  <w:szCs w:val="20"/>
                </w:rPr>
                <w:t>Prepayments</w:t>
              </w:r>
            </w:hyperlink>
            <w:r w:rsidRPr="001549DE">
              <w:rPr>
                <w:rFonts w:cstheme="minorHAnsi"/>
                <w:sz w:val="20"/>
                <w:szCs w:val="20"/>
              </w:rPr>
              <w:t xml:space="preserve"> for prepayments to suppliers.</w:t>
            </w:r>
          </w:p>
          <w:p w14:paraId="5DFAB939" w14:textId="77777777" w:rsidR="00910A7D" w:rsidRPr="00910A7D" w:rsidRDefault="00910A7D">
            <w:pPr>
              <w:pStyle w:val="ListParagraph"/>
              <w:widowControl w:val="0"/>
              <w:numPr>
                <w:ilvl w:val="0"/>
                <w:numId w:val="22"/>
              </w:numPr>
              <w:autoSpaceDE w:val="0"/>
              <w:autoSpaceDN w:val="0"/>
              <w:spacing w:after="160"/>
              <w:rPr>
                <w:rStyle w:val="Hyperlink"/>
                <w:rFonts w:cstheme="minorHAnsi"/>
                <w:color w:val="auto"/>
                <w:sz w:val="20"/>
                <w:szCs w:val="20"/>
                <w:u w:val="none"/>
              </w:rPr>
            </w:pPr>
            <w:r w:rsidRPr="001549DE">
              <w:rPr>
                <w:rFonts w:cstheme="minorHAnsi"/>
                <w:sz w:val="20"/>
                <w:szCs w:val="20"/>
              </w:rPr>
              <w:t xml:space="preserve">Direct Cash Transfers to Implementing Partners or Responsible Parties (advances or NEX advances are known as ‘prepayments’ in Quantum) - Refer to POPP </w:t>
            </w:r>
            <w:hyperlink r:id="rId50" w:history="1">
              <w:r w:rsidRPr="001549DE">
                <w:rPr>
                  <w:rStyle w:val="Hyperlink"/>
                  <w:rFonts w:cstheme="minorHAnsi"/>
                  <w:sz w:val="20"/>
                  <w:szCs w:val="20"/>
                </w:rPr>
                <w:t>Direct Cash Transfers and Reimbursements</w:t>
              </w:r>
            </w:hyperlink>
          </w:p>
          <w:p w14:paraId="0BB152EA" w14:textId="45F83449" w:rsidR="00910A7D" w:rsidRPr="00910A7D" w:rsidRDefault="00910A7D">
            <w:pPr>
              <w:pStyle w:val="ListParagraph"/>
              <w:widowControl w:val="0"/>
              <w:numPr>
                <w:ilvl w:val="0"/>
                <w:numId w:val="22"/>
              </w:numPr>
              <w:autoSpaceDE w:val="0"/>
              <w:autoSpaceDN w:val="0"/>
              <w:rPr>
                <w:rFonts w:cstheme="minorHAnsi"/>
                <w:sz w:val="20"/>
                <w:szCs w:val="20"/>
              </w:rPr>
            </w:pPr>
            <w:r w:rsidRPr="00910A7D">
              <w:rPr>
                <w:rFonts w:cstheme="minorHAnsi"/>
                <w:sz w:val="20"/>
                <w:szCs w:val="20"/>
              </w:rPr>
              <w:t xml:space="preserve">Petty cash and project cash advances - Refer to POPP </w:t>
            </w:r>
            <w:hyperlink r:id="rId51" w:history="1">
              <w:r w:rsidRPr="00910A7D">
                <w:rPr>
                  <w:rStyle w:val="Hyperlink"/>
                  <w:rFonts w:cstheme="minorHAnsi"/>
                  <w:sz w:val="20"/>
                  <w:szCs w:val="20"/>
                </w:rPr>
                <w:t>Petty cash and project cash advances</w:t>
              </w:r>
            </w:hyperlink>
          </w:p>
        </w:tc>
      </w:tr>
      <w:tr w:rsidR="00BF56B1" w:rsidRPr="001549DE" w14:paraId="5E67FA82" w14:textId="77777777" w:rsidTr="310609F1">
        <w:tc>
          <w:tcPr>
            <w:tcW w:w="9895" w:type="dxa"/>
          </w:tcPr>
          <w:p w14:paraId="228EE15A" w14:textId="2708370D" w:rsidR="00BF56B1" w:rsidRPr="363CA695" w:rsidRDefault="00BF56B1">
            <w:pPr>
              <w:pStyle w:val="ListParagraph"/>
              <w:numPr>
                <w:ilvl w:val="0"/>
                <w:numId w:val="21"/>
              </w:numPr>
              <w:rPr>
                <w:b/>
                <w:bCs/>
                <w:sz w:val="20"/>
                <w:szCs w:val="20"/>
              </w:rPr>
            </w:pPr>
            <w:r w:rsidRPr="001549DE">
              <w:rPr>
                <w:rFonts w:cstheme="minorHAnsi"/>
                <w:b/>
                <w:bCs/>
                <w:sz w:val="20"/>
                <w:szCs w:val="20"/>
              </w:rPr>
              <w:t>Salary advance</w:t>
            </w:r>
            <w:r>
              <w:rPr>
                <w:rFonts w:cstheme="minorHAnsi"/>
                <w:b/>
                <w:bCs/>
                <w:sz w:val="20"/>
                <w:szCs w:val="20"/>
              </w:rPr>
              <w:t xml:space="preserve"> </w:t>
            </w:r>
            <w:proofErr w:type="gramStart"/>
            <w:r>
              <w:rPr>
                <w:rFonts w:cstheme="minorHAnsi"/>
                <w:b/>
                <w:bCs/>
                <w:sz w:val="20"/>
                <w:szCs w:val="20"/>
              </w:rPr>
              <w:t>requests:</w:t>
            </w:r>
            <w:proofErr w:type="gramEnd"/>
            <w:r w:rsidRPr="001549DE">
              <w:rPr>
                <w:rFonts w:cstheme="minorHAnsi"/>
                <w:sz w:val="20"/>
                <w:szCs w:val="20"/>
              </w:rPr>
              <w:t xml:space="preserve"> are processed through the online salary advance tool and are approved by an Approving Manager. Refer to the </w:t>
            </w:r>
            <w:hyperlink r:id="rId52" w:history="1">
              <w:r w:rsidRPr="001549DE">
                <w:rPr>
                  <w:rStyle w:val="Hyperlink"/>
                  <w:rFonts w:cstheme="minorHAnsi"/>
                  <w:sz w:val="20"/>
                  <w:szCs w:val="20"/>
                </w:rPr>
                <w:t>Salary Advance SOP</w:t>
              </w:r>
            </w:hyperlink>
            <w:r w:rsidRPr="001549DE">
              <w:rPr>
                <w:rFonts w:cstheme="minorHAnsi"/>
                <w:sz w:val="20"/>
                <w:szCs w:val="20"/>
              </w:rPr>
              <w:t xml:space="preserve"> for more information.</w:t>
            </w:r>
          </w:p>
        </w:tc>
      </w:tr>
      <w:tr w:rsidR="003D6AE3" w:rsidRPr="001549DE" w14:paraId="4EE55BFE" w14:textId="77777777" w:rsidTr="310609F1">
        <w:tc>
          <w:tcPr>
            <w:tcW w:w="9895" w:type="dxa"/>
            <w:shd w:val="clear" w:color="auto" w:fill="9CC2E5" w:themeFill="accent5" w:themeFillTint="99"/>
          </w:tcPr>
          <w:p w14:paraId="032F7698" w14:textId="5F79330C"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Receipt goods, services and works: Verify receipt</w:t>
            </w:r>
          </w:p>
        </w:tc>
      </w:tr>
      <w:tr w:rsidR="003D6AE3" w:rsidRPr="001549DE" w14:paraId="1539484C" w14:textId="77777777" w:rsidTr="310609F1">
        <w:tc>
          <w:tcPr>
            <w:tcW w:w="9895" w:type="dxa"/>
          </w:tcPr>
          <w:p w14:paraId="2188D68B" w14:textId="21F6706A" w:rsidR="00127B50" w:rsidRPr="001549DE" w:rsidRDefault="00127B50" w:rsidP="363CA695">
            <w:pPr>
              <w:rPr>
                <w:sz w:val="20"/>
                <w:szCs w:val="20"/>
              </w:rPr>
            </w:pPr>
            <w:r w:rsidRPr="363CA695">
              <w:rPr>
                <w:sz w:val="20"/>
                <w:szCs w:val="20"/>
              </w:rPr>
              <w:t xml:space="preserve">Project Managers are responsible for verifying, documenting, and recording satisfactory receipt of goods, services, and works in Quantum on a timely basis in accordance with </w:t>
            </w:r>
            <w:hyperlink r:id="rId53">
              <w:r w:rsidRPr="363CA695">
                <w:rPr>
                  <w:rStyle w:val="Hyperlink"/>
                  <w:sz w:val="20"/>
                  <w:szCs w:val="20"/>
                </w:rPr>
                <w:t>POPP Receipt of Goods, Services and Works</w:t>
              </w:r>
            </w:hyperlink>
            <w:r w:rsidRPr="363CA695">
              <w:rPr>
                <w:sz w:val="20"/>
                <w:szCs w:val="20"/>
              </w:rPr>
              <w:t xml:space="preserve">.  </w:t>
            </w:r>
          </w:p>
          <w:p w14:paraId="199B47B3" w14:textId="77777777" w:rsidR="00127B50" w:rsidRPr="001549DE" w:rsidRDefault="00127B50" w:rsidP="00910A7D">
            <w:pPr>
              <w:rPr>
                <w:rFonts w:cstheme="minorHAnsi"/>
                <w:sz w:val="20"/>
                <w:szCs w:val="20"/>
              </w:rPr>
            </w:pPr>
          </w:p>
          <w:p w14:paraId="354AE4D3" w14:textId="70114358" w:rsidR="003D6AE3" w:rsidRPr="000811B5" w:rsidRDefault="00127B50">
            <w:pPr>
              <w:pStyle w:val="ListParagraph"/>
              <w:numPr>
                <w:ilvl w:val="0"/>
                <w:numId w:val="21"/>
              </w:numPr>
              <w:rPr>
                <w:sz w:val="20"/>
                <w:szCs w:val="20"/>
              </w:rPr>
            </w:pPr>
            <w:r w:rsidRPr="009A7C29">
              <w:rPr>
                <w:b/>
                <w:bCs/>
                <w:sz w:val="20"/>
                <w:szCs w:val="20"/>
              </w:rPr>
              <w:t>Who may do it:</w:t>
            </w:r>
            <w:r w:rsidRPr="009A7C29">
              <w:rPr>
                <w:sz w:val="20"/>
                <w:szCs w:val="20"/>
              </w:rPr>
              <w:t xml:space="preserve"> </w:t>
            </w:r>
            <w:r w:rsidRPr="363CA695">
              <w:rPr>
                <w:sz w:val="20"/>
                <w:szCs w:val="20"/>
              </w:rPr>
              <w:t>The</w:t>
            </w:r>
            <w:r w:rsidRPr="363CA695">
              <w:rPr>
                <w:color w:val="ED7D31" w:themeColor="accent2"/>
                <w:sz w:val="20"/>
                <w:szCs w:val="20"/>
              </w:rPr>
              <w:t xml:space="preserve"> </w:t>
            </w:r>
            <w:r w:rsidRPr="363CA695">
              <w:rPr>
                <w:sz w:val="20"/>
                <w:szCs w:val="20"/>
              </w:rPr>
              <w:t xml:space="preserve">Project Manager assigned in Quantum has overall accountability for project management and should ensure the receipting is done appropriately, but the actual receipting in the system can be delegated by the assigned Project Manager, including in situations where another BU performs the receipting (e.g., BMS/PSU). </w:t>
            </w:r>
            <w:r w:rsidRPr="363CA695">
              <w:rPr>
                <w:sz w:val="20"/>
                <w:szCs w:val="20"/>
              </w:rPr>
              <w:lastRenderedPageBreak/>
              <w:t>Depending on the size of the project and the volumes, Project Managers may delegate this function to other project staff. Where the volumes are significant, this delegation should be in writing and copied to the Operations Manager, so that the finance unit is aware of the delegation. Copies of this delegation should be maintained and filed electronically. In many offices</w:t>
            </w:r>
            <w:r w:rsidR="008370C5" w:rsidRPr="363CA695">
              <w:rPr>
                <w:sz w:val="20"/>
                <w:szCs w:val="20"/>
              </w:rPr>
              <w:t>/units</w:t>
            </w:r>
            <w:r w:rsidRPr="363CA695">
              <w:rPr>
                <w:sz w:val="20"/>
                <w:szCs w:val="20"/>
              </w:rPr>
              <w:t>, the staff member who physically receives the goods confirms receipt of goods and forwards such confirmation to the Project Manager for written approval before recording the receipt in Quantum. The ‘Expense Receiver’ function is included in the Project Manager Business Profile and can be assigned as a Supplementary Role in IDAM ‘Expense Receiver’ role can be assigned to other Quantum users besides Project Managers, including General Users or Manager L1-</w:t>
            </w:r>
            <w:r w:rsidRPr="009A7C29">
              <w:rPr>
                <w:sz w:val="20"/>
                <w:szCs w:val="20"/>
              </w:rPr>
              <w:t xml:space="preserve">2/SM. IDAM will not allow the ‘Expense Receiver’ role to be assigned to personnel with a Buyer business profile. </w:t>
            </w:r>
            <w:r w:rsidRPr="363CA695">
              <w:rPr>
                <w:b/>
                <w:bCs/>
                <w:sz w:val="20"/>
                <w:szCs w:val="20"/>
              </w:rPr>
              <w:t>Remember:</w:t>
            </w:r>
            <w:r w:rsidRPr="363CA695">
              <w:rPr>
                <w:sz w:val="20"/>
                <w:szCs w:val="20"/>
              </w:rPr>
              <w:t xml:space="preserve"> Buyers </w:t>
            </w:r>
            <w:r w:rsidR="000811B5" w:rsidRPr="363CA695">
              <w:rPr>
                <w:sz w:val="20"/>
                <w:szCs w:val="20"/>
              </w:rPr>
              <w:t>cannot</w:t>
            </w:r>
            <w:r w:rsidRPr="363CA695">
              <w:rPr>
                <w:sz w:val="20"/>
                <w:szCs w:val="20"/>
              </w:rPr>
              <w:t xml:space="preserve"> </w:t>
            </w:r>
            <w:proofErr w:type="gramStart"/>
            <w:r w:rsidRPr="363CA695">
              <w:rPr>
                <w:sz w:val="20"/>
                <w:szCs w:val="20"/>
              </w:rPr>
              <w:t>receipt</w:t>
            </w:r>
            <w:proofErr w:type="gramEnd"/>
            <w:r w:rsidRPr="363CA695">
              <w:rPr>
                <w:sz w:val="20"/>
                <w:szCs w:val="20"/>
              </w:rPr>
              <w:t xml:space="preserve"> goods, services, </w:t>
            </w:r>
            <w:r w:rsidR="000811B5" w:rsidRPr="363CA695">
              <w:rPr>
                <w:sz w:val="20"/>
                <w:szCs w:val="20"/>
              </w:rPr>
              <w:t>or</w:t>
            </w:r>
            <w:r w:rsidRPr="363CA695">
              <w:rPr>
                <w:sz w:val="20"/>
                <w:szCs w:val="20"/>
              </w:rPr>
              <w:t xml:space="preserve"> works.</w:t>
            </w:r>
          </w:p>
        </w:tc>
      </w:tr>
      <w:tr w:rsidR="000811B5" w:rsidRPr="001549DE" w14:paraId="587B640F" w14:textId="77777777" w:rsidTr="310609F1">
        <w:tc>
          <w:tcPr>
            <w:tcW w:w="9895" w:type="dxa"/>
          </w:tcPr>
          <w:p w14:paraId="3EDA51A8" w14:textId="50DE7ADE" w:rsidR="000811B5" w:rsidRPr="00B572E2" w:rsidRDefault="000811B5">
            <w:pPr>
              <w:pStyle w:val="pf0"/>
              <w:numPr>
                <w:ilvl w:val="0"/>
                <w:numId w:val="21"/>
              </w:numPr>
              <w:spacing w:after="0" w:afterAutospacing="0"/>
              <w:rPr>
                <w:rFonts w:asciiTheme="minorHAnsi" w:hAnsiTheme="minorHAnsi" w:cstheme="minorBidi"/>
                <w:sz w:val="20"/>
                <w:szCs w:val="20"/>
              </w:rPr>
            </w:pPr>
            <w:r w:rsidRPr="009A7C29">
              <w:rPr>
                <w:rFonts w:asciiTheme="minorHAnsi" w:hAnsiTheme="minorHAnsi" w:cstheme="minorBidi"/>
                <w:b/>
                <w:bCs/>
                <w:sz w:val="20"/>
                <w:szCs w:val="20"/>
              </w:rPr>
              <w:lastRenderedPageBreak/>
              <w:t xml:space="preserve">Why is </w:t>
            </w:r>
            <w:proofErr w:type="gramStart"/>
            <w:r w:rsidRPr="009A7C29">
              <w:rPr>
                <w:rFonts w:asciiTheme="minorHAnsi" w:hAnsiTheme="minorHAnsi" w:cstheme="minorBidi"/>
                <w:b/>
                <w:bCs/>
                <w:sz w:val="20"/>
                <w:szCs w:val="20"/>
              </w:rPr>
              <w:t>receipting</w:t>
            </w:r>
            <w:proofErr w:type="gramEnd"/>
            <w:r w:rsidRPr="009A7C29">
              <w:rPr>
                <w:rFonts w:asciiTheme="minorHAnsi" w:hAnsiTheme="minorHAnsi" w:cstheme="minorBidi"/>
                <w:b/>
                <w:bCs/>
                <w:sz w:val="20"/>
                <w:szCs w:val="20"/>
              </w:rPr>
              <w:t xml:space="preserve"> important?</w:t>
            </w:r>
            <w:r w:rsidRPr="009A7C29">
              <w:rPr>
                <w:rFonts w:asciiTheme="minorHAnsi" w:hAnsiTheme="minorHAnsi" w:cstheme="minorBidi"/>
                <w:sz w:val="20"/>
                <w:szCs w:val="20"/>
              </w:rPr>
              <w:t xml:space="preserve"> </w:t>
            </w:r>
            <w:r w:rsidRPr="363CA695">
              <w:rPr>
                <w:rFonts w:asciiTheme="minorHAnsi" w:hAnsiTheme="minorHAnsi" w:cstheme="minorBidi"/>
                <w:sz w:val="20"/>
                <w:szCs w:val="20"/>
              </w:rPr>
              <w:t xml:space="preserve">The receipting role is a critical function that must be done with care and diligence, and this should be </w:t>
            </w:r>
            <w:proofErr w:type="gramStart"/>
            <w:r w:rsidRPr="363CA695">
              <w:rPr>
                <w:rFonts w:asciiTheme="minorHAnsi" w:hAnsiTheme="minorHAnsi" w:cstheme="minorBidi"/>
                <w:sz w:val="20"/>
                <w:szCs w:val="20"/>
              </w:rPr>
              <w:t>taken into account</w:t>
            </w:r>
            <w:proofErr w:type="gramEnd"/>
            <w:r w:rsidRPr="363CA695">
              <w:rPr>
                <w:rFonts w:asciiTheme="minorHAnsi" w:hAnsiTheme="minorHAnsi" w:cstheme="minorBidi"/>
                <w:sz w:val="20"/>
                <w:szCs w:val="20"/>
              </w:rPr>
              <w:t xml:space="preserve"> when assigning the Expense Receiver role. The receipt date plays a very crucial role in: (</w:t>
            </w:r>
            <w:proofErr w:type="spellStart"/>
            <w:r w:rsidRPr="363CA695">
              <w:rPr>
                <w:rFonts w:asciiTheme="minorHAnsi" w:hAnsiTheme="minorHAnsi" w:cstheme="minorBidi"/>
                <w:sz w:val="20"/>
                <w:szCs w:val="20"/>
              </w:rPr>
              <w:t>i</w:t>
            </w:r>
            <w:proofErr w:type="spellEnd"/>
            <w:r w:rsidRPr="363CA695">
              <w:rPr>
                <w:rFonts w:asciiTheme="minorHAnsi" w:hAnsiTheme="minorHAnsi" w:cstheme="minorBidi"/>
                <w:sz w:val="20"/>
                <w:szCs w:val="20"/>
              </w:rPr>
              <w:t xml:space="preserve">) triggering the recording of expenses where applicable, (ii) recording of fixed assets, (iii) title and insurance, (iv) management and control and (v) all the rights associated with the item. </w:t>
            </w:r>
            <w:r w:rsidRPr="363CA695">
              <w:rPr>
                <w:rFonts w:asciiTheme="minorHAnsi" w:hAnsiTheme="minorHAnsi" w:cstheme="minorBidi"/>
                <w:b/>
                <w:bCs/>
                <w:color w:val="4472C4" w:themeColor="accent1"/>
                <w:sz w:val="20"/>
                <w:szCs w:val="20"/>
              </w:rPr>
              <w:t xml:space="preserve">Important Accounting Alert! </w:t>
            </w:r>
            <w:r w:rsidRPr="009A7C29">
              <w:rPr>
                <w:rFonts w:asciiTheme="minorHAnsi" w:hAnsiTheme="minorHAnsi" w:cstheme="minorBidi"/>
                <w:sz w:val="20"/>
                <w:szCs w:val="20"/>
              </w:rPr>
              <w:t xml:space="preserve">If not done completely and accurately, receipting can significantly impact UNDP’s accounting and financial statement preparation. </w:t>
            </w:r>
            <w:r w:rsidR="00B572E2" w:rsidRPr="009A7C29">
              <w:rPr>
                <w:rFonts w:asciiTheme="minorHAnsi" w:hAnsiTheme="minorHAnsi" w:cstheme="minorBidi"/>
                <w:sz w:val="20"/>
                <w:szCs w:val="20"/>
              </w:rPr>
              <w:t xml:space="preserve"> </w:t>
            </w:r>
            <w:r w:rsidR="00B572E2" w:rsidRPr="009A7C29">
              <w:rPr>
                <w:rStyle w:val="cf01"/>
                <w:rFonts w:asciiTheme="minorHAnsi" w:hAnsiTheme="minorHAnsi" w:cstheme="minorBidi"/>
                <w:sz w:val="20"/>
                <w:szCs w:val="20"/>
              </w:rPr>
              <w:t xml:space="preserve">Incorrect </w:t>
            </w:r>
            <w:proofErr w:type="gramStart"/>
            <w:r w:rsidR="00B572E2" w:rsidRPr="009A7C29">
              <w:rPr>
                <w:rStyle w:val="cf01"/>
                <w:rFonts w:asciiTheme="minorHAnsi" w:hAnsiTheme="minorHAnsi" w:cstheme="minorBidi"/>
                <w:sz w:val="20"/>
                <w:szCs w:val="20"/>
              </w:rPr>
              <w:t>receipting</w:t>
            </w:r>
            <w:proofErr w:type="gramEnd"/>
            <w:r w:rsidR="00B572E2" w:rsidRPr="009A7C29">
              <w:rPr>
                <w:rStyle w:val="cf01"/>
                <w:rFonts w:asciiTheme="minorHAnsi" w:hAnsiTheme="minorHAnsi" w:cstheme="minorBidi"/>
                <w:sz w:val="20"/>
                <w:szCs w:val="20"/>
              </w:rPr>
              <w:t xml:space="preserve"> can also result in over- or under-payment of suppliers for the work they have performed. </w:t>
            </w:r>
            <w:r w:rsidRPr="363CA695">
              <w:rPr>
                <w:rFonts w:asciiTheme="minorHAnsi" w:hAnsiTheme="minorHAnsi" w:cstheme="minorBidi"/>
                <w:sz w:val="20"/>
                <w:szCs w:val="20"/>
              </w:rPr>
              <w:t xml:space="preserve">The different scenarios and their specific receipting instructions are detailed in POPP </w:t>
            </w:r>
            <w:hyperlink r:id="rId54">
              <w:r w:rsidRPr="363CA695">
                <w:rPr>
                  <w:rStyle w:val="Hyperlink"/>
                  <w:rFonts w:asciiTheme="minorHAnsi" w:hAnsiTheme="minorHAnsi" w:cstheme="minorBidi"/>
                  <w:sz w:val="20"/>
                  <w:szCs w:val="20"/>
                </w:rPr>
                <w:t>Receipt of Goods, Services and Works</w:t>
              </w:r>
            </w:hyperlink>
            <w:r w:rsidRPr="363CA695">
              <w:rPr>
                <w:rFonts w:asciiTheme="minorHAnsi" w:hAnsiTheme="minorHAnsi" w:cstheme="minorBidi"/>
                <w:sz w:val="20"/>
                <w:szCs w:val="20"/>
              </w:rPr>
              <w:t>.</w:t>
            </w:r>
          </w:p>
        </w:tc>
      </w:tr>
      <w:tr w:rsidR="000811B5" w:rsidRPr="001549DE" w14:paraId="40039C2C" w14:textId="77777777" w:rsidTr="310609F1">
        <w:tc>
          <w:tcPr>
            <w:tcW w:w="9895" w:type="dxa"/>
          </w:tcPr>
          <w:p w14:paraId="5DA5E308" w14:textId="589C110C" w:rsidR="000811B5" w:rsidRPr="000811B5" w:rsidRDefault="000811B5">
            <w:pPr>
              <w:pStyle w:val="ListParagraph"/>
              <w:numPr>
                <w:ilvl w:val="0"/>
                <w:numId w:val="21"/>
              </w:numPr>
              <w:rPr>
                <w:sz w:val="20"/>
                <w:szCs w:val="20"/>
              </w:rPr>
            </w:pPr>
            <w:r w:rsidRPr="363CA695">
              <w:rPr>
                <w:b/>
                <w:bCs/>
                <w:sz w:val="20"/>
                <w:szCs w:val="20"/>
              </w:rPr>
              <w:t xml:space="preserve">Special </w:t>
            </w:r>
            <w:r w:rsidRPr="363CA695">
              <w:rPr>
                <w:b/>
                <w:bCs/>
                <w:sz w:val="20"/>
                <w:szCs w:val="20"/>
                <w:u w:val="single"/>
              </w:rPr>
              <w:t>year-end requirements for receipting</w:t>
            </w:r>
            <w:r w:rsidRPr="363CA695">
              <w:rPr>
                <w:b/>
                <w:bCs/>
                <w:sz w:val="20"/>
                <w:szCs w:val="20"/>
              </w:rPr>
              <w:t xml:space="preserve"> construction works:</w:t>
            </w:r>
            <w:r w:rsidRPr="363CA695">
              <w:rPr>
                <w:sz w:val="20"/>
                <w:szCs w:val="20"/>
              </w:rPr>
              <w:t xml:space="preserve"> Construction works should be recorded at the stage when milestones per the contract are completed and accepted by UNDP as part of the regular project monitoring activities.</w:t>
            </w:r>
            <w:r w:rsidRPr="363CA695">
              <w:rPr>
                <w:b/>
                <w:bCs/>
                <w:sz w:val="20"/>
                <w:szCs w:val="20"/>
              </w:rPr>
              <w:t xml:space="preserve"> It is of utmost importance </w:t>
            </w:r>
            <w:r w:rsidRPr="363CA695">
              <w:rPr>
                <w:sz w:val="20"/>
                <w:szCs w:val="20"/>
              </w:rPr>
              <w:t>that Project Manager</w:t>
            </w:r>
            <w:r w:rsidR="002E4B2B" w:rsidRPr="363CA695">
              <w:rPr>
                <w:sz w:val="20"/>
                <w:szCs w:val="20"/>
              </w:rPr>
              <w:t>s</w:t>
            </w:r>
            <w:r w:rsidRPr="363CA695">
              <w:rPr>
                <w:sz w:val="20"/>
                <w:szCs w:val="20"/>
              </w:rPr>
              <w:t xml:space="preserve"> enter </w:t>
            </w:r>
            <w:proofErr w:type="gramStart"/>
            <w:r w:rsidRPr="363CA695">
              <w:rPr>
                <w:sz w:val="20"/>
                <w:szCs w:val="20"/>
              </w:rPr>
              <w:t>in</w:t>
            </w:r>
            <w:proofErr w:type="gramEnd"/>
            <w:r w:rsidRPr="363CA695">
              <w:rPr>
                <w:sz w:val="20"/>
                <w:szCs w:val="20"/>
              </w:rPr>
              <w:t xml:space="preserve"> Quantum the correct date (as close to 31 December as possible) and amounts for work completed </w:t>
            </w:r>
            <w:proofErr w:type="gramStart"/>
            <w:r w:rsidRPr="363CA695">
              <w:rPr>
                <w:sz w:val="20"/>
                <w:szCs w:val="20"/>
              </w:rPr>
              <w:t>in order to</w:t>
            </w:r>
            <w:proofErr w:type="gramEnd"/>
            <w:r w:rsidRPr="363CA695">
              <w:rPr>
                <w:sz w:val="20"/>
                <w:szCs w:val="20"/>
              </w:rPr>
              <w:t xml:space="preserve"> ensure that both the Supplier Performance and UNDP expenses and accrued liabilities for the services are correctly reflected in Quantum.</w:t>
            </w:r>
            <w:r w:rsidRPr="363CA695">
              <w:rPr>
                <w:b/>
                <w:bCs/>
                <w:sz w:val="20"/>
                <w:szCs w:val="20"/>
              </w:rPr>
              <w:t xml:space="preserve"> </w:t>
            </w:r>
            <w:r w:rsidRPr="363CA695">
              <w:rPr>
                <w:sz w:val="20"/>
                <w:szCs w:val="20"/>
              </w:rPr>
              <w:t xml:space="preserve">Such construction works or similar works are often very specialized in nature and UNDP </w:t>
            </w:r>
            <w:proofErr w:type="gramStart"/>
            <w:r w:rsidRPr="363CA695">
              <w:rPr>
                <w:sz w:val="20"/>
                <w:szCs w:val="20"/>
              </w:rPr>
              <w:t>acceptance</w:t>
            </w:r>
            <w:proofErr w:type="gramEnd"/>
            <w:r w:rsidRPr="363CA695">
              <w:rPr>
                <w:sz w:val="20"/>
                <w:szCs w:val="20"/>
              </w:rPr>
              <w:t xml:space="preserve"> and receipt should only be performed by personnel that have the requisite knowledge of construction/works. Amounts receipted in Quantum should be based on the progress certificate or site assessment report as appropriate.</w:t>
            </w:r>
          </w:p>
        </w:tc>
      </w:tr>
      <w:tr w:rsidR="000811B5" w:rsidRPr="001549DE" w14:paraId="12C7286F" w14:textId="77777777" w:rsidTr="310609F1">
        <w:tc>
          <w:tcPr>
            <w:tcW w:w="9895" w:type="dxa"/>
          </w:tcPr>
          <w:p w14:paraId="2506D932" w14:textId="67CA23FD" w:rsidR="000811B5" w:rsidRPr="004C65BF" w:rsidRDefault="000811B5">
            <w:pPr>
              <w:pStyle w:val="ListParagraph"/>
              <w:numPr>
                <w:ilvl w:val="0"/>
                <w:numId w:val="21"/>
              </w:numPr>
              <w:rPr>
                <w:sz w:val="20"/>
                <w:szCs w:val="20"/>
              </w:rPr>
            </w:pPr>
            <w:r w:rsidRPr="363CA695">
              <w:rPr>
                <w:b/>
                <w:bCs/>
                <w:sz w:val="20"/>
                <w:szCs w:val="20"/>
              </w:rPr>
              <w:t xml:space="preserve">For </w:t>
            </w:r>
            <w:r w:rsidRPr="363CA695">
              <w:rPr>
                <w:b/>
                <w:bCs/>
                <w:sz w:val="20"/>
                <w:szCs w:val="20"/>
                <w:u w:val="single"/>
              </w:rPr>
              <w:t>year-end expense recognition</w:t>
            </w:r>
            <w:r w:rsidRPr="363CA695">
              <w:rPr>
                <w:b/>
                <w:bCs/>
                <w:sz w:val="20"/>
                <w:szCs w:val="20"/>
              </w:rPr>
              <w:t xml:space="preserve"> purposes of construction works or similar works:</w:t>
            </w:r>
            <w:r w:rsidRPr="363CA695">
              <w:rPr>
                <w:sz w:val="20"/>
                <w:szCs w:val="20"/>
              </w:rPr>
              <w:t xml:space="preserve"> in the event that a progress certificate or site assessment report is not available as at 31 December (i.e. the end of UNDP’s financial year), the Project Manager is still required to estimate the progress of works completed as of 31 December in order to receipt the works in Quantum so that the financial records are accurate. The last available progress certificate or site report can be used as the basis of the last stage of completion against which to estimate the additional value of un-receipted works undertaken as of 31 December. As construction works are specialized in nature, the estimate should only be performed by personnel that have the requisite knowledge of construction works. This is normally done by the site engineer and confirmed by the Project Manager as appropriate.</w:t>
            </w:r>
          </w:p>
        </w:tc>
      </w:tr>
      <w:tr w:rsidR="000811B5" w:rsidRPr="001549DE" w14:paraId="29DDC841" w14:textId="77777777" w:rsidTr="310609F1">
        <w:tc>
          <w:tcPr>
            <w:tcW w:w="9895" w:type="dxa"/>
          </w:tcPr>
          <w:p w14:paraId="72686453" w14:textId="253A4962" w:rsidR="000811B5" w:rsidRPr="004C65BF" w:rsidRDefault="000811B5">
            <w:pPr>
              <w:pStyle w:val="ListParagraph"/>
              <w:numPr>
                <w:ilvl w:val="0"/>
                <w:numId w:val="21"/>
              </w:numPr>
              <w:rPr>
                <w:rFonts w:cstheme="minorHAnsi"/>
                <w:sz w:val="20"/>
                <w:szCs w:val="20"/>
              </w:rPr>
            </w:pPr>
            <w:r w:rsidRPr="009A7C29">
              <w:rPr>
                <w:rFonts w:cstheme="minorHAnsi"/>
                <w:b/>
                <w:bCs/>
                <w:sz w:val="20"/>
                <w:szCs w:val="20"/>
              </w:rPr>
              <w:t xml:space="preserve">Receipting should include </w:t>
            </w:r>
            <w:r w:rsidRPr="004C65BF">
              <w:rPr>
                <w:rFonts w:cstheme="minorHAnsi"/>
                <w:b/>
                <w:bCs/>
                <w:sz w:val="20"/>
                <w:szCs w:val="20"/>
              </w:rPr>
              <w:t>retentions:</w:t>
            </w:r>
            <w:r w:rsidRPr="004C65BF">
              <w:rPr>
                <w:rFonts w:cstheme="minorHAnsi"/>
                <w:sz w:val="20"/>
                <w:szCs w:val="20"/>
              </w:rPr>
              <w:t xml:space="preserve"> It is important to note that even though the contractor will be paid at a future period in time, receipts recorded in Quantum and based on progress certificates should be inclusive of retentions, as the milestone has been reached but the funds are held back as a risk mitigation strategy/safeguard for UNDP to cover for any potential issues that may be encountered during the contractor’s liable period.</w:t>
            </w:r>
          </w:p>
        </w:tc>
      </w:tr>
      <w:tr w:rsidR="003D6AE3" w:rsidRPr="001549DE" w14:paraId="3F369EB5" w14:textId="77777777" w:rsidTr="310609F1">
        <w:tc>
          <w:tcPr>
            <w:tcW w:w="9895" w:type="dxa"/>
            <w:shd w:val="clear" w:color="auto" w:fill="9CC2E5" w:themeFill="accent5" w:themeFillTint="99"/>
          </w:tcPr>
          <w:p w14:paraId="35E577ED" w14:textId="20F02C6E" w:rsidR="003D6AE3" w:rsidRPr="001549DE" w:rsidRDefault="00127B50">
            <w:pPr>
              <w:pStyle w:val="ListParagraph"/>
              <w:numPr>
                <w:ilvl w:val="0"/>
                <w:numId w:val="19"/>
              </w:numPr>
              <w:rPr>
                <w:rFonts w:cstheme="minorHAnsi"/>
                <w:sz w:val="20"/>
                <w:szCs w:val="20"/>
              </w:rPr>
            </w:pPr>
            <w:r w:rsidRPr="001549DE">
              <w:rPr>
                <w:rFonts w:cstheme="minorHAnsi"/>
                <w:b/>
                <w:bCs/>
                <w:sz w:val="20"/>
                <w:szCs w:val="20"/>
              </w:rPr>
              <w:t>Close Projects: Operationally close projects</w:t>
            </w:r>
          </w:p>
        </w:tc>
      </w:tr>
      <w:tr w:rsidR="003D6AE3" w:rsidRPr="001549DE" w14:paraId="057DD7E8" w14:textId="77777777" w:rsidTr="310609F1">
        <w:trPr>
          <w:trHeight w:val="2294"/>
        </w:trPr>
        <w:tc>
          <w:tcPr>
            <w:tcW w:w="9895" w:type="dxa"/>
          </w:tcPr>
          <w:p w14:paraId="3CD9AAE5" w14:textId="58FD24F2" w:rsidR="003D6AE3" w:rsidRPr="00DD625F" w:rsidRDefault="00127B50">
            <w:pPr>
              <w:pStyle w:val="ListParagraph"/>
              <w:numPr>
                <w:ilvl w:val="0"/>
                <w:numId w:val="27"/>
              </w:numPr>
              <w:rPr>
                <w:sz w:val="20"/>
                <w:szCs w:val="20"/>
              </w:rPr>
            </w:pPr>
            <w:r w:rsidRPr="363CA695">
              <w:rPr>
                <w:b/>
                <w:bCs/>
                <w:sz w:val="20"/>
                <w:szCs w:val="20"/>
              </w:rPr>
              <w:t>Operationally closing projects:</w:t>
            </w:r>
            <w:r w:rsidRPr="363CA695">
              <w:rPr>
                <w:sz w:val="20"/>
                <w:szCs w:val="20"/>
              </w:rPr>
              <w:t xml:space="preserve"> The Project Manager is responsible for monitoring project activities and initiating the designation of projects as operationally closed in accordance with POPP </w:t>
            </w:r>
            <w:hyperlink r:id="rId55">
              <w:r w:rsidRPr="363CA695">
                <w:rPr>
                  <w:rStyle w:val="Hyperlink"/>
                  <w:sz w:val="20"/>
                  <w:szCs w:val="20"/>
                </w:rPr>
                <w:t>Close and Transition</w:t>
              </w:r>
            </w:hyperlink>
            <w:r w:rsidRPr="363CA695">
              <w:rPr>
                <w:sz w:val="20"/>
                <w:szCs w:val="20"/>
              </w:rPr>
              <w:t xml:space="preserve">. BMS/GSSC is responsible for financial closure </w:t>
            </w:r>
            <w:r w:rsidRPr="009A7C29">
              <w:rPr>
                <w:sz w:val="20"/>
                <w:szCs w:val="20"/>
              </w:rPr>
              <w:t xml:space="preserve">of </w:t>
            </w:r>
            <w:r w:rsidR="00DD625F" w:rsidRPr="009A7C29">
              <w:rPr>
                <w:sz w:val="20"/>
                <w:szCs w:val="20"/>
              </w:rPr>
              <w:t>development</w:t>
            </w:r>
            <w:r w:rsidRPr="009A7C29">
              <w:rPr>
                <w:sz w:val="20"/>
                <w:szCs w:val="20"/>
              </w:rPr>
              <w:t xml:space="preserve"> projects</w:t>
            </w:r>
            <w:r w:rsidR="00DD625F" w:rsidRPr="009A7C29">
              <w:rPr>
                <w:sz w:val="20"/>
                <w:szCs w:val="20"/>
              </w:rPr>
              <w:t xml:space="preserve"> </w:t>
            </w:r>
            <w:r w:rsidR="00DD625F" w:rsidRPr="009A7C29">
              <w:rPr>
                <w:b/>
                <w:bCs/>
                <w:sz w:val="20"/>
                <w:szCs w:val="20"/>
              </w:rPr>
              <w:t>for offices/units with clustered processes</w:t>
            </w:r>
            <w:r w:rsidR="002A38D2" w:rsidRPr="009A7C29">
              <w:rPr>
                <w:b/>
                <w:bCs/>
                <w:sz w:val="20"/>
                <w:szCs w:val="20"/>
              </w:rPr>
              <w:t>; offices are responsible for financial closure of their own management projects</w:t>
            </w:r>
            <w:r w:rsidRPr="363CA695">
              <w:rPr>
                <w:sz w:val="20"/>
                <w:szCs w:val="20"/>
              </w:rPr>
              <w:t>. Regional Bureaus are responsible for oversight of timely project closures by offices</w:t>
            </w:r>
            <w:r w:rsidR="008370C5" w:rsidRPr="363CA695">
              <w:rPr>
                <w:sz w:val="20"/>
                <w:szCs w:val="20"/>
              </w:rPr>
              <w:t>/units</w:t>
            </w:r>
            <w:r w:rsidRPr="363CA695">
              <w:rPr>
                <w:sz w:val="20"/>
                <w:szCs w:val="20"/>
              </w:rPr>
              <w:t xml:space="preserve"> within their region. </w:t>
            </w:r>
            <w:r w:rsidRPr="363CA695">
              <w:rPr>
                <w:b/>
                <w:bCs/>
                <w:sz w:val="20"/>
                <w:szCs w:val="20"/>
              </w:rPr>
              <w:t>For offices</w:t>
            </w:r>
            <w:r w:rsidR="008370C5" w:rsidRPr="363CA695">
              <w:rPr>
                <w:b/>
                <w:bCs/>
                <w:sz w:val="20"/>
                <w:szCs w:val="20"/>
              </w:rPr>
              <w:t>/units</w:t>
            </w:r>
            <w:r w:rsidRPr="363CA695">
              <w:rPr>
                <w:b/>
                <w:bCs/>
                <w:sz w:val="20"/>
                <w:szCs w:val="20"/>
              </w:rPr>
              <w:t xml:space="preserve"> who perform their project closure process directly</w:t>
            </w:r>
            <w:r w:rsidRPr="363CA695">
              <w:rPr>
                <w:sz w:val="20"/>
                <w:szCs w:val="20"/>
              </w:rPr>
              <w:t xml:space="preserve">, the finance </w:t>
            </w:r>
            <w:r w:rsidR="008370C5" w:rsidRPr="363CA695">
              <w:rPr>
                <w:sz w:val="20"/>
                <w:szCs w:val="20"/>
              </w:rPr>
              <w:t>team</w:t>
            </w:r>
            <w:r w:rsidRPr="363CA695">
              <w:rPr>
                <w:sz w:val="20"/>
                <w:szCs w:val="20"/>
              </w:rPr>
              <w:t xml:space="preserve"> of each office</w:t>
            </w:r>
            <w:r w:rsidR="008370C5" w:rsidRPr="363CA695">
              <w:rPr>
                <w:sz w:val="20"/>
                <w:szCs w:val="20"/>
              </w:rPr>
              <w:t>/unit</w:t>
            </w:r>
            <w:r w:rsidRPr="363CA695">
              <w:rPr>
                <w:sz w:val="20"/>
                <w:szCs w:val="20"/>
              </w:rPr>
              <w:t xml:space="preserve"> is responsible for reviewing ongoing projects and coordinating with Project Managers to initiate financial closure. For more information, refer to POPP </w:t>
            </w:r>
            <w:hyperlink r:id="rId56">
              <w:r w:rsidRPr="363CA695">
                <w:rPr>
                  <w:rStyle w:val="Hyperlink"/>
                  <w:sz w:val="20"/>
                  <w:szCs w:val="20"/>
                </w:rPr>
                <w:t>Financial Closure of Development Projects</w:t>
              </w:r>
            </w:hyperlink>
            <w:r w:rsidRPr="363CA695">
              <w:rPr>
                <w:sz w:val="20"/>
                <w:szCs w:val="20"/>
              </w:rPr>
              <w:t xml:space="preserve"> and the Quantum Project Closure Workbench</w:t>
            </w:r>
            <w:r w:rsidR="000577F1" w:rsidRPr="363CA695">
              <w:rPr>
                <w:sz w:val="20"/>
                <w:szCs w:val="20"/>
              </w:rPr>
              <w:t xml:space="preserve"> (Quantum navigation: Projects tab&gt;Project Results and Project Closure Workbench tile&gt;Click on Project Closure Workbench icon on the left side navigator field. Refer to UNall Knowledge Article titled: </w:t>
            </w:r>
            <w:hyperlink r:id="rId57">
              <w:r w:rsidR="000577F1" w:rsidRPr="363CA695">
                <w:rPr>
                  <w:rStyle w:val="Hyperlink"/>
                  <w:sz w:val="20"/>
                  <w:szCs w:val="20"/>
                </w:rPr>
                <w:t>How do I access Project Closure Workbench in Quantum?</w:t>
              </w:r>
            </w:hyperlink>
            <w:r w:rsidR="000577F1" w:rsidRPr="363CA695">
              <w:rPr>
                <w:sz w:val="20"/>
                <w:szCs w:val="20"/>
              </w:rPr>
              <w:t xml:space="preserve"> for more information</w:t>
            </w:r>
            <w:r w:rsidR="004C65BF" w:rsidRPr="363CA695">
              <w:rPr>
                <w:sz w:val="20"/>
                <w:szCs w:val="20"/>
              </w:rPr>
              <w:t>)</w:t>
            </w:r>
            <w:r w:rsidR="000577F1" w:rsidRPr="363CA695">
              <w:rPr>
                <w:sz w:val="20"/>
                <w:szCs w:val="20"/>
              </w:rPr>
              <w:t>.</w:t>
            </w:r>
          </w:p>
        </w:tc>
      </w:tr>
      <w:tr w:rsidR="00910A7D" w:rsidRPr="001549DE" w14:paraId="7BB516A4" w14:textId="77777777" w:rsidTr="310609F1">
        <w:trPr>
          <w:trHeight w:val="269"/>
        </w:trPr>
        <w:tc>
          <w:tcPr>
            <w:tcW w:w="9895" w:type="dxa"/>
            <w:shd w:val="clear" w:color="auto" w:fill="E2EFD9" w:themeFill="accent6" w:themeFillTint="33"/>
          </w:tcPr>
          <w:p w14:paraId="07D46F0E" w14:textId="24638FA5" w:rsidR="00910A7D" w:rsidRPr="00910A7D" w:rsidRDefault="00910A7D" w:rsidP="00910A7D">
            <w:pPr>
              <w:rPr>
                <w:rFonts w:cstheme="minorHAnsi"/>
                <w:b/>
                <w:bCs/>
                <w:sz w:val="20"/>
                <w:szCs w:val="20"/>
              </w:rPr>
            </w:pPr>
            <w:r w:rsidRPr="00910A7D">
              <w:rPr>
                <w:b/>
                <w:bCs/>
                <w:sz w:val="20"/>
                <w:szCs w:val="20"/>
              </w:rPr>
              <w:t>IDAM business profile - Project Manager (may be assigned to non-staff personnel)</w:t>
            </w:r>
          </w:p>
        </w:tc>
      </w:tr>
      <w:tr w:rsidR="00910A7D" w:rsidRPr="001549DE" w14:paraId="7C98F13A" w14:textId="77777777" w:rsidTr="310609F1">
        <w:trPr>
          <w:trHeight w:val="530"/>
        </w:trPr>
        <w:tc>
          <w:tcPr>
            <w:tcW w:w="9895" w:type="dxa"/>
            <w:shd w:val="clear" w:color="auto" w:fill="D9D9D9" w:themeFill="background1" w:themeFillShade="D9"/>
          </w:tcPr>
          <w:p w14:paraId="490C6C06" w14:textId="7E380BA0" w:rsidR="00910A7D" w:rsidRPr="00910A7D" w:rsidRDefault="00910A7D" w:rsidP="363CA695">
            <w:pPr>
              <w:rPr>
                <w:b/>
                <w:bCs/>
                <w:sz w:val="20"/>
                <w:szCs w:val="20"/>
              </w:rPr>
            </w:pPr>
            <w:r w:rsidRPr="363CA695">
              <w:rPr>
                <w:b/>
                <w:bCs/>
                <w:sz w:val="20"/>
                <w:szCs w:val="20"/>
              </w:rPr>
              <w:lastRenderedPageBreak/>
              <w:t xml:space="preserve">Flexibility allowed: </w:t>
            </w:r>
            <w:r w:rsidRPr="363CA695">
              <w:rPr>
                <w:sz w:val="20"/>
                <w:szCs w:val="20"/>
              </w:rPr>
              <w:t xml:space="preserve">As noted in section 2.1, the RR/DRR/OM (and HQ-equivalent) may hold both Project Manager and Approving Manager profiles </w:t>
            </w:r>
            <w:proofErr w:type="gramStart"/>
            <w:r w:rsidRPr="363CA695">
              <w:rPr>
                <w:sz w:val="20"/>
                <w:szCs w:val="20"/>
              </w:rPr>
              <w:t>as long as</w:t>
            </w:r>
            <w:proofErr w:type="gramEnd"/>
            <w:r w:rsidRPr="363CA695">
              <w:rPr>
                <w:sz w:val="20"/>
                <w:szCs w:val="20"/>
              </w:rPr>
              <w:t xml:space="preserve"> they observe the required segregation of duties stated below.</w:t>
            </w:r>
          </w:p>
        </w:tc>
      </w:tr>
      <w:tr w:rsidR="00910A7D" w:rsidRPr="001549DE" w14:paraId="6345B23D" w14:textId="77777777" w:rsidTr="310609F1">
        <w:trPr>
          <w:trHeight w:val="530"/>
        </w:trPr>
        <w:tc>
          <w:tcPr>
            <w:tcW w:w="9895" w:type="dxa"/>
            <w:shd w:val="clear" w:color="auto" w:fill="D9E2F3" w:themeFill="accent1" w:themeFillTint="33"/>
          </w:tcPr>
          <w:p w14:paraId="35218DB2" w14:textId="47A51E70" w:rsidR="00910A7D" w:rsidRPr="00910A7D" w:rsidRDefault="00910A7D" w:rsidP="363CA695">
            <w:pPr>
              <w:rPr>
                <w:b/>
                <w:bCs/>
                <w:sz w:val="20"/>
                <w:szCs w:val="20"/>
              </w:rPr>
            </w:pPr>
            <w:r w:rsidRPr="363CA695">
              <w:rPr>
                <w:b/>
                <w:bCs/>
                <w:sz w:val="20"/>
                <w:szCs w:val="20"/>
              </w:rPr>
              <w:t xml:space="preserve">Segregation of duties required: </w:t>
            </w:r>
            <w:r w:rsidRPr="363CA695">
              <w:rPr>
                <w:sz w:val="20"/>
                <w:szCs w:val="20"/>
              </w:rPr>
              <w:t>Project Managers must not act as the second or third authority on transactions in which they have fulfilled the first authority role.</w:t>
            </w:r>
          </w:p>
        </w:tc>
      </w:tr>
    </w:tbl>
    <w:p w14:paraId="414B2439" w14:textId="77777777" w:rsidR="00EE312C" w:rsidRPr="004F6AC8" w:rsidRDefault="00EE312C" w:rsidP="00597C21">
      <w:pPr>
        <w:rPr>
          <w:sz w:val="8"/>
          <w:szCs w:val="8"/>
        </w:rPr>
      </w:pPr>
    </w:p>
    <w:p w14:paraId="60BA7752" w14:textId="21F44CE9" w:rsidR="009F4F88" w:rsidRPr="004B2DF3" w:rsidRDefault="009F4F88">
      <w:pPr>
        <w:pStyle w:val="Heading2"/>
        <w:numPr>
          <w:ilvl w:val="1"/>
          <w:numId w:val="93"/>
        </w:numPr>
        <w:spacing w:after="240"/>
      </w:pPr>
      <w:bookmarkStart w:id="38" w:name="_Toc210052757"/>
      <w:proofErr w:type="spellStart"/>
      <w:r w:rsidRPr="363CA695">
        <w:t>Programme</w:t>
      </w:r>
      <w:proofErr w:type="spellEnd"/>
      <w:r w:rsidRPr="363CA695">
        <w:t xml:space="preserve"> </w:t>
      </w:r>
      <w:r w:rsidR="00F92858" w:rsidRPr="363CA695">
        <w:t>Officer</w:t>
      </w:r>
      <w:bookmarkEnd w:id="38"/>
    </w:p>
    <w:p w14:paraId="6FBC815A" w14:textId="2626C921" w:rsidR="00C663CC" w:rsidRPr="00575630" w:rsidRDefault="00C663CC" w:rsidP="00DA089C">
      <w:pPr>
        <w:spacing w:line="240" w:lineRule="auto"/>
      </w:pPr>
      <w:r>
        <w:t xml:space="preserve">The </w:t>
      </w:r>
      <w:proofErr w:type="spellStart"/>
      <w:r>
        <w:t>Programme</w:t>
      </w:r>
      <w:proofErr w:type="spellEnd"/>
      <w:r>
        <w:t xml:space="preserve"> Officer is generally responsible for a portfolio of projects, usually development projects, and typically holds the project assurance role. Project Assurance is the responsibility of each Project Board member; however, UNDP has a distinct assurance role for all UNDP projects and carries out objective and independent project oversight and monitoring functions. A UNDP </w:t>
      </w:r>
      <w:proofErr w:type="spellStart"/>
      <w:r>
        <w:t>Programme</w:t>
      </w:r>
      <w:proofErr w:type="spellEnd"/>
      <w:r>
        <w:t xml:space="preserve"> Officer or Monitoring and </w:t>
      </w:r>
      <w:r w:rsidRPr="009A7C29">
        <w:t xml:space="preserve">Evaluation Officer typically holds the project assurance role for development projects on behalf of </w:t>
      </w:r>
      <w:proofErr w:type="gramStart"/>
      <w:r w:rsidRPr="009A7C29">
        <w:t>UNDP</w:t>
      </w:r>
      <w:r w:rsidR="00B810BA" w:rsidRPr="009A7C29">
        <w:t>, and</w:t>
      </w:r>
      <w:proofErr w:type="gramEnd"/>
      <w:r w:rsidR="00B810BA" w:rsidRPr="009A7C29">
        <w:t xml:space="preserve"> may be supported by a </w:t>
      </w:r>
      <w:r w:rsidR="002C03DF" w:rsidRPr="009A7C29">
        <w:t>PSU/PMSU</w:t>
      </w:r>
      <w:r w:rsidRPr="009A7C29">
        <w:t xml:space="preserve">. Project </w:t>
      </w:r>
      <w:r>
        <w:t>Assurance must be independent of the Project Manager.</w:t>
      </w:r>
    </w:p>
    <w:p w14:paraId="2DBB4179" w14:textId="4E10EC3E" w:rsidR="00C663CC" w:rsidRPr="00FE3211" w:rsidRDefault="00C663CC" w:rsidP="363CA695">
      <w:pPr>
        <w:spacing w:line="240" w:lineRule="auto"/>
        <w:rPr>
          <w:sz w:val="20"/>
          <w:szCs w:val="20"/>
        </w:rPr>
      </w:pPr>
      <w:r w:rsidRPr="363CA695">
        <w:t xml:space="preserve">The </w:t>
      </w:r>
      <w:proofErr w:type="spellStart"/>
      <w:r w:rsidRPr="363CA695">
        <w:t>Programme</w:t>
      </w:r>
      <w:proofErr w:type="spellEnd"/>
      <w:r w:rsidRPr="363CA695">
        <w:t xml:space="preserve"> Officer is responsible for ensuring projects in their portfolio are prepared and monitored according to POPP</w:t>
      </w:r>
      <w:r w:rsidR="00FE3211" w:rsidRPr="363CA695">
        <w:t xml:space="preserve"> (refer </w:t>
      </w:r>
      <w:hyperlink r:id="rId58">
        <w:r w:rsidR="00FE3211" w:rsidRPr="363CA695">
          <w:rPr>
            <w:rStyle w:val="Hyperlink"/>
          </w:rPr>
          <w:t xml:space="preserve">POPP </w:t>
        </w:r>
        <w:proofErr w:type="spellStart"/>
        <w:r w:rsidR="00FE3211" w:rsidRPr="363CA695">
          <w:rPr>
            <w:rStyle w:val="Hyperlink"/>
          </w:rPr>
          <w:t>Programme</w:t>
        </w:r>
        <w:proofErr w:type="spellEnd"/>
      </w:hyperlink>
      <w:r w:rsidR="00FE3211" w:rsidRPr="363CA695">
        <w:t xml:space="preserve"> </w:t>
      </w:r>
      <w:hyperlink r:id="rId59">
        <w:r w:rsidR="00FE3211" w:rsidRPr="363CA695">
          <w:rPr>
            <w:rStyle w:val="Hyperlink"/>
          </w:rPr>
          <w:t>and Project Management</w:t>
        </w:r>
      </w:hyperlink>
      <w:r w:rsidR="00FE3211" w:rsidRPr="363CA695">
        <w:t xml:space="preserve">; and sub-sections </w:t>
      </w:r>
      <w:hyperlink r:id="rId60">
        <w:r w:rsidR="00FE3211" w:rsidRPr="363CA695">
          <w:rPr>
            <w:rStyle w:val="Hyperlink"/>
          </w:rPr>
          <w:t xml:space="preserve">provide oversight </w:t>
        </w:r>
      </w:hyperlink>
      <w:r w:rsidR="00FE3211" w:rsidRPr="363CA695">
        <w:t xml:space="preserve">and </w:t>
      </w:r>
      <w:hyperlink r:id="rId61">
        <w:r w:rsidR="00FE3211" w:rsidRPr="363CA695">
          <w:rPr>
            <w:rStyle w:val="Hyperlink"/>
          </w:rPr>
          <w:t>selecting an implementing partner</w:t>
        </w:r>
      </w:hyperlink>
      <w:r w:rsidR="00FE3211" w:rsidRPr="363CA695">
        <w:t xml:space="preserve">) </w:t>
      </w:r>
      <w:r w:rsidRPr="363CA695">
        <w:t xml:space="preserve">and that all projects for which they are responsible for overseeing are properly opened, awarded and operationally closed in Quantum following agreed supporting documents (e.g., Project document, contribution agreements, etc.). </w:t>
      </w:r>
      <w:r w:rsidR="00FE3211" w:rsidRPr="363CA695">
        <w:t xml:space="preserve">Specifically, </w:t>
      </w:r>
      <w:proofErr w:type="spellStart"/>
      <w:r w:rsidR="00FE3211" w:rsidRPr="363CA695">
        <w:t>Programme</w:t>
      </w:r>
      <w:proofErr w:type="spellEnd"/>
      <w:r w:rsidR="00FE3211" w:rsidRPr="363CA695">
        <w:t xml:space="preserve"> Officers are responsible for overseeing project planning &amp; budget entry; monitoring project implementation &amp; supporting documentation; ensuring contribution agreements are recorded timely and contributions receivable are </w:t>
      </w:r>
      <w:proofErr w:type="gramStart"/>
      <w:r w:rsidR="00FE3211" w:rsidRPr="363CA695">
        <w:t>followed-up</w:t>
      </w:r>
      <w:proofErr w:type="gramEnd"/>
      <w:r w:rsidR="00FE3211" w:rsidRPr="363CA695">
        <w:t xml:space="preserve">; and ensuring timely operational project closure. </w:t>
      </w:r>
      <w:r w:rsidRPr="363CA695">
        <w:t>This responsibility applies regardless of the implementation arrangements for the project.</w:t>
      </w:r>
      <w:r w:rsidR="00FE3211" w:rsidRPr="363CA695">
        <w:t xml:space="preserve"> </w:t>
      </w:r>
    </w:p>
    <w:p w14:paraId="03CB8877" w14:textId="15E140AE" w:rsidR="00C663CC" w:rsidRDefault="00C663CC" w:rsidP="00DA089C">
      <w:pPr>
        <w:spacing w:line="240" w:lineRule="auto"/>
      </w:pPr>
      <w:proofErr w:type="spellStart"/>
      <w:r w:rsidRPr="363CA695">
        <w:t>Programme</w:t>
      </w:r>
      <w:proofErr w:type="spellEnd"/>
      <w:r w:rsidRPr="363CA695">
        <w:t xml:space="preserve"> Officers may also be Approving Managers where the Head of Office</w:t>
      </w:r>
      <w:r w:rsidR="008370C5" w:rsidRPr="363CA695">
        <w:t>/Unit</w:t>
      </w:r>
      <w:r w:rsidRPr="363CA695">
        <w:t xml:space="preserve"> has </w:t>
      </w:r>
      <w:proofErr w:type="gramStart"/>
      <w:r w:rsidRPr="363CA695">
        <w:t>assurance</w:t>
      </w:r>
      <w:proofErr w:type="gramEnd"/>
      <w:r w:rsidRPr="363CA695">
        <w:t xml:space="preserve"> that these </w:t>
      </w:r>
      <w:r w:rsidRPr="363CA695">
        <w:rPr>
          <w:b/>
          <w:bCs/>
        </w:rPr>
        <w:t>staff members</w:t>
      </w:r>
      <w:r w:rsidRPr="363CA695">
        <w:t xml:space="preserve"> have strong knowledge of UNDP procurement rules and can independently review the authority exercised by the Project Manager. However, </w:t>
      </w:r>
      <w:proofErr w:type="spellStart"/>
      <w:r w:rsidRPr="363CA695">
        <w:t>Programme</w:t>
      </w:r>
      <w:proofErr w:type="spellEnd"/>
      <w:r w:rsidRPr="363CA695">
        <w:t xml:space="preserve"> Officers may not have both Project Manager and Approving Manager profiles.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3B102F" w:rsidRPr="00DA089C" w14:paraId="3B216479" w14:textId="3DA65E14" w:rsidTr="363CA695">
        <w:trPr>
          <w:trHeight w:val="332"/>
          <w:tblHeader/>
        </w:trPr>
        <w:tc>
          <w:tcPr>
            <w:tcW w:w="9990" w:type="dxa"/>
            <w:shd w:val="clear" w:color="auto" w:fill="FFF1CC"/>
          </w:tcPr>
          <w:p w14:paraId="38FFDC8A" w14:textId="2B2E64CA" w:rsidR="00FE3211" w:rsidRPr="00DA089C" w:rsidRDefault="00FE3211" w:rsidP="363CA695">
            <w:pPr>
              <w:spacing w:after="0" w:line="240" w:lineRule="auto"/>
              <w:ind w:left="60"/>
              <w:rPr>
                <w:b/>
                <w:bCs/>
                <w:sz w:val="20"/>
                <w:szCs w:val="20"/>
              </w:rPr>
            </w:pPr>
            <w:proofErr w:type="spellStart"/>
            <w:r w:rsidRPr="363CA695">
              <w:rPr>
                <w:b/>
                <w:bCs/>
                <w:sz w:val="20"/>
                <w:szCs w:val="20"/>
              </w:rPr>
              <w:t>Programme</w:t>
            </w:r>
            <w:proofErr w:type="spellEnd"/>
            <w:r w:rsidRPr="363CA695">
              <w:rPr>
                <w:b/>
                <w:bCs/>
                <w:sz w:val="20"/>
                <w:szCs w:val="20"/>
              </w:rPr>
              <w:t xml:space="preserve"> Officer: Internal Control Responsibilities performed within each office</w:t>
            </w:r>
            <w:r w:rsidR="008370C5" w:rsidRPr="363CA695">
              <w:rPr>
                <w:b/>
                <w:bCs/>
                <w:sz w:val="20"/>
                <w:szCs w:val="20"/>
              </w:rPr>
              <w:t>/unit</w:t>
            </w:r>
          </w:p>
        </w:tc>
      </w:tr>
      <w:tr w:rsidR="00FE3211" w:rsidRPr="00DA089C" w14:paraId="6A9D1DAB" w14:textId="77777777" w:rsidTr="363CA695">
        <w:trPr>
          <w:trHeight w:val="719"/>
        </w:trPr>
        <w:tc>
          <w:tcPr>
            <w:tcW w:w="9990" w:type="dxa"/>
          </w:tcPr>
          <w:p w14:paraId="1AEF5503" w14:textId="46AB44B0" w:rsidR="00FE3211" w:rsidRPr="00FE3211" w:rsidRDefault="00FE3211">
            <w:pPr>
              <w:pStyle w:val="ListParagraph"/>
              <w:numPr>
                <w:ilvl w:val="0"/>
                <w:numId w:val="23"/>
              </w:numPr>
              <w:spacing w:after="0" w:line="240" w:lineRule="auto"/>
              <w:rPr>
                <w:sz w:val="20"/>
                <w:szCs w:val="20"/>
              </w:rPr>
            </w:pPr>
            <w:r w:rsidRPr="363CA695">
              <w:rPr>
                <w:b/>
                <w:bCs/>
                <w:sz w:val="20"/>
                <w:szCs w:val="20"/>
              </w:rPr>
              <w:t>Planning:</w:t>
            </w:r>
            <w:r w:rsidRPr="363CA695">
              <w:rPr>
                <w:sz w:val="20"/>
                <w:szCs w:val="20"/>
              </w:rPr>
              <w:t xml:space="preserve"> Creating a proposal in Quantum, </w:t>
            </w:r>
            <w:r w:rsidRPr="009A7C29">
              <w:rPr>
                <w:sz w:val="20"/>
                <w:szCs w:val="20"/>
              </w:rPr>
              <w:t>though data entry may be delegated; clearing the project’s annual work plan (i.e., inputs, activities, and outputs); ensuring projects are planned and approved according to POPP</w:t>
            </w:r>
            <w:r w:rsidR="004B5D67" w:rsidRPr="009A7C29">
              <w:rPr>
                <w:sz w:val="20"/>
                <w:szCs w:val="20"/>
              </w:rPr>
              <w:t>, including appropriate cost recovery</w:t>
            </w:r>
            <w:r w:rsidRPr="009A7C29">
              <w:rPr>
                <w:sz w:val="20"/>
                <w:szCs w:val="20"/>
              </w:rPr>
              <w:t xml:space="preserve">; ensuring project procurement </w:t>
            </w:r>
            <w:r w:rsidRPr="363CA695">
              <w:rPr>
                <w:sz w:val="20"/>
                <w:szCs w:val="20"/>
              </w:rPr>
              <w:t>plans are prepared and submitted.</w:t>
            </w:r>
          </w:p>
        </w:tc>
      </w:tr>
      <w:tr w:rsidR="00FE3211" w:rsidRPr="00DA089C" w14:paraId="6E9B153F" w14:textId="77777777" w:rsidTr="363CA695">
        <w:trPr>
          <w:trHeight w:val="746"/>
        </w:trPr>
        <w:tc>
          <w:tcPr>
            <w:tcW w:w="9990" w:type="dxa"/>
          </w:tcPr>
          <w:p w14:paraId="07089079" w14:textId="0720DAAC" w:rsidR="00FE3211" w:rsidRPr="00FE3211" w:rsidRDefault="00FE3211">
            <w:pPr>
              <w:pStyle w:val="ListParagraph"/>
              <w:numPr>
                <w:ilvl w:val="0"/>
                <w:numId w:val="23"/>
              </w:numPr>
              <w:spacing w:after="0" w:line="240" w:lineRule="auto"/>
              <w:rPr>
                <w:sz w:val="20"/>
                <w:szCs w:val="20"/>
              </w:rPr>
            </w:pPr>
            <w:r w:rsidRPr="363CA695">
              <w:rPr>
                <w:b/>
                <w:bCs/>
                <w:sz w:val="20"/>
                <w:szCs w:val="20"/>
              </w:rPr>
              <w:t>Budgeting:</w:t>
            </w:r>
            <w:r w:rsidRPr="363CA695">
              <w:rPr>
                <w:sz w:val="20"/>
                <w:szCs w:val="20"/>
              </w:rPr>
              <w:t xml:space="preserve"> E</w:t>
            </w:r>
            <w:r w:rsidR="004C65BF" w:rsidRPr="363CA695">
              <w:rPr>
                <w:sz w:val="20"/>
                <w:szCs w:val="20"/>
              </w:rPr>
              <w:t>nsuring</w:t>
            </w:r>
            <w:r w:rsidRPr="363CA695">
              <w:rPr>
                <w:sz w:val="20"/>
                <w:szCs w:val="20"/>
              </w:rPr>
              <w:t xml:space="preserve"> multi-year budgets </w:t>
            </w:r>
            <w:r w:rsidR="004C65BF" w:rsidRPr="363CA695">
              <w:rPr>
                <w:sz w:val="20"/>
                <w:szCs w:val="20"/>
              </w:rPr>
              <w:t xml:space="preserve">are entered </w:t>
            </w:r>
            <w:r w:rsidRPr="363CA695">
              <w:rPr>
                <w:sz w:val="20"/>
                <w:szCs w:val="20"/>
              </w:rPr>
              <w:t xml:space="preserve">into Quantum if the project continues for more than a year, based on approved documents (e.g., project documents, contributions agreement, resource planning framework, institutional budget issued, etc.) before </w:t>
            </w:r>
            <w:r w:rsidR="004C65BF" w:rsidRPr="363CA695">
              <w:rPr>
                <w:sz w:val="20"/>
                <w:szCs w:val="20"/>
              </w:rPr>
              <w:t>submission to</w:t>
            </w:r>
            <w:r w:rsidRPr="363CA695">
              <w:rPr>
                <w:sz w:val="20"/>
                <w:szCs w:val="20"/>
              </w:rPr>
              <w:t xml:space="preserve"> the </w:t>
            </w:r>
            <w:proofErr w:type="spellStart"/>
            <w:r w:rsidRPr="363CA695">
              <w:rPr>
                <w:sz w:val="20"/>
                <w:szCs w:val="20"/>
              </w:rPr>
              <w:t>programme</w:t>
            </w:r>
            <w:proofErr w:type="spellEnd"/>
            <w:r w:rsidRPr="363CA695">
              <w:rPr>
                <w:sz w:val="20"/>
                <w:szCs w:val="20"/>
              </w:rPr>
              <w:t xml:space="preserve"> manager</w:t>
            </w:r>
            <w:r w:rsidRPr="363CA695">
              <w:rPr>
                <w:rStyle w:val="FootnoteReference"/>
                <w:sz w:val="20"/>
                <w:szCs w:val="20"/>
              </w:rPr>
              <w:footnoteReference w:id="18"/>
            </w:r>
            <w:r w:rsidRPr="363CA695">
              <w:rPr>
                <w:sz w:val="20"/>
                <w:szCs w:val="20"/>
              </w:rPr>
              <w:t>.</w:t>
            </w:r>
          </w:p>
        </w:tc>
      </w:tr>
      <w:tr w:rsidR="00FE3211" w:rsidRPr="00DA089C" w14:paraId="7A92C2B5" w14:textId="77777777" w:rsidTr="363CA695">
        <w:trPr>
          <w:trHeight w:val="818"/>
        </w:trPr>
        <w:tc>
          <w:tcPr>
            <w:tcW w:w="9990" w:type="dxa"/>
          </w:tcPr>
          <w:p w14:paraId="45AF8BCB" w14:textId="4CF14113" w:rsidR="00FE3211" w:rsidRPr="00FE3211" w:rsidRDefault="00FE3211">
            <w:pPr>
              <w:pStyle w:val="ListParagraph"/>
              <w:numPr>
                <w:ilvl w:val="0"/>
                <w:numId w:val="23"/>
              </w:numPr>
              <w:spacing w:after="0" w:line="240" w:lineRule="auto"/>
              <w:rPr>
                <w:sz w:val="20"/>
                <w:szCs w:val="20"/>
              </w:rPr>
            </w:pPr>
            <w:r w:rsidRPr="363CA695">
              <w:rPr>
                <w:b/>
                <w:bCs/>
                <w:sz w:val="20"/>
                <w:szCs w:val="20"/>
              </w:rPr>
              <w:t>Implementation:</w:t>
            </w:r>
            <w:r w:rsidRPr="363CA695">
              <w:rPr>
                <w:sz w:val="20"/>
                <w:szCs w:val="20"/>
              </w:rPr>
              <w:t xml:space="preserve"> (</w:t>
            </w:r>
            <w:proofErr w:type="spellStart"/>
            <w:r w:rsidRPr="363CA695">
              <w:rPr>
                <w:sz w:val="20"/>
                <w:szCs w:val="20"/>
              </w:rPr>
              <w:t>i</w:t>
            </w:r>
            <w:proofErr w:type="spellEnd"/>
            <w:r w:rsidRPr="363CA695">
              <w:rPr>
                <w:sz w:val="20"/>
                <w:szCs w:val="20"/>
              </w:rPr>
              <w:t>) Monitoring whether project activities, commitments, and expenses align with the project annual work plan, including progress toward outputs and outcomes; (ii) monitoring advances issued to implementing partners; (iii) visiting project sites and reviewing project narrative and financial reports; and (iv) ensuring project assets are properly maintained and recorded.</w:t>
            </w:r>
          </w:p>
        </w:tc>
      </w:tr>
      <w:tr w:rsidR="00FE3211" w:rsidRPr="00DA089C" w14:paraId="21D14D69" w14:textId="77777777" w:rsidTr="008E7257">
        <w:trPr>
          <w:trHeight w:val="548"/>
        </w:trPr>
        <w:tc>
          <w:tcPr>
            <w:tcW w:w="9990" w:type="dxa"/>
          </w:tcPr>
          <w:p w14:paraId="433D4D75" w14:textId="267BD641" w:rsidR="00FE3211" w:rsidRPr="00FE3211" w:rsidRDefault="00FE3211">
            <w:pPr>
              <w:pStyle w:val="ListParagraph"/>
              <w:numPr>
                <w:ilvl w:val="0"/>
                <w:numId w:val="23"/>
              </w:numPr>
              <w:spacing w:after="0" w:line="240" w:lineRule="auto"/>
              <w:rPr>
                <w:b/>
                <w:bCs/>
                <w:sz w:val="20"/>
                <w:szCs w:val="20"/>
              </w:rPr>
            </w:pPr>
            <w:r w:rsidRPr="363CA695">
              <w:rPr>
                <w:b/>
                <w:bCs/>
                <w:sz w:val="20"/>
                <w:szCs w:val="20"/>
              </w:rPr>
              <w:t>Revenue management:</w:t>
            </w:r>
            <w:r w:rsidRPr="363CA695">
              <w:rPr>
                <w:sz w:val="20"/>
                <w:szCs w:val="20"/>
              </w:rPr>
              <w:t xml:space="preserve"> (</w:t>
            </w:r>
            <w:proofErr w:type="spellStart"/>
            <w:r w:rsidRPr="363CA695">
              <w:rPr>
                <w:sz w:val="20"/>
                <w:szCs w:val="20"/>
              </w:rPr>
              <w:t>i</w:t>
            </w:r>
            <w:proofErr w:type="spellEnd"/>
            <w:r w:rsidRPr="363CA695">
              <w:rPr>
                <w:sz w:val="20"/>
                <w:szCs w:val="20"/>
              </w:rPr>
              <w:t xml:space="preserve">) </w:t>
            </w:r>
            <w:r w:rsidR="00930068" w:rsidRPr="009A7C29">
              <w:rPr>
                <w:sz w:val="20"/>
                <w:szCs w:val="20"/>
              </w:rPr>
              <w:t xml:space="preserve">Communicate signed agreement, COA and other relevant details to finance staff within the </w:t>
            </w:r>
            <w:hyperlink r:id="rId62" w:history="1">
              <w:r w:rsidR="00930068" w:rsidRPr="009A7C29">
                <w:rPr>
                  <w:rStyle w:val="Hyperlink"/>
                  <w:color w:val="4472C4" w:themeColor="accent1"/>
                  <w:sz w:val="20"/>
                  <w:szCs w:val="20"/>
                </w:rPr>
                <w:t>Quantum+ Unity Contract Management platform</w:t>
              </w:r>
            </w:hyperlink>
            <w:r w:rsidR="00930068" w:rsidRPr="009A7C29">
              <w:rPr>
                <w:sz w:val="20"/>
                <w:szCs w:val="20"/>
              </w:rPr>
              <w:t xml:space="preserve"> to ensure </w:t>
            </w:r>
            <w:r w:rsidRPr="363CA695">
              <w:rPr>
                <w:sz w:val="20"/>
                <w:szCs w:val="20"/>
              </w:rPr>
              <w:t xml:space="preserve">signed contribution agreements (or project documents for government cost-sharing) </w:t>
            </w:r>
            <w:r w:rsidR="00930068">
              <w:rPr>
                <w:sz w:val="20"/>
                <w:szCs w:val="20"/>
              </w:rPr>
              <w:t xml:space="preserve">are </w:t>
            </w:r>
            <w:r w:rsidRPr="363CA695">
              <w:rPr>
                <w:sz w:val="20"/>
                <w:szCs w:val="20"/>
              </w:rPr>
              <w:t>submit</w:t>
            </w:r>
            <w:r w:rsidR="00930068">
              <w:rPr>
                <w:sz w:val="20"/>
                <w:szCs w:val="20"/>
              </w:rPr>
              <w:t>ted</w:t>
            </w:r>
            <w:r w:rsidRPr="363CA695">
              <w:rPr>
                <w:sz w:val="20"/>
                <w:szCs w:val="20"/>
              </w:rPr>
              <w:t xml:space="preserve"> to BMS/GSSC on a timely basis; and (ii) ensuring donor requirements are adhered to, including payment schedules of contributions and accounts receivable. </w:t>
            </w:r>
            <w:r w:rsidRPr="363CA695">
              <w:rPr>
                <w:b/>
                <w:bCs/>
                <w:color w:val="4472C4" w:themeColor="accent1"/>
                <w:sz w:val="20"/>
                <w:szCs w:val="20"/>
              </w:rPr>
              <w:t xml:space="preserve">Important Accounting Alert! </w:t>
            </w:r>
            <w:r w:rsidRPr="363CA695">
              <w:rPr>
                <w:b/>
                <w:bCs/>
                <w:sz w:val="20"/>
                <w:szCs w:val="20"/>
              </w:rPr>
              <w:t xml:space="preserve">Delayed submission of signed agreements to BMS/GSSC at year-end can result in a material misstatement of UNDP’s revenue in the financial statements and could lead to an audit qualification. </w:t>
            </w:r>
            <w:r w:rsidRPr="363CA695">
              <w:rPr>
                <w:sz w:val="20"/>
                <w:szCs w:val="20"/>
              </w:rPr>
              <w:t>It is critical</w:t>
            </w:r>
            <w:r w:rsidRPr="363CA695">
              <w:rPr>
                <w:b/>
                <w:bCs/>
                <w:sz w:val="20"/>
                <w:szCs w:val="20"/>
              </w:rPr>
              <w:t xml:space="preserve"> </w:t>
            </w:r>
            <w:r w:rsidRPr="363CA695">
              <w:rPr>
                <w:sz w:val="20"/>
                <w:szCs w:val="20"/>
              </w:rPr>
              <w:lastRenderedPageBreak/>
              <w:t xml:space="preserve">for </w:t>
            </w:r>
            <w:proofErr w:type="spellStart"/>
            <w:r w:rsidRPr="363CA695">
              <w:rPr>
                <w:sz w:val="20"/>
                <w:szCs w:val="20"/>
              </w:rPr>
              <w:t>Programme</w:t>
            </w:r>
            <w:proofErr w:type="spellEnd"/>
            <w:r w:rsidRPr="363CA695">
              <w:rPr>
                <w:sz w:val="20"/>
                <w:szCs w:val="20"/>
              </w:rPr>
              <w:t xml:space="preserve"> Officers to ensure signed agreements are </w:t>
            </w:r>
            <w:r w:rsidR="006B0C76" w:rsidRPr="009A7C29">
              <w:rPr>
                <w:sz w:val="20"/>
                <w:szCs w:val="20"/>
              </w:rPr>
              <w:t xml:space="preserve">communicated </w:t>
            </w:r>
            <w:r w:rsidRPr="009A7C29">
              <w:rPr>
                <w:sz w:val="20"/>
                <w:szCs w:val="20"/>
              </w:rPr>
              <w:t>to Finance staff as soon as signed.</w:t>
            </w:r>
            <w:r w:rsidR="00930068" w:rsidRPr="009A7C29">
              <w:rPr>
                <w:sz w:val="20"/>
                <w:szCs w:val="20"/>
              </w:rPr>
              <w:t xml:space="preserve"> Refer here for </w:t>
            </w:r>
            <w:hyperlink r:id="rId63" w:history="1">
              <w:r w:rsidR="00930068" w:rsidRPr="009A7C29">
                <w:rPr>
                  <w:rStyle w:val="Hyperlink"/>
                  <w:color w:val="4472C4" w:themeColor="accent1"/>
                  <w:sz w:val="20"/>
                  <w:szCs w:val="20"/>
                </w:rPr>
                <w:t>training on the new Quantum+ Unity Contract Management platform</w:t>
              </w:r>
            </w:hyperlink>
            <w:r w:rsidR="00930068" w:rsidRPr="009A7C29">
              <w:rPr>
                <w:color w:val="4472C4" w:themeColor="accent1"/>
                <w:sz w:val="20"/>
                <w:szCs w:val="20"/>
              </w:rPr>
              <w:t>.</w:t>
            </w:r>
            <w:r w:rsidR="00C608FE" w:rsidRPr="009A7C29">
              <w:rPr>
                <w:b/>
                <w:bCs/>
                <w:color w:val="4472C4" w:themeColor="accent1"/>
                <w:sz w:val="20"/>
                <w:szCs w:val="20"/>
              </w:rPr>
              <w:t xml:space="preserve"> </w:t>
            </w:r>
          </w:p>
        </w:tc>
      </w:tr>
      <w:tr w:rsidR="00FE3211" w:rsidRPr="00DA089C" w14:paraId="12B67EAF" w14:textId="77777777" w:rsidTr="363CA695">
        <w:trPr>
          <w:trHeight w:val="818"/>
        </w:trPr>
        <w:tc>
          <w:tcPr>
            <w:tcW w:w="9990" w:type="dxa"/>
          </w:tcPr>
          <w:p w14:paraId="33244D4E" w14:textId="70543C7C" w:rsidR="00FE3211" w:rsidRPr="00FE3211" w:rsidRDefault="00FE3211">
            <w:pPr>
              <w:pStyle w:val="ListParagraph"/>
              <w:numPr>
                <w:ilvl w:val="0"/>
                <w:numId w:val="23"/>
              </w:numPr>
              <w:spacing w:after="0" w:line="240" w:lineRule="auto"/>
              <w:rPr>
                <w:sz w:val="20"/>
                <w:szCs w:val="20"/>
              </w:rPr>
            </w:pPr>
            <w:r w:rsidRPr="363CA695">
              <w:rPr>
                <w:b/>
                <w:bCs/>
                <w:sz w:val="20"/>
                <w:szCs w:val="20"/>
              </w:rPr>
              <w:lastRenderedPageBreak/>
              <w:t>Closure:</w:t>
            </w:r>
            <w:r w:rsidRPr="363CA695">
              <w:rPr>
                <w:sz w:val="20"/>
                <w:szCs w:val="20"/>
              </w:rPr>
              <w:t xml:space="preserve"> Ensuring proper and timely operational closure of projects in Quantum, according to agreed supporting documents. BMS/GSSC is responsible for the financial closure of projects. Refer to the Quantum Project Closure Workbench.</w:t>
            </w:r>
            <w:r w:rsidR="004C65BF" w:rsidRPr="363CA695">
              <w:rPr>
                <w:sz w:val="20"/>
                <w:szCs w:val="20"/>
              </w:rPr>
              <w:t xml:space="preserve"> (Quantum navigation: Projects tab&gt;Project Results and Project Closure Workbench tile&gt;Click on Project Closure Workbench icon on the left side navigator field. Refer to UNall Knowledge Article titled: </w:t>
            </w:r>
            <w:hyperlink r:id="rId64">
              <w:r w:rsidR="004C65BF" w:rsidRPr="363CA695">
                <w:rPr>
                  <w:rStyle w:val="Hyperlink"/>
                  <w:sz w:val="20"/>
                  <w:szCs w:val="20"/>
                </w:rPr>
                <w:t>How do I access Project Closure Workbench in Quantum?</w:t>
              </w:r>
            </w:hyperlink>
            <w:r w:rsidR="004C65BF" w:rsidRPr="363CA695">
              <w:rPr>
                <w:sz w:val="20"/>
                <w:szCs w:val="20"/>
              </w:rPr>
              <w:t xml:space="preserve"> for more information).</w:t>
            </w:r>
          </w:p>
        </w:tc>
      </w:tr>
      <w:tr w:rsidR="003B102F" w:rsidRPr="00DA089C" w14:paraId="11BCB120" w14:textId="61E91DB5" w:rsidTr="363CA695">
        <w:trPr>
          <w:trHeight w:val="268"/>
        </w:trPr>
        <w:tc>
          <w:tcPr>
            <w:tcW w:w="9990" w:type="dxa"/>
            <w:shd w:val="clear" w:color="auto" w:fill="E1EED9"/>
          </w:tcPr>
          <w:p w14:paraId="3EDAB425" w14:textId="77777777" w:rsidR="00FE3211" w:rsidRPr="00DA089C" w:rsidRDefault="00FE3211" w:rsidP="00253C76">
            <w:pPr>
              <w:spacing w:after="0" w:line="240" w:lineRule="auto"/>
              <w:ind w:left="60"/>
              <w:rPr>
                <w:b/>
                <w:bCs/>
                <w:sz w:val="20"/>
                <w:szCs w:val="20"/>
              </w:rPr>
            </w:pPr>
            <w:r w:rsidRPr="00DA089C">
              <w:rPr>
                <w:b/>
                <w:bCs/>
                <w:sz w:val="20"/>
                <w:szCs w:val="20"/>
              </w:rPr>
              <w:t xml:space="preserve">IDAM Business Profile – General User </w:t>
            </w:r>
          </w:p>
        </w:tc>
      </w:tr>
      <w:tr w:rsidR="003B102F" w:rsidRPr="00DA089C" w14:paraId="560B1CBE" w14:textId="06A80088" w:rsidTr="363CA695">
        <w:trPr>
          <w:trHeight w:val="268"/>
        </w:trPr>
        <w:tc>
          <w:tcPr>
            <w:tcW w:w="9990" w:type="dxa"/>
            <w:shd w:val="clear" w:color="auto" w:fill="E1EED9"/>
          </w:tcPr>
          <w:p w14:paraId="1669D2F9" w14:textId="0C8A361B" w:rsidR="00FE3211" w:rsidRPr="00DA089C" w:rsidRDefault="00FE3211" w:rsidP="363CA695">
            <w:pPr>
              <w:spacing w:after="0" w:line="240" w:lineRule="auto"/>
              <w:ind w:left="60"/>
              <w:rPr>
                <w:b/>
                <w:bCs/>
                <w:sz w:val="20"/>
                <w:szCs w:val="20"/>
              </w:rPr>
            </w:pPr>
            <w:r w:rsidRPr="009A7C29">
              <w:rPr>
                <w:b/>
                <w:bCs/>
                <w:sz w:val="20"/>
                <w:szCs w:val="20"/>
              </w:rPr>
              <w:t>Segregation of duties required:</w:t>
            </w:r>
            <w:r w:rsidRPr="009A7C29">
              <w:rPr>
                <w:sz w:val="20"/>
                <w:szCs w:val="20"/>
              </w:rPr>
              <w:t xml:space="preserve"> The </w:t>
            </w:r>
            <w:proofErr w:type="spellStart"/>
            <w:r w:rsidRPr="009A7C29">
              <w:rPr>
                <w:sz w:val="20"/>
                <w:szCs w:val="20"/>
              </w:rPr>
              <w:t>Programme</w:t>
            </w:r>
            <w:proofErr w:type="spellEnd"/>
            <w:r w:rsidRPr="009A7C29">
              <w:rPr>
                <w:sz w:val="20"/>
                <w:szCs w:val="20"/>
              </w:rPr>
              <w:t xml:space="preserve"> Officer must be independent of the Project Manager</w:t>
            </w:r>
            <w:r w:rsidR="001B0655" w:rsidRPr="009A7C29">
              <w:rPr>
                <w:rStyle w:val="FootnoteReference"/>
                <w:sz w:val="20"/>
                <w:szCs w:val="20"/>
              </w:rPr>
              <w:footnoteReference w:id="19"/>
            </w:r>
          </w:p>
        </w:tc>
      </w:tr>
    </w:tbl>
    <w:p w14:paraId="32022AFC" w14:textId="77777777" w:rsidR="005200F5" w:rsidRPr="00BE270E" w:rsidRDefault="005200F5" w:rsidP="005200F5"/>
    <w:p w14:paraId="41842E73" w14:textId="47CC22D7" w:rsidR="00ED3CA1" w:rsidRPr="004B2DF3" w:rsidRDefault="00ED3CA1">
      <w:pPr>
        <w:pStyle w:val="Heading2"/>
        <w:numPr>
          <w:ilvl w:val="1"/>
          <w:numId w:val="93"/>
        </w:numPr>
        <w:spacing w:after="240"/>
      </w:pPr>
      <w:bookmarkStart w:id="39" w:name="_Toc210052758"/>
      <w:r w:rsidRPr="004B2DF3">
        <w:t>Trust Fund Manager</w:t>
      </w:r>
      <w:bookmarkEnd w:id="39"/>
    </w:p>
    <w:tbl>
      <w:tblPr>
        <w:tblStyle w:val="TableGrid"/>
        <w:tblW w:w="0" w:type="auto"/>
        <w:tblLook w:val="04A0" w:firstRow="1" w:lastRow="0" w:firstColumn="1" w:lastColumn="0" w:noHBand="0" w:noVBand="1"/>
      </w:tblPr>
      <w:tblGrid>
        <w:gridCol w:w="9715"/>
      </w:tblGrid>
      <w:tr w:rsidR="004F35CA" w14:paraId="75E1E138" w14:textId="77777777" w:rsidTr="363CA695">
        <w:tc>
          <w:tcPr>
            <w:tcW w:w="9715" w:type="dxa"/>
          </w:tcPr>
          <w:p w14:paraId="0FE240F0" w14:textId="63FB401A" w:rsidR="004F35CA" w:rsidRDefault="004F35CA" w:rsidP="363CA695">
            <w:pPr>
              <w:rPr>
                <w:rStyle w:val="Hyperlink"/>
                <w:color w:val="auto"/>
              </w:rPr>
            </w:pPr>
            <w:r w:rsidRPr="363CA695">
              <w:rPr>
                <w:b/>
                <w:bCs/>
              </w:rPr>
              <w:t xml:space="preserve">All new trust funds must be </w:t>
            </w:r>
            <w:proofErr w:type="gramStart"/>
            <w:r w:rsidRPr="363CA695">
              <w:rPr>
                <w:b/>
                <w:bCs/>
              </w:rPr>
              <w:t>cleared</w:t>
            </w:r>
            <w:proofErr w:type="gramEnd"/>
            <w:r w:rsidRPr="363CA695">
              <w:rPr>
                <w:b/>
                <w:bCs/>
              </w:rPr>
              <w:t xml:space="preserve"> by headquarters and approved by the Associate Administrator.</w:t>
            </w:r>
            <w:r w:rsidRPr="363CA695">
              <w:t xml:space="preserve"> Requests for clearance of the TORs and the contribution agreements should be submitted to BMS/Office of Legal Services or </w:t>
            </w:r>
            <w:hyperlink r:id="rId65">
              <w:r w:rsidRPr="363CA695">
                <w:rPr>
                  <w:rStyle w:val="Hyperlink"/>
                  <w:color w:val="auto"/>
                </w:rPr>
                <w:t>cosupport@undp.org.</w:t>
              </w:r>
            </w:hyperlink>
          </w:p>
        </w:tc>
      </w:tr>
    </w:tbl>
    <w:p w14:paraId="3095E827" w14:textId="77777777" w:rsidR="004F35CA" w:rsidRPr="004F35CA" w:rsidRDefault="004F35CA" w:rsidP="004F35CA">
      <w:pPr>
        <w:rPr>
          <w:sz w:val="8"/>
          <w:szCs w:val="8"/>
        </w:rPr>
      </w:pPr>
    </w:p>
    <w:p w14:paraId="07726CEA" w14:textId="2F5E85D8" w:rsidR="004F35CA" w:rsidRDefault="004F35CA" w:rsidP="00FC79E7">
      <w:pPr>
        <w:spacing w:line="240" w:lineRule="auto"/>
      </w:pPr>
      <w:r w:rsidRPr="363CA695">
        <w:t>Under financial rule 108.01(b), the Associate Administrator has authority to establish trust funds and sign trust fund contribution agreements. The Associate Administrator may further delegate this authority to the relevant Regional or Central Bureau Director or to a Head of Office</w:t>
      </w:r>
      <w:r w:rsidR="008370C5" w:rsidRPr="363CA695">
        <w:t>/Unit</w:t>
      </w:r>
      <w:r w:rsidRPr="363CA695">
        <w:t xml:space="preserve"> who, in turn, may appoint a ‘Trust Fund Manager’ when a trust fund is established. </w:t>
      </w:r>
    </w:p>
    <w:p w14:paraId="7C0165BD" w14:textId="477530EF" w:rsidR="004F35CA" w:rsidRDefault="004F35CA" w:rsidP="363CA695">
      <w:pPr>
        <w:spacing w:line="240" w:lineRule="auto"/>
        <w:rPr>
          <w:rStyle w:val="Hyperlink"/>
        </w:rPr>
      </w:pPr>
      <w:r w:rsidRPr="363CA695">
        <w:t>The Trust Fund Manager is accountable for the management of trust funds in accordance with UNDP’s financial regulations, rules, policies, and procedures. The accountability for managing trust funds normally resides with the Head of Office</w:t>
      </w:r>
      <w:r w:rsidR="008370C5" w:rsidRPr="363CA695">
        <w:t>/Unit</w:t>
      </w:r>
      <w:r w:rsidRPr="363CA695">
        <w:t xml:space="preserve">, but they may delegate their authority to another staff member if they communicate this delegation to the Associate Administrator and the CFO. The Trust Fund Manager remains responsible for monitoring the authorities exercised. Similarly, while the Trust Fund Manager may delegate tasks to staff under his/her supervision, the Trust Fund Manager retains overall accountability. </w:t>
      </w:r>
      <w:r w:rsidRPr="363CA695">
        <w:rPr>
          <w:b/>
          <w:bCs/>
        </w:rPr>
        <w:t>Only UNDP staff members may be designated as a Trust Fund Manager.</w:t>
      </w:r>
      <w:r w:rsidRPr="363CA695">
        <w:t xml:space="preserve"> The Trust Fund Manager’s responsibilities are articulated in </w:t>
      </w:r>
      <w:r w:rsidR="00FC79E7" w:rsidRPr="363CA695">
        <w:t xml:space="preserve">POPP </w:t>
      </w:r>
      <w:hyperlink r:id="rId66">
        <w:r w:rsidR="00FC79E7" w:rsidRPr="363CA695">
          <w:rPr>
            <w:rStyle w:val="Hyperlink"/>
          </w:rPr>
          <w:t>Trust Fund Management</w:t>
        </w:r>
      </w:hyperlink>
      <w:r w:rsidR="00FE3211" w:rsidRPr="363CA695">
        <w:t xml:space="preserve"> and POPP </w:t>
      </w:r>
      <w:hyperlink r:id="rId67">
        <w:r w:rsidR="00FE3211" w:rsidRPr="363CA695">
          <w:rPr>
            <w:rStyle w:val="Hyperlink"/>
          </w:rPr>
          <w:t>Financial Closure of Trust Funds</w:t>
        </w:r>
      </w:hyperlink>
      <w:r w:rsidR="00FE3211" w:rsidRPr="363CA695">
        <w:rPr>
          <w:rStyle w:val="Hyperlink"/>
        </w:rPr>
        <w:t>.</w:t>
      </w:r>
    </w:p>
    <w:p w14:paraId="0A7993DB" w14:textId="206848B1" w:rsidR="00AA657C" w:rsidRPr="004D673C" w:rsidRDefault="004F35CA" w:rsidP="00926543">
      <w:pPr>
        <w:spacing w:line="240" w:lineRule="auto"/>
      </w:pPr>
      <w:r w:rsidRPr="363CA695">
        <w:t>Fund Manager is an IDAM Supplementary Role that is granted to facilitate issuance of ASLs under Trust Funds, Vertical Funds, and other HQ-managed functions. All</w:t>
      </w:r>
      <w:r w:rsidRPr="009A7C29">
        <w:t xml:space="preserve"> IDAM Fund Manager access requests are electronically routed to BMS/OF</w:t>
      </w:r>
      <w:r w:rsidR="00A40A72">
        <w:t>R</w:t>
      </w:r>
      <w:r w:rsidRPr="009A7C29">
        <w:t>M for pre-approval.</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FE3211" w:rsidRPr="00FC79E7" w14:paraId="62F186A8" w14:textId="77777777" w:rsidTr="363CA695">
        <w:trPr>
          <w:trHeight w:val="260"/>
        </w:trPr>
        <w:tc>
          <w:tcPr>
            <w:tcW w:w="9895" w:type="dxa"/>
            <w:shd w:val="clear" w:color="auto" w:fill="FFF1CC"/>
          </w:tcPr>
          <w:p w14:paraId="3628D6BC" w14:textId="1706F454" w:rsidR="00FE3211" w:rsidRPr="00FC79E7" w:rsidRDefault="00FE3211" w:rsidP="00253C76">
            <w:pPr>
              <w:spacing w:after="0" w:line="240" w:lineRule="auto"/>
              <w:ind w:left="150"/>
              <w:rPr>
                <w:b/>
                <w:bCs/>
                <w:sz w:val="20"/>
                <w:szCs w:val="20"/>
              </w:rPr>
            </w:pPr>
            <w:r w:rsidRPr="00FC79E7">
              <w:rPr>
                <w:b/>
                <w:bCs/>
                <w:sz w:val="20"/>
                <w:szCs w:val="20"/>
              </w:rPr>
              <w:t>Trust Fund Manager: Internal Control Responsibilities performed within each office</w:t>
            </w:r>
            <w:r w:rsidR="008370C5">
              <w:rPr>
                <w:b/>
                <w:bCs/>
                <w:sz w:val="20"/>
                <w:szCs w:val="20"/>
              </w:rPr>
              <w:t>/unit</w:t>
            </w:r>
          </w:p>
        </w:tc>
      </w:tr>
      <w:tr w:rsidR="00FE3211" w:rsidRPr="00FC79E7" w14:paraId="65A3FB33" w14:textId="77777777" w:rsidTr="363CA695">
        <w:trPr>
          <w:trHeight w:val="126"/>
        </w:trPr>
        <w:tc>
          <w:tcPr>
            <w:tcW w:w="9895" w:type="dxa"/>
          </w:tcPr>
          <w:p w14:paraId="1910628E" w14:textId="6623299C" w:rsidR="00FE3211" w:rsidRPr="00FC79E7" w:rsidRDefault="00FE3211">
            <w:pPr>
              <w:pStyle w:val="ListParagraph"/>
              <w:widowControl w:val="0"/>
              <w:numPr>
                <w:ilvl w:val="0"/>
                <w:numId w:val="70"/>
              </w:numPr>
              <w:autoSpaceDE w:val="0"/>
              <w:autoSpaceDN w:val="0"/>
              <w:spacing w:after="0" w:line="240" w:lineRule="auto"/>
              <w:rPr>
                <w:sz w:val="20"/>
                <w:szCs w:val="20"/>
              </w:rPr>
            </w:pPr>
            <w:r w:rsidRPr="363CA695">
              <w:rPr>
                <w:sz w:val="20"/>
                <w:szCs w:val="20"/>
              </w:rPr>
              <w:t>Concludes contribution agreements &amp; ensures timely receipt of contributions</w:t>
            </w:r>
          </w:p>
        </w:tc>
      </w:tr>
      <w:tr w:rsidR="00FE3211" w:rsidRPr="00FC79E7" w14:paraId="2A06C603" w14:textId="77777777" w:rsidTr="363CA695">
        <w:trPr>
          <w:trHeight w:val="1179"/>
        </w:trPr>
        <w:tc>
          <w:tcPr>
            <w:tcW w:w="9895" w:type="dxa"/>
          </w:tcPr>
          <w:p w14:paraId="5EE8B6BB" w14:textId="0D40D134" w:rsidR="00FE3211" w:rsidRPr="00FC79E7" w:rsidRDefault="00FE3211">
            <w:pPr>
              <w:pStyle w:val="ListParagraph"/>
              <w:widowControl w:val="0"/>
              <w:numPr>
                <w:ilvl w:val="0"/>
                <w:numId w:val="70"/>
              </w:numPr>
              <w:autoSpaceDE w:val="0"/>
              <w:autoSpaceDN w:val="0"/>
              <w:spacing w:after="0" w:line="240" w:lineRule="auto"/>
              <w:rPr>
                <w:sz w:val="20"/>
                <w:szCs w:val="20"/>
              </w:rPr>
            </w:pPr>
            <w:r w:rsidRPr="00FC79E7">
              <w:rPr>
                <w:sz w:val="20"/>
                <w:szCs w:val="20"/>
              </w:rPr>
              <w:t xml:space="preserve">Effectively manages trust fund resources in compliance with UNDP’s financial regulations, rules, policies, and procedures, including maintaining a resource plan; ensuring consistency between project activities and the trust fund terms of reference; allocations are not made beyond available resources; all activities relating to the trust fund are accurately recorded; </w:t>
            </w:r>
            <w:r w:rsidRPr="009A7C29">
              <w:rPr>
                <w:sz w:val="20"/>
                <w:szCs w:val="20"/>
              </w:rPr>
              <w:t>and reporting &amp; monitoring is timely, accurate, and in compliance with the trust fund agreement</w:t>
            </w:r>
            <w:r w:rsidR="005B3EF5" w:rsidRPr="009A7C29">
              <w:rPr>
                <w:sz w:val="20"/>
                <w:szCs w:val="20"/>
              </w:rPr>
              <w:t>.</w:t>
            </w:r>
          </w:p>
        </w:tc>
      </w:tr>
      <w:tr w:rsidR="00FE3211" w:rsidRPr="00FC79E7" w14:paraId="1687A301" w14:textId="77777777" w:rsidTr="363CA695">
        <w:trPr>
          <w:trHeight w:val="261"/>
        </w:trPr>
        <w:tc>
          <w:tcPr>
            <w:tcW w:w="9895" w:type="dxa"/>
          </w:tcPr>
          <w:p w14:paraId="542DD781" w14:textId="357D98C2" w:rsidR="00FE3211" w:rsidRPr="00FC79E7" w:rsidRDefault="00FE3211">
            <w:pPr>
              <w:pStyle w:val="ListParagraph"/>
              <w:widowControl w:val="0"/>
              <w:numPr>
                <w:ilvl w:val="0"/>
                <w:numId w:val="70"/>
              </w:numPr>
              <w:autoSpaceDE w:val="0"/>
              <w:autoSpaceDN w:val="0"/>
              <w:spacing w:after="0" w:line="240" w:lineRule="auto"/>
              <w:ind w:right="110"/>
              <w:rPr>
                <w:sz w:val="20"/>
                <w:szCs w:val="20"/>
              </w:rPr>
            </w:pPr>
            <w:r w:rsidRPr="363CA695">
              <w:rPr>
                <w:sz w:val="20"/>
                <w:szCs w:val="20"/>
              </w:rPr>
              <w:t>Ensures timely trust fund closure, including for inactive funds, in accordance with POPP</w:t>
            </w:r>
          </w:p>
        </w:tc>
      </w:tr>
      <w:tr w:rsidR="00FE3211" w:rsidRPr="00FC79E7" w14:paraId="0EF448F7" w14:textId="77777777" w:rsidTr="363CA695">
        <w:trPr>
          <w:trHeight w:val="216"/>
        </w:trPr>
        <w:tc>
          <w:tcPr>
            <w:tcW w:w="9895" w:type="dxa"/>
          </w:tcPr>
          <w:p w14:paraId="6C85163B" w14:textId="77777777" w:rsidR="00FE3211" w:rsidRPr="00FC79E7" w:rsidRDefault="00FE3211">
            <w:pPr>
              <w:pStyle w:val="ListParagraph"/>
              <w:widowControl w:val="0"/>
              <w:numPr>
                <w:ilvl w:val="0"/>
                <w:numId w:val="70"/>
              </w:numPr>
              <w:autoSpaceDE w:val="0"/>
              <w:autoSpaceDN w:val="0"/>
              <w:spacing w:after="0" w:line="240" w:lineRule="auto"/>
              <w:rPr>
                <w:sz w:val="20"/>
                <w:szCs w:val="20"/>
              </w:rPr>
            </w:pPr>
            <w:r w:rsidRPr="00FC79E7">
              <w:rPr>
                <w:sz w:val="20"/>
                <w:szCs w:val="20"/>
              </w:rPr>
              <w:t>Oversees cost sharing projects under cash-controlled open trust funds</w:t>
            </w:r>
          </w:p>
        </w:tc>
      </w:tr>
      <w:tr w:rsidR="00FE3211" w:rsidRPr="00FC79E7" w14:paraId="2AE6F593" w14:textId="77777777" w:rsidTr="363CA695">
        <w:trPr>
          <w:trHeight w:val="298"/>
        </w:trPr>
        <w:tc>
          <w:tcPr>
            <w:tcW w:w="9895" w:type="dxa"/>
            <w:shd w:val="clear" w:color="auto" w:fill="E1EED9"/>
          </w:tcPr>
          <w:p w14:paraId="0018F1AF" w14:textId="06F344C8" w:rsidR="00FE3211" w:rsidRPr="00FC79E7" w:rsidRDefault="00FE3211" w:rsidP="00253C76">
            <w:pPr>
              <w:spacing w:after="0" w:line="240" w:lineRule="auto"/>
              <w:ind w:left="90"/>
              <w:rPr>
                <w:b/>
                <w:bCs/>
                <w:sz w:val="20"/>
                <w:szCs w:val="20"/>
              </w:rPr>
            </w:pPr>
            <w:r w:rsidRPr="00FC79E7">
              <w:rPr>
                <w:b/>
                <w:bCs/>
                <w:sz w:val="20"/>
                <w:szCs w:val="20"/>
              </w:rPr>
              <w:t xml:space="preserve">IDAM Supplementary Role - Fund Manager (must be a UNDP staff member, assignment </w:t>
            </w:r>
            <w:r w:rsidR="001549DE">
              <w:rPr>
                <w:b/>
                <w:bCs/>
                <w:sz w:val="20"/>
                <w:szCs w:val="20"/>
              </w:rPr>
              <w:t xml:space="preserve">of the role in IDAM </w:t>
            </w:r>
            <w:r w:rsidRPr="00FC79E7">
              <w:rPr>
                <w:b/>
                <w:bCs/>
                <w:sz w:val="20"/>
                <w:szCs w:val="20"/>
              </w:rPr>
              <w:t>must be pre-approved by BMS/OF</w:t>
            </w:r>
            <w:r w:rsidR="00A40A72">
              <w:rPr>
                <w:b/>
                <w:bCs/>
                <w:sz w:val="20"/>
                <w:szCs w:val="20"/>
              </w:rPr>
              <w:t>R</w:t>
            </w:r>
            <w:r w:rsidRPr="00FC79E7">
              <w:rPr>
                <w:b/>
                <w:bCs/>
                <w:sz w:val="20"/>
                <w:szCs w:val="20"/>
              </w:rPr>
              <w:t>M)</w:t>
            </w:r>
          </w:p>
        </w:tc>
      </w:tr>
    </w:tbl>
    <w:p w14:paraId="127D1D14" w14:textId="77777777" w:rsidR="00912565" w:rsidRPr="004F35CA" w:rsidRDefault="00912565" w:rsidP="00912565">
      <w:pPr>
        <w:pStyle w:val="ListParagraph"/>
        <w:ind w:left="360"/>
        <w:rPr>
          <w:sz w:val="8"/>
          <w:szCs w:val="8"/>
        </w:rPr>
      </w:pPr>
    </w:p>
    <w:p w14:paraId="5E88650C" w14:textId="20CB140D" w:rsidR="00B56C73" w:rsidRDefault="004F35CA" w:rsidP="00253C76">
      <w:pPr>
        <w:spacing w:line="240" w:lineRule="auto"/>
      </w:pPr>
      <w:r w:rsidRPr="009A7C29">
        <w:rPr>
          <w:b/>
          <w:bCs/>
        </w:rPr>
        <w:t>Cost-sharing projects under open trust funds:</w:t>
      </w:r>
      <w:r w:rsidRPr="009A7C29">
        <w:t xml:space="preserve"> Under </w:t>
      </w:r>
      <w:r w:rsidRPr="363CA695">
        <w:t xml:space="preserve">certain circumstances, there may be cost-sharing (CS) projects under open trust funds (e.g., GEF, Funding Windows). Although CS projects under open trust funds have been created through separate CS agreements, the underlying Trust Fund Manager still has the responsibility of overseeing fund management and reporting requirements </w:t>
      </w:r>
      <w:r w:rsidR="002E4B2B" w:rsidRPr="363CA695">
        <w:t>when</w:t>
      </w:r>
      <w:r w:rsidRPr="363CA695">
        <w:t xml:space="preserve"> such CS projects are funded through the said trust fund.  Given Regional Bureaus’ accountability for oversight of performance of offices</w:t>
      </w:r>
      <w:r w:rsidR="008370C5" w:rsidRPr="363CA695">
        <w:t>/units</w:t>
      </w:r>
      <w:r w:rsidRPr="363CA695">
        <w:t xml:space="preserve"> within their regions, Trust Fund Managers should collaborate with Regional Bureaus in identification and resolution of programmatic and/or operational performance issues related to such projects.</w:t>
      </w:r>
    </w:p>
    <w:tbl>
      <w:tblPr>
        <w:tblW w:w="9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43" w:type="dxa"/>
          <w:right w:w="0" w:type="dxa"/>
        </w:tblCellMar>
        <w:tblLook w:val="01E0" w:firstRow="1" w:lastRow="1" w:firstColumn="1" w:lastColumn="1" w:noHBand="0" w:noVBand="0"/>
      </w:tblPr>
      <w:tblGrid>
        <w:gridCol w:w="4050"/>
        <w:gridCol w:w="5855"/>
      </w:tblGrid>
      <w:tr w:rsidR="00006CE9" w:rsidRPr="004E7EF5" w14:paraId="5E87CBB6" w14:textId="77777777" w:rsidTr="363CA695">
        <w:trPr>
          <w:trHeight w:val="278"/>
          <w:tblHeader/>
        </w:trPr>
        <w:tc>
          <w:tcPr>
            <w:tcW w:w="9905" w:type="dxa"/>
            <w:gridSpan w:val="2"/>
            <w:shd w:val="clear" w:color="auto" w:fill="000000" w:themeFill="text1"/>
          </w:tcPr>
          <w:p w14:paraId="1E9BEAB4" w14:textId="6FD8094F" w:rsidR="00497DE1" w:rsidRPr="004E7EF5" w:rsidRDefault="00497DE1" w:rsidP="363CA695">
            <w:pPr>
              <w:spacing w:after="0" w:line="240" w:lineRule="auto"/>
              <w:ind w:left="150"/>
              <w:rPr>
                <w:b/>
                <w:bCs/>
                <w:color w:val="FFFFFF" w:themeColor="background1"/>
                <w:sz w:val="20"/>
                <w:szCs w:val="20"/>
              </w:rPr>
            </w:pPr>
            <w:r w:rsidRPr="363CA695">
              <w:rPr>
                <w:b/>
                <w:bCs/>
                <w:color w:val="FFFFFF" w:themeColor="background1"/>
                <w:sz w:val="20"/>
                <w:szCs w:val="20"/>
              </w:rPr>
              <w:t>Why is it important to closely monitor contribution revenue?</w:t>
            </w:r>
          </w:p>
        </w:tc>
      </w:tr>
      <w:tr w:rsidR="00B56C73" w:rsidRPr="004E7EF5" w14:paraId="415B64D5" w14:textId="77777777" w:rsidTr="363CA695">
        <w:trPr>
          <w:trHeight w:val="278"/>
        </w:trPr>
        <w:tc>
          <w:tcPr>
            <w:tcW w:w="9905" w:type="dxa"/>
            <w:gridSpan w:val="2"/>
          </w:tcPr>
          <w:p w14:paraId="21B895E6" w14:textId="7DAA06DA" w:rsidR="00B56C73" w:rsidRPr="00B56C73" w:rsidRDefault="00B56C73">
            <w:pPr>
              <w:pStyle w:val="ListParagraph"/>
              <w:widowControl w:val="0"/>
              <w:numPr>
                <w:ilvl w:val="0"/>
                <w:numId w:val="24"/>
              </w:numPr>
              <w:autoSpaceDE w:val="0"/>
              <w:autoSpaceDN w:val="0"/>
              <w:spacing w:after="0" w:line="240" w:lineRule="auto"/>
              <w:ind w:left="360" w:right="95" w:hanging="300"/>
              <w:rPr>
                <w:sz w:val="20"/>
                <w:szCs w:val="20"/>
              </w:rPr>
            </w:pPr>
            <w:r w:rsidRPr="363CA695">
              <w:rPr>
                <w:b/>
                <w:bCs/>
                <w:sz w:val="20"/>
                <w:szCs w:val="20"/>
              </w:rPr>
              <w:t>UNDP’s annual financial statements may be misstated and potentially qualified</w:t>
            </w:r>
            <w:r w:rsidRPr="363CA695">
              <w:rPr>
                <w:sz w:val="20"/>
                <w:szCs w:val="20"/>
              </w:rPr>
              <w:t xml:space="preserve"> if revenue is not recorded timely due to delayed submission of agreements to BMS/GSSC; late reporting of invoice events to BMS/GSSC; late billing for services provided to third parties; and/or the inclusion of uncollectible receivables.</w:t>
            </w:r>
          </w:p>
        </w:tc>
      </w:tr>
      <w:tr w:rsidR="00497DE1" w:rsidRPr="004E7EF5" w14:paraId="00B27778" w14:textId="77777777" w:rsidTr="363CA695">
        <w:trPr>
          <w:trHeight w:val="701"/>
        </w:trPr>
        <w:tc>
          <w:tcPr>
            <w:tcW w:w="9905" w:type="dxa"/>
            <w:gridSpan w:val="2"/>
            <w:tcBorders>
              <w:bottom w:val="single" w:sz="4" w:space="0" w:color="auto"/>
            </w:tcBorders>
          </w:tcPr>
          <w:p w14:paraId="20127F83" w14:textId="4873DEA6" w:rsidR="00497DE1" w:rsidRPr="00926543" w:rsidRDefault="00497DE1">
            <w:pPr>
              <w:pStyle w:val="ListParagraph"/>
              <w:widowControl w:val="0"/>
              <w:numPr>
                <w:ilvl w:val="0"/>
                <w:numId w:val="24"/>
              </w:numPr>
              <w:autoSpaceDE w:val="0"/>
              <w:autoSpaceDN w:val="0"/>
              <w:spacing w:after="0" w:line="240" w:lineRule="auto"/>
              <w:ind w:left="360" w:right="95" w:hanging="300"/>
              <w:rPr>
                <w:sz w:val="20"/>
                <w:szCs w:val="20"/>
              </w:rPr>
            </w:pPr>
            <w:r w:rsidRPr="363CA695">
              <w:rPr>
                <w:b/>
                <w:bCs/>
                <w:sz w:val="20"/>
                <w:szCs w:val="20"/>
              </w:rPr>
              <w:t xml:space="preserve">Delayed </w:t>
            </w:r>
            <w:proofErr w:type="spellStart"/>
            <w:r w:rsidRPr="363CA695">
              <w:rPr>
                <w:b/>
                <w:bCs/>
                <w:sz w:val="20"/>
                <w:szCs w:val="20"/>
              </w:rPr>
              <w:t>programme</w:t>
            </w:r>
            <w:proofErr w:type="spellEnd"/>
            <w:r w:rsidRPr="363CA695">
              <w:rPr>
                <w:b/>
                <w:bCs/>
                <w:sz w:val="20"/>
                <w:szCs w:val="20"/>
              </w:rPr>
              <w:t xml:space="preserve"> implementation and potential loss </w:t>
            </w:r>
            <w:r w:rsidR="001549DE" w:rsidRPr="363CA695">
              <w:rPr>
                <w:b/>
                <w:bCs/>
                <w:sz w:val="20"/>
                <w:szCs w:val="20"/>
              </w:rPr>
              <w:t>of</w:t>
            </w:r>
            <w:r w:rsidRPr="363CA695">
              <w:rPr>
                <w:b/>
                <w:bCs/>
                <w:sz w:val="20"/>
                <w:szCs w:val="20"/>
              </w:rPr>
              <w:t xml:space="preserve"> donor confidence</w:t>
            </w:r>
            <w:r w:rsidR="00926543" w:rsidRPr="363CA695">
              <w:rPr>
                <w:b/>
                <w:bCs/>
                <w:sz w:val="20"/>
                <w:szCs w:val="20"/>
              </w:rPr>
              <w:t xml:space="preserve"> and of revenue</w:t>
            </w:r>
            <w:r w:rsidRPr="363CA695">
              <w:rPr>
                <w:sz w:val="20"/>
                <w:szCs w:val="20"/>
              </w:rPr>
              <w:t xml:space="preserve"> if contributions received remain in unapplied deposits for extended periods due to late submission of contribution agreements to BMS/GSSC</w:t>
            </w:r>
            <w:r w:rsidR="00926543" w:rsidRPr="363CA695">
              <w:rPr>
                <w:sz w:val="20"/>
                <w:szCs w:val="20"/>
              </w:rPr>
              <w:t>; and if accounts receivable are not followed up and collected on a timely basis.</w:t>
            </w:r>
          </w:p>
        </w:tc>
      </w:tr>
      <w:tr w:rsidR="00FF11A9" w:rsidRPr="004E7EF5" w14:paraId="4B997FC5" w14:textId="77777777" w:rsidTr="363CA695">
        <w:trPr>
          <w:trHeight w:val="260"/>
        </w:trPr>
        <w:tc>
          <w:tcPr>
            <w:tcW w:w="990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432CAC4" w14:textId="4610314E" w:rsidR="00FF11A9" w:rsidRPr="004E7EF5" w:rsidRDefault="00FF11A9" w:rsidP="00FF11A9">
            <w:pPr>
              <w:spacing w:after="0"/>
              <w:ind w:left="150"/>
              <w:rPr>
                <w:b/>
                <w:bCs/>
                <w:sz w:val="20"/>
                <w:szCs w:val="20"/>
              </w:rPr>
            </w:pPr>
            <w:r w:rsidRPr="004E7EF5">
              <w:rPr>
                <w:b/>
                <w:bCs/>
                <w:sz w:val="20"/>
                <w:szCs w:val="20"/>
              </w:rPr>
              <w:t>Guidance resources</w:t>
            </w:r>
          </w:p>
        </w:tc>
      </w:tr>
      <w:tr w:rsidR="00557E1F" w:rsidRPr="004E7EF5" w14:paraId="0DE1DFE8" w14:textId="77777777" w:rsidTr="363CA695">
        <w:trPr>
          <w:trHeight w:val="168"/>
        </w:trPr>
        <w:tc>
          <w:tcPr>
            <w:tcW w:w="4050" w:type="dxa"/>
            <w:tcBorders>
              <w:top w:val="single" w:sz="4" w:space="0" w:color="auto"/>
              <w:left w:val="single" w:sz="4" w:space="0" w:color="auto"/>
              <w:bottom w:val="single" w:sz="4" w:space="0" w:color="auto"/>
              <w:right w:val="single" w:sz="4" w:space="0" w:color="auto"/>
            </w:tcBorders>
          </w:tcPr>
          <w:p w14:paraId="37E0C1AD" w14:textId="77777777" w:rsidR="00557E1F" w:rsidRPr="004E7EF5" w:rsidRDefault="00557E1F" w:rsidP="00497DE1">
            <w:pPr>
              <w:spacing w:after="0"/>
              <w:ind w:left="150"/>
              <w:rPr>
                <w:b/>
                <w:bCs/>
                <w:sz w:val="20"/>
                <w:szCs w:val="20"/>
              </w:rPr>
            </w:pPr>
            <w:r w:rsidRPr="004E7EF5">
              <w:rPr>
                <w:b/>
                <w:bCs/>
                <w:sz w:val="20"/>
                <w:szCs w:val="20"/>
              </w:rPr>
              <w:t>Policies &amp; Procedures:</w:t>
            </w:r>
          </w:p>
          <w:p w14:paraId="4472DF0B" w14:textId="77777777" w:rsidR="00557E1F" w:rsidRPr="004E7EF5" w:rsidRDefault="00557E1F">
            <w:pPr>
              <w:pStyle w:val="ListParagraph"/>
              <w:numPr>
                <w:ilvl w:val="0"/>
                <w:numId w:val="26"/>
              </w:numPr>
              <w:spacing w:after="0"/>
              <w:ind w:right="180"/>
              <w:rPr>
                <w:sz w:val="20"/>
                <w:szCs w:val="20"/>
              </w:rPr>
            </w:pPr>
            <w:hyperlink r:id="rId68">
              <w:r w:rsidRPr="004E7EF5">
                <w:rPr>
                  <w:rStyle w:val="Hyperlink"/>
                  <w:sz w:val="20"/>
                  <w:szCs w:val="20"/>
                </w:rPr>
                <w:t>POPP Pipeline &amp; Revenue Management</w:t>
              </w:r>
            </w:hyperlink>
          </w:p>
          <w:p w14:paraId="7F6AA598" w14:textId="77777777" w:rsidR="00557E1F" w:rsidRPr="004E7EF5" w:rsidRDefault="00557E1F">
            <w:pPr>
              <w:pStyle w:val="ListParagraph"/>
              <w:numPr>
                <w:ilvl w:val="0"/>
                <w:numId w:val="26"/>
              </w:numPr>
              <w:spacing w:after="0"/>
              <w:ind w:right="180"/>
              <w:rPr>
                <w:sz w:val="20"/>
                <w:szCs w:val="20"/>
              </w:rPr>
            </w:pPr>
            <w:hyperlink r:id="rId69">
              <w:r w:rsidRPr="004E7EF5">
                <w:rPr>
                  <w:rStyle w:val="Hyperlink"/>
                  <w:sz w:val="20"/>
                  <w:szCs w:val="20"/>
                </w:rPr>
                <w:t>POPP Resource Planning &amp; Cost Recovery</w:t>
              </w:r>
            </w:hyperlink>
          </w:p>
          <w:p w14:paraId="1EDC9713" w14:textId="77777777" w:rsidR="00FF11A9" w:rsidRPr="009A7C29" w:rsidRDefault="00FF11A9">
            <w:pPr>
              <w:pStyle w:val="ListParagraph"/>
              <w:numPr>
                <w:ilvl w:val="0"/>
                <w:numId w:val="26"/>
              </w:numPr>
              <w:spacing w:after="0"/>
              <w:ind w:right="180"/>
              <w:rPr>
                <w:color w:val="4472C4" w:themeColor="accent1"/>
                <w:sz w:val="20"/>
                <w:szCs w:val="20"/>
              </w:rPr>
            </w:pPr>
            <w:hyperlink r:id="rId70" w:history="1">
              <w:r w:rsidRPr="009A7C29">
                <w:rPr>
                  <w:rStyle w:val="Hyperlink"/>
                  <w:color w:val="4472C4" w:themeColor="accent1"/>
                  <w:sz w:val="20"/>
                  <w:szCs w:val="20"/>
                </w:rPr>
                <w:t>GMS Fee Set up and Collection</w:t>
              </w:r>
            </w:hyperlink>
          </w:p>
          <w:p w14:paraId="315B7C27" w14:textId="03DDCCEC" w:rsidR="00F91E58" w:rsidRPr="009A7C29" w:rsidRDefault="00F91E58">
            <w:pPr>
              <w:pStyle w:val="ListParagraph"/>
              <w:numPr>
                <w:ilvl w:val="0"/>
                <w:numId w:val="26"/>
              </w:numPr>
              <w:spacing w:after="0"/>
              <w:ind w:right="180"/>
              <w:rPr>
                <w:color w:val="4472C4" w:themeColor="accent1"/>
                <w:sz w:val="20"/>
                <w:szCs w:val="20"/>
              </w:rPr>
            </w:pPr>
            <w:hyperlink r:id="rId71" w:history="1">
              <w:r w:rsidRPr="009A7C29">
                <w:rPr>
                  <w:rStyle w:val="Hyperlink"/>
                  <w:color w:val="4472C4" w:themeColor="accent1"/>
                  <w:sz w:val="20"/>
                  <w:szCs w:val="20"/>
                </w:rPr>
                <w:t>Contract Management in Quantum+ UNITY End User Guide</w:t>
              </w:r>
            </w:hyperlink>
          </w:p>
          <w:p w14:paraId="7013A022" w14:textId="77777777" w:rsidR="00FF11A9" w:rsidRPr="009A7C29" w:rsidRDefault="00FF11A9">
            <w:pPr>
              <w:pStyle w:val="ListParagraph"/>
              <w:numPr>
                <w:ilvl w:val="0"/>
                <w:numId w:val="26"/>
              </w:numPr>
              <w:spacing w:after="0"/>
              <w:ind w:right="180"/>
              <w:rPr>
                <w:rStyle w:val="Hyperlink"/>
                <w:color w:val="4472C4" w:themeColor="accent1"/>
                <w:sz w:val="20"/>
                <w:szCs w:val="20"/>
                <w:u w:val="none"/>
              </w:rPr>
            </w:pPr>
            <w:hyperlink r:id="rId72" w:history="1">
              <w:r w:rsidRPr="009A7C29">
                <w:rPr>
                  <w:rStyle w:val="Hyperlink"/>
                  <w:color w:val="4472C4" w:themeColor="accent1"/>
                  <w:sz w:val="20"/>
                  <w:szCs w:val="20"/>
                </w:rPr>
                <w:t>Deposit Creation SOP</w:t>
              </w:r>
            </w:hyperlink>
            <w:r w:rsidRPr="009A7C29">
              <w:rPr>
                <w:color w:val="4472C4" w:themeColor="accent1"/>
                <w:sz w:val="20"/>
                <w:szCs w:val="20"/>
              </w:rPr>
              <w:t xml:space="preserve"> and </w:t>
            </w:r>
            <w:hyperlink r:id="rId73" w:history="1">
              <w:r w:rsidRPr="009A7C29">
                <w:rPr>
                  <w:rStyle w:val="Hyperlink"/>
                  <w:color w:val="4472C4" w:themeColor="accent1"/>
                  <w:sz w:val="20"/>
                  <w:szCs w:val="20"/>
                </w:rPr>
                <w:t>Appendix</w:t>
              </w:r>
            </w:hyperlink>
          </w:p>
          <w:p w14:paraId="2F19FF7C" w14:textId="445A0C86" w:rsidR="00740C42" w:rsidRPr="00740C42" w:rsidRDefault="00740C42">
            <w:pPr>
              <w:pStyle w:val="ListParagraph"/>
              <w:numPr>
                <w:ilvl w:val="0"/>
                <w:numId w:val="26"/>
              </w:numPr>
              <w:spacing w:after="0"/>
              <w:ind w:right="180"/>
              <w:rPr>
                <w:sz w:val="20"/>
                <w:szCs w:val="20"/>
              </w:rPr>
            </w:pPr>
            <w:hyperlink r:id="rId74" w:history="1">
              <w:r w:rsidRPr="009A7C29">
                <w:rPr>
                  <w:rStyle w:val="Hyperlink"/>
                  <w:color w:val="4472C4" w:themeColor="accent1"/>
                  <w:sz w:val="20"/>
                  <w:szCs w:val="20"/>
                </w:rPr>
                <w:t xml:space="preserve">UNall </w:t>
              </w:r>
              <w:r w:rsidR="002E0564" w:rsidRPr="009A7C29">
                <w:rPr>
                  <w:rStyle w:val="Hyperlink"/>
                  <w:color w:val="4472C4" w:themeColor="accent1"/>
                  <w:sz w:val="20"/>
                  <w:szCs w:val="20"/>
                </w:rPr>
                <w:t xml:space="preserve">Quantum </w:t>
              </w:r>
              <w:r w:rsidRPr="009A7C29">
                <w:rPr>
                  <w:rStyle w:val="Hyperlink"/>
                  <w:color w:val="4472C4" w:themeColor="accent1"/>
                  <w:sz w:val="20"/>
                  <w:szCs w:val="20"/>
                </w:rPr>
                <w:t>Knowledge Articles</w:t>
              </w:r>
            </w:hyperlink>
          </w:p>
        </w:tc>
        <w:tc>
          <w:tcPr>
            <w:tcW w:w="5855" w:type="dxa"/>
            <w:tcBorders>
              <w:top w:val="single" w:sz="4" w:space="0" w:color="auto"/>
              <w:left w:val="single" w:sz="4" w:space="0" w:color="auto"/>
              <w:bottom w:val="single" w:sz="4" w:space="0" w:color="auto"/>
              <w:right w:val="single" w:sz="4" w:space="0" w:color="auto"/>
            </w:tcBorders>
          </w:tcPr>
          <w:p w14:paraId="4438FA53" w14:textId="451EF38F" w:rsidR="00FF11A9" w:rsidRPr="009A7C29" w:rsidRDefault="00557E1F" w:rsidP="00735C27">
            <w:pPr>
              <w:spacing w:after="0"/>
              <w:ind w:left="120"/>
              <w:rPr>
                <w:sz w:val="20"/>
                <w:szCs w:val="20"/>
              </w:rPr>
            </w:pPr>
            <w:r w:rsidRPr="009A7C29">
              <w:rPr>
                <w:b/>
                <w:bCs/>
                <w:sz w:val="20"/>
                <w:szCs w:val="20"/>
              </w:rPr>
              <w:t>Useful Reports:</w:t>
            </w:r>
            <w:r w:rsidR="00FF11A9" w:rsidRPr="009A7C29">
              <w:rPr>
                <w:sz w:val="20"/>
                <w:szCs w:val="20"/>
              </w:rPr>
              <w:t xml:space="preserve"> These reports can be accessed in Quantum under Others &gt; Financial Reporting Center:​</w:t>
            </w:r>
          </w:p>
          <w:p w14:paraId="58E82761" w14:textId="7AA8985C" w:rsidR="00FF11A9" w:rsidRPr="009A7C29" w:rsidRDefault="00FF11A9">
            <w:pPr>
              <w:pStyle w:val="ListParagraph"/>
              <w:numPr>
                <w:ilvl w:val="0"/>
                <w:numId w:val="25"/>
              </w:numPr>
              <w:spacing w:after="0"/>
              <w:rPr>
                <w:sz w:val="20"/>
                <w:szCs w:val="20"/>
              </w:rPr>
            </w:pPr>
            <w:r w:rsidRPr="009A7C29">
              <w:rPr>
                <w:sz w:val="20"/>
                <w:szCs w:val="20"/>
              </w:rPr>
              <w:t>Pending Events &gt; UN AR Unbilled Details ​</w:t>
            </w:r>
          </w:p>
          <w:p w14:paraId="5D3B9D49" w14:textId="77777777" w:rsidR="00FF11A9" w:rsidRPr="009A7C29" w:rsidRDefault="00FF11A9">
            <w:pPr>
              <w:pStyle w:val="ListParagraph"/>
              <w:numPr>
                <w:ilvl w:val="0"/>
                <w:numId w:val="25"/>
              </w:numPr>
              <w:spacing w:after="0"/>
              <w:rPr>
                <w:sz w:val="20"/>
                <w:szCs w:val="20"/>
              </w:rPr>
            </w:pPr>
            <w:r w:rsidRPr="009A7C29">
              <w:rPr>
                <w:sz w:val="20"/>
                <w:szCs w:val="20"/>
              </w:rPr>
              <w:t>Billed Events &gt; UN Generate AR Invoices Report ​</w:t>
            </w:r>
          </w:p>
          <w:p w14:paraId="530DECAF" w14:textId="77777777" w:rsidR="00FF11A9" w:rsidRPr="009A7C29" w:rsidRDefault="00FF11A9">
            <w:pPr>
              <w:pStyle w:val="ListParagraph"/>
              <w:numPr>
                <w:ilvl w:val="0"/>
                <w:numId w:val="25"/>
              </w:numPr>
              <w:spacing w:after="0"/>
              <w:rPr>
                <w:sz w:val="20"/>
                <w:szCs w:val="20"/>
              </w:rPr>
            </w:pPr>
            <w:r w:rsidRPr="009A7C29">
              <w:rPr>
                <w:sz w:val="20"/>
                <w:szCs w:val="20"/>
              </w:rPr>
              <w:t>List of Receipts &gt; UN Receipts List Report​</w:t>
            </w:r>
          </w:p>
          <w:p w14:paraId="583DD661" w14:textId="77777777" w:rsidR="00FF11A9" w:rsidRPr="009A7C29" w:rsidRDefault="00FF11A9">
            <w:pPr>
              <w:pStyle w:val="ListParagraph"/>
              <w:numPr>
                <w:ilvl w:val="0"/>
                <w:numId w:val="25"/>
              </w:numPr>
              <w:spacing w:after="0"/>
              <w:rPr>
                <w:sz w:val="20"/>
                <w:szCs w:val="20"/>
              </w:rPr>
            </w:pPr>
            <w:r w:rsidRPr="009A7C29">
              <w:rPr>
                <w:sz w:val="20"/>
                <w:szCs w:val="20"/>
              </w:rPr>
              <w:t>Donor Codes List &gt; Customer General Information​</w:t>
            </w:r>
          </w:p>
          <w:p w14:paraId="57563B27" w14:textId="77777777" w:rsidR="00FF11A9" w:rsidRPr="009A7C29" w:rsidRDefault="00FF11A9">
            <w:pPr>
              <w:pStyle w:val="ListParagraph"/>
              <w:numPr>
                <w:ilvl w:val="0"/>
                <w:numId w:val="25"/>
              </w:numPr>
              <w:spacing w:after="0"/>
              <w:rPr>
                <w:sz w:val="20"/>
                <w:szCs w:val="20"/>
              </w:rPr>
            </w:pPr>
            <w:r w:rsidRPr="009A7C29">
              <w:rPr>
                <w:sz w:val="20"/>
                <w:szCs w:val="20"/>
              </w:rPr>
              <w:t>Contract Details Report &gt; UN PPM Contract Details Report</w:t>
            </w:r>
          </w:p>
          <w:p w14:paraId="136B13C3" w14:textId="27222E11" w:rsidR="00557E1F" w:rsidRPr="004E7EF5" w:rsidRDefault="00FF11A9">
            <w:pPr>
              <w:pStyle w:val="ListParagraph"/>
              <w:numPr>
                <w:ilvl w:val="0"/>
                <w:numId w:val="25"/>
              </w:numPr>
              <w:spacing w:after="0"/>
              <w:rPr>
                <w:sz w:val="20"/>
                <w:szCs w:val="20"/>
              </w:rPr>
            </w:pPr>
            <w:hyperlink r:id="rId75" w:history="1">
              <w:r w:rsidRPr="009A7C29">
                <w:rPr>
                  <w:rStyle w:val="Hyperlink"/>
                  <w:color w:val="4472C4" w:themeColor="accent1"/>
                  <w:sz w:val="20"/>
                  <w:szCs w:val="20"/>
                </w:rPr>
                <w:t>Contributions Report UNDP Power BI</w:t>
              </w:r>
            </w:hyperlink>
            <w:r w:rsidR="00014C0D" w:rsidRPr="009A7C29">
              <w:rPr>
                <w:sz w:val="20"/>
                <w:szCs w:val="20"/>
              </w:rPr>
              <w:t xml:space="preserve"> (for deposit identification</w:t>
            </w:r>
            <w:r w:rsidR="00A75922" w:rsidRPr="009A7C29">
              <w:rPr>
                <w:rStyle w:val="FootnoteReference"/>
                <w:sz w:val="20"/>
                <w:szCs w:val="20"/>
              </w:rPr>
              <w:footnoteReference w:id="20"/>
            </w:r>
            <w:r w:rsidR="00014C0D" w:rsidRPr="009A7C29">
              <w:rPr>
                <w:sz w:val="20"/>
                <w:szCs w:val="20"/>
              </w:rPr>
              <w:t>)</w:t>
            </w:r>
          </w:p>
        </w:tc>
      </w:tr>
    </w:tbl>
    <w:p w14:paraId="5B295DF4" w14:textId="77777777" w:rsidR="00E60C04" w:rsidRDefault="00E60C04" w:rsidP="00E60C04"/>
    <w:p w14:paraId="386469E3" w14:textId="45BCA23B" w:rsidR="00E60C04" w:rsidRPr="009A7C29" w:rsidRDefault="00694AB2">
      <w:pPr>
        <w:pStyle w:val="Heading2"/>
        <w:numPr>
          <w:ilvl w:val="1"/>
          <w:numId w:val="93"/>
        </w:numPr>
        <w:spacing w:after="240"/>
        <w:rPr>
          <w:color w:val="4472C4" w:themeColor="accent1"/>
        </w:rPr>
      </w:pPr>
      <w:bookmarkStart w:id="40" w:name="_Toc210052759"/>
      <w:r w:rsidRPr="009A7C29">
        <w:rPr>
          <w:color w:val="4472C4" w:themeColor="accent1"/>
        </w:rPr>
        <w:t>Assistant Resident Representative</w:t>
      </w:r>
      <w:r w:rsidR="00E60C04" w:rsidRPr="009A7C29">
        <w:rPr>
          <w:color w:val="4472C4" w:themeColor="accent1"/>
        </w:rPr>
        <w:t xml:space="preserve"> – </w:t>
      </w:r>
      <w:proofErr w:type="spellStart"/>
      <w:r w:rsidR="00E60C04" w:rsidRPr="009A7C29">
        <w:rPr>
          <w:color w:val="4472C4" w:themeColor="accent1"/>
        </w:rPr>
        <w:t>Programmes</w:t>
      </w:r>
      <w:proofErr w:type="spellEnd"/>
      <w:r w:rsidR="00E27E7F" w:rsidRPr="009A7C29">
        <w:rPr>
          <w:color w:val="4472C4" w:themeColor="accent1"/>
        </w:rPr>
        <w:t xml:space="preserve"> (or HQ-equivalent)</w:t>
      </w:r>
      <w:bookmarkEnd w:id="40"/>
    </w:p>
    <w:p w14:paraId="0338CF56" w14:textId="77777777" w:rsidR="008F13C4" w:rsidRPr="009A7C29" w:rsidRDefault="008F13C4" w:rsidP="008F13C4">
      <w:pPr>
        <w:rPr>
          <w:rFonts w:ascii="Calibri" w:hAnsi="Calibri" w:cs="Calibri"/>
        </w:rPr>
      </w:pPr>
      <w:r w:rsidRPr="009A7C29">
        <w:rPr>
          <w:rFonts w:ascii="Calibri" w:hAnsi="Calibri" w:cs="Calibri"/>
        </w:rPr>
        <w:t xml:space="preserve">The Assistant Resident Representative – </w:t>
      </w:r>
      <w:proofErr w:type="spellStart"/>
      <w:r w:rsidRPr="009A7C29">
        <w:rPr>
          <w:rFonts w:ascii="Calibri" w:hAnsi="Calibri" w:cs="Calibri"/>
        </w:rPr>
        <w:t>Programmes</w:t>
      </w:r>
      <w:proofErr w:type="spellEnd"/>
      <w:r w:rsidRPr="009A7C29">
        <w:rPr>
          <w:rFonts w:ascii="Calibri" w:hAnsi="Calibri" w:cs="Calibri"/>
        </w:rPr>
        <w:t xml:space="preserve"> (ARR-P) (or HQ-equivalent) heads and supervises a </w:t>
      </w:r>
      <w:proofErr w:type="spellStart"/>
      <w:r w:rsidRPr="009A7C29">
        <w:rPr>
          <w:rFonts w:ascii="Calibri" w:hAnsi="Calibri" w:cs="Calibri"/>
        </w:rPr>
        <w:t>Programme</w:t>
      </w:r>
      <w:proofErr w:type="spellEnd"/>
      <w:r w:rsidRPr="009A7C29">
        <w:rPr>
          <w:rFonts w:ascii="Calibri" w:hAnsi="Calibri" w:cs="Calibri"/>
        </w:rPr>
        <w:t xml:space="preserve"> team and works in close collaboration with the Operations team in the office/unit, </w:t>
      </w:r>
      <w:proofErr w:type="spellStart"/>
      <w:r w:rsidRPr="009A7C29">
        <w:rPr>
          <w:rFonts w:ascii="Calibri" w:hAnsi="Calibri" w:cs="Calibri"/>
        </w:rPr>
        <w:t>Programme</w:t>
      </w:r>
      <w:proofErr w:type="spellEnd"/>
      <w:r w:rsidRPr="009A7C29">
        <w:rPr>
          <w:rFonts w:ascii="Calibri" w:hAnsi="Calibri" w:cs="Calibri"/>
        </w:rPr>
        <w:t xml:space="preserve"> staff in other UN Agencies, UNDP staff in HQs and Regional Hubs, technical advisors and experts, external specialists, government officials and partners, donors and civil society to successfully implement the UNDP </w:t>
      </w:r>
      <w:proofErr w:type="spellStart"/>
      <w:r w:rsidRPr="009A7C29">
        <w:rPr>
          <w:rFonts w:ascii="Calibri" w:hAnsi="Calibri" w:cs="Calibri"/>
        </w:rPr>
        <w:t>programme</w:t>
      </w:r>
      <w:proofErr w:type="spellEnd"/>
      <w:r w:rsidRPr="009A7C29">
        <w:rPr>
          <w:rFonts w:ascii="Calibri" w:hAnsi="Calibri" w:cs="Calibri"/>
        </w:rPr>
        <w:t>.</w:t>
      </w:r>
    </w:p>
    <w:p w14:paraId="64202849" w14:textId="7C250548" w:rsidR="00E27E7F" w:rsidRPr="009A7C29" w:rsidRDefault="00E27E7F" w:rsidP="00E27E7F">
      <w:r w:rsidRPr="009A7C29">
        <w:t xml:space="preserve">One key element of the ARR – </w:t>
      </w:r>
      <w:proofErr w:type="spellStart"/>
      <w:r w:rsidRPr="009A7C29">
        <w:t>Programmes</w:t>
      </w:r>
      <w:proofErr w:type="spellEnd"/>
      <w:r w:rsidRPr="009A7C29">
        <w:t xml:space="preserve"> (or HQ-equivalent) role, amongst others, is to effectively manage the office/unit’s </w:t>
      </w:r>
      <w:proofErr w:type="spellStart"/>
      <w:r w:rsidRPr="009A7C29">
        <w:t>programme</w:t>
      </w:r>
      <w:proofErr w:type="spellEnd"/>
      <w:r w:rsidRPr="009A7C29">
        <w:t xml:space="preserve"> and supervise the </w:t>
      </w:r>
      <w:proofErr w:type="spellStart"/>
      <w:r w:rsidRPr="009A7C29">
        <w:t>Programme</w:t>
      </w:r>
      <w:proofErr w:type="spellEnd"/>
      <w:r w:rsidRPr="009A7C29">
        <w:t xml:space="preserve"> team focusing on quality assurance and risk management of the full cycle of programming, from formulation to implementation. While UNDP offices/units have varied organizational structures, the ARR - </w:t>
      </w:r>
      <w:proofErr w:type="spellStart"/>
      <w:r w:rsidRPr="009A7C29">
        <w:t>Programmes</w:t>
      </w:r>
      <w:proofErr w:type="spellEnd"/>
      <w:r w:rsidRPr="009A7C29">
        <w:t xml:space="preserve"> (or HQ-equivalent) may typically have the following key responsibilities as it relates to financial resources management and related controls:</w:t>
      </w:r>
    </w:p>
    <w:tbl>
      <w:tblPr>
        <w:tblpPr w:leftFromText="180" w:rightFromText="180" w:vertAnchor="text" w:horzAnchor="margin"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9A7C29" w:rsidRPr="009A7C29" w14:paraId="6BEDFC21" w14:textId="77777777" w:rsidTr="001104AE">
        <w:trPr>
          <w:trHeight w:val="260"/>
        </w:trPr>
        <w:tc>
          <w:tcPr>
            <w:tcW w:w="9895" w:type="dxa"/>
            <w:shd w:val="clear" w:color="auto" w:fill="FFF1CC"/>
          </w:tcPr>
          <w:p w14:paraId="0741372A" w14:textId="0DE7821D" w:rsidR="00694AB2" w:rsidRPr="009A7C29" w:rsidRDefault="00694AB2" w:rsidP="001104AE">
            <w:pPr>
              <w:spacing w:after="0" w:line="240" w:lineRule="auto"/>
              <w:ind w:left="150"/>
              <w:rPr>
                <w:b/>
                <w:bCs/>
                <w:sz w:val="20"/>
                <w:szCs w:val="20"/>
              </w:rPr>
            </w:pPr>
            <w:r w:rsidRPr="009A7C29">
              <w:rPr>
                <w:b/>
                <w:bCs/>
                <w:sz w:val="20"/>
                <w:szCs w:val="20"/>
              </w:rPr>
              <w:lastRenderedPageBreak/>
              <w:t xml:space="preserve">ARR - </w:t>
            </w:r>
            <w:proofErr w:type="spellStart"/>
            <w:r w:rsidRPr="009A7C29">
              <w:rPr>
                <w:b/>
                <w:bCs/>
                <w:sz w:val="20"/>
                <w:szCs w:val="20"/>
              </w:rPr>
              <w:t>Programmes</w:t>
            </w:r>
            <w:proofErr w:type="spellEnd"/>
            <w:r w:rsidRPr="009A7C29">
              <w:rPr>
                <w:b/>
                <w:bCs/>
                <w:sz w:val="20"/>
                <w:szCs w:val="20"/>
              </w:rPr>
              <w:t xml:space="preserve">: Internal Control Responsibilities </w:t>
            </w:r>
            <w:r w:rsidR="00E27E7F" w:rsidRPr="009A7C29">
              <w:rPr>
                <w:b/>
                <w:bCs/>
                <w:sz w:val="20"/>
                <w:szCs w:val="20"/>
              </w:rPr>
              <w:t xml:space="preserve">typically </w:t>
            </w:r>
            <w:r w:rsidRPr="009A7C29">
              <w:rPr>
                <w:b/>
                <w:bCs/>
                <w:sz w:val="20"/>
                <w:szCs w:val="20"/>
              </w:rPr>
              <w:t>performed within each office/unit</w:t>
            </w:r>
          </w:p>
        </w:tc>
      </w:tr>
      <w:tr w:rsidR="009A7C29" w:rsidRPr="009A7C29" w14:paraId="633F94C5" w14:textId="77777777" w:rsidTr="00E27E7F">
        <w:trPr>
          <w:trHeight w:val="488"/>
        </w:trPr>
        <w:tc>
          <w:tcPr>
            <w:tcW w:w="9895" w:type="dxa"/>
          </w:tcPr>
          <w:p w14:paraId="6C71C280" w14:textId="151A3788" w:rsidR="00694AB2" w:rsidRPr="009A7C29" w:rsidRDefault="00694AB2">
            <w:pPr>
              <w:pStyle w:val="ListParagraph"/>
              <w:widowControl w:val="0"/>
              <w:numPr>
                <w:ilvl w:val="0"/>
                <w:numId w:val="70"/>
              </w:numPr>
              <w:autoSpaceDE w:val="0"/>
              <w:autoSpaceDN w:val="0"/>
              <w:spacing w:after="0" w:line="240" w:lineRule="auto"/>
              <w:rPr>
                <w:sz w:val="20"/>
                <w:szCs w:val="20"/>
              </w:rPr>
            </w:pPr>
            <w:r w:rsidRPr="009A7C29">
              <w:rPr>
                <w:sz w:val="20"/>
                <w:szCs w:val="20"/>
              </w:rPr>
              <w:t>Provide</w:t>
            </w:r>
            <w:r w:rsidR="00335E15" w:rsidRPr="009A7C29">
              <w:rPr>
                <w:sz w:val="20"/>
                <w:szCs w:val="20"/>
              </w:rPr>
              <w:t>s</w:t>
            </w:r>
            <w:r w:rsidRPr="009A7C29">
              <w:rPr>
                <w:sz w:val="20"/>
                <w:szCs w:val="20"/>
              </w:rPr>
              <w:t xml:space="preserve"> strategic oversight of planning, budgeting, implementation and monitoring of the </w:t>
            </w:r>
            <w:proofErr w:type="spellStart"/>
            <w:r w:rsidRPr="009A7C29">
              <w:rPr>
                <w:sz w:val="20"/>
                <w:szCs w:val="20"/>
              </w:rPr>
              <w:t>programme</w:t>
            </w:r>
            <w:proofErr w:type="spellEnd"/>
            <w:r w:rsidR="008F13C4" w:rsidRPr="009A7C29">
              <w:rPr>
                <w:sz w:val="20"/>
                <w:szCs w:val="20"/>
              </w:rPr>
              <w:t>,</w:t>
            </w:r>
            <w:r w:rsidRPr="009A7C29">
              <w:rPr>
                <w:sz w:val="20"/>
                <w:szCs w:val="20"/>
              </w:rPr>
              <w:t xml:space="preserve"> as well as tracking use of financial resources in accordance with UNDP </w:t>
            </w:r>
            <w:r w:rsidR="008F13C4" w:rsidRPr="009A7C29">
              <w:rPr>
                <w:sz w:val="20"/>
                <w:szCs w:val="20"/>
              </w:rPr>
              <w:t>regulations and rules</w:t>
            </w:r>
            <w:r w:rsidRPr="009A7C29">
              <w:rPr>
                <w:sz w:val="20"/>
                <w:szCs w:val="20"/>
              </w:rPr>
              <w:t>.</w:t>
            </w:r>
          </w:p>
        </w:tc>
      </w:tr>
      <w:tr w:rsidR="009A7C29" w:rsidRPr="009A7C29" w14:paraId="0F81BF29" w14:textId="77777777" w:rsidTr="001104AE">
        <w:trPr>
          <w:trHeight w:val="261"/>
        </w:trPr>
        <w:tc>
          <w:tcPr>
            <w:tcW w:w="9895" w:type="dxa"/>
          </w:tcPr>
          <w:p w14:paraId="193B358A" w14:textId="7250714A" w:rsidR="00694AB2" w:rsidRPr="009A7C29" w:rsidRDefault="00694AB2">
            <w:pPr>
              <w:pStyle w:val="ListParagraph"/>
              <w:widowControl w:val="0"/>
              <w:numPr>
                <w:ilvl w:val="0"/>
                <w:numId w:val="70"/>
              </w:numPr>
              <w:autoSpaceDE w:val="0"/>
              <w:autoSpaceDN w:val="0"/>
              <w:spacing w:after="0" w:line="240" w:lineRule="auto"/>
              <w:ind w:right="110"/>
              <w:rPr>
                <w:sz w:val="20"/>
                <w:szCs w:val="20"/>
              </w:rPr>
            </w:pPr>
            <w:r w:rsidRPr="009A7C29">
              <w:rPr>
                <w:sz w:val="20"/>
                <w:szCs w:val="20"/>
              </w:rPr>
              <w:t>Oversee</w:t>
            </w:r>
            <w:r w:rsidR="00335E15" w:rsidRPr="009A7C29">
              <w:rPr>
                <w:sz w:val="20"/>
                <w:szCs w:val="20"/>
              </w:rPr>
              <w:t>s</w:t>
            </w:r>
            <w:r w:rsidRPr="009A7C29">
              <w:rPr>
                <w:sz w:val="20"/>
                <w:szCs w:val="20"/>
              </w:rPr>
              <w:t xml:space="preserve"> </w:t>
            </w:r>
            <w:proofErr w:type="spellStart"/>
            <w:r w:rsidRPr="009A7C29">
              <w:rPr>
                <w:sz w:val="20"/>
                <w:szCs w:val="20"/>
              </w:rPr>
              <w:t>programme</w:t>
            </w:r>
            <w:proofErr w:type="spellEnd"/>
            <w:r w:rsidRPr="009A7C29">
              <w:rPr>
                <w:sz w:val="20"/>
                <w:szCs w:val="20"/>
              </w:rPr>
              <w:t xml:space="preserve"> implementation with the implementing partners</w:t>
            </w:r>
            <w:r w:rsidR="00335E15" w:rsidRPr="009A7C29">
              <w:rPr>
                <w:sz w:val="20"/>
                <w:szCs w:val="20"/>
              </w:rPr>
              <w:t xml:space="preserve">, including ensuring office/unit HACT compliance in close collaboration with DRR – O, and </w:t>
            </w:r>
            <w:proofErr w:type="spellStart"/>
            <w:r w:rsidR="00335E15" w:rsidRPr="009A7C29">
              <w:rPr>
                <w:sz w:val="20"/>
                <w:szCs w:val="20"/>
              </w:rPr>
              <w:t>programme</w:t>
            </w:r>
            <w:proofErr w:type="spellEnd"/>
            <w:r w:rsidR="00335E15" w:rsidRPr="009A7C29">
              <w:rPr>
                <w:sz w:val="20"/>
                <w:szCs w:val="20"/>
              </w:rPr>
              <w:t xml:space="preserve"> and operations teams.</w:t>
            </w:r>
          </w:p>
        </w:tc>
      </w:tr>
      <w:tr w:rsidR="009A7C29" w:rsidRPr="009A7C29" w14:paraId="34D9FDB4" w14:textId="77777777" w:rsidTr="001104AE">
        <w:trPr>
          <w:trHeight w:val="216"/>
        </w:trPr>
        <w:tc>
          <w:tcPr>
            <w:tcW w:w="9895" w:type="dxa"/>
          </w:tcPr>
          <w:p w14:paraId="7F8F3B11" w14:textId="2F17E223" w:rsidR="00694AB2" w:rsidRPr="009A7C29" w:rsidRDefault="00694AB2">
            <w:pPr>
              <w:pStyle w:val="ListParagraph"/>
              <w:widowControl w:val="0"/>
              <w:numPr>
                <w:ilvl w:val="0"/>
                <w:numId w:val="70"/>
              </w:numPr>
              <w:autoSpaceDE w:val="0"/>
              <w:autoSpaceDN w:val="0"/>
              <w:spacing w:after="0" w:line="240" w:lineRule="auto"/>
              <w:rPr>
                <w:sz w:val="20"/>
                <w:szCs w:val="20"/>
              </w:rPr>
            </w:pPr>
            <w:proofErr w:type="gramStart"/>
            <w:r w:rsidRPr="009A7C29">
              <w:rPr>
                <w:sz w:val="20"/>
                <w:szCs w:val="20"/>
              </w:rPr>
              <w:t>Follow</w:t>
            </w:r>
            <w:r w:rsidR="00335E15" w:rsidRPr="009A7C29">
              <w:rPr>
                <w:sz w:val="20"/>
                <w:szCs w:val="20"/>
              </w:rPr>
              <w:t>s</w:t>
            </w:r>
            <w:proofErr w:type="gramEnd"/>
            <w:r w:rsidRPr="009A7C29">
              <w:rPr>
                <w:sz w:val="20"/>
                <w:szCs w:val="20"/>
              </w:rPr>
              <w:t xml:space="preserve"> up on audit recommendations and ensure the implementation of management responses.</w:t>
            </w:r>
          </w:p>
        </w:tc>
      </w:tr>
      <w:tr w:rsidR="009A7C29" w:rsidRPr="009A7C29" w14:paraId="6CEE09AF" w14:textId="77777777" w:rsidTr="001104AE">
        <w:trPr>
          <w:trHeight w:val="216"/>
        </w:trPr>
        <w:tc>
          <w:tcPr>
            <w:tcW w:w="9895" w:type="dxa"/>
          </w:tcPr>
          <w:p w14:paraId="4099F237" w14:textId="4FBA29DB" w:rsidR="00E27E7F" w:rsidRPr="009A7C29" w:rsidRDefault="00E27E7F">
            <w:pPr>
              <w:pStyle w:val="ListParagraph"/>
              <w:widowControl w:val="0"/>
              <w:numPr>
                <w:ilvl w:val="0"/>
                <w:numId w:val="70"/>
              </w:numPr>
              <w:autoSpaceDE w:val="0"/>
              <w:autoSpaceDN w:val="0"/>
              <w:spacing w:after="0" w:line="240" w:lineRule="auto"/>
              <w:rPr>
                <w:sz w:val="20"/>
                <w:szCs w:val="20"/>
              </w:rPr>
            </w:pPr>
            <w:r w:rsidRPr="009A7C29">
              <w:rPr>
                <w:sz w:val="20"/>
                <w:szCs w:val="20"/>
              </w:rPr>
              <w:t>Ensure</w:t>
            </w:r>
            <w:r w:rsidR="00335E15" w:rsidRPr="009A7C29">
              <w:rPr>
                <w:sz w:val="20"/>
                <w:szCs w:val="20"/>
              </w:rPr>
              <w:t>s</w:t>
            </w:r>
            <w:r w:rsidRPr="009A7C29">
              <w:rPr>
                <w:sz w:val="20"/>
                <w:szCs w:val="20"/>
              </w:rPr>
              <w:t xml:space="preserve"> aggregate reports are regularly prepared on activities, outputs and outcomes, including preparation of donor and corporate reports.</w:t>
            </w:r>
          </w:p>
        </w:tc>
      </w:tr>
      <w:tr w:rsidR="009A7C29" w:rsidRPr="009A7C29" w14:paraId="66434FB6" w14:textId="77777777" w:rsidTr="001104AE">
        <w:trPr>
          <w:trHeight w:val="216"/>
        </w:trPr>
        <w:tc>
          <w:tcPr>
            <w:tcW w:w="9895" w:type="dxa"/>
          </w:tcPr>
          <w:p w14:paraId="226DB847" w14:textId="76AEBA2D" w:rsidR="00E27E7F" w:rsidRPr="009A7C29" w:rsidRDefault="00E27E7F">
            <w:pPr>
              <w:pStyle w:val="ListParagraph"/>
              <w:widowControl w:val="0"/>
              <w:numPr>
                <w:ilvl w:val="0"/>
                <w:numId w:val="70"/>
              </w:numPr>
              <w:autoSpaceDE w:val="0"/>
              <w:autoSpaceDN w:val="0"/>
              <w:spacing w:after="0" w:line="240" w:lineRule="auto"/>
              <w:rPr>
                <w:sz w:val="20"/>
                <w:szCs w:val="20"/>
              </w:rPr>
            </w:pPr>
            <w:r w:rsidRPr="009A7C29">
              <w:rPr>
                <w:sz w:val="20"/>
                <w:szCs w:val="20"/>
              </w:rPr>
              <w:t>Organize</w:t>
            </w:r>
            <w:r w:rsidR="00335E15" w:rsidRPr="009A7C29">
              <w:rPr>
                <w:sz w:val="20"/>
                <w:szCs w:val="20"/>
              </w:rPr>
              <w:t>s</w:t>
            </w:r>
            <w:r w:rsidRPr="009A7C29">
              <w:rPr>
                <w:sz w:val="20"/>
                <w:szCs w:val="20"/>
              </w:rPr>
              <w:t xml:space="preserve"> cost-recovery system for the services provided by the office/unit to projects in close collaboration with DRR – Operations or Operations Manager.</w:t>
            </w:r>
          </w:p>
        </w:tc>
      </w:tr>
    </w:tbl>
    <w:p w14:paraId="242751F6" w14:textId="5CC4B710" w:rsidR="00644627" w:rsidRPr="009A7C29" w:rsidRDefault="00644627" w:rsidP="00644627">
      <w:pPr>
        <w:rPr>
          <w:i/>
          <w:iCs/>
          <w:sz w:val="20"/>
          <w:szCs w:val="20"/>
        </w:rPr>
      </w:pPr>
      <w:r w:rsidRPr="009A7C29">
        <w:rPr>
          <w:i/>
          <w:iCs/>
          <w:sz w:val="20"/>
          <w:szCs w:val="20"/>
        </w:rPr>
        <w:t xml:space="preserve">Source: Finance facets drawn from </w:t>
      </w:r>
      <w:hyperlink r:id="rId76" w:history="1">
        <w:r w:rsidRPr="009A7C29">
          <w:rPr>
            <w:rStyle w:val="Hyperlink"/>
            <w:i/>
            <w:iCs/>
            <w:color w:val="4472C4" w:themeColor="accent1"/>
            <w:sz w:val="20"/>
            <w:szCs w:val="20"/>
          </w:rPr>
          <w:t>BMS/OHR generic job descriptions</w:t>
        </w:r>
      </w:hyperlink>
      <w:r w:rsidRPr="009A7C29">
        <w:rPr>
          <w:i/>
          <w:iCs/>
          <w:color w:val="4472C4" w:themeColor="accent1"/>
          <w:sz w:val="20"/>
          <w:szCs w:val="20"/>
        </w:rPr>
        <w:t xml:space="preserve"> </w:t>
      </w:r>
      <w:r w:rsidRPr="009A7C29">
        <w:rPr>
          <w:i/>
          <w:iCs/>
          <w:sz w:val="20"/>
          <w:szCs w:val="20"/>
        </w:rPr>
        <w:t>developed for ARR (</w:t>
      </w:r>
      <w:proofErr w:type="spellStart"/>
      <w:r w:rsidRPr="009A7C29">
        <w:rPr>
          <w:i/>
          <w:iCs/>
          <w:sz w:val="20"/>
          <w:szCs w:val="20"/>
        </w:rPr>
        <w:t>Programmes</w:t>
      </w:r>
      <w:proofErr w:type="spellEnd"/>
      <w:r w:rsidRPr="009A7C29">
        <w:rPr>
          <w:i/>
          <w:iCs/>
          <w:sz w:val="20"/>
          <w:szCs w:val="20"/>
        </w:rPr>
        <w:t>) in 2023.</w:t>
      </w:r>
    </w:p>
    <w:p w14:paraId="2DD969B2" w14:textId="7AD86861" w:rsidR="002426B0" w:rsidRDefault="003E4022">
      <w:pPr>
        <w:pStyle w:val="Heading1"/>
        <w:numPr>
          <w:ilvl w:val="0"/>
          <w:numId w:val="93"/>
        </w:numPr>
        <w:spacing w:after="240"/>
      </w:pPr>
      <w:bookmarkStart w:id="41" w:name="_Procure_and_Pay"/>
      <w:bookmarkStart w:id="42" w:name="_Toc210052760"/>
      <w:bookmarkEnd w:id="41"/>
      <w:r>
        <w:t>Procure and Pay</w:t>
      </w:r>
      <w:bookmarkEnd w:id="42"/>
    </w:p>
    <w:p w14:paraId="68F1575A" w14:textId="75599F62" w:rsidR="00531B4A" w:rsidRDefault="008540EC" w:rsidP="00FC79E7">
      <w:pPr>
        <w:spacing w:line="240" w:lineRule="auto"/>
      </w:pPr>
      <w:r w:rsidRPr="003D26A4">
        <w:t xml:space="preserve">The POPP sections </w:t>
      </w:r>
      <w:hyperlink r:id="rId77">
        <w:proofErr w:type="spellStart"/>
        <w:r w:rsidRPr="003D26A4">
          <w:rPr>
            <w:rStyle w:val="Hyperlink"/>
          </w:rPr>
          <w:t>Programme</w:t>
        </w:r>
        <w:proofErr w:type="spellEnd"/>
        <w:r w:rsidRPr="003D26A4">
          <w:rPr>
            <w:rStyle w:val="Hyperlink"/>
          </w:rPr>
          <w:t xml:space="preserve"> and Project Management; </w:t>
        </w:r>
      </w:hyperlink>
      <w:hyperlink r:id="rId78">
        <w:r w:rsidRPr="003D26A4">
          <w:rPr>
            <w:rStyle w:val="Hyperlink"/>
          </w:rPr>
          <w:t xml:space="preserve">Procurement; </w:t>
        </w:r>
      </w:hyperlink>
      <w:r w:rsidRPr="003D26A4">
        <w:t xml:space="preserve">and </w:t>
      </w:r>
      <w:hyperlink r:id="rId79">
        <w:r w:rsidRPr="003D26A4">
          <w:rPr>
            <w:rStyle w:val="Hyperlink"/>
          </w:rPr>
          <w:t>Financial Resources Management</w:t>
        </w:r>
      </w:hyperlink>
      <w:r w:rsidRPr="003D26A4">
        <w:t xml:space="preserve"> </w:t>
      </w:r>
      <w:r w:rsidR="004241E3">
        <w:t xml:space="preserve">(sub-section </w:t>
      </w:r>
      <w:hyperlink r:id="rId80" w:history="1">
        <w:r w:rsidR="004241E3" w:rsidRPr="004241E3">
          <w:rPr>
            <w:rStyle w:val="Hyperlink"/>
          </w:rPr>
          <w:t>Expense Management</w:t>
        </w:r>
      </w:hyperlink>
      <w:r w:rsidR="004241E3">
        <w:t xml:space="preserve">) </w:t>
      </w:r>
      <w:r w:rsidRPr="003D26A4">
        <w:t xml:space="preserve">comprehensively articulate the roles and responsibilities of those involved in Procure &amp; Pay activities, including Project Managers (first authority), Buyers, Supplier Maintenance and Supplier Approvers, Approving Managers (second authority), Disbursing Officers (third authority) and Bank Account Signatories. </w:t>
      </w:r>
      <w:r w:rsidR="00531B4A" w:rsidRPr="009A7C29">
        <w:t xml:space="preserve">Additionally, a range of Quantum Knowledge Articles can be found in UNall at </w:t>
      </w:r>
      <w:hyperlink r:id="rId81" w:history="1">
        <w:r w:rsidR="00531B4A" w:rsidRPr="009A7C29">
          <w:rPr>
            <w:rStyle w:val="Hyperlink"/>
            <w:color w:val="4472C4" w:themeColor="accent1"/>
          </w:rPr>
          <w:t>Procurement &amp; Logistics</w:t>
        </w:r>
      </w:hyperlink>
      <w:r w:rsidR="00531B4A" w:rsidRPr="009A7C29">
        <w:t xml:space="preserve"> and </w:t>
      </w:r>
      <w:hyperlink r:id="rId82" w:history="1">
        <w:r w:rsidR="00531B4A" w:rsidRPr="009A7C29">
          <w:rPr>
            <w:rStyle w:val="Hyperlink"/>
            <w:color w:val="4472C4" w:themeColor="accent1"/>
          </w:rPr>
          <w:t>Financial Management</w:t>
        </w:r>
      </w:hyperlink>
      <w:r w:rsidR="00531B4A" w:rsidRPr="009A7C29">
        <w:t xml:space="preserve">, </w:t>
      </w:r>
      <w:r w:rsidR="004241E3" w:rsidRPr="009A7C29">
        <w:t xml:space="preserve">the </w:t>
      </w:r>
      <w:hyperlink r:id="rId83" w:history="1">
        <w:r w:rsidR="004241E3" w:rsidRPr="009A7C29">
          <w:rPr>
            <w:rStyle w:val="Hyperlink"/>
            <w:color w:val="4472C4" w:themeColor="accent1"/>
          </w:rPr>
          <w:t>BMS/GSSC Finance Services SharePoint site</w:t>
        </w:r>
      </w:hyperlink>
      <w:r w:rsidR="004241E3" w:rsidRPr="009A7C29">
        <w:t xml:space="preserve"> and </w:t>
      </w:r>
      <w:r w:rsidR="00531B4A" w:rsidRPr="009A7C29">
        <w:t xml:space="preserve">the </w:t>
      </w:r>
      <w:hyperlink r:id="rId84" w:history="1">
        <w:r w:rsidR="00531B4A" w:rsidRPr="009A7C29">
          <w:rPr>
            <w:rStyle w:val="Hyperlink"/>
            <w:color w:val="4472C4" w:themeColor="accent1"/>
          </w:rPr>
          <w:t>BMS/GSSC SOP Share</w:t>
        </w:r>
        <w:r w:rsidR="004241E3" w:rsidRPr="009A7C29">
          <w:rPr>
            <w:rStyle w:val="Hyperlink"/>
            <w:color w:val="4472C4" w:themeColor="accent1"/>
          </w:rPr>
          <w:t>P</w:t>
        </w:r>
        <w:r w:rsidR="00531B4A" w:rsidRPr="009A7C29">
          <w:rPr>
            <w:rStyle w:val="Hyperlink"/>
            <w:color w:val="4472C4" w:themeColor="accent1"/>
          </w:rPr>
          <w:t>oint site</w:t>
        </w:r>
      </w:hyperlink>
      <w:r w:rsidR="004241E3" w:rsidRPr="009A7C29">
        <w:rPr>
          <w:color w:val="4472C4" w:themeColor="accent1"/>
        </w:rPr>
        <w:t>.</w:t>
      </w:r>
    </w:p>
    <w:p w14:paraId="046917B3" w14:textId="51A0C99A" w:rsidR="00D643BA" w:rsidRPr="00531B4A" w:rsidRDefault="004241E3" w:rsidP="00AD810D">
      <w:pPr>
        <w:spacing w:line="240" w:lineRule="auto"/>
      </w:pPr>
      <w:r w:rsidRPr="009A7C29">
        <w:t xml:space="preserve">An overview of the Procure &amp; Pay process, including who performs each step, is included in </w:t>
      </w:r>
      <w:hyperlink w:anchor="_Annex_5:_Process" w:history="1">
        <w:r w:rsidRPr="00876EB0">
          <w:rPr>
            <w:rStyle w:val="Hyperlink"/>
          </w:rPr>
          <w:t>Annex 5</w:t>
        </w:r>
      </w:hyperlink>
      <w:r w:rsidRPr="363CA695">
        <w:rPr>
          <w:color w:val="ED7D31" w:themeColor="accent2"/>
        </w:rPr>
        <w:t xml:space="preserve"> </w:t>
      </w:r>
      <w:r w:rsidRPr="009A7C29">
        <w:t xml:space="preserve">of this Guide. </w:t>
      </w:r>
      <w:r w:rsidR="008540EC" w:rsidRPr="009A7C29">
        <w:t xml:space="preserve">This </w:t>
      </w:r>
      <w:r w:rsidR="008540EC" w:rsidRPr="363CA695">
        <w:t xml:space="preserve">section provides an overview of the key internal control responsibilities fulfilled by </w:t>
      </w:r>
      <w:r w:rsidR="00531B4A" w:rsidRPr="363CA695">
        <w:t>Procure and Pay roles</w:t>
      </w:r>
      <w:r w:rsidR="008540EC" w:rsidRPr="363CA695">
        <w:t xml:space="preserve"> (except Project Manager, which is described in section </w:t>
      </w:r>
      <w:r w:rsidR="00A22E73" w:rsidRPr="363CA695">
        <w:t>4</w:t>
      </w:r>
      <w:r w:rsidR="008540EC" w:rsidRPr="363CA695">
        <w:t>.</w:t>
      </w:r>
      <w:r w:rsidR="00A22E73" w:rsidRPr="363CA695">
        <w:t>1</w:t>
      </w:r>
      <w:r w:rsidR="008540EC" w:rsidRPr="363CA695">
        <w:t>).</w:t>
      </w:r>
      <w:r w:rsidR="00531B4A" w:rsidRPr="363CA695">
        <w:t xml:space="preserve"> </w:t>
      </w:r>
      <w:r w:rsidR="00520342" w:rsidRPr="363CA695">
        <w:t>Three of these roles – Project Manager, Approving Manager, and Disbursing Officer – exercise authority for UNDP procurement, commitments, expense</w:t>
      </w:r>
      <w:r w:rsidR="004E7EF5" w:rsidRPr="363CA695">
        <w:t>,</w:t>
      </w:r>
      <w:r w:rsidR="004E7EF5" w:rsidRPr="363CA695">
        <w:rPr>
          <w:vertAlign w:val="superscript"/>
        </w:rPr>
        <w:t xml:space="preserve"> </w:t>
      </w:r>
      <w:r w:rsidR="00520342" w:rsidRPr="363CA695">
        <w:t xml:space="preserve">and disbursement transactions. These three roles are especially important to internal control and equate to the three orders of authority set forth in </w:t>
      </w:r>
      <w:r w:rsidR="00465C98" w:rsidRPr="363CA695">
        <w:t>F</w:t>
      </w:r>
      <w:r w:rsidR="00520342" w:rsidRPr="363CA695">
        <w:t xml:space="preserve">inancial </w:t>
      </w:r>
      <w:r w:rsidR="00465C98" w:rsidRPr="363CA695">
        <w:t>R</w:t>
      </w:r>
      <w:r w:rsidR="00520342" w:rsidRPr="363CA695">
        <w:t>egulation 20.02</w:t>
      </w:r>
      <w:r w:rsidR="00B57726" w:rsidRPr="363CA695">
        <w:rPr>
          <w:rStyle w:val="FootnoteReference"/>
        </w:rPr>
        <w:footnoteReference w:id="21"/>
      </w:r>
      <w:r w:rsidR="00520342" w:rsidRPr="363CA695">
        <w:t>.</w:t>
      </w:r>
      <w:r w:rsidR="00465C98" w:rsidRPr="363CA695">
        <w:t xml:space="preserve"> </w:t>
      </w:r>
    </w:p>
    <w:p w14:paraId="5624BD69" w14:textId="0FD5D1BF" w:rsidR="00163C49" w:rsidRDefault="00163C49">
      <w:pPr>
        <w:pStyle w:val="Heading2"/>
        <w:numPr>
          <w:ilvl w:val="1"/>
          <w:numId w:val="93"/>
        </w:numPr>
        <w:spacing w:after="240"/>
      </w:pPr>
      <w:bookmarkStart w:id="43" w:name="_Toc210052761"/>
      <w:r>
        <w:t>Procurement Buyer</w:t>
      </w:r>
      <w:bookmarkEnd w:id="43"/>
    </w:p>
    <w:p w14:paraId="1721E1EE" w14:textId="02CB0144" w:rsidR="00C737F2" w:rsidRDefault="00163C49" w:rsidP="005A77AA">
      <w:pPr>
        <w:spacing w:line="240" w:lineRule="auto"/>
      </w:pPr>
      <w:r w:rsidRPr="363CA695">
        <w:t>The Procurement Buyer role refers to personnel who conduct procurement (including procurement of individual contractors</w:t>
      </w:r>
      <w:r w:rsidR="009D3DCD" w:rsidRPr="363CA695">
        <w:t xml:space="preserve">). They </w:t>
      </w:r>
      <w:r w:rsidRPr="363CA695">
        <w:t>must have strong knowledge of UNDP procurement policie</w:t>
      </w:r>
      <w:r w:rsidR="00C737F2" w:rsidRPr="363CA695">
        <w:t>s.</w:t>
      </w:r>
    </w:p>
    <w:tbl>
      <w:tblPr>
        <w:tblStyle w:val="TableGrid"/>
        <w:tblW w:w="9625" w:type="dxa"/>
        <w:tblCellMar>
          <w:bottom w:w="43" w:type="dxa"/>
        </w:tblCellMar>
        <w:tblLook w:val="04A0" w:firstRow="1" w:lastRow="0" w:firstColumn="1" w:lastColumn="0" w:noHBand="0" w:noVBand="1"/>
      </w:tblPr>
      <w:tblGrid>
        <w:gridCol w:w="9625"/>
      </w:tblGrid>
      <w:tr w:rsidR="00246374" w14:paraId="4BCF582F" w14:textId="77777777" w:rsidTr="363CA695">
        <w:trPr>
          <w:tblHeader/>
        </w:trPr>
        <w:tc>
          <w:tcPr>
            <w:tcW w:w="9625" w:type="dxa"/>
            <w:shd w:val="clear" w:color="auto" w:fill="FFF2CC" w:themeFill="accent4" w:themeFillTint="33"/>
          </w:tcPr>
          <w:p w14:paraId="787C6228" w14:textId="386CAD8C" w:rsidR="00246374" w:rsidRDefault="00246374" w:rsidP="005A77AA">
            <w:r w:rsidRPr="00A822B3">
              <w:rPr>
                <w:b/>
                <w:bCs/>
                <w:sz w:val="20"/>
                <w:szCs w:val="20"/>
              </w:rPr>
              <w:t xml:space="preserve">Procurement Buyer: </w:t>
            </w:r>
            <w:r>
              <w:rPr>
                <w:b/>
                <w:bCs/>
                <w:sz w:val="20"/>
                <w:szCs w:val="20"/>
              </w:rPr>
              <w:t>Key r</w:t>
            </w:r>
            <w:r w:rsidRPr="00A822B3">
              <w:rPr>
                <w:b/>
                <w:bCs/>
                <w:sz w:val="20"/>
                <w:szCs w:val="20"/>
              </w:rPr>
              <w:t>esponsibilities: Performed within each office</w:t>
            </w:r>
            <w:r>
              <w:rPr>
                <w:b/>
                <w:bCs/>
                <w:sz w:val="20"/>
                <w:szCs w:val="20"/>
              </w:rPr>
              <w:t>/unit</w:t>
            </w:r>
          </w:p>
        </w:tc>
      </w:tr>
      <w:tr w:rsidR="00246374" w14:paraId="6160DB0B" w14:textId="77777777" w:rsidTr="363CA695">
        <w:tc>
          <w:tcPr>
            <w:tcW w:w="9625" w:type="dxa"/>
          </w:tcPr>
          <w:p w14:paraId="6C76F137" w14:textId="0293FA18" w:rsidR="00246374" w:rsidRDefault="00246374">
            <w:pPr>
              <w:pStyle w:val="ListParagraph"/>
              <w:numPr>
                <w:ilvl w:val="0"/>
                <w:numId w:val="75"/>
              </w:numPr>
              <w:rPr>
                <w:sz w:val="20"/>
                <w:szCs w:val="20"/>
              </w:rPr>
            </w:pPr>
            <w:r w:rsidRPr="363CA695">
              <w:rPr>
                <w:b/>
                <w:bCs/>
                <w:sz w:val="20"/>
                <w:szCs w:val="20"/>
              </w:rPr>
              <w:t xml:space="preserve">Conducts procurement in accordance with POPP </w:t>
            </w:r>
            <w:hyperlink r:id="rId85" w:history="1">
              <w:r w:rsidRPr="363CA695">
                <w:rPr>
                  <w:rStyle w:val="Hyperlink"/>
                  <w:sz w:val="20"/>
                  <w:szCs w:val="20"/>
                </w:rPr>
                <w:t>Procurement</w:t>
              </w:r>
            </w:hyperlink>
            <w:r w:rsidRPr="363CA695">
              <w:rPr>
                <w:rStyle w:val="Hyperlink"/>
                <w:sz w:val="20"/>
                <w:szCs w:val="20"/>
              </w:rPr>
              <w:t xml:space="preserve"> </w:t>
            </w:r>
            <w:r w:rsidRPr="363CA695">
              <w:rPr>
                <w:rStyle w:val="Hyperlink"/>
                <w:color w:val="auto"/>
                <w:sz w:val="20"/>
                <w:szCs w:val="20"/>
                <w:u w:val="none"/>
              </w:rPr>
              <w:t xml:space="preserve">(including sub-sections on </w:t>
            </w:r>
            <w:r w:rsidRPr="363CA695">
              <w:rPr>
                <w:color w:val="0462C1"/>
                <w:sz w:val="20"/>
                <w:szCs w:val="20"/>
                <w:u w:val="single" w:color="0462C1"/>
              </w:rPr>
              <w:t>Contract management;</w:t>
            </w:r>
            <w:r w:rsidRPr="363CA695">
              <w:rPr>
                <w:color w:val="0462C1"/>
              </w:rPr>
              <w:t xml:space="preserve"> </w:t>
            </w:r>
            <w:hyperlink r:id="rId86" w:history="1">
              <w:r w:rsidRPr="363CA695">
                <w:rPr>
                  <w:rStyle w:val="Hyperlink"/>
                  <w:sz w:val="20"/>
                  <w:szCs w:val="20"/>
                </w:rPr>
                <w:t>Shipping &amp; insurance</w:t>
              </w:r>
            </w:hyperlink>
            <w:r w:rsidRPr="363CA695">
              <w:rPr>
                <w:rStyle w:val="Hyperlink"/>
                <w:sz w:val="20"/>
                <w:szCs w:val="20"/>
              </w:rPr>
              <w:t>;</w:t>
            </w:r>
            <w:r w:rsidRPr="363CA695">
              <w:rPr>
                <w:rStyle w:val="Hyperlink"/>
                <w:color w:val="auto"/>
                <w:sz w:val="20"/>
                <w:szCs w:val="20"/>
              </w:rPr>
              <w:t xml:space="preserve"> and </w:t>
            </w:r>
            <w:hyperlink r:id="rId87">
              <w:r w:rsidRPr="363CA695">
                <w:rPr>
                  <w:color w:val="0462C1"/>
                  <w:sz w:val="20"/>
                  <w:szCs w:val="20"/>
                  <w:u w:val="single" w:color="0462C1"/>
                </w:rPr>
                <w:t>Payment</w:t>
              </w:r>
              <w:r w:rsidRPr="363CA695">
                <w:rPr>
                  <w:color w:val="0462C1"/>
                  <w:spacing w:val="-2"/>
                  <w:sz w:val="20"/>
                  <w:szCs w:val="20"/>
                  <w:u w:val="single" w:color="0462C1"/>
                </w:rPr>
                <w:t xml:space="preserve"> </w:t>
              </w:r>
              <w:r w:rsidRPr="363CA695">
                <w:rPr>
                  <w:color w:val="0462C1"/>
                  <w:sz w:val="20"/>
                  <w:szCs w:val="20"/>
                  <w:u w:val="single" w:color="0462C1"/>
                </w:rPr>
                <w:t>and</w:t>
              </w:r>
              <w:r w:rsidRPr="363CA695">
                <w:rPr>
                  <w:color w:val="0462C1"/>
                  <w:spacing w:val="-1"/>
                  <w:sz w:val="20"/>
                  <w:szCs w:val="20"/>
                  <w:u w:val="single" w:color="0462C1"/>
                </w:rPr>
                <w:t xml:space="preserve"> </w:t>
              </w:r>
              <w:r w:rsidRPr="363CA695">
                <w:rPr>
                  <w:color w:val="0462C1"/>
                  <w:sz w:val="20"/>
                  <w:szCs w:val="20"/>
                  <w:u w:val="single" w:color="0462C1"/>
                </w:rPr>
                <w:t>taxes</w:t>
              </w:r>
            </w:hyperlink>
            <w:r w:rsidRPr="363CA695">
              <w:rPr>
                <w:sz w:val="20"/>
                <w:szCs w:val="20"/>
                <w:u w:val="single" w:color="0462C1"/>
              </w:rPr>
              <w:t>)</w:t>
            </w:r>
            <w:r w:rsidRPr="363CA695">
              <w:rPr>
                <w:b/>
                <w:bCs/>
                <w:sz w:val="20"/>
                <w:szCs w:val="20"/>
              </w:rPr>
              <w:t>:</w:t>
            </w:r>
            <w:r w:rsidRPr="363CA695">
              <w:rPr>
                <w:sz w:val="20"/>
                <w:szCs w:val="20"/>
              </w:rPr>
              <w:t xml:space="preserve"> After receipt of approved requisition, conducts procurement and contracting process, ensuring contract shipping and payment terms comply with POPP. Obtains a written justification from the Project Manager where the procurement process did not comply with POPP, then brings the exception to the attention of the Approving Manager prior to PO approval</w:t>
            </w:r>
            <w:r w:rsidR="004241E3" w:rsidRPr="363CA695">
              <w:rPr>
                <w:sz w:val="20"/>
                <w:szCs w:val="20"/>
              </w:rPr>
              <w:t>.</w:t>
            </w:r>
          </w:p>
        </w:tc>
      </w:tr>
      <w:tr w:rsidR="004241E3" w14:paraId="1B5E5937" w14:textId="77777777" w:rsidTr="363CA695">
        <w:tc>
          <w:tcPr>
            <w:tcW w:w="9625" w:type="dxa"/>
          </w:tcPr>
          <w:p w14:paraId="284287BE" w14:textId="4BC855E2" w:rsidR="004241E3" w:rsidRPr="00512A0D" w:rsidRDefault="004241E3">
            <w:pPr>
              <w:pStyle w:val="ListParagraph"/>
              <w:numPr>
                <w:ilvl w:val="0"/>
                <w:numId w:val="75"/>
              </w:numPr>
              <w:rPr>
                <w:b/>
                <w:bCs/>
                <w:sz w:val="20"/>
                <w:szCs w:val="20"/>
              </w:rPr>
            </w:pPr>
            <w:r w:rsidRPr="00A822B3">
              <w:rPr>
                <w:b/>
                <w:bCs/>
                <w:sz w:val="20"/>
                <w:szCs w:val="20"/>
              </w:rPr>
              <w:lastRenderedPageBreak/>
              <w:t>Facilitates supplier registration</w:t>
            </w:r>
            <w:r w:rsidR="00C752C9">
              <w:rPr>
                <w:rStyle w:val="FootnoteReference"/>
                <w:b/>
                <w:bCs/>
                <w:sz w:val="20"/>
                <w:szCs w:val="20"/>
              </w:rPr>
              <w:footnoteReference w:id="22"/>
            </w:r>
            <w:r w:rsidRPr="00A822B3">
              <w:rPr>
                <w:b/>
                <w:bCs/>
                <w:sz w:val="20"/>
                <w:szCs w:val="20"/>
              </w:rPr>
              <w:t>:</w:t>
            </w:r>
            <w:r w:rsidRPr="00A822B3">
              <w:rPr>
                <w:sz w:val="20"/>
                <w:szCs w:val="20"/>
              </w:rPr>
              <w:t xml:space="preserve"> </w:t>
            </w:r>
            <w:r>
              <w:rPr>
                <w:sz w:val="20"/>
                <w:szCs w:val="20"/>
              </w:rPr>
              <w:t xml:space="preserve">Following POPP </w:t>
            </w:r>
            <w:hyperlink r:id="rId88" w:history="1">
              <w:r w:rsidRPr="00A822B3">
                <w:rPr>
                  <w:rStyle w:val="Hyperlink"/>
                  <w:sz w:val="20"/>
                  <w:szCs w:val="20"/>
                </w:rPr>
                <w:t>Supplier Management</w:t>
              </w:r>
            </w:hyperlink>
            <w:r w:rsidRPr="003B2C8B">
              <w:rPr>
                <w:rStyle w:val="Hyperlink"/>
                <w:color w:val="auto"/>
                <w:sz w:val="20"/>
                <w:szCs w:val="20"/>
                <w:u w:val="none"/>
              </w:rPr>
              <w:t>,</w:t>
            </w:r>
            <w:r w:rsidRPr="003B2C8B">
              <w:rPr>
                <w:rStyle w:val="Hyperlink"/>
                <w:color w:val="auto"/>
                <w:u w:val="none"/>
              </w:rPr>
              <w:t xml:space="preserve"> s</w:t>
            </w:r>
            <w:r w:rsidRPr="003B2C8B">
              <w:rPr>
                <w:sz w:val="20"/>
                <w:szCs w:val="20"/>
              </w:rPr>
              <w:t xml:space="preserve">ends </w:t>
            </w:r>
            <w:r w:rsidRPr="00A822B3">
              <w:rPr>
                <w:sz w:val="20"/>
                <w:szCs w:val="20"/>
              </w:rPr>
              <w:t xml:space="preserve">Supplier Portal registration link to suppliers for external </w:t>
            </w:r>
            <w:r w:rsidRPr="009A7C29">
              <w:rPr>
                <w:sz w:val="20"/>
                <w:szCs w:val="20"/>
              </w:rPr>
              <w:t>registrations. Temporary measure for internal registration: The Buyer can register a supplier internally if a supplier cannot self-register (refer to section 2.1 for more information</w:t>
            </w:r>
            <w:r w:rsidR="00C752C9" w:rsidRPr="009A7C29">
              <w:rPr>
                <w:sz w:val="20"/>
                <w:szCs w:val="20"/>
              </w:rPr>
              <w:t>)</w:t>
            </w:r>
          </w:p>
        </w:tc>
      </w:tr>
      <w:tr w:rsidR="004241E3" w14:paraId="121C98A1" w14:textId="77777777" w:rsidTr="363CA695">
        <w:tc>
          <w:tcPr>
            <w:tcW w:w="9625" w:type="dxa"/>
          </w:tcPr>
          <w:p w14:paraId="28384786" w14:textId="1DE0B490" w:rsidR="004241E3" w:rsidRPr="00A822B3" w:rsidRDefault="004241E3">
            <w:pPr>
              <w:pStyle w:val="ListParagraph"/>
              <w:numPr>
                <w:ilvl w:val="0"/>
                <w:numId w:val="75"/>
              </w:numPr>
              <w:rPr>
                <w:b/>
                <w:bCs/>
                <w:sz w:val="20"/>
                <w:szCs w:val="20"/>
              </w:rPr>
            </w:pPr>
            <w:r w:rsidRPr="363CA695">
              <w:rPr>
                <w:b/>
                <w:bCs/>
                <w:sz w:val="20"/>
                <w:szCs w:val="20"/>
              </w:rPr>
              <w:t>Creates POs</w:t>
            </w:r>
            <w:r w:rsidR="00503AC5" w:rsidRPr="363CA695">
              <w:rPr>
                <w:rStyle w:val="FootnoteReference"/>
                <w:b/>
                <w:bCs/>
                <w:sz w:val="20"/>
                <w:szCs w:val="20"/>
              </w:rPr>
              <w:footnoteReference w:id="23"/>
            </w:r>
            <w:r w:rsidRPr="363CA695">
              <w:rPr>
                <w:sz w:val="20"/>
                <w:szCs w:val="20"/>
              </w:rPr>
              <w:t xml:space="preserve"> in accordance with POPP </w:t>
            </w:r>
            <w:hyperlink r:id="rId89" w:history="1">
              <w:r w:rsidRPr="363CA695">
                <w:rPr>
                  <w:rStyle w:val="Hyperlink"/>
                  <w:sz w:val="20"/>
                  <w:szCs w:val="20"/>
                </w:rPr>
                <w:t>Purchase Orders</w:t>
              </w:r>
              <w:r w:rsidR="00E116D4" w:rsidRPr="363CA695">
                <w:rPr>
                  <w:rStyle w:val="Hyperlink"/>
                  <w:sz w:val="20"/>
                  <w:szCs w:val="20"/>
                </w:rPr>
                <w:t>.</w:t>
              </w:r>
              <w:r w:rsidRPr="363CA695">
                <w:rPr>
                  <w:rStyle w:val="Hyperlink"/>
                  <w:sz w:val="20"/>
                  <w:szCs w:val="20"/>
                </w:rPr>
                <w:t xml:space="preserve"> </w:t>
              </w:r>
            </w:hyperlink>
          </w:p>
        </w:tc>
      </w:tr>
      <w:tr w:rsidR="004241E3" w14:paraId="186B95D0" w14:textId="77777777" w:rsidTr="363CA695">
        <w:tc>
          <w:tcPr>
            <w:tcW w:w="9625" w:type="dxa"/>
          </w:tcPr>
          <w:p w14:paraId="1B7952D6" w14:textId="4B5F628C" w:rsidR="004241E3" w:rsidRPr="00512A0D" w:rsidRDefault="004241E3">
            <w:pPr>
              <w:pStyle w:val="ListParagraph"/>
              <w:numPr>
                <w:ilvl w:val="0"/>
                <w:numId w:val="75"/>
              </w:numPr>
              <w:rPr>
                <w:b/>
                <w:bCs/>
                <w:sz w:val="20"/>
                <w:szCs w:val="20"/>
              </w:rPr>
            </w:pPr>
            <w:r w:rsidRPr="052F99C4">
              <w:rPr>
                <w:b/>
                <w:bCs/>
                <w:sz w:val="20"/>
                <w:szCs w:val="20"/>
              </w:rPr>
              <w:t xml:space="preserve">Performs supplier </w:t>
            </w:r>
            <w:proofErr w:type="gramStart"/>
            <w:r w:rsidRPr="052F99C4">
              <w:rPr>
                <w:b/>
                <w:bCs/>
                <w:sz w:val="20"/>
                <w:szCs w:val="20"/>
              </w:rPr>
              <w:t>sanction</w:t>
            </w:r>
            <w:proofErr w:type="gramEnd"/>
            <w:r w:rsidRPr="052F99C4">
              <w:rPr>
                <w:b/>
                <w:bCs/>
                <w:sz w:val="20"/>
                <w:szCs w:val="20"/>
              </w:rPr>
              <w:t xml:space="preserve"> checks</w:t>
            </w:r>
            <w:r w:rsidRPr="052F99C4">
              <w:rPr>
                <w:sz w:val="20"/>
                <w:szCs w:val="20"/>
              </w:rPr>
              <w:t xml:space="preserve"> </w:t>
            </w:r>
            <w:r w:rsidRPr="009A7C29">
              <w:rPr>
                <w:sz w:val="20"/>
                <w:szCs w:val="20"/>
              </w:rPr>
              <w:t xml:space="preserve">each time a </w:t>
            </w:r>
            <w:r w:rsidR="00B572E2" w:rsidRPr="009A7C29">
              <w:rPr>
                <w:sz w:val="20"/>
                <w:szCs w:val="20"/>
              </w:rPr>
              <w:t xml:space="preserve">supplier is created or updated, and each time a </w:t>
            </w:r>
            <w:r w:rsidRPr="009A7C29">
              <w:rPr>
                <w:sz w:val="20"/>
                <w:szCs w:val="20"/>
              </w:rPr>
              <w:t xml:space="preserve">PO or invoice is raised </w:t>
            </w:r>
            <w:r w:rsidRPr="009A7C29">
              <w:rPr>
                <w:i/>
                <w:iCs/>
                <w:sz w:val="20"/>
                <w:szCs w:val="20"/>
              </w:rPr>
              <w:t>(BMS/GSSC performs a monthly screening on existing suppliers</w:t>
            </w:r>
            <w:r w:rsidR="58D81F68" w:rsidRPr="009A7C29">
              <w:rPr>
                <w:i/>
                <w:iCs/>
                <w:sz w:val="20"/>
                <w:szCs w:val="20"/>
              </w:rPr>
              <w:t xml:space="preserve"> in Quantum against sanctioned suppliers from Lexis-Nexis/UNGM)</w:t>
            </w:r>
          </w:p>
        </w:tc>
      </w:tr>
      <w:tr w:rsidR="004241E3" w14:paraId="73F97D99" w14:textId="77777777" w:rsidTr="363CA695">
        <w:tc>
          <w:tcPr>
            <w:tcW w:w="9625" w:type="dxa"/>
          </w:tcPr>
          <w:p w14:paraId="4D37E282" w14:textId="332B082A" w:rsidR="004241E3" w:rsidRPr="00512A0D" w:rsidRDefault="004241E3">
            <w:pPr>
              <w:pStyle w:val="ListParagraph"/>
              <w:numPr>
                <w:ilvl w:val="0"/>
                <w:numId w:val="75"/>
              </w:numPr>
              <w:rPr>
                <w:b/>
                <w:bCs/>
                <w:sz w:val="20"/>
                <w:szCs w:val="20"/>
              </w:rPr>
            </w:pPr>
            <w:r w:rsidRPr="00512A0D">
              <w:rPr>
                <w:b/>
                <w:bCs/>
                <w:sz w:val="20"/>
                <w:szCs w:val="20"/>
              </w:rPr>
              <w:t>Tracks shipping of goods:</w:t>
            </w:r>
            <w:r w:rsidRPr="00512A0D">
              <w:rPr>
                <w:sz w:val="20"/>
                <w:szCs w:val="20"/>
              </w:rPr>
              <w:t xml:space="preserve"> Reviews supporting documentation received from the supplier and the shipper to verify that that the supplier has passed the goods over to the shipper. Follows up with both the supplier and shipment carrier if necessary and notifies the requester and/or Project Manager about the shipment, so that the requester knows when to expect the physical receipt of the goods.</w:t>
            </w:r>
          </w:p>
        </w:tc>
      </w:tr>
      <w:tr w:rsidR="004241E3" w14:paraId="7A0D93E1" w14:textId="77777777" w:rsidTr="363CA695">
        <w:tc>
          <w:tcPr>
            <w:tcW w:w="9625" w:type="dxa"/>
          </w:tcPr>
          <w:p w14:paraId="2EFB4EDF" w14:textId="2A1AE491" w:rsidR="004241E3" w:rsidRPr="00512A0D" w:rsidRDefault="004241E3">
            <w:pPr>
              <w:pStyle w:val="ListParagraph"/>
              <w:numPr>
                <w:ilvl w:val="0"/>
                <w:numId w:val="75"/>
              </w:numPr>
              <w:rPr>
                <w:b/>
                <w:bCs/>
                <w:sz w:val="20"/>
                <w:szCs w:val="20"/>
              </w:rPr>
            </w:pPr>
            <w:r w:rsidRPr="009A7C29">
              <w:rPr>
                <w:b/>
                <w:bCs/>
                <w:sz w:val="20"/>
                <w:szCs w:val="20"/>
              </w:rPr>
              <w:t xml:space="preserve">Can create </w:t>
            </w:r>
            <w:proofErr w:type="gramStart"/>
            <w:r w:rsidRPr="009A7C29">
              <w:rPr>
                <w:b/>
                <w:bCs/>
                <w:sz w:val="20"/>
                <w:szCs w:val="20"/>
              </w:rPr>
              <w:t>invoices, but</w:t>
            </w:r>
            <w:proofErr w:type="gramEnd"/>
            <w:r w:rsidRPr="009A7C29">
              <w:rPr>
                <w:b/>
                <w:bCs/>
                <w:sz w:val="20"/>
                <w:szCs w:val="20"/>
              </w:rPr>
              <w:t xml:space="preserve"> not approve them:</w:t>
            </w:r>
            <w:r w:rsidRPr="009A7C29">
              <w:rPr>
                <w:sz w:val="20"/>
                <w:szCs w:val="20"/>
              </w:rPr>
              <w:t xml:space="preserve"> to accommodate smaller COs or to support high-volume environments, Procurement Buyers have the capability to create an invoice but will not be able to approve it</w:t>
            </w:r>
            <w:r w:rsidRPr="009A7C29">
              <w:rPr>
                <w:rStyle w:val="FootnoteReference"/>
                <w:sz w:val="20"/>
                <w:szCs w:val="20"/>
              </w:rPr>
              <w:footnoteReference w:id="24"/>
            </w:r>
            <w:r w:rsidRPr="009A7C29">
              <w:rPr>
                <w:sz w:val="20"/>
                <w:szCs w:val="20"/>
              </w:rPr>
              <w:t>.</w:t>
            </w:r>
          </w:p>
        </w:tc>
      </w:tr>
      <w:tr w:rsidR="00383DCC" w14:paraId="1D3D84EC" w14:textId="77777777" w:rsidTr="363CA695">
        <w:tc>
          <w:tcPr>
            <w:tcW w:w="9625" w:type="dxa"/>
            <w:shd w:val="clear" w:color="auto" w:fill="E2EFD9" w:themeFill="accent6" w:themeFillTint="33"/>
          </w:tcPr>
          <w:p w14:paraId="37D26370" w14:textId="67996154" w:rsidR="00383DCC" w:rsidRPr="00383DCC" w:rsidRDefault="00383DCC" w:rsidP="00383DCC">
            <w:pPr>
              <w:rPr>
                <w:b/>
                <w:bCs/>
                <w:color w:val="ED7D31" w:themeColor="accent2"/>
                <w:sz w:val="20"/>
                <w:szCs w:val="20"/>
              </w:rPr>
            </w:pPr>
            <w:r w:rsidRPr="00A822B3">
              <w:rPr>
                <w:b/>
                <w:bCs/>
                <w:sz w:val="20"/>
                <w:szCs w:val="20"/>
              </w:rPr>
              <w:t xml:space="preserve">IDAM </w:t>
            </w:r>
            <w:r>
              <w:rPr>
                <w:b/>
                <w:bCs/>
                <w:sz w:val="20"/>
                <w:szCs w:val="20"/>
              </w:rPr>
              <w:t>Business Profile: Procurement Buyer (may be assigned to non-staff)</w:t>
            </w:r>
          </w:p>
        </w:tc>
      </w:tr>
      <w:tr w:rsidR="00383DCC" w14:paraId="5B9D8B7A" w14:textId="77777777" w:rsidTr="363CA695">
        <w:tc>
          <w:tcPr>
            <w:tcW w:w="9625" w:type="dxa"/>
            <w:shd w:val="clear" w:color="auto" w:fill="D9D9D9" w:themeFill="background1" w:themeFillShade="D9"/>
          </w:tcPr>
          <w:p w14:paraId="7EA002EF" w14:textId="7D77A091" w:rsidR="00383DCC" w:rsidRPr="00383DCC" w:rsidRDefault="00383DCC" w:rsidP="363CA695">
            <w:pPr>
              <w:rPr>
                <w:b/>
                <w:bCs/>
                <w:color w:val="ED7D31" w:themeColor="accent2"/>
                <w:sz w:val="20"/>
                <w:szCs w:val="20"/>
              </w:rPr>
            </w:pPr>
            <w:r w:rsidRPr="363CA695">
              <w:rPr>
                <w:b/>
                <w:bCs/>
                <w:sz w:val="20"/>
                <w:szCs w:val="20"/>
              </w:rPr>
              <w:t xml:space="preserve">Required segregation of duties: </w:t>
            </w:r>
            <w:r w:rsidRPr="363CA695">
              <w:rPr>
                <w:sz w:val="20"/>
                <w:szCs w:val="20"/>
              </w:rPr>
              <w:t>Buyers must not: (</w:t>
            </w:r>
            <w:proofErr w:type="spellStart"/>
            <w:r w:rsidRPr="363CA695">
              <w:rPr>
                <w:sz w:val="20"/>
                <w:szCs w:val="20"/>
              </w:rPr>
              <w:t>i</w:t>
            </w:r>
            <w:proofErr w:type="spellEnd"/>
            <w:r w:rsidRPr="363CA695">
              <w:rPr>
                <w:sz w:val="20"/>
                <w:szCs w:val="20"/>
              </w:rPr>
              <w:t xml:space="preserve">) </w:t>
            </w:r>
            <w:r w:rsidRPr="009A7C29">
              <w:rPr>
                <w:sz w:val="20"/>
                <w:szCs w:val="20"/>
              </w:rPr>
              <w:t>approve suppliers (noting the interim exception measures described in section 2.1); (ii) receipt goods, services, or works; or (iii) approve invoices for payment.</w:t>
            </w:r>
          </w:p>
        </w:tc>
      </w:tr>
    </w:tbl>
    <w:p w14:paraId="5FD230F8" w14:textId="77777777" w:rsidR="00AB203D" w:rsidRPr="00400204" w:rsidRDefault="00AB203D" w:rsidP="005A77AA">
      <w:pPr>
        <w:spacing w:line="240" w:lineRule="auto"/>
        <w:rPr>
          <w:sz w:val="8"/>
          <w:szCs w:val="8"/>
        </w:rPr>
      </w:pPr>
    </w:p>
    <w:p w14:paraId="67F67347" w14:textId="77777777" w:rsidR="00BB0E69" w:rsidRPr="00400204" w:rsidRDefault="00BB0E69" w:rsidP="005A77AA">
      <w:pPr>
        <w:spacing w:line="240" w:lineRule="auto"/>
        <w:rPr>
          <w:sz w:val="8"/>
          <w:szCs w:val="8"/>
        </w:rPr>
      </w:pPr>
    </w:p>
    <w:p w14:paraId="620DA261" w14:textId="164B4714" w:rsidR="00432D9F" w:rsidRDefault="00432D9F">
      <w:pPr>
        <w:pStyle w:val="Heading2"/>
        <w:numPr>
          <w:ilvl w:val="1"/>
          <w:numId w:val="93"/>
        </w:numPr>
        <w:spacing w:after="240"/>
      </w:pPr>
      <w:bookmarkStart w:id="44" w:name="_Toc210052762"/>
      <w:r>
        <w:t>Supplier Maintenance (Level 1 approver)</w:t>
      </w:r>
      <w:bookmarkEnd w:id="44"/>
    </w:p>
    <w:p w14:paraId="076E03AF" w14:textId="3E3D6287" w:rsidR="00432D9F" w:rsidRDefault="00484C24" w:rsidP="00AD810D">
      <w:pPr>
        <w:spacing w:line="240" w:lineRule="auto"/>
      </w:pPr>
      <w:r w:rsidRPr="363CA695">
        <w:t>The Supplier Maintenance supplementary role is assigned to UNDP staff members to perform the Level 1 approval of requests to add new suppliers or update existing supplier information.</w:t>
      </w:r>
      <w:r w:rsidR="009D2438" w:rsidRPr="363CA695">
        <w:t xml:space="preserve"> The Supplier Maintenance Role has access to, and control over</w:t>
      </w:r>
      <w:r w:rsidR="006A6CB5" w:rsidRPr="363CA695">
        <w:t>,</w:t>
      </w:r>
      <w:r w:rsidR="009D2438" w:rsidRPr="363CA695">
        <w:t xml:space="preserve"> the suppliers' banking details</w:t>
      </w:r>
      <w:r w:rsidR="00637E61" w:rsidRPr="363CA695">
        <w:rPr>
          <w:rStyle w:val="FootnoteReference"/>
        </w:rPr>
        <w:footnoteReference w:id="25"/>
      </w:r>
      <w:r w:rsidR="009D2438" w:rsidRPr="363CA695">
        <w:t>. It is therefore a highly sensitive role that must be executed by a staff member with diligence and care, otherwise it may result in payment errors and/or potential financial losses to the organization (i.e., fraud). This role is not necessarily required to be fulfilled by DRRs/OMs; however, the RR/Head of Office</w:t>
      </w:r>
      <w:r w:rsidR="008370C5" w:rsidRPr="363CA695">
        <w:t>/Unit</w:t>
      </w:r>
      <w:r w:rsidR="009D2438" w:rsidRPr="363CA695">
        <w:t xml:space="preserve"> must consider these risks when deciding who to assign this role to and document their rationale.</w:t>
      </w:r>
    </w:p>
    <w:tbl>
      <w:tblPr>
        <w:tblStyle w:val="TableGrid"/>
        <w:tblW w:w="0" w:type="auto"/>
        <w:tblCellMar>
          <w:bottom w:w="43" w:type="dxa"/>
        </w:tblCellMar>
        <w:tblLook w:val="04A0" w:firstRow="1" w:lastRow="0" w:firstColumn="1" w:lastColumn="0" w:noHBand="0" w:noVBand="1"/>
      </w:tblPr>
      <w:tblGrid>
        <w:gridCol w:w="9926"/>
      </w:tblGrid>
      <w:tr w:rsidR="005B3EF5" w14:paraId="4EF1793F" w14:textId="77777777" w:rsidTr="363CA695">
        <w:trPr>
          <w:tblHeader/>
        </w:trPr>
        <w:tc>
          <w:tcPr>
            <w:tcW w:w="9926" w:type="dxa"/>
            <w:shd w:val="clear" w:color="auto" w:fill="FFF2CC" w:themeFill="accent4" w:themeFillTint="33"/>
          </w:tcPr>
          <w:p w14:paraId="6C13CECD" w14:textId="3FE48D03" w:rsidR="005B3EF5" w:rsidRDefault="005B3EF5" w:rsidP="00C737F2">
            <w:r>
              <w:rPr>
                <w:b/>
                <w:bCs/>
                <w:sz w:val="20"/>
                <w:szCs w:val="20"/>
              </w:rPr>
              <w:t>Supplier Maintenance (Level 1)</w:t>
            </w:r>
            <w:r w:rsidRPr="00A822B3">
              <w:rPr>
                <w:b/>
                <w:bCs/>
                <w:sz w:val="20"/>
                <w:szCs w:val="20"/>
              </w:rPr>
              <w:t xml:space="preserve">: </w:t>
            </w:r>
            <w:r>
              <w:rPr>
                <w:b/>
                <w:bCs/>
                <w:sz w:val="20"/>
                <w:szCs w:val="20"/>
              </w:rPr>
              <w:t>Key r</w:t>
            </w:r>
            <w:r w:rsidRPr="00A822B3">
              <w:rPr>
                <w:b/>
                <w:bCs/>
                <w:sz w:val="20"/>
                <w:szCs w:val="20"/>
              </w:rPr>
              <w:t>esponsibilities: Performed within each office</w:t>
            </w:r>
            <w:r>
              <w:rPr>
                <w:b/>
                <w:bCs/>
                <w:sz w:val="20"/>
                <w:szCs w:val="20"/>
              </w:rPr>
              <w:t>/unit</w:t>
            </w:r>
          </w:p>
        </w:tc>
      </w:tr>
      <w:tr w:rsidR="005B3EF5" w14:paraId="493EDED9" w14:textId="77777777" w:rsidTr="363CA695">
        <w:tc>
          <w:tcPr>
            <w:tcW w:w="9926" w:type="dxa"/>
          </w:tcPr>
          <w:p w14:paraId="20C53995" w14:textId="0E2C50A6" w:rsidR="005B3EF5" w:rsidRDefault="005B3EF5">
            <w:pPr>
              <w:pStyle w:val="ListParagraph"/>
              <w:numPr>
                <w:ilvl w:val="0"/>
                <w:numId w:val="103"/>
              </w:numPr>
              <w:rPr>
                <w:sz w:val="20"/>
                <w:szCs w:val="20"/>
              </w:rPr>
            </w:pPr>
            <w:r w:rsidRPr="363CA695">
              <w:rPr>
                <w:b/>
                <w:bCs/>
                <w:sz w:val="20"/>
                <w:szCs w:val="20"/>
              </w:rPr>
              <w:t>Confirms legitimacy and completeness of supplier add/edit request:</w:t>
            </w:r>
            <w:r w:rsidRPr="363CA695">
              <w:rPr>
                <w:sz w:val="20"/>
                <w:szCs w:val="20"/>
              </w:rPr>
              <w:t xml:space="preserve"> Based on their knowledge of the country office/unit context and business, validates the legitimacy of the supplier add/edit request, and reviews all information and supporting documents for completeness before executing Level 1 approval in Quantum. Relevant </w:t>
            </w:r>
            <w:r w:rsidRPr="363CA695">
              <w:rPr>
                <w:sz w:val="20"/>
                <w:szCs w:val="20"/>
              </w:rPr>
              <w:lastRenderedPageBreak/>
              <w:t xml:space="preserve">policies &amp; guidance: POPP </w:t>
            </w:r>
            <w:hyperlink r:id="rId90">
              <w:r w:rsidRPr="363CA695">
                <w:rPr>
                  <w:rStyle w:val="Hyperlink"/>
                  <w:sz w:val="20"/>
                  <w:szCs w:val="20"/>
                </w:rPr>
                <w:t>Supplier Management</w:t>
              </w:r>
            </w:hyperlink>
            <w:r w:rsidRPr="363CA695">
              <w:rPr>
                <w:sz w:val="20"/>
                <w:szCs w:val="20"/>
              </w:rPr>
              <w:t xml:space="preserve">; and UNall Knowledge Guides: </w:t>
            </w:r>
            <w:hyperlink r:id="rId91" w:anchor="_Toc145325454">
              <w:r w:rsidRPr="363CA695">
                <w:rPr>
                  <w:rStyle w:val="Hyperlink"/>
                  <w:sz w:val="20"/>
                  <w:szCs w:val="20"/>
                </w:rPr>
                <w:t>Suppliers in Quantum</w:t>
              </w:r>
            </w:hyperlink>
            <w:r w:rsidRPr="363CA695">
              <w:rPr>
                <w:rStyle w:val="Hyperlink"/>
                <w:sz w:val="20"/>
                <w:szCs w:val="20"/>
              </w:rPr>
              <w:t>;</w:t>
            </w:r>
            <w:r w:rsidRPr="363CA695">
              <w:rPr>
                <w:rStyle w:val="Hyperlink"/>
                <w:color w:val="auto"/>
                <w:sz w:val="20"/>
                <w:szCs w:val="20"/>
                <w:u w:val="none"/>
              </w:rPr>
              <w:t xml:space="preserve"> </w:t>
            </w:r>
            <w:hyperlink r:id="rId92">
              <w:r w:rsidRPr="363CA695">
                <w:rPr>
                  <w:rStyle w:val="Hyperlink"/>
                  <w:sz w:val="20"/>
                  <w:szCs w:val="20"/>
                </w:rPr>
                <w:t>BMS/GSSC Supplier Management SharePoint site</w:t>
              </w:r>
            </w:hyperlink>
            <w:r w:rsidRPr="363CA695">
              <w:rPr>
                <w:rStyle w:val="Hyperlink"/>
                <w:color w:val="auto"/>
                <w:sz w:val="20"/>
                <w:szCs w:val="20"/>
                <w:u w:val="none"/>
              </w:rPr>
              <w:t xml:space="preserve">; and </w:t>
            </w:r>
            <w:hyperlink r:id="rId93" w:history="1">
              <w:r w:rsidRPr="00710A1E">
                <w:rPr>
                  <w:rStyle w:val="Hyperlink"/>
                  <w:sz w:val="20"/>
                  <w:szCs w:val="20"/>
                </w:rPr>
                <w:t>BMS/GSSC Supplier Management Guide: Step-by-Step</w:t>
              </w:r>
            </w:hyperlink>
            <w:r w:rsidRPr="363CA695">
              <w:rPr>
                <w:sz w:val="20"/>
                <w:szCs w:val="20"/>
              </w:rPr>
              <w:t>.</w:t>
            </w:r>
          </w:p>
        </w:tc>
      </w:tr>
      <w:tr w:rsidR="005B3EF5" w14:paraId="43AD199B" w14:textId="77777777" w:rsidTr="363CA695">
        <w:tc>
          <w:tcPr>
            <w:tcW w:w="9926" w:type="dxa"/>
            <w:shd w:val="clear" w:color="auto" w:fill="E2EFD9" w:themeFill="accent6" w:themeFillTint="33"/>
          </w:tcPr>
          <w:p w14:paraId="0BF7FCE2" w14:textId="35D1F47D" w:rsidR="005B3EF5" w:rsidRDefault="005B3EF5" w:rsidP="00C737F2">
            <w:r w:rsidRPr="00A822B3">
              <w:rPr>
                <w:b/>
                <w:bCs/>
                <w:sz w:val="20"/>
                <w:szCs w:val="20"/>
              </w:rPr>
              <w:lastRenderedPageBreak/>
              <w:t xml:space="preserve">IDAM </w:t>
            </w:r>
            <w:r>
              <w:rPr>
                <w:b/>
                <w:bCs/>
                <w:sz w:val="20"/>
                <w:szCs w:val="20"/>
              </w:rPr>
              <w:t>Supplementary Role</w:t>
            </w:r>
            <w:r w:rsidRPr="00A822B3">
              <w:rPr>
                <w:b/>
                <w:bCs/>
                <w:sz w:val="20"/>
                <w:szCs w:val="20"/>
              </w:rPr>
              <w:t xml:space="preserve"> – </w:t>
            </w:r>
            <w:r>
              <w:rPr>
                <w:b/>
                <w:bCs/>
                <w:sz w:val="20"/>
                <w:szCs w:val="20"/>
              </w:rPr>
              <w:t>Supplier Maintenance (must be a UNDP staff member)</w:t>
            </w:r>
          </w:p>
        </w:tc>
      </w:tr>
      <w:tr w:rsidR="005B3EF5" w14:paraId="686F1DDF" w14:textId="77777777" w:rsidTr="363CA695">
        <w:tc>
          <w:tcPr>
            <w:tcW w:w="9926" w:type="dxa"/>
            <w:shd w:val="clear" w:color="auto" w:fill="F2F2F2" w:themeFill="background1" w:themeFillShade="F2"/>
          </w:tcPr>
          <w:p w14:paraId="62BC2F4A" w14:textId="2ADF2DA8" w:rsidR="005B3EF5" w:rsidRDefault="005B3EF5" w:rsidP="363CA695">
            <w:pPr>
              <w:rPr>
                <w:sz w:val="20"/>
                <w:szCs w:val="20"/>
              </w:rPr>
            </w:pPr>
            <w:r w:rsidRPr="363CA695">
              <w:rPr>
                <w:b/>
                <w:bCs/>
                <w:sz w:val="20"/>
                <w:szCs w:val="20"/>
              </w:rPr>
              <w:t>Required segregation of duties:</w:t>
            </w:r>
            <w:r w:rsidRPr="363CA695">
              <w:rPr>
                <w:sz w:val="20"/>
                <w:szCs w:val="20"/>
              </w:rPr>
              <w:t xml:space="preserve">  Staff holding a Supplier Maintenance role must not create POs or invoices, nor prepare the bank reconciliation. Where only one bank account signatory is designated for a bank account, the signatory cannot hold a Supplier Maintenance role.</w:t>
            </w:r>
          </w:p>
        </w:tc>
      </w:tr>
      <w:tr w:rsidR="005B3EF5" w14:paraId="04C369F9" w14:textId="77777777" w:rsidTr="363CA695">
        <w:tc>
          <w:tcPr>
            <w:tcW w:w="9926" w:type="dxa"/>
            <w:shd w:val="clear" w:color="auto" w:fill="D9D9D9" w:themeFill="background1" w:themeFillShade="D9"/>
          </w:tcPr>
          <w:p w14:paraId="09D9D4BF" w14:textId="3D895266" w:rsidR="005B3EF5" w:rsidRDefault="005B3EF5" w:rsidP="00C737F2">
            <w:r w:rsidRPr="00484C24">
              <w:rPr>
                <w:b/>
                <w:bCs/>
                <w:sz w:val="20"/>
                <w:szCs w:val="20"/>
              </w:rPr>
              <w:t>Limits on number of Supplier Maintenance roles that can be assigned in offices</w:t>
            </w:r>
            <w:r>
              <w:rPr>
                <w:b/>
                <w:bCs/>
                <w:sz w:val="20"/>
                <w:szCs w:val="20"/>
              </w:rPr>
              <w:t>/units</w:t>
            </w:r>
            <w:proofErr w:type="gramStart"/>
            <w:r w:rsidRPr="00484C24">
              <w:rPr>
                <w:b/>
                <w:bCs/>
                <w:sz w:val="20"/>
                <w:szCs w:val="20"/>
              </w:rPr>
              <w:t xml:space="preserve">: </w:t>
            </w:r>
            <w:r w:rsidRPr="00484C24">
              <w:rPr>
                <w:sz w:val="20"/>
                <w:szCs w:val="20"/>
              </w:rPr>
              <w:t xml:space="preserve"> COs</w:t>
            </w:r>
            <w:proofErr w:type="gramEnd"/>
            <w:r w:rsidRPr="00484C24">
              <w:rPr>
                <w:sz w:val="20"/>
                <w:szCs w:val="20"/>
              </w:rPr>
              <w:t xml:space="preserve"> with prior year annual delivery </w:t>
            </w:r>
            <w:r w:rsidRPr="00484C24">
              <w:rPr>
                <w:sz w:val="20"/>
                <w:szCs w:val="20"/>
                <w:u w:val="single"/>
              </w:rPr>
              <w:t>below $50m</w:t>
            </w:r>
            <w:r w:rsidRPr="00484C24">
              <w:rPr>
                <w:sz w:val="20"/>
                <w:szCs w:val="20"/>
              </w:rPr>
              <w:t xml:space="preserve"> may assign up to </w:t>
            </w:r>
            <w:r w:rsidRPr="00484C24">
              <w:rPr>
                <w:sz w:val="20"/>
                <w:szCs w:val="20"/>
                <w:u w:val="single"/>
              </w:rPr>
              <w:t>two</w:t>
            </w:r>
            <w:r w:rsidRPr="00484C24">
              <w:rPr>
                <w:sz w:val="20"/>
                <w:szCs w:val="20"/>
              </w:rPr>
              <w:t xml:space="preserve"> Supplier Maintenance roles, while COs with prior year annual delivery </w:t>
            </w:r>
            <w:r w:rsidRPr="00484C24">
              <w:rPr>
                <w:sz w:val="20"/>
                <w:szCs w:val="20"/>
                <w:u w:val="single"/>
              </w:rPr>
              <w:t>above $50m</w:t>
            </w:r>
            <w:r w:rsidRPr="00484C24">
              <w:rPr>
                <w:sz w:val="20"/>
                <w:szCs w:val="20"/>
              </w:rPr>
              <w:t xml:space="preserve"> may assign up to up </w:t>
            </w:r>
            <w:r w:rsidRPr="00484C24">
              <w:rPr>
                <w:sz w:val="20"/>
                <w:szCs w:val="20"/>
                <w:u w:val="single"/>
              </w:rPr>
              <w:t>three</w:t>
            </w:r>
            <w:r w:rsidRPr="00484C24">
              <w:rPr>
                <w:sz w:val="20"/>
                <w:szCs w:val="20"/>
              </w:rPr>
              <w:t xml:space="preserve"> roles. </w:t>
            </w:r>
            <w:r w:rsidRPr="00484C24">
              <w:rPr>
                <w:sz w:val="20"/>
                <w:szCs w:val="20"/>
                <w:u w:val="single"/>
              </w:rPr>
              <w:t>HQ offices</w:t>
            </w:r>
            <w:r>
              <w:rPr>
                <w:sz w:val="20"/>
                <w:szCs w:val="20"/>
                <w:u w:val="single"/>
              </w:rPr>
              <w:t>/units</w:t>
            </w:r>
            <w:r w:rsidRPr="00484C24">
              <w:rPr>
                <w:sz w:val="20"/>
                <w:szCs w:val="20"/>
                <w:u w:val="single"/>
              </w:rPr>
              <w:t xml:space="preserve"> </w:t>
            </w:r>
            <w:r w:rsidRPr="00484C24">
              <w:rPr>
                <w:sz w:val="20"/>
                <w:szCs w:val="20"/>
              </w:rPr>
              <w:t xml:space="preserve">may assign a maximum of </w:t>
            </w:r>
            <w:r w:rsidRPr="00484C24">
              <w:rPr>
                <w:sz w:val="20"/>
                <w:szCs w:val="20"/>
                <w:u w:val="single"/>
              </w:rPr>
              <w:t>two</w:t>
            </w:r>
            <w:r w:rsidRPr="00484C24">
              <w:rPr>
                <w:sz w:val="20"/>
                <w:szCs w:val="20"/>
              </w:rPr>
              <w:t xml:space="preserve"> Supplier Maintenance roles.</w:t>
            </w:r>
          </w:p>
        </w:tc>
      </w:tr>
    </w:tbl>
    <w:p w14:paraId="6452F63D" w14:textId="77777777" w:rsidR="00C737F2" w:rsidRDefault="00C737F2" w:rsidP="007E0CED"/>
    <w:p w14:paraId="5DBD7B9E" w14:textId="67B19B2E" w:rsidR="00C737F2" w:rsidRDefault="00C737F2">
      <w:pPr>
        <w:pStyle w:val="Heading2"/>
        <w:numPr>
          <w:ilvl w:val="1"/>
          <w:numId w:val="93"/>
        </w:numPr>
        <w:spacing w:after="240"/>
      </w:pPr>
      <w:bookmarkStart w:id="45" w:name="_Toc210052763"/>
      <w:r>
        <w:t>Supplier Approver (Level 2 approver)</w:t>
      </w:r>
      <w:bookmarkEnd w:id="45"/>
    </w:p>
    <w:p w14:paraId="4DE07F4A" w14:textId="545F703C" w:rsidR="006A7B32" w:rsidRPr="000474E4" w:rsidRDefault="006A7B32" w:rsidP="006C0435">
      <w:pPr>
        <w:spacing w:line="240" w:lineRule="auto"/>
      </w:pPr>
      <w:r w:rsidRPr="000474E4">
        <w:t xml:space="preserve">The Supplier Approver </w:t>
      </w:r>
      <w:r>
        <w:t>Supplementary Role</w:t>
      </w:r>
      <w:r w:rsidRPr="000474E4">
        <w:t xml:space="preserve"> </w:t>
      </w:r>
      <w:r>
        <w:t xml:space="preserve">can be held by </w:t>
      </w:r>
      <w:r w:rsidRPr="000474E4">
        <w:t xml:space="preserve">staff members </w:t>
      </w:r>
      <w:r>
        <w:t>performing the final Level 2 approval</w:t>
      </w:r>
      <w:r w:rsidRPr="000474E4">
        <w:t xml:space="preserve"> of a supplier in Quantum. Only UNDP staff members may be assigned the Supplier Approver role. </w:t>
      </w:r>
      <w:r>
        <w:t>The BMS/GSSC performs the Supplier Approver role for all offices</w:t>
      </w:r>
      <w:r w:rsidR="001F08D4">
        <w:t>/units</w:t>
      </w:r>
      <w:r>
        <w:t>, unless an exception has been granted by the Treasurer</w:t>
      </w:r>
      <w:r w:rsidRPr="009A7C29">
        <w:t>, in consultation with the CFO.</w:t>
      </w:r>
      <w:r w:rsidR="00C36971" w:rsidRPr="009A7C29">
        <w:t xml:space="preserve"> Refer to section 3.3 for further information on the process </w:t>
      </w:r>
      <w:proofErr w:type="gramStart"/>
      <w:r w:rsidR="00C36971" w:rsidRPr="009A7C29">
        <w:t>for</w:t>
      </w:r>
      <w:proofErr w:type="gramEnd"/>
      <w:r w:rsidR="00C36971" w:rsidRPr="009A7C29">
        <w:t xml:space="preserve"> seeking ICF exceptions.</w:t>
      </w:r>
    </w:p>
    <w:tbl>
      <w:tblPr>
        <w:tblpPr w:leftFromText="180" w:rightFromText="180" w:vertAnchor="text" w:horzAnchor="margin" w:tblpX="-10" w:tblpY="-7"/>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246374" w:rsidRPr="00A822B3" w14:paraId="17DEE259" w14:textId="77777777" w:rsidTr="363CA695">
        <w:trPr>
          <w:trHeight w:val="264"/>
        </w:trPr>
        <w:tc>
          <w:tcPr>
            <w:tcW w:w="9895" w:type="dxa"/>
            <w:shd w:val="clear" w:color="auto" w:fill="FFF1CC"/>
          </w:tcPr>
          <w:p w14:paraId="05EA30AF" w14:textId="7738D19C" w:rsidR="00246374" w:rsidRPr="00A822B3" w:rsidRDefault="00246374" w:rsidP="00CF32EB">
            <w:pPr>
              <w:spacing w:after="0" w:line="240" w:lineRule="auto"/>
              <w:rPr>
                <w:b/>
                <w:bCs/>
                <w:sz w:val="20"/>
                <w:szCs w:val="20"/>
              </w:rPr>
            </w:pPr>
            <w:r>
              <w:rPr>
                <w:b/>
                <w:bCs/>
                <w:sz w:val="20"/>
                <w:szCs w:val="20"/>
              </w:rPr>
              <w:t>Supplier Approver (Level 2)</w:t>
            </w:r>
            <w:r w:rsidRPr="00A822B3">
              <w:rPr>
                <w:b/>
                <w:bCs/>
                <w:sz w:val="20"/>
                <w:szCs w:val="20"/>
              </w:rPr>
              <w:t xml:space="preserve">: </w:t>
            </w:r>
            <w:r>
              <w:rPr>
                <w:b/>
                <w:bCs/>
                <w:sz w:val="20"/>
                <w:szCs w:val="20"/>
              </w:rPr>
              <w:t>Key r</w:t>
            </w:r>
            <w:r w:rsidRPr="00A822B3">
              <w:rPr>
                <w:b/>
                <w:bCs/>
                <w:sz w:val="20"/>
                <w:szCs w:val="20"/>
              </w:rPr>
              <w:t xml:space="preserve">esponsibilities: Performed </w:t>
            </w:r>
            <w:r>
              <w:rPr>
                <w:b/>
                <w:bCs/>
                <w:sz w:val="20"/>
                <w:szCs w:val="20"/>
              </w:rPr>
              <w:t>by BMS/GSSC</w:t>
            </w:r>
          </w:p>
        </w:tc>
      </w:tr>
      <w:tr w:rsidR="00246374" w:rsidRPr="00A822B3" w14:paraId="33A56501" w14:textId="77777777" w:rsidTr="363CA695">
        <w:trPr>
          <w:trHeight w:val="1209"/>
        </w:trPr>
        <w:tc>
          <w:tcPr>
            <w:tcW w:w="9895" w:type="dxa"/>
          </w:tcPr>
          <w:p w14:paraId="5C9E32CB" w14:textId="0FA2E7E0" w:rsidR="00246374" w:rsidRPr="00246374" w:rsidRDefault="00246374">
            <w:pPr>
              <w:pStyle w:val="ListParagraph"/>
              <w:numPr>
                <w:ilvl w:val="0"/>
                <w:numId w:val="69"/>
              </w:numPr>
              <w:spacing w:after="0" w:line="240" w:lineRule="auto"/>
              <w:rPr>
                <w:sz w:val="20"/>
                <w:szCs w:val="20"/>
              </w:rPr>
            </w:pPr>
            <w:r w:rsidRPr="363CA695">
              <w:rPr>
                <w:b/>
                <w:bCs/>
                <w:sz w:val="20"/>
                <w:szCs w:val="20"/>
              </w:rPr>
              <w:t>Confirms completeness and accuracy of supplier add/edit request with respect to information entered and documentation:</w:t>
            </w:r>
            <w:r w:rsidRPr="363CA695">
              <w:rPr>
                <w:sz w:val="20"/>
                <w:szCs w:val="20"/>
              </w:rPr>
              <w:t xml:space="preserve"> Confirms that supplier data and supporting documents are complete and accurate; supplier banking </w:t>
            </w:r>
            <w:r w:rsidRPr="009A7C29">
              <w:rPr>
                <w:sz w:val="20"/>
                <w:szCs w:val="20"/>
              </w:rPr>
              <w:t xml:space="preserve">details have been entered correctly in Quantum; and a valid supplier email address exists. </w:t>
            </w:r>
            <w:r w:rsidR="00B572E2" w:rsidRPr="009A7C29">
              <w:rPr>
                <w:sz w:val="20"/>
                <w:szCs w:val="20"/>
              </w:rPr>
              <w:t>BMS/GSSC also performs a monthly screening on existing suppliers in Quantum against sanctioned suppliers from Lexis-Nexis/UNGM</w:t>
            </w:r>
            <w:r w:rsidR="00B572E2" w:rsidRPr="009A7C29">
              <w:rPr>
                <w:i/>
                <w:iCs/>
                <w:sz w:val="20"/>
                <w:szCs w:val="20"/>
              </w:rPr>
              <w:t xml:space="preserve">. </w:t>
            </w:r>
            <w:r w:rsidRPr="009A7C29">
              <w:rPr>
                <w:sz w:val="20"/>
                <w:szCs w:val="20"/>
              </w:rPr>
              <w:t>Relevant policies &amp; guidance</w:t>
            </w:r>
            <w:r w:rsidRPr="363CA695">
              <w:rPr>
                <w:sz w:val="20"/>
                <w:szCs w:val="20"/>
              </w:rPr>
              <w:t xml:space="preserve">: POPP </w:t>
            </w:r>
            <w:hyperlink r:id="rId94">
              <w:r w:rsidRPr="363CA695">
                <w:rPr>
                  <w:rStyle w:val="Hyperlink"/>
                  <w:sz w:val="20"/>
                  <w:szCs w:val="20"/>
                </w:rPr>
                <w:t>Supplier Management</w:t>
              </w:r>
            </w:hyperlink>
            <w:r w:rsidRPr="363CA695">
              <w:rPr>
                <w:sz w:val="20"/>
                <w:szCs w:val="20"/>
              </w:rPr>
              <w:t xml:space="preserve">; and UNall Knowledge Guides: </w:t>
            </w:r>
            <w:hyperlink r:id="rId95" w:anchor="_Toc145325454">
              <w:r w:rsidRPr="363CA695">
                <w:rPr>
                  <w:rStyle w:val="Hyperlink"/>
                  <w:sz w:val="20"/>
                  <w:szCs w:val="20"/>
                </w:rPr>
                <w:t>Suppliers in Quantum</w:t>
              </w:r>
            </w:hyperlink>
            <w:r w:rsidRPr="363CA695">
              <w:rPr>
                <w:rStyle w:val="Hyperlink"/>
                <w:sz w:val="20"/>
                <w:szCs w:val="20"/>
              </w:rPr>
              <w:t xml:space="preserve">; and </w:t>
            </w:r>
            <w:hyperlink r:id="rId96" w:history="1">
              <w:r w:rsidRPr="00710A1E">
                <w:rPr>
                  <w:rStyle w:val="Hyperlink"/>
                  <w:sz w:val="20"/>
                  <w:szCs w:val="20"/>
                </w:rPr>
                <w:t>BMS/GSSC Supplier Management Guide: Step-by-Step</w:t>
              </w:r>
            </w:hyperlink>
            <w:r w:rsidR="00710A1E">
              <w:rPr>
                <w:sz w:val="20"/>
                <w:szCs w:val="20"/>
              </w:rPr>
              <w:t>.</w:t>
            </w:r>
          </w:p>
        </w:tc>
      </w:tr>
      <w:tr w:rsidR="00246374" w:rsidRPr="00A822B3" w14:paraId="60FB80E5" w14:textId="77777777" w:rsidTr="363CA695">
        <w:trPr>
          <w:trHeight w:val="381"/>
        </w:trPr>
        <w:tc>
          <w:tcPr>
            <w:tcW w:w="9895" w:type="dxa"/>
            <w:shd w:val="clear" w:color="auto" w:fill="E1EED9"/>
          </w:tcPr>
          <w:p w14:paraId="0E123932" w14:textId="77777777" w:rsidR="00246374" w:rsidRPr="00A822B3" w:rsidRDefault="00246374" w:rsidP="001426A2">
            <w:pPr>
              <w:spacing w:after="0" w:line="240" w:lineRule="auto"/>
              <w:rPr>
                <w:b/>
                <w:bCs/>
                <w:sz w:val="20"/>
                <w:szCs w:val="20"/>
              </w:rPr>
            </w:pPr>
            <w:r w:rsidRPr="00A822B3">
              <w:rPr>
                <w:b/>
                <w:bCs/>
                <w:sz w:val="20"/>
                <w:szCs w:val="20"/>
              </w:rPr>
              <w:t xml:space="preserve">IDAM </w:t>
            </w:r>
            <w:r>
              <w:rPr>
                <w:b/>
                <w:bCs/>
                <w:sz w:val="20"/>
                <w:szCs w:val="20"/>
              </w:rPr>
              <w:t>Supplementary Role</w:t>
            </w:r>
            <w:r w:rsidRPr="00A822B3">
              <w:rPr>
                <w:b/>
                <w:bCs/>
                <w:sz w:val="20"/>
                <w:szCs w:val="20"/>
              </w:rPr>
              <w:t xml:space="preserve"> – </w:t>
            </w:r>
            <w:r>
              <w:rPr>
                <w:b/>
                <w:bCs/>
                <w:sz w:val="20"/>
                <w:szCs w:val="20"/>
              </w:rPr>
              <w:t>Supplier Approver (must be a UNDP staff member in BMS/GSSC unless an exception has been granted by the Treasurer</w:t>
            </w:r>
            <w:r w:rsidRPr="009A7C29">
              <w:rPr>
                <w:b/>
                <w:bCs/>
                <w:sz w:val="20"/>
                <w:szCs w:val="20"/>
              </w:rPr>
              <w:t>, in consultation with the CFO)</w:t>
            </w:r>
          </w:p>
        </w:tc>
      </w:tr>
      <w:tr w:rsidR="00246374" w:rsidRPr="00A822B3" w14:paraId="53192F12" w14:textId="77777777" w:rsidTr="363CA695">
        <w:trPr>
          <w:trHeight w:val="537"/>
        </w:trPr>
        <w:tc>
          <w:tcPr>
            <w:tcW w:w="9895" w:type="dxa"/>
            <w:shd w:val="clear" w:color="auto" w:fill="E7E6E6" w:themeFill="background2"/>
          </w:tcPr>
          <w:p w14:paraId="1FA29086" w14:textId="77777777" w:rsidR="00246374" w:rsidRPr="006A7B32" w:rsidRDefault="00246374" w:rsidP="363CA695">
            <w:pPr>
              <w:spacing w:after="0" w:line="240" w:lineRule="auto"/>
              <w:rPr>
                <w:sz w:val="20"/>
                <w:szCs w:val="20"/>
              </w:rPr>
            </w:pPr>
            <w:r w:rsidRPr="363CA695">
              <w:rPr>
                <w:b/>
                <w:bCs/>
                <w:sz w:val="20"/>
                <w:szCs w:val="20"/>
              </w:rPr>
              <w:t>Required segregation of duties:</w:t>
            </w:r>
            <w:r w:rsidRPr="363CA695">
              <w:rPr>
                <w:sz w:val="20"/>
                <w:szCs w:val="20"/>
              </w:rPr>
              <w:t xml:space="preserve"> Supplier Approvers must not create POs or invoices, nor prepare the bank reconciliation. Where only one bank account signatory is </w:t>
            </w:r>
            <w:proofErr w:type="gramStart"/>
            <w:r w:rsidRPr="363CA695">
              <w:rPr>
                <w:sz w:val="20"/>
                <w:szCs w:val="20"/>
              </w:rPr>
              <w:t xml:space="preserve">designated </w:t>
            </w:r>
            <w:r w:rsidRPr="363CA695">
              <w:rPr>
                <w:spacing w:val="-47"/>
                <w:sz w:val="20"/>
                <w:szCs w:val="20"/>
              </w:rPr>
              <w:t xml:space="preserve"> </w:t>
            </w:r>
            <w:r w:rsidRPr="363CA695">
              <w:rPr>
                <w:sz w:val="20"/>
                <w:szCs w:val="20"/>
              </w:rPr>
              <w:t>for</w:t>
            </w:r>
            <w:proofErr w:type="gramEnd"/>
            <w:r w:rsidRPr="363CA695">
              <w:rPr>
                <w:spacing w:val="-1"/>
                <w:sz w:val="20"/>
                <w:szCs w:val="20"/>
              </w:rPr>
              <w:t xml:space="preserve"> </w:t>
            </w:r>
            <w:r w:rsidRPr="363CA695">
              <w:rPr>
                <w:sz w:val="20"/>
                <w:szCs w:val="20"/>
              </w:rPr>
              <w:t>a bank</w:t>
            </w:r>
            <w:r w:rsidRPr="363CA695">
              <w:rPr>
                <w:spacing w:val="-2"/>
                <w:sz w:val="20"/>
                <w:szCs w:val="20"/>
              </w:rPr>
              <w:t xml:space="preserve"> </w:t>
            </w:r>
            <w:r w:rsidRPr="363CA695">
              <w:rPr>
                <w:sz w:val="20"/>
                <w:szCs w:val="20"/>
              </w:rPr>
              <w:t>account,</w:t>
            </w:r>
            <w:r w:rsidRPr="363CA695">
              <w:rPr>
                <w:spacing w:val="-2"/>
                <w:sz w:val="20"/>
                <w:szCs w:val="20"/>
              </w:rPr>
              <w:t xml:space="preserve"> </w:t>
            </w:r>
            <w:r w:rsidRPr="363CA695">
              <w:rPr>
                <w:sz w:val="20"/>
                <w:szCs w:val="20"/>
              </w:rPr>
              <w:t>the signatory</w:t>
            </w:r>
            <w:r w:rsidRPr="363CA695">
              <w:rPr>
                <w:spacing w:val="-2"/>
                <w:sz w:val="20"/>
                <w:szCs w:val="20"/>
              </w:rPr>
              <w:t xml:space="preserve"> </w:t>
            </w:r>
            <w:r w:rsidRPr="363CA695">
              <w:rPr>
                <w:sz w:val="20"/>
                <w:szCs w:val="20"/>
              </w:rPr>
              <w:t>cannot be</w:t>
            </w:r>
            <w:r w:rsidRPr="363CA695">
              <w:rPr>
                <w:spacing w:val="1"/>
                <w:sz w:val="20"/>
                <w:szCs w:val="20"/>
              </w:rPr>
              <w:t xml:space="preserve"> </w:t>
            </w:r>
            <w:r w:rsidRPr="363CA695">
              <w:rPr>
                <w:sz w:val="20"/>
                <w:szCs w:val="20"/>
              </w:rPr>
              <w:t>a</w:t>
            </w:r>
            <w:r w:rsidRPr="363CA695">
              <w:rPr>
                <w:spacing w:val="-3"/>
                <w:sz w:val="20"/>
                <w:szCs w:val="20"/>
              </w:rPr>
              <w:t xml:space="preserve"> </w:t>
            </w:r>
            <w:r w:rsidRPr="363CA695">
              <w:rPr>
                <w:sz w:val="20"/>
                <w:szCs w:val="20"/>
              </w:rPr>
              <w:t>Supplier</w:t>
            </w:r>
            <w:r w:rsidRPr="363CA695">
              <w:rPr>
                <w:spacing w:val="-2"/>
                <w:sz w:val="20"/>
                <w:szCs w:val="20"/>
              </w:rPr>
              <w:t xml:space="preserve"> </w:t>
            </w:r>
            <w:r w:rsidRPr="363CA695">
              <w:rPr>
                <w:sz w:val="20"/>
                <w:szCs w:val="20"/>
              </w:rPr>
              <w:t>Approver. Quantum allows for Supplier Approvers to create and update suppliers but ensures that the suppliers they create/update are approved by a different Supplier Approver.</w:t>
            </w:r>
          </w:p>
        </w:tc>
      </w:tr>
    </w:tbl>
    <w:p w14:paraId="4B884E4A" w14:textId="77777777" w:rsidR="007E7DEC" w:rsidRPr="007E7DEC" w:rsidRDefault="007E7DEC" w:rsidP="007E7DEC"/>
    <w:p w14:paraId="535B568B" w14:textId="11FDAAA6" w:rsidR="00C45717" w:rsidRDefault="00E47F97">
      <w:pPr>
        <w:pStyle w:val="Heading2"/>
        <w:numPr>
          <w:ilvl w:val="1"/>
          <w:numId w:val="93"/>
        </w:numPr>
        <w:spacing w:after="240"/>
      </w:pPr>
      <w:bookmarkStart w:id="46" w:name="_Toc210052764"/>
      <w:r>
        <w:t>Approving Manager</w:t>
      </w:r>
      <w:r w:rsidR="00362D45">
        <w:t xml:space="preserve"> (second authority, verifying officer)</w:t>
      </w:r>
      <w:bookmarkEnd w:id="46"/>
    </w:p>
    <w:p w14:paraId="57894F2D" w14:textId="518CF8A3" w:rsidR="00E247E2" w:rsidRPr="009A7C29" w:rsidRDefault="00EA306F" w:rsidP="363CA695">
      <w:pPr>
        <w:spacing w:line="240" w:lineRule="auto"/>
        <w:rPr>
          <w:sz w:val="20"/>
          <w:szCs w:val="20"/>
        </w:rPr>
      </w:pPr>
      <w:r w:rsidRPr="363CA695">
        <w:t xml:space="preserve">Approving Managers </w:t>
      </w:r>
      <w:r w:rsidR="00557278" w:rsidRPr="363CA695">
        <w:t>(second authorit</w:t>
      </w:r>
      <w:r w:rsidR="00557278" w:rsidRPr="009A7C29">
        <w:t xml:space="preserve">y, verifying officer) </w:t>
      </w:r>
      <w:r w:rsidRPr="009A7C29">
        <w:t xml:space="preserve">verify that payments and other financial transactions may be carried out on behalf of UNDP. </w:t>
      </w:r>
      <w:r w:rsidR="004D1C23" w:rsidRPr="009A7C29">
        <w:t xml:space="preserve">Approving </w:t>
      </w:r>
      <w:r w:rsidR="004D1C23" w:rsidRPr="363CA695">
        <w:t>Managers are formally designated by the Head of Office</w:t>
      </w:r>
      <w:r w:rsidR="001F08D4" w:rsidRPr="363CA695">
        <w:t>/Unit</w:t>
      </w:r>
      <w:r w:rsidR="004D1C23" w:rsidRPr="363CA695">
        <w:t xml:space="preserve"> (and by BMS/GSSC for clustered </w:t>
      </w:r>
      <w:r w:rsidR="000F7705" w:rsidRPr="363CA695">
        <w:t xml:space="preserve">Accounts Payable </w:t>
      </w:r>
      <w:r w:rsidR="004D1C23" w:rsidRPr="363CA695">
        <w:t xml:space="preserve">processes) on behalf of the UNDP CFO and must be UNDP staff members. Second authority cannot be further delegated, </w:t>
      </w:r>
      <w:proofErr w:type="gramStart"/>
      <w:r w:rsidR="004D1C23" w:rsidRPr="363CA695">
        <w:t>per</w:t>
      </w:r>
      <w:proofErr w:type="gramEnd"/>
      <w:r w:rsidR="004D1C23" w:rsidRPr="363CA695">
        <w:t xml:space="preserve"> financial rule 122.01. </w:t>
      </w:r>
      <w:r w:rsidR="004D1C23" w:rsidRPr="363CA695">
        <w:rPr>
          <w:b/>
          <w:bCs/>
        </w:rPr>
        <w:t>Any exceptions must be approved by the CFO, on a case-by-case basis, based upon full justification and the application of appropriate controls by the respective office</w:t>
      </w:r>
      <w:r w:rsidR="001F08D4" w:rsidRPr="363CA695">
        <w:rPr>
          <w:b/>
          <w:bCs/>
        </w:rPr>
        <w:t>/unit</w:t>
      </w:r>
      <w:r w:rsidR="004D1C23" w:rsidRPr="363CA695">
        <w:t>.</w:t>
      </w:r>
      <w:r w:rsidR="00E247E2" w:rsidRPr="363CA695">
        <w:t xml:space="preserve"> </w:t>
      </w:r>
      <w:r w:rsidR="002E01A5" w:rsidRPr="363CA695">
        <w:t xml:space="preserve">The designation as Approving Manager by </w:t>
      </w:r>
      <w:r w:rsidR="002E01A5" w:rsidRPr="009A7C29">
        <w:t xml:space="preserve">the Head of Office authorizes the staff to </w:t>
      </w:r>
      <w:proofErr w:type="gramStart"/>
      <w:r w:rsidR="002E01A5" w:rsidRPr="009A7C29">
        <w:t>enter into</w:t>
      </w:r>
      <w:proofErr w:type="gramEnd"/>
      <w:r w:rsidR="002E01A5" w:rsidRPr="009A7C29">
        <w:t xml:space="preserve"> contracts on behalf of UNDP, by approving and signing POs for goods and services (including ICs), travel authorizations, and contracts for works.</w:t>
      </w:r>
      <w:r w:rsidR="002E01A5" w:rsidRPr="009A7C29">
        <w:rPr>
          <w:sz w:val="20"/>
          <w:szCs w:val="20"/>
        </w:rPr>
        <w:t xml:space="preserve"> </w:t>
      </w:r>
      <w:r w:rsidR="00E247E2" w:rsidRPr="009A7C29">
        <w:t>The Head of Office</w:t>
      </w:r>
      <w:r w:rsidR="001F08D4" w:rsidRPr="009A7C29">
        <w:t>/Unit</w:t>
      </w:r>
      <w:r w:rsidR="00E247E2" w:rsidRPr="009A7C29">
        <w:t xml:space="preserve">’s designation should </w:t>
      </w:r>
      <w:r w:rsidR="00E116D4" w:rsidRPr="009A7C29">
        <w:t>precisely describe</w:t>
      </w:r>
      <w:r w:rsidR="00E247E2" w:rsidRPr="009A7C29">
        <w:t xml:space="preserve"> the responsibilities and the authorities of an Approving Manager, such as the authority to approve POs, non-PO payments, and prepayments up to certain thresholds (see below for corporately established thresholds for Senior Manager, Manager Level 2 and Manager Level 1).</w:t>
      </w:r>
    </w:p>
    <w:p w14:paraId="7E69C5DA" w14:textId="32AF0430" w:rsidR="000B5103" w:rsidRPr="009A7C29" w:rsidRDefault="00726D02" w:rsidP="363CA695">
      <w:pPr>
        <w:spacing w:line="240" w:lineRule="auto"/>
      </w:pPr>
      <w:r w:rsidRPr="009A7C29">
        <w:t xml:space="preserve">The Approving Manager role is comprised of two functions: </w:t>
      </w:r>
      <w:r w:rsidR="002E4B2B" w:rsidRPr="009A7C29">
        <w:t>Part A and Part B, as shown in the table below.</w:t>
      </w:r>
    </w:p>
    <w:tbl>
      <w:tblPr>
        <w:tblStyle w:val="TableGrid"/>
        <w:tblW w:w="9715" w:type="dxa"/>
        <w:tblCellMar>
          <w:bottom w:w="43" w:type="dxa"/>
        </w:tblCellMar>
        <w:tblLook w:val="04A0" w:firstRow="1" w:lastRow="0" w:firstColumn="1" w:lastColumn="0" w:noHBand="0" w:noVBand="1"/>
      </w:tblPr>
      <w:tblGrid>
        <w:gridCol w:w="4585"/>
        <w:gridCol w:w="5130"/>
      </w:tblGrid>
      <w:tr w:rsidR="000E683A" w:rsidRPr="003F3D6B" w14:paraId="325D64C2" w14:textId="77777777" w:rsidTr="310609F1">
        <w:trPr>
          <w:tblHeader/>
        </w:trPr>
        <w:tc>
          <w:tcPr>
            <w:tcW w:w="9715" w:type="dxa"/>
            <w:gridSpan w:val="2"/>
            <w:shd w:val="clear" w:color="auto" w:fill="002060"/>
          </w:tcPr>
          <w:p w14:paraId="33CF4A2D" w14:textId="71A46DFC" w:rsidR="000E683A" w:rsidRPr="003F3D6B" w:rsidRDefault="000E683A" w:rsidP="000E683A">
            <w:pPr>
              <w:jc w:val="center"/>
              <w:rPr>
                <w:b/>
                <w:bCs/>
                <w:sz w:val="20"/>
                <w:szCs w:val="20"/>
              </w:rPr>
            </w:pPr>
            <w:r w:rsidRPr="003F3D6B">
              <w:rPr>
                <w:b/>
                <w:bCs/>
                <w:sz w:val="20"/>
                <w:szCs w:val="20"/>
              </w:rPr>
              <w:lastRenderedPageBreak/>
              <w:t>Approving Manager functions</w:t>
            </w:r>
            <w:r w:rsidR="00EF101F">
              <w:rPr>
                <w:b/>
                <w:bCs/>
                <w:sz w:val="20"/>
                <w:szCs w:val="20"/>
              </w:rPr>
              <w:t xml:space="preserve"> (second authority, verifying officer)</w:t>
            </w:r>
          </w:p>
        </w:tc>
      </w:tr>
      <w:tr w:rsidR="000B5103" w:rsidRPr="003F3D6B" w14:paraId="1FC4848C" w14:textId="77777777" w:rsidTr="310609F1">
        <w:trPr>
          <w:trHeight w:val="521"/>
          <w:tblHeader/>
        </w:trPr>
        <w:tc>
          <w:tcPr>
            <w:tcW w:w="4585" w:type="dxa"/>
            <w:shd w:val="clear" w:color="auto" w:fill="70AD47" w:themeFill="accent6"/>
          </w:tcPr>
          <w:p w14:paraId="43EF3A19" w14:textId="661F8C39" w:rsidR="000B5103" w:rsidRPr="00B572E2" w:rsidRDefault="000E683A" w:rsidP="00EF101F">
            <w:pPr>
              <w:rPr>
                <w:b/>
                <w:bCs/>
                <w:color w:val="FFFFFF" w:themeColor="background1"/>
                <w:sz w:val="20"/>
                <w:szCs w:val="20"/>
              </w:rPr>
            </w:pPr>
            <w:r w:rsidRPr="00B572E2">
              <w:rPr>
                <w:b/>
                <w:bCs/>
                <w:color w:val="FFFFFF" w:themeColor="background1"/>
                <w:sz w:val="20"/>
                <w:szCs w:val="20"/>
              </w:rPr>
              <w:t xml:space="preserve">Role – Part A: </w:t>
            </w:r>
            <w:r w:rsidR="000B5103" w:rsidRPr="00B572E2">
              <w:rPr>
                <w:b/>
                <w:bCs/>
                <w:color w:val="FFFFFF" w:themeColor="background1"/>
                <w:sz w:val="20"/>
                <w:szCs w:val="20"/>
              </w:rPr>
              <w:t>Perform</w:t>
            </w:r>
            <w:r w:rsidRPr="00B572E2">
              <w:rPr>
                <w:b/>
                <w:bCs/>
                <w:color w:val="FFFFFF" w:themeColor="background1"/>
                <w:sz w:val="20"/>
                <w:szCs w:val="20"/>
              </w:rPr>
              <w:t>s</w:t>
            </w:r>
            <w:r w:rsidR="00EF101F" w:rsidRPr="00B572E2">
              <w:rPr>
                <w:b/>
                <w:bCs/>
                <w:color w:val="FFFFFF" w:themeColor="background1"/>
                <w:sz w:val="20"/>
                <w:szCs w:val="20"/>
              </w:rPr>
              <w:t xml:space="preserve"> an</w:t>
            </w:r>
            <w:r w:rsidR="000B5103" w:rsidRPr="00B572E2">
              <w:rPr>
                <w:b/>
                <w:bCs/>
                <w:color w:val="FFFFFF" w:themeColor="background1"/>
                <w:sz w:val="20"/>
                <w:szCs w:val="20"/>
              </w:rPr>
              <w:t xml:space="preserve"> independent review of </w:t>
            </w:r>
            <w:r w:rsidR="00EF101F" w:rsidRPr="00B572E2">
              <w:rPr>
                <w:b/>
                <w:bCs/>
                <w:color w:val="FFFFFF" w:themeColor="background1"/>
                <w:sz w:val="20"/>
                <w:szCs w:val="20"/>
              </w:rPr>
              <w:t xml:space="preserve">the </w:t>
            </w:r>
            <w:r w:rsidR="000B5103" w:rsidRPr="00B572E2">
              <w:rPr>
                <w:b/>
                <w:bCs/>
                <w:color w:val="FFFFFF" w:themeColor="background1"/>
                <w:sz w:val="20"/>
                <w:szCs w:val="20"/>
              </w:rPr>
              <w:t xml:space="preserve">authority exercised by </w:t>
            </w:r>
            <w:r w:rsidR="00EF101F" w:rsidRPr="00B572E2">
              <w:rPr>
                <w:b/>
                <w:bCs/>
                <w:color w:val="FFFFFF" w:themeColor="background1"/>
                <w:sz w:val="20"/>
                <w:szCs w:val="20"/>
              </w:rPr>
              <w:t xml:space="preserve">the </w:t>
            </w:r>
            <w:r w:rsidR="000B5103" w:rsidRPr="00B572E2">
              <w:rPr>
                <w:b/>
                <w:bCs/>
                <w:color w:val="FFFFFF" w:themeColor="background1"/>
                <w:sz w:val="20"/>
                <w:szCs w:val="20"/>
              </w:rPr>
              <w:t>Project Manager (first authority, committing officer)</w:t>
            </w:r>
          </w:p>
        </w:tc>
        <w:tc>
          <w:tcPr>
            <w:tcW w:w="5130" w:type="dxa"/>
            <w:shd w:val="clear" w:color="auto" w:fill="0070C0"/>
          </w:tcPr>
          <w:p w14:paraId="4B949FD5" w14:textId="455FDB84" w:rsidR="000B5103" w:rsidRPr="00B572E2" w:rsidRDefault="000E683A" w:rsidP="000E683A">
            <w:pPr>
              <w:rPr>
                <w:b/>
                <w:bCs/>
                <w:color w:val="FFFFFF" w:themeColor="background1"/>
                <w:sz w:val="20"/>
                <w:szCs w:val="20"/>
              </w:rPr>
            </w:pPr>
            <w:r w:rsidRPr="00B572E2">
              <w:rPr>
                <w:b/>
                <w:bCs/>
                <w:color w:val="FFFFFF" w:themeColor="background1"/>
                <w:sz w:val="20"/>
                <w:szCs w:val="20"/>
              </w:rPr>
              <w:t xml:space="preserve">Role – Part B: </w:t>
            </w:r>
            <w:r w:rsidR="000B5103" w:rsidRPr="00B572E2">
              <w:rPr>
                <w:b/>
                <w:bCs/>
                <w:color w:val="FFFFFF" w:themeColor="background1"/>
                <w:sz w:val="20"/>
                <w:szCs w:val="20"/>
              </w:rPr>
              <w:t>Verif</w:t>
            </w:r>
            <w:r w:rsidRPr="00B572E2">
              <w:rPr>
                <w:b/>
                <w:bCs/>
                <w:color w:val="FFFFFF" w:themeColor="background1"/>
                <w:sz w:val="20"/>
                <w:szCs w:val="20"/>
              </w:rPr>
              <w:t>ies</w:t>
            </w:r>
            <w:r w:rsidR="000B5103" w:rsidRPr="00B572E2">
              <w:rPr>
                <w:b/>
                <w:bCs/>
                <w:color w:val="FFFFFF" w:themeColor="background1"/>
                <w:sz w:val="20"/>
                <w:szCs w:val="20"/>
              </w:rPr>
              <w:t xml:space="preserve"> that payments may be made</w:t>
            </w:r>
          </w:p>
        </w:tc>
      </w:tr>
      <w:tr w:rsidR="003F3D6B" w:rsidRPr="003F3D6B" w14:paraId="56FD08CF" w14:textId="77777777" w:rsidTr="310609F1">
        <w:trPr>
          <w:tblHeader/>
        </w:trPr>
        <w:tc>
          <w:tcPr>
            <w:tcW w:w="4585" w:type="dxa"/>
            <w:shd w:val="clear" w:color="auto" w:fill="E2EFD9" w:themeFill="accent6" w:themeFillTint="33"/>
          </w:tcPr>
          <w:p w14:paraId="739BB29A" w14:textId="77777777" w:rsidR="003F3D6B" w:rsidRPr="009A7C29" w:rsidRDefault="003F3D6B" w:rsidP="000B5103">
            <w:pPr>
              <w:rPr>
                <w:rFonts w:cstheme="minorHAnsi"/>
                <w:b/>
                <w:bCs/>
                <w:i/>
                <w:iCs/>
                <w:sz w:val="20"/>
                <w:szCs w:val="20"/>
              </w:rPr>
            </w:pPr>
            <w:r w:rsidRPr="009A7C29">
              <w:rPr>
                <w:b/>
                <w:bCs/>
                <w:i/>
                <w:iCs/>
                <w:sz w:val="20"/>
                <w:szCs w:val="20"/>
              </w:rPr>
              <w:t>Actions performed:</w:t>
            </w:r>
          </w:p>
        </w:tc>
        <w:tc>
          <w:tcPr>
            <w:tcW w:w="5130" w:type="dxa"/>
            <w:shd w:val="clear" w:color="auto" w:fill="D9E2F3" w:themeFill="accent1" w:themeFillTint="33"/>
          </w:tcPr>
          <w:p w14:paraId="05A646F6" w14:textId="0D0610B3" w:rsidR="003F3D6B" w:rsidRPr="009A7C29" w:rsidRDefault="003F3D6B" w:rsidP="000B5103">
            <w:pPr>
              <w:rPr>
                <w:b/>
                <w:i/>
                <w:sz w:val="20"/>
                <w:szCs w:val="20"/>
              </w:rPr>
            </w:pPr>
            <w:r w:rsidRPr="009A7C29">
              <w:rPr>
                <w:b/>
                <w:bCs/>
                <w:i/>
                <w:iCs/>
                <w:sz w:val="20"/>
                <w:szCs w:val="20"/>
              </w:rPr>
              <w:t>Actions performed:</w:t>
            </w:r>
          </w:p>
        </w:tc>
      </w:tr>
      <w:tr w:rsidR="00246374" w:rsidRPr="003F3D6B" w14:paraId="2BA58FDC" w14:textId="77777777" w:rsidTr="310609F1">
        <w:tc>
          <w:tcPr>
            <w:tcW w:w="4585" w:type="dxa"/>
            <w:shd w:val="clear" w:color="auto" w:fill="E2EFD9" w:themeFill="accent6" w:themeFillTint="33"/>
          </w:tcPr>
          <w:p w14:paraId="6825209A" w14:textId="7462416B" w:rsidR="00246374" w:rsidRPr="009A7C29" w:rsidRDefault="00246374">
            <w:pPr>
              <w:pStyle w:val="ListParagraph"/>
              <w:numPr>
                <w:ilvl w:val="0"/>
                <w:numId w:val="76"/>
              </w:numPr>
              <w:rPr>
                <w:sz w:val="20"/>
                <w:szCs w:val="20"/>
              </w:rPr>
            </w:pPr>
            <w:r w:rsidRPr="009A7C29">
              <w:rPr>
                <w:sz w:val="20"/>
                <w:szCs w:val="20"/>
              </w:rPr>
              <w:t>Prior to approving POs or clearing non-PO invoices and prepayments, confirms that:</w:t>
            </w:r>
          </w:p>
          <w:p w14:paraId="698ABE98" w14:textId="5BADE6CA" w:rsidR="00246374" w:rsidRPr="009A7C29" w:rsidRDefault="00246374">
            <w:pPr>
              <w:pStyle w:val="ListParagraph"/>
              <w:numPr>
                <w:ilvl w:val="1"/>
                <w:numId w:val="76"/>
              </w:numPr>
              <w:rPr>
                <w:sz w:val="20"/>
                <w:szCs w:val="20"/>
              </w:rPr>
            </w:pPr>
            <w:r w:rsidRPr="009A7C29">
              <w:rPr>
                <w:sz w:val="20"/>
                <w:szCs w:val="20"/>
              </w:rPr>
              <w:t xml:space="preserve">Applicable policies and procedures have been followed (e.g., POPP </w:t>
            </w:r>
            <w:hyperlink r:id="rId97" w:history="1">
              <w:r w:rsidRPr="009A7C29">
                <w:rPr>
                  <w:rStyle w:val="Hyperlink"/>
                  <w:color w:val="4472C4" w:themeColor="accent1"/>
                  <w:sz w:val="20"/>
                  <w:szCs w:val="20"/>
                </w:rPr>
                <w:t>Procurement</w:t>
              </w:r>
            </w:hyperlink>
            <w:r w:rsidRPr="009A7C29">
              <w:rPr>
                <w:color w:val="4472C4" w:themeColor="accent1"/>
                <w:sz w:val="20"/>
                <w:szCs w:val="20"/>
              </w:rPr>
              <w:t xml:space="preserve">, </w:t>
            </w:r>
            <w:r w:rsidRPr="009A7C29">
              <w:rPr>
                <w:sz w:val="20"/>
                <w:szCs w:val="20"/>
              </w:rPr>
              <w:t xml:space="preserve">POPP </w:t>
            </w:r>
            <w:hyperlink r:id="rId98" w:history="1">
              <w:r w:rsidRPr="009A7C29">
                <w:rPr>
                  <w:rStyle w:val="Hyperlink"/>
                  <w:color w:val="4472C4" w:themeColor="accent1"/>
                  <w:sz w:val="20"/>
                  <w:szCs w:val="20"/>
                </w:rPr>
                <w:t>Purchase Orders</w:t>
              </w:r>
            </w:hyperlink>
            <w:r w:rsidRPr="009A7C29">
              <w:rPr>
                <w:sz w:val="20"/>
                <w:szCs w:val="20"/>
              </w:rPr>
              <w:t xml:space="preserve">, POPP </w:t>
            </w:r>
            <w:hyperlink r:id="rId99" w:history="1">
              <w:r w:rsidRPr="009A7C29">
                <w:rPr>
                  <w:rStyle w:val="Hyperlink"/>
                  <w:color w:val="4472C4" w:themeColor="accent1"/>
                  <w:sz w:val="20"/>
                  <w:szCs w:val="20"/>
                </w:rPr>
                <w:t>Prepayments</w:t>
              </w:r>
            </w:hyperlink>
            <w:r w:rsidRPr="009A7C29">
              <w:rPr>
                <w:sz w:val="20"/>
                <w:szCs w:val="20"/>
              </w:rPr>
              <w:t>).</w:t>
            </w:r>
          </w:p>
          <w:p w14:paraId="0F575B8E" w14:textId="60D2852D" w:rsidR="00246374" w:rsidRPr="009A7C29" w:rsidRDefault="00246374">
            <w:pPr>
              <w:pStyle w:val="ListParagraph"/>
              <w:numPr>
                <w:ilvl w:val="1"/>
                <w:numId w:val="76"/>
              </w:numPr>
              <w:rPr>
                <w:sz w:val="20"/>
                <w:szCs w:val="20"/>
              </w:rPr>
            </w:pPr>
            <w:r w:rsidRPr="009A7C29">
              <w:rPr>
                <w:sz w:val="20"/>
                <w:szCs w:val="20"/>
              </w:rPr>
              <w:t xml:space="preserve">ACP or RACP </w:t>
            </w:r>
            <w:r w:rsidR="00CB308B" w:rsidRPr="009A7C29">
              <w:rPr>
                <w:sz w:val="20"/>
                <w:szCs w:val="20"/>
              </w:rPr>
              <w:t xml:space="preserve">review and recommendation </w:t>
            </w:r>
            <w:proofErr w:type="gramStart"/>
            <w:r w:rsidRPr="009A7C29">
              <w:rPr>
                <w:sz w:val="20"/>
                <w:szCs w:val="20"/>
              </w:rPr>
              <w:t>has</w:t>
            </w:r>
            <w:proofErr w:type="gramEnd"/>
            <w:r w:rsidRPr="009A7C29">
              <w:rPr>
                <w:sz w:val="20"/>
                <w:szCs w:val="20"/>
              </w:rPr>
              <w:t xml:space="preserve"> been sought </w:t>
            </w:r>
            <w:r w:rsidR="00621B9F" w:rsidRPr="009A7C29">
              <w:rPr>
                <w:sz w:val="20"/>
                <w:szCs w:val="20"/>
              </w:rPr>
              <w:t xml:space="preserve">and received </w:t>
            </w:r>
            <w:r w:rsidRPr="009A7C29">
              <w:rPr>
                <w:sz w:val="20"/>
                <w:szCs w:val="20"/>
              </w:rPr>
              <w:t>prior</w:t>
            </w:r>
            <w:r w:rsidRPr="009A7C29">
              <w:rPr>
                <w:spacing w:val="-1"/>
                <w:sz w:val="20"/>
                <w:szCs w:val="20"/>
              </w:rPr>
              <w:t xml:space="preserve"> </w:t>
            </w:r>
            <w:r w:rsidRPr="009A7C29">
              <w:rPr>
                <w:sz w:val="20"/>
                <w:szCs w:val="20"/>
              </w:rPr>
              <w:t>to</w:t>
            </w:r>
            <w:r w:rsidRPr="009A7C29">
              <w:rPr>
                <w:spacing w:val="1"/>
                <w:sz w:val="20"/>
                <w:szCs w:val="20"/>
              </w:rPr>
              <w:t xml:space="preserve"> </w:t>
            </w:r>
            <w:r w:rsidRPr="009A7C29">
              <w:rPr>
                <w:sz w:val="20"/>
                <w:szCs w:val="20"/>
              </w:rPr>
              <w:t>approving</w:t>
            </w:r>
            <w:r w:rsidRPr="009A7C29">
              <w:rPr>
                <w:spacing w:val="-3"/>
                <w:sz w:val="20"/>
                <w:szCs w:val="20"/>
              </w:rPr>
              <w:t xml:space="preserve"> </w:t>
            </w:r>
            <w:r w:rsidRPr="009A7C29">
              <w:rPr>
                <w:sz w:val="20"/>
                <w:szCs w:val="20"/>
              </w:rPr>
              <w:t>POs</w:t>
            </w:r>
            <w:r w:rsidRPr="009A7C29">
              <w:rPr>
                <w:spacing w:val="-2"/>
                <w:sz w:val="20"/>
                <w:szCs w:val="20"/>
              </w:rPr>
              <w:t xml:space="preserve"> </w:t>
            </w:r>
            <w:r w:rsidRPr="009A7C29">
              <w:rPr>
                <w:sz w:val="20"/>
                <w:szCs w:val="20"/>
              </w:rPr>
              <w:t>that</w:t>
            </w:r>
            <w:r w:rsidRPr="009A7C29">
              <w:rPr>
                <w:spacing w:val="-3"/>
                <w:sz w:val="20"/>
                <w:szCs w:val="20"/>
              </w:rPr>
              <w:t xml:space="preserve"> </w:t>
            </w:r>
            <w:r w:rsidRPr="009A7C29">
              <w:rPr>
                <w:sz w:val="20"/>
                <w:szCs w:val="20"/>
              </w:rPr>
              <w:t>exceed</w:t>
            </w:r>
            <w:r w:rsidRPr="009A7C29">
              <w:rPr>
                <w:spacing w:val="-1"/>
                <w:sz w:val="20"/>
                <w:szCs w:val="20"/>
              </w:rPr>
              <w:t xml:space="preserve"> </w:t>
            </w:r>
            <w:r w:rsidRPr="009A7C29">
              <w:rPr>
                <w:sz w:val="20"/>
                <w:szCs w:val="20"/>
              </w:rPr>
              <w:t>the</w:t>
            </w:r>
            <w:r w:rsidRPr="009A7C29">
              <w:rPr>
                <w:spacing w:val="1"/>
                <w:sz w:val="20"/>
                <w:szCs w:val="20"/>
              </w:rPr>
              <w:t xml:space="preserve"> </w:t>
            </w:r>
            <w:r w:rsidRPr="009A7C29">
              <w:rPr>
                <w:sz w:val="20"/>
                <w:szCs w:val="20"/>
              </w:rPr>
              <w:t>threshold</w:t>
            </w:r>
            <w:r w:rsidRPr="009A7C29">
              <w:rPr>
                <w:spacing w:val="-3"/>
                <w:sz w:val="20"/>
                <w:szCs w:val="20"/>
              </w:rPr>
              <w:t xml:space="preserve"> </w:t>
            </w:r>
            <w:r w:rsidRPr="009A7C29">
              <w:rPr>
                <w:sz w:val="20"/>
                <w:szCs w:val="20"/>
              </w:rPr>
              <w:t>of approval</w:t>
            </w:r>
            <w:r w:rsidRPr="009A7C29">
              <w:rPr>
                <w:spacing w:val="-3"/>
                <w:sz w:val="20"/>
                <w:szCs w:val="20"/>
              </w:rPr>
              <w:t xml:space="preserve"> </w:t>
            </w:r>
            <w:r w:rsidRPr="009A7C29">
              <w:rPr>
                <w:sz w:val="20"/>
                <w:szCs w:val="20"/>
              </w:rPr>
              <w:t>of</w:t>
            </w:r>
            <w:r w:rsidRPr="009A7C29">
              <w:rPr>
                <w:spacing w:val="-2"/>
                <w:sz w:val="20"/>
                <w:szCs w:val="20"/>
              </w:rPr>
              <w:t xml:space="preserve"> </w:t>
            </w:r>
            <w:r w:rsidRPr="009A7C29">
              <w:rPr>
                <w:sz w:val="20"/>
                <w:szCs w:val="20"/>
              </w:rPr>
              <w:t>the</w:t>
            </w:r>
            <w:r w:rsidRPr="009A7C29">
              <w:rPr>
                <w:spacing w:val="-2"/>
                <w:sz w:val="20"/>
                <w:szCs w:val="20"/>
              </w:rPr>
              <w:t xml:space="preserve"> </w:t>
            </w:r>
            <w:r w:rsidRPr="009A7C29">
              <w:rPr>
                <w:sz w:val="20"/>
                <w:szCs w:val="20"/>
              </w:rPr>
              <w:t>office/unit.</w:t>
            </w:r>
          </w:p>
          <w:p w14:paraId="3B98E1B7" w14:textId="48851D29" w:rsidR="002B5DAF" w:rsidRPr="009A7C29" w:rsidRDefault="002B5DAF">
            <w:pPr>
              <w:pStyle w:val="ListParagraph"/>
              <w:numPr>
                <w:ilvl w:val="1"/>
                <w:numId w:val="76"/>
              </w:numPr>
              <w:rPr>
                <w:sz w:val="20"/>
                <w:szCs w:val="20"/>
              </w:rPr>
            </w:pPr>
            <w:r w:rsidRPr="009A7C29">
              <w:rPr>
                <w:sz w:val="20"/>
                <w:szCs w:val="20"/>
              </w:rPr>
              <w:t xml:space="preserve">CAP </w:t>
            </w:r>
            <w:r w:rsidR="00CB308B" w:rsidRPr="009A7C29">
              <w:rPr>
                <w:sz w:val="20"/>
                <w:szCs w:val="20"/>
              </w:rPr>
              <w:t>review and recommendation</w:t>
            </w:r>
            <w:r w:rsidRPr="009A7C29">
              <w:rPr>
                <w:sz w:val="20"/>
                <w:szCs w:val="20"/>
              </w:rPr>
              <w:t xml:space="preserve"> </w:t>
            </w:r>
            <w:proofErr w:type="gramStart"/>
            <w:r w:rsidRPr="009A7C29">
              <w:rPr>
                <w:sz w:val="20"/>
                <w:szCs w:val="20"/>
              </w:rPr>
              <w:t>has</w:t>
            </w:r>
            <w:proofErr w:type="gramEnd"/>
            <w:r w:rsidRPr="009A7C29">
              <w:rPr>
                <w:sz w:val="20"/>
                <w:szCs w:val="20"/>
              </w:rPr>
              <w:t xml:space="preserve"> been sought</w:t>
            </w:r>
            <w:r w:rsidR="00621B9F" w:rsidRPr="009A7C29">
              <w:rPr>
                <w:sz w:val="20"/>
                <w:szCs w:val="20"/>
              </w:rPr>
              <w:t xml:space="preserve"> and received</w:t>
            </w:r>
            <w:r w:rsidRPr="009A7C29">
              <w:rPr>
                <w:sz w:val="20"/>
                <w:szCs w:val="20"/>
              </w:rPr>
              <w:t>, where applicable.</w:t>
            </w:r>
          </w:p>
          <w:p w14:paraId="64A19AF2" w14:textId="31A44641" w:rsidR="00246374" w:rsidRPr="009A7C29" w:rsidRDefault="00246374">
            <w:pPr>
              <w:pStyle w:val="ListParagraph"/>
              <w:numPr>
                <w:ilvl w:val="1"/>
                <w:numId w:val="76"/>
              </w:numPr>
              <w:rPr>
                <w:sz w:val="20"/>
                <w:szCs w:val="20"/>
              </w:rPr>
            </w:pPr>
            <w:r w:rsidRPr="009A7C29">
              <w:rPr>
                <w:sz w:val="20"/>
                <w:szCs w:val="20"/>
              </w:rPr>
              <w:t>Supporting documentation is valid, complete, and accurate.</w:t>
            </w:r>
          </w:p>
          <w:p w14:paraId="42484654" w14:textId="77777777" w:rsidR="00246374" w:rsidRPr="009A7C29" w:rsidRDefault="00246374" w:rsidP="00595753">
            <w:pPr>
              <w:rPr>
                <w:bCs/>
                <w:sz w:val="20"/>
                <w:szCs w:val="20"/>
              </w:rPr>
            </w:pPr>
          </w:p>
          <w:p w14:paraId="28328861" w14:textId="77777777" w:rsidR="00246374" w:rsidRPr="009A7C29" w:rsidRDefault="00246374" w:rsidP="00595753">
            <w:pPr>
              <w:rPr>
                <w:sz w:val="20"/>
                <w:szCs w:val="20"/>
              </w:rPr>
            </w:pPr>
            <w:r w:rsidRPr="009A7C29">
              <w:rPr>
                <w:b/>
                <w:bCs/>
                <w:sz w:val="20"/>
                <w:szCs w:val="20"/>
              </w:rPr>
              <w:t xml:space="preserve">Required technical skills: </w:t>
            </w:r>
            <w:r w:rsidRPr="009A7C29">
              <w:rPr>
                <w:sz w:val="20"/>
                <w:szCs w:val="20"/>
              </w:rPr>
              <w:t xml:space="preserve">Strong knowledge of POPP </w:t>
            </w:r>
            <w:hyperlink r:id="rId100" w:history="1">
              <w:r w:rsidRPr="009A7C29">
                <w:rPr>
                  <w:rStyle w:val="Hyperlink"/>
                  <w:color w:val="auto"/>
                  <w:sz w:val="20"/>
                  <w:szCs w:val="20"/>
                </w:rPr>
                <w:t>Procurement</w:t>
              </w:r>
            </w:hyperlink>
            <w:r w:rsidRPr="009A7C29">
              <w:rPr>
                <w:sz w:val="20"/>
                <w:szCs w:val="20"/>
              </w:rPr>
              <w:t>.</w:t>
            </w:r>
          </w:p>
          <w:p w14:paraId="07B14114" w14:textId="7C569B09" w:rsidR="002E01A5" w:rsidRPr="009A7C29" w:rsidRDefault="002E01A5" w:rsidP="00595753">
            <w:pPr>
              <w:rPr>
                <w:sz w:val="20"/>
                <w:szCs w:val="20"/>
              </w:rPr>
            </w:pPr>
          </w:p>
        </w:tc>
        <w:tc>
          <w:tcPr>
            <w:tcW w:w="5130" w:type="dxa"/>
            <w:vMerge w:val="restart"/>
            <w:shd w:val="clear" w:color="auto" w:fill="D9E2F3" w:themeFill="accent1" w:themeFillTint="33"/>
          </w:tcPr>
          <w:p w14:paraId="27364245" w14:textId="1997F63A" w:rsidR="00246374" w:rsidRPr="009A7C29" w:rsidRDefault="00246374">
            <w:pPr>
              <w:pStyle w:val="ListParagraph"/>
              <w:numPr>
                <w:ilvl w:val="0"/>
                <w:numId w:val="78"/>
              </w:numPr>
              <w:rPr>
                <w:rFonts w:cstheme="minorHAnsi"/>
                <w:sz w:val="20"/>
                <w:szCs w:val="20"/>
              </w:rPr>
            </w:pPr>
            <w:r w:rsidRPr="009A7C29">
              <w:rPr>
                <w:rFonts w:cstheme="minorHAnsi"/>
                <w:sz w:val="20"/>
                <w:szCs w:val="20"/>
              </w:rPr>
              <w:t xml:space="preserve">Prior to approving an invoice for payment in Quantum, confirms that: </w:t>
            </w:r>
          </w:p>
          <w:p w14:paraId="26BDADD5" w14:textId="77777777" w:rsidR="00246374" w:rsidRPr="009A7C29" w:rsidRDefault="00246374">
            <w:pPr>
              <w:pStyle w:val="ListParagraph"/>
              <w:numPr>
                <w:ilvl w:val="0"/>
                <w:numId w:val="77"/>
              </w:numPr>
              <w:rPr>
                <w:sz w:val="20"/>
                <w:szCs w:val="20"/>
              </w:rPr>
            </w:pPr>
            <w:proofErr w:type="gramStart"/>
            <w:r w:rsidRPr="009A7C29">
              <w:rPr>
                <w:rFonts w:cstheme="minorHAnsi"/>
                <w:sz w:val="20"/>
                <w:szCs w:val="20"/>
              </w:rPr>
              <w:t>A payment</w:t>
            </w:r>
            <w:proofErr w:type="gramEnd"/>
            <w:r w:rsidRPr="009A7C29">
              <w:rPr>
                <w:rFonts w:cstheme="minorHAnsi"/>
                <w:sz w:val="20"/>
                <w:szCs w:val="20"/>
              </w:rPr>
              <w:t xml:space="preserve"> has </w:t>
            </w:r>
            <w:proofErr w:type="gramStart"/>
            <w:r w:rsidRPr="009A7C29">
              <w:rPr>
                <w:rFonts w:cstheme="minorHAnsi"/>
                <w:sz w:val="20"/>
                <w:szCs w:val="20"/>
              </w:rPr>
              <w:t>not previously</w:t>
            </w:r>
            <w:proofErr w:type="gramEnd"/>
            <w:r w:rsidRPr="009A7C29">
              <w:rPr>
                <w:rFonts w:cstheme="minorHAnsi"/>
                <w:sz w:val="20"/>
                <w:szCs w:val="20"/>
              </w:rPr>
              <w:t xml:space="preserve"> been made.</w:t>
            </w:r>
          </w:p>
          <w:p w14:paraId="580A9E04" w14:textId="5CDC6ACA" w:rsidR="00246374" w:rsidRPr="009A7C29" w:rsidRDefault="00246374">
            <w:pPr>
              <w:pStyle w:val="ListParagraph"/>
              <w:numPr>
                <w:ilvl w:val="0"/>
                <w:numId w:val="77"/>
              </w:numPr>
              <w:rPr>
                <w:sz w:val="20"/>
                <w:szCs w:val="20"/>
              </w:rPr>
            </w:pPr>
            <w:r w:rsidRPr="009A7C29">
              <w:rPr>
                <w:sz w:val="20"/>
                <w:szCs w:val="20"/>
              </w:rPr>
              <w:t>The payment request (i.e., invoice) is supported by documents which indicate that the goods or services for which payment is claimed have been received or rendered in accordance with the terms of the contract and the related commitment.</w:t>
            </w:r>
          </w:p>
          <w:p w14:paraId="05643AB9" w14:textId="3C3FEF0A" w:rsidR="00246374" w:rsidRPr="009A7C29" w:rsidRDefault="00246374">
            <w:pPr>
              <w:pStyle w:val="ListParagraph"/>
              <w:numPr>
                <w:ilvl w:val="0"/>
                <w:numId w:val="77"/>
              </w:numPr>
              <w:rPr>
                <w:sz w:val="20"/>
                <w:szCs w:val="20"/>
              </w:rPr>
            </w:pPr>
            <w:r w:rsidRPr="009A7C29">
              <w:rPr>
                <w:sz w:val="20"/>
                <w:szCs w:val="20"/>
              </w:rPr>
              <w:t xml:space="preserve">The payment is made against a recorded commitment of resources </w:t>
            </w:r>
            <w:proofErr w:type="gramStart"/>
            <w:r w:rsidRPr="009A7C29">
              <w:rPr>
                <w:sz w:val="20"/>
                <w:szCs w:val="20"/>
              </w:rPr>
              <w:t>entered into</w:t>
            </w:r>
            <w:proofErr w:type="gramEnd"/>
            <w:r w:rsidRPr="009A7C29">
              <w:rPr>
                <w:sz w:val="20"/>
                <w:szCs w:val="20"/>
              </w:rPr>
              <w:t xml:space="preserve"> by an appropriate committing officer.</w:t>
            </w:r>
          </w:p>
          <w:p w14:paraId="0595EFB8" w14:textId="58385D68" w:rsidR="00246374" w:rsidRPr="009A7C29" w:rsidRDefault="00246374">
            <w:pPr>
              <w:pStyle w:val="ListParagraph"/>
              <w:numPr>
                <w:ilvl w:val="0"/>
                <w:numId w:val="77"/>
              </w:numPr>
              <w:rPr>
                <w:sz w:val="20"/>
                <w:szCs w:val="20"/>
              </w:rPr>
            </w:pPr>
            <w:r w:rsidRPr="009A7C29">
              <w:rPr>
                <w:rFonts w:cstheme="minorHAnsi"/>
                <w:sz w:val="20"/>
                <w:szCs w:val="20"/>
              </w:rPr>
              <w:t xml:space="preserve">No other information is available which would </w:t>
            </w:r>
            <w:proofErr w:type="gramStart"/>
            <w:r w:rsidRPr="009A7C29">
              <w:rPr>
                <w:rFonts w:cstheme="minorHAnsi"/>
                <w:sz w:val="20"/>
                <w:szCs w:val="20"/>
              </w:rPr>
              <w:t>bar</w:t>
            </w:r>
            <w:proofErr w:type="gramEnd"/>
            <w:r w:rsidRPr="009A7C29">
              <w:rPr>
                <w:rFonts w:cstheme="minorHAnsi"/>
                <w:sz w:val="20"/>
                <w:szCs w:val="20"/>
              </w:rPr>
              <w:t xml:space="preserve"> the payment.</w:t>
            </w:r>
          </w:p>
          <w:p w14:paraId="641A23F5" w14:textId="4E46C2AF" w:rsidR="00246374" w:rsidRPr="009A7C29" w:rsidRDefault="00246374">
            <w:pPr>
              <w:pStyle w:val="ListParagraph"/>
              <w:numPr>
                <w:ilvl w:val="0"/>
                <w:numId w:val="7"/>
              </w:numPr>
              <w:rPr>
                <w:rFonts w:cstheme="minorHAnsi"/>
                <w:sz w:val="20"/>
                <w:szCs w:val="20"/>
              </w:rPr>
            </w:pPr>
            <w:r w:rsidRPr="009A7C29">
              <w:rPr>
                <w:rFonts w:cstheme="minorHAnsi"/>
                <w:sz w:val="20"/>
                <w:szCs w:val="20"/>
              </w:rPr>
              <w:t>For non-PO invoices, the documentation supporting the invoice has been signed by a committing officer before the payment may be approved by a verifying officer.</w:t>
            </w:r>
          </w:p>
          <w:p w14:paraId="361A57C2" w14:textId="7577AF38" w:rsidR="00246374" w:rsidRPr="009A7C29" w:rsidRDefault="00246374">
            <w:pPr>
              <w:pStyle w:val="ListParagraph"/>
              <w:numPr>
                <w:ilvl w:val="0"/>
                <w:numId w:val="7"/>
              </w:numPr>
              <w:rPr>
                <w:sz w:val="20"/>
                <w:szCs w:val="20"/>
              </w:rPr>
            </w:pPr>
            <w:r w:rsidRPr="009A7C29">
              <w:rPr>
                <w:sz w:val="20"/>
                <w:szCs w:val="20"/>
              </w:rPr>
              <w:t>For PO-invoices, identifies 3-way match exceptions and facilitates resolution.</w:t>
            </w:r>
          </w:p>
        </w:tc>
      </w:tr>
      <w:tr w:rsidR="00246374" w:rsidRPr="003F3D6B" w14:paraId="37EE70A6" w14:textId="77777777" w:rsidTr="310609F1">
        <w:tc>
          <w:tcPr>
            <w:tcW w:w="4585" w:type="dxa"/>
            <w:shd w:val="clear" w:color="auto" w:fill="E2EFD9" w:themeFill="accent6" w:themeFillTint="33"/>
          </w:tcPr>
          <w:p w14:paraId="58038FE1" w14:textId="77777777" w:rsidR="00246374" w:rsidRPr="009A7C29" w:rsidRDefault="00246374">
            <w:pPr>
              <w:pStyle w:val="ListParagraph"/>
              <w:numPr>
                <w:ilvl w:val="0"/>
                <w:numId w:val="78"/>
              </w:numPr>
              <w:rPr>
                <w:sz w:val="20"/>
                <w:szCs w:val="20"/>
              </w:rPr>
            </w:pPr>
            <w:r w:rsidRPr="009A7C29">
              <w:rPr>
                <w:sz w:val="20"/>
                <w:szCs w:val="20"/>
              </w:rPr>
              <w:t xml:space="preserve">Approves 3-way match </w:t>
            </w:r>
            <w:proofErr w:type="gramStart"/>
            <w:r w:rsidRPr="009A7C29">
              <w:rPr>
                <w:sz w:val="20"/>
                <w:szCs w:val="20"/>
              </w:rPr>
              <w:t>exception</w:t>
            </w:r>
            <w:proofErr w:type="gramEnd"/>
            <w:r w:rsidRPr="009A7C29">
              <w:rPr>
                <w:sz w:val="20"/>
                <w:szCs w:val="20"/>
              </w:rPr>
              <w:t xml:space="preserve"> overrides </w:t>
            </w:r>
          </w:p>
          <w:p w14:paraId="6AC5FC26" w14:textId="0989AB6A" w:rsidR="002E01A5" w:rsidRPr="009A7C29" w:rsidRDefault="002E01A5" w:rsidP="002E01A5">
            <w:pPr>
              <w:pStyle w:val="ListParagraph"/>
              <w:ind w:left="360"/>
              <w:rPr>
                <w:sz w:val="20"/>
                <w:szCs w:val="20"/>
              </w:rPr>
            </w:pPr>
          </w:p>
        </w:tc>
        <w:tc>
          <w:tcPr>
            <w:tcW w:w="5130" w:type="dxa"/>
            <w:vMerge/>
          </w:tcPr>
          <w:p w14:paraId="48672475" w14:textId="52F344FD" w:rsidR="00246374" w:rsidRPr="00B572E2" w:rsidRDefault="00246374" w:rsidP="000B5103">
            <w:pPr>
              <w:rPr>
                <w:rFonts w:cstheme="minorHAnsi"/>
                <w:color w:val="ED7D31" w:themeColor="accent2"/>
                <w:sz w:val="20"/>
                <w:szCs w:val="20"/>
              </w:rPr>
            </w:pPr>
          </w:p>
        </w:tc>
      </w:tr>
      <w:tr w:rsidR="00246374" w:rsidRPr="003F3D6B" w14:paraId="3E397D9A" w14:textId="77777777" w:rsidTr="310609F1">
        <w:tc>
          <w:tcPr>
            <w:tcW w:w="4585" w:type="dxa"/>
            <w:shd w:val="clear" w:color="auto" w:fill="E2EFD9" w:themeFill="accent6" w:themeFillTint="33"/>
          </w:tcPr>
          <w:p w14:paraId="042D5AAD" w14:textId="77777777" w:rsidR="00246374" w:rsidRPr="009A7C29" w:rsidRDefault="00246374">
            <w:pPr>
              <w:pStyle w:val="ListParagraph"/>
              <w:numPr>
                <w:ilvl w:val="0"/>
                <w:numId w:val="78"/>
              </w:numPr>
              <w:rPr>
                <w:sz w:val="20"/>
                <w:szCs w:val="20"/>
              </w:rPr>
            </w:pPr>
            <w:r w:rsidRPr="009A7C29">
              <w:rPr>
                <w:sz w:val="20"/>
                <w:szCs w:val="20"/>
              </w:rPr>
              <w:t xml:space="preserve">Approves Zero-Dollar Invoices (ZDIs) in Quantum </w:t>
            </w:r>
          </w:p>
          <w:p w14:paraId="0C4C9F46" w14:textId="7F3E7B6C" w:rsidR="006C1282" w:rsidRPr="009A7C29" w:rsidRDefault="006C1282">
            <w:pPr>
              <w:pStyle w:val="ListParagraph"/>
              <w:numPr>
                <w:ilvl w:val="0"/>
                <w:numId w:val="78"/>
              </w:numPr>
              <w:rPr>
                <w:sz w:val="20"/>
                <w:szCs w:val="20"/>
              </w:rPr>
            </w:pPr>
            <w:r w:rsidRPr="009A7C29">
              <w:rPr>
                <w:sz w:val="20"/>
                <w:szCs w:val="20"/>
              </w:rPr>
              <w:t xml:space="preserve">Approves GLJEs </w:t>
            </w:r>
            <w:r w:rsidRPr="00944D11">
              <w:rPr>
                <w:sz w:val="20"/>
                <w:szCs w:val="20"/>
              </w:rPr>
              <w:t>(</w:t>
            </w:r>
            <w:r w:rsidR="00944D11" w:rsidRPr="00944D11">
              <w:rPr>
                <w:sz w:val="20"/>
                <w:szCs w:val="20"/>
              </w:rPr>
              <w:t>note: it is possible that during FY2025, GLJE approvals may become limited to BMS/OF</w:t>
            </w:r>
            <w:r w:rsidR="00A40A72">
              <w:rPr>
                <w:sz w:val="20"/>
                <w:szCs w:val="20"/>
              </w:rPr>
              <w:t>R</w:t>
            </w:r>
            <w:r w:rsidR="00944D11" w:rsidRPr="00944D11">
              <w:rPr>
                <w:sz w:val="20"/>
                <w:szCs w:val="20"/>
              </w:rPr>
              <w:t>M, BMS/GSSC</w:t>
            </w:r>
            <w:r w:rsidR="00E644DE">
              <w:rPr>
                <w:sz w:val="20"/>
                <w:szCs w:val="20"/>
              </w:rPr>
              <w:t xml:space="preserve">, </w:t>
            </w:r>
            <w:r w:rsidR="00944D11" w:rsidRPr="00944D11">
              <w:rPr>
                <w:sz w:val="20"/>
                <w:szCs w:val="20"/>
              </w:rPr>
              <w:t xml:space="preserve">MPTFO </w:t>
            </w:r>
            <w:r w:rsidR="00E644DE">
              <w:rPr>
                <w:sz w:val="20"/>
                <w:szCs w:val="20"/>
              </w:rPr>
              <w:t xml:space="preserve">and UNV </w:t>
            </w:r>
            <w:r w:rsidR="00944D11" w:rsidRPr="00944D11">
              <w:rPr>
                <w:sz w:val="20"/>
                <w:szCs w:val="20"/>
              </w:rPr>
              <w:t>only</w:t>
            </w:r>
            <w:r w:rsidR="008B1605">
              <w:rPr>
                <w:rStyle w:val="FootnoteReference"/>
                <w:sz w:val="20"/>
                <w:szCs w:val="20"/>
              </w:rPr>
              <w:footnoteReference w:id="26"/>
            </w:r>
            <w:r w:rsidR="00944D11" w:rsidRPr="00944D11">
              <w:rPr>
                <w:sz w:val="20"/>
                <w:szCs w:val="20"/>
              </w:rPr>
              <w:t>)</w:t>
            </w:r>
          </w:p>
        </w:tc>
        <w:tc>
          <w:tcPr>
            <w:tcW w:w="5130" w:type="dxa"/>
            <w:vMerge/>
          </w:tcPr>
          <w:p w14:paraId="7286F387" w14:textId="77777777" w:rsidR="00246374" w:rsidRPr="00B572E2" w:rsidRDefault="00246374" w:rsidP="000B5103">
            <w:pPr>
              <w:rPr>
                <w:rFonts w:cstheme="minorHAnsi"/>
                <w:color w:val="ED7D31" w:themeColor="accent2"/>
                <w:sz w:val="20"/>
                <w:szCs w:val="20"/>
              </w:rPr>
            </w:pPr>
          </w:p>
        </w:tc>
      </w:tr>
      <w:tr w:rsidR="000E683A" w:rsidRPr="003F3D6B" w14:paraId="27163DC7" w14:textId="77777777" w:rsidTr="310609F1">
        <w:tc>
          <w:tcPr>
            <w:tcW w:w="4585" w:type="dxa"/>
            <w:shd w:val="clear" w:color="auto" w:fill="E2EFD9" w:themeFill="accent6" w:themeFillTint="33"/>
          </w:tcPr>
          <w:p w14:paraId="586DDF27" w14:textId="49AD0AAB" w:rsidR="00E247E2" w:rsidRPr="009A7C29" w:rsidRDefault="24938658" w:rsidP="363CA695">
            <w:pPr>
              <w:rPr>
                <w:sz w:val="20"/>
                <w:szCs w:val="20"/>
              </w:rPr>
            </w:pPr>
            <w:r w:rsidRPr="009A7C29">
              <w:rPr>
                <w:b/>
                <w:bCs/>
                <w:sz w:val="20"/>
                <w:szCs w:val="20"/>
              </w:rPr>
              <w:t>Performed by:</w:t>
            </w:r>
            <w:r w:rsidRPr="009A7C29">
              <w:rPr>
                <w:sz w:val="20"/>
                <w:szCs w:val="20"/>
              </w:rPr>
              <w:t xml:space="preserve"> Approving Managers in each office</w:t>
            </w:r>
            <w:r w:rsidR="001F08D4" w:rsidRPr="009A7C29">
              <w:rPr>
                <w:sz w:val="20"/>
                <w:szCs w:val="20"/>
              </w:rPr>
              <w:t>/unit</w:t>
            </w:r>
            <w:r w:rsidR="00E247E2" w:rsidRPr="009A7C29">
              <w:rPr>
                <w:sz w:val="20"/>
                <w:szCs w:val="20"/>
              </w:rPr>
              <w:t>.</w:t>
            </w:r>
            <w:r w:rsidR="001F08D4" w:rsidRPr="009A7C29">
              <w:rPr>
                <w:sz w:val="20"/>
                <w:szCs w:val="20"/>
              </w:rPr>
              <w:t xml:space="preserve"> </w:t>
            </w:r>
            <w:r w:rsidR="00E247E2" w:rsidRPr="009A7C29">
              <w:rPr>
                <w:sz w:val="20"/>
                <w:szCs w:val="20"/>
              </w:rPr>
              <w:t>Approving Managers</w:t>
            </w:r>
            <w:r w:rsidR="00E247E2" w:rsidRPr="009A7C29">
              <w:rPr>
                <w:b/>
                <w:bCs/>
                <w:sz w:val="20"/>
                <w:szCs w:val="20"/>
              </w:rPr>
              <w:t xml:space="preserve"> </w:t>
            </w:r>
            <w:r w:rsidR="00E247E2" w:rsidRPr="009A7C29">
              <w:rPr>
                <w:sz w:val="20"/>
                <w:szCs w:val="20"/>
              </w:rPr>
              <w:t>should include, at minimum, the RR, one or more of the DRRs, and the Operations Manager (or HQ-equivalents).</w:t>
            </w:r>
            <w:r w:rsidR="057C4B0E" w:rsidRPr="009A7C29">
              <w:rPr>
                <w:sz w:val="20"/>
                <w:szCs w:val="20"/>
              </w:rPr>
              <w:t xml:space="preserve"> </w:t>
            </w:r>
            <w:r w:rsidR="00E247E2" w:rsidRPr="009A7C29">
              <w:rPr>
                <w:sz w:val="20"/>
                <w:szCs w:val="20"/>
              </w:rPr>
              <w:t>The Head of Office</w:t>
            </w:r>
            <w:r w:rsidR="001F08D4" w:rsidRPr="009A7C29">
              <w:rPr>
                <w:sz w:val="20"/>
                <w:szCs w:val="20"/>
              </w:rPr>
              <w:t>/Unit</w:t>
            </w:r>
            <w:r w:rsidR="00E247E2" w:rsidRPr="009A7C29">
              <w:rPr>
                <w:sz w:val="20"/>
                <w:szCs w:val="20"/>
              </w:rPr>
              <w:t xml:space="preserve"> may also appoint </w:t>
            </w:r>
            <w:proofErr w:type="spellStart"/>
            <w:r w:rsidR="00E247E2" w:rsidRPr="009A7C29">
              <w:rPr>
                <w:sz w:val="20"/>
                <w:szCs w:val="20"/>
              </w:rPr>
              <w:t>Programme</w:t>
            </w:r>
            <w:proofErr w:type="spellEnd"/>
            <w:r w:rsidR="00E247E2" w:rsidRPr="009A7C29">
              <w:rPr>
                <w:sz w:val="20"/>
                <w:szCs w:val="20"/>
              </w:rPr>
              <w:t xml:space="preserve"> Officers as Approving Managers to review independently the authority exercised by the Project Manager. In such cases, the </w:t>
            </w:r>
            <w:proofErr w:type="spellStart"/>
            <w:r w:rsidR="00E247E2" w:rsidRPr="009A7C29">
              <w:rPr>
                <w:sz w:val="20"/>
                <w:szCs w:val="20"/>
              </w:rPr>
              <w:t>Programme</w:t>
            </w:r>
            <w:proofErr w:type="spellEnd"/>
            <w:r w:rsidR="00E247E2" w:rsidRPr="009A7C29">
              <w:rPr>
                <w:sz w:val="20"/>
                <w:szCs w:val="20"/>
              </w:rPr>
              <w:t xml:space="preserve"> Officers must have strong knowledge of UNDP </w:t>
            </w:r>
            <w:r w:rsidR="00A3090A" w:rsidRPr="009A7C29">
              <w:rPr>
                <w:sz w:val="20"/>
                <w:szCs w:val="20"/>
              </w:rPr>
              <w:t xml:space="preserve">POPP </w:t>
            </w:r>
            <w:hyperlink r:id="rId101" w:history="1">
              <w:r w:rsidR="00A3090A" w:rsidRPr="009A7C29">
                <w:rPr>
                  <w:rStyle w:val="Hyperlink"/>
                  <w:color w:val="4472C4" w:themeColor="accent1"/>
                  <w:sz w:val="20"/>
                  <w:szCs w:val="20"/>
                </w:rPr>
                <w:t>Procurement</w:t>
              </w:r>
            </w:hyperlink>
            <w:r w:rsidR="00A3090A" w:rsidRPr="009A7C29">
              <w:rPr>
                <w:color w:val="4472C4" w:themeColor="accent1"/>
                <w:sz w:val="20"/>
                <w:szCs w:val="20"/>
              </w:rPr>
              <w:t xml:space="preserve"> </w:t>
            </w:r>
            <w:r w:rsidR="00E247E2" w:rsidRPr="009A7C29">
              <w:rPr>
                <w:sz w:val="20"/>
                <w:szCs w:val="20"/>
              </w:rPr>
              <w:t xml:space="preserve">and the support of the RR and </w:t>
            </w:r>
            <w:r w:rsidR="00DE1BCC" w:rsidRPr="009A7C29">
              <w:rPr>
                <w:sz w:val="20"/>
                <w:szCs w:val="20"/>
              </w:rPr>
              <w:t>ARR</w:t>
            </w:r>
            <w:r w:rsidR="00E247E2" w:rsidRPr="009A7C29">
              <w:rPr>
                <w:sz w:val="20"/>
                <w:szCs w:val="20"/>
              </w:rPr>
              <w:t>(P) in exercising project oversight tasks.</w:t>
            </w:r>
          </w:p>
        </w:tc>
        <w:tc>
          <w:tcPr>
            <w:tcW w:w="5130" w:type="dxa"/>
            <w:shd w:val="clear" w:color="auto" w:fill="D9E2F3" w:themeFill="accent1" w:themeFillTint="33"/>
          </w:tcPr>
          <w:p w14:paraId="0A16C87E" w14:textId="40FE323C" w:rsidR="000E683A" w:rsidRPr="00B572E2" w:rsidRDefault="00595753" w:rsidP="000B5103">
            <w:pPr>
              <w:rPr>
                <w:rFonts w:cstheme="minorHAnsi"/>
                <w:color w:val="ED7D31" w:themeColor="accent2"/>
                <w:sz w:val="20"/>
                <w:szCs w:val="20"/>
              </w:rPr>
            </w:pPr>
            <w:r w:rsidRPr="00E06F45">
              <w:rPr>
                <w:rFonts w:cstheme="minorHAnsi"/>
                <w:b/>
                <w:bCs/>
                <w:sz w:val="20"/>
                <w:szCs w:val="20"/>
              </w:rPr>
              <w:t>Performed by:</w:t>
            </w:r>
            <w:r w:rsidRPr="00E06F45">
              <w:rPr>
                <w:rFonts w:cstheme="minorHAnsi"/>
                <w:sz w:val="20"/>
                <w:szCs w:val="20"/>
              </w:rPr>
              <w:t xml:space="preserve"> Approving Managers in BMS/GSSC for offices</w:t>
            </w:r>
            <w:r w:rsidR="001F08D4" w:rsidRPr="00E06F45">
              <w:rPr>
                <w:rFonts w:cstheme="minorHAnsi"/>
                <w:sz w:val="20"/>
                <w:szCs w:val="20"/>
              </w:rPr>
              <w:t>/units</w:t>
            </w:r>
            <w:r w:rsidRPr="00E06F45">
              <w:rPr>
                <w:rFonts w:cstheme="minorHAnsi"/>
                <w:sz w:val="20"/>
                <w:szCs w:val="20"/>
              </w:rPr>
              <w:t xml:space="preserve"> with clustered Accounts Payable processes;</w:t>
            </w:r>
            <w:r w:rsidR="005B3EF5" w:rsidRPr="00E06F45">
              <w:rPr>
                <w:rFonts w:cstheme="minorHAnsi"/>
                <w:sz w:val="20"/>
                <w:szCs w:val="20"/>
              </w:rPr>
              <w:t xml:space="preserve"> </w:t>
            </w:r>
            <w:r w:rsidRPr="00E06F45">
              <w:rPr>
                <w:rFonts w:cstheme="minorHAnsi"/>
                <w:sz w:val="20"/>
                <w:szCs w:val="20"/>
              </w:rPr>
              <w:t>Approving Managers within an office</w:t>
            </w:r>
            <w:r w:rsidR="001F08D4" w:rsidRPr="00E06F45">
              <w:rPr>
                <w:rFonts w:cstheme="minorHAnsi"/>
                <w:sz w:val="20"/>
                <w:szCs w:val="20"/>
              </w:rPr>
              <w:t>/unit</w:t>
            </w:r>
            <w:r w:rsidRPr="00E06F45">
              <w:rPr>
                <w:rFonts w:cstheme="minorHAnsi"/>
                <w:sz w:val="20"/>
                <w:szCs w:val="20"/>
              </w:rPr>
              <w:t xml:space="preserve"> for </w:t>
            </w:r>
            <w:r w:rsidR="001F08D4" w:rsidRPr="00E06F45">
              <w:rPr>
                <w:rFonts w:cstheme="minorHAnsi"/>
                <w:sz w:val="20"/>
                <w:szCs w:val="20"/>
              </w:rPr>
              <w:t>those</w:t>
            </w:r>
            <w:r w:rsidRPr="00E06F45">
              <w:rPr>
                <w:rFonts w:cstheme="minorHAnsi"/>
                <w:sz w:val="20"/>
                <w:szCs w:val="20"/>
              </w:rPr>
              <w:t xml:space="preserve"> that do not have clustered Accounts Payable </w:t>
            </w:r>
            <w:r w:rsidR="00EF101F" w:rsidRPr="00E06F45">
              <w:rPr>
                <w:rFonts w:cstheme="minorHAnsi"/>
                <w:sz w:val="20"/>
                <w:szCs w:val="20"/>
              </w:rPr>
              <w:t>p</w:t>
            </w:r>
            <w:r w:rsidRPr="00E06F45">
              <w:rPr>
                <w:rFonts w:cstheme="minorHAnsi"/>
                <w:sz w:val="20"/>
                <w:szCs w:val="20"/>
              </w:rPr>
              <w:t>rocesses</w:t>
            </w:r>
            <w:r w:rsidR="00D77D3A" w:rsidRPr="00E06F45">
              <w:rPr>
                <w:rFonts w:cstheme="minorHAnsi"/>
                <w:sz w:val="20"/>
                <w:szCs w:val="20"/>
              </w:rPr>
              <w:t>.</w:t>
            </w:r>
          </w:p>
        </w:tc>
      </w:tr>
      <w:tr w:rsidR="003F3D6B" w:rsidRPr="003F3D6B" w14:paraId="131A7260" w14:textId="77777777" w:rsidTr="310609F1">
        <w:trPr>
          <w:trHeight w:val="20"/>
        </w:trPr>
        <w:tc>
          <w:tcPr>
            <w:tcW w:w="9715" w:type="dxa"/>
            <w:gridSpan w:val="2"/>
            <w:shd w:val="clear" w:color="auto" w:fill="E2EFD9" w:themeFill="accent6" w:themeFillTint="33"/>
          </w:tcPr>
          <w:p w14:paraId="7FE86FEA" w14:textId="1ACC2FA3" w:rsidR="003F3D6B" w:rsidRPr="003F3D6B" w:rsidRDefault="003F3D6B" w:rsidP="000B5103">
            <w:pPr>
              <w:rPr>
                <w:rFonts w:cstheme="minorHAnsi"/>
                <w:color w:val="ED7D31" w:themeColor="accent2"/>
                <w:sz w:val="20"/>
                <w:szCs w:val="20"/>
              </w:rPr>
            </w:pPr>
            <w:r w:rsidRPr="00EF101F">
              <w:rPr>
                <w:b/>
                <w:bCs/>
                <w:sz w:val="20"/>
                <w:szCs w:val="20"/>
              </w:rPr>
              <w:t>IDAM Business Profile: Manager Level 1, Manager Level 2, Senior Manager</w:t>
            </w:r>
          </w:p>
        </w:tc>
      </w:tr>
      <w:tr w:rsidR="002E4DC3" w:rsidRPr="003F3D6B" w14:paraId="5AAD4DA6" w14:textId="77777777" w:rsidTr="310609F1">
        <w:tc>
          <w:tcPr>
            <w:tcW w:w="9715" w:type="dxa"/>
            <w:gridSpan w:val="2"/>
            <w:shd w:val="clear" w:color="auto" w:fill="F2F2F2" w:themeFill="background1" w:themeFillShade="F2"/>
          </w:tcPr>
          <w:p w14:paraId="3E7647CD" w14:textId="08D548DB" w:rsidR="002E4DC3" w:rsidRPr="0038024D" w:rsidRDefault="002E4DC3" w:rsidP="363CA695">
            <w:pPr>
              <w:rPr>
                <w:b/>
                <w:bCs/>
                <w:sz w:val="20"/>
                <w:szCs w:val="20"/>
              </w:rPr>
            </w:pPr>
            <w:r w:rsidRPr="363CA695">
              <w:rPr>
                <w:b/>
                <w:bCs/>
                <w:sz w:val="20"/>
                <w:szCs w:val="20"/>
              </w:rPr>
              <w:t xml:space="preserve">Flexibility allowed: </w:t>
            </w:r>
            <w:r w:rsidRPr="363CA695">
              <w:rPr>
                <w:sz w:val="20"/>
                <w:szCs w:val="20"/>
              </w:rPr>
              <w:t>As noted in section 2.1,</w:t>
            </w:r>
            <w:r w:rsidR="00B91C07" w:rsidRPr="363CA695">
              <w:rPr>
                <w:sz w:val="20"/>
                <w:szCs w:val="20"/>
              </w:rPr>
              <w:t xml:space="preserve"> the </w:t>
            </w:r>
            <w:r w:rsidRPr="363CA695">
              <w:rPr>
                <w:sz w:val="20"/>
                <w:szCs w:val="20"/>
              </w:rPr>
              <w:t>RR/DRR/OM</w:t>
            </w:r>
            <w:r w:rsidR="00B91C07" w:rsidRPr="363CA695">
              <w:rPr>
                <w:sz w:val="20"/>
                <w:szCs w:val="20"/>
              </w:rPr>
              <w:t xml:space="preserve"> </w:t>
            </w:r>
            <w:r w:rsidRPr="363CA695">
              <w:rPr>
                <w:sz w:val="20"/>
                <w:szCs w:val="20"/>
              </w:rPr>
              <w:t xml:space="preserve">(and HQ-equivalent) may hold both Approving Manager and Project Manager profiles </w:t>
            </w:r>
            <w:proofErr w:type="gramStart"/>
            <w:r w:rsidRPr="363CA695">
              <w:rPr>
                <w:sz w:val="20"/>
                <w:szCs w:val="20"/>
              </w:rPr>
              <w:t>as long as</w:t>
            </w:r>
            <w:proofErr w:type="gramEnd"/>
            <w:r w:rsidRPr="363CA695">
              <w:rPr>
                <w:sz w:val="20"/>
                <w:szCs w:val="20"/>
              </w:rPr>
              <w:t xml:space="preserve"> they observe the required segregation of duties stated below.</w:t>
            </w:r>
          </w:p>
        </w:tc>
      </w:tr>
      <w:tr w:rsidR="00EF101F" w:rsidRPr="003F3D6B" w14:paraId="2A07F15B" w14:textId="77777777" w:rsidTr="310609F1">
        <w:tc>
          <w:tcPr>
            <w:tcW w:w="9715" w:type="dxa"/>
            <w:gridSpan w:val="2"/>
            <w:shd w:val="clear" w:color="auto" w:fill="D9D9D9" w:themeFill="background1" w:themeFillShade="D9"/>
          </w:tcPr>
          <w:p w14:paraId="0111FC47" w14:textId="6A89E3FF" w:rsidR="002028BA" w:rsidRPr="002028BA" w:rsidRDefault="00EF101F" w:rsidP="363CA695">
            <w:pPr>
              <w:rPr>
                <w:sz w:val="20"/>
                <w:szCs w:val="20"/>
              </w:rPr>
            </w:pPr>
            <w:r w:rsidRPr="363CA695">
              <w:rPr>
                <w:b/>
                <w:bCs/>
                <w:sz w:val="20"/>
                <w:szCs w:val="20"/>
              </w:rPr>
              <w:t>Required segregation of duties:</w:t>
            </w:r>
            <w:r w:rsidRPr="363CA695">
              <w:rPr>
                <w:sz w:val="20"/>
                <w:szCs w:val="20"/>
              </w:rPr>
              <w:t xml:space="preserve"> The Approving Manager (second authority, verifying officer) must</w:t>
            </w:r>
            <w:r w:rsidRPr="363CA695">
              <w:rPr>
                <w:spacing w:val="-1"/>
                <w:sz w:val="20"/>
                <w:szCs w:val="20"/>
              </w:rPr>
              <w:t xml:space="preserve"> </w:t>
            </w:r>
            <w:r w:rsidR="002028BA" w:rsidRPr="363CA695">
              <w:rPr>
                <w:spacing w:val="-1"/>
                <w:sz w:val="20"/>
                <w:szCs w:val="20"/>
              </w:rPr>
              <w:t xml:space="preserve">not </w:t>
            </w:r>
            <w:r w:rsidR="002028BA" w:rsidRPr="363CA695">
              <w:rPr>
                <w:sz w:val="20"/>
                <w:szCs w:val="20"/>
              </w:rPr>
              <w:t>perform</w:t>
            </w:r>
            <w:r w:rsidRPr="363CA695">
              <w:rPr>
                <w:sz w:val="20"/>
                <w:szCs w:val="20"/>
              </w:rPr>
              <w:t xml:space="preserve"> the Project Manager (first authority, committing officer) </w:t>
            </w:r>
            <w:r w:rsidR="002028BA" w:rsidRPr="363CA695">
              <w:rPr>
                <w:sz w:val="20"/>
                <w:szCs w:val="20"/>
              </w:rPr>
              <w:t>or</w:t>
            </w:r>
            <w:r w:rsidRPr="363CA695">
              <w:rPr>
                <w:sz w:val="20"/>
                <w:szCs w:val="20"/>
              </w:rPr>
              <w:t xml:space="preserve"> the Disbursing Officer (third authority, disbursing officer)</w:t>
            </w:r>
            <w:r w:rsidR="002028BA" w:rsidRPr="363CA695">
              <w:rPr>
                <w:sz w:val="20"/>
                <w:szCs w:val="20"/>
              </w:rPr>
              <w:t xml:space="preserve"> role on the same transaction. Additionally, they must not act as Approving Manager for transactions charged to their own projects</w:t>
            </w:r>
            <w:r w:rsidR="001C1A5E">
              <w:rPr>
                <w:sz w:val="20"/>
                <w:szCs w:val="20"/>
              </w:rPr>
              <w:t xml:space="preserve"> (development or management)</w:t>
            </w:r>
            <w:r w:rsidR="002028BA" w:rsidRPr="363CA695">
              <w:rPr>
                <w:sz w:val="20"/>
                <w:szCs w:val="20"/>
              </w:rPr>
              <w:t>, as this represents a conflict of interest.</w:t>
            </w:r>
          </w:p>
        </w:tc>
      </w:tr>
    </w:tbl>
    <w:p w14:paraId="3904C845" w14:textId="77777777" w:rsidR="007653FF" w:rsidRPr="000A1B8B" w:rsidRDefault="007653FF" w:rsidP="007653FF">
      <w:pPr>
        <w:spacing w:after="0" w:line="240" w:lineRule="auto"/>
      </w:pPr>
    </w:p>
    <w:p w14:paraId="7B24B3FD" w14:textId="1BD7E498" w:rsidR="00323043" w:rsidRDefault="00323043" w:rsidP="363CA695">
      <w:pPr>
        <w:spacing w:line="240" w:lineRule="auto"/>
        <w:rPr>
          <w:color w:val="FF0000"/>
        </w:rPr>
      </w:pPr>
      <w:r w:rsidRPr="363CA695">
        <w:rPr>
          <w:b/>
          <w:bCs/>
        </w:rPr>
        <w:lastRenderedPageBreak/>
        <w:t>Emergency transaction processing in Offices</w:t>
      </w:r>
      <w:r w:rsidR="001F08D4" w:rsidRPr="363CA695">
        <w:rPr>
          <w:b/>
          <w:bCs/>
        </w:rPr>
        <w:t>/Units</w:t>
      </w:r>
      <w:r w:rsidRPr="363CA695">
        <w:rPr>
          <w:b/>
          <w:bCs/>
        </w:rPr>
        <w:t xml:space="preserve"> with clustered Accounts Payable processes:</w:t>
      </w:r>
      <w:r w:rsidRPr="363CA695">
        <w:t xml:space="preserve"> The Head of Office</w:t>
      </w:r>
      <w:r w:rsidR="001F08D4" w:rsidRPr="363CA695">
        <w:t>/Unit</w:t>
      </w:r>
      <w:r w:rsidRPr="363CA695">
        <w:t xml:space="preserve"> should designate Approving Managers who are authorized to execute Part – B of the second authority role (i.e., to verify that payments may be made) for non-PO payments and prepayments in emergency situations in which BMS/GSSC cannot process a transaction in time. In this case, the procedures for processing of emergency transactions should be followed, as described in the </w:t>
      </w:r>
      <w:hyperlink r:id="rId102" w:history="1">
        <w:r w:rsidR="00E620B8" w:rsidRPr="00E620B8">
          <w:rPr>
            <w:rStyle w:val="Hyperlink"/>
          </w:rPr>
          <w:t>GSSC SOP on Emergency Financial Transactions</w:t>
        </w:r>
      </w:hyperlink>
      <w:r w:rsidR="00E620B8" w:rsidRPr="00E620B8">
        <w:rPr>
          <w:color w:val="ED7D31" w:themeColor="accent2"/>
        </w:rPr>
        <w:t>.</w:t>
      </w:r>
    </w:p>
    <w:tbl>
      <w:tblPr>
        <w:tblStyle w:val="TableGrid"/>
        <w:tblW w:w="0" w:type="auto"/>
        <w:tblCellMar>
          <w:bottom w:w="43" w:type="dxa"/>
        </w:tblCellMar>
        <w:tblLook w:val="04A0" w:firstRow="1" w:lastRow="0" w:firstColumn="1" w:lastColumn="0" w:noHBand="0" w:noVBand="1"/>
      </w:tblPr>
      <w:tblGrid>
        <w:gridCol w:w="1615"/>
        <w:gridCol w:w="8100"/>
      </w:tblGrid>
      <w:tr w:rsidR="000F7705" w14:paraId="084A8D89" w14:textId="77777777" w:rsidTr="310609F1">
        <w:trPr>
          <w:trHeight w:val="20"/>
          <w:tblHeader/>
        </w:trPr>
        <w:tc>
          <w:tcPr>
            <w:tcW w:w="9715" w:type="dxa"/>
            <w:gridSpan w:val="2"/>
            <w:shd w:val="clear" w:color="auto" w:fill="002060"/>
          </w:tcPr>
          <w:p w14:paraId="3DABF108" w14:textId="266F2849" w:rsidR="000F7705" w:rsidRDefault="000F7705" w:rsidP="000F7705">
            <w:r w:rsidRPr="00620244">
              <w:rPr>
                <w:b/>
                <w:bCs/>
                <w:sz w:val="20"/>
                <w:szCs w:val="20"/>
              </w:rPr>
              <w:t>Quantum Approval Thresholds</w:t>
            </w:r>
          </w:p>
        </w:tc>
      </w:tr>
      <w:tr w:rsidR="000F7705" w14:paraId="5B903E18" w14:textId="77777777" w:rsidTr="310609F1">
        <w:trPr>
          <w:trHeight w:val="20"/>
        </w:trPr>
        <w:tc>
          <w:tcPr>
            <w:tcW w:w="9715" w:type="dxa"/>
            <w:gridSpan w:val="2"/>
          </w:tcPr>
          <w:p w14:paraId="0C816870" w14:textId="0A4C6D6C" w:rsidR="000F7705" w:rsidRPr="000F7705" w:rsidRDefault="000F7705" w:rsidP="000F7705">
            <w:pPr>
              <w:spacing w:line="259" w:lineRule="auto"/>
              <w:rPr>
                <w:b/>
                <w:bCs/>
                <w:sz w:val="20"/>
                <w:szCs w:val="20"/>
              </w:rPr>
            </w:pPr>
            <w:r w:rsidRPr="000F7705">
              <w:rPr>
                <w:b/>
                <w:bCs/>
                <w:sz w:val="20"/>
                <w:szCs w:val="20"/>
              </w:rPr>
              <w:t>(must be UNDP staff members at the national officer or international level)</w:t>
            </w:r>
          </w:p>
        </w:tc>
      </w:tr>
      <w:tr w:rsidR="000F7705" w14:paraId="5A956347" w14:textId="77777777" w:rsidTr="310609F1">
        <w:trPr>
          <w:trHeight w:val="20"/>
        </w:trPr>
        <w:tc>
          <w:tcPr>
            <w:tcW w:w="1615" w:type="dxa"/>
          </w:tcPr>
          <w:p w14:paraId="2F247B24" w14:textId="32FE2D79" w:rsidR="000F7705" w:rsidRDefault="000F7705" w:rsidP="002426B0">
            <w:r w:rsidRPr="00620244">
              <w:rPr>
                <w:sz w:val="20"/>
                <w:szCs w:val="20"/>
              </w:rPr>
              <w:t>Manager Level 1</w:t>
            </w:r>
          </w:p>
        </w:tc>
        <w:tc>
          <w:tcPr>
            <w:tcW w:w="8100" w:type="dxa"/>
          </w:tcPr>
          <w:p w14:paraId="2594DAAA" w14:textId="3BD2AB30" w:rsidR="000F7705" w:rsidRPr="000B35C4" w:rsidRDefault="000F7705" w:rsidP="004C3757">
            <w:pPr>
              <w:rPr>
                <w:sz w:val="20"/>
                <w:szCs w:val="20"/>
              </w:rPr>
            </w:pPr>
            <w:r>
              <w:rPr>
                <w:sz w:val="20"/>
                <w:szCs w:val="20"/>
              </w:rPr>
              <w:t>U</w:t>
            </w:r>
            <w:r w:rsidRPr="00620244">
              <w:rPr>
                <w:sz w:val="20"/>
                <w:szCs w:val="20"/>
              </w:rPr>
              <w:t>p to US$10,000</w:t>
            </w:r>
            <w:r>
              <w:rPr>
                <w:sz w:val="20"/>
                <w:szCs w:val="20"/>
              </w:rPr>
              <w:t>.</w:t>
            </w:r>
            <w:r w:rsidR="000B35C4">
              <w:rPr>
                <w:sz w:val="20"/>
                <w:szCs w:val="20"/>
              </w:rPr>
              <w:t xml:space="preserve"> </w:t>
            </w:r>
            <w:r w:rsidRPr="00DD625F">
              <w:rPr>
                <w:b/>
                <w:bCs/>
                <w:sz w:val="20"/>
                <w:szCs w:val="20"/>
              </w:rPr>
              <w:t>Flexibility allowed</w:t>
            </w:r>
            <w:r w:rsidR="00DD625F" w:rsidRPr="00DD625F">
              <w:rPr>
                <w:sz w:val="20"/>
                <w:szCs w:val="20"/>
              </w:rPr>
              <w:t>: T</w:t>
            </w:r>
            <w:r w:rsidRPr="00DD625F">
              <w:rPr>
                <w:sz w:val="20"/>
                <w:szCs w:val="20"/>
              </w:rPr>
              <w:t>o broaden staff able to undertake second authority approvals</w:t>
            </w:r>
            <w:r w:rsidR="00DD625F" w:rsidRPr="00DD625F">
              <w:rPr>
                <w:sz w:val="20"/>
                <w:szCs w:val="20"/>
              </w:rPr>
              <w:t>,</w:t>
            </w:r>
            <w:r w:rsidRPr="00DD625F">
              <w:rPr>
                <w:sz w:val="20"/>
                <w:szCs w:val="20"/>
              </w:rPr>
              <w:t xml:space="preserve"> Manager Level 1 may be delegated</w:t>
            </w:r>
            <w:r w:rsidR="00DD625F" w:rsidRPr="00DD625F">
              <w:rPr>
                <w:sz w:val="20"/>
                <w:szCs w:val="20"/>
              </w:rPr>
              <w:t xml:space="preserve"> </w:t>
            </w:r>
            <w:r w:rsidRPr="00DD625F">
              <w:rPr>
                <w:sz w:val="20"/>
                <w:szCs w:val="20"/>
              </w:rPr>
              <w:t>to GS7 staff members in large offices</w:t>
            </w:r>
            <w:r w:rsidR="001F08D4" w:rsidRPr="00DD625F">
              <w:rPr>
                <w:sz w:val="20"/>
                <w:szCs w:val="20"/>
              </w:rPr>
              <w:t>/units</w:t>
            </w:r>
            <w:r w:rsidR="00DD625F" w:rsidRPr="00DD625F">
              <w:rPr>
                <w:sz w:val="20"/>
                <w:szCs w:val="20"/>
              </w:rPr>
              <w:t>.</w:t>
            </w:r>
          </w:p>
        </w:tc>
      </w:tr>
      <w:tr w:rsidR="000F7705" w14:paraId="4E0BE2B9" w14:textId="77777777" w:rsidTr="310609F1">
        <w:trPr>
          <w:trHeight w:val="20"/>
        </w:trPr>
        <w:tc>
          <w:tcPr>
            <w:tcW w:w="1615" w:type="dxa"/>
          </w:tcPr>
          <w:p w14:paraId="300E8B7D" w14:textId="25A6E3EB" w:rsidR="000F7705" w:rsidRDefault="000F7705" w:rsidP="002426B0">
            <w:r w:rsidRPr="00620244">
              <w:rPr>
                <w:sz w:val="20"/>
                <w:szCs w:val="20"/>
              </w:rPr>
              <w:t>Manager Level 2</w:t>
            </w:r>
          </w:p>
        </w:tc>
        <w:tc>
          <w:tcPr>
            <w:tcW w:w="8100" w:type="dxa"/>
          </w:tcPr>
          <w:p w14:paraId="3909F514" w14:textId="0708F9FC" w:rsidR="000F7705" w:rsidRPr="00DD625F" w:rsidRDefault="000F7705" w:rsidP="002426B0">
            <w:pPr>
              <w:rPr>
                <w:sz w:val="20"/>
                <w:szCs w:val="20"/>
              </w:rPr>
            </w:pPr>
            <w:r w:rsidRPr="310609F1">
              <w:rPr>
                <w:sz w:val="20"/>
                <w:szCs w:val="20"/>
              </w:rPr>
              <w:t>Up to US$50,000.</w:t>
            </w:r>
            <w:r w:rsidR="6C4D218D" w:rsidRPr="310609F1">
              <w:rPr>
                <w:sz w:val="20"/>
                <w:szCs w:val="20"/>
              </w:rPr>
              <w:t xml:space="preserve"> </w:t>
            </w:r>
            <w:r w:rsidR="6C4D218D" w:rsidRPr="310609F1">
              <w:rPr>
                <w:b/>
                <w:bCs/>
                <w:sz w:val="20"/>
                <w:szCs w:val="20"/>
              </w:rPr>
              <w:t>Flexibility allowed:</w:t>
            </w:r>
            <w:r w:rsidR="6C4D218D" w:rsidRPr="310609F1">
              <w:rPr>
                <w:sz w:val="20"/>
                <w:szCs w:val="20"/>
              </w:rPr>
              <w:t xml:space="preserve"> </w:t>
            </w:r>
            <w:r w:rsidR="6C4D218D" w:rsidRPr="00E06F45">
              <w:rPr>
                <w:sz w:val="20"/>
                <w:szCs w:val="20"/>
              </w:rPr>
              <w:t xml:space="preserve">To broaden </w:t>
            </w:r>
            <w:r w:rsidR="007649B3" w:rsidRPr="00E06F45">
              <w:rPr>
                <w:sz w:val="20"/>
                <w:szCs w:val="20"/>
              </w:rPr>
              <w:t xml:space="preserve">BMS/GSSC </w:t>
            </w:r>
            <w:r w:rsidR="6C4D218D" w:rsidRPr="00E06F45">
              <w:rPr>
                <w:sz w:val="20"/>
                <w:szCs w:val="20"/>
              </w:rPr>
              <w:t xml:space="preserve">staff able to undertake </w:t>
            </w:r>
            <w:r w:rsidR="007649B3" w:rsidRPr="00E06F45">
              <w:rPr>
                <w:sz w:val="20"/>
                <w:szCs w:val="20"/>
              </w:rPr>
              <w:t>Part B of the Approving Manager role (as described in the table above)</w:t>
            </w:r>
            <w:r w:rsidR="6C4D218D" w:rsidRPr="00E06F45">
              <w:rPr>
                <w:sz w:val="20"/>
                <w:szCs w:val="20"/>
              </w:rPr>
              <w:t>: Manager Level 2 may be delegated to GS7 and GS6 staff members in the BMS/GSSC</w:t>
            </w:r>
            <w:r w:rsidR="00FE072D" w:rsidRPr="00E06F45">
              <w:rPr>
                <w:sz w:val="20"/>
                <w:szCs w:val="20"/>
              </w:rPr>
              <w:t>.</w:t>
            </w:r>
          </w:p>
        </w:tc>
      </w:tr>
      <w:tr w:rsidR="000F7705" w14:paraId="22569D73" w14:textId="77777777" w:rsidTr="310609F1">
        <w:trPr>
          <w:trHeight w:val="20"/>
        </w:trPr>
        <w:tc>
          <w:tcPr>
            <w:tcW w:w="1615" w:type="dxa"/>
          </w:tcPr>
          <w:p w14:paraId="3905A09C" w14:textId="50C6FC49" w:rsidR="000F7705" w:rsidRDefault="000F7705" w:rsidP="00947222">
            <w:r w:rsidRPr="00620244">
              <w:rPr>
                <w:sz w:val="20"/>
                <w:szCs w:val="20"/>
              </w:rPr>
              <w:t>Senior Manager</w:t>
            </w:r>
          </w:p>
        </w:tc>
        <w:tc>
          <w:tcPr>
            <w:tcW w:w="8100" w:type="dxa"/>
          </w:tcPr>
          <w:p w14:paraId="27EF4C80" w14:textId="5560550A" w:rsidR="000F7705" w:rsidRDefault="000F7705" w:rsidP="00947222">
            <w:r w:rsidRPr="00620244">
              <w:rPr>
                <w:sz w:val="20"/>
                <w:szCs w:val="20"/>
              </w:rPr>
              <w:t xml:space="preserve">No Quantum approval </w:t>
            </w:r>
            <w:r w:rsidR="000B35C4" w:rsidRPr="00620244">
              <w:rPr>
                <w:sz w:val="20"/>
                <w:szCs w:val="20"/>
              </w:rPr>
              <w:t>limit but</w:t>
            </w:r>
            <w:r>
              <w:rPr>
                <w:sz w:val="20"/>
                <w:szCs w:val="20"/>
              </w:rPr>
              <w:t xml:space="preserve"> must </w:t>
            </w:r>
            <w:r w:rsidRPr="00620244">
              <w:rPr>
                <w:sz w:val="20"/>
                <w:szCs w:val="20"/>
              </w:rPr>
              <w:t xml:space="preserve">follow authority limits prescribed by CPO in POPP </w:t>
            </w:r>
            <w:hyperlink r:id="rId103" w:history="1">
              <w:r w:rsidR="000B35C4" w:rsidRPr="00D14F09">
                <w:rPr>
                  <w:rStyle w:val="Hyperlink"/>
                  <w:sz w:val="20"/>
                  <w:szCs w:val="20"/>
                </w:rPr>
                <w:t>Procurement Authority</w:t>
              </w:r>
            </w:hyperlink>
            <w:r w:rsidR="000B35C4">
              <w:rPr>
                <w:sz w:val="20"/>
                <w:szCs w:val="20"/>
              </w:rPr>
              <w:t xml:space="preserve"> </w:t>
            </w:r>
            <w:r w:rsidRPr="00620244">
              <w:rPr>
                <w:sz w:val="20"/>
                <w:szCs w:val="20"/>
              </w:rPr>
              <w:t>and any threshold set by Head of Office</w:t>
            </w:r>
            <w:r w:rsidR="001F08D4">
              <w:rPr>
                <w:sz w:val="20"/>
                <w:szCs w:val="20"/>
              </w:rPr>
              <w:t>/Unit</w:t>
            </w:r>
            <w:r>
              <w:rPr>
                <w:sz w:val="20"/>
                <w:szCs w:val="20"/>
              </w:rPr>
              <w:t>. Ensure ACP, RACP or CPO approval granted prior to approving POs in Quantum where the dollar value exceeds delegated procurement authority limits</w:t>
            </w:r>
            <w:r w:rsidR="000B35C4">
              <w:rPr>
                <w:sz w:val="20"/>
                <w:szCs w:val="20"/>
              </w:rPr>
              <w:t>.</w:t>
            </w:r>
          </w:p>
        </w:tc>
      </w:tr>
      <w:tr w:rsidR="000F7705" w14:paraId="0A8A96B9" w14:textId="77777777" w:rsidTr="310609F1">
        <w:trPr>
          <w:trHeight w:val="20"/>
        </w:trPr>
        <w:tc>
          <w:tcPr>
            <w:tcW w:w="9715" w:type="dxa"/>
            <w:gridSpan w:val="2"/>
          </w:tcPr>
          <w:p w14:paraId="71CAC23D" w14:textId="5F985825" w:rsidR="000F7705" w:rsidRPr="000F7705" w:rsidRDefault="000F7705" w:rsidP="000F7705">
            <w:pPr>
              <w:rPr>
                <w:sz w:val="20"/>
                <w:szCs w:val="20"/>
              </w:rPr>
            </w:pPr>
            <w:r w:rsidRPr="000F7705">
              <w:rPr>
                <w:b/>
                <w:bCs/>
                <w:sz w:val="20"/>
                <w:szCs w:val="20"/>
                <w:u w:val="single"/>
              </w:rPr>
              <w:t>Exclusions:</w:t>
            </w:r>
            <w:r w:rsidRPr="000F7705">
              <w:rPr>
                <w:sz w:val="20"/>
                <w:szCs w:val="20"/>
              </w:rPr>
              <w:t xml:space="preserve"> The above Approving Manager thresholds do not apply to payments such as national implementation </w:t>
            </w:r>
            <w:r w:rsidR="000B35C4">
              <w:rPr>
                <w:sz w:val="20"/>
                <w:szCs w:val="20"/>
              </w:rPr>
              <w:t xml:space="preserve">modality </w:t>
            </w:r>
            <w:r w:rsidRPr="000F7705">
              <w:rPr>
                <w:sz w:val="20"/>
                <w:szCs w:val="20"/>
              </w:rPr>
              <w:t xml:space="preserve">(NIM) advances, direct budget support, payments under LOAs, memoranda of understanding (MOUs) and memoranda of agreement (MOAs), and small grants issued to implementing partners that do not relate to procurement. These approvals must be </w:t>
            </w:r>
            <w:proofErr w:type="gramStart"/>
            <w:r w:rsidRPr="000F7705">
              <w:rPr>
                <w:sz w:val="20"/>
                <w:szCs w:val="20"/>
              </w:rPr>
              <w:t>performed</w:t>
            </w:r>
            <w:proofErr w:type="gramEnd"/>
            <w:r w:rsidRPr="000F7705">
              <w:rPr>
                <w:sz w:val="20"/>
                <w:szCs w:val="20"/>
              </w:rPr>
              <w:t xml:space="preserve"> by Head of Office</w:t>
            </w:r>
            <w:r w:rsidR="001F08D4">
              <w:rPr>
                <w:sz w:val="20"/>
                <w:szCs w:val="20"/>
              </w:rPr>
              <w:t>/Unit</w:t>
            </w:r>
            <w:r w:rsidRPr="000F7705">
              <w:rPr>
                <w:sz w:val="20"/>
                <w:szCs w:val="20"/>
              </w:rPr>
              <w:t>, or DRR, based on the underlying agreements.</w:t>
            </w:r>
          </w:p>
        </w:tc>
      </w:tr>
      <w:tr w:rsidR="000F7705" w14:paraId="443F9A52" w14:textId="77777777" w:rsidTr="310609F1">
        <w:trPr>
          <w:trHeight w:val="20"/>
        </w:trPr>
        <w:tc>
          <w:tcPr>
            <w:tcW w:w="9715" w:type="dxa"/>
            <w:gridSpan w:val="2"/>
          </w:tcPr>
          <w:p w14:paraId="4DBC1A09" w14:textId="077AE256" w:rsidR="000F7705" w:rsidRPr="000F7705" w:rsidRDefault="000F7705" w:rsidP="363CA695">
            <w:pPr>
              <w:rPr>
                <w:sz w:val="20"/>
                <w:szCs w:val="20"/>
              </w:rPr>
            </w:pPr>
            <w:r w:rsidRPr="310609F1">
              <w:rPr>
                <w:b/>
                <w:bCs/>
                <w:sz w:val="20"/>
                <w:szCs w:val="20"/>
                <w:u w:val="single"/>
              </w:rPr>
              <w:t>Exception:</w:t>
            </w:r>
            <w:r w:rsidRPr="310609F1">
              <w:rPr>
                <w:sz w:val="20"/>
                <w:szCs w:val="20"/>
              </w:rPr>
              <w:t xml:space="preserve"> As second authority, Approving Managers must be independent of the Project Manager (first authority) and the Disbursing Officer (third authority). Therefore, in rare circumstances, where a staff member is both a Project Manager and an Approving Manager, they should not approve POs and non-PO payments [or prepaid invoices] for their own projects. </w:t>
            </w:r>
            <w:r w:rsidRPr="310609F1">
              <w:rPr>
                <w:b/>
                <w:bCs/>
                <w:sz w:val="20"/>
                <w:szCs w:val="20"/>
              </w:rPr>
              <w:t>There is one possible exception: Where the Project Manager is also the Head of Office</w:t>
            </w:r>
            <w:r w:rsidR="001F08D4" w:rsidRPr="310609F1">
              <w:rPr>
                <w:b/>
                <w:bCs/>
                <w:sz w:val="20"/>
                <w:szCs w:val="20"/>
              </w:rPr>
              <w:t>/Unit</w:t>
            </w:r>
            <w:r w:rsidRPr="310609F1">
              <w:rPr>
                <w:b/>
                <w:bCs/>
                <w:sz w:val="20"/>
                <w:szCs w:val="20"/>
              </w:rPr>
              <w:t>.</w:t>
            </w:r>
            <w:r w:rsidRPr="310609F1">
              <w:rPr>
                <w:sz w:val="20"/>
                <w:szCs w:val="20"/>
              </w:rPr>
              <w:t xml:space="preserve"> In this situation, it may not be realistic to expect an Approving Manager, who reports to the Head of Office</w:t>
            </w:r>
            <w:r w:rsidR="001F08D4" w:rsidRPr="310609F1">
              <w:rPr>
                <w:sz w:val="20"/>
                <w:szCs w:val="20"/>
              </w:rPr>
              <w:t>/Unit</w:t>
            </w:r>
            <w:r w:rsidRPr="310609F1">
              <w:rPr>
                <w:sz w:val="20"/>
                <w:szCs w:val="20"/>
              </w:rPr>
              <w:t>, to act as an independent check to the actions of the Head of Office</w:t>
            </w:r>
            <w:r w:rsidR="001F08D4" w:rsidRPr="310609F1">
              <w:rPr>
                <w:sz w:val="20"/>
                <w:szCs w:val="20"/>
              </w:rPr>
              <w:t>/Unit</w:t>
            </w:r>
            <w:r w:rsidRPr="310609F1">
              <w:rPr>
                <w:sz w:val="20"/>
                <w:szCs w:val="20"/>
              </w:rPr>
              <w:t>, given their fiduciary relationship</w:t>
            </w:r>
            <w:r w:rsidRPr="00E06F45">
              <w:rPr>
                <w:sz w:val="20"/>
                <w:szCs w:val="20"/>
              </w:rPr>
              <w:t>.</w:t>
            </w:r>
            <w:r w:rsidR="00792297" w:rsidRPr="00E06F45">
              <w:rPr>
                <w:sz w:val="20"/>
                <w:szCs w:val="20"/>
              </w:rPr>
              <w:t xml:space="preserve"> In such cases, offices/units should consider what compensating controls might be appropriate, such as periodic risk-based post-facto reviews of material transactions on the relevant project by the regional hub or another office/unit.</w:t>
            </w:r>
          </w:p>
        </w:tc>
      </w:tr>
    </w:tbl>
    <w:p w14:paraId="4FDFE146" w14:textId="77777777" w:rsidR="00C45717" w:rsidRPr="006409FA" w:rsidRDefault="00C45717" w:rsidP="002426B0">
      <w:pPr>
        <w:rPr>
          <w:sz w:val="8"/>
          <w:szCs w:val="8"/>
        </w:rPr>
      </w:pPr>
    </w:p>
    <w:p w14:paraId="5E2AD55D" w14:textId="3506DE58" w:rsidR="006409FA" w:rsidRPr="00E06F45" w:rsidRDefault="006409FA" w:rsidP="006409FA">
      <w:r w:rsidRPr="00E06F45">
        <w:t>The internal control responsibilities of the ‘Approving Manager – Part A’ include:</w:t>
      </w:r>
    </w:p>
    <w:tbl>
      <w:tblPr>
        <w:tblStyle w:val="TableGrid"/>
        <w:tblW w:w="0" w:type="auto"/>
        <w:tblCellMar>
          <w:left w:w="72" w:type="dxa"/>
          <w:bottom w:w="43" w:type="dxa"/>
          <w:right w:w="72" w:type="dxa"/>
        </w:tblCellMar>
        <w:tblLook w:val="04A0" w:firstRow="1" w:lastRow="0" w:firstColumn="1" w:lastColumn="0" w:noHBand="0" w:noVBand="1"/>
      </w:tblPr>
      <w:tblGrid>
        <w:gridCol w:w="9715"/>
      </w:tblGrid>
      <w:tr w:rsidR="007C7560" w:rsidRPr="007C7560" w14:paraId="6CCFF881" w14:textId="77777777" w:rsidTr="310609F1">
        <w:trPr>
          <w:tblHeader/>
        </w:trPr>
        <w:tc>
          <w:tcPr>
            <w:tcW w:w="9715" w:type="dxa"/>
            <w:shd w:val="clear" w:color="auto" w:fill="000000" w:themeFill="text1"/>
          </w:tcPr>
          <w:p w14:paraId="232E98BA" w14:textId="49C6B910" w:rsidR="007C7560" w:rsidRPr="007C7560" w:rsidRDefault="007C7560" w:rsidP="004579F9">
            <w:pPr>
              <w:rPr>
                <w:b/>
                <w:bCs/>
                <w:sz w:val="20"/>
                <w:szCs w:val="20"/>
              </w:rPr>
            </w:pPr>
            <w:r w:rsidRPr="007C7560">
              <w:rPr>
                <w:b/>
                <w:bCs/>
                <w:sz w:val="20"/>
                <w:szCs w:val="20"/>
              </w:rPr>
              <w:t>Approving Manager - Part A: Internal Control Responsibilities</w:t>
            </w:r>
          </w:p>
        </w:tc>
      </w:tr>
      <w:tr w:rsidR="007C7560" w:rsidRPr="007C7560" w14:paraId="28DE596A" w14:textId="77777777" w:rsidTr="310609F1">
        <w:trPr>
          <w:trHeight w:val="1961"/>
        </w:trPr>
        <w:tc>
          <w:tcPr>
            <w:tcW w:w="9715" w:type="dxa"/>
          </w:tcPr>
          <w:p w14:paraId="017D4F79" w14:textId="296FE82A" w:rsidR="007C7560" w:rsidRPr="007C7560" w:rsidRDefault="007C7560">
            <w:pPr>
              <w:pStyle w:val="ListParagraph"/>
              <w:numPr>
                <w:ilvl w:val="0"/>
                <w:numId w:val="79"/>
              </w:numPr>
              <w:rPr>
                <w:sz w:val="20"/>
                <w:szCs w:val="20"/>
              </w:rPr>
            </w:pPr>
            <w:r w:rsidRPr="363CA695">
              <w:rPr>
                <w:b/>
                <w:bCs/>
                <w:sz w:val="20"/>
                <w:szCs w:val="20"/>
              </w:rPr>
              <w:t>Approves POs:</w:t>
            </w:r>
            <w:r w:rsidRPr="363CA695">
              <w:rPr>
                <w:sz w:val="20"/>
                <w:szCs w:val="20"/>
              </w:rPr>
              <w:t xml:space="preserve"> </w:t>
            </w:r>
            <w:r w:rsidR="000E63C1" w:rsidRPr="363CA695">
              <w:rPr>
                <w:sz w:val="20"/>
                <w:szCs w:val="20"/>
              </w:rPr>
              <w:t>after</w:t>
            </w:r>
            <w:r w:rsidRPr="363CA695">
              <w:rPr>
                <w:sz w:val="20"/>
                <w:szCs w:val="20"/>
              </w:rPr>
              <w:t xml:space="preserve"> performing the review steps outlined in the </w:t>
            </w:r>
            <w:hyperlink r:id="rId104">
              <w:r w:rsidRPr="363CA695">
                <w:rPr>
                  <w:rStyle w:val="Hyperlink"/>
                  <w:sz w:val="20"/>
                  <w:szCs w:val="20"/>
                </w:rPr>
                <w:t>POPP Purchase Orders (Commitments, Maintenance &amp; Closure)</w:t>
              </w:r>
            </w:hyperlink>
            <w:r w:rsidRPr="363CA695">
              <w:rPr>
                <w:sz w:val="20"/>
                <w:szCs w:val="20"/>
              </w:rPr>
              <w:t xml:space="preserve">. The staff member who approves the PO in Quantum is </w:t>
            </w:r>
            <w:proofErr w:type="gramStart"/>
            <w:r w:rsidRPr="363CA695">
              <w:rPr>
                <w:sz w:val="20"/>
                <w:szCs w:val="20"/>
              </w:rPr>
              <w:t>committing</w:t>
            </w:r>
            <w:proofErr w:type="gramEnd"/>
            <w:r w:rsidRPr="363CA695">
              <w:rPr>
                <w:sz w:val="20"/>
                <w:szCs w:val="20"/>
              </w:rPr>
              <w:t xml:space="preserve"> UNDP and is accountable for compliance with UNDP procedures. Therefore, UNDP does not require a separate signature on the hard copy PO. However, most suppliers require a signed PO as evidence that UNDP has authorized the commitment, and so the staff member who approved the PO in Quantum should also sign the </w:t>
            </w:r>
            <w:proofErr w:type="gramStart"/>
            <w:r w:rsidRPr="363CA695">
              <w:rPr>
                <w:sz w:val="20"/>
                <w:szCs w:val="20"/>
              </w:rPr>
              <w:t>PO,</w:t>
            </w:r>
            <w:proofErr w:type="gramEnd"/>
            <w:r w:rsidRPr="363CA695">
              <w:rPr>
                <w:sz w:val="20"/>
                <w:szCs w:val="20"/>
              </w:rPr>
              <w:t xml:space="preserve"> contract for services or works. </w:t>
            </w:r>
            <w:r w:rsidRPr="363CA695">
              <w:rPr>
                <w:i/>
                <w:iCs/>
                <w:sz w:val="20"/>
                <w:szCs w:val="20"/>
              </w:rPr>
              <w:t xml:space="preserve">(Note: In any event, the accountability remains with the staff member who </w:t>
            </w:r>
            <w:proofErr w:type="gramStart"/>
            <w:r w:rsidRPr="363CA695">
              <w:rPr>
                <w:i/>
                <w:iCs/>
                <w:sz w:val="20"/>
                <w:szCs w:val="20"/>
              </w:rPr>
              <w:t>approved</w:t>
            </w:r>
            <w:proofErr w:type="gramEnd"/>
            <w:r w:rsidRPr="363CA695">
              <w:rPr>
                <w:i/>
                <w:iCs/>
                <w:sz w:val="20"/>
                <w:szCs w:val="20"/>
              </w:rPr>
              <w:t xml:space="preserve"> the PO in Quantum).</w:t>
            </w:r>
            <w:r w:rsidRPr="363CA695">
              <w:rPr>
                <w:sz w:val="20"/>
                <w:szCs w:val="20"/>
              </w:rPr>
              <w:t xml:space="preserve"> Copies should be securely filed. No signature is required if the Supplier can accept an electronic PO dispatched from Quantum.</w:t>
            </w:r>
          </w:p>
        </w:tc>
      </w:tr>
      <w:tr w:rsidR="007C7560" w:rsidRPr="007C7560" w14:paraId="7F6C770B" w14:textId="77777777" w:rsidTr="310609F1">
        <w:trPr>
          <w:trHeight w:val="413"/>
        </w:trPr>
        <w:tc>
          <w:tcPr>
            <w:tcW w:w="9715" w:type="dxa"/>
          </w:tcPr>
          <w:p w14:paraId="7518F04D" w14:textId="4B934504" w:rsidR="007C7560" w:rsidRPr="007C7560" w:rsidRDefault="007C7560">
            <w:pPr>
              <w:pStyle w:val="ListParagraph"/>
              <w:numPr>
                <w:ilvl w:val="0"/>
                <w:numId w:val="79"/>
              </w:numPr>
              <w:rPr>
                <w:sz w:val="20"/>
                <w:szCs w:val="20"/>
              </w:rPr>
            </w:pPr>
            <w:r w:rsidRPr="007C7560">
              <w:rPr>
                <w:b/>
                <w:bCs/>
                <w:sz w:val="20"/>
                <w:szCs w:val="20"/>
              </w:rPr>
              <w:t>Approves 3-way match exception overrides:</w:t>
            </w:r>
            <w:r w:rsidRPr="007C7560">
              <w:rPr>
                <w:sz w:val="20"/>
                <w:szCs w:val="20"/>
              </w:rPr>
              <w:t xml:space="preserve"> brought to their attention </w:t>
            </w:r>
            <w:r>
              <w:rPr>
                <w:sz w:val="20"/>
                <w:szCs w:val="20"/>
              </w:rPr>
              <w:t>by the office</w:t>
            </w:r>
            <w:r w:rsidR="001F08D4">
              <w:rPr>
                <w:sz w:val="20"/>
                <w:szCs w:val="20"/>
              </w:rPr>
              <w:t>/unit</w:t>
            </w:r>
            <w:r>
              <w:rPr>
                <w:sz w:val="20"/>
                <w:szCs w:val="20"/>
              </w:rPr>
              <w:t xml:space="preserve">’s Finance </w:t>
            </w:r>
            <w:r w:rsidR="001F08D4">
              <w:rPr>
                <w:sz w:val="20"/>
                <w:szCs w:val="20"/>
              </w:rPr>
              <w:t xml:space="preserve">team </w:t>
            </w:r>
            <w:r>
              <w:rPr>
                <w:sz w:val="20"/>
                <w:szCs w:val="20"/>
              </w:rPr>
              <w:t>(including via</w:t>
            </w:r>
            <w:r w:rsidRPr="007C7560">
              <w:rPr>
                <w:sz w:val="20"/>
                <w:szCs w:val="20"/>
              </w:rPr>
              <w:t xml:space="preserve"> BMS/GSSC for clustered AP processes)</w:t>
            </w:r>
            <w:r>
              <w:rPr>
                <w:sz w:val="20"/>
                <w:szCs w:val="20"/>
              </w:rPr>
              <w:t>.</w:t>
            </w:r>
          </w:p>
        </w:tc>
      </w:tr>
      <w:tr w:rsidR="007C7560" w:rsidRPr="007C7560" w14:paraId="5CEF6EEF" w14:textId="77777777" w:rsidTr="310609F1">
        <w:trPr>
          <w:trHeight w:val="1520"/>
        </w:trPr>
        <w:tc>
          <w:tcPr>
            <w:tcW w:w="9715" w:type="dxa"/>
          </w:tcPr>
          <w:p w14:paraId="7F1FD0C9" w14:textId="45F07B76" w:rsidR="007C7560" w:rsidRPr="000E63C1" w:rsidRDefault="00BE7B03">
            <w:pPr>
              <w:pStyle w:val="TableParagraph"/>
              <w:numPr>
                <w:ilvl w:val="0"/>
                <w:numId w:val="79"/>
              </w:numPr>
              <w:ind w:right="120"/>
              <w:jc w:val="both"/>
              <w:rPr>
                <w:b/>
                <w:bCs/>
                <w:i/>
                <w:iCs/>
                <w:sz w:val="20"/>
                <w:szCs w:val="20"/>
              </w:rPr>
            </w:pPr>
            <w:r w:rsidRPr="363CA695">
              <w:rPr>
                <w:b/>
                <w:bCs/>
                <w:sz w:val="20"/>
                <w:szCs w:val="20"/>
              </w:rPr>
              <w:t>Approves non-PO invoices:</w:t>
            </w:r>
            <w:r w:rsidRPr="363CA695">
              <w:rPr>
                <w:sz w:val="20"/>
                <w:szCs w:val="20"/>
              </w:rPr>
              <w:t xml:space="preserve"> </w:t>
            </w:r>
            <w:r w:rsidR="000E63C1" w:rsidRPr="363CA695">
              <w:rPr>
                <w:sz w:val="20"/>
                <w:szCs w:val="20"/>
              </w:rPr>
              <w:t>Approves</w:t>
            </w:r>
            <w:r w:rsidRPr="363CA695">
              <w:rPr>
                <w:sz w:val="20"/>
                <w:szCs w:val="20"/>
              </w:rPr>
              <w:t xml:space="preserve"> non-</w:t>
            </w:r>
            <w:r w:rsidRPr="363CA695">
              <w:rPr>
                <w:spacing w:val="-47"/>
                <w:sz w:val="20"/>
                <w:szCs w:val="20"/>
              </w:rPr>
              <w:t xml:space="preserve"> </w:t>
            </w:r>
            <w:r w:rsidRPr="363CA695">
              <w:rPr>
                <w:sz w:val="20"/>
                <w:szCs w:val="20"/>
              </w:rPr>
              <w:t>PO</w:t>
            </w:r>
            <w:r w:rsidRPr="363CA695">
              <w:rPr>
                <w:spacing w:val="-1"/>
                <w:sz w:val="20"/>
                <w:szCs w:val="20"/>
              </w:rPr>
              <w:t xml:space="preserve"> </w:t>
            </w:r>
            <w:r w:rsidRPr="363CA695">
              <w:rPr>
                <w:sz w:val="20"/>
                <w:szCs w:val="20"/>
              </w:rPr>
              <w:t>invoices in</w:t>
            </w:r>
            <w:r w:rsidRPr="363CA695">
              <w:rPr>
                <w:spacing w:val="-1"/>
                <w:sz w:val="20"/>
                <w:szCs w:val="20"/>
              </w:rPr>
              <w:t xml:space="preserve"> </w:t>
            </w:r>
            <w:r w:rsidRPr="363CA695">
              <w:rPr>
                <w:sz w:val="20"/>
                <w:szCs w:val="20"/>
              </w:rPr>
              <w:t>accordance</w:t>
            </w:r>
            <w:r w:rsidRPr="363CA695">
              <w:rPr>
                <w:spacing w:val="-2"/>
                <w:sz w:val="20"/>
                <w:szCs w:val="20"/>
              </w:rPr>
              <w:t xml:space="preserve"> </w:t>
            </w:r>
            <w:r w:rsidRPr="363CA695">
              <w:rPr>
                <w:sz w:val="20"/>
                <w:szCs w:val="20"/>
              </w:rPr>
              <w:t>with</w:t>
            </w:r>
            <w:r w:rsidRPr="363CA695">
              <w:rPr>
                <w:spacing w:val="-2"/>
                <w:sz w:val="20"/>
                <w:szCs w:val="20"/>
              </w:rPr>
              <w:t xml:space="preserve"> </w:t>
            </w:r>
            <w:hyperlink r:id="rId105">
              <w:r w:rsidRPr="363CA695">
                <w:rPr>
                  <w:color w:val="0462C1"/>
                  <w:sz w:val="20"/>
                  <w:szCs w:val="20"/>
                  <w:u w:val="single" w:color="0462C1"/>
                </w:rPr>
                <w:t>POPP</w:t>
              </w:r>
              <w:r w:rsidRPr="363CA695">
                <w:rPr>
                  <w:color w:val="0462C1"/>
                  <w:spacing w:val="1"/>
                  <w:sz w:val="20"/>
                  <w:szCs w:val="20"/>
                  <w:u w:val="single" w:color="0462C1"/>
                </w:rPr>
                <w:t xml:space="preserve"> </w:t>
              </w:r>
              <w:r w:rsidRPr="363CA695">
                <w:rPr>
                  <w:color w:val="0462C1"/>
                  <w:sz w:val="20"/>
                  <w:szCs w:val="20"/>
                  <w:u w:val="single" w:color="0462C1"/>
                </w:rPr>
                <w:t>Accounts</w:t>
              </w:r>
              <w:r w:rsidRPr="363CA695">
                <w:rPr>
                  <w:color w:val="0462C1"/>
                  <w:spacing w:val="1"/>
                  <w:sz w:val="20"/>
                  <w:szCs w:val="20"/>
                  <w:u w:val="single" w:color="0462C1"/>
                </w:rPr>
                <w:t xml:space="preserve"> </w:t>
              </w:r>
              <w:r w:rsidRPr="363CA695">
                <w:rPr>
                  <w:color w:val="0462C1"/>
                  <w:sz w:val="20"/>
                  <w:szCs w:val="20"/>
                  <w:u w:val="single" w:color="0462C1"/>
                </w:rPr>
                <w:t>Payable</w:t>
              </w:r>
              <w:r w:rsidRPr="363CA695">
                <w:rPr>
                  <w:sz w:val="20"/>
                  <w:szCs w:val="20"/>
                </w:rPr>
                <w:t>.</w:t>
              </w:r>
            </w:hyperlink>
            <w:r w:rsidRPr="363CA695">
              <w:rPr>
                <w:sz w:val="20"/>
                <w:szCs w:val="20"/>
              </w:rPr>
              <w:t xml:space="preserve"> The Approving Manager must review supporting documentation in either electronic or hard copy</w:t>
            </w:r>
            <w:r w:rsidR="003708F7" w:rsidRPr="00E06F45">
              <w:rPr>
                <w:sz w:val="20"/>
                <w:szCs w:val="20"/>
              </w:rPr>
              <w:t>, and ensure that the Project Manager (as first authority) has confirmed receipt of the goods and/or services</w:t>
            </w:r>
            <w:r w:rsidRPr="00E06F45">
              <w:rPr>
                <w:sz w:val="20"/>
                <w:szCs w:val="20"/>
              </w:rPr>
              <w:t xml:space="preserve">. </w:t>
            </w:r>
            <w:r w:rsidRPr="363CA695">
              <w:rPr>
                <w:sz w:val="20"/>
                <w:szCs w:val="20"/>
              </w:rPr>
              <w:t>The list of documents varies depending on the nature of the transaction and the Approving Manager’s assessment of the risk involved. For offices</w:t>
            </w:r>
            <w:r w:rsidR="001F08D4" w:rsidRPr="363CA695">
              <w:rPr>
                <w:sz w:val="20"/>
                <w:szCs w:val="20"/>
              </w:rPr>
              <w:t>/units</w:t>
            </w:r>
            <w:r w:rsidRPr="363CA695">
              <w:rPr>
                <w:sz w:val="20"/>
                <w:szCs w:val="20"/>
              </w:rPr>
              <w:t xml:space="preserve"> with non-clustered Accounts Payable</w:t>
            </w:r>
            <w:r w:rsidRPr="363CA695">
              <w:rPr>
                <w:spacing w:val="1"/>
                <w:sz w:val="20"/>
                <w:szCs w:val="20"/>
              </w:rPr>
              <w:t xml:space="preserve"> </w:t>
            </w:r>
            <w:r w:rsidRPr="363CA695">
              <w:rPr>
                <w:sz w:val="20"/>
                <w:szCs w:val="20"/>
              </w:rPr>
              <w:t>processes, the Head of Office</w:t>
            </w:r>
            <w:r w:rsidR="001F08D4" w:rsidRPr="363CA695">
              <w:rPr>
                <w:sz w:val="20"/>
                <w:szCs w:val="20"/>
              </w:rPr>
              <w:t>/Unit</w:t>
            </w:r>
            <w:r w:rsidRPr="363CA695">
              <w:rPr>
                <w:sz w:val="20"/>
                <w:szCs w:val="20"/>
              </w:rPr>
              <w:t xml:space="preserve"> must provide some guidance on the risk assessment. For offices</w:t>
            </w:r>
            <w:r w:rsidR="001F08D4" w:rsidRPr="363CA695">
              <w:rPr>
                <w:sz w:val="20"/>
                <w:szCs w:val="20"/>
              </w:rPr>
              <w:t>/units</w:t>
            </w:r>
            <w:r w:rsidRPr="363CA695">
              <w:rPr>
                <w:sz w:val="20"/>
                <w:szCs w:val="20"/>
              </w:rPr>
              <w:t xml:space="preserve"> with clustered Accounts Payable processes, the </w:t>
            </w:r>
            <w:hyperlink r:id="rId106" w:history="1">
              <w:r w:rsidRPr="363CA695">
                <w:rPr>
                  <w:rStyle w:val="Hyperlink"/>
                  <w:sz w:val="20"/>
                  <w:szCs w:val="20"/>
                </w:rPr>
                <w:t>BMS/GSSC SOP for Accounts Payable Processing</w:t>
              </w:r>
            </w:hyperlink>
            <w:r w:rsidRPr="363CA695">
              <w:rPr>
                <w:rStyle w:val="Hyperlink"/>
                <w:sz w:val="20"/>
                <w:szCs w:val="20"/>
              </w:rPr>
              <w:t xml:space="preserve"> </w:t>
            </w:r>
            <w:r w:rsidRPr="363CA695">
              <w:rPr>
                <w:sz w:val="20"/>
                <w:szCs w:val="20"/>
              </w:rPr>
              <w:t>is followed.</w:t>
            </w:r>
          </w:p>
        </w:tc>
      </w:tr>
      <w:tr w:rsidR="007C7560" w:rsidRPr="007C7560" w14:paraId="122E7136" w14:textId="77777777" w:rsidTr="310609F1">
        <w:tc>
          <w:tcPr>
            <w:tcW w:w="9715" w:type="dxa"/>
            <w:tcBorders>
              <w:bottom w:val="single" w:sz="4" w:space="0" w:color="auto"/>
            </w:tcBorders>
          </w:tcPr>
          <w:p w14:paraId="687FBD10" w14:textId="4D66523A" w:rsidR="007C7560" w:rsidRPr="000E63C1" w:rsidRDefault="000E63C1">
            <w:pPr>
              <w:pStyle w:val="ListParagraph"/>
              <w:numPr>
                <w:ilvl w:val="0"/>
                <w:numId w:val="79"/>
              </w:numPr>
              <w:rPr>
                <w:sz w:val="20"/>
                <w:szCs w:val="20"/>
              </w:rPr>
            </w:pPr>
            <w:r w:rsidRPr="00AD810D">
              <w:rPr>
                <w:b/>
                <w:bCs/>
                <w:sz w:val="20"/>
                <w:szCs w:val="20"/>
              </w:rPr>
              <w:lastRenderedPageBreak/>
              <w:t>Approves prepayment invoices:</w:t>
            </w:r>
            <w:r w:rsidRPr="00AD810D">
              <w:rPr>
                <w:sz w:val="20"/>
                <w:szCs w:val="20"/>
              </w:rPr>
              <w:t xml:space="preserve"> ensures that the prepayment was accurately created, is appropriate based on supporting documentation, and complies with POPP </w:t>
            </w:r>
            <w:hyperlink r:id="rId107">
              <w:r w:rsidRPr="00AD810D">
                <w:rPr>
                  <w:rStyle w:val="Hyperlink"/>
                  <w:sz w:val="20"/>
                  <w:szCs w:val="20"/>
                </w:rPr>
                <w:t>Prepayments</w:t>
              </w:r>
            </w:hyperlink>
            <w:r w:rsidRPr="00AD810D">
              <w:rPr>
                <w:sz w:val="20"/>
                <w:szCs w:val="20"/>
              </w:rPr>
              <w:t>. For offices</w:t>
            </w:r>
            <w:r w:rsidR="001F08D4" w:rsidRPr="00AD810D">
              <w:rPr>
                <w:sz w:val="20"/>
                <w:szCs w:val="20"/>
              </w:rPr>
              <w:t>/units</w:t>
            </w:r>
            <w:r w:rsidRPr="00AD810D">
              <w:rPr>
                <w:sz w:val="20"/>
                <w:szCs w:val="20"/>
              </w:rPr>
              <w:t xml:space="preserve"> with clustered Accounts Payable processes, the </w:t>
            </w:r>
            <w:hyperlink r:id="rId108">
              <w:r w:rsidRPr="00AD810D">
                <w:rPr>
                  <w:rStyle w:val="Hyperlink"/>
                  <w:sz w:val="20"/>
                  <w:szCs w:val="20"/>
                </w:rPr>
                <w:t>BMS/GSSC SOP for Accounts Payable Processing</w:t>
              </w:r>
            </w:hyperlink>
            <w:r w:rsidRPr="00AD810D">
              <w:rPr>
                <w:rStyle w:val="Hyperlink"/>
                <w:sz w:val="20"/>
                <w:szCs w:val="20"/>
              </w:rPr>
              <w:t xml:space="preserve"> </w:t>
            </w:r>
            <w:r w:rsidRPr="00AD810D">
              <w:rPr>
                <w:sz w:val="20"/>
                <w:szCs w:val="20"/>
              </w:rPr>
              <w:t>is followed.</w:t>
            </w:r>
          </w:p>
        </w:tc>
      </w:tr>
      <w:tr w:rsidR="00311836" w:rsidRPr="007C7560" w14:paraId="543D56D0" w14:textId="77777777" w:rsidTr="310609F1">
        <w:tc>
          <w:tcPr>
            <w:tcW w:w="9715" w:type="dxa"/>
            <w:tcBorders>
              <w:bottom w:val="nil"/>
            </w:tcBorders>
          </w:tcPr>
          <w:p w14:paraId="4922B9C3" w14:textId="7B5E7024" w:rsidR="00311836" w:rsidRPr="00B84C07" w:rsidRDefault="00311836">
            <w:pPr>
              <w:pStyle w:val="ListParagraph"/>
              <w:numPr>
                <w:ilvl w:val="0"/>
                <w:numId w:val="79"/>
              </w:numPr>
              <w:rPr>
                <w:sz w:val="20"/>
                <w:szCs w:val="20"/>
              </w:rPr>
            </w:pPr>
            <w:bookmarkStart w:id="47" w:name="_Hlk188265035"/>
            <w:r w:rsidRPr="006409FA">
              <w:rPr>
                <w:b/>
                <w:bCs/>
                <w:sz w:val="20"/>
                <w:szCs w:val="20"/>
              </w:rPr>
              <w:t>Approves ZDIs:</w:t>
            </w:r>
            <w:r w:rsidRPr="006409FA">
              <w:rPr>
                <w:sz w:val="20"/>
                <w:szCs w:val="20"/>
              </w:rPr>
              <w:t xml:space="preserve"> Zero-Dollar Invoices (ZDIs) can be used</w:t>
            </w:r>
            <w:r w:rsidR="00D11FAD">
              <w:rPr>
                <w:sz w:val="20"/>
                <w:szCs w:val="20"/>
              </w:rPr>
              <w:t>, s</w:t>
            </w:r>
            <w:r w:rsidRPr="006409FA">
              <w:rPr>
                <w:sz w:val="20"/>
                <w:szCs w:val="20"/>
              </w:rPr>
              <w:t xml:space="preserve">ubject to certain criteria, </w:t>
            </w:r>
            <w:r w:rsidR="00D11FAD">
              <w:rPr>
                <w:sz w:val="20"/>
                <w:szCs w:val="20"/>
              </w:rPr>
              <w:t>for</w:t>
            </w:r>
            <w:r w:rsidRPr="006409FA">
              <w:rPr>
                <w:sz w:val="20"/>
                <w:szCs w:val="20"/>
              </w:rPr>
              <w:t xml:space="preserve"> adjustments </w:t>
            </w:r>
            <w:r w:rsidR="00D11FAD">
              <w:rPr>
                <w:sz w:val="20"/>
                <w:szCs w:val="20"/>
              </w:rPr>
              <w:t>of expenditure</w:t>
            </w:r>
            <w:r w:rsidR="001702CA">
              <w:rPr>
                <w:sz w:val="20"/>
                <w:szCs w:val="20"/>
              </w:rPr>
              <w:t xml:space="preserve"> </w:t>
            </w:r>
            <w:r w:rsidRPr="006409FA">
              <w:rPr>
                <w:sz w:val="20"/>
                <w:szCs w:val="20"/>
              </w:rPr>
              <w:t>between projects</w:t>
            </w:r>
            <w:r w:rsidR="00D11FAD">
              <w:rPr>
                <w:sz w:val="20"/>
                <w:szCs w:val="20"/>
              </w:rPr>
              <w:t xml:space="preserve"> in Quantum</w:t>
            </w:r>
            <w:r w:rsidRPr="006409FA">
              <w:rPr>
                <w:sz w:val="20"/>
                <w:szCs w:val="20"/>
              </w:rPr>
              <w:t xml:space="preserve"> without the need for GLJEs. Refer to the training covering</w:t>
            </w:r>
            <w:hyperlink r:id="rId109" w:history="1">
              <w:r w:rsidRPr="006409FA">
                <w:rPr>
                  <w:rStyle w:val="Hyperlink"/>
                  <w:sz w:val="20"/>
                  <w:szCs w:val="20"/>
                </w:rPr>
                <w:t xml:space="preserve"> Zero-Dollar Invoice</w:t>
              </w:r>
            </w:hyperlink>
            <w:r w:rsidRPr="006409FA">
              <w:rPr>
                <w:sz w:val="20"/>
                <w:szCs w:val="20"/>
              </w:rPr>
              <w:t xml:space="preserve">. </w:t>
            </w:r>
            <w:bookmarkEnd w:id="47"/>
          </w:p>
        </w:tc>
      </w:tr>
      <w:tr w:rsidR="007C7560" w:rsidRPr="007C7560" w14:paraId="5553DE36" w14:textId="77777777" w:rsidTr="310609F1">
        <w:trPr>
          <w:trHeight w:val="513"/>
        </w:trPr>
        <w:tc>
          <w:tcPr>
            <w:tcW w:w="9715" w:type="dxa"/>
            <w:tcBorders>
              <w:top w:val="nil"/>
            </w:tcBorders>
          </w:tcPr>
          <w:p w14:paraId="1AB9E835" w14:textId="53D43AE3" w:rsidR="007C7560" w:rsidRPr="007C7560" w:rsidRDefault="220725CF">
            <w:pPr>
              <w:pStyle w:val="ListParagraph"/>
              <w:numPr>
                <w:ilvl w:val="0"/>
                <w:numId w:val="79"/>
              </w:numPr>
              <w:rPr>
                <w:sz w:val="20"/>
                <w:szCs w:val="20"/>
              </w:rPr>
            </w:pPr>
            <w:r w:rsidRPr="00E06F45">
              <w:rPr>
                <w:b/>
                <w:bCs/>
                <w:sz w:val="20"/>
                <w:szCs w:val="20"/>
              </w:rPr>
              <w:t xml:space="preserve">Approves GLJEs </w:t>
            </w:r>
            <w:r w:rsidRPr="00A25694">
              <w:rPr>
                <w:sz w:val="20"/>
                <w:szCs w:val="20"/>
              </w:rPr>
              <w:t>(</w:t>
            </w:r>
            <w:r w:rsidR="00A25694" w:rsidRPr="00A25694">
              <w:rPr>
                <w:sz w:val="20"/>
                <w:szCs w:val="20"/>
              </w:rPr>
              <w:t>note: it is possible that during FY2025, GLJE approvals may become limited to BMS/OF</w:t>
            </w:r>
            <w:r w:rsidR="00A40A72">
              <w:rPr>
                <w:sz w:val="20"/>
                <w:szCs w:val="20"/>
              </w:rPr>
              <w:t>R</w:t>
            </w:r>
            <w:r w:rsidR="00A25694" w:rsidRPr="00A25694">
              <w:rPr>
                <w:sz w:val="20"/>
                <w:szCs w:val="20"/>
              </w:rPr>
              <w:t>M, BMS/GSSC and MPTFO only</w:t>
            </w:r>
            <w:r w:rsidRPr="00A25694">
              <w:rPr>
                <w:sz w:val="20"/>
                <w:szCs w:val="20"/>
              </w:rPr>
              <w:t>)</w:t>
            </w:r>
            <w:r w:rsidRPr="00A25694">
              <w:rPr>
                <w:b/>
                <w:bCs/>
                <w:sz w:val="20"/>
                <w:szCs w:val="20"/>
              </w:rPr>
              <w:t>:</w:t>
            </w:r>
            <w:r w:rsidRPr="00E06F45">
              <w:rPr>
                <w:sz w:val="20"/>
                <w:szCs w:val="20"/>
              </w:rPr>
              <w:t xml:space="preserve"> </w:t>
            </w:r>
            <w:r w:rsidR="006409FA" w:rsidRPr="00E06F45">
              <w:rPr>
                <w:sz w:val="20"/>
                <w:szCs w:val="20"/>
              </w:rPr>
              <w:t xml:space="preserve">Since GLJEs are posted directly in the GL without the built-in checks and balances normally within Quantum sub-modules, it is critical that GLJEs are prepared and approved by knowledgeable staff. </w:t>
            </w:r>
            <w:r w:rsidRPr="00E06F45">
              <w:rPr>
                <w:sz w:val="20"/>
                <w:szCs w:val="20"/>
              </w:rPr>
              <w:t xml:space="preserve">Furthermore, since GLJEs do not </w:t>
            </w:r>
            <w:r w:rsidR="338E5EE6" w:rsidRPr="00E06F45">
              <w:rPr>
                <w:sz w:val="20"/>
                <w:szCs w:val="20"/>
              </w:rPr>
              <w:t xml:space="preserve">affect project balances or reporting, they are only used for corporate financial adjustments by the above offices. </w:t>
            </w:r>
            <w:r w:rsidR="006409FA" w:rsidRPr="00E06F45">
              <w:rPr>
                <w:sz w:val="20"/>
                <w:szCs w:val="20"/>
              </w:rPr>
              <w:t>To discharge their responsibilities effectively, GLJE approvers</w:t>
            </w:r>
            <w:r w:rsidR="338E5EE6" w:rsidRPr="00E06F45">
              <w:rPr>
                <w:sz w:val="20"/>
                <w:szCs w:val="20"/>
              </w:rPr>
              <w:t xml:space="preserve"> within those offices</w:t>
            </w:r>
            <w:r w:rsidR="006409FA" w:rsidRPr="00E06F45">
              <w:rPr>
                <w:sz w:val="20"/>
                <w:szCs w:val="20"/>
              </w:rPr>
              <w:t xml:space="preserve"> must be a Senior Manager or Manager Level 2 in finance with knowledge and understanding of key accounting principles and concepts. Such staff can be assigned the IDAM Supplemental Role of ‘GLJE Approver.’</w:t>
            </w:r>
            <w:r w:rsidR="005A588B" w:rsidRPr="00E06F45">
              <w:rPr>
                <w:sz w:val="20"/>
                <w:szCs w:val="20"/>
              </w:rPr>
              <w:t xml:space="preserve"> </w:t>
            </w:r>
            <w:r w:rsidR="006409FA" w:rsidRPr="00E06F45">
              <w:rPr>
                <w:sz w:val="20"/>
                <w:szCs w:val="20"/>
              </w:rPr>
              <w:t xml:space="preserve">Approving Managers review, approve, and post GLJEs within their authorized Approving Manager thresholds. GLJEs should not be </w:t>
            </w:r>
            <w:proofErr w:type="gramStart"/>
            <w:r w:rsidR="006409FA" w:rsidRPr="00E06F45">
              <w:rPr>
                <w:sz w:val="20"/>
                <w:szCs w:val="20"/>
              </w:rPr>
              <w:t>approved</w:t>
            </w:r>
            <w:proofErr w:type="gramEnd"/>
            <w:r w:rsidR="006409FA" w:rsidRPr="00E06F45">
              <w:rPr>
                <w:sz w:val="20"/>
                <w:szCs w:val="20"/>
              </w:rPr>
              <w:t xml:space="preserve"> by the same person who created or edited the GLJE (Quantum prevents this). All GLJEs should be supported by appropriate documentation </w:t>
            </w:r>
            <w:r w:rsidR="007649B3" w:rsidRPr="00E06F45">
              <w:rPr>
                <w:sz w:val="20"/>
                <w:szCs w:val="20"/>
              </w:rPr>
              <w:t xml:space="preserve">that </w:t>
            </w:r>
            <w:r w:rsidR="00966B46" w:rsidRPr="00E06F45">
              <w:rPr>
                <w:sz w:val="20"/>
                <w:szCs w:val="20"/>
              </w:rPr>
              <w:t xml:space="preserve">clearly </w:t>
            </w:r>
            <w:r w:rsidR="007649B3" w:rsidRPr="00E06F45">
              <w:rPr>
                <w:sz w:val="20"/>
                <w:szCs w:val="20"/>
              </w:rPr>
              <w:t xml:space="preserve">evidences the </w:t>
            </w:r>
            <w:r w:rsidR="00966B46" w:rsidRPr="00E06F45">
              <w:rPr>
                <w:sz w:val="20"/>
                <w:szCs w:val="20"/>
              </w:rPr>
              <w:t xml:space="preserve">need for, and accuracy of, the GLJE. </w:t>
            </w:r>
            <w:r w:rsidR="00966B46">
              <w:rPr>
                <w:sz w:val="20"/>
                <w:szCs w:val="20"/>
              </w:rPr>
              <w:t>T</w:t>
            </w:r>
            <w:r w:rsidR="006409FA" w:rsidRPr="310609F1">
              <w:rPr>
                <w:sz w:val="20"/>
                <w:szCs w:val="20"/>
              </w:rPr>
              <w:t xml:space="preserve">hese supporting documents should be maintained </w:t>
            </w:r>
            <w:r w:rsidR="002028BA" w:rsidRPr="310609F1">
              <w:rPr>
                <w:sz w:val="20"/>
                <w:szCs w:val="20"/>
              </w:rPr>
              <w:t>in accordance with the</w:t>
            </w:r>
            <w:r w:rsidR="00ED65AE" w:rsidRPr="00671504">
              <w:rPr>
                <w:color w:val="ED7D31" w:themeColor="accent2"/>
                <w:sz w:val="20"/>
                <w:szCs w:val="20"/>
              </w:rPr>
              <w:t xml:space="preserve"> </w:t>
            </w:r>
            <w:r w:rsidR="00ED65AE" w:rsidRPr="00ED65AE">
              <w:rPr>
                <w:sz w:val="20"/>
                <w:szCs w:val="20"/>
              </w:rPr>
              <w:t>guidance provided in section 2.10 of this Guide.</w:t>
            </w:r>
          </w:p>
        </w:tc>
      </w:tr>
    </w:tbl>
    <w:p w14:paraId="56D771BD" w14:textId="77777777" w:rsidR="007C7560" w:rsidRPr="002028BA" w:rsidRDefault="007C7560" w:rsidP="002426B0">
      <w:pPr>
        <w:rPr>
          <w:sz w:val="8"/>
          <w:szCs w:val="8"/>
        </w:rPr>
      </w:pPr>
    </w:p>
    <w:p w14:paraId="0718615A" w14:textId="77777777" w:rsidR="00466178" w:rsidRPr="00E06F45" w:rsidRDefault="006409FA" w:rsidP="002028BA">
      <w:pPr>
        <w:spacing w:line="240" w:lineRule="auto"/>
        <w:rPr>
          <w:u w:val="single"/>
        </w:rPr>
      </w:pPr>
      <w:r w:rsidRPr="00E06F45">
        <w:t xml:space="preserve">The internal control responsibilities of Approving Managers performing </w:t>
      </w:r>
      <w:r w:rsidR="002028BA" w:rsidRPr="00E06F45">
        <w:t>‘</w:t>
      </w:r>
      <w:r w:rsidRPr="00E06F45">
        <w:t>Part – B (verifying that payments can be made)</w:t>
      </w:r>
      <w:r w:rsidR="002028BA" w:rsidRPr="00E06F45">
        <w:t>’</w:t>
      </w:r>
      <w:r w:rsidRPr="00E06F45">
        <w:t xml:space="preserve"> are described in the above table titled ‘Approving Manager functions (second authority, verifying officer).’ For offices</w:t>
      </w:r>
      <w:r w:rsidR="001F08D4" w:rsidRPr="00E06F45">
        <w:t>/units</w:t>
      </w:r>
      <w:r w:rsidRPr="00E06F45">
        <w:t xml:space="preserve"> with clustered Accounts Payable processes where BMS/GSSC fulfils this function, BMS/GSSC’s responsibilities are further elaborated on in </w:t>
      </w:r>
      <w:hyperlink r:id="rId110" w:history="1">
        <w:r w:rsidRPr="00E06F45">
          <w:rPr>
            <w:rStyle w:val="Hyperlink"/>
            <w:color w:val="4472C4" w:themeColor="accent1"/>
          </w:rPr>
          <w:t>BMS/GSSC SOP for Accounts Payable Processing</w:t>
        </w:r>
      </w:hyperlink>
      <w:r w:rsidR="002028BA" w:rsidRPr="00E06F45">
        <w:rPr>
          <w:u w:val="single"/>
        </w:rPr>
        <w:t>.</w:t>
      </w:r>
    </w:p>
    <w:p w14:paraId="7B0BFFB9" w14:textId="3463D87F" w:rsidR="006409FA" w:rsidRPr="00E06F45" w:rsidRDefault="00466178" w:rsidP="002028BA">
      <w:pPr>
        <w:spacing w:line="240" w:lineRule="auto"/>
      </w:pPr>
      <w:r w:rsidRPr="00E06F45">
        <w:t>For offices/units that do not have a clustered Accounts Payable process, the Approving Manager in the office/unit fulfills both Part A and Part B functions.</w:t>
      </w:r>
    </w:p>
    <w:p w14:paraId="2CA413EA" w14:textId="597EBBB8" w:rsidR="005D2478" w:rsidRDefault="005D2478">
      <w:pPr>
        <w:pStyle w:val="Heading2"/>
        <w:numPr>
          <w:ilvl w:val="1"/>
          <w:numId w:val="93"/>
        </w:numPr>
        <w:spacing w:after="240"/>
      </w:pPr>
      <w:bookmarkStart w:id="48" w:name="_Toc210052765"/>
      <w:r>
        <w:t>Disbursing Officer (third authority)</w:t>
      </w:r>
      <w:bookmarkEnd w:id="48"/>
    </w:p>
    <w:p w14:paraId="72D25305" w14:textId="16EC423F" w:rsidR="005D2478" w:rsidRDefault="005D2478" w:rsidP="005D2478">
      <w:pPr>
        <w:spacing w:after="240"/>
      </w:pPr>
      <w:r w:rsidRPr="00AD810D">
        <w:t xml:space="preserve">The third authority, referred to herein as the ‘disbursing officer,’ authorizes pending disbursements and fulfills the bank signatory role. This authority equates to the ‘disbursement officer’ in financial regulation 20.02 (b). The third authority, with </w:t>
      </w:r>
      <w:proofErr w:type="gramStart"/>
      <w:r w:rsidRPr="00AD810D">
        <w:t>an</w:t>
      </w:r>
      <w:proofErr w:type="gramEnd"/>
      <w:r w:rsidRPr="00AD810D">
        <w:t xml:space="preserve"> exception to the Bank Signatory, must be </w:t>
      </w:r>
      <w:proofErr w:type="gramStart"/>
      <w:r w:rsidRPr="00AD810D">
        <w:t>separate</w:t>
      </w:r>
      <w:proofErr w:type="gramEnd"/>
      <w:r w:rsidRPr="00AD810D">
        <w:t xml:space="preserve"> from either first or second authorities and must be exercised by a UNDP staff member. </w:t>
      </w:r>
      <w:r w:rsidRPr="00AD810D">
        <w:rPr>
          <w:b/>
          <w:bCs/>
        </w:rPr>
        <w:t>Any exceptions to this requirement must be approved by the Treasurer, copied to the CFO, on a case-by-case basis and based upon full justification and application of appropriate additional controls by the respective office</w:t>
      </w:r>
      <w:r w:rsidR="001F08D4" w:rsidRPr="00AD810D">
        <w:rPr>
          <w:b/>
          <w:bCs/>
        </w:rPr>
        <w:t>/unit</w:t>
      </w:r>
      <w:r w:rsidRPr="00AD810D">
        <w:rPr>
          <w:b/>
          <w:bCs/>
        </w:rPr>
        <w:t>.</w:t>
      </w:r>
      <w:r w:rsidRPr="00AD810D">
        <w:t xml:space="preserve"> For more detailed guidance on making disbursements, refer to the </w:t>
      </w:r>
      <w:hyperlink r:id="rId111">
        <w:r w:rsidRPr="00AD810D">
          <w:rPr>
            <w:rStyle w:val="Hyperlink"/>
          </w:rPr>
          <w:t>POPP Disbursing Funds (making payments)</w:t>
        </w:r>
      </w:hyperlink>
      <w:r w:rsidRPr="00AD810D">
        <w:t>.</w:t>
      </w:r>
    </w:p>
    <w:p w14:paraId="33AE5E2F" w14:textId="0CCB080D" w:rsidR="00466178" w:rsidRPr="00E06F45" w:rsidRDefault="00466178" w:rsidP="363CA695">
      <w:pPr>
        <w:spacing w:line="240" w:lineRule="auto"/>
      </w:pPr>
      <w:r w:rsidRPr="00E06F45">
        <w:t xml:space="preserve">The Disbursing Officer role is comprised of two functions: </w:t>
      </w:r>
    </w:p>
    <w:tbl>
      <w:tblPr>
        <w:tblStyle w:val="TableGrid"/>
        <w:tblW w:w="10075" w:type="dxa"/>
        <w:tblCellMar>
          <w:left w:w="72" w:type="dxa"/>
          <w:bottom w:w="43" w:type="dxa"/>
          <w:right w:w="72" w:type="dxa"/>
        </w:tblCellMar>
        <w:tblLook w:val="04A0" w:firstRow="1" w:lastRow="0" w:firstColumn="1" w:lastColumn="0" w:noHBand="0" w:noVBand="1"/>
      </w:tblPr>
      <w:tblGrid>
        <w:gridCol w:w="4135"/>
        <w:gridCol w:w="5940"/>
      </w:tblGrid>
      <w:tr w:rsidR="005D2478" w:rsidRPr="0038024D" w14:paraId="54444495" w14:textId="77777777" w:rsidTr="00356003">
        <w:trPr>
          <w:tblHeader/>
        </w:trPr>
        <w:tc>
          <w:tcPr>
            <w:tcW w:w="10075" w:type="dxa"/>
            <w:gridSpan w:val="2"/>
            <w:shd w:val="clear" w:color="auto" w:fill="000000" w:themeFill="text1"/>
          </w:tcPr>
          <w:p w14:paraId="09C7E260" w14:textId="77777777" w:rsidR="005D2478" w:rsidRPr="0038024D" w:rsidRDefault="005D2478" w:rsidP="00466178">
            <w:pPr>
              <w:jc w:val="center"/>
              <w:rPr>
                <w:b/>
                <w:bCs/>
                <w:sz w:val="20"/>
                <w:szCs w:val="20"/>
              </w:rPr>
            </w:pPr>
            <w:r w:rsidRPr="0038024D">
              <w:rPr>
                <w:b/>
                <w:bCs/>
                <w:sz w:val="20"/>
                <w:szCs w:val="20"/>
              </w:rPr>
              <w:t>Disbursing Officer (third authority) – must be a UNDP staff member</w:t>
            </w:r>
          </w:p>
        </w:tc>
      </w:tr>
      <w:tr w:rsidR="005D2478" w:rsidRPr="0038024D" w14:paraId="4DF3141B" w14:textId="77777777" w:rsidTr="00356003">
        <w:trPr>
          <w:tblHeader/>
        </w:trPr>
        <w:tc>
          <w:tcPr>
            <w:tcW w:w="4135" w:type="dxa"/>
            <w:shd w:val="clear" w:color="auto" w:fill="70AD47" w:themeFill="accent6"/>
          </w:tcPr>
          <w:p w14:paraId="5A07DB73" w14:textId="77777777" w:rsidR="005D2478" w:rsidRPr="0038024D" w:rsidRDefault="005D2478" w:rsidP="00466178">
            <w:pPr>
              <w:rPr>
                <w:b/>
                <w:bCs/>
                <w:color w:val="FFFFFF" w:themeColor="background1"/>
                <w:sz w:val="20"/>
                <w:szCs w:val="20"/>
              </w:rPr>
            </w:pPr>
            <w:r w:rsidRPr="0038024D">
              <w:rPr>
                <w:b/>
                <w:bCs/>
                <w:color w:val="FFFFFF" w:themeColor="background1"/>
                <w:sz w:val="20"/>
                <w:szCs w:val="20"/>
              </w:rPr>
              <w:t>Part A: Authorizes pending disbursements</w:t>
            </w:r>
          </w:p>
        </w:tc>
        <w:tc>
          <w:tcPr>
            <w:tcW w:w="5940" w:type="dxa"/>
            <w:shd w:val="clear" w:color="auto" w:fill="002060"/>
          </w:tcPr>
          <w:p w14:paraId="7A7AA404" w14:textId="77777777" w:rsidR="005D2478" w:rsidRPr="0038024D" w:rsidRDefault="005D2478" w:rsidP="00466178">
            <w:pPr>
              <w:rPr>
                <w:b/>
                <w:bCs/>
                <w:color w:val="FFFFFF" w:themeColor="background1"/>
                <w:sz w:val="20"/>
                <w:szCs w:val="20"/>
              </w:rPr>
            </w:pPr>
            <w:r w:rsidRPr="0038024D">
              <w:rPr>
                <w:b/>
                <w:bCs/>
                <w:color w:val="FFFFFF" w:themeColor="background1"/>
                <w:sz w:val="20"/>
                <w:szCs w:val="20"/>
              </w:rPr>
              <w:t>Part B: Acts as bank signatory</w:t>
            </w:r>
          </w:p>
        </w:tc>
      </w:tr>
      <w:tr w:rsidR="005D2478" w:rsidRPr="0038024D" w14:paraId="50F65E85" w14:textId="77777777" w:rsidTr="00356003">
        <w:trPr>
          <w:trHeight w:val="1502"/>
        </w:trPr>
        <w:tc>
          <w:tcPr>
            <w:tcW w:w="4135" w:type="dxa"/>
            <w:shd w:val="clear" w:color="auto" w:fill="E2EFD9" w:themeFill="accent6" w:themeFillTint="33"/>
          </w:tcPr>
          <w:p w14:paraId="015723F5" w14:textId="4CF46209" w:rsidR="005D2478" w:rsidRPr="0038024D" w:rsidRDefault="63D95759" w:rsidP="363CA695">
            <w:pPr>
              <w:rPr>
                <w:sz w:val="20"/>
                <w:szCs w:val="20"/>
              </w:rPr>
            </w:pPr>
            <w:r w:rsidRPr="363CA695">
              <w:rPr>
                <w:b/>
                <w:bCs/>
                <w:sz w:val="20"/>
                <w:szCs w:val="20"/>
              </w:rPr>
              <w:t>Role:</w:t>
            </w:r>
            <w:r w:rsidRPr="363CA695">
              <w:rPr>
                <w:sz w:val="20"/>
                <w:szCs w:val="20"/>
              </w:rPr>
              <w:t xml:space="preserve"> Authorizes pending disbursements by: (</w:t>
            </w:r>
            <w:proofErr w:type="spellStart"/>
            <w:r w:rsidRPr="363CA695">
              <w:rPr>
                <w:sz w:val="20"/>
                <w:szCs w:val="20"/>
              </w:rPr>
              <w:t>i</w:t>
            </w:r>
            <w:proofErr w:type="spellEnd"/>
            <w:r w:rsidRPr="363CA695">
              <w:rPr>
                <w:sz w:val="20"/>
                <w:szCs w:val="20"/>
              </w:rPr>
              <w:t>) ensuring sufficient funds in the relevant bank account; and (ii) reviewing the consistency of currency and amount between approved voucher and</w:t>
            </w:r>
            <w:r w:rsidR="000C139A" w:rsidRPr="363CA695">
              <w:rPr>
                <w:sz w:val="20"/>
                <w:szCs w:val="20"/>
              </w:rPr>
              <w:t xml:space="preserve"> </w:t>
            </w:r>
            <w:r w:rsidR="7F6F3994" w:rsidRPr="363CA695">
              <w:rPr>
                <w:sz w:val="20"/>
                <w:szCs w:val="20"/>
              </w:rPr>
              <w:t>disbursement</w:t>
            </w:r>
            <w:r w:rsidRPr="363CA695">
              <w:rPr>
                <w:sz w:val="20"/>
                <w:szCs w:val="20"/>
              </w:rPr>
              <w:t xml:space="preserve"> instruction to the bank/cheque when manually prepared.</w:t>
            </w:r>
          </w:p>
        </w:tc>
        <w:tc>
          <w:tcPr>
            <w:tcW w:w="5940" w:type="dxa"/>
            <w:shd w:val="clear" w:color="auto" w:fill="D9E2F3" w:themeFill="accent1" w:themeFillTint="33"/>
          </w:tcPr>
          <w:p w14:paraId="070B20CF" w14:textId="230B7EA0" w:rsidR="005D2478" w:rsidRPr="0038024D" w:rsidRDefault="005D2478" w:rsidP="363CA695">
            <w:pPr>
              <w:rPr>
                <w:sz w:val="20"/>
                <w:szCs w:val="20"/>
              </w:rPr>
            </w:pPr>
            <w:r w:rsidRPr="363CA695">
              <w:rPr>
                <w:b/>
                <w:bCs/>
                <w:sz w:val="20"/>
                <w:szCs w:val="20"/>
              </w:rPr>
              <w:t>Role:</w:t>
            </w:r>
            <w:r w:rsidRPr="363CA695">
              <w:rPr>
                <w:sz w:val="20"/>
                <w:szCs w:val="20"/>
              </w:rPr>
              <w:t xml:space="preserve"> Exercises the role of Bank Signatory as it relates to the method of payment including: (</w:t>
            </w:r>
            <w:proofErr w:type="spellStart"/>
            <w:r w:rsidRPr="363CA695">
              <w:rPr>
                <w:sz w:val="20"/>
                <w:szCs w:val="20"/>
              </w:rPr>
              <w:t>i</w:t>
            </w:r>
            <w:proofErr w:type="spellEnd"/>
            <w:r w:rsidRPr="363CA695">
              <w:rPr>
                <w:sz w:val="20"/>
                <w:szCs w:val="20"/>
              </w:rPr>
              <w:t>) Signing cheques;(ii) Signing the transmittal letter to the bank for local EFT interfaces; and (iii) Electronically approving payment via the local bank’s software. This role is exercised outside Quantum following the approval of a disbursement in Quantum, ensuring full due diligence.</w:t>
            </w:r>
          </w:p>
        </w:tc>
      </w:tr>
      <w:tr w:rsidR="005A588B" w:rsidRPr="0038024D" w14:paraId="39EE8111" w14:textId="77777777" w:rsidTr="00356003">
        <w:trPr>
          <w:trHeight w:val="701"/>
        </w:trPr>
        <w:tc>
          <w:tcPr>
            <w:tcW w:w="4135" w:type="dxa"/>
            <w:shd w:val="clear" w:color="auto" w:fill="E2EFD9" w:themeFill="accent6" w:themeFillTint="33"/>
          </w:tcPr>
          <w:p w14:paraId="23F92518" w14:textId="3DAC6046" w:rsidR="00466178" w:rsidRPr="0038024D" w:rsidRDefault="005A588B" w:rsidP="00466178">
            <w:pPr>
              <w:rPr>
                <w:sz w:val="20"/>
                <w:szCs w:val="20"/>
              </w:rPr>
            </w:pPr>
            <w:r w:rsidRPr="0038024D">
              <w:rPr>
                <w:b/>
                <w:bCs/>
                <w:sz w:val="20"/>
                <w:szCs w:val="20"/>
              </w:rPr>
              <w:t>Actions performed:</w:t>
            </w:r>
            <w:r w:rsidRPr="0038024D">
              <w:rPr>
                <w:sz w:val="20"/>
                <w:szCs w:val="20"/>
              </w:rPr>
              <w:t xml:space="preserve"> authorizes all pending disbursements, including:</w:t>
            </w:r>
          </w:p>
          <w:p w14:paraId="365719B2"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reviewing payments against supporting documents</w:t>
            </w:r>
          </w:p>
          <w:p w14:paraId="46819B34" w14:textId="6A511325" w:rsidR="005A588B" w:rsidRPr="0038024D" w:rsidRDefault="005A588B">
            <w:pPr>
              <w:pStyle w:val="ListParagraph"/>
              <w:widowControl w:val="0"/>
              <w:numPr>
                <w:ilvl w:val="0"/>
                <w:numId w:val="71"/>
              </w:numPr>
              <w:autoSpaceDE w:val="0"/>
              <w:autoSpaceDN w:val="0"/>
              <w:rPr>
                <w:sz w:val="20"/>
                <w:szCs w:val="20"/>
              </w:rPr>
            </w:pPr>
            <w:r w:rsidRPr="310609F1">
              <w:rPr>
                <w:sz w:val="20"/>
                <w:szCs w:val="20"/>
              </w:rPr>
              <w:lastRenderedPageBreak/>
              <w:t>running the P</w:t>
            </w:r>
            <w:r w:rsidR="007778CD">
              <w:rPr>
                <w:sz w:val="20"/>
                <w:szCs w:val="20"/>
              </w:rPr>
              <w:t>ayment Process Request (P</w:t>
            </w:r>
            <w:r w:rsidRPr="310609F1">
              <w:rPr>
                <w:sz w:val="20"/>
                <w:szCs w:val="20"/>
              </w:rPr>
              <w:t>PR</w:t>
            </w:r>
            <w:r w:rsidR="007778CD">
              <w:rPr>
                <w:sz w:val="20"/>
                <w:szCs w:val="20"/>
              </w:rPr>
              <w:t>)</w:t>
            </w:r>
          </w:p>
          <w:p w14:paraId="752BF60D"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checking availability of funds</w:t>
            </w:r>
          </w:p>
          <w:p w14:paraId="328B3A99" w14:textId="77777777" w:rsidR="005A588B" w:rsidRPr="0038024D" w:rsidRDefault="005A588B">
            <w:pPr>
              <w:pStyle w:val="ListParagraph"/>
              <w:widowControl w:val="0"/>
              <w:numPr>
                <w:ilvl w:val="0"/>
                <w:numId w:val="71"/>
              </w:numPr>
              <w:autoSpaceDE w:val="0"/>
              <w:autoSpaceDN w:val="0"/>
              <w:contextualSpacing w:val="0"/>
              <w:rPr>
                <w:sz w:val="20"/>
                <w:szCs w:val="20"/>
              </w:rPr>
            </w:pPr>
            <w:r w:rsidRPr="0038024D">
              <w:rPr>
                <w:sz w:val="20"/>
                <w:szCs w:val="20"/>
              </w:rPr>
              <w:t>approving the PPR</w:t>
            </w:r>
          </w:p>
          <w:p w14:paraId="0F30E117" w14:textId="03AC68EC" w:rsidR="005A588B" w:rsidRPr="005A588B" w:rsidRDefault="005A588B">
            <w:pPr>
              <w:pStyle w:val="ListParagraph"/>
              <w:widowControl w:val="0"/>
              <w:numPr>
                <w:ilvl w:val="0"/>
                <w:numId w:val="71"/>
              </w:numPr>
              <w:autoSpaceDE w:val="0"/>
              <w:autoSpaceDN w:val="0"/>
              <w:contextualSpacing w:val="0"/>
              <w:rPr>
                <w:sz w:val="20"/>
                <w:szCs w:val="20"/>
              </w:rPr>
            </w:pPr>
            <w:r w:rsidRPr="0038024D">
              <w:rPr>
                <w:sz w:val="20"/>
                <w:szCs w:val="20"/>
              </w:rPr>
              <w:t xml:space="preserve">uploading payment files onto banks’ online portal, dependent on the online banking regulations of the country. </w:t>
            </w:r>
          </w:p>
        </w:tc>
        <w:tc>
          <w:tcPr>
            <w:tcW w:w="5940" w:type="dxa"/>
            <w:shd w:val="clear" w:color="auto" w:fill="D9E2F3" w:themeFill="accent1" w:themeFillTint="33"/>
          </w:tcPr>
          <w:p w14:paraId="405E4A56" w14:textId="18F621C4" w:rsidR="00466178" w:rsidRPr="0038024D" w:rsidRDefault="005A588B" w:rsidP="00466178">
            <w:pPr>
              <w:rPr>
                <w:sz w:val="20"/>
                <w:szCs w:val="20"/>
              </w:rPr>
            </w:pPr>
            <w:r w:rsidRPr="0038024D">
              <w:rPr>
                <w:b/>
                <w:bCs/>
                <w:sz w:val="20"/>
                <w:szCs w:val="20"/>
              </w:rPr>
              <w:lastRenderedPageBreak/>
              <w:t>Actions performed:</w:t>
            </w:r>
            <w:r w:rsidRPr="0038024D">
              <w:rPr>
                <w:sz w:val="20"/>
                <w:szCs w:val="20"/>
              </w:rPr>
              <w:t xml:space="preserve"> performs the bank signatory role for all local CO banks based on payment files prepared and uploaded by BMS/GSSC, including:</w:t>
            </w:r>
          </w:p>
          <w:p w14:paraId="0E51BE04" w14:textId="77777777" w:rsidR="005A588B" w:rsidRPr="0038024D" w:rsidRDefault="005A588B">
            <w:pPr>
              <w:pStyle w:val="ListParagraph"/>
              <w:widowControl w:val="0"/>
              <w:numPr>
                <w:ilvl w:val="0"/>
                <w:numId w:val="72"/>
              </w:numPr>
              <w:autoSpaceDE w:val="0"/>
              <w:autoSpaceDN w:val="0"/>
              <w:contextualSpacing w:val="0"/>
              <w:rPr>
                <w:sz w:val="20"/>
                <w:szCs w:val="20"/>
              </w:rPr>
            </w:pPr>
            <w:r w:rsidRPr="0038024D">
              <w:rPr>
                <w:sz w:val="20"/>
                <w:szCs w:val="20"/>
              </w:rPr>
              <w:t>reviews and signs cheques</w:t>
            </w:r>
            <w:r>
              <w:rPr>
                <w:sz w:val="20"/>
                <w:szCs w:val="20"/>
              </w:rPr>
              <w:t>.</w:t>
            </w:r>
          </w:p>
          <w:p w14:paraId="70F35792" w14:textId="77777777" w:rsidR="005A588B" w:rsidRDefault="005A588B">
            <w:pPr>
              <w:pStyle w:val="ListParagraph"/>
              <w:widowControl w:val="0"/>
              <w:numPr>
                <w:ilvl w:val="0"/>
                <w:numId w:val="72"/>
              </w:numPr>
              <w:autoSpaceDE w:val="0"/>
              <w:autoSpaceDN w:val="0"/>
              <w:contextualSpacing w:val="0"/>
              <w:rPr>
                <w:sz w:val="20"/>
                <w:szCs w:val="20"/>
              </w:rPr>
            </w:pPr>
            <w:r w:rsidRPr="0038024D">
              <w:rPr>
                <w:sz w:val="20"/>
                <w:szCs w:val="20"/>
              </w:rPr>
              <w:lastRenderedPageBreak/>
              <w:t>reviews and signs the transmittal letter to the bank for local EFT interfaces; and/or</w:t>
            </w:r>
          </w:p>
          <w:p w14:paraId="42737E1D" w14:textId="2FA27D11" w:rsidR="005A588B" w:rsidRDefault="005A588B">
            <w:pPr>
              <w:pStyle w:val="ListParagraph"/>
              <w:widowControl w:val="0"/>
              <w:numPr>
                <w:ilvl w:val="0"/>
                <w:numId w:val="72"/>
              </w:numPr>
              <w:autoSpaceDE w:val="0"/>
              <w:autoSpaceDN w:val="0"/>
              <w:contextualSpacing w:val="0"/>
              <w:rPr>
                <w:sz w:val="20"/>
                <w:szCs w:val="20"/>
              </w:rPr>
            </w:pPr>
            <w:r w:rsidRPr="00D64B5F">
              <w:rPr>
                <w:sz w:val="20"/>
                <w:szCs w:val="20"/>
              </w:rPr>
              <w:t>electronically approves payment via the local bank’s software</w:t>
            </w:r>
            <w:r>
              <w:rPr>
                <w:sz w:val="20"/>
                <w:szCs w:val="20"/>
              </w:rPr>
              <w:t>.</w:t>
            </w:r>
          </w:p>
          <w:p w14:paraId="6137EF91" w14:textId="1F9F95DE" w:rsidR="003E14AB" w:rsidRPr="005A588B" w:rsidRDefault="005A588B" w:rsidP="363CA695">
            <w:pPr>
              <w:widowControl w:val="0"/>
              <w:autoSpaceDE w:val="0"/>
              <w:autoSpaceDN w:val="0"/>
              <w:rPr>
                <w:sz w:val="20"/>
                <w:szCs w:val="20"/>
              </w:rPr>
            </w:pPr>
            <w:r>
              <w:rPr>
                <w:b/>
                <w:bCs/>
                <w:color w:val="4472C4" w:themeColor="accent1"/>
                <w:sz w:val="20"/>
                <w:szCs w:val="20"/>
              </w:rPr>
              <w:br/>
            </w:r>
            <w:r w:rsidRPr="363CA695">
              <w:rPr>
                <w:b/>
                <w:bCs/>
                <w:color w:val="4472C4" w:themeColor="accent1"/>
                <w:sz w:val="20"/>
                <w:szCs w:val="20"/>
              </w:rPr>
              <w:t>Note:</w:t>
            </w:r>
            <w:r w:rsidRPr="363CA695">
              <w:rPr>
                <w:color w:val="4472C4" w:themeColor="accent1"/>
                <w:sz w:val="20"/>
                <w:szCs w:val="20"/>
              </w:rPr>
              <w:t xml:space="preserve"> </w:t>
            </w:r>
            <w:r w:rsidRPr="363CA695">
              <w:rPr>
                <w:sz w:val="20"/>
                <w:szCs w:val="20"/>
              </w:rPr>
              <w:t>CO does not have acce</w:t>
            </w:r>
            <w:r w:rsidR="00966B46">
              <w:rPr>
                <w:sz w:val="20"/>
                <w:szCs w:val="20"/>
              </w:rPr>
              <w:t>ss</w:t>
            </w:r>
            <w:r w:rsidR="00466178" w:rsidRPr="363CA695">
              <w:rPr>
                <w:sz w:val="20"/>
                <w:szCs w:val="20"/>
              </w:rPr>
              <w:t xml:space="preserve"> </w:t>
            </w:r>
            <w:r w:rsidR="789DC3BC" w:rsidRPr="32471318">
              <w:rPr>
                <w:sz w:val="20"/>
                <w:szCs w:val="20"/>
              </w:rPr>
              <w:t>to upload, alter, or modify any payment information prepa</w:t>
            </w:r>
            <w:r w:rsidR="00966B46">
              <w:rPr>
                <w:sz w:val="20"/>
                <w:szCs w:val="20"/>
              </w:rPr>
              <w:t>red</w:t>
            </w:r>
            <w:r w:rsidR="00466178" w:rsidRPr="363CA695">
              <w:rPr>
                <w:sz w:val="20"/>
                <w:szCs w:val="20"/>
              </w:rPr>
              <w:t xml:space="preserve"> </w:t>
            </w:r>
            <w:r w:rsidR="00966B46" w:rsidRPr="363CA695">
              <w:rPr>
                <w:sz w:val="20"/>
                <w:szCs w:val="20"/>
              </w:rPr>
              <w:t>by BMS/GSSC</w:t>
            </w:r>
            <w:r w:rsidR="00966B46" w:rsidRPr="363CA695">
              <w:rPr>
                <w:rStyle w:val="FootnoteReference"/>
                <w:sz w:val="20"/>
                <w:szCs w:val="20"/>
              </w:rPr>
              <w:footnoteReference w:id="27"/>
            </w:r>
            <w:r w:rsidR="00966B46" w:rsidRPr="363CA695">
              <w:rPr>
                <w:sz w:val="20"/>
                <w:szCs w:val="20"/>
              </w:rPr>
              <w:t xml:space="preserve">, but can reject a payment to be reworked by BMS/GSSC. In some </w:t>
            </w:r>
            <w:r w:rsidR="00466178" w:rsidRPr="363CA695">
              <w:rPr>
                <w:sz w:val="20"/>
                <w:szCs w:val="20"/>
              </w:rPr>
              <w:t>cases, COs request BMS/GSSC to electronically approve payments via the local bank’s software.</w:t>
            </w:r>
            <w:r w:rsidRPr="363CA695">
              <w:rPr>
                <w:sz w:val="20"/>
                <w:szCs w:val="20"/>
              </w:rPr>
              <w:t xml:space="preserve"> </w:t>
            </w:r>
          </w:p>
        </w:tc>
      </w:tr>
      <w:tr w:rsidR="005D2478" w:rsidRPr="0038024D" w14:paraId="0EAE6CD8" w14:textId="77777777" w:rsidTr="00356003">
        <w:trPr>
          <w:trHeight w:val="458"/>
        </w:trPr>
        <w:tc>
          <w:tcPr>
            <w:tcW w:w="4135" w:type="dxa"/>
            <w:shd w:val="clear" w:color="auto" w:fill="E2EFD9" w:themeFill="accent6" w:themeFillTint="33"/>
          </w:tcPr>
          <w:p w14:paraId="37EB9458" w14:textId="662DCBDC" w:rsidR="005D2478" w:rsidRPr="0038024D" w:rsidRDefault="005D2478" w:rsidP="00466178">
            <w:pPr>
              <w:rPr>
                <w:sz w:val="20"/>
                <w:szCs w:val="20"/>
              </w:rPr>
            </w:pPr>
            <w:r w:rsidRPr="0038024D">
              <w:rPr>
                <w:b/>
                <w:bCs/>
                <w:sz w:val="20"/>
                <w:szCs w:val="20"/>
              </w:rPr>
              <w:lastRenderedPageBreak/>
              <w:t>Performed by:</w:t>
            </w:r>
            <w:r w:rsidRPr="0038024D">
              <w:rPr>
                <w:sz w:val="20"/>
                <w:szCs w:val="20"/>
              </w:rPr>
              <w:t xml:space="preserve"> BMS/GSSC (for COs) and BMS/OF</w:t>
            </w:r>
            <w:r w:rsidR="00A40A72">
              <w:rPr>
                <w:sz w:val="20"/>
                <w:szCs w:val="20"/>
              </w:rPr>
              <w:t>R</w:t>
            </w:r>
            <w:r w:rsidRPr="0038024D">
              <w:rPr>
                <w:sz w:val="20"/>
                <w:szCs w:val="20"/>
              </w:rPr>
              <w:t>M/</w:t>
            </w:r>
            <w:r>
              <w:rPr>
                <w:sz w:val="20"/>
                <w:szCs w:val="20"/>
              </w:rPr>
              <w:t xml:space="preserve"> </w:t>
            </w:r>
            <w:r w:rsidRPr="0038024D">
              <w:rPr>
                <w:sz w:val="20"/>
                <w:szCs w:val="20"/>
              </w:rPr>
              <w:t>Treasury (for HQ units)</w:t>
            </w:r>
            <w:r w:rsidR="00A550C2">
              <w:rPr>
                <w:sz w:val="20"/>
                <w:szCs w:val="20"/>
              </w:rPr>
              <w:t xml:space="preserve"> and UNV.</w:t>
            </w:r>
          </w:p>
        </w:tc>
        <w:tc>
          <w:tcPr>
            <w:tcW w:w="5940" w:type="dxa"/>
            <w:shd w:val="clear" w:color="auto" w:fill="DEEAF6" w:themeFill="accent5" w:themeFillTint="33"/>
          </w:tcPr>
          <w:p w14:paraId="63A6BD06" w14:textId="2C960B99" w:rsidR="005D2478" w:rsidRPr="0038024D" w:rsidRDefault="005D2478" w:rsidP="363CA695">
            <w:pPr>
              <w:rPr>
                <w:sz w:val="20"/>
                <w:szCs w:val="20"/>
              </w:rPr>
            </w:pPr>
            <w:r w:rsidRPr="363CA695">
              <w:rPr>
                <w:b/>
                <w:bCs/>
                <w:sz w:val="20"/>
                <w:szCs w:val="20"/>
              </w:rPr>
              <w:t>Performed by:</w:t>
            </w:r>
            <w:r w:rsidRPr="363CA695">
              <w:rPr>
                <w:sz w:val="20"/>
                <w:szCs w:val="20"/>
              </w:rPr>
              <w:t xml:space="preserve"> </w:t>
            </w:r>
            <w:r w:rsidR="00466178" w:rsidRPr="363CA695">
              <w:rPr>
                <w:sz w:val="20"/>
                <w:szCs w:val="20"/>
              </w:rPr>
              <w:t>D</w:t>
            </w:r>
            <w:r w:rsidRPr="363CA695">
              <w:rPr>
                <w:sz w:val="20"/>
                <w:szCs w:val="20"/>
              </w:rPr>
              <w:t xml:space="preserve">isbursing </w:t>
            </w:r>
            <w:r w:rsidR="00466178" w:rsidRPr="363CA695">
              <w:rPr>
                <w:sz w:val="20"/>
                <w:szCs w:val="20"/>
              </w:rPr>
              <w:t>O</w:t>
            </w:r>
            <w:r w:rsidRPr="363CA695">
              <w:rPr>
                <w:sz w:val="20"/>
                <w:szCs w:val="20"/>
              </w:rPr>
              <w:t xml:space="preserve">fficer </w:t>
            </w:r>
            <w:r w:rsidRPr="00E06F45">
              <w:rPr>
                <w:sz w:val="20"/>
                <w:szCs w:val="20"/>
              </w:rPr>
              <w:t>designated by Head of Office</w:t>
            </w:r>
            <w:r w:rsidR="001F08D4" w:rsidRPr="00E06F45">
              <w:rPr>
                <w:sz w:val="20"/>
                <w:szCs w:val="20"/>
              </w:rPr>
              <w:t>/Unit</w:t>
            </w:r>
            <w:r w:rsidR="00466178" w:rsidRPr="00E06F45">
              <w:rPr>
                <w:sz w:val="20"/>
                <w:szCs w:val="20"/>
              </w:rPr>
              <w:t xml:space="preserve"> (for COs and outposted HQ locations only)</w:t>
            </w:r>
          </w:p>
        </w:tc>
      </w:tr>
      <w:tr w:rsidR="005D2478" w:rsidRPr="0038024D" w14:paraId="54F42B0A" w14:textId="77777777" w:rsidTr="00356003">
        <w:trPr>
          <w:trHeight w:val="188"/>
        </w:trPr>
        <w:tc>
          <w:tcPr>
            <w:tcW w:w="4135" w:type="dxa"/>
            <w:shd w:val="clear" w:color="auto" w:fill="E2EFD9" w:themeFill="accent6" w:themeFillTint="33"/>
          </w:tcPr>
          <w:p w14:paraId="54924FE4" w14:textId="20D8A97D" w:rsidR="005D2478" w:rsidRPr="000C139A" w:rsidRDefault="000C139A" w:rsidP="363CA695">
            <w:pPr>
              <w:pStyle w:val="pf0"/>
              <w:rPr>
                <w:rFonts w:ascii="Arial" w:hAnsi="Arial" w:cs="Arial"/>
                <w:sz w:val="20"/>
                <w:szCs w:val="20"/>
              </w:rPr>
            </w:pPr>
            <w:r w:rsidRPr="363CA695">
              <w:rPr>
                <w:rFonts w:asciiTheme="minorHAnsi" w:hAnsiTheme="minorHAnsi" w:cstheme="minorBidi"/>
                <w:b/>
                <w:bCs/>
                <w:sz w:val="20"/>
                <w:szCs w:val="20"/>
              </w:rPr>
              <w:t>IDAM Supplementary Roles</w:t>
            </w:r>
            <w:r w:rsidR="63D95759" w:rsidRPr="363CA695">
              <w:rPr>
                <w:rFonts w:asciiTheme="minorHAnsi" w:hAnsiTheme="minorHAnsi" w:cstheme="minorBidi"/>
                <w:b/>
                <w:bCs/>
                <w:sz w:val="20"/>
                <w:szCs w:val="20"/>
              </w:rPr>
              <w:t xml:space="preserve">: </w:t>
            </w:r>
            <w:bookmarkStart w:id="49" w:name="_Hlk188267275"/>
            <w:r w:rsidRPr="00E06F45">
              <w:rPr>
                <w:rStyle w:val="cf01"/>
                <w:rFonts w:asciiTheme="minorHAnsi" w:hAnsiTheme="minorHAnsi" w:cstheme="minorBidi"/>
                <w:sz w:val="20"/>
                <w:szCs w:val="20"/>
              </w:rPr>
              <w:t>Accounts Payable Payment Supervisor UNDP (</w:t>
            </w:r>
            <w:proofErr w:type="spellStart"/>
            <w:r w:rsidRPr="00E06F45">
              <w:rPr>
                <w:rStyle w:val="cf01"/>
                <w:rFonts w:asciiTheme="minorHAnsi" w:hAnsiTheme="minorHAnsi" w:cstheme="minorBidi"/>
                <w:sz w:val="20"/>
                <w:szCs w:val="20"/>
              </w:rPr>
              <w:t>adm</w:t>
            </w:r>
            <w:proofErr w:type="spellEnd"/>
            <w:r w:rsidRPr="00E06F45">
              <w:rPr>
                <w:rStyle w:val="cf01"/>
                <w:rFonts w:asciiTheme="minorHAnsi" w:hAnsiTheme="minorHAnsi" w:cstheme="minorBidi"/>
                <w:sz w:val="20"/>
                <w:szCs w:val="20"/>
              </w:rPr>
              <w:t>) or Accounts Payable Payment Supervisor GSSC (</w:t>
            </w:r>
            <w:proofErr w:type="spellStart"/>
            <w:r w:rsidRPr="00E06F45">
              <w:rPr>
                <w:rStyle w:val="cf01"/>
                <w:rFonts w:asciiTheme="minorHAnsi" w:hAnsiTheme="minorHAnsi" w:cstheme="minorBidi"/>
                <w:sz w:val="20"/>
                <w:szCs w:val="20"/>
              </w:rPr>
              <w:t>adm</w:t>
            </w:r>
            <w:proofErr w:type="spellEnd"/>
            <w:r w:rsidRPr="00E06F45">
              <w:rPr>
                <w:rStyle w:val="cf01"/>
                <w:rFonts w:asciiTheme="minorHAnsi" w:hAnsiTheme="minorHAnsi" w:cstheme="minorBidi"/>
                <w:sz w:val="20"/>
                <w:szCs w:val="20"/>
              </w:rPr>
              <w:t>)</w:t>
            </w:r>
            <w:bookmarkEnd w:id="49"/>
          </w:p>
        </w:tc>
        <w:tc>
          <w:tcPr>
            <w:tcW w:w="5940" w:type="dxa"/>
            <w:shd w:val="clear" w:color="auto" w:fill="DEEAF6" w:themeFill="accent5" w:themeFillTint="33"/>
          </w:tcPr>
          <w:p w14:paraId="0C0FCB3A" w14:textId="1B11E34F" w:rsidR="005D2478" w:rsidRPr="0038024D" w:rsidRDefault="005D2478" w:rsidP="00466178">
            <w:pPr>
              <w:rPr>
                <w:b/>
                <w:bCs/>
                <w:sz w:val="20"/>
                <w:szCs w:val="20"/>
              </w:rPr>
            </w:pPr>
            <w:r w:rsidRPr="0038024D">
              <w:rPr>
                <w:b/>
                <w:bCs/>
                <w:sz w:val="20"/>
                <w:szCs w:val="20"/>
              </w:rPr>
              <w:t xml:space="preserve">IDAM Supplementary Role: </w:t>
            </w:r>
            <w:r w:rsidR="0046788E" w:rsidRPr="00E06F45">
              <w:rPr>
                <w:b/>
                <w:bCs/>
                <w:sz w:val="20"/>
                <w:szCs w:val="20"/>
              </w:rPr>
              <w:t xml:space="preserve">UN UFF File Download and </w:t>
            </w:r>
            <w:r w:rsidRPr="0038024D">
              <w:rPr>
                <w:b/>
                <w:bCs/>
                <w:sz w:val="20"/>
                <w:szCs w:val="20"/>
              </w:rPr>
              <w:t xml:space="preserve">Bank </w:t>
            </w:r>
            <w:r w:rsidR="00104E1F">
              <w:rPr>
                <w:b/>
                <w:bCs/>
                <w:sz w:val="20"/>
                <w:szCs w:val="20"/>
              </w:rPr>
              <w:t>S</w:t>
            </w:r>
            <w:r w:rsidRPr="0038024D">
              <w:rPr>
                <w:b/>
                <w:bCs/>
                <w:sz w:val="20"/>
                <w:szCs w:val="20"/>
              </w:rPr>
              <w:t>ignatory</w:t>
            </w:r>
          </w:p>
        </w:tc>
      </w:tr>
      <w:tr w:rsidR="005D2478" w:rsidRPr="0038024D" w14:paraId="1CB82EDD" w14:textId="77777777" w:rsidTr="00356003">
        <w:trPr>
          <w:trHeight w:val="431"/>
        </w:trPr>
        <w:tc>
          <w:tcPr>
            <w:tcW w:w="10075" w:type="dxa"/>
            <w:gridSpan w:val="2"/>
            <w:shd w:val="clear" w:color="auto" w:fill="D9D9D9" w:themeFill="background1" w:themeFillShade="D9"/>
          </w:tcPr>
          <w:p w14:paraId="3623F699" w14:textId="57722481" w:rsidR="005D2478" w:rsidRPr="0038024D" w:rsidRDefault="005D2478" w:rsidP="00466178">
            <w:pPr>
              <w:rPr>
                <w:sz w:val="20"/>
                <w:szCs w:val="20"/>
              </w:rPr>
            </w:pPr>
            <w:r w:rsidRPr="0038024D">
              <w:rPr>
                <w:b/>
                <w:bCs/>
                <w:sz w:val="20"/>
                <w:szCs w:val="20"/>
              </w:rPr>
              <w:t>Required segregation of duties:</w:t>
            </w:r>
            <w:r w:rsidRPr="0038024D">
              <w:rPr>
                <w:sz w:val="20"/>
                <w:szCs w:val="20"/>
              </w:rPr>
              <w:t xml:space="preserve"> Third authority must</w:t>
            </w:r>
            <w:r w:rsidRPr="0038024D">
              <w:rPr>
                <w:spacing w:val="-1"/>
                <w:sz w:val="20"/>
                <w:szCs w:val="20"/>
              </w:rPr>
              <w:t xml:space="preserve"> </w:t>
            </w:r>
            <w:r w:rsidRPr="0038024D">
              <w:rPr>
                <w:sz w:val="20"/>
                <w:szCs w:val="20"/>
              </w:rPr>
              <w:t>be separate from either first or second authorities (exception for Bank Signatory)</w:t>
            </w:r>
            <w:r w:rsidR="00466178">
              <w:rPr>
                <w:sz w:val="20"/>
                <w:szCs w:val="20"/>
              </w:rPr>
              <w:t xml:space="preserve">. </w:t>
            </w:r>
            <w:r w:rsidR="00466178" w:rsidRPr="00E06F45">
              <w:rPr>
                <w:sz w:val="20"/>
                <w:szCs w:val="20"/>
              </w:rPr>
              <w:t xml:space="preserve">In </w:t>
            </w:r>
            <w:r w:rsidR="0039104F" w:rsidRPr="00E06F45">
              <w:rPr>
                <w:sz w:val="20"/>
                <w:szCs w:val="20"/>
              </w:rPr>
              <w:t>all</w:t>
            </w:r>
            <w:r w:rsidR="00466178" w:rsidRPr="00E06F45">
              <w:rPr>
                <w:sz w:val="20"/>
                <w:szCs w:val="20"/>
              </w:rPr>
              <w:t xml:space="preserve"> case</w:t>
            </w:r>
            <w:r w:rsidR="0039104F" w:rsidRPr="00E06F45">
              <w:rPr>
                <w:sz w:val="20"/>
                <w:szCs w:val="20"/>
              </w:rPr>
              <w:t>s</w:t>
            </w:r>
            <w:r w:rsidR="00466178" w:rsidRPr="00E06F45">
              <w:rPr>
                <w:sz w:val="20"/>
                <w:szCs w:val="20"/>
              </w:rPr>
              <w:t xml:space="preserve">, there must be a segregation </w:t>
            </w:r>
            <w:r w:rsidR="0039104F" w:rsidRPr="00E06F45">
              <w:rPr>
                <w:sz w:val="20"/>
                <w:szCs w:val="20"/>
              </w:rPr>
              <w:t>of duties between the</w:t>
            </w:r>
            <w:r w:rsidR="00466178" w:rsidRPr="00E06F45">
              <w:rPr>
                <w:sz w:val="20"/>
                <w:szCs w:val="20"/>
              </w:rPr>
              <w:t xml:space="preserve"> </w:t>
            </w:r>
            <w:r w:rsidR="0039104F" w:rsidRPr="00E06F45">
              <w:rPr>
                <w:sz w:val="20"/>
                <w:szCs w:val="20"/>
              </w:rPr>
              <w:t xml:space="preserve">first, second and third </w:t>
            </w:r>
            <w:r w:rsidR="00466178" w:rsidRPr="00E06F45">
              <w:rPr>
                <w:sz w:val="20"/>
                <w:szCs w:val="20"/>
              </w:rPr>
              <w:t xml:space="preserve">authorities </w:t>
            </w:r>
            <w:r w:rsidR="0039104F" w:rsidRPr="00E06F45">
              <w:rPr>
                <w:sz w:val="20"/>
                <w:szCs w:val="20"/>
              </w:rPr>
              <w:t>for the same</w:t>
            </w:r>
            <w:r w:rsidR="00466178" w:rsidRPr="00E06F45">
              <w:rPr>
                <w:sz w:val="20"/>
                <w:szCs w:val="20"/>
              </w:rPr>
              <w:t xml:space="preserve"> transaction.</w:t>
            </w:r>
            <w:r w:rsidR="0039104F" w:rsidRPr="00E06F45">
              <w:rPr>
                <w:sz w:val="20"/>
                <w:szCs w:val="20"/>
              </w:rPr>
              <w:t xml:space="preserve"> </w:t>
            </w:r>
          </w:p>
        </w:tc>
      </w:tr>
    </w:tbl>
    <w:p w14:paraId="60EAA19C" w14:textId="77777777" w:rsidR="005D2478" w:rsidRPr="00512A0D" w:rsidRDefault="005D2478" w:rsidP="005D2478">
      <w:pPr>
        <w:rPr>
          <w:sz w:val="8"/>
          <w:szCs w:val="8"/>
        </w:rPr>
      </w:pPr>
    </w:p>
    <w:p w14:paraId="2446C8E5" w14:textId="489CB2DF" w:rsidR="005D2478" w:rsidRDefault="005D2478" w:rsidP="363CA695">
      <w:pPr>
        <w:spacing w:line="240" w:lineRule="auto"/>
        <w:ind w:right="36"/>
        <w:rPr>
          <w:i/>
          <w:iCs/>
        </w:rPr>
      </w:pPr>
      <w:r w:rsidRPr="363CA695">
        <w:rPr>
          <w:b/>
          <w:bCs/>
        </w:rPr>
        <w:t>Emergency Transaction Processing in Offices</w:t>
      </w:r>
      <w:r w:rsidR="001F08D4" w:rsidRPr="363CA695">
        <w:rPr>
          <w:b/>
          <w:bCs/>
        </w:rPr>
        <w:t>/Units</w:t>
      </w:r>
      <w:r w:rsidRPr="363CA695">
        <w:rPr>
          <w:b/>
          <w:bCs/>
        </w:rPr>
        <w:t xml:space="preserve"> with clustered Disbursement Processes: </w:t>
      </w:r>
      <w:r w:rsidRPr="363CA695">
        <w:rPr>
          <w:shd w:val="clear" w:color="auto" w:fill="F9F8F8"/>
        </w:rPr>
        <w:t>The Head of the</w:t>
      </w:r>
      <w:r w:rsidRPr="363CA695">
        <w:rPr>
          <w:spacing w:val="1"/>
        </w:rPr>
        <w:t xml:space="preserve"> </w:t>
      </w:r>
      <w:r w:rsidRPr="363CA695">
        <w:rPr>
          <w:shd w:val="clear" w:color="auto" w:fill="F9F8F8"/>
        </w:rPr>
        <w:t>Requesting Office</w:t>
      </w:r>
      <w:r w:rsidR="001F08D4" w:rsidRPr="363CA695">
        <w:rPr>
          <w:shd w:val="clear" w:color="auto" w:fill="F9F8F8"/>
        </w:rPr>
        <w:t>/Unit</w:t>
      </w:r>
      <w:r w:rsidRPr="363CA695">
        <w:rPr>
          <w:shd w:val="clear" w:color="auto" w:fill="F9F8F8"/>
        </w:rPr>
        <w:t xml:space="preserve"> should appoint Disbursing Officer(s) to fulfill the entire third authority role (to authorize</w:t>
      </w:r>
      <w:r w:rsidRPr="363CA695">
        <w:rPr>
          <w:spacing w:val="1"/>
        </w:rPr>
        <w:t xml:space="preserve"> </w:t>
      </w:r>
      <w:r w:rsidRPr="363CA695">
        <w:rPr>
          <w:shd w:val="clear" w:color="auto" w:fill="F9F8F8"/>
        </w:rPr>
        <w:t>pending disbursements, release EFTs and/or exceptionally sign manual cheques) in emergency situations in</w:t>
      </w:r>
      <w:r w:rsidRPr="363CA695">
        <w:rPr>
          <w:spacing w:val="-47"/>
        </w:rPr>
        <w:t xml:space="preserve"> </w:t>
      </w:r>
      <w:r w:rsidRPr="363CA695">
        <w:t>which the BMS/GSSC cannot process a transaction in time. In this case, the</w:t>
      </w:r>
      <w:r w:rsidRPr="363CA695">
        <w:rPr>
          <w:spacing w:val="1"/>
        </w:rPr>
        <w:t xml:space="preserve"> </w:t>
      </w:r>
      <w:r w:rsidRPr="363CA695">
        <w:t xml:space="preserve">procedures for the processing of emergency transactions should be followed, as described in the </w:t>
      </w:r>
      <w:hyperlink r:id="rId112" w:history="1">
        <w:r w:rsidR="007F673A" w:rsidRPr="007F673A">
          <w:rPr>
            <w:rStyle w:val="Hyperlink"/>
          </w:rPr>
          <w:t>GSSC SOP on Emergency Financial Transactions</w:t>
        </w:r>
      </w:hyperlink>
      <w:r w:rsidR="007F673A" w:rsidRPr="007F673A">
        <w:rPr>
          <w:color w:val="ED7D31" w:themeColor="accent2"/>
        </w:rPr>
        <w:t>.</w:t>
      </w:r>
      <w:r w:rsidR="007F673A" w:rsidRPr="00255E51">
        <w:rPr>
          <w:color w:val="ED7D31" w:themeColor="accent2"/>
          <w:sz w:val="20"/>
          <w:szCs w:val="20"/>
        </w:rPr>
        <w:t xml:space="preserve"> </w:t>
      </w:r>
      <w:r w:rsidRPr="363CA695">
        <w:rPr>
          <w:i/>
          <w:iCs/>
        </w:rPr>
        <w:t xml:space="preserve">(Note: UNDP </w:t>
      </w:r>
      <w:proofErr w:type="spellStart"/>
      <w:r w:rsidRPr="363CA695">
        <w:rPr>
          <w:i/>
          <w:iCs/>
        </w:rPr>
        <w:t>Chequewriter</w:t>
      </w:r>
      <w:proofErr w:type="spellEnd"/>
      <w:r w:rsidRPr="363CA695">
        <w:rPr>
          <w:i/>
          <w:iCs/>
        </w:rPr>
        <w:t xml:space="preserve"> software should be used for cheque </w:t>
      </w:r>
      <w:r w:rsidRPr="363CA695">
        <w:rPr>
          <w:i/>
          <w:iCs/>
          <w:spacing w:val="-47"/>
        </w:rPr>
        <w:t xml:space="preserve"> </w:t>
      </w:r>
      <w:r w:rsidR="005A588B" w:rsidRPr="363CA695">
        <w:rPr>
          <w:i/>
          <w:iCs/>
          <w:spacing w:val="-47"/>
        </w:rPr>
        <w:t xml:space="preserve">  </w:t>
      </w:r>
      <w:r w:rsidRPr="363CA695">
        <w:rPr>
          <w:i/>
          <w:iCs/>
        </w:rPr>
        <w:t>preparation</w:t>
      </w:r>
      <w:r w:rsidR="005A588B" w:rsidRPr="363CA695">
        <w:rPr>
          <w:i/>
          <w:iCs/>
        </w:rPr>
        <w:t xml:space="preserve"> </w:t>
      </w:r>
      <w:r w:rsidRPr="363CA695">
        <w:rPr>
          <w:i/>
          <w:iCs/>
        </w:rPr>
        <w:t>unless the cheque issuance is an emergency (e.g., under conditions when it is not possible to</w:t>
      </w:r>
      <w:r w:rsidRPr="363CA695">
        <w:rPr>
          <w:i/>
          <w:iCs/>
          <w:spacing w:val="1"/>
        </w:rPr>
        <w:t xml:space="preserve"> </w:t>
      </w:r>
      <w:r w:rsidRPr="363CA695">
        <w:rPr>
          <w:i/>
          <w:iCs/>
        </w:rPr>
        <w:t>run</w:t>
      </w:r>
      <w:r w:rsidRPr="363CA695">
        <w:rPr>
          <w:i/>
          <w:iCs/>
          <w:spacing w:val="-2"/>
        </w:rPr>
        <w:t xml:space="preserve"> </w:t>
      </w:r>
      <w:r w:rsidRPr="363CA695">
        <w:rPr>
          <w:i/>
          <w:iCs/>
        </w:rPr>
        <w:t>pay-</w:t>
      </w:r>
      <w:proofErr w:type="gramStart"/>
      <w:r w:rsidRPr="363CA695">
        <w:rPr>
          <w:i/>
          <w:iCs/>
        </w:rPr>
        <w:t>cycle</w:t>
      </w:r>
      <w:proofErr w:type="gramEnd"/>
      <w:r w:rsidR="005A588B" w:rsidRPr="363CA695">
        <w:rPr>
          <w:i/>
          <w:iCs/>
        </w:rPr>
        <w:t>).</w:t>
      </w:r>
    </w:p>
    <w:p w14:paraId="7063505C" w14:textId="19F186AD" w:rsidR="005D2478" w:rsidRDefault="005D2478">
      <w:pPr>
        <w:pStyle w:val="Heading2"/>
        <w:numPr>
          <w:ilvl w:val="1"/>
          <w:numId w:val="93"/>
        </w:numPr>
        <w:spacing w:after="240"/>
      </w:pPr>
      <w:bookmarkStart w:id="50" w:name="_Toc210052766"/>
      <w:r>
        <w:t>Bank account and bank account signatory management</w:t>
      </w:r>
      <w:bookmarkEnd w:id="50"/>
    </w:p>
    <w:p w14:paraId="2D890341" w14:textId="4051A195" w:rsidR="005D2478" w:rsidRPr="00D17638" w:rsidRDefault="001F08D4" w:rsidP="005D2478">
      <w:pPr>
        <w:spacing w:line="240" w:lineRule="auto"/>
        <w:rPr>
          <w:rStyle w:val="Hyperlink"/>
        </w:rPr>
      </w:pPr>
      <w:r w:rsidRPr="00AD810D">
        <w:t>Under the UNDP FRRs, o</w:t>
      </w:r>
      <w:r w:rsidR="005D2478" w:rsidRPr="00AD810D">
        <w:t xml:space="preserve">nly the Treasurer has the authority to open and close UNDP bank accounts.  </w:t>
      </w:r>
      <w:r w:rsidRPr="00AD810D">
        <w:t>All o</w:t>
      </w:r>
      <w:r w:rsidR="005D2478" w:rsidRPr="00AD810D">
        <w:t>ffices</w:t>
      </w:r>
      <w:r w:rsidRPr="00AD810D">
        <w:t>/units</w:t>
      </w:r>
      <w:r w:rsidR="005D2478" w:rsidRPr="00AD810D">
        <w:t xml:space="preserve"> must </w:t>
      </w:r>
      <w:r w:rsidRPr="00AD810D">
        <w:t xml:space="preserve">therefore </w:t>
      </w:r>
      <w:r w:rsidR="005D2478" w:rsidRPr="00AD810D">
        <w:t xml:space="preserve">obtain </w:t>
      </w:r>
      <w:r w:rsidRPr="00AD810D">
        <w:t xml:space="preserve">the </w:t>
      </w:r>
      <w:r w:rsidR="005D2478" w:rsidRPr="00AD810D">
        <w:t>Treasurer</w:t>
      </w:r>
      <w:r w:rsidRPr="00AD810D">
        <w:t>’s</w:t>
      </w:r>
      <w:r w:rsidR="005D2478" w:rsidRPr="00AD810D">
        <w:t xml:space="preserve"> prior approval to open or close a bank account and consult with the Treasurer to open or close a bank account in case of local emergencies. Refer POPP – “</w:t>
      </w:r>
      <w:hyperlink r:id="rId113">
        <w:r w:rsidR="005D2478" w:rsidRPr="00AD810D">
          <w:rPr>
            <w:rStyle w:val="Hyperlink"/>
          </w:rPr>
          <w:t>Opening and Closing of Bank Accounts.”</w:t>
        </w:r>
      </w:hyperlink>
    </w:p>
    <w:p w14:paraId="71B287DF" w14:textId="29D245DD" w:rsidR="005D2478" w:rsidRPr="00D17638" w:rsidRDefault="005D2478" w:rsidP="005D2478">
      <w:pPr>
        <w:spacing w:line="240" w:lineRule="auto"/>
      </w:pPr>
      <w:r w:rsidRPr="00AD810D">
        <w:t xml:space="preserve">While only the Treasurer can open and close UNDP bank accounts and designate the initial signatories to operate UNDP bank accounts, the RR has delegated authority from the Treasurer to designate </w:t>
      </w:r>
      <w:r w:rsidRPr="00AD810D">
        <w:rPr>
          <w:u w:val="single"/>
        </w:rPr>
        <w:t>staff members</w:t>
      </w:r>
      <w:r w:rsidRPr="00AD810D">
        <w:t>, including locally recruited staff, to serve on the signatory panel of local UNDP bank account(s). The number of bank account signatories should be kept to a minimum, but there must be adequate coverage during absences from the office</w:t>
      </w:r>
      <w:r w:rsidR="001F08D4" w:rsidRPr="00AD810D">
        <w:t>/unit</w:t>
      </w:r>
      <w:r w:rsidRPr="00AD810D">
        <w:t xml:space="preserve">. For further guidance, refer to </w:t>
      </w:r>
      <w:hyperlink r:id="rId114">
        <w:r w:rsidRPr="00AD810D">
          <w:rPr>
            <w:rStyle w:val="Hyperlink"/>
          </w:rPr>
          <w:t>POPP Designation and Responsibilities of Signatories</w:t>
        </w:r>
      </w:hyperlink>
      <w:r w:rsidRPr="00AD810D">
        <w:t>.</w:t>
      </w:r>
    </w:p>
    <w:p w14:paraId="2718D6DB" w14:textId="2BA9FA6D" w:rsidR="005D2478" w:rsidRPr="00D17638" w:rsidRDefault="005D2478" w:rsidP="005D2478">
      <w:pPr>
        <w:spacing w:line="240" w:lineRule="auto"/>
      </w:pPr>
      <w:r w:rsidRPr="00AD810D">
        <w:t>Only UNDP staff members can be designated a Bank Account Signatory and once appointed by the RR, cannot be further delegated. To ensure adequate controls, Bank Account Signatories should note the following:</w:t>
      </w:r>
    </w:p>
    <w:p w14:paraId="7EF74FB2" w14:textId="1C18B1DA" w:rsidR="005D2478" w:rsidRPr="00D17638" w:rsidRDefault="005D2478">
      <w:pPr>
        <w:pStyle w:val="ListParagraph"/>
        <w:widowControl w:val="0"/>
        <w:numPr>
          <w:ilvl w:val="0"/>
          <w:numId w:val="73"/>
        </w:numPr>
        <w:autoSpaceDE w:val="0"/>
        <w:autoSpaceDN w:val="0"/>
        <w:spacing w:after="0" w:line="240" w:lineRule="auto"/>
      </w:pPr>
      <w:r w:rsidRPr="00AD810D">
        <w:lastRenderedPageBreak/>
        <w:t>All processes and responsibilities for administering local bank accounts, including rules regarding deposits, withdrawals, distributions, or wire transfers of funds, must be observed.</w:t>
      </w:r>
    </w:p>
    <w:p w14:paraId="70B94C15" w14:textId="7EAB5A69" w:rsidR="005D2478" w:rsidRPr="00D17638" w:rsidRDefault="005D2478">
      <w:pPr>
        <w:pStyle w:val="ListParagraph"/>
        <w:widowControl w:val="0"/>
        <w:numPr>
          <w:ilvl w:val="0"/>
          <w:numId w:val="73"/>
        </w:numPr>
        <w:autoSpaceDE w:val="0"/>
        <w:autoSpaceDN w:val="0"/>
        <w:spacing w:after="0" w:line="240" w:lineRule="auto"/>
      </w:pPr>
      <w:r w:rsidRPr="00AD810D">
        <w:t>Unused blank cheques must be kept in an office</w:t>
      </w:r>
      <w:r w:rsidR="001F08D4" w:rsidRPr="00AD810D">
        <w:t>/unit</w:t>
      </w:r>
      <w:r w:rsidRPr="00AD810D">
        <w:t xml:space="preserve"> safe and may be accessed only by staff who are authorized to prepare checks but do not themselves have signatory authority.</w:t>
      </w:r>
    </w:p>
    <w:p w14:paraId="0FA8BB8A" w14:textId="77777777" w:rsidR="005D2478" w:rsidRPr="00D17638" w:rsidRDefault="005D2478">
      <w:pPr>
        <w:pStyle w:val="ListParagraph"/>
        <w:widowControl w:val="0"/>
        <w:numPr>
          <w:ilvl w:val="0"/>
          <w:numId w:val="73"/>
        </w:numPr>
        <w:autoSpaceDE w:val="0"/>
        <w:autoSpaceDN w:val="0"/>
        <w:spacing w:after="0" w:line="240" w:lineRule="auto"/>
        <w:contextualSpacing w:val="0"/>
      </w:pPr>
      <w:r w:rsidRPr="00D17638">
        <w:t xml:space="preserve">Unless otherwise authorized, no staff should sign cheques for which they are themselves the </w:t>
      </w:r>
      <w:proofErr w:type="gramStart"/>
      <w:r w:rsidRPr="00D17638">
        <w:t>beneficiary</w:t>
      </w:r>
      <w:proofErr w:type="gramEnd"/>
      <w:r w:rsidRPr="00D17638">
        <w:t>.</w:t>
      </w:r>
    </w:p>
    <w:p w14:paraId="572F64FD" w14:textId="77777777" w:rsidR="005D2478" w:rsidRPr="00D17638" w:rsidRDefault="005D2478">
      <w:pPr>
        <w:pStyle w:val="ListParagraph"/>
        <w:widowControl w:val="0"/>
        <w:numPr>
          <w:ilvl w:val="0"/>
          <w:numId w:val="73"/>
        </w:numPr>
        <w:autoSpaceDE w:val="0"/>
        <w:autoSpaceDN w:val="0"/>
        <w:spacing w:after="0" w:line="240" w:lineRule="auto"/>
        <w:contextualSpacing w:val="0"/>
      </w:pPr>
      <w:r w:rsidRPr="00D17638">
        <w:t>Pre-signing blank cheques is prohibited.</w:t>
      </w:r>
    </w:p>
    <w:p w14:paraId="50421F2B" w14:textId="77777777" w:rsidR="005D2478" w:rsidRPr="00D17638" w:rsidRDefault="005D2478">
      <w:pPr>
        <w:pStyle w:val="ListParagraph"/>
        <w:widowControl w:val="0"/>
        <w:numPr>
          <w:ilvl w:val="0"/>
          <w:numId w:val="73"/>
        </w:numPr>
        <w:autoSpaceDE w:val="0"/>
        <w:autoSpaceDN w:val="0"/>
        <w:spacing w:line="240" w:lineRule="auto"/>
        <w:contextualSpacing w:val="0"/>
      </w:pPr>
      <w:r w:rsidRPr="00D17638">
        <w:t>Signatories who have changed duty station should be promptly removed from the bank signatory panel.</w:t>
      </w:r>
    </w:p>
    <w:p w14:paraId="4DA29356" w14:textId="4870435B" w:rsidR="005D2478" w:rsidRPr="00E06F45" w:rsidRDefault="63D95759" w:rsidP="00AD810D">
      <w:pPr>
        <w:spacing w:line="240" w:lineRule="auto"/>
      </w:pPr>
      <w:r w:rsidRPr="00E06F45">
        <w:rPr>
          <w:b/>
          <w:bCs/>
        </w:rPr>
        <w:t>Bank signatory management in IDAM:</w:t>
      </w:r>
      <w:r w:rsidRPr="00E06F45">
        <w:t xml:space="preserve"> Bank signatories are managed through the Bank Signatory Management Application, which serves as a centralized repository for bank signatories of approximately 500 bank accounts managed by UNDP, and facilitates the end-to-end management of signatory processes, streamlining workflows from initiation to final approval and sign-off by BMS/OF</w:t>
      </w:r>
      <w:r w:rsidR="00A40A72">
        <w:t>R</w:t>
      </w:r>
      <w:r w:rsidRPr="00E06F45">
        <w:t xml:space="preserve">M/Treasury. The IDAM Bank Signatory Management Application: </w:t>
      </w:r>
    </w:p>
    <w:p w14:paraId="70B4C7FE" w14:textId="5D3F54F7" w:rsidR="005D2478" w:rsidRPr="00E06F45" w:rsidRDefault="005D2478">
      <w:pPr>
        <w:pStyle w:val="ListParagraph"/>
        <w:numPr>
          <w:ilvl w:val="0"/>
          <w:numId w:val="74"/>
        </w:numPr>
        <w:spacing w:line="240" w:lineRule="auto"/>
        <w:ind w:left="360" w:hanging="360"/>
      </w:pPr>
      <w:r w:rsidRPr="00E06F45">
        <w:t>Automatically ensures the ICF’s segregation of duties requirements for Bank Signatories are enforced at the role assignment stage.</w:t>
      </w:r>
    </w:p>
    <w:p w14:paraId="2FB58964" w14:textId="087FDC0F" w:rsidR="005D2478" w:rsidRPr="00E06F45" w:rsidRDefault="005D2478">
      <w:pPr>
        <w:pStyle w:val="ListParagraph"/>
        <w:numPr>
          <w:ilvl w:val="0"/>
          <w:numId w:val="74"/>
        </w:numPr>
        <w:spacing w:line="240" w:lineRule="auto"/>
        <w:ind w:left="360" w:hanging="360"/>
      </w:pPr>
      <w:r w:rsidRPr="00E06F45">
        <w:t>Integrates Bank Signatory maintenance activities within IDAM role provisioning and de-provisioning processes to enhance visibility and control, particularly when signatories transition between functions or exit the organization.</w:t>
      </w:r>
    </w:p>
    <w:p w14:paraId="446BA2CA" w14:textId="5B65D245" w:rsidR="005D2478" w:rsidRPr="00E06F45" w:rsidRDefault="005D2478">
      <w:pPr>
        <w:pStyle w:val="ListParagraph"/>
        <w:numPr>
          <w:ilvl w:val="0"/>
          <w:numId w:val="74"/>
        </w:numPr>
        <w:spacing w:line="240" w:lineRule="auto"/>
        <w:ind w:left="360" w:hanging="360"/>
      </w:pPr>
      <w:r w:rsidRPr="00E06F45">
        <w:t>Provides dashboards and reports for enhanced tracking of pending and completed requests.</w:t>
      </w:r>
    </w:p>
    <w:p w14:paraId="4ACA70EF" w14:textId="04A03AF4" w:rsidR="008E2319" w:rsidRPr="00E06F45" w:rsidRDefault="005D2478">
      <w:pPr>
        <w:pStyle w:val="ListParagraph"/>
        <w:numPr>
          <w:ilvl w:val="0"/>
          <w:numId w:val="74"/>
        </w:numPr>
        <w:spacing w:line="240" w:lineRule="auto"/>
        <w:ind w:left="360" w:hanging="360"/>
      </w:pPr>
      <w:r w:rsidRPr="00E06F45">
        <w:t>Provides a centralized repository for supporting documents and task assignments within IDAM, enhancing document management and providing comprehensive audit trails. Further information can be found in the Collaboration Toolbox link (</w:t>
      </w:r>
      <w:hyperlink r:id="rId115" w:tgtFrame="_blank" w:tooltip="https://undp.sharepoint.com/teams/collaborationtoolbox/sitepages/bank_signatory_webinar_session_06_march_2024.aspx?xsdata=mdv8mdj8fgmxnmq1zmmxmzkxmjrjyjvkyzgzmdhkyznlyjnhyzg2fgizztvkyjvlmjk0ndq4mzc5owy1nzq4ogfjztu0mze5fdb8mhw2mzg0ntqxodg1otqzntuzmzf8vw5rb" w:history="1">
        <w:r w:rsidRPr="00E06F45">
          <w:rPr>
            <w:rStyle w:val="Hyperlink"/>
            <w:color w:val="4472C4" w:themeColor="accent1"/>
          </w:rPr>
          <w:t>Bank Signatory Webinar</w:t>
        </w:r>
      </w:hyperlink>
      <w:r w:rsidRPr="00E06F45">
        <w:t>) to access the recordings of webinars, presentations, user guides, and reference materials.</w:t>
      </w:r>
    </w:p>
    <w:p w14:paraId="0FBD683D" w14:textId="1D7D15C7" w:rsidR="00414E96" w:rsidRDefault="00414E96">
      <w:pPr>
        <w:pStyle w:val="Heading1"/>
        <w:numPr>
          <w:ilvl w:val="0"/>
          <w:numId w:val="92"/>
        </w:numPr>
        <w:spacing w:after="240"/>
      </w:pPr>
      <w:bookmarkStart w:id="51" w:name="_Toc210052767"/>
      <w:bookmarkStart w:id="52" w:name="_Toc134134763"/>
      <w:r>
        <w:t>Travel</w:t>
      </w:r>
      <w:bookmarkEnd w:id="51"/>
      <w:r>
        <w:t xml:space="preserve"> </w:t>
      </w:r>
    </w:p>
    <w:bookmarkEnd w:id="52"/>
    <w:p w14:paraId="209A4B5C" w14:textId="02A02ECF" w:rsidR="00414E96" w:rsidRDefault="00414E96" w:rsidP="000A5800">
      <w:pPr>
        <w:spacing w:line="240" w:lineRule="auto"/>
      </w:pPr>
      <w:r w:rsidRPr="00AD810D">
        <w:t xml:space="preserve">All individuals traveling on official business organized and due to be paid by UNDP must submit a Travel Request in UNall to secure approval to incur travel expenses and undertake travel. </w:t>
      </w:r>
      <w:bookmarkStart w:id="53" w:name="_Hlk134126047"/>
      <w:r w:rsidRPr="00AD810D">
        <w:t xml:space="preserve">The </w:t>
      </w:r>
      <w:r w:rsidR="00D50D32" w:rsidRPr="00AD810D">
        <w:t xml:space="preserve">DSA, </w:t>
      </w:r>
      <w:r w:rsidRPr="00AD810D">
        <w:t>PO</w:t>
      </w:r>
      <w:r w:rsidR="00D50D32" w:rsidRPr="00AD810D">
        <w:t xml:space="preserve"> and </w:t>
      </w:r>
      <w:r w:rsidRPr="00AD810D">
        <w:t>invoices created based on the travel request approved in UNall are processed and approved in Quantum.</w:t>
      </w:r>
      <w:bookmarkEnd w:id="53"/>
      <w:r w:rsidRPr="00AD810D">
        <w:rPr>
          <w:color w:val="000000" w:themeColor="text1"/>
          <w:sz w:val="27"/>
          <w:szCs w:val="27"/>
        </w:rPr>
        <w:t xml:space="preserve"> </w:t>
      </w:r>
      <w:r w:rsidRPr="00AD810D">
        <w:t xml:space="preserve">Further information can be found in </w:t>
      </w:r>
      <w:hyperlink r:id="rId116">
        <w:r w:rsidRPr="00AD810D">
          <w:rPr>
            <w:rStyle w:val="Hyperlink"/>
          </w:rPr>
          <w:t>POPP Duty Travel</w:t>
        </w:r>
      </w:hyperlink>
      <w:r w:rsidRPr="00AD810D">
        <w:t xml:space="preserve"> and in </w:t>
      </w:r>
      <w:hyperlink r:id="rId117">
        <w:r w:rsidRPr="00AD810D">
          <w:rPr>
            <w:rStyle w:val="Hyperlink"/>
          </w:rPr>
          <w:t>UNall Knowledge Articles for Travel &amp; Expense</w:t>
        </w:r>
      </w:hyperlink>
      <w:r w:rsidR="0066569B" w:rsidRPr="00AD810D">
        <w:t>.</w:t>
      </w:r>
    </w:p>
    <w:p w14:paraId="787D7212" w14:textId="41126FA7" w:rsidR="00531B4A" w:rsidRDefault="0066569B" w:rsidP="00531B4A">
      <w:pPr>
        <w:spacing w:line="240" w:lineRule="auto"/>
        <w:ind w:hanging="90"/>
        <w:rPr>
          <w:color w:val="000000"/>
          <w:sz w:val="27"/>
          <w:szCs w:val="27"/>
        </w:rPr>
      </w:pPr>
      <w:r w:rsidRPr="004175D9">
        <w:rPr>
          <w:noProof/>
        </w:rPr>
        <w:lastRenderedPageBreak/>
        <w:drawing>
          <wp:inline distT="0" distB="0" distL="0" distR="0" wp14:anchorId="53EABC59" wp14:editId="371FBAA0">
            <wp:extent cx="6175375" cy="3486150"/>
            <wp:effectExtent l="0" t="0" r="0" b="0"/>
            <wp:docPr id="808747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747947" name=""/>
                    <pic:cNvPicPr/>
                  </pic:nvPicPr>
                  <pic:blipFill>
                    <a:blip r:embed="rId118"/>
                    <a:stretch>
                      <a:fillRect/>
                    </a:stretch>
                  </pic:blipFill>
                  <pic:spPr>
                    <a:xfrm>
                      <a:off x="0" y="0"/>
                      <a:ext cx="6185461" cy="3491844"/>
                    </a:xfrm>
                    <a:prstGeom prst="rect">
                      <a:avLst/>
                    </a:prstGeom>
                  </pic:spPr>
                </pic:pic>
              </a:graphicData>
            </a:graphic>
          </wp:inline>
        </w:drawing>
      </w:r>
    </w:p>
    <w:p w14:paraId="334D5B72" w14:textId="5BBD65D3" w:rsidR="00134413" w:rsidRPr="0003658A" w:rsidRDefault="007A1AA4" w:rsidP="0003658A">
      <w:r w:rsidRPr="006723B2">
        <w:t xml:space="preserve">The </w:t>
      </w:r>
      <w:r>
        <w:t>Request</w:t>
      </w:r>
      <w:r w:rsidR="00A55AF7" w:rsidRPr="006723B2">
        <w:t xml:space="preserve"> is processed in UNall, and the financial transaction (PO and/or invoice) is approved in Quantum by the Approving Manager (Manager L1-2 or Senior Manager). The </w:t>
      </w:r>
      <w:r w:rsidR="00A55AF7">
        <w:t>Travel Request</w:t>
      </w:r>
      <w:r w:rsidR="00A55AF7" w:rsidRPr="006723B2">
        <w:t xml:space="preserve"> is considered ‘approved’ when the </w:t>
      </w:r>
      <w:r w:rsidR="00A55AF7">
        <w:t>A</w:t>
      </w:r>
      <w:r w:rsidR="00A55AF7" w:rsidRPr="006723B2">
        <w:t xml:space="preserve">pproving </w:t>
      </w:r>
      <w:r w:rsidR="00A55AF7">
        <w:t>M</w:t>
      </w:r>
      <w:r w:rsidR="00A55AF7" w:rsidRPr="006723B2">
        <w:t xml:space="preserve">anager has approved the associated invoice and/or PO in Quantum.  The </w:t>
      </w:r>
      <w:r w:rsidR="00A55AF7">
        <w:t>Travel P</w:t>
      </w:r>
      <w:r w:rsidR="00A55AF7" w:rsidRPr="006723B2">
        <w:t>rocessor performs a compliance role outlined in</w:t>
      </w:r>
      <w:r w:rsidR="00A55AF7" w:rsidRPr="00D50D32">
        <w:t xml:space="preserve"> POPP</w:t>
      </w:r>
      <w:r w:rsidR="00D50D32">
        <w:t xml:space="preserve"> </w:t>
      </w:r>
      <w:hyperlink r:id="rId119" w:history="1">
        <w:r w:rsidR="00D50D32" w:rsidRPr="00D50D32">
          <w:rPr>
            <w:rStyle w:val="Hyperlink"/>
          </w:rPr>
          <w:t>Authorizing Official Business Travel</w:t>
        </w:r>
      </w:hyperlink>
      <w:r w:rsidR="00A55AF7" w:rsidRPr="006723B2">
        <w:t xml:space="preserve">.  If the UNall travel plan is used to process a </w:t>
      </w:r>
      <w:r w:rsidR="00A55AF7">
        <w:t>Travel Request</w:t>
      </w:r>
      <w:r w:rsidR="00A55AF7" w:rsidRPr="006723B2">
        <w:t>, the supervisor’s approval will be associated with the T</w:t>
      </w:r>
      <w:r w:rsidR="00A55AF7">
        <w:t>ravel Request</w:t>
      </w:r>
      <w:r w:rsidR="00A55AF7" w:rsidRPr="006723B2">
        <w:t xml:space="preserve"> if they are identified as the plan approver.</w:t>
      </w:r>
    </w:p>
    <w:tbl>
      <w:tblPr>
        <w:tblStyle w:val="TableGrid"/>
        <w:tblW w:w="9900" w:type="dxa"/>
        <w:tblInd w:w="-95" w:type="dxa"/>
        <w:tblCellMar>
          <w:bottom w:w="43" w:type="dxa"/>
        </w:tblCellMar>
        <w:tblLook w:val="04A0" w:firstRow="1" w:lastRow="0" w:firstColumn="1" w:lastColumn="0" w:noHBand="0" w:noVBand="1"/>
      </w:tblPr>
      <w:tblGrid>
        <w:gridCol w:w="3870"/>
        <w:gridCol w:w="6030"/>
      </w:tblGrid>
      <w:tr w:rsidR="00414E96" w14:paraId="6CD8920E" w14:textId="77777777" w:rsidTr="363CA695">
        <w:trPr>
          <w:tblHeader/>
        </w:trPr>
        <w:tc>
          <w:tcPr>
            <w:tcW w:w="3870" w:type="dxa"/>
            <w:shd w:val="clear" w:color="auto" w:fill="002060"/>
          </w:tcPr>
          <w:p w14:paraId="5A49DE70" w14:textId="18EA5819" w:rsidR="00414E96" w:rsidRPr="002966DF" w:rsidRDefault="008064E9" w:rsidP="00CF32EB">
            <w:pPr>
              <w:rPr>
                <w:b/>
                <w:bCs/>
                <w:sz w:val="20"/>
                <w:szCs w:val="20"/>
              </w:rPr>
            </w:pPr>
            <w:r>
              <w:rPr>
                <w:b/>
                <w:bCs/>
                <w:sz w:val="20"/>
                <w:szCs w:val="20"/>
              </w:rPr>
              <w:t>Travel process role</w:t>
            </w:r>
          </w:p>
        </w:tc>
        <w:tc>
          <w:tcPr>
            <w:tcW w:w="6030" w:type="dxa"/>
            <w:shd w:val="clear" w:color="auto" w:fill="002060"/>
          </w:tcPr>
          <w:p w14:paraId="5EE75C9B" w14:textId="77777777" w:rsidR="00414E96" w:rsidRPr="002966DF" w:rsidRDefault="00414E96" w:rsidP="00CF32EB">
            <w:pPr>
              <w:rPr>
                <w:b/>
                <w:bCs/>
                <w:sz w:val="20"/>
                <w:szCs w:val="20"/>
              </w:rPr>
            </w:pPr>
            <w:r w:rsidRPr="002966DF">
              <w:rPr>
                <w:b/>
                <w:bCs/>
                <w:sz w:val="20"/>
                <w:szCs w:val="20"/>
              </w:rPr>
              <w:t>Internal control responsibilities</w:t>
            </w:r>
          </w:p>
        </w:tc>
      </w:tr>
      <w:tr w:rsidR="00414E96" w14:paraId="5ED3B2CD" w14:textId="77777777" w:rsidTr="363CA695">
        <w:tc>
          <w:tcPr>
            <w:tcW w:w="3870" w:type="dxa"/>
          </w:tcPr>
          <w:p w14:paraId="4B680491" w14:textId="77777777" w:rsidR="00414E96" w:rsidRPr="00E06F45" w:rsidRDefault="00414E96" w:rsidP="00CF32EB">
            <w:pPr>
              <w:rPr>
                <w:sz w:val="20"/>
                <w:szCs w:val="20"/>
              </w:rPr>
            </w:pPr>
            <w:r w:rsidRPr="00E06F45">
              <w:rPr>
                <w:b/>
                <w:bCs/>
                <w:sz w:val="20"/>
                <w:szCs w:val="20"/>
              </w:rPr>
              <w:t>Traveler:</w:t>
            </w:r>
            <w:r w:rsidRPr="00E06F45">
              <w:rPr>
                <w:sz w:val="20"/>
                <w:szCs w:val="20"/>
              </w:rPr>
              <w:t xml:space="preserve"> can create/update their own Travel Request &amp; Travel Claim </w:t>
            </w:r>
          </w:p>
        </w:tc>
        <w:tc>
          <w:tcPr>
            <w:tcW w:w="6030" w:type="dxa"/>
          </w:tcPr>
          <w:p w14:paraId="708414A7" w14:textId="68563E31"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Ensures supervisor approves travel prior to initiating request.</w:t>
            </w:r>
          </w:p>
          <w:p w14:paraId="16192CAD" w14:textId="4CCB9F30"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Creates and submits Travel Request and Travel Claim in UNall</w:t>
            </w:r>
          </w:p>
        </w:tc>
      </w:tr>
      <w:tr w:rsidR="00414E96" w14:paraId="6F5B961A" w14:textId="77777777" w:rsidTr="363CA695">
        <w:tc>
          <w:tcPr>
            <w:tcW w:w="3870" w:type="dxa"/>
          </w:tcPr>
          <w:p w14:paraId="7A7F4706" w14:textId="195C0797" w:rsidR="00414E96" w:rsidRPr="00E06F45" w:rsidRDefault="00414E96" w:rsidP="00CF32EB">
            <w:pPr>
              <w:rPr>
                <w:sz w:val="20"/>
                <w:szCs w:val="20"/>
              </w:rPr>
            </w:pPr>
            <w:r w:rsidRPr="00E06F45">
              <w:rPr>
                <w:b/>
                <w:bCs/>
                <w:sz w:val="20"/>
                <w:szCs w:val="20"/>
              </w:rPr>
              <w:t>Travel Arranger:</w:t>
            </w:r>
            <w:r w:rsidRPr="00E06F45">
              <w:rPr>
                <w:sz w:val="20"/>
                <w:szCs w:val="20"/>
              </w:rPr>
              <w:t xml:space="preserve"> can create/update their own</w:t>
            </w:r>
            <w:r w:rsidR="005D2478" w:rsidRPr="00E06F45">
              <w:rPr>
                <w:sz w:val="20"/>
                <w:szCs w:val="20"/>
              </w:rPr>
              <w:t>/</w:t>
            </w:r>
            <w:r w:rsidRPr="00E06F45">
              <w:rPr>
                <w:sz w:val="20"/>
                <w:szCs w:val="20"/>
              </w:rPr>
              <w:t>another’s Travel Request &amp; Travel Claim</w:t>
            </w:r>
          </w:p>
        </w:tc>
        <w:tc>
          <w:tcPr>
            <w:tcW w:w="6030" w:type="dxa"/>
          </w:tcPr>
          <w:p w14:paraId="7FD4A83D" w14:textId="03705ECC"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Ensures supervisor approves travel prior to initiating request.</w:t>
            </w:r>
          </w:p>
          <w:p w14:paraId="1C471E21" w14:textId="0D6CBA9B"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Creates and submits Travel Requests and Travel Claims in UNall</w:t>
            </w:r>
          </w:p>
        </w:tc>
      </w:tr>
      <w:tr w:rsidR="00414E96" w14:paraId="5EC5823F" w14:textId="77777777" w:rsidTr="363CA695">
        <w:tc>
          <w:tcPr>
            <w:tcW w:w="3870" w:type="dxa"/>
          </w:tcPr>
          <w:p w14:paraId="279A538A" w14:textId="19113497" w:rsidR="00414E96" w:rsidRPr="00E06F45" w:rsidRDefault="00414E96" w:rsidP="00CF32EB">
            <w:pPr>
              <w:rPr>
                <w:sz w:val="20"/>
                <w:szCs w:val="20"/>
              </w:rPr>
            </w:pPr>
            <w:r w:rsidRPr="00E06F45">
              <w:rPr>
                <w:b/>
                <w:bCs/>
                <w:sz w:val="20"/>
                <w:szCs w:val="20"/>
              </w:rPr>
              <w:t>Travel Processor:</w:t>
            </w:r>
            <w:r w:rsidRPr="00E06F45">
              <w:rPr>
                <w:sz w:val="20"/>
                <w:szCs w:val="20"/>
              </w:rPr>
              <w:t xml:space="preserve"> processes Travel </w:t>
            </w:r>
            <w:r w:rsidR="00D50D32" w:rsidRPr="00E06F45">
              <w:rPr>
                <w:sz w:val="20"/>
                <w:szCs w:val="20"/>
              </w:rPr>
              <w:t>R</w:t>
            </w:r>
            <w:r w:rsidRPr="00E06F45">
              <w:rPr>
                <w:sz w:val="20"/>
                <w:szCs w:val="20"/>
              </w:rPr>
              <w:t xml:space="preserve">equests and Travel </w:t>
            </w:r>
            <w:r w:rsidR="00D50D32" w:rsidRPr="00E06F45">
              <w:rPr>
                <w:sz w:val="20"/>
                <w:szCs w:val="20"/>
              </w:rPr>
              <w:t>C</w:t>
            </w:r>
            <w:r w:rsidRPr="00E06F45">
              <w:rPr>
                <w:sz w:val="20"/>
                <w:szCs w:val="20"/>
              </w:rPr>
              <w:t>laims for their Operating Unit. They can also create and update profiles, plans, requests, and claims.</w:t>
            </w:r>
          </w:p>
        </w:tc>
        <w:tc>
          <w:tcPr>
            <w:tcW w:w="6030" w:type="dxa"/>
          </w:tcPr>
          <w:p w14:paraId="6683A4C8" w14:textId="3768C3DA"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Performs compliance check on Travel Request ensuring it complies with POPP Duty Travel policy, that sufficient budget is available, and that the COA is correct.</w:t>
            </w:r>
          </w:p>
          <w:p w14:paraId="635569B7" w14:textId="21752042"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Performs compliance check on Travel Claim to ensure complete, accurate and </w:t>
            </w:r>
            <w:proofErr w:type="gramStart"/>
            <w:r w:rsidRPr="00E06F45">
              <w:rPr>
                <w:sz w:val="20"/>
                <w:szCs w:val="20"/>
              </w:rPr>
              <w:t>complies</w:t>
            </w:r>
            <w:proofErr w:type="gramEnd"/>
            <w:r w:rsidRPr="00E06F45">
              <w:rPr>
                <w:sz w:val="20"/>
                <w:szCs w:val="20"/>
              </w:rPr>
              <w:t xml:space="preserve"> with policy</w:t>
            </w:r>
            <w:r w:rsidR="000C139A" w:rsidRPr="00E06F45">
              <w:rPr>
                <w:rStyle w:val="FootnoteReference"/>
                <w:sz w:val="20"/>
                <w:szCs w:val="20"/>
              </w:rPr>
              <w:footnoteReference w:id="28"/>
            </w:r>
            <w:r w:rsidRPr="00E06F45">
              <w:rPr>
                <w:sz w:val="20"/>
                <w:szCs w:val="20"/>
              </w:rPr>
              <w:t>.</w:t>
            </w:r>
          </w:p>
        </w:tc>
      </w:tr>
      <w:tr w:rsidR="00414E96" w14:paraId="75C95B00" w14:textId="77777777" w:rsidTr="363CA695">
        <w:tc>
          <w:tcPr>
            <w:tcW w:w="3870" w:type="dxa"/>
          </w:tcPr>
          <w:p w14:paraId="36D753CC" w14:textId="13711837" w:rsidR="00414E96" w:rsidRPr="00E06F45" w:rsidRDefault="00414E96" w:rsidP="00CF32EB">
            <w:pPr>
              <w:rPr>
                <w:sz w:val="20"/>
                <w:szCs w:val="20"/>
              </w:rPr>
            </w:pPr>
            <w:r w:rsidRPr="00E06F45">
              <w:rPr>
                <w:b/>
                <w:bCs/>
                <w:sz w:val="20"/>
                <w:szCs w:val="20"/>
              </w:rPr>
              <w:t>Approving Manager</w:t>
            </w:r>
            <w:r w:rsidRPr="00E06F45">
              <w:rPr>
                <w:sz w:val="20"/>
                <w:szCs w:val="20"/>
              </w:rPr>
              <w:t xml:space="preserve"> </w:t>
            </w:r>
            <w:r w:rsidRPr="00E06F45">
              <w:rPr>
                <w:b/>
                <w:bCs/>
                <w:sz w:val="20"/>
                <w:szCs w:val="20"/>
              </w:rPr>
              <w:t>(Manager Level 1, 2 or Senior Manager)</w:t>
            </w:r>
            <w:r w:rsidRPr="00E06F45">
              <w:rPr>
                <w:sz w:val="20"/>
                <w:szCs w:val="20"/>
              </w:rPr>
              <w:t xml:space="preserve"> – Budget owner who approves the </w:t>
            </w:r>
            <w:r w:rsidR="00D50D32" w:rsidRPr="00E06F45">
              <w:rPr>
                <w:sz w:val="20"/>
                <w:szCs w:val="20"/>
              </w:rPr>
              <w:t xml:space="preserve">DSA, </w:t>
            </w:r>
            <w:r w:rsidRPr="00E06F45">
              <w:rPr>
                <w:sz w:val="20"/>
                <w:szCs w:val="20"/>
              </w:rPr>
              <w:t>PO and invoice generated in Quantum for the Travel Request and the related Travel Claim.</w:t>
            </w:r>
          </w:p>
          <w:p w14:paraId="5A2292E3" w14:textId="301F4C7E" w:rsidR="00D05B28" w:rsidRPr="00E06F45" w:rsidRDefault="00D05B28" w:rsidP="00CF32EB">
            <w:pPr>
              <w:rPr>
                <w:sz w:val="20"/>
                <w:szCs w:val="20"/>
              </w:rPr>
            </w:pPr>
          </w:p>
        </w:tc>
        <w:tc>
          <w:tcPr>
            <w:tcW w:w="6030" w:type="dxa"/>
          </w:tcPr>
          <w:p w14:paraId="7B69ECCC" w14:textId="2D9B7B74" w:rsidR="00414E96"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sz w:val="20"/>
                <w:szCs w:val="20"/>
              </w:rPr>
              <w:t xml:space="preserve">Ensures the </w:t>
            </w:r>
            <w:r w:rsidRPr="00E06F45">
              <w:rPr>
                <w:rFonts w:cstheme="minorHAnsi"/>
                <w:sz w:val="20"/>
                <w:szCs w:val="20"/>
              </w:rPr>
              <w:t>travel request is valid as official and authorized</w:t>
            </w:r>
            <w:r w:rsidR="008064E9" w:rsidRPr="00E06F45">
              <w:rPr>
                <w:rFonts w:cstheme="minorHAnsi"/>
                <w:sz w:val="20"/>
                <w:szCs w:val="20"/>
              </w:rPr>
              <w:t>.</w:t>
            </w:r>
          </w:p>
          <w:p w14:paraId="29AE4240" w14:textId="2C076584"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Ensures the travel requirement is based upon latest possible arrival and earliest possible departure time. </w:t>
            </w:r>
          </w:p>
          <w:p w14:paraId="1D3059B5" w14:textId="1C507277" w:rsidR="00414E96" w:rsidRPr="00E06F45" w:rsidRDefault="00D50D32">
            <w:pPr>
              <w:pStyle w:val="ListParagraph"/>
              <w:widowControl w:val="0"/>
              <w:numPr>
                <w:ilvl w:val="0"/>
                <w:numId w:val="30"/>
              </w:numPr>
              <w:autoSpaceDE w:val="0"/>
              <w:autoSpaceDN w:val="0"/>
              <w:ind w:left="250" w:hanging="250"/>
              <w:rPr>
                <w:b/>
                <w:bCs/>
                <w:sz w:val="20"/>
                <w:szCs w:val="20"/>
                <w:u w:val="single"/>
              </w:rPr>
            </w:pPr>
            <w:r w:rsidRPr="00E06F45">
              <w:rPr>
                <w:b/>
                <w:bCs/>
                <w:sz w:val="20"/>
                <w:szCs w:val="20"/>
                <w:u w:val="single"/>
              </w:rPr>
              <w:t>Senior Management a</w:t>
            </w:r>
            <w:r w:rsidR="00414E96" w:rsidRPr="00E06F45">
              <w:rPr>
                <w:b/>
                <w:bCs/>
                <w:sz w:val="20"/>
                <w:szCs w:val="20"/>
                <w:u w:val="single"/>
              </w:rPr>
              <w:t xml:space="preserve">pproves delegations of two or more staff in a similar substantive </w:t>
            </w:r>
            <w:proofErr w:type="gramStart"/>
            <w:r w:rsidR="00414E96" w:rsidRPr="00E06F45">
              <w:rPr>
                <w:b/>
                <w:bCs/>
                <w:sz w:val="20"/>
                <w:szCs w:val="20"/>
                <w:u w:val="single"/>
              </w:rPr>
              <w:t>role,</w:t>
            </w:r>
            <w:proofErr w:type="gramEnd"/>
            <w:r w:rsidR="00414E96" w:rsidRPr="00E06F45">
              <w:rPr>
                <w:b/>
                <w:bCs/>
                <w:sz w:val="20"/>
                <w:szCs w:val="20"/>
                <w:u w:val="single"/>
              </w:rPr>
              <w:t xml:space="preserve"> per Bureau to participate in UN meetings. </w:t>
            </w:r>
          </w:p>
          <w:p w14:paraId="62EE4107" w14:textId="0C9E6CE0"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Certifies that there are no alternative means which are feasible to </w:t>
            </w:r>
            <w:r w:rsidRPr="00E06F45">
              <w:rPr>
                <w:sz w:val="20"/>
                <w:szCs w:val="20"/>
              </w:rPr>
              <w:lastRenderedPageBreak/>
              <w:t>meet the objectives of the proposed travel</w:t>
            </w:r>
            <w:r w:rsidR="009744B1" w:rsidRPr="00E06F45">
              <w:rPr>
                <w:rStyle w:val="FootnoteReference"/>
                <w:sz w:val="20"/>
                <w:szCs w:val="20"/>
              </w:rPr>
              <w:footnoteReference w:id="29"/>
            </w:r>
            <w:r w:rsidRPr="00E06F45">
              <w:rPr>
                <w:sz w:val="20"/>
                <w:szCs w:val="20"/>
              </w:rPr>
              <w:t xml:space="preserve">. </w:t>
            </w:r>
          </w:p>
          <w:p w14:paraId="6941A64C" w14:textId="7A282E79"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 xml:space="preserve">Responsible for controlling the level of travel in accordance with budget and greening goals. </w:t>
            </w:r>
          </w:p>
          <w:p w14:paraId="44BA2A5B" w14:textId="77777777" w:rsidR="00212EC7"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rFonts w:cstheme="minorHAnsi"/>
                <w:sz w:val="20"/>
                <w:szCs w:val="20"/>
              </w:rPr>
              <w:t>Confirms usage of COA</w:t>
            </w:r>
          </w:p>
          <w:p w14:paraId="048ECFDF" w14:textId="42BF6CB5" w:rsidR="00414E96" w:rsidRPr="00E06F45" w:rsidRDefault="00414E96">
            <w:pPr>
              <w:pStyle w:val="ListParagraph"/>
              <w:widowControl w:val="0"/>
              <w:numPr>
                <w:ilvl w:val="0"/>
                <w:numId w:val="30"/>
              </w:numPr>
              <w:autoSpaceDE w:val="0"/>
              <w:autoSpaceDN w:val="0"/>
              <w:ind w:left="250" w:hanging="250"/>
              <w:rPr>
                <w:rFonts w:ascii="Calibri" w:hAnsi="Calibri" w:cs="Calibri"/>
                <w:sz w:val="20"/>
                <w:szCs w:val="20"/>
              </w:rPr>
            </w:pPr>
            <w:r w:rsidRPr="00E06F45">
              <w:rPr>
                <w:sz w:val="20"/>
                <w:szCs w:val="20"/>
              </w:rPr>
              <w:t>Approves the Travel Claim in Quantum</w:t>
            </w:r>
            <w:r w:rsidR="00212EC7" w:rsidRPr="00E06F45">
              <w:rPr>
                <w:sz w:val="20"/>
                <w:szCs w:val="20"/>
              </w:rPr>
              <w:t>, including the invoice related to a claim if the traveler has a balance due.</w:t>
            </w:r>
          </w:p>
        </w:tc>
      </w:tr>
      <w:tr w:rsidR="00414E96" w14:paraId="13AB24AB" w14:textId="77777777" w:rsidTr="363CA695">
        <w:tc>
          <w:tcPr>
            <w:tcW w:w="3870" w:type="dxa"/>
          </w:tcPr>
          <w:p w14:paraId="48B509A8" w14:textId="77777777" w:rsidR="00414E96" w:rsidRPr="00E06F45" w:rsidRDefault="00414E96" w:rsidP="00CF32EB">
            <w:pPr>
              <w:rPr>
                <w:b/>
                <w:bCs/>
                <w:sz w:val="20"/>
                <w:szCs w:val="20"/>
              </w:rPr>
            </w:pPr>
            <w:r w:rsidRPr="00E06F45">
              <w:rPr>
                <w:b/>
                <w:bCs/>
                <w:sz w:val="20"/>
                <w:szCs w:val="20"/>
              </w:rPr>
              <w:lastRenderedPageBreak/>
              <w:t>BMS/GSSC</w:t>
            </w:r>
          </w:p>
        </w:tc>
        <w:tc>
          <w:tcPr>
            <w:tcW w:w="6030" w:type="dxa"/>
          </w:tcPr>
          <w:p w14:paraId="64405935" w14:textId="1803714F" w:rsidR="00414E96" w:rsidRPr="00E06F45" w:rsidRDefault="00414E96">
            <w:pPr>
              <w:pStyle w:val="ListParagraph"/>
              <w:widowControl w:val="0"/>
              <w:numPr>
                <w:ilvl w:val="0"/>
                <w:numId w:val="30"/>
              </w:numPr>
              <w:autoSpaceDE w:val="0"/>
              <w:autoSpaceDN w:val="0"/>
              <w:ind w:left="250" w:hanging="250"/>
              <w:rPr>
                <w:sz w:val="20"/>
                <w:szCs w:val="20"/>
              </w:rPr>
            </w:pPr>
            <w:r w:rsidRPr="00E06F45">
              <w:rPr>
                <w:sz w:val="20"/>
                <w:szCs w:val="20"/>
              </w:rPr>
              <w:t>Processes Travel Claim transactions in Quantum (AP invoice, AP credit memo, AP refund request, as relevant)</w:t>
            </w:r>
            <w:r w:rsidR="000C139A" w:rsidRPr="00E06F45">
              <w:rPr>
                <w:sz w:val="20"/>
                <w:szCs w:val="20"/>
              </w:rPr>
              <w:t xml:space="preserve"> if &gt;$5,000 (which is rare).</w:t>
            </w:r>
          </w:p>
        </w:tc>
      </w:tr>
      <w:tr w:rsidR="00414E96" w14:paraId="4E91B30C" w14:textId="77777777" w:rsidTr="363CA695">
        <w:tc>
          <w:tcPr>
            <w:tcW w:w="9900" w:type="dxa"/>
            <w:gridSpan w:val="2"/>
            <w:shd w:val="clear" w:color="auto" w:fill="D9D9D9" w:themeFill="background1" w:themeFillShade="D9"/>
          </w:tcPr>
          <w:p w14:paraId="27AA6281" w14:textId="4656BBC1" w:rsidR="00414E96" w:rsidRPr="00B24907" w:rsidRDefault="00414E96" w:rsidP="00CF32EB">
            <w:pPr>
              <w:rPr>
                <w:sz w:val="20"/>
                <w:szCs w:val="20"/>
              </w:rPr>
            </w:pPr>
            <w:r w:rsidRPr="00B24907">
              <w:rPr>
                <w:b/>
                <w:bCs/>
                <w:sz w:val="20"/>
                <w:szCs w:val="20"/>
              </w:rPr>
              <w:t>Required segregation of duties:</w:t>
            </w:r>
            <w:r w:rsidRPr="00B24907">
              <w:rPr>
                <w:sz w:val="20"/>
                <w:szCs w:val="20"/>
              </w:rPr>
              <w:t xml:space="preserve"> Under no circumstances shall a staff member authorize or process his/her own travel. The Travel Processor and Approving Manager roles must be fulfilled by a different individual.</w:t>
            </w:r>
            <w:r w:rsidR="00D50D32">
              <w:rPr>
                <w:sz w:val="20"/>
                <w:szCs w:val="20"/>
              </w:rPr>
              <w:t xml:space="preserve"> </w:t>
            </w:r>
            <w:r w:rsidR="00D50D32" w:rsidRPr="00E06F45">
              <w:rPr>
                <w:sz w:val="20"/>
                <w:szCs w:val="20"/>
              </w:rPr>
              <w:t>UNall has an inbuilt segregation of duties control that prevents a Travel Processor from processing their own Travel Request.</w:t>
            </w:r>
          </w:p>
        </w:tc>
      </w:tr>
    </w:tbl>
    <w:p w14:paraId="1D0CF578" w14:textId="77777777" w:rsidR="008064E9" w:rsidRPr="008064E9" w:rsidRDefault="008064E9">
      <w:pPr>
        <w:rPr>
          <w:b/>
          <w:bCs/>
          <w:sz w:val="8"/>
          <w:szCs w:val="8"/>
        </w:rPr>
      </w:pPr>
    </w:p>
    <w:p w14:paraId="02DB5936" w14:textId="45535D05" w:rsidR="005A354E" w:rsidRPr="00E06F45" w:rsidRDefault="00414E96" w:rsidP="009D7BAE">
      <w:pPr>
        <w:spacing w:line="240" w:lineRule="auto"/>
      </w:pPr>
      <w:r w:rsidRPr="00E06F45">
        <w:rPr>
          <w:b/>
          <w:bCs/>
        </w:rPr>
        <w:t xml:space="preserve">Ticket </w:t>
      </w:r>
      <w:r w:rsidR="00301996" w:rsidRPr="00E06F45">
        <w:rPr>
          <w:b/>
          <w:bCs/>
        </w:rPr>
        <w:t xml:space="preserve">payment and </w:t>
      </w:r>
      <w:r w:rsidRPr="00E06F45">
        <w:rPr>
          <w:b/>
          <w:bCs/>
        </w:rPr>
        <w:t>reconciliation:</w:t>
      </w:r>
      <w:r w:rsidRPr="00E06F45">
        <w:t xml:space="preserve"> </w:t>
      </w:r>
      <w:r w:rsidR="005A354E" w:rsidRPr="00E06F45">
        <w:t>O</w:t>
      </w:r>
      <w:r w:rsidRPr="00E06F45">
        <w:t>ffices</w:t>
      </w:r>
      <w:r w:rsidR="001F08D4" w:rsidRPr="00E06F45">
        <w:t>/units</w:t>
      </w:r>
      <w:r w:rsidRPr="00E06F45">
        <w:t xml:space="preserve"> </w:t>
      </w:r>
      <w:r w:rsidR="00E60C57" w:rsidRPr="00E06F45">
        <w:t xml:space="preserve">should </w:t>
      </w:r>
      <w:r w:rsidRPr="00E06F45">
        <w:t xml:space="preserve">arrange for their </w:t>
      </w:r>
      <w:r w:rsidR="005A354E" w:rsidRPr="00E06F45">
        <w:t xml:space="preserve">travel agent </w:t>
      </w:r>
      <w:r w:rsidRPr="00E06F45">
        <w:t xml:space="preserve">supplier to submit travel ticket invoices through the </w:t>
      </w:r>
      <w:r w:rsidR="005D2478" w:rsidRPr="00E06F45">
        <w:t>Quantum S</w:t>
      </w:r>
      <w:r w:rsidRPr="00E06F45">
        <w:t xml:space="preserve">upplier </w:t>
      </w:r>
      <w:r w:rsidR="005D2478" w:rsidRPr="00E06F45">
        <w:t>P</w:t>
      </w:r>
      <w:r w:rsidRPr="00E06F45">
        <w:t>ortal</w:t>
      </w:r>
      <w:r w:rsidR="003C02F5" w:rsidRPr="00E06F45">
        <w:t xml:space="preserve"> (recommended)</w:t>
      </w:r>
      <w:r w:rsidR="005A354E" w:rsidRPr="00E06F45">
        <w:t xml:space="preserve">. Alternatively, the office/unit can </w:t>
      </w:r>
      <w:r w:rsidR="009D7BAE" w:rsidRPr="00E06F45">
        <w:t xml:space="preserve">enter the invoice in Quantum directly </w:t>
      </w:r>
      <w:r w:rsidR="005A354E" w:rsidRPr="00E06F45">
        <w:t xml:space="preserve">if the travel agent supplier cannot use the Quantum Supplier Portal. Once the invoice has been created in Quantum, it is </w:t>
      </w:r>
      <w:r w:rsidRPr="00E06F45">
        <w:t xml:space="preserve">routed to the </w:t>
      </w:r>
      <w:r w:rsidR="005A354E" w:rsidRPr="00E06F45">
        <w:t xml:space="preserve">office/unit </w:t>
      </w:r>
      <w:r w:rsidR="005D2478" w:rsidRPr="00E06F45">
        <w:t>T</w:t>
      </w:r>
      <w:r w:rsidRPr="00E06F45">
        <w:t xml:space="preserve">ravel </w:t>
      </w:r>
      <w:r w:rsidR="005D2478" w:rsidRPr="00E06F45">
        <w:t>P</w:t>
      </w:r>
      <w:r w:rsidRPr="00E06F45">
        <w:t>rocessor for review and then to BMS/GSSC for approval if &gt;$5,000.</w:t>
      </w:r>
      <w:r w:rsidR="005D2478" w:rsidRPr="00E06F45">
        <w:t xml:space="preserve"> </w:t>
      </w:r>
      <w:r w:rsidR="00301996" w:rsidRPr="00E06F45">
        <w:t>BMS/GSSC also performs sample reviews on travel ticket invoices below $5,000 prior to disbursement.</w:t>
      </w:r>
    </w:p>
    <w:p w14:paraId="7E5524C0" w14:textId="6EADABE3" w:rsidR="005A354E" w:rsidRPr="00E06F45" w:rsidRDefault="00E60C57" w:rsidP="009D7BAE">
      <w:pPr>
        <w:spacing w:line="240" w:lineRule="auto"/>
      </w:pPr>
      <w:r w:rsidRPr="00E06F45">
        <w:t xml:space="preserve">Alternatively, </w:t>
      </w:r>
      <w:r w:rsidR="005A354E" w:rsidRPr="00E06F45">
        <w:t xml:space="preserve">where volumes are large, </w:t>
      </w:r>
      <w:r w:rsidRPr="00E06F45">
        <w:t xml:space="preserve">BMS/GSSC can perform the ticket reconciliation against the Quantum PO and process the payments for </w:t>
      </w:r>
      <w:r w:rsidR="005A354E" w:rsidRPr="00E06F45">
        <w:t>offices/units</w:t>
      </w:r>
      <w:r w:rsidRPr="00E06F45">
        <w:t xml:space="preserve">. </w:t>
      </w:r>
      <w:r w:rsidR="00301996" w:rsidRPr="00E06F45">
        <w:rPr>
          <w:rFonts w:ascii="Calibri" w:hAnsi="Calibri" w:cs="Calibri"/>
        </w:rPr>
        <w:t>In this case, the office/unit submits a request via UNall containing PO information and PDF invoices from travel agent suppliers. BMS/GSSC reviews and verifies the request against the PDF invoices and PO in Quantum before bulk uploading the spreadsheet in Quantum to create and approve invoices in Quantum. BMS/GSSC closes the UNall case and informs the office/unit of the successful uploads.</w:t>
      </w:r>
    </w:p>
    <w:p w14:paraId="36309B3A" w14:textId="39A6F2AA" w:rsidR="009D7BAE" w:rsidRPr="00716992" w:rsidRDefault="00301996" w:rsidP="009D7BAE">
      <w:pPr>
        <w:spacing w:line="240" w:lineRule="auto"/>
        <w:rPr>
          <w:color w:val="ED7D31" w:themeColor="accent2"/>
        </w:rPr>
      </w:pPr>
      <w:r w:rsidRPr="00E06F45">
        <w:t xml:space="preserve">BMS/GSSC runs the pay-cycle to generate the traveler’s payment after the travel invoice has been approved in Quantum. Travel Refunds are recorded and settled by BMS/GSSC upon the confirmation of the recovery through payroll or a deposit. </w:t>
      </w:r>
      <w:bookmarkStart w:id="54" w:name="_Toc134134767"/>
      <w:r w:rsidR="009D7BAE" w:rsidRPr="00E06F45">
        <w:t xml:space="preserve">Refer </w:t>
      </w:r>
      <w:r w:rsidR="009D7BAE">
        <w:t>to the BMS/GSSC SOP on Travel</w:t>
      </w:r>
      <w:r w:rsidR="009D7BAE" w:rsidRPr="003C02F5">
        <w:rPr>
          <w:color w:val="FF0000"/>
        </w:rPr>
        <w:t xml:space="preserve"> </w:t>
      </w:r>
      <w:r w:rsidR="004E76F2" w:rsidRPr="004E76F2">
        <w:t xml:space="preserve">Reconciliation </w:t>
      </w:r>
      <w:r w:rsidR="0017536E">
        <w:t xml:space="preserve">(forthcoming) </w:t>
      </w:r>
      <w:r w:rsidR="004E76F2" w:rsidRPr="002D0605">
        <w:t>a</w:t>
      </w:r>
      <w:r w:rsidR="004E76F2" w:rsidRPr="00E06F45">
        <w:t xml:space="preserve">nd the </w:t>
      </w:r>
      <w:hyperlink r:id="rId120" w:history="1">
        <w:r w:rsidR="004E76F2" w:rsidRPr="00F71B1F">
          <w:rPr>
            <w:rStyle w:val="Hyperlink"/>
          </w:rPr>
          <w:t>BMS/GSSC SOP on Accounts Payable</w:t>
        </w:r>
        <w:r w:rsidR="00F71B1F" w:rsidRPr="00F71B1F">
          <w:rPr>
            <w:rStyle w:val="Hyperlink"/>
          </w:rPr>
          <w:t xml:space="preserve"> Invoice P</w:t>
        </w:r>
        <w:r w:rsidR="004E76F2" w:rsidRPr="00F71B1F">
          <w:rPr>
            <w:rStyle w:val="Hyperlink"/>
          </w:rPr>
          <w:t>rocessing</w:t>
        </w:r>
      </w:hyperlink>
      <w:r w:rsidR="004E76F2" w:rsidRPr="004E76F2">
        <w:rPr>
          <w:color w:val="ED7D31" w:themeColor="accent2"/>
        </w:rPr>
        <w:t xml:space="preserve"> </w:t>
      </w:r>
      <w:r w:rsidR="009D7BAE" w:rsidRPr="00DA3ADD">
        <w:t>for more information.</w:t>
      </w:r>
    </w:p>
    <w:p w14:paraId="7DB5AD9C" w14:textId="77777777" w:rsidR="00212EC7" w:rsidRPr="00E06F45" w:rsidRDefault="00212EC7" w:rsidP="00212EC7">
      <w:r w:rsidRPr="00E06F45">
        <w:t>BMS/General Operations handles the ticket reconciliation and payment for tickets issued through American Express GBT, the HQ LTA for travel services. PO invoice approval does not apply to HQ-issued tickets.</w:t>
      </w:r>
    </w:p>
    <w:p w14:paraId="3614764C" w14:textId="33644770" w:rsidR="008E2319" w:rsidRDefault="008E2319">
      <w:pPr>
        <w:pStyle w:val="Heading1"/>
        <w:numPr>
          <w:ilvl w:val="0"/>
          <w:numId w:val="92"/>
        </w:numPr>
        <w:spacing w:after="240"/>
      </w:pPr>
      <w:bookmarkStart w:id="55" w:name="_Toc210052768"/>
      <w:r w:rsidRPr="0030148B">
        <w:t>Asset &amp; Inventory Management Internal Control Roles</w:t>
      </w:r>
      <w:bookmarkEnd w:id="54"/>
      <w:bookmarkEnd w:id="55"/>
    </w:p>
    <w:p w14:paraId="27179D3A" w14:textId="5720E945" w:rsidR="008E2319" w:rsidRPr="006114FD" w:rsidRDefault="008E2319" w:rsidP="008E2319">
      <w:pPr>
        <w:spacing w:line="240" w:lineRule="auto"/>
      </w:pPr>
      <w:r w:rsidRPr="006114FD">
        <w:t xml:space="preserve">The POPP sections </w:t>
      </w:r>
      <w:hyperlink r:id="rId121">
        <w:r w:rsidRPr="006114FD">
          <w:rPr>
            <w:rStyle w:val="Hyperlink"/>
          </w:rPr>
          <w:t xml:space="preserve">Asset Management </w:t>
        </w:r>
      </w:hyperlink>
      <w:r w:rsidRPr="006114FD">
        <w:t xml:space="preserve">and </w:t>
      </w:r>
      <w:hyperlink r:id="rId122">
        <w:r w:rsidRPr="006114FD">
          <w:rPr>
            <w:rStyle w:val="Hyperlink"/>
          </w:rPr>
          <w:t xml:space="preserve">Inventory Management </w:t>
        </w:r>
      </w:hyperlink>
      <w:r w:rsidRPr="006114FD">
        <w:t xml:space="preserve">describe the roles and responsibilities of those involved in asset and inventory management, including the Asset Manager, Asset Focal Point, Fixed Asset </w:t>
      </w:r>
      <w:r w:rsidRPr="006114FD">
        <w:lastRenderedPageBreak/>
        <w:t xml:space="preserve">Physical Verification Coordinator, Inventory Manager, Inventory Focal Point, and Inventory Physical Count Coordinator. This section of the Guide provides an overview of the key internal control responsibilities fulfilled by these roles. </w:t>
      </w:r>
      <w:r w:rsidR="009A4354">
        <w:t>Additionally, a range of Quantum Knowledge Articles can be found in UNal</w:t>
      </w:r>
      <w:r w:rsidR="00720EB9">
        <w:t xml:space="preserve">l </w:t>
      </w:r>
      <w:hyperlink r:id="rId123" w:history="1">
        <w:r w:rsidR="00720EB9" w:rsidRPr="00720EB9">
          <w:rPr>
            <w:rStyle w:val="Hyperlink"/>
          </w:rPr>
          <w:t>Asset Management</w:t>
        </w:r>
      </w:hyperlink>
      <w:r w:rsidR="009A4354">
        <w:t xml:space="preserve">, the </w:t>
      </w:r>
      <w:hyperlink r:id="rId124" w:history="1">
        <w:r w:rsidR="009A4354" w:rsidRPr="004241E3">
          <w:rPr>
            <w:rStyle w:val="Hyperlink"/>
          </w:rPr>
          <w:t>BMS/GSSC Finance Services SharePoint site</w:t>
        </w:r>
      </w:hyperlink>
      <w:r w:rsidR="009A4354">
        <w:t xml:space="preserve"> and the </w:t>
      </w:r>
      <w:hyperlink r:id="rId125" w:history="1">
        <w:r w:rsidR="009A4354" w:rsidRPr="004241E3">
          <w:rPr>
            <w:rStyle w:val="Hyperlink"/>
          </w:rPr>
          <w:t>BMS/GSSC SOP Share</w:t>
        </w:r>
        <w:r w:rsidR="009A4354">
          <w:rPr>
            <w:rStyle w:val="Hyperlink"/>
          </w:rPr>
          <w:t>P</w:t>
        </w:r>
        <w:r w:rsidR="009A4354" w:rsidRPr="004241E3">
          <w:rPr>
            <w:rStyle w:val="Hyperlink"/>
          </w:rPr>
          <w:t>oint site</w:t>
        </w:r>
      </w:hyperlink>
      <w:r w:rsidR="009A4354" w:rsidRPr="004241E3">
        <w:t>.</w:t>
      </w:r>
    </w:p>
    <w:p w14:paraId="65D5BBA1" w14:textId="270DED86" w:rsidR="008E2319" w:rsidRPr="006114FD" w:rsidRDefault="008E2319" w:rsidP="008E2319">
      <w:pPr>
        <w:spacing w:line="240" w:lineRule="auto"/>
        <w:rPr>
          <w:color w:val="ED7D31" w:themeColor="accent2"/>
        </w:rPr>
      </w:pPr>
      <w:r w:rsidRPr="00AD810D">
        <w:t xml:space="preserve">The BMS/GSSC records fixed asset transactions and related accounting entries in Quantum </w:t>
      </w:r>
      <w:r w:rsidR="0023281A" w:rsidRPr="00AD810D">
        <w:t>b</w:t>
      </w:r>
      <w:r w:rsidRPr="00AD810D">
        <w:t>ased on service requests submitted by all UNDP offices</w:t>
      </w:r>
      <w:r w:rsidR="001F08D4" w:rsidRPr="00AD810D">
        <w:t>/units</w:t>
      </w:r>
      <w:r w:rsidRPr="00AD810D">
        <w:t>. This includes processing asset additions, disposals, adjustments, transfers, impairments, recategorizations, and lease recording and accounting, as well as adjustments that may be necessary following periodic physical asset verifications.</w:t>
      </w:r>
      <w:r w:rsidR="5C459A60" w:rsidRPr="00AD810D">
        <w:t xml:space="preserve"> </w:t>
      </w:r>
      <w:r w:rsidR="5C459A60" w:rsidRPr="00E06F45">
        <w:t xml:space="preserve">Asset transaction requests should be submitted using the UNall menu path </w:t>
      </w:r>
      <w:r w:rsidR="000C139A" w:rsidRPr="00E06F45">
        <w:t>Finance</w:t>
      </w:r>
      <w:r w:rsidR="5C459A60" w:rsidRPr="00E06F45">
        <w:t xml:space="preserve"> -&gt; </w:t>
      </w:r>
      <w:r w:rsidR="4C8024E3" w:rsidRPr="00E06F45">
        <w:t>Asset Management.</w:t>
      </w:r>
    </w:p>
    <w:p w14:paraId="3A914108" w14:textId="676E1F6F" w:rsidR="008E2319" w:rsidRPr="006114FD" w:rsidRDefault="008E2319" w:rsidP="008E2319">
      <w:pPr>
        <w:spacing w:line="240" w:lineRule="auto"/>
      </w:pPr>
      <w:r w:rsidRPr="363CA695">
        <w:t>The BMS/GSSC also performs all inventory accounting transactions in Quantum based on inventory control report(s) and accompanying inventory certification(s) reviewed by the Inventory Manager, signed by the Head of Office</w:t>
      </w:r>
      <w:r w:rsidR="001F08D4" w:rsidRPr="363CA695">
        <w:t>/Unit</w:t>
      </w:r>
      <w:r w:rsidRPr="363CA695">
        <w:t>, and submitted by the Inventory Focal Point. The BMS/GSSC: (</w:t>
      </w:r>
      <w:proofErr w:type="spellStart"/>
      <w:r w:rsidRPr="363CA695">
        <w:t>i</w:t>
      </w:r>
      <w:proofErr w:type="spellEnd"/>
      <w:r w:rsidRPr="363CA695">
        <w:t>) reviews the accuracy of inventory control reports submitted by offices</w:t>
      </w:r>
      <w:r w:rsidR="001F08D4" w:rsidRPr="363CA695">
        <w:t>/units</w:t>
      </w:r>
      <w:r w:rsidRPr="363CA695">
        <w:t>; (ii) ensures that balances are certified by the Head of Office</w:t>
      </w:r>
      <w:r w:rsidR="001F08D4" w:rsidRPr="363CA695">
        <w:t>/Unit</w:t>
      </w:r>
      <w:r w:rsidRPr="363CA695">
        <w:t>; and (iii) records an accounting journal entry to recognize the balance of inventories.</w:t>
      </w:r>
    </w:p>
    <w:p w14:paraId="3C73DD4D" w14:textId="1D3BB226" w:rsidR="008E2319" w:rsidRPr="00DE7C31" w:rsidRDefault="008E2319">
      <w:pPr>
        <w:pStyle w:val="Heading2"/>
        <w:numPr>
          <w:ilvl w:val="1"/>
          <w:numId w:val="92"/>
        </w:numPr>
        <w:spacing w:after="240"/>
        <w:ind w:left="360"/>
      </w:pPr>
      <w:bookmarkStart w:id="56" w:name="7.1_Asset_Manager"/>
      <w:bookmarkStart w:id="57" w:name="_Toc134134768"/>
      <w:bookmarkStart w:id="58" w:name="_Toc210052769"/>
      <w:bookmarkEnd w:id="56"/>
      <w:r w:rsidRPr="00DE7C31">
        <w:t>Asset Manager</w:t>
      </w:r>
      <w:bookmarkEnd w:id="57"/>
      <w:bookmarkEnd w:id="58"/>
    </w:p>
    <w:p w14:paraId="75E6F8B7" w14:textId="1545CA82" w:rsidR="008E2319" w:rsidRPr="006114FD" w:rsidRDefault="008E2319" w:rsidP="008E2319">
      <w:pPr>
        <w:spacing w:line="240" w:lineRule="auto"/>
        <w:rPr>
          <w:color w:val="ED7D31" w:themeColor="accent2"/>
        </w:rPr>
      </w:pPr>
      <w:r w:rsidRPr="00AD810D">
        <w:t xml:space="preserve">The Asset Manager role, </w:t>
      </w:r>
      <w:r w:rsidRPr="00AD810D">
        <w:rPr>
          <w:b/>
          <w:bCs/>
        </w:rPr>
        <w:t>normally held by the Operations Manager (or HQ office</w:t>
      </w:r>
      <w:r w:rsidR="001F08D4" w:rsidRPr="00AD810D">
        <w:rPr>
          <w:b/>
          <w:bCs/>
        </w:rPr>
        <w:t>/unit</w:t>
      </w:r>
      <w:r w:rsidRPr="00AD810D">
        <w:rPr>
          <w:b/>
          <w:bCs/>
        </w:rPr>
        <w:t xml:space="preserve"> equivalent),</w:t>
      </w:r>
      <w:r w:rsidRPr="00AD810D">
        <w:t xml:space="preserve"> is responsible for the overall management of assets. This person ensures that monitoring, reporting and follow-up actions, if necessary, take place for assets, and authorizes asset transactions for processing by the BMS/GSSC.</w:t>
      </w:r>
      <w:r w:rsidR="000C139A" w:rsidRPr="00AD810D">
        <w:t xml:space="preserve"> </w:t>
      </w:r>
      <w:r w:rsidR="000C139A" w:rsidRPr="00E06F45">
        <w:t>There is no IDAM business profile or supplementary role for Asset Manager as asset transactions are performed in the ERP by BMS/GSSC based upon approved service requests from offices/units.</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6114FD" w14:paraId="4F7C51DB" w14:textId="77777777" w:rsidTr="0007005B">
        <w:trPr>
          <w:trHeight w:val="296"/>
        </w:trPr>
        <w:tc>
          <w:tcPr>
            <w:tcW w:w="9810" w:type="dxa"/>
            <w:shd w:val="clear" w:color="auto" w:fill="FFF1CC"/>
          </w:tcPr>
          <w:p w14:paraId="15C55C8D" w14:textId="1AE5643C" w:rsidR="008E2319" w:rsidRPr="006114FD" w:rsidRDefault="008E2319" w:rsidP="008E2319">
            <w:pPr>
              <w:spacing w:after="0"/>
              <w:ind w:left="90" w:right="85"/>
              <w:rPr>
                <w:b/>
                <w:bCs/>
                <w:sz w:val="20"/>
                <w:szCs w:val="20"/>
              </w:rPr>
            </w:pPr>
            <w:r w:rsidRPr="006114FD">
              <w:rPr>
                <w:b/>
                <w:bCs/>
                <w:sz w:val="20"/>
                <w:szCs w:val="20"/>
              </w:rPr>
              <w:t>Asset Manage</w:t>
            </w:r>
            <w:r>
              <w:rPr>
                <w:b/>
                <w:bCs/>
                <w:sz w:val="20"/>
                <w:szCs w:val="20"/>
              </w:rPr>
              <w:t>r</w:t>
            </w:r>
            <w:r w:rsidRPr="006114FD">
              <w:rPr>
                <w:b/>
                <w:bCs/>
                <w:sz w:val="20"/>
                <w:szCs w:val="20"/>
              </w:rPr>
              <w:t>: Internal Control Responsibilities</w:t>
            </w:r>
            <w:r>
              <w:rPr>
                <w:b/>
                <w:bCs/>
                <w:sz w:val="20"/>
                <w:szCs w:val="20"/>
              </w:rPr>
              <w:t xml:space="preserve"> performed within each office</w:t>
            </w:r>
            <w:r w:rsidR="001F08D4">
              <w:rPr>
                <w:b/>
                <w:bCs/>
                <w:sz w:val="20"/>
                <w:szCs w:val="20"/>
              </w:rPr>
              <w:t>/unit</w:t>
            </w:r>
          </w:p>
        </w:tc>
      </w:tr>
      <w:tr w:rsidR="007B1BE3" w:rsidRPr="006114FD" w14:paraId="63B13960" w14:textId="77777777" w:rsidTr="0007005B">
        <w:trPr>
          <w:trHeight w:val="566"/>
        </w:trPr>
        <w:tc>
          <w:tcPr>
            <w:tcW w:w="9810" w:type="dxa"/>
          </w:tcPr>
          <w:p w14:paraId="6F5D2715" w14:textId="3DF0BFEA"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Conducts overall asset administration, monitoring &amp; reporting, including reviewing the mid-year and year-end asset certification letters prior to signature by the Head of Office</w:t>
            </w:r>
            <w:r w:rsidR="001F08D4">
              <w:rPr>
                <w:sz w:val="20"/>
                <w:szCs w:val="20"/>
              </w:rPr>
              <w:t>/Unit</w:t>
            </w:r>
            <w:r w:rsidRPr="006114FD">
              <w:rPr>
                <w:sz w:val="20"/>
                <w:szCs w:val="20"/>
              </w:rPr>
              <w:t xml:space="preserve"> and onward submission to BMS/General Operations.</w:t>
            </w:r>
          </w:p>
        </w:tc>
      </w:tr>
      <w:tr w:rsidR="007B1BE3" w:rsidRPr="006114FD" w14:paraId="28938D14" w14:textId="77777777" w:rsidTr="0007005B">
        <w:trPr>
          <w:trHeight w:val="143"/>
        </w:trPr>
        <w:tc>
          <w:tcPr>
            <w:tcW w:w="9810" w:type="dxa"/>
          </w:tcPr>
          <w:p w14:paraId="20F315AF" w14:textId="77777777"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Physically safeguards management assets.</w:t>
            </w:r>
          </w:p>
        </w:tc>
      </w:tr>
      <w:tr w:rsidR="007B1BE3" w:rsidRPr="006114FD" w14:paraId="44AE4D81" w14:textId="77777777" w:rsidTr="0007005B">
        <w:trPr>
          <w:trHeight w:val="170"/>
        </w:trPr>
        <w:tc>
          <w:tcPr>
            <w:tcW w:w="9810" w:type="dxa"/>
          </w:tcPr>
          <w:p w14:paraId="3F97FC13" w14:textId="77777777" w:rsidR="008E2319" w:rsidRPr="006114FD" w:rsidRDefault="008E2319">
            <w:pPr>
              <w:pStyle w:val="ListParagraph"/>
              <w:widowControl w:val="0"/>
              <w:numPr>
                <w:ilvl w:val="0"/>
                <w:numId w:val="68"/>
              </w:numPr>
              <w:autoSpaceDE w:val="0"/>
              <w:autoSpaceDN w:val="0"/>
              <w:spacing w:after="0" w:line="240" w:lineRule="auto"/>
              <w:ind w:right="85"/>
              <w:contextualSpacing w:val="0"/>
              <w:rPr>
                <w:sz w:val="20"/>
                <w:szCs w:val="20"/>
              </w:rPr>
            </w:pPr>
            <w:r w:rsidRPr="006114FD">
              <w:rPr>
                <w:sz w:val="20"/>
                <w:szCs w:val="20"/>
              </w:rPr>
              <w:t>Authorizes all asset transaction service requests for submission to BMS/GSSC.</w:t>
            </w:r>
          </w:p>
        </w:tc>
      </w:tr>
      <w:tr w:rsidR="00147C55" w:rsidRPr="006114FD" w14:paraId="48E79284" w14:textId="77777777" w:rsidTr="0007005B">
        <w:trPr>
          <w:trHeight w:val="467"/>
        </w:trPr>
        <w:tc>
          <w:tcPr>
            <w:tcW w:w="9810" w:type="dxa"/>
            <w:shd w:val="clear" w:color="auto" w:fill="D9D9D9" w:themeFill="background1" w:themeFillShade="D9"/>
          </w:tcPr>
          <w:p w14:paraId="6DE01737" w14:textId="77777777" w:rsidR="008E2319" w:rsidRPr="006114FD" w:rsidRDefault="008E2319" w:rsidP="00E116D4">
            <w:pPr>
              <w:spacing w:after="0" w:line="240" w:lineRule="auto"/>
              <w:ind w:left="90" w:right="85"/>
              <w:rPr>
                <w:sz w:val="20"/>
                <w:szCs w:val="20"/>
              </w:rPr>
            </w:pPr>
            <w:r w:rsidRPr="006114FD">
              <w:rPr>
                <w:b/>
                <w:bCs/>
                <w:sz w:val="20"/>
                <w:szCs w:val="20"/>
              </w:rPr>
              <w:t>Required segregation of duties:</w:t>
            </w:r>
            <w:r w:rsidRPr="006114FD">
              <w:rPr>
                <w:sz w:val="20"/>
                <w:szCs w:val="20"/>
              </w:rPr>
              <w:t xml:space="preserve"> Asset Managers should not perform the duties of the Fixed Asset Physical Verification Coordinator.</w:t>
            </w:r>
          </w:p>
        </w:tc>
      </w:tr>
    </w:tbl>
    <w:p w14:paraId="76EC9D67" w14:textId="77777777" w:rsidR="008E2319" w:rsidRPr="008E2319" w:rsidRDefault="008E2319" w:rsidP="008E2319">
      <w:pPr>
        <w:rPr>
          <w:sz w:val="8"/>
          <w:szCs w:val="8"/>
        </w:rPr>
      </w:pPr>
    </w:p>
    <w:p w14:paraId="6E5F753F" w14:textId="073D6D65" w:rsidR="008E2319" w:rsidRDefault="008E2319">
      <w:pPr>
        <w:pStyle w:val="Heading2"/>
        <w:numPr>
          <w:ilvl w:val="1"/>
          <w:numId w:val="92"/>
        </w:numPr>
        <w:spacing w:after="240"/>
        <w:ind w:left="360"/>
      </w:pPr>
      <w:bookmarkStart w:id="59" w:name="_Toc134134769"/>
      <w:bookmarkStart w:id="60" w:name="_Toc210052770"/>
      <w:r w:rsidRPr="0030148B">
        <w:t>Asset Focal Point</w:t>
      </w:r>
      <w:bookmarkEnd w:id="59"/>
      <w:bookmarkEnd w:id="60"/>
    </w:p>
    <w:p w14:paraId="321DC774" w14:textId="46D80A7A" w:rsidR="008E2319" w:rsidRPr="006114FD" w:rsidRDefault="008E2319" w:rsidP="008E2319">
      <w:pPr>
        <w:spacing w:line="240" w:lineRule="auto"/>
      </w:pPr>
      <w:r w:rsidRPr="00AD810D">
        <w:t>The Asset Focal Point role refers to the individual designated by the Head of Office</w:t>
      </w:r>
      <w:r w:rsidR="001F08D4" w:rsidRPr="00AD810D">
        <w:t>/Unit</w:t>
      </w:r>
      <w:r w:rsidRPr="00AD810D">
        <w:t xml:space="preserve"> to perform day-to-day management of assets in accordance with </w:t>
      </w:r>
      <w:hyperlink r:id="rId126">
        <w:r w:rsidRPr="00AD810D">
          <w:rPr>
            <w:rStyle w:val="Hyperlink"/>
          </w:rPr>
          <w:t xml:space="preserve">POPP Asset Management </w:t>
        </w:r>
      </w:hyperlink>
      <w:r w:rsidRPr="00AD810D">
        <w:t xml:space="preserve">and periodic financial closure instructions issued by BMS. For practical reasons, units with personnel located </w:t>
      </w:r>
      <w:proofErr w:type="gramStart"/>
      <w:r w:rsidRPr="00AD810D">
        <w:t>in</w:t>
      </w:r>
      <w:proofErr w:type="gramEnd"/>
      <w:r w:rsidRPr="00AD810D">
        <w:rPr>
          <w:spacing w:val="1"/>
        </w:rPr>
        <w:t xml:space="preserve"> </w:t>
      </w:r>
      <w:r w:rsidRPr="00AD810D">
        <w:t>several</w:t>
      </w:r>
      <w:r w:rsidRPr="00AD810D">
        <w:rPr>
          <w:spacing w:val="-1"/>
        </w:rPr>
        <w:t xml:space="preserve"> </w:t>
      </w:r>
      <w:r w:rsidRPr="00AD810D">
        <w:t>floors</w:t>
      </w:r>
      <w:r w:rsidRPr="00AD810D">
        <w:rPr>
          <w:spacing w:val="-3"/>
        </w:rPr>
        <w:t xml:space="preserve"> </w:t>
      </w:r>
      <w:r w:rsidRPr="00AD810D">
        <w:t>or</w:t>
      </w:r>
      <w:r w:rsidRPr="00AD810D">
        <w:rPr>
          <w:spacing w:val="-3"/>
        </w:rPr>
        <w:t xml:space="preserve"> </w:t>
      </w:r>
      <w:r w:rsidRPr="00AD810D">
        <w:t>buildings should</w:t>
      </w:r>
      <w:r w:rsidRPr="00AD810D">
        <w:rPr>
          <w:spacing w:val="-1"/>
        </w:rPr>
        <w:t xml:space="preserve"> </w:t>
      </w:r>
      <w:r w:rsidRPr="00AD810D">
        <w:t>designate</w:t>
      </w:r>
      <w:r w:rsidRPr="00AD810D">
        <w:rPr>
          <w:spacing w:val="-2"/>
        </w:rPr>
        <w:t xml:space="preserve"> </w:t>
      </w:r>
      <w:r w:rsidRPr="00AD810D">
        <w:t>more</w:t>
      </w:r>
      <w:r w:rsidRPr="00AD810D">
        <w:rPr>
          <w:spacing w:val="-2"/>
        </w:rPr>
        <w:t xml:space="preserve"> </w:t>
      </w:r>
      <w:r w:rsidRPr="00AD810D">
        <w:t>than</w:t>
      </w:r>
      <w:r w:rsidRPr="00AD810D">
        <w:rPr>
          <w:spacing w:val="-4"/>
        </w:rPr>
        <w:t xml:space="preserve"> </w:t>
      </w:r>
      <w:r w:rsidRPr="00AD810D">
        <w:t>one</w:t>
      </w:r>
      <w:r w:rsidRPr="00AD810D">
        <w:rPr>
          <w:spacing w:val="1"/>
        </w:rPr>
        <w:t xml:space="preserve"> </w:t>
      </w:r>
      <w:r w:rsidRPr="00AD810D">
        <w:t>Asset</w:t>
      </w:r>
      <w:r w:rsidRPr="00AD810D">
        <w:rPr>
          <w:spacing w:val="-2"/>
        </w:rPr>
        <w:t xml:space="preserve"> </w:t>
      </w:r>
      <w:r w:rsidRPr="00AD810D">
        <w:t>Focal</w:t>
      </w:r>
      <w:r w:rsidRPr="00AD810D">
        <w:rPr>
          <w:spacing w:val="-3"/>
        </w:rPr>
        <w:t xml:space="preserve"> </w:t>
      </w:r>
      <w:r w:rsidRPr="00AD810D">
        <w:t>Point.</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6114FD" w14:paraId="59F9A05B" w14:textId="77777777" w:rsidTr="363CA695">
        <w:trPr>
          <w:trHeight w:val="161"/>
          <w:tblHeader/>
        </w:trPr>
        <w:tc>
          <w:tcPr>
            <w:tcW w:w="9810" w:type="dxa"/>
            <w:shd w:val="clear" w:color="auto" w:fill="FFF1CC"/>
          </w:tcPr>
          <w:p w14:paraId="3BC6F033" w14:textId="2B686531" w:rsidR="008E2319" w:rsidRPr="006114FD" w:rsidRDefault="008E2319" w:rsidP="008E2319">
            <w:pPr>
              <w:spacing w:after="0"/>
              <w:ind w:left="85"/>
              <w:rPr>
                <w:b/>
                <w:bCs/>
                <w:sz w:val="20"/>
                <w:szCs w:val="20"/>
              </w:rPr>
            </w:pPr>
            <w:r w:rsidRPr="006114FD">
              <w:rPr>
                <w:b/>
                <w:bCs/>
                <w:sz w:val="20"/>
                <w:szCs w:val="20"/>
              </w:rPr>
              <w:t>Asset Focal Point: Internal Control Responsibilities performed within each office</w:t>
            </w:r>
            <w:r w:rsidR="001F08D4">
              <w:rPr>
                <w:b/>
                <w:bCs/>
                <w:sz w:val="20"/>
                <w:szCs w:val="20"/>
              </w:rPr>
              <w:t>/unit</w:t>
            </w:r>
          </w:p>
        </w:tc>
      </w:tr>
      <w:tr w:rsidR="007B1BE3" w:rsidRPr="006114FD" w14:paraId="314C8120" w14:textId="77777777" w:rsidTr="363CA695">
        <w:trPr>
          <w:trHeight w:val="701"/>
        </w:trPr>
        <w:tc>
          <w:tcPr>
            <w:tcW w:w="9810" w:type="dxa"/>
          </w:tcPr>
          <w:p w14:paraId="58899601" w14:textId="6AE10495" w:rsidR="008E2319" w:rsidRPr="006114FD" w:rsidRDefault="008E2319">
            <w:pPr>
              <w:pStyle w:val="ListParagraph"/>
              <w:widowControl w:val="0"/>
              <w:numPr>
                <w:ilvl w:val="0"/>
                <w:numId w:val="67"/>
              </w:numPr>
              <w:autoSpaceDE w:val="0"/>
              <w:autoSpaceDN w:val="0"/>
              <w:spacing w:after="0" w:line="240" w:lineRule="auto"/>
              <w:ind w:right="85"/>
              <w:rPr>
                <w:sz w:val="20"/>
                <w:szCs w:val="20"/>
              </w:rPr>
            </w:pPr>
            <w:r w:rsidRPr="363CA695">
              <w:rPr>
                <w:sz w:val="20"/>
                <w:szCs w:val="20"/>
              </w:rPr>
              <w:t>Conducts day-to-day management of office</w:t>
            </w:r>
            <w:r w:rsidR="001F08D4" w:rsidRPr="363CA695">
              <w:rPr>
                <w:sz w:val="20"/>
                <w:szCs w:val="20"/>
              </w:rPr>
              <w:t>/unit</w:t>
            </w:r>
            <w:r w:rsidRPr="363CA695">
              <w:rPr>
                <w:sz w:val="20"/>
                <w:szCs w:val="20"/>
              </w:rPr>
              <w:t xml:space="preserve"> assets, </w:t>
            </w:r>
            <w:proofErr w:type="gramStart"/>
            <w:r w:rsidRPr="363CA695">
              <w:rPr>
                <w:sz w:val="20"/>
                <w:szCs w:val="20"/>
              </w:rPr>
              <w:t>including:</w:t>
            </w:r>
            <w:proofErr w:type="gramEnd"/>
            <w:r w:rsidRPr="363CA695">
              <w:rPr>
                <w:sz w:val="20"/>
                <w:szCs w:val="20"/>
              </w:rPr>
              <w:t xml:space="preserve"> ensuring (</w:t>
            </w:r>
            <w:proofErr w:type="spellStart"/>
            <w:r w:rsidRPr="363CA695">
              <w:rPr>
                <w:sz w:val="20"/>
                <w:szCs w:val="20"/>
              </w:rPr>
              <w:t>i</w:t>
            </w:r>
            <w:proofErr w:type="spellEnd"/>
            <w:r w:rsidRPr="363CA695">
              <w:rPr>
                <w:sz w:val="20"/>
                <w:szCs w:val="20"/>
              </w:rPr>
              <w:t>) asset acquisitions are properly identified and recorded; (ii) assets are physically safeguarded, and their movements are controlled and monitored; and (iii) asset transactions are promptly reported to the BMS/GSSC for processing.</w:t>
            </w:r>
          </w:p>
        </w:tc>
      </w:tr>
      <w:tr w:rsidR="007B1BE3" w:rsidRPr="006114FD" w14:paraId="7D96296F" w14:textId="77777777" w:rsidTr="363CA695">
        <w:trPr>
          <w:trHeight w:val="629"/>
        </w:trPr>
        <w:tc>
          <w:tcPr>
            <w:tcW w:w="9810" w:type="dxa"/>
          </w:tcPr>
          <w:p w14:paraId="5F027D84" w14:textId="7882D1E5" w:rsidR="008E2319" w:rsidRPr="006114FD" w:rsidRDefault="008E2319">
            <w:pPr>
              <w:pStyle w:val="ListParagraph"/>
              <w:widowControl w:val="0"/>
              <w:numPr>
                <w:ilvl w:val="0"/>
                <w:numId w:val="67"/>
              </w:numPr>
              <w:autoSpaceDE w:val="0"/>
              <w:autoSpaceDN w:val="0"/>
              <w:spacing w:after="0" w:line="240" w:lineRule="auto"/>
              <w:ind w:right="85"/>
              <w:contextualSpacing w:val="0"/>
              <w:rPr>
                <w:sz w:val="20"/>
                <w:szCs w:val="20"/>
              </w:rPr>
            </w:pPr>
            <w:r w:rsidRPr="006114FD">
              <w:rPr>
                <w:sz w:val="20"/>
                <w:szCs w:val="20"/>
              </w:rPr>
              <w:t>For HQ offices</w:t>
            </w:r>
            <w:r w:rsidR="001F08D4">
              <w:rPr>
                <w:sz w:val="20"/>
                <w:szCs w:val="20"/>
              </w:rPr>
              <w:t>/units</w:t>
            </w:r>
            <w:r w:rsidRPr="006114FD">
              <w:rPr>
                <w:sz w:val="20"/>
                <w:szCs w:val="20"/>
              </w:rPr>
              <w:t xml:space="preserve">, Asset Focal Points must also inform BMS/General Operations of receipt of assets to ensure that they are tagged and scanned into Quantum against the relevant PO. This action is vital for the mid-year and year-end physical verifications and reconciliation of HQ assets. </w:t>
            </w:r>
          </w:p>
        </w:tc>
      </w:tr>
      <w:tr w:rsidR="00147C55" w:rsidRPr="006114FD" w14:paraId="698F129D" w14:textId="77777777" w:rsidTr="363CA695">
        <w:trPr>
          <w:trHeight w:val="476"/>
        </w:trPr>
        <w:tc>
          <w:tcPr>
            <w:tcW w:w="9810" w:type="dxa"/>
            <w:shd w:val="clear" w:color="auto" w:fill="D9D9D9" w:themeFill="background1" w:themeFillShade="D9"/>
          </w:tcPr>
          <w:p w14:paraId="04C08A87" w14:textId="77777777" w:rsidR="008E2319" w:rsidRPr="006114FD" w:rsidRDefault="008E2319" w:rsidP="00E116D4">
            <w:pPr>
              <w:spacing w:after="0" w:line="240" w:lineRule="auto"/>
              <w:ind w:left="85" w:right="85"/>
              <w:rPr>
                <w:sz w:val="20"/>
                <w:szCs w:val="20"/>
              </w:rPr>
            </w:pPr>
            <w:r w:rsidRPr="006114FD">
              <w:rPr>
                <w:b/>
                <w:bCs/>
                <w:sz w:val="20"/>
                <w:szCs w:val="20"/>
              </w:rPr>
              <w:t>Required segregation of duties:</w:t>
            </w:r>
            <w:r w:rsidRPr="006114FD">
              <w:rPr>
                <w:sz w:val="20"/>
                <w:szCs w:val="20"/>
              </w:rPr>
              <w:t xml:space="preserve"> the Asset Focal Point must not be the Asset Physical Verification Coordinator and must not be part of the asset physical verification team.</w:t>
            </w:r>
          </w:p>
        </w:tc>
      </w:tr>
      <w:tr w:rsidR="00147C55" w:rsidRPr="006114FD" w14:paraId="52494B3D" w14:textId="77777777" w:rsidTr="363CA695">
        <w:trPr>
          <w:trHeight w:val="386"/>
        </w:trPr>
        <w:tc>
          <w:tcPr>
            <w:tcW w:w="9810" w:type="dxa"/>
            <w:shd w:val="clear" w:color="auto" w:fill="BFBFBF" w:themeFill="background1" w:themeFillShade="BF"/>
          </w:tcPr>
          <w:p w14:paraId="30CA0C5E" w14:textId="750045FA" w:rsidR="008E2319" w:rsidRPr="006114FD" w:rsidRDefault="008E2319" w:rsidP="00E116D4">
            <w:pPr>
              <w:spacing w:after="0" w:line="240" w:lineRule="auto"/>
              <w:ind w:left="85" w:right="85"/>
              <w:rPr>
                <w:sz w:val="20"/>
                <w:szCs w:val="20"/>
              </w:rPr>
            </w:pPr>
            <w:r w:rsidRPr="006114FD">
              <w:rPr>
                <w:b/>
                <w:bCs/>
                <w:sz w:val="20"/>
                <w:szCs w:val="20"/>
              </w:rPr>
              <w:lastRenderedPageBreak/>
              <w:t xml:space="preserve">Required technical knowledge: </w:t>
            </w:r>
            <w:r w:rsidRPr="006114FD">
              <w:rPr>
                <w:sz w:val="20"/>
                <w:szCs w:val="20"/>
              </w:rPr>
              <w:t>the Asset Focal Point must have</w:t>
            </w:r>
            <w:r w:rsidRPr="006114FD">
              <w:rPr>
                <w:b/>
                <w:bCs/>
                <w:sz w:val="20"/>
                <w:szCs w:val="20"/>
              </w:rPr>
              <w:t xml:space="preserve"> </w:t>
            </w:r>
            <w:r w:rsidRPr="006114FD">
              <w:rPr>
                <w:sz w:val="20"/>
                <w:szCs w:val="20"/>
              </w:rPr>
              <w:t xml:space="preserve">knowledge of the Quantum </w:t>
            </w:r>
            <w:r w:rsidR="0014283B">
              <w:rPr>
                <w:sz w:val="20"/>
                <w:szCs w:val="20"/>
              </w:rPr>
              <w:t>Fixed A</w:t>
            </w:r>
            <w:r w:rsidRPr="006114FD">
              <w:rPr>
                <w:sz w:val="20"/>
                <w:szCs w:val="20"/>
              </w:rPr>
              <w:t>sset</w:t>
            </w:r>
            <w:r w:rsidR="0014283B">
              <w:rPr>
                <w:sz w:val="20"/>
                <w:szCs w:val="20"/>
              </w:rPr>
              <w:t>s</w:t>
            </w:r>
            <w:r w:rsidRPr="006114FD">
              <w:rPr>
                <w:sz w:val="20"/>
                <w:szCs w:val="20"/>
              </w:rPr>
              <w:t xml:space="preserve"> module, the BMS/GSSC service request submission platforms, and internal control procedures.</w:t>
            </w:r>
          </w:p>
        </w:tc>
      </w:tr>
    </w:tbl>
    <w:p w14:paraId="60D83BE0" w14:textId="77777777" w:rsidR="008E2319" w:rsidRPr="008E2319" w:rsidRDefault="008E2319" w:rsidP="008E2319">
      <w:pPr>
        <w:rPr>
          <w:sz w:val="8"/>
          <w:szCs w:val="8"/>
        </w:rPr>
      </w:pPr>
    </w:p>
    <w:p w14:paraId="11853D84" w14:textId="69341388" w:rsidR="008E2319" w:rsidRPr="00561802" w:rsidRDefault="008E2319">
      <w:pPr>
        <w:pStyle w:val="Heading2"/>
        <w:numPr>
          <w:ilvl w:val="1"/>
          <w:numId w:val="92"/>
        </w:numPr>
        <w:spacing w:after="240"/>
        <w:ind w:left="360"/>
      </w:pPr>
      <w:bookmarkStart w:id="61" w:name="7.3_Fixed_Asset_Physical_Verification_Co"/>
      <w:bookmarkStart w:id="62" w:name="_Toc134134770"/>
      <w:bookmarkStart w:id="63" w:name="_Toc210052771"/>
      <w:bookmarkEnd w:id="61"/>
      <w:r w:rsidRPr="00561802">
        <w:t>Fixed Asset Physical Verification Coordinator</w:t>
      </w:r>
      <w:bookmarkEnd w:id="62"/>
      <w:bookmarkEnd w:id="63"/>
    </w:p>
    <w:p w14:paraId="6DFC7D29" w14:textId="2BA17F10" w:rsidR="008E2319" w:rsidRPr="00561802" w:rsidRDefault="008E2319" w:rsidP="0007005B">
      <w:pPr>
        <w:spacing w:line="240" w:lineRule="auto"/>
      </w:pPr>
      <w:r w:rsidRPr="00AD810D">
        <w:t>The Fixed Asset Physical Verification Coordinator role refers to the individual designated by the Head of Office</w:t>
      </w:r>
      <w:r w:rsidR="001F08D4" w:rsidRPr="00AD810D">
        <w:t>/Unit</w:t>
      </w:r>
      <w:r w:rsidRPr="00AD810D">
        <w:t xml:space="preserve"> through the Operations Manager (or its HQ equivalent) to coordinate the process of verifying the physical existence of both management and project assets over which UNDP maintains physical control.</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10"/>
      </w:tblGrid>
      <w:tr w:rsidR="00147C55" w:rsidRPr="0030148B" w14:paraId="2097EC6F" w14:textId="77777777" w:rsidTr="363CA695">
        <w:trPr>
          <w:trHeight w:val="89"/>
          <w:tblHeader/>
        </w:trPr>
        <w:tc>
          <w:tcPr>
            <w:tcW w:w="9810" w:type="dxa"/>
            <w:shd w:val="clear" w:color="auto" w:fill="FFF1CC"/>
          </w:tcPr>
          <w:p w14:paraId="4D49BB01" w14:textId="44B3B6C6" w:rsidR="008E2319" w:rsidRPr="00561802" w:rsidRDefault="008E2319" w:rsidP="008E2319">
            <w:pPr>
              <w:spacing w:after="0"/>
              <w:rPr>
                <w:b/>
                <w:bCs/>
                <w:sz w:val="20"/>
                <w:szCs w:val="20"/>
              </w:rPr>
            </w:pPr>
            <w:r w:rsidRPr="00561802">
              <w:rPr>
                <w:b/>
                <w:bCs/>
                <w:sz w:val="20"/>
                <w:szCs w:val="20"/>
              </w:rPr>
              <w:t>Fixed Asset Physical Verification Coordinator: Internal Control Responsibilities performed within each office</w:t>
            </w:r>
            <w:r w:rsidR="001F08D4">
              <w:rPr>
                <w:b/>
                <w:bCs/>
                <w:sz w:val="20"/>
                <w:szCs w:val="20"/>
              </w:rPr>
              <w:t>/unit</w:t>
            </w:r>
          </w:p>
        </w:tc>
      </w:tr>
      <w:tr w:rsidR="007B1BE3" w:rsidRPr="0030148B" w14:paraId="245772C0" w14:textId="77777777" w:rsidTr="363CA695">
        <w:trPr>
          <w:trHeight w:val="1088"/>
        </w:trPr>
        <w:tc>
          <w:tcPr>
            <w:tcW w:w="9810" w:type="dxa"/>
          </w:tcPr>
          <w:p w14:paraId="7F561458" w14:textId="2AC2E288" w:rsidR="008E2319" w:rsidRPr="00556D58" w:rsidRDefault="008E2319">
            <w:pPr>
              <w:pStyle w:val="ListParagraph"/>
              <w:widowControl w:val="0"/>
              <w:numPr>
                <w:ilvl w:val="0"/>
                <w:numId w:val="66"/>
              </w:numPr>
              <w:autoSpaceDE w:val="0"/>
              <w:autoSpaceDN w:val="0"/>
              <w:spacing w:after="0" w:line="240" w:lineRule="auto"/>
              <w:rPr>
                <w:sz w:val="20"/>
                <w:szCs w:val="20"/>
              </w:rPr>
            </w:pPr>
            <w:r w:rsidRPr="363CA695">
              <w:rPr>
                <w:sz w:val="20"/>
                <w:szCs w:val="20"/>
              </w:rPr>
              <w:t>Coordinates</w:t>
            </w:r>
            <w:r w:rsidR="0007005B" w:rsidRPr="363CA695">
              <w:rPr>
                <w:sz w:val="20"/>
                <w:szCs w:val="20"/>
              </w:rPr>
              <w:t xml:space="preserve"> the</w:t>
            </w:r>
            <w:r w:rsidRPr="363CA695">
              <w:rPr>
                <w:sz w:val="20"/>
                <w:szCs w:val="20"/>
              </w:rPr>
              <w:t xml:space="preserve"> process to verify physical existence of management &amp; project assets over which UNDP maintains physical control, including: (</w:t>
            </w:r>
            <w:proofErr w:type="spellStart"/>
            <w:r w:rsidRPr="363CA695">
              <w:rPr>
                <w:sz w:val="20"/>
                <w:szCs w:val="20"/>
              </w:rPr>
              <w:t>i</w:t>
            </w:r>
            <w:proofErr w:type="spellEnd"/>
            <w:r w:rsidRPr="363CA695">
              <w:rPr>
                <w:sz w:val="20"/>
                <w:szCs w:val="20"/>
              </w:rPr>
              <w:t xml:space="preserve">) establishing a team to carry out twice annual physical verification of assets (i.e., at end of June and end of December); and (ii) using the asset list in the Quantum asset register during the verification, reconciling the asset counts with the asset records with the assistance of the Asset Focal Point, with the latter communicating any adjustments or impairments to the BMS/GSSC. </w:t>
            </w:r>
          </w:p>
        </w:tc>
      </w:tr>
      <w:tr w:rsidR="00147C55" w:rsidRPr="0030148B" w14:paraId="48DD637F" w14:textId="77777777" w:rsidTr="363CA695">
        <w:trPr>
          <w:trHeight w:val="288"/>
        </w:trPr>
        <w:tc>
          <w:tcPr>
            <w:tcW w:w="9810" w:type="dxa"/>
            <w:shd w:val="clear" w:color="auto" w:fill="D9D9D9" w:themeFill="background1" w:themeFillShade="D9"/>
          </w:tcPr>
          <w:p w14:paraId="49D9F01D" w14:textId="3D715A63" w:rsidR="008E2319" w:rsidRPr="00561802" w:rsidRDefault="008E2319" w:rsidP="00AD810D">
            <w:pPr>
              <w:spacing w:after="0" w:line="240" w:lineRule="auto"/>
              <w:rPr>
                <w:sz w:val="20"/>
                <w:szCs w:val="20"/>
              </w:rPr>
            </w:pPr>
            <w:r w:rsidRPr="00AD810D">
              <w:rPr>
                <w:b/>
                <w:bCs/>
                <w:sz w:val="20"/>
                <w:szCs w:val="20"/>
              </w:rPr>
              <w:t>Required segregation of duties:</w:t>
            </w:r>
            <w:r w:rsidRPr="00AD810D">
              <w:rPr>
                <w:sz w:val="20"/>
                <w:szCs w:val="20"/>
              </w:rPr>
              <w:t xml:space="preserve"> The Asset Focal Point and the Asset Manager should not be the Fixed Asset Physical Verification Coordinator, nor should they participate in the asset physical verification team.</w:t>
            </w:r>
          </w:p>
        </w:tc>
      </w:tr>
      <w:tr w:rsidR="00147C55" w:rsidRPr="0030148B" w14:paraId="3907DE9C" w14:textId="77777777" w:rsidTr="363CA695">
        <w:trPr>
          <w:trHeight w:val="395"/>
        </w:trPr>
        <w:tc>
          <w:tcPr>
            <w:tcW w:w="9810" w:type="dxa"/>
            <w:shd w:val="clear" w:color="auto" w:fill="BFBFBF" w:themeFill="background1" w:themeFillShade="BF"/>
          </w:tcPr>
          <w:p w14:paraId="703EEC9B" w14:textId="77777777" w:rsidR="008E2319" w:rsidRPr="00561802" w:rsidRDefault="008E2319" w:rsidP="00E116D4">
            <w:pPr>
              <w:spacing w:after="0" w:line="240" w:lineRule="auto"/>
              <w:rPr>
                <w:sz w:val="20"/>
                <w:szCs w:val="20"/>
              </w:rPr>
            </w:pPr>
            <w:r w:rsidRPr="00561802">
              <w:rPr>
                <w:b/>
                <w:bCs/>
                <w:sz w:val="20"/>
                <w:szCs w:val="20"/>
              </w:rPr>
              <w:t>Required technical knowledge:</w:t>
            </w:r>
            <w:r w:rsidRPr="00561802">
              <w:rPr>
                <w:sz w:val="20"/>
                <w:szCs w:val="20"/>
              </w:rPr>
              <w:t xml:space="preserve"> The Fixed Asset Physical Verification Coordinator should have some finance or accounting knowledge.</w:t>
            </w:r>
          </w:p>
        </w:tc>
      </w:tr>
    </w:tbl>
    <w:p w14:paraId="7DF3DA83" w14:textId="77777777" w:rsidR="008E2319" w:rsidRPr="008E2319" w:rsidRDefault="008E2319" w:rsidP="008E2319">
      <w:pPr>
        <w:rPr>
          <w:sz w:val="8"/>
          <w:szCs w:val="8"/>
        </w:rPr>
      </w:pPr>
    </w:p>
    <w:p w14:paraId="61CC73A0" w14:textId="7F1E13B1" w:rsidR="008E2319" w:rsidRPr="00561802" w:rsidRDefault="008E2319">
      <w:pPr>
        <w:pStyle w:val="Heading2"/>
        <w:numPr>
          <w:ilvl w:val="1"/>
          <w:numId w:val="92"/>
        </w:numPr>
        <w:spacing w:after="240"/>
        <w:ind w:left="360"/>
      </w:pPr>
      <w:bookmarkStart w:id="64" w:name="7.4_Inventory_Manager"/>
      <w:bookmarkStart w:id="65" w:name="_Toc134134771"/>
      <w:bookmarkStart w:id="66" w:name="_Toc210052772"/>
      <w:bookmarkEnd w:id="64"/>
      <w:r w:rsidRPr="00561802">
        <w:t>Inventory Manager</w:t>
      </w:r>
      <w:bookmarkEnd w:id="65"/>
      <w:bookmarkEnd w:id="66"/>
    </w:p>
    <w:p w14:paraId="77ECD4E8" w14:textId="154911C0" w:rsidR="008E2319" w:rsidRPr="00561802" w:rsidRDefault="008E2319" w:rsidP="008E2319">
      <w:pPr>
        <w:spacing w:line="240" w:lineRule="auto"/>
        <w:rPr>
          <w:color w:val="ED7D31" w:themeColor="accent2"/>
        </w:rPr>
      </w:pPr>
      <w:r w:rsidRPr="00AD810D">
        <w:t xml:space="preserve">The Inventory Manager, </w:t>
      </w:r>
      <w:r w:rsidRPr="00AD810D">
        <w:rPr>
          <w:b/>
          <w:bCs/>
        </w:rPr>
        <w:t>normally held by the Operations Manager (or HQ office</w:t>
      </w:r>
      <w:r w:rsidR="001F08D4" w:rsidRPr="00AD810D">
        <w:rPr>
          <w:b/>
          <w:bCs/>
        </w:rPr>
        <w:t>/unit</w:t>
      </w:r>
      <w:r w:rsidRPr="00AD810D">
        <w:rPr>
          <w:b/>
          <w:bCs/>
        </w:rPr>
        <w:t xml:space="preserve"> equivalent),</w:t>
      </w:r>
      <w:r w:rsidRPr="00AD810D">
        <w:t xml:space="preserve"> is responsible for the overall coordination of periodic inventory physical count, valuation, reporting and certification for financial reporting purposes in accordance with </w:t>
      </w:r>
      <w:hyperlink r:id="rId127">
        <w:r w:rsidRPr="00AD810D">
          <w:rPr>
            <w:rStyle w:val="Hyperlink"/>
          </w:rPr>
          <w:t>POPP Inventory Management</w:t>
        </w:r>
      </w:hyperlink>
      <w:r w:rsidRPr="00AD810D">
        <w:t xml:space="preserve"> and instructions and guidance notes on inventory counts and certifications for period end issued by BMS/OF</w:t>
      </w:r>
      <w:r w:rsidR="00A40A72">
        <w:t>R</w:t>
      </w:r>
      <w:r w:rsidRPr="00AD810D">
        <w:t>M/CFRA</w:t>
      </w:r>
      <w:r w:rsidRPr="00E06F45">
        <w:t>.</w:t>
      </w:r>
      <w:r w:rsidR="000C139A" w:rsidRPr="00E06F45">
        <w:t xml:space="preserve"> There is no IDAM business profile or supplementary role for Inventory Manager as inventory transactions are performed in the ERP by BMS/GSSC based upon approved service requests from offices/units.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37E9CAE1" w14:textId="77777777" w:rsidTr="363CA695">
        <w:trPr>
          <w:trHeight w:val="188"/>
          <w:tblHeader/>
        </w:trPr>
        <w:tc>
          <w:tcPr>
            <w:tcW w:w="9900" w:type="dxa"/>
            <w:shd w:val="clear" w:color="auto" w:fill="FFF1CC"/>
          </w:tcPr>
          <w:p w14:paraId="3DE5E75E" w14:textId="2DBCB9E2" w:rsidR="008E2319" w:rsidRPr="00595CCC" w:rsidRDefault="008E2319" w:rsidP="008E2319">
            <w:pPr>
              <w:spacing w:after="0"/>
              <w:rPr>
                <w:b/>
                <w:bCs/>
                <w:sz w:val="20"/>
                <w:szCs w:val="20"/>
              </w:rPr>
            </w:pPr>
            <w:r w:rsidRPr="00595CCC">
              <w:rPr>
                <w:b/>
                <w:bCs/>
                <w:sz w:val="20"/>
                <w:szCs w:val="20"/>
              </w:rPr>
              <w:t>Inventory Manager: Internal Control</w:t>
            </w:r>
            <w:r>
              <w:rPr>
                <w:b/>
                <w:bCs/>
                <w:sz w:val="20"/>
                <w:szCs w:val="20"/>
              </w:rPr>
              <w:t xml:space="preserve"> </w:t>
            </w:r>
            <w:r w:rsidRPr="00595CCC">
              <w:rPr>
                <w:b/>
                <w:bCs/>
                <w:sz w:val="20"/>
                <w:szCs w:val="20"/>
              </w:rPr>
              <w:t>Responsibilities performed within each office</w:t>
            </w:r>
            <w:r w:rsidR="001F08D4">
              <w:rPr>
                <w:b/>
                <w:bCs/>
                <w:sz w:val="20"/>
                <w:szCs w:val="20"/>
              </w:rPr>
              <w:t>/unit</w:t>
            </w:r>
          </w:p>
        </w:tc>
      </w:tr>
      <w:tr w:rsidR="007B1BE3" w:rsidRPr="00595CCC" w14:paraId="19BE5807" w14:textId="77777777" w:rsidTr="00DE1BCC">
        <w:trPr>
          <w:trHeight w:val="260"/>
        </w:trPr>
        <w:tc>
          <w:tcPr>
            <w:tcW w:w="9900" w:type="dxa"/>
          </w:tcPr>
          <w:p w14:paraId="1F18E964" w14:textId="7B2A493E" w:rsidR="008E2319" w:rsidRPr="00595CCC" w:rsidRDefault="008E2319">
            <w:pPr>
              <w:pStyle w:val="ListParagraph"/>
              <w:widowControl w:val="0"/>
              <w:numPr>
                <w:ilvl w:val="0"/>
                <w:numId w:val="65"/>
              </w:numPr>
              <w:autoSpaceDE w:val="0"/>
              <w:autoSpaceDN w:val="0"/>
              <w:spacing w:after="0" w:line="240" w:lineRule="auto"/>
              <w:ind w:right="20"/>
              <w:rPr>
                <w:sz w:val="20"/>
                <w:szCs w:val="20"/>
              </w:rPr>
            </w:pPr>
            <w:r w:rsidRPr="363CA695">
              <w:rPr>
                <w:sz w:val="20"/>
                <w:szCs w:val="20"/>
              </w:rPr>
              <w:t>Performs overall coordination of periodic inventory physical count, valuation, reporting &amp; certification for financial reporting purposes, and approval of inventory balance adjustments, including: (</w:t>
            </w:r>
            <w:proofErr w:type="spellStart"/>
            <w:r w:rsidRPr="363CA695">
              <w:rPr>
                <w:sz w:val="20"/>
                <w:szCs w:val="20"/>
              </w:rPr>
              <w:t>i</w:t>
            </w:r>
            <w:proofErr w:type="spellEnd"/>
            <w:r w:rsidRPr="363CA695">
              <w:rPr>
                <w:sz w:val="20"/>
                <w:szCs w:val="20"/>
              </w:rPr>
              <w:t xml:space="preserve">) review </w:t>
            </w:r>
            <w:r w:rsidR="008064E9" w:rsidRPr="363CA695">
              <w:rPr>
                <w:sz w:val="20"/>
                <w:szCs w:val="20"/>
              </w:rPr>
              <w:t>&amp;</w:t>
            </w:r>
            <w:r w:rsidRPr="363CA695">
              <w:rPr>
                <w:sz w:val="20"/>
                <w:szCs w:val="20"/>
              </w:rPr>
              <w:t xml:space="preserve"> submission of</w:t>
            </w:r>
            <w:r w:rsidR="008064E9" w:rsidRPr="363CA695">
              <w:rPr>
                <w:sz w:val="20"/>
                <w:szCs w:val="20"/>
              </w:rPr>
              <w:t xml:space="preserve"> </w:t>
            </w:r>
            <w:r w:rsidRPr="363CA695">
              <w:rPr>
                <w:sz w:val="20"/>
                <w:szCs w:val="20"/>
              </w:rPr>
              <w:t xml:space="preserve">inventory control reports </w:t>
            </w:r>
            <w:r w:rsidR="008064E9" w:rsidRPr="363CA695">
              <w:rPr>
                <w:sz w:val="20"/>
                <w:szCs w:val="20"/>
              </w:rPr>
              <w:t>&amp;</w:t>
            </w:r>
            <w:r w:rsidRPr="363CA695">
              <w:rPr>
                <w:sz w:val="20"/>
                <w:szCs w:val="20"/>
              </w:rPr>
              <w:t xml:space="preserve"> inventory certifications through Head of Office</w:t>
            </w:r>
            <w:r w:rsidR="001F08D4" w:rsidRPr="363CA695">
              <w:rPr>
                <w:sz w:val="20"/>
                <w:szCs w:val="20"/>
              </w:rPr>
              <w:t>/Unit</w:t>
            </w:r>
            <w:r w:rsidRPr="363CA695">
              <w:rPr>
                <w:sz w:val="20"/>
                <w:szCs w:val="20"/>
              </w:rPr>
              <w:t xml:space="preserve"> to BMS/OF</w:t>
            </w:r>
            <w:r w:rsidR="00A40A72">
              <w:rPr>
                <w:sz w:val="20"/>
                <w:szCs w:val="20"/>
              </w:rPr>
              <w:t>R</w:t>
            </w:r>
            <w:r w:rsidRPr="363CA695">
              <w:rPr>
                <w:sz w:val="20"/>
                <w:szCs w:val="20"/>
              </w:rPr>
              <w:t>M/CFRA; (ii) ensuring inventory valuations are correctly calculated; and (iii) reviewing inventory reports prior to submitting to BMS/GSSC and approving all adjustments to balances of inventory records.</w:t>
            </w:r>
          </w:p>
        </w:tc>
      </w:tr>
    </w:tbl>
    <w:p w14:paraId="3643CEF3" w14:textId="77777777" w:rsidR="008E2319" w:rsidRPr="008E2319" w:rsidRDefault="008E2319" w:rsidP="008E2319">
      <w:pPr>
        <w:rPr>
          <w:sz w:val="8"/>
          <w:szCs w:val="8"/>
        </w:rPr>
      </w:pPr>
    </w:p>
    <w:p w14:paraId="626701EA" w14:textId="2DB63194" w:rsidR="008E2319" w:rsidRPr="00595CCC" w:rsidRDefault="008E2319">
      <w:pPr>
        <w:pStyle w:val="Heading2"/>
        <w:numPr>
          <w:ilvl w:val="1"/>
          <w:numId w:val="92"/>
        </w:numPr>
        <w:spacing w:after="240"/>
        <w:ind w:left="360"/>
      </w:pPr>
      <w:bookmarkStart w:id="67" w:name="_Toc134042995"/>
      <w:bookmarkStart w:id="68" w:name="_Toc134042996"/>
      <w:bookmarkStart w:id="69" w:name="7.5_Inventory_Focal_Point"/>
      <w:bookmarkStart w:id="70" w:name="_Toc134134772"/>
      <w:bookmarkStart w:id="71" w:name="_Toc210052773"/>
      <w:bookmarkEnd w:id="67"/>
      <w:bookmarkEnd w:id="68"/>
      <w:bookmarkEnd w:id="69"/>
      <w:r w:rsidRPr="00595CCC">
        <w:t>Inventory Focal Point</w:t>
      </w:r>
      <w:bookmarkEnd w:id="70"/>
      <w:bookmarkEnd w:id="71"/>
    </w:p>
    <w:p w14:paraId="269A99BF" w14:textId="14C7C44E" w:rsidR="008E2319" w:rsidRPr="00595CCC" w:rsidRDefault="008E2319" w:rsidP="004E3327">
      <w:pPr>
        <w:spacing w:line="240" w:lineRule="auto"/>
      </w:pPr>
      <w:r w:rsidRPr="363CA695">
        <w:t xml:space="preserve">The Inventory Focal Point role refers to the individual entrusted with the day-to-day management of inventory items under the control of UNDP and held at various storage locations of UNDP. For practical reasons, HQ units or COs that store inventory items at multiple locations may designate more than one Inventory Focal Point. </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335AC000" w14:textId="77777777" w:rsidTr="363CA695">
        <w:trPr>
          <w:trHeight w:val="269"/>
          <w:tblHeader/>
        </w:trPr>
        <w:tc>
          <w:tcPr>
            <w:tcW w:w="9900" w:type="dxa"/>
            <w:shd w:val="clear" w:color="auto" w:fill="FFF1CC"/>
          </w:tcPr>
          <w:p w14:paraId="37D2F701" w14:textId="52303A9C" w:rsidR="008E2319" w:rsidRPr="00595CCC" w:rsidRDefault="008E2319" w:rsidP="008E2319">
            <w:pPr>
              <w:spacing w:after="0"/>
              <w:rPr>
                <w:b/>
                <w:bCs/>
                <w:sz w:val="20"/>
                <w:szCs w:val="20"/>
              </w:rPr>
            </w:pPr>
            <w:r w:rsidRPr="00595CCC">
              <w:rPr>
                <w:b/>
                <w:bCs/>
                <w:sz w:val="20"/>
                <w:szCs w:val="20"/>
              </w:rPr>
              <w:t>Inventory Focal Point: Internal Control Responsibilities performed within each office</w:t>
            </w:r>
            <w:r w:rsidR="001F08D4">
              <w:rPr>
                <w:b/>
                <w:bCs/>
                <w:sz w:val="20"/>
                <w:szCs w:val="20"/>
              </w:rPr>
              <w:t>/unit</w:t>
            </w:r>
          </w:p>
        </w:tc>
      </w:tr>
      <w:tr w:rsidR="007B1BE3" w:rsidRPr="0030148B" w14:paraId="65AD65B4" w14:textId="77777777" w:rsidTr="363CA695">
        <w:trPr>
          <w:trHeight w:val="98"/>
        </w:trPr>
        <w:tc>
          <w:tcPr>
            <w:tcW w:w="9900" w:type="dxa"/>
          </w:tcPr>
          <w:p w14:paraId="3B848349" w14:textId="00E53821"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t>Performs day-to-day management of inventory items under UNDP control and held at UNDP storage locations.</w:t>
            </w:r>
          </w:p>
        </w:tc>
      </w:tr>
      <w:tr w:rsidR="007B1BE3" w:rsidRPr="0030148B" w14:paraId="176EE7C5" w14:textId="77777777" w:rsidTr="363CA695">
        <w:trPr>
          <w:trHeight w:val="413"/>
        </w:trPr>
        <w:tc>
          <w:tcPr>
            <w:tcW w:w="9900" w:type="dxa"/>
          </w:tcPr>
          <w:p w14:paraId="48239098" w14:textId="30ADC311" w:rsidR="008E2319" w:rsidRPr="00595CCC" w:rsidRDefault="008E2319">
            <w:pPr>
              <w:pStyle w:val="ListParagraph"/>
              <w:widowControl w:val="0"/>
              <w:numPr>
                <w:ilvl w:val="0"/>
                <w:numId w:val="64"/>
              </w:numPr>
              <w:autoSpaceDE w:val="0"/>
              <w:autoSpaceDN w:val="0"/>
              <w:spacing w:after="0" w:line="240" w:lineRule="auto"/>
              <w:rPr>
                <w:sz w:val="20"/>
                <w:szCs w:val="20"/>
              </w:rPr>
            </w:pPr>
            <w:r w:rsidRPr="363CA695">
              <w:rPr>
                <w:sz w:val="20"/>
                <w:szCs w:val="20"/>
              </w:rPr>
              <w:t>Ensures appropriate planning is undertaken, and resources mobilized for carrying out quarterly inventory physical counts.</w:t>
            </w:r>
          </w:p>
        </w:tc>
      </w:tr>
      <w:tr w:rsidR="007B1BE3" w:rsidRPr="0030148B" w14:paraId="5EFD9A35" w14:textId="77777777" w:rsidTr="363CA695">
        <w:trPr>
          <w:trHeight w:val="503"/>
        </w:trPr>
        <w:tc>
          <w:tcPr>
            <w:tcW w:w="9900" w:type="dxa"/>
          </w:tcPr>
          <w:p w14:paraId="14BE2E29" w14:textId="77777777"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t xml:space="preserve">Ensures inventory at storage locations owned and/or controlled by UNDP are properly accounted for according to </w:t>
            </w:r>
            <w:hyperlink r:id="rId128" w:history="1">
              <w:r w:rsidRPr="00595CCC">
                <w:rPr>
                  <w:rStyle w:val="Hyperlink"/>
                  <w:sz w:val="20"/>
                  <w:szCs w:val="20"/>
                </w:rPr>
                <w:t>POPP Inventory Management</w:t>
              </w:r>
            </w:hyperlink>
            <w:r w:rsidRPr="00595CCC">
              <w:rPr>
                <w:sz w:val="20"/>
                <w:szCs w:val="20"/>
              </w:rPr>
              <w:t>.</w:t>
            </w:r>
          </w:p>
        </w:tc>
      </w:tr>
      <w:tr w:rsidR="007B1BE3" w:rsidRPr="0030148B" w14:paraId="405BD330" w14:textId="77777777" w:rsidTr="363CA695">
        <w:trPr>
          <w:trHeight w:val="395"/>
        </w:trPr>
        <w:tc>
          <w:tcPr>
            <w:tcW w:w="9900" w:type="dxa"/>
          </w:tcPr>
          <w:p w14:paraId="4211CFC0" w14:textId="77777777" w:rsidR="008E2319" w:rsidRPr="00595CCC" w:rsidRDefault="008E2319">
            <w:pPr>
              <w:pStyle w:val="ListParagraph"/>
              <w:widowControl w:val="0"/>
              <w:numPr>
                <w:ilvl w:val="0"/>
                <w:numId w:val="64"/>
              </w:numPr>
              <w:autoSpaceDE w:val="0"/>
              <w:autoSpaceDN w:val="0"/>
              <w:spacing w:after="0" w:line="240" w:lineRule="auto"/>
              <w:contextualSpacing w:val="0"/>
              <w:rPr>
                <w:sz w:val="20"/>
                <w:szCs w:val="20"/>
              </w:rPr>
            </w:pPr>
            <w:r w:rsidRPr="00595CCC">
              <w:rPr>
                <w:sz w:val="20"/>
                <w:szCs w:val="20"/>
              </w:rPr>
              <w:lastRenderedPageBreak/>
              <w:t xml:space="preserve">In cases where inventory items are held at third party warehouses, </w:t>
            </w:r>
            <w:proofErr w:type="gramStart"/>
            <w:r w:rsidRPr="00595CCC">
              <w:rPr>
                <w:sz w:val="20"/>
                <w:szCs w:val="20"/>
              </w:rPr>
              <w:t>responsible</w:t>
            </w:r>
            <w:proofErr w:type="gramEnd"/>
            <w:r w:rsidRPr="00595CCC">
              <w:rPr>
                <w:sz w:val="20"/>
                <w:szCs w:val="20"/>
              </w:rPr>
              <w:t xml:space="preserve"> for coordinating with the third party to ensure UNDP’s policies and control procedures are applied on these inventory items.</w:t>
            </w:r>
          </w:p>
        </w:tc>
      </w:tr>
      <w:tr w:rsidR="00147C55" w:rsidRPr="0030148B" w14:paraId="2C42AF8F" w14:textId="77777777" w:rsidTr="363CA695">
        <w:trPr>
          <w:trHeight w:val="125"/>
        </w:trPr>
        <w:tc>
          <w:tcPr>
            <w:tcW w:w="9900" w:type="dxa"/>
            <w:shd w:val="clear" w:color="auto" w:fill="D9D9D9" w:themeFill="background1" w:themeFillShade="D9"/>
          </w:tcPr>
          <w:p w14:paraId="1DC1BB7F" w14:textId="0B583155" w:rsidR="008E2319" w:rsidRPr="00B32408" w:rsidRDefault="008E2319" w:rsidP="00E116D4">
            <w:pPr>
              <w:spacing w:after="0" w:line="240" w:lineRule="auto"/>
              <w:rPr>
                <w:sz w:val="20"/>
                <w:szCs w:val="20"/>
              </w:rPr>
            </w:pPr>
            <w:r w:rsidRPr="00B32408">
              <w:rPr>
                <w:b/>
                <w:bCs/>
                <w:sz w:val="20"/>
                <w:szCs w:val="20"/>
              </w:rPr>
              <w:t>Required segregation of duties:</w:t>
            </w:r>
            <w:r w:rsidRPr="00B32408">
              <w:rPr>
                <w:sz w:val="20"/>
                <w:szCs w:val="20"/>
              </w:rPr>
              <w:t xml:space="preserve"> </w:t>
            </w:r>
            <w:r w:rsidR="0007005B">
              <w:rPr>
                <w:sz w:val="20"/>
                <w:szCs w:val="20"/>
              </w:rPr>
              <w:t>T</w:t>
            </w:r>
            <w:r w:rsidRPr="00B32408">
              <w:rPr>
                <w:sz w:val="20"/>
                <w:szCs w:val="20"/>
              </w:rPr>
              <w:t>he Inventory Focal Point should not be the Inventory Physical Count Coordinator.</w:t>
            </w:r>
          </w:p>
        </w:tc>
      </w:tr>
      <w:tr w:rsidR="00147C55" w:rsidRPr="0030148B" w14:paraId="186CB7EE" w14:textId="77777777" w:rsidTr="363CA695">
        <w:trPr>
          <w:trHeight w:val="368"/>
        </w:trPr>
        <w:tc>
          <w:tcPr>
            <w:tcW w:w="9900" w:type="dxa"/>
            <w:shd w:val="clear" w:color="auto" w:fill="BFBFBF" w:themeFill="background1" w:themeFillShade="BF"/>
          </w:tcPr>
          <w:p w14:paraId="1555D22D" w14:textId="77777777" w:rsidR="008E2319" w:rsidRPr="00B32408" w:rsidRDefault="008E2319" w:rsidP="00E116D4">
            <w:pPr>
              <w:spacing w:after="0" w:line="240" w:lineRule="auto"/>
              <w:rPr>
                <w:b/>
                <w:bCs/>
                <w:sz w:val="20"/>
                <w:szCs w:val="20"/>
              </w:rPr>
            </w:pPr>
            <w:r w:rsidRPr="00B32408">
              <w:rPr>
                <w:b/>
                <w:bCs/>
                <w:sz w:val="20"/>
                <w:szCs w:val="20"/>
              </w:rPr>
              <w:t xml:space="preserve">Required technical knowledge: </w:t>
            </w:r>
            <w:r w:rsidRPr="00B32408">
              <w:rPr>
                <w:sz w:val="20"/>
                <w:szCs w:val="20"/>
              </w:rPr>
              <w:t>The Inventory Focal Point must be an individual with knowledge of Quantum, internal control procedures, and accounting.</w:t>
            </w:r>
          </w:p>
        </w:tc>
      </w:tr>
    </w:tbl>
    <w:p w14:paraId="1DD8E60D" w14:textId="77777777" w:rsidR="008E2319" w:rsidRPr="008064E9" w:rsidRDefault="008E2319" w:rsidP="008E2319">
      <w:pPr>
        <w:rPr>
          <w:sz w:val="8"/>
          <w:szCs w:val="8"/>
        </w:rPr>
      </w:pPr>
    </w:p>
    <w:p w14:paraId="24FE4A3B" w14:textId="7722CDA2" w:rsidR="008E2319" w:rsidRPr="00595CCC" w:rsidRDefault="008E2319">
      <w:pPr>
        <w:pStyle w:val="Heading2"/>
        <w:numPr>
          <w:ilvl w:val="1"/>
          <w:numId w:val="92"/>
        </w:numPr>
        <w:spacing w:after="240"/>
        <w:ind w:left="360"/>
      </w:pPr>
      <w:bookmarkStart w:id="72" w:name="_Toc134134773"/>
      <w:bookmarkStart w:id="73" w:name="_Toc210052774"/>
      <w:r w:rsidRPr="00595CCC">
        <w:t>Inventory Physical Count Coordinator</w:t>
      </w:r>
      <w:bookmarkEnd w:id="72"/>
      <w:bookmarkEnd w:id="73"/>
    </w:p>
    <w:p w14:paraId="23DFCBC6" w14:textId="46ECF810" w:rsidR="008E2319" w:rsidRPr="00595CCC" w:rsidRDefault="008E2319" w:rsidP="008E2319">
      <w:pPr>
        <w:spacing w:line="240" w:lineRule="auto"/>
      </w:pPr>
      <w:r w:rsidRPr="363CA695">
        <w:t>The Inventory Physical Count Coordinator is the individual designated by the Head of Office</w:t>
      </w:r>
      <w:r w:rsidR="001F08D4" w:rsidRPr="363CA695">
        <w:t>/Unit</w:t>
      </w:r>
      <w:r w:rsidRPr="363CA695">
        <w:t xml:space="preserve"> through the Operations Manager (or the HQ equivalent) to coordinate the process of physically counting all qualified inventory items that UNDP controls.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95CCC" w14:paraId="5E2292B6" w14:textId="77777777" w:rsidTr="363CA695">
        <w:trPr>
          <w:trHeight w:val="314"/>
          <w:tblHeader/>
        </w:trPr>
        <w:tc>
          <w:tcPr>
            <w:tcW w:w="9900" w:type="dxa"/>
            <w:shd w:val="clear" w:color="auto" w:fill="FFF1CC"/>
          </w:tcPr>
          <w:p w14:paraId="1F74C7D2" w14:textId="055F262B" w:rsidR="008E2319" w:rsidRPr="00D0300D" w:rsidRDefault="008E2319" w:rsidP="00480BE9">
            <w:pPr>
              <w:spacing w:after="0" w:line="240" w:lineRule="auto"/>
              <w:rPr>
                <w:b/>
                <w:bCs/>
                <w:sz w:val="20"/>
                <w:szCs w:val="20"/>
              </w:rPr>
            </w:pPr>
            <w:r w:rsidRPr="00D0300D">
              <w:rPr>
                <w:b/>
                <w:bCs/>
                <w:sz w:val="20"/>
                <w:szCs w:val="20"/>
              </w:rPr>
              <w:t>Inventory Physical Count Coordinator: Internal Control Responsibilities performed within each office</w:t>
            </w:r>
            <w:r w:rsidR="001F08D4">
              <w:rPr>
                <w:b/>
                <w:bCs/>
                <w:sz w:val="20"/>
                <w:szCs w:val="20"/>
              </w:rPr>
              <w:t>/unit</w:t>
            </w:r>
          </w:p>
        </w:tc>
      </w:tr>
      <w:tr w:rsidR="007B1BE3" w:rsidRPr="00595CCC" w14:paraId="4D66C9FB" w14:textId="77777777" w:rsidTr="363CA695">
        <w:trPr>
          <w:trHeight w:val="539"/>
        </w:trPr>
        <w:tc>
          <w:tcPr>
            <w:tcW w:w="9900" w:type="dxa"/>
          </w:tcPr>
          <w:p w14:paraId="6F633EA2" w14:textId="548AFBAC" w:rsidR="008E2319" w:rsidRPr="00D0300D" w:rsidRDefault="008E2319">
            <w:pPr>
              <w:pStyle w:val="ListParagraph"/>
              <w:widowControl w:val="0"/>
              <w:numPr>
                <w:ilvl w:val="0"/>
                <w:numId w:val="63"/>
              </w:numPr>
              <w:autoSpaceDE w:val="0"/>
              <w:autoSpaceDN w:val="0"/>
              <w:spacing w:after="0" w:line="240" w:lineRule="auto"/>
              <w:rPr>
                <w:sz w:val="20"/>
                <w:szCs w:val="20"/>
              </w:rPr>
            </w:pPr>
            <w:r w:rsidRPr="363CA695">
              <w:rPr>
                <w:sz w:val="20"/>
                <w:szCs w:val="20"/>
              </w:rPr>
              <w:t>Coordinates the quarterly process of physical counting of all qualified inventory items that UNDP controls, including establishing a team to conduct the physical count of qualified inventory items on a quarterly basis, using the inventory stock-cards and records available at each UNDP owned and/or controlled storage locations.</w:t>
            </w:r>
          </w:p>
        </w:tc>
      </w:tr>
      <w:tr w:rsidR="00147C55" w:rsidRPr="00595CCC" w14:paraId="1B1FAD18" w14:textId="77777777" w:rsidTr="363CA695">
        <w:trPr>
          <w:trHeight w:val="728"/>
        </w:trPr>
        <w:tc>
          <w:tcPr>
            <w:tcW w:w="9900" w:type="dxa"/>
            <w:shd w:val="clear" w:color="auto" w:fill="D9D9D9" w:themeFill="background1" w:themeFillShade="D9"/>
          </w:tcPr>
          <w:p w14:paraId="7B5F8935" w14:textId="78885487" w:rsidR="008E2319" w:rsidRPr="00D0300D" w:rsidRDefault="008E2319" w:rsidP="363CA695">
            <w:pPr>
              <w:spacing w:after="0" w:line="240" w:lineRule="auto"/>
              <w:rPr>
                <w:sz w:val="20"/>
                <w:szCs w:val="20"/>
              </w:rPr>
            </w:pPr>
            <w:r w:rsidRPr="363CA695">
              <w:rPr>
                <w:b/>
                <w:bCs/>
                <w:sz w:val="20"/>
                <w:szCs w:val="20"/>
              </w:rPr>
              <w:t>Required segregation of duties:</w:t>
            </w:r>
            <w:r w:rsidRPr="363CA695">
              <w:rPr>
                <w:sz w:val="20"/>
                <w:szCs w:val="20"/>
              </w:rPr>
              <w:t xml:space="preserve"> The Inventory Focal Point should not be the Inventory Physical Count Coordinator or be part of the physical count team. Also, the Inventory Physical Count Coordinator should not maintain inventory records or be responsible for the daily safeguarding and accounting of inventory items.</w:t>
            </w:r>
          </w:p>
        </w:tc>
      </w:tr>
    </w:tbl>
    <w:p w14:paraId="62788337" w14:textId="77777777" w:rsidR="00EB724F" w:rsidRPr="007D1A02" w:rsidRDefault="00EB724F" w:rsidP="00EB724F">
      <w:pPr>
        <w:rPr>
          <w:sz w:val="8"/>
          <w:szCs w:val="8"/>
        </w:rPr>
      </w:pPr>
      <w:bookmarkStart w:id="74" w:name="_Toc134134778"/>
    </w:p>
    <w:p w14:paraId="344D648B" w14:textId="67BBD5AD" w:rsidR="00EB724F" w:rsidRDefault="007936B7">
      <w:pPr>
        <w:pStyle w:val="Heading1"/>
        <w:numPr>
          <w:ilvl w:val="0"/>
          <w:numId w:val="92"/>
        </w:numPr>
        <w:spacing w:after="240"/>
      </w:pPr>
      <w:bookmarkStart w:id="75" w:name="_Human_Resources"/>
      <w:bookmarkStart w:id="76" w:name="_Toc210052775"/>
      <w:bookmarkEnd w:id="75"/>
      <w:r w:rsidRPr="00976542">
        <w:t>Human Resource</w:t>
      </w:r>
      <w:r w:rsidR="00EB724F">
        <w:t>s</w:t>
      </w:r>
      <w:bookmarkEnd w:id="76"/>
      <w:r w:rsidRPr="00976542">
        <w:t xml:space="preserve"> </w:t>
      </w:r>
    </w:p>
    <w:p w14:paraId="6E7B166D" w14:textId="6E2E8A77" w:rsidR="00720EB9" w:rsidRPr="00E06F45" w:rsidRDefault="00CB77E1" w:rsidP="00512A0D">
      <w:pPr>
        <w:spacing w:line="240" w:lineRule="auto"/>
      </w:pPr>
      <w:hyperlink r:id="rId129">
        <w:r w:rsidRPr="363CA695">
          <w:rPr>
            <w:rStyle w:val="Hyperlink"/>
          </w:rPr>
          <w:t xml:space="preserve">POPP Human Resources Management </w:t>
        </w:r>
      </w:hyperlink>
      <w:r w:rsidRPr="363CA695">
        <w:t xml:space="preserve">sets out the policies and procedures pertaining to Human Resources. </w:t>
      </w:r>
      <w:r w:rsidR="007A0963" w:rsidRPr="00E06F45">
        <w:t xml:space="preserve">Additionally, a range of Quantum Knowledge Articles can be found in UNall </w:t>
      </w:r>
      <w:hyperlink r:id="rId130">
        <w:r w:rsidR="007A0963" w:rsidRPr="00E06F45">
          <w:rPr>
            <w:rStyle w:val="Hyperlink"/>
            <w:color w:val="4472C4" w:themeColor="accent1"/>
          </w:rPr>
          <w:t>Human Resources</w:t>
        </w:r>
      </w:hyperlink>
      <w:r w:rsidR="007A0963" w:rsidRPr="00E06F45">
        <w:t>.</w:t>
      </w:r>
    </w:p>
    <w:p w14:paraId="00EFFA72" w14:textId="0062EF18" w:rsidR="00CB77E1" w:rsidRPr="00E06F45" w:rsidRDefault="00CB77E1" w:rsidP="00512A0D">
      <w:pPr>
        <w:spacing w:line="240" w:lineRule="auto"/>
      </w:pPr>
      <w:r w:rsidRPr="00E06F45">
        <w:t xml:space="preserve">This section of the Guide provides an overview of the following IDAM HR business profiles that fall under the scope of the ICF: </w:t>
      </w:r>
    </w:p>
    <w:p w14:paraId="4C5249A9" w14:textId="6ECDEF94" w:rsidR="00CB77E1" w:rsidRPr="00E06F45" w:rsidRDefault="00CB77E1">
      <w:pPr>
        <w:pStyle w:val="ListParagraph"/>
        <w:widowControl w:val="0"/>
        <w:numPr>
          <w:ilvl w:val="0"/>
          <w:numId w:val="32"/>
        </w:numPr>
        <w:autoSpaceDE w:val="0"/>
        <w:autoSpaceDN w:val="0"/>
        <w:spacing w:after="0" w:line="240" w:lineRule="auto"/>
      </w:pPr>
      <w:r w:rsidRPr="00E06F45">
        <w:t>HR Administrator (in BMS/GSSC and HQ locations)</w:t>
      </w:r>
    </w:p>
    <w:p w14:paraId="0BE0AC5B" w14:textId="77777777" w:rsidR="00CB77E1" w:rsidRPr="00E06F45" w:rsidRDefault="00CB77E1">
      <w:pPr>
        <w:pStyle w:val="ListParagraph"/>
        <w:widowControl w:val="0"/>
        <w:numPr>
          <w:ilvl w:val="0"/>
          <w:numId w:val="32"/>
        </w:numPr>
        <w:autoSpaceDE w:val="0"/>
        <w:autoSpaceDN w:val="0"/>
        <w:spacing w:after="0" w:line="240" w:lineRule="auto"/>
      </w:pPr>
      <w:r w:rsidRPr="00E06F45">
        <w:t>Global Payroll Administrator (in BMS/GSSC and outposted HQ locations)</w:t>
      </w:r>
    </w:p>
    <w:p w14:paraId="4540D3A9" w14:textId="77777777" w:rsidR="00CB77E1" w:rsidRPr="00E06F45" w:rsidRDefault="00CB77E1">
      <w:pPr>
        <w:pStyle w:val="ListParagraph"/>
        <w:widowControl w:val="0"/>
        <w:numPr>
          <w:ilvl w:val="0"/>
          <w:numId w:val="32"/>
        </w:numPr>
        <w:autoSpaceDE w:val="0"/>
        <w:autoSpaceDN w:val="0"/>
        <w:spacing w:after="0" w:line="240" w:lineRule="auto"/>
      </w:pPr>
      <w:r w:rsidRPr="00E06F45">
        <w:t>Disbursing Officer – Payroll (in BMS/GSSC and outposted HQ locations)</w:t>
      </w:r>
    </w:p>
    <w:p w14:paraId="488033CD" w14:textId="3FFE70F8" w:rsidR="00CB77E1" w:rsidRPr="00E06F45" w:rsidRDefault="00DD1EBD">
      <w:pPr>
        <w:pStyle w:val="ListParagraph"/>
        <w:widowControl w:val="0"/>
        <w:numPr>
          <w:ilvl w:val="0"/>
          <w:numId w:val="32"/>
        </w:numPr>
        <w:autoSpaceDE w:val="0"/>
        <w:autoSpaceDN w:val="0"/>
        <w:spacing w:line="240" w:lineRule="auto"/>
      </w:pPr>
      <w:r>
        <w:t xml:space="preserve">Various </w:t>
      </w:r>
      <w:r w:rsidR="00CB77E1" w:rsidRPr="00E06F45">
        <w:t>Position Administrat</w:t>
      </w:r>
      <w:r>
        <w:t>ion profiles</w:t>
      </w:r>
      <w:r w:rsidR="00CB77E1" w:rsidRPr="00E06F45">
        <w:t xml:space="preserve"> (</w:t>
      </w:r>
      <w:r>
        <w:t>including profiles</w:t>
      </w:r>
      <w:r w:rsidR="00CB77E1" w:rsidRPr="00E06F45">
        <w:t xml:space="preserve"> in offices</w:t>
      </w:r>
      <w:r w:rsidR="00407CD4" w:rsidRPr="00E06F45">
        <w:t>/units</w:t>
      </w:r>
      <w:r w:rsidR="00CB77E1" w:rsidRPr="00E06F45">
        <w:t xml:space="preserve">, </w:t>
      </w:r>
      <w:r>
        <w:t xml:space="preserve">bureaus, </w:t>
      </w:r>
      <w:r w:rsidR="00CB77E1" w:rsidRPr="00E06F45">
        <w:t>BMS/GSSC</w:t>
      </w:r>
      <w:r w:rsidR="00512A0D" w:rsidRPr="00E06F45">
        <w:t>,</w:t>
      </w:r>
      <w:r w:rsidR="00CB77E1" w:rsidRPr="00E06F45">
        <w:t xml:space="preserve"> and outposted HQ locations)</w:t>
      </w:r>
    </w:p>
    <w:p w14:paraId="5C7BFF33" w14:textId="77777777" w:rsidR="00903BED" w:rsidRPr="00E06F45" w:rsidRDefault="00903BED" w:rsidP="00512A0D">
      <w:pPr>
        <w:spacing w:line="240" w:lineRule="auto"/>
      </w:pPr>
      <w:r w:rsidRPr="00E06F45">
        <w:t xml:space="preserve">All other HR business profiles and roles do not fall under the scope of the ICF as they do not involve </w:t>
      </w:r>
      <w:proofErr w:type="gramStart"/>
      <w:r w:rsidRPr="00E06F45">
        <w:t>the commitment</w:t>
      </w:r>
      <w:proofErr w:type="gramEnd"/>
      <w:r w:rsidRPr="00E06F45">
        <w:t xml:space="preserve">, verification, or disbursement of funds. </w:t>
      </w:r>
    </w:p>
    <w:p w14:paraId="742CC676" w14:textId="53ADB6F0" w:rsidR="009D421C" w:rsidRPr="007A1AA4" w:rsidRDefault="0064313F" w:rsidP="00512A0D">
      <w:pPr>
        <w:spacing w:line="240" w:lineRule="auto"/>
        <w:rPr>
          <w:color w:val="ED7D31" w:themeColor="accent2"/>
        </w:rPr>
      </w:pPr>
      <w:r w:rsidRPr="00E06F45">
        <w:t>Th</w:t>
      </w:r>
      <w:r w:rsidR="00903BED" w:rsidRPr="00E06F45">
        <w:t>is section of the</w:t>
      </w:r>
      <w:r w:rsidRPr="00E06F45">
        <w:t xml:space="preserve"> Guide also provides an overview of the functions performed by HR Local Focal Points (in offices/units)</w:t>
      </w:r>
      <w:r w:rsidR="007A1AA4" w:rsidRPr="00E06F45">
        <w:t xml:space="preserve">. </w:t>
      </w:r>
      <w:r w:rsidR="00903BED" w:rsidRPr="00E06F45">
        <w:t>T</w:t>
      </w:r>
      <w:r w:rsidR="007A1AA4" w:rsidRPr="00E06F45">
        <w:t xml:space="preserve">his role does </w:t>
      </w:r>
      <w:r w:rsidR="00903BED" w:rsidRPr="00E06F45">
        <w:t>not fall under the scope of the ICF.</w:t>
      </w:r>
      <w:r w:rsidRPr="00E06F45">
        <w:t xml:space="preserve"> </w:t>
      </w:r>
      <w:r w:rsidR="00903BED" w:rsidRPr="00E06F45">
        <w:t xml:space="preserve">HR Local Focal Points (in offices/units) may hold various HR profiles to fulfil different HR actions. </w:t>
      </w:r>
      <w:r w:rsidR="00CB77E1" w:rsidRPr="00E06F45">
        <w:t xml:space="preserve">Refer to </w:t>
      </w:r>
      <w:hyperlink w:anchor="_Annex_2:_Overview" w:history="1">
        <w:r w:rsidR="00CB77E1" w:rsidRPr="00876EB0">
          <w:rPr>
            <w:rStyle w:val="Hyperlink"/>
          </w:rPr>
          <w:t xml:space="preserve">Annex </w:t>
        </w:r>
        <w:r w:rsidR="00311836" w:rsidRPr="00876EB0">
          <w:rPr>
            <w:rStyle w:val="Hyperlink"/>
          </w:rPr>
          <w:t>2</w:t>
        </w:r>
      </w:hyperlink>
      <w:r w:rsidR="00CB77E1" w:rsidRPr="007A1AA4">
        <w:rPr>
          <w:color w:val="ED7D31" w:themeColor="accent2"/>
        </w:rPr>
        <w:t xml:space="preserve"> </w:t>
      </w:r>
      <w:r w:rsidR="00CB77E1" w:rsidRPr="00E06F45">
        <w:t>for a full list of IDAM HR business profiles and their purpose</w:t>
      </w:r>
      <w:r w:rsidR="00903BED" w:rsidRPr="00E06F45">
        <w:t>, including whether they may be assigned to staff and/or non-staff.</w:t>
      </w:r>
    </w:p>
    <w:p w14:paraId="7EA79C64" w14:textId="2A452A34" w:rsidR="00CB77E1" w:rsidRDefault="00CB77E1">
      <w:pPr>
        <w:pStyle w:val="Heading2"/>
        <w:numPr>
          <w:ilvl w:val="1"/>
          <w:numId w:val="92"/>
        </w:numPr>
        <w:spacing w:after="240"/>
        <w:ind w:left="360"/>
      </w:pPr>
      <w:bookmarkStart w:id="77" w:name="_Toc210052776"/>
      <w:r>
        <w:t xml:space="preserve">HR </w:t>
      </w:r>
      <w:r w:rsidR="00ED4582">
        <w:t>Focal Point</w:t>
      </w:r>
      <w:bookmarkEnd w:id="77"/>
    </w:p>
    <w:p w14:paraId="18BE8323" w14:textId="2A7B4621" w:rsidR="00CB77E1" w:rsidRPr="00E06F45" w:rsidRDefault="00C3389C" w:rsidP="363CA695">
      <w:pPr>
        <w:spacing w:line="240" w:lineRule="auto"/>
      </w:pPr>
      <w:r w:rsidRPr="00E06F45">
        <w:t>CO HR units support CO management in ensuring the office</w:t>
      </w:r>
      <w:r w:rsidR="00407CD4" w:rsidRPr="00E06F45">
        <w:t>/unit</w:t>
      </w:r>
      <w:r w:rsidRPr="00E06F45">
        <w:t xml:space="preserve"> is appropriately staffed with high quality and engaged personnel who receive the guidance, feedback, and development they need to fully contribute to the CO’s agenda and Sustainable Development Goals. They ensure: (</w:t>
      </w:r>
      <w:proofErr w:type="spellStart"/>
      <w:r w:rsidRPr="00E06F45">
        <w:t>i</w:t>
      </w:r>
      <w:proofErr w:type="spellEnd"/>
      <w:r w:rsidRPr="00E06F45">
        <w:t xml:space="preserve">) effective implementation of HR strategies, policies, </w:t>
      </w:r>
      <w:r w:rsidR="00903BED" w:rsidRPr="00E06F45">
        <w:t xml:space="preserve">and processes </w:t>
      </w:r>
      <w:r w:rsidRPr="00E06F45">
        <w:t xml:space="preserve">and a well-functioning HR management system; (ii) effective management of HR services, including recruitment, staffing and entitlements; (iii) proper personnel performance management, </w:t>
      </w:r>
      <w:r w:rsidRPr="00E06F45">
        <w:lastRenderedPageBreak/>
        <w:t xml:space="preserve">talent </w:t>
      </w:r>
      <w:proofErr w:type="gramStart"/>
      <w:r w:rsidRPr="00E06F45">
        <w:t>management, and career development;</w:t>
      </w:r>
      <w:proofErr w:type="gramEnd"/>
      <w:r w:rsidRPr="00E06F45">
        <w:t xml:space="preserve"> and (iv) facilitation of knowledge building and knowledge sharing in the CO. With respect to the provision of HR services, HR </w:t>
      </w:r>
      <w:r w:rsidR="00ED4582" w:rsidRPr="00E06F45">
        <w:t>Focal Points</w:t>
      </w:r>
      <w:r w:rsidRPr="00E06F45">
        <w:t xml:space="preserve"> </w:t>
      </w:r>
      <w:r w:rsidR="00174ADD" w:rsidRPr="00E06F45">
        <w:t xml:space="preserve">may </w:t>
      </w:r>
      <w:r w:rsidRPr="00E06F45">
        <w:t>have the following key responsibilities: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90"/>
      </w:tblGrid>
      <w:tr w:rsidR="00147C55" w:rsidRPr="00C3389C" w14:paraId="3164B885" w14:textId="7A432C4B" w:rsidTr="363CA695">
        <w:trPr>
          <w:trHeight w:val="233"/>
          <w:tblHeader/>
        </w:trPr>
        <w:tc>
          <w:tcPr>
            <w:tcW w:w="9990" w:type="dxa"/>
            <w:shd w:val="clear" w:color="auto" w:fill="FFF1CC"/>
          </w:tcPr>
          <w:p w14:paraId="7BE8E9F8" w14:textId="632917F3" w:rsidR="003F72B1" w:rsidRPr="00C3389C" w:rsidRDefault="003F72B1" w:rsidP="00C3389C">
            <w:pPr>
              <w:spacing w:after="0"/>
              <w:rPr>
                <w:b/>
                <w:bCs/>
                <w:color w:val="ED7D31" w:themeColor="accent2"/>
                <w:sz w:val="20"/>
                <w:szCs w:val="20"/>
              </w:rPr>
            </w:pPr>
            <w:r w:rsidRPr="007A1AA4">
              <w:rPr>
                <w:b/>
                <w:bCs/>
                <w:sz w:val="20"/>
                <w:szCs w:val="20"/>
              </w:rPr>
              <w:t xml:space="preserve">HR </w:t>
            </w:r>
            <w:r w:rsidR="00ED4582" w:rsidRPr="007A1AA4">
              <w:rPr>
                <w:b/>
                <w:bCs/>
                <w:sz w:val="20"/>
                <w:szCs w:val="20"/>
              </w:rPr>
              <w:t>Focal Points</w:t>
            </w:r>
            <w:r w:rsidRPr="007A1AA4">
              <w:rPr>
                <w:b/>
                <w:bCs/>
                <w:sz w:val="20"/>
                <w:szCs w:val="20"/>
              </w:rPr>
              <w:t xml:space="preserve">: </w:t>
            </w:r>
            <w:r w:rsidR="00903BED" w:rsidRPr="007A1AA4">
              <w:rPr>
                <w:b/>
                <w:bCs/>
                <w:sz w:val="20"/>
                <w:szCs w:val="20"/>
              </w:rPr>
              <w:t>Functions</w:t>
            </w:r>
            <w:r w:rsidRPr="007A1AA4">
              <w:rPr>
                <w:b/>
                <w:bCs/>
                <w:sz w:val="20"/>
                <w:szCs w:val="20"/>
              </w:rPr>
              <w:t xml:space="preserve"> performed in each CO and outposted HQ locations</w:t>
            </w:r>
          </w:p>
        </w:tc>
      </w:tr>
      <w:tr w:rsidR="007B1BE3" w:rsidRPr="00C3389C" w14:paraId="3D1F8CA8" w14:textId="76E5FA81" w:rsidTr="363CA695">
        <w:trPr>
          <w:trHeight w:val="1214"/>
        </w:trPr>
        <w:tc>
          <w:tcPr>
            <w:tcW w:w="9990" w:type="dxa"/>
          </w:tcPr>
          <w:p w14:paraId="06960CBF" w14:textId="77777777" w:rsidR="003F72B1" w:rsidRPr="00E06F45" w:rsidRDefault="003F72B1">
            <w:pPr>
              <w:pStyle w:val="ListParagraph"/>
              <w:widowControl w:val="0"/>
              <w:numPr>
                <w:ilvl w:val="0"/>
                <w:numId w:val="62"/>
              </w:numPr>
              <w:autoSpaceDE w:val="0"/>
              <w:autoSpaceDN w:val="0"/>
              <w:spacing w:after="0" w:line="240" w:lineRule="auto"/>
              <w:rPr>
                <w:b/>
                <w:bCs/>
                <w:sz w:val="20"/>
                <w:szCs w:val="20"/>
              </w:rPr>
            </w:pPr>
            <w:r w:rsidRPr="00E06F45">
              <w:rPr>
                <w:b/>
                <w:bCs/>
                <w:sz w:val="20"/>
                <w:szCs w:val="20"/>
              </w:rPr>
              <w:t xml:space="preserve">Manage recruitments in coordination with BMS/GSSC and Hiring Managers: </w:t>
            </w:r>
            <w:r w:rsidRPr="00E06F45">
              <w:rPr>
                <w:sz w:val="20"/>
                <w:szCs w:val="20"/>
              </w:rPr>
              <w:t>including updating job descriptions, ensuring proper job classification, preparing vacancy announcements, screening candidates, organizing and chairing interview panels, designing recruitment strategies and establishing recruitment monitoring system, submission of compliance review cases, and managing local rosters as per the actions delegated to CO. Oversee recruitment under UNDP projects and facilitate recruitment at the request of partner agencies.</w:t>
            </w:r>
          </w:p>
          <w:p w14:paraId="00078FAD" w14:textId="42693B2A" w:rsidR="00903BED" w:rsidRPr="007A1AA4" w:rsidRDefault="00903BED">
            <w:pPr>
              <w:pStyle w:val="ListParagraph"/>
              <w:widowControl w:val="0"/>
              <w:numPr>
                <w:ilvl w:val="0"/>
                <w:numId w:val="62"/>
              </w:numPr>
              <w:autoSpaceDE w:val="0"/>
              <w:autoSpaceDN w:val="0"/>
              <w:spacing w:after="0" w:line="240" w:lineRule="auto"/>
              <w:rPr>
                <w:b/>
                <w:bCs/>
                <w:color w:val="ED7D31" w:themeColor="accent2"/>
                <w:sz w:val="20"/>
                <w:szCs w:val="20"/>
              </w:rPr>
            </w:pPr>
            <w:r w:rsidRPr="00E06F45">
              <w:rPr>
                <w:rStyle w:val="cf01"/>
                <w:rFonts w:asciiTheme="minorHAnsi" w:hAnsiTheme="minorHAnsi" w:cstheme="minorBidi"/>
                <w:sz w:val="20"/>
                <w:szCs w:val="20"/>
              </w:rPr>
              <w:t xml:space="preserve">For recruitments done by BMS/GSSC, </w:t>
            </w:r>
            <w:proofErr w:type="gramStart"/>
            <w:r w:rsidRPr="00E06F45">
              <w:rPr>
                <w:rStyle w:val="cf01"/>
                <w:rFonts w:asciiTheme="minorHAnsi" w:hAnsiTheme="minorHAnsi" w:cstheme="minorBidi"/>
                <w:sz w:val="20"/>
                <w:szCs w:val="20"/>
              </w:rPr>
              <w:t>all of</w:t>
            </w:r>
            <w:proofErr w:type="gramEnd"/>
            <w:r w:rsidRPr="00E06F45">
              <w:rPr>
                <w:rStyle w:val="cf01"/>
                <w:rFonts w:asciiTheme="minorHAnsi" w:hAnsiTheme="minorHAnsi" w:cstheme="minorBidi"/>
                <w:sz w:val="20"/>
                <w:szCs w:val="20"/>
              </w:rPr>
              <w:t xml:space="preserve"> the abovementioned steps from preparing vacancy onwards are managed by BMS/GSSC and not by the CO HR Focal Point, including </w:t>
            </w:r>
            <w:proofErr w:type="gramStart"/>
            <w:r w:rsidRPr="00E06F45">
              <w:rPr>
                <w:rStyle w:val="cf01"/>
                <w:rFonts w:asciiTheme="minorHAnsi" w:hAnsiTheme="minorHAnsi" w:cstheme="minorBidi"/>
                <w:sz w:val="20"/>
                <w:szCs w:val="20"/>
              </w:rPr>
              <w:t>access</w:t>
            </w:r>
            <w:proofErr w:type="gramEnd"/>
            <w:r w:rsidRPr="00E06F45">
              <w:rPr>
                <w:rStyle w:val="cf01"/>
                <w:rFonts w:asciiTheme="minorHAnsi" w:hAnsiTheme="minorHAnsi" w:cstheme="minorBidi"/>
                <w:sz w:val="20"/>
                <w:szCs w:val="20"/>
              </w:rPr>
              <w:t xml:space="preserve"> the requisitions (from preparing VA through compliance review).</w:t>
            </w:r>
          </w:p>
        </w:tc>
      </w:tr>
      <w:tr w:rsidR="007B1BE3" w:rsidRPr="00C3389C" w14:paraId="56D5BD69" w14:textId="69C0E940" w:rsidTr="363CA695">
        <w:trPr>
          <w:trHeight w:val="1565"/>
        </w:trPr>
        <w:tc>
          <w:tcPr>
            <w:tcW w:w="9990" w:type="dxa"/>
          </w:tcPr>
          <w:p w14:paraId="7E63D455" w14:textId="080A6DA0" w:rsidR="003F72B1" w:rsidRPr="006D464C" w:rsidRDefault="003F72B1">
            <w:pPr>
              <w:pStyle w:val="ListParagraph"/>
              <w:numPr>
                <w:ilvl w:val="0"/>
                <w:numId w:val="62"/>
              </w:numPr>
              <w:spacing w:after="0"/>
              <w:rPr>
                <w:sz w:val="20"/>
                <w:szCs w:val="20"/>
              </w:rPr>
            </w:pPr>
            <w:r w:rsidRPr="00E06F45">
              <w:rPr>
                <w:b/>
                <w:bCs/>
                <w:sz w:val="20"/>
                <w:szCs w:val="20"/>
              </w:rPr>
              <w:t>Oversee HR clustered services for the CO</w:t>
            </w:r>
            <w:r w:rsidRPr="00E06F45">
              <w:rPr>
                <w:sz w:val="20"/>
                <w:szCs w:val="20"/>
              </w:rPr>
              <w:t>: including facilitating: (</w:t>
            </w:r>
            <w:proofErr w:type="spellStart"/>
            <w:r w:rsidRPr="00E06F45">
              <w:rPr>
                <w:sz w:val="20"/>
                <w:szCs w:val="20"/>
              </w:rPr>
              <w:t>i</w:t>
            </w:r>
            <w:proofErr w:type="spellEnd"/>
            <w:r w:rsidRPr="00E06F45">
              <w:rPr>
                <w:sz w:val="20"/>
                <w:szCs w:val="20"/>
              </w:rPr>
              <w:t>) actions related to contract management, payroll, and separations in coordination with BMS/GSSC in accordance with the delegation of authority given to the CO; submitting HR related service requests authorized by</w:t>
            </w:r>
            <w:r w:rsidRPr="00E06F45">
              <w:rPr>
                <w:spacing w:val="1"/>
                <w:sz w:val="20"/>
                <w:szCs w:val="20"/>
              </w:rPr>
              <w:t xml:space="preserve"> </w:t>
            </w:r>
            <w:r w:rsidRPr="00E06F45">
              <w:rPr>
                <w:sz w:val="20"/>
                <w:szCs w:val="20"/>
              </w:rPr>
              <w:t>the Head of Office</w:t>
            </w:r>
            <w:r w:rsidR="00407CD4" w:rsidRPr="00E06F45">
              <w:rPr>
                <w:sz w:val="20"/>
                <w:szCs w:val="20"/>
              </w:rPr>
              <w:t>/Unit</w:t>
            </w:r>
            <w:r w:rsidRPr="00E06F45">
              <w:rPr>
                <w:sz w:val="20"/>
                <w:szCs w:val="20"/>
              </w:rPr>
              <w:t xml:space="preserve"> (where required) for action by BMS/GSSC, including those pertaining to hires, life</w:t>
            </w:r>
            <w:r w:rsidRPr="00E06F45">
              <w:rPr>
                <w:spacing w:val="1"/>
                <w:sz w:val="20"/>
                <w:szCs w:val="20"/>
              </w:rPr>
              <w:t xml:space="preserve"> </w:t>
            </w:r>
            <w:r w:rsidRPr="00E06F45">
              <w:rPr>
                <w:sz w:val="20"/>
                <w:szCs w:val="20"/>
              </w:rPr>
              <w:t>events, contract expiry/extensions, organization events, separations, and position management, along with funding availability certifications (where applicable), and complete and accurate supporting documentation; and (ii) case management, including escalating cases as needed.</w:t>
            </w:r>
          </w:p>
        </w:tc>
      </w:tr>
      <w:tr w:rsidR="007B1BE3" w:rsidRPr="00C3389C" w14:paraId="2F6C2276" w14:textId="18613E01" w:rsidTr="363CA695">
        <w:trPr>
          <w:trHeight w:val="620"/>
        </w:trPr>
        <w:tc>
          <w:tcPr>
            <w:tcW w:w="9990" w:type="dxa"/>
          </w:tcPr>
          <w:p w14:paraId="60D03AC9" w14:textId="4FFB261A" w:rsidR="003F72B1" w:rsidRPr="00E06F45" w:rsidRDefault="003F72B1">
            <w:pPr>
              <w:pStyle w:val="ListParagraph"/>
              <w:widowControl w:val="0"/>
              <w:numPr>
                <w:ilvl w:val="0"/>
                <w:numId w:val="62"/>
              </w:numPr>
              <w:autoSpaceDE w:val="0"/>
              <w:autoSpaceDN w:val="0"/>
              <w:spacing w:after="0" w:line="240" w:lineRule="auto"/>
              <w:rPr>
                <w:sz w:val="20"/>
                <w:szCs w:val="20"/>
              </w:rPr>
            </w:pPr>
            <w:r w:rsidRPr="00E06F45">
              <w:rPr>
                <w:b/>
                <w:bCs/>
                <w:sz w:val="20"/>
                <w:szCs w:val="20"/>
              </w:rPr>
              <w:t>Facilitate contract management:</w:t>
            </w:r>
            <w:r w:rsidRPr="00E06F45">
              <w:rPr>
                <w:sz w:val="20"/>
                <w:szCs w:val="20"/>
              </w:rPr>
              <w:t xml:space="preserve"> including: (</w:t>
            </w:r>
            <w:proofErr w:type="spellStart"/>
            <w:r w:rsidRPr="00E06F45">
              <w:rPr>
                <w:sz w:val="20"/>
                <w:szCs w:val="20"/>
              </w:rPr>
              <w:t>i</w:t>
            </w:r>
            <w:proofErr w:type="spellEnd"/>
            <w:r w:rsidRPr="00E06F45">
              <w:rPr>
                <w:sz w:val="20"/>
                <w:szCs w:val="20"/>
              </w:rPr>
              <w:t xml:space="preserve">) advising CO management on contract modalities </w:t>
            </w:r>
            <w:r w:rsidR="00531CEA" w:rsidRPr="00E06F45">
              <w:rPr>
                <w:sz w:val="20"/>
                <w:szCs w:val="20"/>
              </w:rPr>
              <w:t xml:space="preserve">&amp; </w:t>
            </w:r>
            <w:r w:rsidRPr="00E06F45">
              <w:rPr>
                <w:sz w:val="20"/>
                <w:szCs w:val="20"/>
              </w:rPr>
              <w:t xml:space="preserve">contract guidelines pertaining to staffing compliance; and (ii) </w:t>
            </w:r>
            <w:proofErr w:type="gramStart"/>
            <w:r w:rsidRPr="00E06F45">
              <w:rPr>
                <w:sz w:val="20"/>
                <w:szCs w:val="20"/>
              </w:rPr>
              <w:t>ensuring</w:t>
            </w:r>
            <w:proofErr w:type="gramEnd"/>
            <w:r w:rsidRPr="00E06F45">
              <w:rPr>
                <w:sz w:val="20"/>
                <w:szCs w:val="20"/>
              </w:rPr>
              <w:t xml:space="preserve"> all national </w:t>
            </w:r>
            <w:r w:rsidR="00531CEA" w:rsidRPr="00E06F45">
              <w:rPr>
                <w:sz w:val="20"/>
                <w:szCs w:val="20"/>
              </w:rPr>
              <w:t>&amp;</w:t>
            </w:r>
            <w:r w:rsidRPr="00E06F45">
              <w:rPr>
                <w:sz w:val="20"/>
                <w:szCs w:val="20"/>
              </w:rPr>
              <w:t xml:space="preserve"> international personnel contractual actions are taken in a timely manner, in close consultation with supervisors/management</w:t>
            </w:r>
            <w:r w:rsidR="00BC6C2E" w:rsidRPr="00E06F45">
              <w:rPr>
                <w:sz w:val="20"/>
                <w:szCs w:val="20"/>
              </w:rPr>
              <w:t xml:space="preserve"> and </w:t>
            </w:r>
            <w:r w:rsidRPr="00E06F45">
              <w:rPr>
                <w:sz w:val="20"/>
                <w:szCs w:val="20"/>
              </w:rPr>
              <w:t>coordination with BMS/GSSC.</w:t>
            </w:r>
          </w:p>
        </w:tc>
      </w:tr>
      <w:tr w:rsidR="007B1BE3" w:rsidRPr="00C3389C" w14:paraId="6C75CB2A" w14:textId="0AF66CB5" w:rsidTr="363CA695">
        <w:trPr>
          <w:trHeight w:val="584"/>
        </w:trPr>
        <w:tc>
          <w:tcPr>
            <w:tcW w:w="9990" w:type="dxa"/>
          </w:tcPr>
          <w:p w14:paraId="6272E2DB" w14:textId="1D0B55CE" w:rsidR="003F72B1" w:rsidRPr="00E06F45" w:rsidRDefault="00903BED">
            <w:pPr>
              <w:pStyle w:val="ListParagraph"/>
              <w:widowControl w:val="0"/>
              <w:numPr>
                <w:ilvl w:val="0"/>
                <w:numId w:val="62"/>
              </w:numPr>
              <w:autoSpaceDE w:val="0"/>
              <w:autoSpaceDN w:val="0"/>
              <w:spacing w:after="0" w:line="240" w:lineRule="auto"/>
              <w:rPr>
                <w:sz w:val="20"/>
                <w:szCs w:val="20"/>
              </w:rPr>
            </w:pPr>
            <w:r w:rsidRPr="00E06F45">
              <w:rPr>
                <w:b/>
                <w:bCs/>
                <w:sz w:val="20"/>
                <w:szCs w:val="20"/>
              </w:rPr>
              <w:t xml:space="preserve">Facilitate </w:t>
            </w:r>
            <w:r w:rsidR="003F72B1" w:rsidRPr="00E06F45">
              <w:rPr>
                <w:b/>
                <w:bCs/>
                <w:sz w:val="20"/>
                <w:szCs w:val="20"/>
              </w:rPr>
              <w:t>entitlements and position funding:</w:t>
            </w:r>
            <w:r w:rsidR="003F72B1" w:rsidRPr="00E06F45">
              <w:rPr>
                <w:sz w:val="20"/>
                <w:szCs w:val="20"/>
              </w:rPr>
              <w:t xml:space="preserve"> </w:t>
            </w:r>
            <w:r w:rsidRPr="00E06F45">
              <w:rPr>
                <w:sz w:val="20"/>
                <w:szCs w:val="20"/>
              </w:rPr>
              <w:t xml:space="preserve">Facilitate </w:t>
            </w:r>
            <w:r w:rsidR="003F72B1" w:rsidRPr="00E06F45">
              <w:rPr>
                <w:sz w:val="20"/>
                <w:szCs w:val="20"/>
              </w:rPr>
              <w:t>international and local personnel entitlements and position funding delegated to the HR Unit, in consultation with budget owners. Maintain close communication with BMS/GSSC focal points pertaining to the correct administration of personnel entitlements and benefits.</w:t>
            </w:r>
          </w:p>
        </w:tc>
      </w:tr>
      <w:tr w:rsidR="007B1BE3" w:rsidRPr="00C3389C" w14:paraId="6150B19D" w14:textId="0115C517" w:rsidTr="363CA695">
        <w:trPr>
          <w:trHeight w:val="432"/>
        </w:trPr>
        <w:tc>
          <w:tcPr>
            <w:tcW w:w="9990" w:type="dxa"/>
          </w:tcPr>
          <w:p w14:paraId="7E0001C4" w14:textId="43507B5D" w:rsidR="003F72B1" w:rsidRPr="00E06F45" w:rsidRDefault="003F72B1">
            <w:pPr>
              <w:pStyle w:val="ListParagraph"/>
              <w:widowControl w:val="0"/>
              <w:numPr>
                <w:ilvl w:val="0"/>
                <w:numId w:val="62"/>
              </w:numPr>
              <w:autoSpaceDE w:val="0"/>
              <w:autoSpaceDN w:val="0"/>
              <w:spacing w:after="0" w:line="240" w:lineRule="auto"/>
              <w:rPr>
                <w:sz w:val="20"/>
                <w:szCs w:val="20"/>
              </w:rPr>
            </w:pPr>
            <w:r w:rsidRPr="00E06F45">
              <w:rPr>
                <w:b/>
                <w:bCs/>
                <w:sz w:val="20"/>
                <w:szCs w:val="20"/>
              </w:rPr>
              <w:t>Perform HR Manager functions in Quantum</w:t>
            </w:r>
            <w:r w:rsidR="00BC6C2E" w:rsidRPr="00E06F45">
              <w:rPr>
                <w:sz w:val="20"/>
                <w:szCs w:val="20"/>
              </w:rPr>
              <w:t xml:space="preserve">, including </w:t>
            </w:r>
            <w:r w:rsidRPr="00E06F45">
              <w:rPr>
                <w:sz w:val="20"/>
                <w:szCs w:val="20"/>
              </w:rPr>
              <w:t>validat</w:t>
            </w:r>
            <w:r w:rsidR="00BC6C2E" w:rsidRPr="00E06F45">
              <w:rPr>
                <w:sz w:val="20"/>
                <w:szCs w:val="20"/>
              </w:rPr>
              <w:t>ing</w:t>
            </w:r>
            <w:r w:rsidRPr="00E06F45">
              <w:rPr>
                <w:sz w:val="20"/>
                <w:szCs w:val="20"/>
              </w:rPr>
              <w:t xml:space="preserve"> cost-recovery charges for HR services provided by UNDP to other Agencies. </w:t>
            </w:r>
          </w:p>
        </w:tc>
      </w:tr>
      <w:tr w:rsidR="00147C55" w:rsidRPr="00C3389C" w14:paraId="6B509225" w14:textId="3C4D63D9" w:rsidTr="363CA695">
        <w:trPr>
          <w:trHeight w:val="20"/>
        </w:trPr>
        <w:tc>
          <w:tcPr>
            <w:tcW w:w="9990" w:type="dxa"/>
            <w:shd w:val="clear" w:color="auto" w:fill="E2EFD9" w:themeFill="accent6" w:themeFillTint="33"/>
          </w:tcPr>
          <w:p w14:paraId="6FBAC626" w14:textId="751C2DEA" w:rsidR="003F72B1" w:rsidRPr="00C3389C" w:rsidRDefault="003F72B1" w:rsidP="00C3389C">
            <w:pPr>
              <w:spacing w:after="0"/>
              <w:rPr>
                <w:b/>
                <w:bCs/>
                <w:color w:val="ED7D31" w:themeColor="accent2"/>
                <w:sz w:val="20"/>
                <w:szCs w:val="20"/>
              </w:rPr>
            </w:pPr>
            <w:r w:rsidRPr="00E06F45">
              <w:rPr>
                <w:b/>
                <w:bCs/>
                <w:sz w:val="20"/>
                <w:szCs w:val="20"/>
              </w:rPr>
              <w:t xml:space="preserve">IDAM HR Business Profile: Various, refer </w:t>
            </w:r>
            <w:hyperlink w:anchor="_Annex_2:_Overview" w:history="1">
              <w:r w:rsidRPr="00876EB0">
                <w:rPr>
                  <w:rStyle w:val="Hyperlink"/>
                  <w:b/>
                  <w:bCs/>
                  <w:sz w:val="20"/>
                  <w:szCs w:val="20"/>
                </w:rPr>
                <w:t xml:space="preserve">Annex </w:t>
              </w:r>
              <w:r w:rsidR="00311836" w:rsidRPr="00876EB0">
                <w:rPr>
                  <w:rStyle w:val="Hyperlink"/>
                  <w:b/>
                  <w:bCs/>
                  <w:sz w:val="20"/>
                  <w:szCs w:val="20"/>
                </w:rPr>
                <w:t>2</w:t>
              </w:r>
            </w:hyperlink>
            <w:r w:rsidRPr="00C3389C">
              <w:rPr>
                <w:b/>
                <w:bCs/>
                <w:color w:val="ED7D31" w:themeColor="accent2"/>
                <w:sz w:val="20"/>
                <w:szCs w:val="20"/>
              </w:rPr>
              <w:t xml:space="preserve"> </w:t>
            </w:r>
            <w:r w:rsidRPr="00E06F45">
              <w:rPr>
                <w:b/>
                <w:bCs/>
                <w:sz w:val="20"/>
                <w:szCs w:val="20"/>
              </w:rPr>
              <w:t xml:space="preserve">for detailed descriptions of IDAM </w:t>
            </w:r>
            <w:r w:rsidR="0079210C" w:rsidRPr="00E06F45">
              <w:rPr>
                <w:b/>
                <w:bCs/>
                <w:sz w:val="20"/>
                <w:szCs w:val="20"/>
              </w:rPr>
              <w:t>HR profiles</w:t>
            </w:r>
            <w:r w:rsidRPr="00E06F45">
              <w:rPr>
                <w:b/>
                <w:bCs/>
                <w:sz w:val="20"/>
                <w:szCs w:val="20"/>
              </w:rPr>
              <w:t xml:space="preserve"> and their purpose.</w:t>
            </w:r>
          </w:p>
        </w:tc>
      </w:tr>
    </w:tbl>
    <w:p w14:paraId="273FA978" w14:textId="092CF241" w:rsidR="00C3389C" w:rsidRPr="00E06F45" w:rsidRDefault="00C3389C" w:rsidP="00CB77E1">
      <w:pPr>
        <w:rPr>
          <w:i/>
          <w:iCs/>
          <w:sz w:val="20"/>
          <w:szCs w:val="20"/>
        </w:rPr>
      </w:pPr>
      <w:r w:rsidRPr="00E06F45">
        <w:rPr>
          <w:i/>
          <w:iCs/>
          <w:sz w:val="20"/>
          <w:szCs w:val="20"/>
        </w:rPr>
        <w:t xml:space="preserve">Source: </w:t>
      </w:r>
      <w:r w:rsidR="002E4B2B" w:rsidRPr="00E06F45">
        <w:rPr>
          <w:i/>
          <w:iCs/>
          <w:sz w:val="20"/>
          <w:szCs w:val="20"/>
        </w:rPr>
        <w:t>F</w:t>
      </w:r>
      <w:r w:rsidR="00D77D3A" w:rsidRPr="00E06F45">
        <w:rPr>
          <w:i/>
          <w:iCs/>
          <w:sz w:val="20"/>
          <w:szCs w:val="20"/>
        </w:rPr>
        <w:t>inan</w:t>
      </w:r>
      <w:r w:rsidR="0093168E" w:rsidRPr="00E06F45">
        <w:rPr>
          <w:i/>
          <w:iCs/>
          <w:sz w:val="20"/>
          <w:szCs w:val="20"/>
        </w:rPr>
        <w:t>ce</w:t>
      </w:r>
      <w:r w:rsidR="00D77D3A" w:rsidRPr="00E06F45">
        <w:rPr>
          <w:i/>
          <w:iCs/>
          <w:sz w:val="20"/>
          <w:szCs w:val="20"/>
        </w:rPr>
        <w:t xml:space="preserve"> facets drawn from </w:t>
      </w:r>
      <w:hyperlink r:id="rId131" w:history="1">
        <w:r w:rsidRPr="00E06F45">
          <w:rPr>
            <w:rStyle w:val="Hyperlink"/>
            <w:i/>
            <w:iCs/>
            <w:color w:val="4472C4" w:themeColor="accent1"/>
            <w:sz w:val="20"/>
            <w:szCs w:val="20"/>
          </w:rPr>
          <w:t>BMS/OHR generic job descriptions</w:t>
        </w:r>
      </w:hyperlink>
      <w:r w:rsidRPr="00E06F45">
        <w:rPr>
          <w:i/>
          <w:iCs/>
          <w:sz w:val="20"/>
          <w:szCs w:val="20"/>
        </w:rPr>
        <w:t xml:space="preserve"> developed for HR Specialists in 2023.</w:t>
      </w:r>
    </w:p>
    <w:p w14:paraId="3E9C73E2" w14:textId="68824848" w:rsidR="007936B7" w:rsidRPr="00512A0D" w:rsidRDefault="00CB77E1">
      <w:pPr>
        <w:pStyle w:val="Heading2"/>
        <w:numPr>
          <w:ilvl w:val="1"/>
          <w:numId w:val="92"/>
        </w:numPr>
        <w:spacing w:after="240"/>
        <w:ind w:left="360"/>
      </w:pPr>
      <w:bookmarkStart w:id="78" w:name="_Toc210052777"/>
      <w:r w:rsidRPr="00512A0D">
        <w:t>HR</w:t>
      </w:r>
      <w:r w:rsidR="00EB724F" w:rsidRPr="00512A0D">
        <w:t xml:space="preserve"> </w:t>
      </w:r>
      <w:r w:rsidR="007936B7" w:rsidRPr="00512A0D">
        <w:t>Administrator (first authority, committing officer)</w:t>
      </w:r>
      <w:bookmarkEnd w:id="74"/>
      <w:bookmarkEnd w:id="78"/>
    </w:p>
    <w:p w14:paraId="21942763" w14:textId="514EB9F8" w:rsidR="007936B7" w:rsidRDefault="007936B7" w:rsidP="00AD810D">
      <w:pPr>
        <w:spacing w:line="240" w:lineRule="auto"/>
      </w:pPr>
      <w:r w:rsidRPr="363CA695">
        <w:t>The Human Resource Administrator role refers to staff members who are responsible for human resources administration, including the processes of hiring, life events, contract administration, organization events, and separations. This role is performed by BMS/GSSC for all UNDP offices</w:t>
      </w:r>
      <w:r w:rsidR="00407CD4" w:rsidRPr="363CA695">
        <w:t>/units</w:t>
      </w:r>
      <w:r w:rsidRPr="363CA695">
        <w:t>, except outposted HQ locations</w:t>
      </w:r>
      <w:r w:rsidR="005E2A3F" w:rsidRPr="363CA695">
        <w:t>, who perform these functions for their own local payroll</w:t>
      </w:r>
      <w:r w:rsidRPr="363CA695">
        <w:rPr>
          <w:vertAlign w:val="superscript"/>
        </w:rPr>
        <w:footnoteReference w:id="30"/>
      </w:r>
      <w:r w:rsidRPr="363CA695">
        <w:t>.</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646052" w14:paraId="327FD6CE" w14:textId="77777777" w:rsidTr="363CA695">
        <w:trPr>
          <w:trHeight w:val="611"/>
          <w:tblHeader/>
        </w:trPr>
        <w:tc>
          <w:tcPr>
            <w:tcW w:w="9900" w:type="dxa"/>
            <w:shd w:val="clear" w:color="auto" w:fill="FFF1CC"/>
          </w:tcPr>
          <w:p w14:paraId="57ECCCF6" w14:textId="0B640E00" w:rsidR="007936B7" w:rsidRPr="00646052" w:rsidRDefault="007936B7" w:rsidP="00AD02A4">
            <w:pPr>
              <w:spacing w:after="0" w:line="240" w:lineRule="auto"/>
              <w:rPr>
                <w:b/>
                <w:bCs/>
                <w:sz w:val="20"/>
                <w:szCs w:val="20"/>
              </w:rPr>
            </w:pPr>
            <w:r w:rsidRPr="00646052">
              <w:rPr>
                <w:b/>
                <w:bCs/>
                <w:sz w:val="20"/>
                <w:szCs w:val="20"/>
              </w:rPr>
              <w:t>HR Administrator (first authority, committing officer): Internal Control Responsibilities performed by BMS/GSSC for all staff and PSA contract holders for all UNDP offices</w:t>
            </w:r>
            <w:r w:rsidR="00407CD4">
              <w:rPr>
                <w:b/>
                <w:bCs/>
                <w:sz w:val="20"/>
                <w:szCs w:val="20"/>
              </w:rPr>
              <w:t>/units</w:t>
            </w:r>
            <w:r w:rsidRPr="00646052">
              <w:rPr>
                <w:b/>
                <w:bCs/>
                <w:sz w:val="20"/>
                <w:szCs w:val="20"/>
              </w:rPr>
              <w:t>, except outposted HQ location</w:t>
            </w:r>
            <w:r w:rsidR="004A4626">
              <w:rPr>
                <w:b/>
                <w:bCs/>
                <w:sz w:val="20"/>
                <w:szCs w:val="20"/>
              </w:rPr>
              <w:t xml:space="preserve">s who perform their </w:t>
            </w:r>
            <w:r w:rsidR="00A343B8">
              <w:rPr>
                <w:b/>
                <w:bCs/>
                <w:sz w:val="20"/>
                <w:szCs w:val="20"/>
              </w:rPr>
              <w:t>own local payroll</w:t>
            </w:r>
          </w:p>
        </w:tc>
      </w:tr>
      <w:tr w:rsidR="007B1BE3" w:rsidRPr="00646052" w14:paraId="25DE5D3E" w14:textId="77777777" w:rsidTr="363CA695">
        <w:trPr>
          <w:trHeight w:val="2159"/>
        </w:trPr>
        <w:tc>
          <w:tcPr>
            <w:tcW w:w="9900" w:type="dxa"/>
          </w:tcPr>
          <w:p w14:paraId="6D6063B7" w14:textId="5843EF93" w:rsidR="007936B7" w:rsidRPr="00146B83" w:rsidRDefault="007936B7">
            <w:pPr>
              <w:pStyle w:val="ListParagraph"/>
              <w:numPr>
                <w:ilvl w:val="0"/>
                <w:numId w:val="100"/>
              </w:numPr>
              <w:spacing w:after="0" w:line="240" w:lineRule="auto"/>
              <w:rPr>
                <w:sz w:val="20"/>
                <w:szCs w:val="20"/>
              </w:rPr>
            </w:pPr>
            <w:r w:rsidRPr="00146B83">
              <w:rPr>
                <w:b/>
                <w:bCs/>
                <w:sz w:val="20"/>
                <w:szCs w:val="20"/>
              </w:rPr>
              <w:t>Administers and certifies staff benefits &amp; entitlements</w:t>
            </w:r>
            <w:r w:rsidR="00146B83" w:rsidRPr="00146B83">
              <w:rPr>
                <w:b/>
                <w:bCs/>
                <w:sz w:val="20"/>
                <w:szCs w:val="20"/>
              </w:rPr>
              <w:t xml:space="preserve">: </w:t>
            </w:r>
            <w:r w:rsidR="00146B83" w:rsidRPr="00146B83">
              <w:rPr>
                <w:sz w:val="20"/>
                <w:szCs w:val="20"/>
              </w:rPr>
              <w:t>Within the established framework of salaries and other entitlements and in conformity with UN Staff Regulations and Rules, the Human Resource Administrator grants entitlements that results in expense against project resources without explicit transactional-level approval by the Project Manager (first authority, committing officer). In this regard, the HR Administrator has the primary responsibility for managing and certifying the benefits and entitlements of staff and acts as the first authority for benefits and entitlement transactions. This authority equates to the “committing officer” in UNDP Financial Regulation 20.02 (a). Examples include all grants of entitlements and benefits such as dependency allowance, mobility and hardship, participation in pension fund, and medical insurance. Project Managers should ensure that funds are always reserved for these costs to avoid deficits in projects.</w:t>
            </w:r>
          </w:p>
        </w:tc>
      </w:tr>
      <w:tr w:rsidR="007B1BE3" w:rsidRPr="00646052" w14:paraId="7FF5518C" w14:textId="77777777" w:rsidTr="363CA695">
        <w:trPr>
          <w:trHeight w:val="1728"/>
        </w:trPr>
        <w:tc>
          <w:tcPr>
            <w:tcW w:w="9900" w:type="dxa"/>
          </w:tcPr>
          <w:p w14:paraId="32CB1178" w14:textId="1BC93047" w:rsidR="009009DE"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lastRenderedPageBreak/>
              <w:t>Administers hires</w:t>
            </w:r>
            <w:r w:rsidRPr="363CA695">
              <w:rPr>
                <w:sz w:val="20"/>
                <w:szCs w:val="20"/>
              </w:rPr>
              <w:t>: (including new hires, re-hires, retirees, contract changes, transfers/secondments/non-reimbursable loans from another UN organization), ensuring that: (</w:t>
            </w:r>
            <w:proofErr w:type="spellStart"/>
            <w:r w:rsidRPr="363CA695">
              <w:rPr>
                <w:sz w:val="20"/>
                <w:szCs w:val="20"/>
              </w:rPr>
              <w:t>i</w:t>
            </w:r>
            <w:proofErr w:type="spellEnd"/>
            <w:r w:rsidRPr="363CA695">
              <w:rPr>
                <w:sz w:val="20"/>
                <w:szCs w:val="20"/>
              </w:rPr>
              <w:t>) the contract complies with UNDP procedures, and if applicable, raising any concerns with the Operations Manager (or HQ equivalent) or the Head of Office</w:t>
            </w:r>
            <w:r w:rsidR="00407CD4" w:rsidRPr="363CA695">
              <w:rPr>
                <w:sz w:val="20"/>
                <w:szCs w:val="20"/>
              </w:rPr>
              <w:t>/Unit</w:t>
            </w:r>
            <w:r w:rsidRPr="363CA695">
              <w:rPr>
                <w:sz w:val="20"/>
                <w:szCs w:val="20"/>
              </w:rPr>
              <w:t xml:space="preserve"> prior to taking action in Quantum; and (ii) the minimum required supporting documentation for hires is present, as prescribed by POPP and the related BMS/GSSC SOP. BMS/GSSC adds new hires in Quantum once the recruitment process has been finalized and the successful candidate has been selected. </w:t>
            </w:r>
          </w:p>
          <w:p w14:paraId="04FE3D19" w14:textId="77777777" w:rsidR="009009DE" w:rsidRPr="00984EC0" w:rsidRDefault="009009DE" w:rsidP="00984EC0">
            <w:pPr>
              <w:pStyle w:val="ListParagraph"/>
              <w:widowControl w:val="0"/>
              <w:autoSpaceDE w:val="0"/>
              <w:autoSpaceDN w:val="0"/>
              <w:spacing w:after="0" w:line="240" w:lineRule="auto"/>
              <w:ind w:left="360"/>
              <w:rPr>
                <w:rStyle w:val="cf01"/>
                <w:rFonts w:asciiTheme="minorHAnsi" w:hAnsiTheme="minorHAnsi" w:cstheme="minorBidi"/>
                <w:sz w:val="20"/>
                <w:szCs w:val="20"/>
              </w:rPr>
            </w:pPr>
          </w:p>
          <w:p w14:paraId="5EABCD71" w14:textId="73D33AB3" w:rsidR="007936B7" w:rsidRPr="007A1AA4" w:rsidRDefault="009009DE" w:rsidP="363CA695">
            <w:pPr>
              <w:widowControl w:val="0"/>
              <w:autoSpaceDE w:val="0"/>
              <w:autoSpaceDN w:val="0"/>
              <w:spacing w:after="0" w:line="240" w:lineRule="auto"/>
              <w:ind w:left="360"/>
              <w:rPr>
                <w:sz w:val="20"/>
                <w:szCs w:val="20"/>
              </w:rPr>
            </w:pPr>
            <w:r w:rsidRPr="00E06F45">
              <w:rPr>
                <w:b/>
                <w:bCs/>
                <w:sz w:val="20"/>
                <w:szCs w:val="20"/>
              </w:rPr>
              <w:t>Note</w:t>
            </w:r>
            <w:r w:rsidRPr="00E06F45">
              <w:rPr>
                <w:rStyle w:val="cf01"/>
                <w:rFonts w:asciiTheme="minorHAnsi" w:hAnsiTheme="minorHAnsi" w:cstheme="minorBidi"/>
                <w:sz w:val="20"/>
                <w:szCs w:val="20"/>
              </w:rPr>
              <w:t>:</w:t>
            </w:r>
            <w:r w:rsidR="00FC3D4B" w:rsidRPr="00E06F45">
              <w:rPr>
                <w:rStyle w:val="cf01"/>
                <w:rFonts w:asciiTheme="minorHAnsi" w:hAnsiTheme="minorHAnsi" w:cstheme="minorBidi"/>
                <w:sz w:val="20"/>
                <w:szCs w:val="20"/>
              </w:rPr>
              <w:t xml:space="preserve"> </w:t>
            </w:r>
            <w:r w:rsidRPr="00E06F45">
              <w:rPr>
                <w:rStyle w:val="cf01"/>
                <w:rFonts w:asciiTheme="minorHAnsi" w:hAnsiTheme="minorHAnsi" w:cstheme="minorBidi"/>
                <w:sz w:val="20"/>
                <w:szCs w:val="20"/>
              </w:rPr>
              <w:t>For recruitments undertaken by BMS/GSSC on behalf of offices/units with clustered processes</w:t>
            </w:r>
            <w:r w:rsidR="00FC3D4B" w:rsidRPr="00E06F45">
              <w:rPr>
                <w:rStyle w:val="cf01"/>
                <w:rFonts w:asciiTheme="minorHAnsi" w:hAnsiTheme="minorHAnsi" w:cstheme="minorBidi"/>
                <w:sz w:val="20"/>
                <w:szCs w:val="20"/>
              </w:rPr>
              <w:t xml:space="preserve"> (IP positions except rotational and/or P4+ in regional offices)</w:t>
            </w:r>
            <w:r w:rsidRPr="00E06F45">
              <w:rPr>
                <w:rStyle w:val="cf01"/>
                <w:rFonts w:asciiTheme="minorHAnsi" w:hAnsiTheme="minorHAnsi" w:cstheme="minorBidi"/>
                <w:sz w:val="20"/>
                <w:szCs w:val="20"/>
              </w:rPr>
              <w:t>, the request for hire is raised by the respective BMS/GSSC service team, not the office/unit. The office/unit only submits the requests for recruitments delegated to them or in cases of direct contracting</w:t>
            </w:r>
            <w:r w:rsidR="00FC3D4B" w:rsidRPr="00E06F45">
              <w:rPr>
                <w:rStyle w:val="cf01"/>
                <w:rFonts w:asciiTheme="minorHAnsi" w:hAnsiTheme="minorHAnsi" w:cstheme="minorBidi"/>
                <w:sz w:val="20"/>
                <w:szCs w:val="20"/>
              </w:rPr>
              <w:t>.</w:t>
            </w:r>
          </w:p>
        </w:tc>
      </w:tr>
      <w:tr w:rsidR="007B1BE3" w:rsidRPr="00646052" w14:paraId="03A3101E" w14:textId="77777777" w:rsidTr="363CA695">
        <w:trPr>
          <w:trHeight w:val="864"/>
        </w:trPr>
        <w:tc>
          <w:tcPr>
            <w:tcW w:w="9900" w:type="dxa"/>
          </w:tcPr>
          <w:p w14:paraId="01465E7A" w14:textId="77777777" w:rsidR="007936B7" w:rsidRPr="00646052" w:rsidRDefault="007936B7">
            <w:pPr>
              <w:pStyle w:val="ListParagraph"/>
              <w:widowControl w:val="0"/>
              <w:numPr>
                <w:ilvl w:val="0"/>
                <w:numId w:val="61"/>
              </w:numPr>
              <w:autoSpaceDE w:val="0"/>
              <w:autoSpaceDN w:val="0"/>
              <w:spacing w:after="0" w:line="240" w:lineRule="auto"/>
              <w:rPr>
                <w:sz w:val="20"/>
                <w:szCs w:val="20"/>
              </w:rPr>
            </w:pPr>
            <w:r w:rsidRPr="009225D2">
              <w:rPr>
                <w:b/>
                <w:bCs/>
                <w:sz w:val="20"/>
                <w:szCs w:val="20"/>
              </w:rPr>
              <w:t>Administers life events:</w:t>
            </w:r>
            <w:r w:rsidRPr="00646052">
              <w:rPr>
                <w:sz w:val="20"/>
                <w:szCs w:val="20"/>
              </w:rPr>
              <w:t xml:space="preserve"> (such as birth of a new child/dependent and registration of a new spouse; language allowance and driving bonuses; home leave travel, education grant, and repatriation grant), ensuring that supporting documentation is obtained prior to taking action in Quantum (e.g., a birth certificate as evidence for dependency allowance or a doctor’s certificate as the trigger for authorizing extended sick leave).</w:t>
            </w:r>
          </w:p>
        </w:tc>
      </w:tr>
      <w:tr w:rsidR="007B1BE3" w:rsidRPr="00646052" w14:paraId="2B281F59" w14:textId="77777777" w:rsidTr="363CA695">
        <w:trPr>
          <w:trHeight w:val="20"/>
        </w:trPr>
        <w:tc>
          <w:tcPr>
            <w:tcW w:w="9900" w:type="dxa"/>
          </w:tcPr>
          <w:p w14:paraId="21ADFF4E" w14:textId="75B020A2"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contracts:</w:t>
            </w:r>
            <w:r w:rsidRPr="363CA695">
              <w:rPr>
                <w:sz w:val="20"/>
                <w:szCs w:val="20"/>
              </w:rPr>
              <w:t xml:space="preserve"> based on approved service requests submitted by Requesting Offices</w:t>
            </w:r>
            <w:r w:rsidR="00407CD4" w:rsidRPr="363CA695">
              <w:rPr>
                <w:sz w:val="20"/>
                <w:szCs w:val="20"/>
              </w:rPr>
              <w:t>/units.</w:t>
            </w:r>
          </w:p>
        </w:tc>
      </w:tr>
      <w:tr w:rsidR="007B1BE3" w:rsidRPr="00646052" w14:paraId="76A8FCC8" w14:textId="77777777" w:rsidTr="363CA695">
        <w:trPr>
          <w:trHeight w:val="20"/>
        </w:trPr>
        <w:tc>
          <w:tcPr>
            <w:tcW w:w="9900" w:type="dxa"/>
          </w:tcPr>
          <w:p w14:paraId="3D4762E0" w14:textId="60057AD0"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organization events:</w:t>
            </w:r>
            <w:r w:rsidRPr="363CA695">
              <w:rPr>
                <w:sz w:val="20"/>
                <w:szCs w:val="20"/>
              </w:rPr>
              <w:t xml:space="preserve"> (such as reassignment/promotion; salary increases, hazard pay; secondments, loans, transfers), ensuring that appropriate authorizations and supporting documentation are obtained prior to </w:t>
            </w:r>
            <w:proofErr w:type="gramStart"/>
            <w:r w:rsidRPr="363CA695">
              <w:rPr>
                <w:sz w:val="20"/>
                <w:szCs w:val="20"/>
              </w:rPr>
              <w:t>taking action</w:t>
            </w:r>
            <w:proofErr w:type="gramEnd"/>
            <w:r w:rsidRPr="363CA695">
              <w:rPr>
                <w:sz w:val="20"/>
                <w:szCs w:val="20"/>
              </w:rPr>
              <w:t xml:space="preserve"> in Quantum.</w:t>
            </w:r>
          </w:p>
        </w:tc>
      </w:tr>
      <w:tr w:rsidR="007B1BE3" w:rsidRPr="00646052" w14:paraId="4A7C274B" w14:textId="77777777" w:rsidTr="363CA695">
        <w:trPr>
          <w:trHeight w:val="20"/>
        </w:trPr>
        <w:tc>
          <w:tcPr>
            <w:tcW w:w="9900" w:type="dxa"/>
          </w:tcPr>
          <w:p w14:paraId="4BF67F3D" w14:textId="3D24876C" w:rsidR="007936B7" w:rsidRPr="00646052" w:rsidRDefault="007936B7">
            <w:pPr>
              <w:pStyle w:val="ListParagraph"/>
              <w:widowControl w:val="0"/>
              <w:numPr>
                <w:ilvl w:val="0"/>
                <w:numId w:val="61"/>
              </w:numPr>
              <w:autoSpaceDE w:val="0"/>
              <w:autoSpaceDN w:val="0"/>
              <w:spacing w:after="0" w:line="240" w:lineRule="auto"/>
              <w:rPr>
                <w:sz w:val="20"/>
                <w:szCs w:val="20"/>
              </w:rPr>
            </w:pPr>
            <w:r w:rsidRPr="363CA695">
              <w:rPr>
                <w:b/>
                <w:bCs/>
                <w:sz w:val="20"/>
                <w:szCs w:val="20"/>
              </w:rPr>
              <w:t>Administers separations from service for all staff and PSAs:</w:t>
            </w:r>
            <w:r w:rsidRPr="363CA695">
              <w:rPr>
                <w:sz w:val="20"/>
                <w:szCs w:val="20"/>
              </w:rPr>
              <w:t xml:space="preserve"> ensuring that appropriate </w:t>
            </w:r>
            <w:proofErr w:type="gramStart"/>
            <w:r w:rsidRPr="363CA695">
              <w:rPr>
                <w:sz w:val="20"/>
                <w:szCs w:val="20"/>
              </w:rPr>
              <w:t>authorizations</w:t>
            </w:r>
            <w:proofErr w:type="gramEnd"/>
            <w:r w:rsidRPr="363CA695">
              <w:rPr>
                <w:sz w:val="20"/>
                <w:szCs w:val="20"/>
              </w:rPr>
              <w:t xml:space="preserve"> and supporting documentation are obtained prior to </w:t>
            </w:r>
            <w:proofErr w:type="gramStart"/>
            <w:r w:rsidRPr="363CA695">
              <w:rPr>
                <w:sz w:val="20"/>
                <w:szCs w:val="20"/>
              </w:rPr>
              <w:t>taking action</w:t>
            </w:r>
            <w:proofErr w:type="gramEnd"/>
            <w:r w:rsidRPr="363CA695">
              <w:rPr>
                <w:sz w:val="20"/>
                <w:szCs w:val="20"/>
              </w:rPr>
              <w:t xml:space="preserve"> in Quantum. Note: The Head of Office</w:t>
            </w:r>
            <w:r w:rsidR="00407CD4" w:rsidRPr="363CA695">
              <w:rPr>
                <w:sz w:val="20"/>
                <w:szCs w:val="20"/>
              </w:rPr>
              <w:t xml:space="preserve">/Unit </w:t>
            </w:r>
            <w:r w:rsidRPr="363CA695">
              <w:rPr>
                <w:sz w:val="20"/>
                <w:szCs w:val="20"/>
              </w:rPr>
              <w:t>does not have authority to dismiss staff members; that authority resides within HQ (BMS Director, Associate Administrator or Administrator, depending on the situation and staff level).</w:t>
            </w:r>
          </w:p>
        </w:tc>
      </w:tr>
      <w:tr w:rsidR="00147C55" w:rsidRPr="00646052" w14:paraId="43C234B1" w14:textId="77777777" w:rsidTr="363CA695">
        <w:trPr>
          <w:trHeight w:val="476"/>
        </w:trPr>
        <w:tc>
          <w:tcPr>
            <w:tcW w:w="9900" w:type="dxa"/>
            <w:shd w:val="clear" w:color="auto" w:fill="E2EFD9" w:themeFill="accent6" w:themeFillTint="33"/>
          </w:tcPr>
          <w:p w14:paraId="17FC43D0" w14:textId="4239DFF2" w:rsidR="007936B7" w:rsidRPr="005B035B" w:rsidRDefault="007936B7" w:rsidP="00512A0D">
            <w:pPr>
              <w:spacing w:after="0" w:line="240" w:lineRule="auto"/>
              <w:rPr>
                <w:b/>
                <w:bCs/>
                <w:sz w:val="20"/>
                <w:szCs w:val="20"/>
              </w:rPr>
            </w:pPr>
            <w:r>
              <w:rPr>
                <w:b/>
                <w:bCs/>
                <w:sz w:val="20"/>
                <w:szCs w:val="20"/>
              </w:rPr>
              <w:t>IDAM HR Business Profile: HR Administrator (assignment available only to staff members in BMS/GSSC and outposted HQ offices</w:t>
            </w:r>
            <w:r w:rsidR="00407CD4">
              <w:rPr>
                <w:b/>
                <w:bCs/>
                <w:sz w:val="20"/>
                <w:szCs w:val="20"/>
              </w:rPr>
              <w:t>/units</w:t>
            </w:r>
            <w:r>
              <w:rPr>
                <w:b/>
                <w:bCs/>
                <w:sz w:val="20"/>
                <w:szCs w:val="20"/>
              </w:rPr>
              <w:t>, unless an exception has been granted by the BMS Director for non-staff assignment)</w:t>
            </w:r>
          </w:p>
        </w:tc>
      </w:tr>
      <w:tr w:rsidR="00147C55" w:rsidRPr="00646052" w14:paraId="2DB8EAB2" w14:textId="77777777" w:rsidTr="363CA695">
        <w:trPr>
          <w:trHeight w:val="467"/>
        </w:trPr>
        <w:tc>
          <w:tcPr>
            <w:tcW w:w="9900" w:type="dxa"/>
            <w:shd w:val="clear" w:color="auto" w:fill="D9D9D9" w:themeFill="background1" w:themeFillShade="D9"/>
          </w:tcPr>
          <w:p w14:paraId="0C6C31A3" w14:textId="77777777" w:rsidR="007936B7" w:rsidRDefault="007936B7" w:rsidP="00512A0D">
            <w:pPr>
              <w:spacing w:after="0" w:line="240" w:lineRule="auto"/>
              <w:rPr>
                <w:b/>
                <w:bCs/>
                <w:sz w:val="20"/>
                <w:szCs w:val="20"/>
              </w:rPr>
            </w:pPr>
            <w:r>
              <w:rPr>
                <w:b/>
                <w:bCs/>
                <w:sz w:val="20"/>
                <w:szCs w:val="20"/>
              </w:rPr>
              <w:t xml:space="preserve">Required segregation of duties: </w:t>
            </w:r>
            <w:r w:rsidRPr="00887958">
              <w:rPr>
                <w:sz w:val="20"/>
                <w:szCs w:val="20"/>
              </w:rPr>
              <w:t>The HR Administrator (as first authority) cannot be a Global Payroll Administrator (second authority) or a Payroll Validation Tool User (third authority)</w:t>
            </w:r>
          </w:p>
        </w:tc>
      </w:tr>
    </w:tbl>
    <w:p w14:paraId="528DFA65" w14:textId="77777777" w:rsidR="00146B83" w:rsidRDefault="00146B83" w:rsidP="00146B83">
      <w:bookmarkStart w:id="79" w:name="9.3_Global_Payroll_Administrator_(second"/>
      <w:bookmarkStart w:id="80" w:name="_Toc134134779"/>
      <w:bookmarkEnd w:id="79"/>
    </w:p>
    <w:p w14:paraId="796EEC70" w14:textId="64169CE5" w:rsidR="007936B7" w:rsidRDefault="007936B7">
      <w:pPr>
        <w:pStyle w:val="Heading2"/>
        <w:numPr>
          <w:ilvl w:val="1"/>
          <w:numId w:val="92"/>
        </w:numPr>
        <w:spacing w:before="0" w:after="240"/>
        <w:ind w:left="360"/>
      </w:pPr>
      <w:bookmarkStart w:id="81" w:name="_Toc210052778"/>
      <w:bookmarkStart w:id="82" w:name="_Hlk188439192"/>
      <w:r w:rsidRPr="00976542">
        <w:t xml:space="preserve">Global Payroll </w:t>
      </w:r>
      <w:r>
        <w:t>Administrator</w:t>
      </w:r>
      <w:r w:rsidRPr="00976542">
        <w:t xml:space="preserve"> (second authority, verifying officer)</w:t>
      </w:r>
      <w:bookmarkEnd w:id="80"/>
      <w:bookmarkEnd w:id="81"/>
    </w:p>
    <w:p w14:paraId="0124A9C7" w14:textId="0AB9460B" w:rsidR="00AA5091" w:rsidRPr="003B0367" w:rsidRDefault="00AA5091" w:rsidP="363CA695">
      <w:pPr>
        <w:spacing w:line="240" w:lineRule="auto"/>
        <w:rPr>
          <w:color w:val="7030A0"/>
        </w:rPr>
      </w:pPr>
      <w:r w:rsidRPr="00E06F45">
        <w:t>Payroll staff are responsible for ensuring correct calculation and recording of entitlements and benefits within the framework of the United Nations Common System of Salaries and Allowances or as approved by the Human Resources Administrator. For financial transactions related to staff compensation and benefits, the ‘payroll specialists</w:t>
      </w:r>
      <w:proofErr w:type="gramStart"/>
      <w:r w:rsidRPr="00E06F45">
        <w:t>,’ ‘</w:t>
      </w:r>
      <w:proofErr w:type="gramEnd"/>
      <w:r w:rsidRPr="00E06F45">
        <w:t>payroll officers</w:t>
      </w:r>
      <w:proofErr w:type="gramStart"/>
      <w:r w:rsidRPr="00E06F45">
        <w:t>’, ‘</w:t>
      </w:r>
      <w:proofErr w:type="gramEnd"/>
      <w:r w:rsidRPr="00E06F45">
        <w:t>payroll associates’ or other staff in BMS/GSSC record expenses against projects without the explicit transactional level approval of the Project Manager, but with adequate source and supporting documentation that validates the transaction. Examples include charging the position chart of accounts (COA) for tax reimbursements, education grants, pension fund adjustments, payroll service charges, and other payroll supported charges. Project Managers should ensure that funds are always be reserved for these costs to avoid deficits in projects.</w:t>
      </w:r>
    </w:p>
    <w:p w14:paraId="0F348D47" w14:textId="587FDF0B" w:rsidR="00EB724F" w:rsidRPr="00976542" w:rsidRDefault="007936B7" w:rsidP="00EB724F">
      <w:pPr>
        <w:spacing w:line="240" w:lineRule="auto"/>
      </w:pPr>
      <w:r w:rsidRPr="363CA695">
        <w:t xml:space="preserve">The administration and processing of payroll </w:t>
      </w:r>
      <w:proofErr w:type="gramStart"/>
      <w:r w:rsidRPr="363CA695">
        <w:t>on a monthly basis</w:t>
      </w:r>
      <w:proofErr w:type="gramEnd"/>
      <w:r w:rsidRPr="363CA695">
        <w:t xml:space="preserve"> includes: (</w:t>
      </w:r>
      <w:proofErr w:type="spellStart"/>
      <w:r w:rsidRPr="363CA695">
        <w:t>i</w:t>
      </w:r>
      <w:proofErr w:type="spellEnd"/>
      <w:r w:rsidRPr="363CA695">
        <w:t>) updating banking information for personnel (staff members and PSA/IPSA contract holders); (ii) reviewing and entering manual earnings and deductions; (iii) validating payroll results and resolving payroll issues; and (iv) performing the payroll initial sign-off. The Global Payroll Administrator, who must be a UNDP staff member, performs the initial sign-off of the monthly payroll confirming that relevant policies and procedures have been followed and. This second authority equates to the “verifying officer” in UNDP Financial Regulation 20.02 (a).</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887958" w14:paraId="1F27297E" w14:textId="77777777" w:rsidTr="363CA695">
        <w:trPr>
          <w:trHeight w:val="20"/>
        </w:trPr>
        <w:tc>
          <w:tcPr>
            <w:tcW w:w="9900" w:type="dxa"/>
            <w:shd w:val="clear" w:color="auto" w:fill="FFF1CC"/>
          </w:tcPr>
          <w:p w14:paraId="5777849C" w14:textId="4B23E5A3" w:rsidR="007936B7" w:rsidRPr="00887958" w:rsidRDefault="007936B7" w:rsidP="00EB724F">
            <w:pPr>
              <w:spacing w:after="0" w:line="240" w:lineRule="auto"/>
              <w:rPr>
                <w:b/>
                <w:bCs/>
                <w:sz w:val="20"/>
                <w:szCs w:val="20"/>
              </w:rPr>
            </w:pPr>
            <w:r w:rsidRPr="00887958">
              <w:rPr>
                <w:b/>
                <w:bCs/>
                <w:sz w:val="20"/>
                <w:szCs w:val="20"/>
              </w:rPr>
              <w:lastRenderedPageBreak/>
              <w:t xml:space="preserve">Global Payroll </w:t>
            </w:r>
            <w:r w:rsidR="00AA5091">
              <w:rPr>
                <w:b/>
                <w:bCs/>
                <w:sz w:val="20"/>
                <w:szCs w:val="20"/>
              </w:rPr>
              <w:t xml:space="preserve">Administrator </w:t>
            </w:r>
            <w:r w:rsidRPr="00887958">
              <w:rPr>
                <w:b/>
                <w:bCs/>
                <w:sz w:val="20"/>
                <w:szCs w:val="20"/>
              </w:rPr>
              <w:t xml:space="preserve">(second authority, verifying officer): Internal Control Responsibilities </w:t>
            </w:r>
            <w:r>
              <w:rPr>
                <w:b/>
                <w:bCs/>
                <w:sz w:val="20"/>
                <w:szCs w:val="20"/>
              </w:rPr>
              <w:t>p</w:t>
            </w:r>
            <w:r w:rsidRPr="00887958">
              <w:rPr>
                <w:b/>
                <w:bCs/>
                <w:sz w:val="20"/>
                <w:szCs w:val="20"/>
              </w:rPr>
              <w:t xml:space="preserve">erformed </w:t>
            </w:r>
            <w:r>
              <w:rPr>
                <w:b/>
                <w:bCs/>
                <w:sz w:val="20"/>
                <w:szCs w:val="20"/>
              </w:rPr>
              <w:t>by</w:t>
            </w:r>
            <w:r w:rsidRPr="00887958">
              <w:rPr>
                <w:b/>
                <w:bCs/>
                <w:sz w:val="20"/>
                <w:szCs w:val="20"/>
              </w:rPr>
              <w:t xml:space="preserve"> BMS/GSSC for all offices</w:t>
            </w:r>
            <w:r w:rsidR="00407CD4">
              <w:rPr>
                <w:b/>
                <w:bCs/>
                <w:sz w:val="20"/>
                <w:szCs w:val="20"/>
              </w:rPr>
              <w:t>/units</w:t>
            </w:r>
            <w:r w:rsidRPr="00887958">
              <w:rPr>
                <w:b/>
                <w:bCs/>
                <w:sz w:val="20"/>
                <w:szCs w:val="20"/>
              </w:rPr>
              <w:t>, except</w:t>
            </w:r>
            <w:r w:rsidR="00AA5091">
              <w:rPr>
                <w:b/>
                <w:bCs/>
                <w:sz w:val="20"/>
                <w:szCs w:val="20"/>
              </w:rPr>
              <w:t xml:space="preserve"> for</w:t>
            </w:r>
            <w:r w:rsidRPr="00887958">
              <w:rPr>
                <w:b/>
                <w:bCs/>
                <w:sz w:val="20"/>
                <w:szCs w:val="20"/>
              </w:rPr>
              <w:t xml:space="preserve"> local payroll in outposted HQ locations</w:t>
            </w:r>
          </w:p>
        </w:tc>
      </w:tr>
      <w:tr w:rsidR="007B1BE3" w:rsidRPr="003B0367" w14:paraId="471F7D35" w14:textId="77777777" w:rsidTr="363CA695">
        <w:trPr>
          <w:trHeight w:val="20"/>
        </w:trPr>
        <w:tc>
          <w:tcPr>
            <w:tcW w:w="9900" w:type="dxa"/>
          </w:tcPr>
          <w:p w14:paraId="07F04A04" w14:textId="29D79966" w:rsidR="00AA5091" w:rsidRPr="00E06F45" w:rsidRDefault="00AA5091">
            <w:pPr>
              <w:pStyle w:val="ListParagraph"/>
              <w:numPr>
                <w:ilvl w:val="0"/>
                <w:numId w:val="60"/>
              </w:numPr>
              <w:spacing w:after="0" w:line="240" w:lineRule="auto"/>
              <w:rPr>
                <w:sz w:val="20"/>
                <w:szCs w:val="20"/>
              </w:rPr>
            </w:pPr>
            <w:r w:rsidRPr="00E06F45">
              <w:rPr>
                <w:sz w:val="20"/>
                <w:szCs w:val="20"/>
              </w:rPr>
              <w:t>BMS/GSSC payroll staff prepares monthly payroll (global) for all offices/units.</w:t>
            </w:r>
          </w:p>
        </w:tc>
      </w:tr>
      <w:tr w:rsidR="007B1BE3" w:rsidRPr="003B0367" w14:paraId="55635648" w14:textId="77777777" w:rsidTr="363CA695">
        <w:trPr>
          <w:trHeight w:val="20"/>
        </w:trPr>
        <w:tc>
          <w:tcPr>
            <w:tcW w:w="9900" w:type="dxa"/>
          </w:tcPr>
          <w:p w14:paraId="4C14CF59" w14:textId="1B83AFEE" w:rsidR="00AA5091" w:rsidRPr="00E06F45" w:rsidRDefault="00AA5091">
            <w:pPr>
              <w:pStyle w:val="ListParagraph"/>
              <w:numPr>
                <w:ilvl w:val="0"/>
                <w:numId w:val="60"/>
              </w:numPr>
              <w:spacing w:after="0" w:line="240" w:lineRule="auto"/>
              <w:rPr>
                <w:sz w:val="20"/>
                <w:szCs w:val="20"/>
              </w:rPr>
            </w:pPr>
            <w:r w:rsidRPr="00E06F45">
              <w:rPr>
                <w:sz w:val="20"/>
                <w:szCs w:val="20"/>
              </w:rPr>
              <w:t>For local payroll, COs sends information on recurring and manual earnings and deductions to BMS/GSSC GP Administrator, ensuring all one-time earnings &amp; deductions (i.e., manual data entries) are duly approved by the Operations Manager/DRR prior to submission to BMS/GSSC.</w:t>
            </w:r>
          </w:p>
        </w:tc>
      </w:tr>
      <w:tr w:rsidR="007B1BE3" w:rsidRPr="003B0367" w14:paraId="6D0C4598" w14:textId="77777777" w:rsidTr="363CA695">
        <w:trPr>
          <w:trHeight w:val="20"/>
        </w:trPr>
        <w:tc>
          <w:tcPr>
            <w:tcW w:w="9900" w:type="dxa"/>
          </w:tcPr>
          <w:p w14:paraId="5A0AD7F9" w14:textId="4D4237E9" w:rsidR="00AA5091" w:rsidRPr="00E06F45" w:rsidRDefault="00AA5091">
            <w:pPr>
              <w:pStyle w:val="ListParagraph"/>
              <w:numPr>
                <w:ilvl w:val="0"/>
                <w:numId w:val="60"/>
              </w:numPr>
              <w:spacing w:after="0" w:line="240" w:lineRule="auto"/>
              <w:rPr>
                <w:sz w:val="20"/>
                <w:szCs w:val="20"/>
              </w:rPr>
            </w:pPr>
            <w:r w:rsidRPr="00E06F45">
              <w:rPr>
                <w:sz w:val="20"/>
                <w:szCs w:val="20"/>
              </w:rPr>
              <w:t>BMS/GSSC payroll staff prepares monthly payroll (local).</w:t>
            </w:r>
          </w:p>
        </w:tc>
      </w:tr>
      <w:tr w:rsidR="007B1BE3" w:rsidRPr="003B0367" w14:paraId="59447196" w14:textId="77777777" w:rsidTr="363CA695">
        <w:trPr>
          <w:trHeight w:val="20"/>
        </w:trPr>
        <w:tc>
          <w:tcPr>
            <w:tcW w:w="9900" w:type="dxa"/>
          </w:tcPr>
          <w:p w14:paraId="69C58321" w14:textId="381DD5D0" w:rsidR="00AA5091" w:rsidRPr="00E06F45" w:rsidRDefault="00AA5091">
            <w:pPr>
              <w:pStyle w:val="ListParagraph"/>
              <w:numPr>
                <w:ilvl w:val="0"/>
                <w:numId w:val="60"/>
              </w:numPr>
              <w:spacing w:after="0" w:line="240" w:lineRule="auto"/>
              <w:rPr>
                <w:sz w:val="20"/>
                <w:szCs w:val="20"/>
              </w:rPr>
            </w:pPr>
            <w:r w:rsidRPr="00E06F45">
              <w:rPr>
                <w:sz w:val="20"/>
                <w:szCs w:val="20"/>
              </w:rPr>
              <w:t>The GP Administrator verifies the global and local staff benefit and entitlement information in Quantum (as second authority, verifying officer), creates one-time and recurring earnings &amp; deductions, and performs the initial sign-off on the monthly payroll. Specifically, the GP Administrator approves monthly payroll after: (</w:t>
            </w:r>
            <w:proofErr w:type="spellStart"/>
            <w:r w:rsidRPr="00E06F45">
              <w:rPr>
                <w:sz w:val="20"/>
                <w:szCs w:val="20"/>
              </w:rPr>
              <w:t>i</w:t>
            </w:r>
            <w:proofErr w:type="spellEnd"/>
            <w:r w:rsidRPr="00E06F45">
              <w:rPr>
                <w:sz w:val="20"/>
                <w:szCs w:val="20"/>
              </w:rPr>
              <w:t>) validating policies &amp; procedures have been followed (Global &amp; Local); (ii) verifying benefits and entitlements of staff; (iii) creating one-time and recurring earnings &amp; deductions; and (iv) confirming the accuracy of non-standard variances (i.e., those variances that do not stem from changes to standard benefits, such as salary scale revisions, pension &amp; insurance enrollment, etc.) and resolving errors within a given month.</w:t>
            </w:r>
          </w:p>
        </w:tc>
      </w:tr>
      <w:tr w:rsidR="00147C55" w:rsidRPr="00887958" w14:paraId="70CF9EEC" w14:textId="77777777" w:rsidTr="363CA695">
        <w:trPr>
          <w:trHeight w:val="20"/>
        </w:trPr>
        <w:tc>
          <w:tcPr>
            <w:tcW w:w="9900" w:type="dxa"/>
            <w:shd w:val="clear" w:color="auto" w:fill="E1EED9"/>
          </w:tcPr>
          <w:p w14:paraId="2B477E93" w14:textId="77777777" w:rsidR="007936B7" w:rsidRDefault="007936B7" w:rsidP="00EB724F">
            <w:pPr>
              <w:spacing w:after="0" w:line="240" w:lineRule="auto"/>
              <w:rPr>
                <w:sz w:val="20"/>
                <w:szCs w:val="20"/>
              </w:rPr>
            </w:pPr>
            <w:r>
              <w:rPr>
                <w:b/>
                <w:bCs/>
                <w:sz w:val="20"/>
                <w:szCs w:val="20"/>
              </w:rPr>
              <w:t xml:space="preserve">IDAM HR Business Profile: </w:t>
            </w:r>
            <w:r w:rsidRPr="00887958">
              <w:rPr>
                <w:sz w:val="20"/>
                <w:szCs w:val="20"/>
              </w:rPr>
              <w:t xml:space="preserve">GP Administrator (assignment available only to </w:t>
            </w:r>
            <w:r>
              <w:rPr>
                <w:sz w:val="20"/>
                <w:szCs w:val="20"/>
              </w:rPr>
              <w:t xml:space="preserve">staff members in </w:t>
            </w:r>
            <w:r w:rsidRPr="00887958">
              <w:rPr>
                <w:sz w:val="20"/>
                <w:szCs w:val="20"/>
              </w:rPr>
              <w:t xml:space="preserve">BMS/GSSC and outposted HQ </w:t>
            </w:r>
            <w:r>
              <w:rPr>
                <w:sz w:val="20"/>
                <w:szCs w:val="20"/>
              </w:rPr>
              <w:t>locations</w:t>
            </w:r>
            <w:r w:rsidRPr="00887958">
              <w:rPr>
                <w:sz w:val="20"/>
                <w:szCs w:val="20"/>
              </w:rPr>
              <w:t>)</w:t>
            </w:r>
          </w:p>
        </w:tc>
      </w:tr>
      <w:tr w:rsidR="00147C55" w:rsidRPr="00887958" w14:paraId="6411B8C3" w14:textId="77777777" w:rsidTr="363CA695">
        <w:trPr>
          <w:trHeight w:val="20"/>
        </w:trPr>
        <w:tc>
          <w:tcPr>
            <w:tcW w:w="9900" w:type="dxa"/>
            <w:shd w:val="clear" w:color="auto" w:fill="E1EED9"/>
          </w:tcPr>
          <w:p w14:paraId="6810B58C" w14:textId="05C641D5" w:rsidR="007936B7" w:rsidRDefault="007936B7" w:rsidP="00EB724F">
            <w:pPr>
              <w:spacing w:after="0" w:line="240" w:lineRule="auto"/>
              <w:rPr>
                <w:sz w:val="20"/>
                <w:szCs w:val="20"/>
              </w:rPr>
            </w:pPr>
            <w:r>
              <w:rPr>
                <w:b/>
                <w:bCs/>
                <w:sz w:val="20"/>
                <w:szCs w:val="20"/>
              </w:rPr>
              <w:t xml:space="preserve">Required segregation of duties: </w:t>
            </w:r>
            <w:r w:rsidRPr="00887958">
              <w:rPr>
                <w:sz w:val="20"/>
                <w:szCs w:val="20"/>
              </w:rPr>
              <w:t xml:space="preserve">The </w:t>
            </w:r>
            <w:r>
              <w:rPr>
                <w:sz w:val="20"/>
                <w:szCs w:val="20"/>
              </w:rPr>
              <w:t>GP</w:t>
            </w:r>
            <w:r w:rsidRPr="00887958">
              <w:rPr>
                <w:sz w:val="20"/>
                <w:szCs w:val="20"/>
              </w:rPr>
              <w:t xml:space="preserve"> Administrator (as </w:t>
            </w:r>
            <w:r>
              <w:rPr>
                <w:sz w:val="20"/>
                <w:szCs w:val="20"/>
              </w:rPr>
              <w:t>second</w:t>
            </w:r>
            <w:r w:rsidRPr="00887958">
              <w:rPr>
                <w:sz w:val="20"/>
                <w:szCs w:val="20"/>
              </w:rPr>
              <w:t xml:space="preserve"> authority) cannot be a</w:t>
            </w:r>
            <w:r>
              <w:rPr>
                <w:sz w:val="20"/>
                <w:szCs w:val="20"/>
              </w:rPr>
              <w:t xml:space="preserve">n HR </w:t>
            </w:r>
            <w:r w:rsidRPr="00887958">
              <w:rPr>
                <w:sz w:val="20"/>
                <w:szCs w:val="20"/>
              </w:rPr>
              <w:t>Administrator (</w:t>
            </w:r>
            <w:r>
              <w:rPr>
                <w:sz w:val="20"/>
                <w:szCs w:val="20"/>
              </w:rPr>
              <w:t>first</w:t>
            </w:r>
            <w:r w:rsidRPr="00887958">
              <w:rPr>
                <w:sz w:val="20"/>
                <w:szCs w:val="20"/>
              </w:rPr>
              <w:t xml:space="preserve"> authority) or a </w:t>
            </w:r>
            <w:r w:rsidR="00AA5091">
              <w:rPr>
                <w:sz w:val="20"/>
                <w:szCs w:val="20"/>
              </w:rPr>
              <w:t>Disbursing Officer - Payroll</w:t>
            </w:r>
            <w:r w:rsidRPr="00887958">
              <w:rPr>
                <w:sz w:val="20"/>
                <w:szCs w:val="20"/>
              </w:rPr>
              <w:t xml:space="preserve"> (third authority)</w:t>
            </w:r>
          </w:p>
        </w:tc>
      </w:tr>
    </w:tbl>
    <w:p w14:paraId="16EA092D" w14:textId="77777777" w:rsidR="007936B7" w:rsidRPr="00CB77E1" w:rsidRDefault="007936B7" w:rsidP="007936B7">
      <w:pPr>
        <w:rPr>
          <w:sz w:val="8"/>
          <w:szCs w:val="8"/>
        </w:rPr>
      </w:pPr>
    </w:p>
    <w:p w14:paraId="2B6ED240" w14:textId="7BAF1865" w:rsidR="007936B7" w:rsidRDefault="007936B7">
      <w:pPr>
        <w:pStyle w:val="Heading2"/>
        <w:numPr>
          <w:ilvl w:val="1"/>
          <w:numId w:val="92"/>
        </w:numPr>
        <w:spacing w:after="240"/>
        <w:ind w:left="360"/>
      </w:pPr>
      <w:bookmarkStart w:id="83" w:name="9.4_Disbursing_Officer_–_Payroll_(third_"/>
      <w:bookmarkStart w:id="84" w:name="_Toc134134780"/>
      <w:bookmarkStart w:id="85" w:name="_Toc210052779"/>
      <w:bookmarkEnd w:id="83"/>
      <w:r>
        <w:t>Disbursing Officer</w:t>
      </w:r>
      <w:r w:rsidRPr="00976542">
        <w:t xml:space="preserve"> – Payroll (third authority, disbursement officer)</w:t>
      </w:r>
      <w:bookmarkEnd w:id="84"/>
      <w:bookmarkEnd w:id="85"/>
    </w:p>
    <w:p w14:paraId="5BD44386" w14:textId="64ADEB00" w:rsidR="007936B7" w:rsidRDefault="007936B7" w:rsidP="00EB724F">
      <w:pPr>
        <w:spacing w:line="240" w:lineRule="auto"/>
      </w:pPr>
      <w:r w:rsidRPr="363CA695">
        <w:t>The Disbursing Officer – Payroll equates to the “disbursing officer” in UNDP Financial Regulation 20.02 (b). This role constitutes the third authority in the global and local payroll processes and performs the final sign-off on monthly payrolls, authorizing payments to be disbursed. Only UNDP staff members may be designated as Disbursing Officer - Payroll. This function is performed by the BMS/GSSC for all UNDP offices</w:t>
      </w:r>
      <w:r w:rsidR="00407CD4" w:rsidRPr="363CA695">
        <w:t>/units</w:t>
      </w:r>
      <w:r w:rsidRPr="363CA695">
        <w:t xml:space="preserve">, except for outposted HQ locations. </w:t>
      </w:r>
    </w:p>
    <w:p w14:paraId="39BBD22D" w14:textId="1BD01EB4" w:rsidR="007936B7" w:rsidRPr="00976542" w:rsidRDefault="007936B7" w:rsidP="00EB724F">
      <w:pPr>
        <w:spacing w:line="240" w:lineRule="auto"/>
      </w:pPr>
      <w:r w:rsidRPr="363CA695">
        <w:t>For Country Offices</w:t>
      </w:r>
      <w:r w:rsidR="00407CD4" w:rsidRPr="363CA695">
        <w:t>/units</w:t>
      </w:r>
      <w:r w:rsidRPr="363CA695">
        <w:t>, the local office</w:t>
      </w:r>
      <w:r w:rsidR="00407CD4" w:rsidRPr="363CA695">
        <w:t>/unit</w:t>
      </w:r>
      <w:r w:rsidRPr="363CA695">
        <w:t xml:space="preserve"> Bank Signatories perform part (b) of the third authority role by: (</w:t>
      </w:r>
      <w:proofErr w:type="spellStart"/>
      <w:r w:rsidRPr="363CA695">
        <w:t>i</w:t>
      </w:r>
      <w:proofErr w:type="spellEnd"/>
      <w:r w:rsidRPr="363CA695">
        <w:t>) reviewing and signing cheques; (ii) signing the transmittal letter to the bank for local EFT interfaces; and (iii) electronically approving payment via the local bank’s software for local payroll payments.</w:t>
      </w: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976542" w14:paraId="079FED77" w14:textId="77777777" w:rsidTr="006A7B6C">
        <w:trPr>
          <w:trHeight w:val="485"/>
        </w:trPr>
        <w:tc>
          <w:tcPr>
            <w:tcW w:w="9900" w:type="dxa"/>
            <w:shd w:val="clear" w:color="auto" w:fill="FFF1CC"/>
          </w:tcPr>
          <w:p w14:paraId="757AEB40" w14:textId="4ADD9EDF" w:rsidR="007936B7" w:rsidRPr="00976542" w:rsidRDefault="007936B7" w:rsidP="006A7B6C">
            <w:pPr>
              <w:spacing w:after="0"/>
            </w:pPr>
            <w:r w:rsidRPr="002951E2">
              <w:rPr>
                <w:b/>
                <w:bCs/>
              </w:rPr>
              <w:t>Disbursing Officer – Payroll (third authority, disbursement officer):</w:t>
            </w:r>
            <w:r w:rsidRPr="00887958">
              <w:rPr>
                <w:b/>
                <w:bCs/>
                <w:sz w:val="20"/>
                <w:szCs w:val="20"/>
              </w:rPr>
              <w:t xml:space="preserve"> Internal Control Responsibilities </w:t>
            </w:r>
            <w:r>
              <w:rPr>
                <w:b/>
                <w:bCs/>
                <w:sz w:val="20"/>
                <w:szCs w:val="20"/>
              </w:rPr>
              <w:t>p</w:t>
            </w:r>
            <w:r w:rsidRPr="00887958">
              <w:rPr>
                <w:b/>
                <w:bCs/>
                <w:sz w:val="20"/>
                <w:szCs w:val="20"/>
              </w:rPr>
              <w:t xml:space="preserve">erformed </w:t>
            </w:r>
            <w:r>
              <w:rPr>
                <w:b/>
                <w:bCs/>
                <w:sz w:val="20"/>
                <w:szCs w:val="20"/>
              </w:rPr>
              <w:t xml:space="preserve">by </w:t>
            </w:r>
            <w:r w:rsidRPr="00887958">
              <w:rPr>
                <w:b/>
                <w:bCs/>
                <w:sz w:val="20"/>
                <w:szCs w:val="20"/>
              </w:rPr>
              <w:t>BMS/GSSC for all offices</w:t>
            </w:r>
            <w:r w:rsidR="00407CD4">
              <w:rPr>
                <w:b/>
                <w:bCs/>
                <w:sz w:val="20"/>
                <w:szCs w:val="20"/>
              </w:rPr>
              <w:t>/units</w:t>
            </w:r>
            <w:r w:rsidRPr="00887958">
              <w:rPr>
                <w:b/>
                <w:bCs/>
                <w:sz w:val="20"/>
                <w:szCs w:val="20"/>
              </w:rPr>
              <w:t>, except local payroll in outposted HQ locations</w:t>
            </w:r>
          </w:p>
        </w:tc>
      </w:tr>
      <w:tr w:rsidR="007B1BE3" w:rsidRPr="00976542" w14:paraId="5EEDEEF1" w14:textId="77777777" w:rsidTr="006A7B6C">
        <w:trPr>
          <w:trHeight w:val="710"/>
        </w:trPr>
        <w:tc>
          <w:tcPr>
            <w:tcW w:w="9900" w:type="dxa"/>
          </w:tcPr>
          <w:p w14:paraId="1D65A169" w14:textId="77777777" w:rsidR="007936B7" w:rsidRPr="002951E2" w:rsidRDefault="007936B7">
            <w:pPr>
              <w:pStyle w:val="ListParagraph"/>
              <w:widowControl w:val="0"/>
              <w:numPr>
                <w:ilvl w:val="0"/>
                <w:numId w:val="99"/>
              </w:numPr>
              <w:autoSpaceDE w:val="0"/>
              <w:autoSpaceDN w:val="0"/>
              <w:spacing w:after="0" w:line="240" w:lineRule="auto"/>
              <w:rPr>
                <w:sz w:val="20"/>
                <w:szCs w:val="20"/>
              </w:rPr>
            </w:pPr>
            <w:r>
              <w:rPr>
                <w:sz w:val="20"/>
                <w:szCs w:val="20"/>
              </w:rPr>
              <w:t>Performs f</w:t>
            </w:r>
            <w:r w:rsidRPr="002951E2">
              <w:rPr>
                <w:sz w:val="20"/>
                <w:szCs w:val="20"/>
              </w:rPr>
              <w:t xml:space="preserve">inal sign-off on monthly payroll, authorizing payment be disbursed (Global &amp; Local) - This approval confirms that payroll amounts are correct and ready for </w:t>
            </w:r>
            <w:proofErr w:type="gramStart"/>
            <w:r w:rsidRPr="002951E2">
              <w:rPr>
                <w:sz w:val="20"/>
                <w:szCs w:val="20"/>
              </w:rPr>
              <w:t>disbursement, and</w:t>
            </w:r>
            <w:proofErr w:type="gramEnd"/>
            <w:r w:rsidRPr="002951E2">
              <w:rPr>
                <w:sz w:val="20"/>
                <w:szCs w:val="20"/>
              </w:rPr>
              <w:t xml:space="preserve"> automatically sends an email notification to the Global Payroll Services to request payroll finalization.</w:t>
            </w:r>
          </w:p>
        </w:tc>
      </w:tr>
      <w:tr w:rsidR="00147C55" w:rsidRPr="00976542" w14:paraId="067C8B54" w14:textId="77777777" w:rsidTr="006A7B6C">
        <w:trPr>
          <w:trHeight w:val="377"/>
        </w:trPr>
        <w:tc>
          <w:tcPr>
            <w:tcW w:w="9900" w:type="dxa"/>
            <w:shd w:val="clear" w:color="auto" w:fill="E2EFD9" w:themeFill="accent6" w:themeFillTint="33"/>
          </w:tcPr>
          <w:p w14:paraId="68F47D6C" w14:textId="77777777" w:rsidR="007936B7" w:rsidRPr="002951E2" w:rsidRDefault="007936B7" w:rsidP="00E116D4">
            <w:pPr>
              <w:spacing w:after="0" w:line="240" w:lineRule="auto"/>
              <w:rPr>
                <w:sz w:val="20"/>
                <w:szCs w:val="20"/>
              </w:rPr>
            </w:pPr>
            <w:r w:rsidRPr="002951E2">
              <w:rPr>
                <w:b/>
                <w:bCs/>
                <w:sz w:val="20"/>
                <w:szCs w:val="20"/>
              </w:rPr>
              <w:t xml:space="preserve">IDAM </w:t>
            </w:r>
            <w:r>
              <w:rPr>
                <w:b/>
                <w:bCs/>
                <w:sz w:val="20"/>
                <w:szCs w:val="20"/>
              </w:rPr>
              <w:t xml:space="preserve">HR </w:t>
            </w:r>
            <w:r w:rsidRPr="002951E2">
              <w:rPr>
                <w:b/>
                <w:bCs/>
                <w:sz w:val="20"/>
                <w:szCs w:val="20"/>
              </w:rPr>
              <w:t xml:space="preserve">Business Profile: </w:t>
            </w:r>
            <w:r w:rsidRPr="002951E2">
              <w:rPr>
                <w:sz w:val="20"/>
                <w:szCs w:val="20"/>
              </w:rPr>
              <w:t xml:space="preserve">Payroll Validation Tool User (assignment available only to staff </w:t>
            </w:r>
            <w:r>
              <w:rPr>
                <w:sz w:val="20"/>
                <w:szCs w:val="20"/>
              </w:rPr>
              <w:t xml:space="preserve">members </w:t>
            </w:r>
            <w:r w:rsidRPr="002951E2">
              <w:rPr>
                <w:sz w:val="20"/>
                <w:szCs w:val="20"/>
              </w:rPr>
              <w:t>in BMS/GSSC and outposted HQ locations)</w:t>
            </w:r>
          </w:p>
        </w:tc>
      </w:tr>
      <w:tr w:rsidR="00147C55" w:rsidRPr="00976542" w14:paraId="73A089F1" w14:textId="77777777" w:rsidTr="006A7B6C">
        <w:trPr>
          <w:trHeight w:val="458"/>
        </w:trPr>
        <w:tc>
          <w:tcPr>
            <w:tcW w:w="9900" w:type="dxa"/>
            <w:shd w:val="clear" w:color="auto" w:fill="D9D9D9" w:themeFill="background1" w:themeFillShade="D9"/>
          </w:tcPr>
          <w:p w14:paraId="72F9C8FD" w14:textId="663FA03D" w:rsidR="007936B7" w:rsidRPr="00976542" w:rsidRDefault="007936B7" w:rsidP="00E116D4">
            <w:pPr>
              <w:spacing w:after="0" w:line="240" w:lineRule="auto"/>
            </w:pPr>
            <w:r>
              <w:rPr>
                <w:b/>
                <w:bCs/>
                <w:sz w:val="20"/>
                <w:szCs w:val="20"/>
              </w:rPr>
              <w:t xml:space="preserve">Required segregation of duties: </w:t>
            </w:r>
            <w:r w:rsidRPr="002951E2">
              <w:rPr>
                <w:sz w:val="20"/>
                <w:szCs w:val="20"/>
              </w:rPr>
              <w:t>The</w:t>
            </w:r>
            <w:r>
              <w:rPr>
                <w:b/>
                <w:bCs/>
                <w:sz w:val="20"/>
                <w:szCs w:val="20"/>
              </w:rPr>
              <w:t xml:space="preserve"> </w:t>
            </w:r>
            <w:r w:rsidR="009D421C" w:rsidRPr="009D421C">
              <w:rPr>
                <w:sz w:val="20"/>
                <w:szCs w:val="20"/>
              </w:rPr>
              <w:t>Disbursing Officer -</w:t>
            </w:r>
            <w:r w:rsidR="009D421C">
              <w:rPr>
                <w:b/>
                <w:bCs/>
                <w:sz w:val="20"/>
                <w:szCs w:val="20"/>
              </w:rPr>
              <w:t xml:space="preserve"> </w:t>
            </w:r>
            <w:r>
              <w:rPr>
                <w:sz w:val="20"/>
                <w:szCs w:val="20"/>
              </w:rPr>
              <w:t xml:space="preserve">Payroll </w:t>
            </w:r>
            <w:r w:rsidRPr="00887958">
              <w:rPr>
                <w:sz w:val="20"/>
                <w:szCs w:val="20"/>
              </w:rPr>
              <w:t xml:space="preserve">(as </w:t>
            </w:r>
            <w:r>
              <w:rPr>
                <w:sz w:val="20"/>
                <w:szCs w:val="20"/>
              </w:rPr>
              <w:t>third</w:t>
            </w:r>
            <w:r w:rsidRPr="00887958">
              <w:rPr>
                <w:sz w:val="20"/>
                <w:szCs w:val="20"/>
              </w:rPr>
              <w:t xml:space="preserve"> authority) cannot be a</w:t>
            </w:r>
            <w:r>
              <w:rPr>
                <w:sz w:val="20"/>
                <w:szCs w:val="20"/>
              </w:rPr>
              <w:t xml:space="preserve">n HR </w:t>
            </w:r>
            <w:r w:rsidRPr="00887958">
              <w:rPr>
                <w:sz w:val="20"/>
                <w:szCs w:val="20"/>
              </w:rPr>
              <w:t>Administrator (</w:t>
            </w:r>
            <w:r>
              <w:rPr>
                <w:sz w:val="20"/>
                <w:szCs w:val="20"/>
              </w:rPr>
              <w:t>first</w:t>
            </w:r>
            <w:r w:rsidRPr="00887958">
              <w:rPr>
                <w:sz w:val="20"/>
                <w:szCs w:val="20"/>
              </w:rPr>
              <w:t xml:space="preserve"> authority) or a </w:t>
            </w:r>
            <w:r>
              <w:rPr>
                <w:sz w:val="20"/>
                <w:szCs w:val="20"/>
              </w:rPr>
              <w:t>GP Administrator</w:t>
            </w:r>
            <w:r w:rsidRPr="00887958">
              <w:rPr>
                <w:sz w:val="20"/>
                <w:szCs w:val="20"/>
              </w:rPr>
              <w:t xml:space="preserve"> (</w:t>
            </w:r>
            <w:r>
              <w:rPr>
                <w:sz w:val="20"/>
                <w:szCs w:val="20"/>
              </w:rPr>
              <w:t>second</w:t>
            </w:r>
            <w:r w:rsidRPr="00887958">
              <w:rPr>
                <w:sz w:val="20"/>
                <w:szCs w:val="20"/>
              </w:rPr>
              <w:t xml:space="preserve"> authority)</w:t>
            </w:r>
            <w:r w:rsidR="009D421C">
              <w:rPr>
                <w:sz w:val="20"/>
                <w:szCs w:val="20"/>
              </w:rPr>
              <w:t>.</w:t>
            </w:r>
          </w:p>
        </w:tc>
      </w:tr>
    </w:tbl>
    <w:p w14:paraId="3B97A97F" w14:textId="70D8E273" w:rsidR="008E2319" w:rsidRDefault="008E2319">
      <w:pPr>
        <w:rPr>
          <w:sz w:val="8"/>
          <w:szCs w:val="8"/>
        </w:rPr>
      </w:pPr>
    </w:p>
    <w:p w14:paraId="7DD4526C" w14:textId="3A62D82B" w:rsidR="009D421C" w:rsidRPr="00E06F45" w:rsidRDefault="009D421C">
      <w:pPr>
        <w:rPr>
          <w:u w:val="single"/>
        </w:rPr>
      </w:pPr>
      <w:r w:rsidRPr="00E06F45">
        <w:rPr>
          <w:u w:val="single"/>
        </w:rPr>
        <w:t>Overview of the Payroll Process:</w:t>
      </w:r>
    </w:p>
    <w:p w14:paraId="6EFC0377" w14:textId="46F70029" w:rsidR="009D421C" w:rsidRDefault="009D421C">
      <w:r w:rsidRPr="009D421C">
        <w:rPr>
          <w:noProof/>
        </w:rPr>
        <w:drawing>
          <wp:inline distT="0" distB="0" distL="0" distR="0" wp14:anchorId="0CCDF3A6" wp14:editId="76826791">
            <wp:extent cx="6309360" cy="948690"/>
            <wp:effectExtent l="0" t="0" r="0" b="3810"/>
            <wp:docPr id="171301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12334" name=""/>
                    <pic:cNvPicPr/>
                  </pic:nvPicPr>
                  <pic:blipFill>
                    <a:blip r:embed="rId132"/>
                    <a:stretch>
                      <a:fillRect/>
                    </a:stretch>
                  </pic:blipFill>
                  <pic:spPr>
                    <a:xfrm>
                      <a:off x="0" y="0"/>
                      <a:ext cx="6309360" cy="948690"/>
                    </a:xfrm>
                    <a:prstGeom prst="rect">
                      <a:avLst/>
                    </a:prstGeom>
                  </pic:spPr>
                </pic:pic>
              </a:graphicData>
            </a:graphic>
          </wp:inline>
        </w:drawing>
      </w:r>
    </w:p>
    <w:p w14:paraId="3D811C87" w14:textId="21EFAD86" w:rsidR="00410158" w:rsidRPr="00410158" w:rsidRDefault="00410158">
      <w:pPr>
        <w:rPr>
          <w:color w:val="ED7D31" w:themeColor="accent2"/>
        </w:rPr>
      </w:pPr>
      <w:r w:rsidRPr="00E06F45">
        <w:lastRenderedPageBreak/>
        <w:t xml:space="preserve">For more information on BMS/GSSC Payroll </w:t>
      </w:r>
      <w:r w:rsidR="00DD7778" w:rsidRPr="00E06F45">
        <w:t xml:space="preserve">(including </w:t>
      </w:r>
      <w:r w:rsidRPr="00E06F45">
        <w:t>Position Management</w:t>
      </w:r>
      <w:r w:rsidR="00DD7778" w:rsidRPr="00E06F45">
        <w:t>)</w:t>
      </w:r>
      <w:r w:rsidRPr="00E06F45">
        <w:t xml:space="preserve"> services, refer to the </w:t>
      </w:r>
      <w:hyperlink r:id="rId133" w:history="1">
        <w:r w:rsidRPr="00E06F45">
          <w:rPr>
            <w:rStyle w:val="Hyperlink"/>
            <w:color w:val="4472C4" w:themeColor="accent1"/>
          </w:rPr>
          <w:t>BMS/GSSC SharePoint site.</w:t>
        </w:r>
      </w:hyperlink>
    </w:p>
    <w:p w14:paraId="7AF4B9C1" w14:textId="77777777" w:rsidR="008022CF" w:rsidRPr="00011B58" w:rsidRDefault="008022CF">
      <w:pPr>
        <w:rPr>
          <w:sz w:val="8"/>
          <w:szCs w:val="8"/>
        </w:rPr>
      </w:pPr>
    </w:p>
    <w:p w14:paraId="6F749B20" w14:textId="1C788065" w:rsidR="00A23055" w:rsidRDefault="00A23055">
      <w:pPr>
        <w:pStyle w:val="Heading2"/>
        <w:numPr>
          <w:ilvl w:val="1"/>
          <w:numId w:val="92"/>
        </w:numPr>
        <w:spacing w:after="240"/>
        <w:ind w:left="360"/>
      </w:pPr>
      <w:bookmarkStart w:id="86" w:name="_Toc210052780"/>
      <w:bookmarkEnd w:id="82"/>
      <w:r>
        <w:t>Position Administration</w:t>
      </w:r>
      <w:r w:rsidR="00DD1EBD">
        <w:t xml:space="preserve"> (various roles)</w:t>
      </w:r>
      <w:bookmarkEnd w:id="86"/>
    </w:p>
    <w:p w14:paraId="08A8FF4E" w14:textId="40FC1E52" w:rsidR="005B305C" w:rsidRPr="00863D5F" w:rsidRDefault="005B305C" w:rsidP="363CA695">
      <w:pPr>
        <w:spacing w:line="240" w:lineRule="auto"/>
        <w:rPr>
          <w:color w:val="ED7D31" w:themeColor="accent2"/>
        </w:rPr>
      </w:pPr>
      <w:r w:rsidRPr="363CA695">
        <w:t xml:space="preserve">‘Position Administration’ refers to creating and maintaining position records in Quantum. This is an </w:t>
      </w:r>
      <w:r w:rsidRPr="363CA695">
        <w:rPr>
          <w:b/>
          <w:bCs/>
        </w:rPr>
        <w:t xml:space="preserve">important internal control function </w:t>
      </w:r>
      <w:r w:rsidRPr="363CA695">
        <w:t>as it impacts funding arrangements for creation and extension of p</w:t>
      </w:r>
      <w:r w:rsidRPr="006779F5">
        <w:t>ositions</w:t>
      </w:r>
      <w:r w:rsidR="006779F5">
        <w:t>. T</w:t>
      </w:r>
      <w:r w:rsidR="006779F5" w:rsidRPr="006779F5">
        <w:t xml:space="preserve">he final approval </w:t>
      </w:r>
      <w:r w:rsidR="003A04B2">
        <w:t>of</w:t>
      </w:r>
      <w:r w:rsidR="00F24C66">
        <w:t xml:space="preserve"> the position administration action</w:t>
      </w:r>
      <w:r w:rsidR="00C152B6" w:rsidRPr="006779F5">
        <w:t xml:space="preserve"> </w:t>
      </w:r>
      <w:r w:rsidR="00C152B6" w:rsidRPr="006779F5">
        <w:rPr>
          <w:b/>
          <w:bCs/>
        </w:rPr>
        <w:t xml:space="preserve">must be performed by </w:t>
      </w:r>
      <w:r w:rsidR="006779F5" w:rsidRPr="006779F5">
        <w:rPr>
          <w:b/>
          <w:bCs/>
        </w:rPr>
        <w:t>the Head of Office</w:t>
      </w:r>
      <w:r w:rsidRPr="363CA695">
        <w:rPr>
          <w:b/>
          <w:bCs/>
        </w:rPr>
        <w:t xml:space="preserve">. </w:t>
      </w:r>
      <w:r w:rsidRPr="00E06F45">
        <w:t>The Position Administration process is executed within Quantum and includes approval from HR Focal Points and Budget Reviewers in each Country Office/Bureau/Unit, followed by conditional approvals by the Head of Office</w:t>
      </w:r>
      <w:r w:rsidR="00407CD4" w:rsidRPr="00E06F45">
        <w:t>/Unit</w:t>
      </w:r>
      <w:r w:rsidRPr="00E06F45">
        <w:t xml:space="preserve"> and Bureau level approver</w:t>
      </w:r>
      <w:r w:rsidR="00C152B6" w:rsidRPr="00E06F45">
        <w:t>,</w:t>
      </w:r>
      <w:r w:rsidRPr="00E06F45">
        <w:t xml:space="preserve"> followed by</w:t>
      </w:r>
      <w:r w:rsidR="00863D5F" w:rsidRPr="00E06F45">
        <w:t xml:space="preserve"> a final</w:t>
      </w:r>
      <w:r w:rsidRPr="00E06F45">
        <w:t xml:space="preserve"> </w:t>
      </w:r>
      <w:r w:rsidR="00863D5F" w:rsidRPr="00E06F45">
        <w:t>BMS/</w:t>
      </w:r>
      <w:r w:rsidRPr="00E06F45">
        <w:t>GSSC review</w:t>
      </w:r>
      <w:r w:rsidR="00DD1EBD">
        <w:t xml:space="preserve"> prior to executing the transaction in Quantum</w:t>
      </w:r>
      <w:r w:rsidRPr="00E06F45">
        <w:t>.</w:t>
      </w:r>
      <w:r w:rsidR="00863D5F" w:rsidRPr="00E06F45">
        <w:t xml:space="preserve"> </w:t>
      </w:r>
      <w:r w:rsidR="00FC3D4B" w:rsidRPr="00E06F45">
        <w:t xml:space="preserve">For more information, refer to the </w:t>
      </w:r>
      <w:hyperlink r:id="rId134">
        <w:r w:rsidR="00FC3D4B" w:rsidRPr="363CA695">
          <w:rPr>
            <w:rStyle w:val="Hyperlink"/>
          </w:rPr>
          <w:t>UNall Knowledge Article</w:t>
        </w:r>
      </w:hyperlink>
      <w:r w:rsidR="00FC3D4B" w:rsidRPr="363CA695">
        <w:rPr>
          <w:color w:val="ED7D31" w:themeColor="accent2"/>
        </w:rPr>
        <w:t xml:space="preserve">. </w:t>
      </w:r>
      <w:r w:rsidR="00863D5F" w:rsidRPr="00E06F45">
        <w:t xml:space="preserve">Prior to establishing the position in Quantum, relevant approvals </w:t>
      </w:r>
      <w:r w:rsidR="00DD1EBD">
        <w:t xml:space="preserve">must </w:t>
      </w:r>
      <w:r w:rsidR="00863D5F" w:rsidRPr="00E06F45">
        <w:t xml:space="preserve">have been provided, funds availability </w:t>
      </w:r>
      <w:r w:rsidR="00DD1EBD">
        <w:t>must be</w:t>
      </w:r>
      <w:r w:rsidR="00863D5F" w:rsidRPr="00E06F45">
        <w:t xml:space="preserve"> confirmed, and adequate supporting documents </w:t>
      </w:r>
      <w:r w:rsidR="00DD1EBD">
        <w:t xml:space="preserve">must </w:t>
      </w:r>
      <w:r w:rsidR="00863D5F" w:rsidRPr="00E06F45">
        <w:t>exist</w:t>
      </w:r>
      <w:r w:rsidR="00FC3D4B" w:rsidRPr="00E06F45">
        <w:t xml:space="preserve">. </w:t>
      </w:r>
      <w:r w:rsidR="00C152B6" w:rsidRPr="00E06F45">
        <w:t xml:space="preserve">A </w:t>
      </w:r>
      <w:r w:rsidRPr="00E06F45">
        <w:t xml:space="preserve">position will be created in Quantum following all approval and review steps, as illustrated below: </w:t>
      </w:r>
    </w:p>
    <w:p w14:paraId="7F5636D9" w14:textId="496FF2B8" w:rsidR="00174A58" w:rsidRPr="00A23055" w:rsidRDefault="00174A58" w:rsidP="00A25367">
      <w:pPr>
        <w:jc w:val="center"/>
      </w:pPr>
      <w:r>
        <w:rPr>
          <w:rFonts w:ascii="Times New Roman" w:hAnsi="Times New Roman" w:cs="Times New Roman"/>
          <w:noProof/>
          <w:color w:val="212121"/>
          <w14:ligatures w14:val="none"/>
        </w:rPr>
        <w:drawing>
          <wp:inline distT="0" distB="0" distL="0" distR="0" wp14:anchorId="66BF490B" wp14:editId="2616080F">
            <wp:extent cx="4775981" cy="2184686"/>
            <wp:effectExtent l="0" t="0" r="5715" b="6350"/>
            <wp:docPr id="1857637557" name="Picture 7" descr="A diagram of a company's prog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diagram of a company's progress&#10;&#10;Description automatically generated"/>
                    <pic:cNvPicPr>
                      <a:picLocks noChangeAspect="1" noChangeArrowheads="1"/>
                    </pic:cNvPicPr>
                  </pic:nvPicPr>
                  <pic:blipFill>
                    <a:blip r:embed="rId135" r:link="rId136">
                      <a:extLst>
                        <a:ext uri="{28A0092B-C50C-407E-A947-70E740481C1C}">
                          <a14:useLocalDpi xmlns:a14="http://schemas.microsoft.com/office/drawing/2010/main" val="0"/>
                        </a:ext>
                      </a:extLst>
                    </a:blip>
                    <a:srcRect/>
                    <a:stretch>
                      <a:fillRect/>
                    </a:stretch>
                  </pic:blipFill>
                  <pic:spPr bwMode="auto">
                    <a:xfrm>
                      <a:off x="0" y="0"/>
                      <a:ext cx="4899891" cy="2241366"/>
                    </a:xfrm>
                    <a:prstGeom prst="rect">
                      <a:avLst/>
                    </a:prstGeom>
                    <a:noFill/>
                    <a:ln>
                      <a:noFill/>
                    </a:ln>
                  </pic:spPr>
                </pic:pic>
              </a:graphicData>
            </a:graphic>
          </wp:inline>
        </w:drawing>
      </w:r>
    </w:p>
    <w:tbl>
      <w:tblPr>
        <w:tblStyle w:val="TableGrid"/>
        <w:tblW w:w="10255" w:type="dxa"/>
        <w:tblCellMar>
          <w:left w:w="72" w:type="dxa"/>
          <w:bottom w:w="43" w:type="dxa"/>
          <w:right w:w="72" w:type="dxa"/>
        </w:tblCellMar>
        <w:tblLook w:val="04A0" w:firstRow="1" w:lastRow="0" w:firstColumn="1" w:lastColumn="0" w:noHBand="0" w:noVBand="1"/>
      </w:tblPr>
      <w:tblGrid>
        <w:gridCol w:w="4585"/>
        <w:gridCol w:w="4140"/>
        <w:gridCol w:w="1530"/>
      </w:tblGrid>
      <w:tr w:rsidR="006B6603" w:rsidRPr="002E4B2B" w14:paraId="5F169123" w14:textId="3DA2D7F3" w:rsidTr="006B6603">
        <w:trPr>
          <w:trHeight w:val="20"/>
          <w:tblHeader/>
        </w:trPr>
        <w:tc>
          <w:tcPr>
            <w:tcW w:w="4585" w:type="dxa"/>
            <w:shd w:val="clear" w:color="auto" w:fill="002060"/>
          </w:tcPr>
          <w:p w14:paraId="4498B33E" w14:textId="06C4E5DE" w:rsidR="006B6603" w:rsidRPr="00E06F45" w:rsidRDefault="006B6603" w:rsidP="00DE4462">
            <w:pPr>
              <w:rPr>
                <w:b/>
                <w:bCs/>
                <w:sz w:val="20"/>
                <w:szCs w:val="20"/>
              </w:rPr>
            </w:pPr>
            <w:r w:rsidRPr="00E06F45">
              <w:rPr>
                <w:b/>
                <w:bCs/>
                <w:sz w:val="20"/>
                <w:szCs w:val="20"/>
              </w:rPr>
              <w:t>Participant and their role</w:t>
            </w:r>
          </w:p>
        </w:tc>
        <w:tc>
          <w:tcPr>
            <w:tcW w:w="4140" w:type="dxa"/>
            <w:shd w:val="clear" w:color="auto" w:fill="002060"/>
          </w:tcPr>
          <w:p w14:paraId="312121B3" w14:textId="35F0E4DD" w:rsidR="006B6603" w:rsidRPr="00E06F45" w:rsidRDefault="006B6603" w:rsidP="00DE4462">
            <w:pPr>
              <w:rPr>
                <w:b/>
                <w:bCs/>
                <w:sz w:val="20"/>
                <w:szCs w:val="20"/>
              </w:rPr>
            </w:pPr>
            <w:r w:rsidRPr="00E06F45">
              <w:rPr>
                <w:b/>
                <w:bCs/>
                <w:sz w:val="20"/>
                <w:szCs w:val="20"/>
              </w:rPr>
              <w:t>Holds one of the following IDAM HR business profiles</w:t>
            </w:r>
          </w:p>
        </w:tc>
        <w:tc>
          <w:tcPr>
            <w:tcW w:w="1530" w:type="dxa"/>
            <w:shd w:val="clear" w:color="auto" w:fill="002060"/>
          </w:tcPr>
          <w:p w14:paraId="2B436364" w14:textId="7734BF63" w:rsidR="006B6603" w:rsidRPr="00E06F45" w:rsidRDefault="006B6603" w:rsidP="00DE4462">
            <w:pPr>
              <w:rPr>
                <w:b/>
                <w:bCs/>
                <w:sz w:val="20"/>
                <w:szCs w:val="20"/>
              </w:rPr>
            </w:pPr>
            <w:r w:rsidRPr="00E06F45">
              <w:rPr>
                <w:b/>
                <w:bCs/>
                <w:sz w:val="20"/>
                <w:szCs w:val="20"/>
              </w:rPr>
              <w:t>Roles assignable to non-staff</w:t>
            </w:r>
          </w:p>
        </w:tc>
      </w:tr>
      <w:tr w:rsidR="006B6603" w:rsidRPr="002E4B2B" w14:paraId="5299D4B1" w14:textId="5348AC33" w:rsidTr="006B6603">
        <w:trPr>
          <w:trHeight w:val="20"/>
        </w:trPr>
        <w:tc>
          <w:tcPr>
            <w:tcW w:w="4585" w:type="dxa"/>
          </w:tcPr>
          <w:p w14:paraId="7E3AB436" w14:textId="3836CC68" w:rsidR="006B6603" w:rsidRPr="00E06F45" w:rsidRDefault="006B6603">
            <w:pPr>
              <w:pStyle w:val="ListParagraph"/>
              <w:numPr>
                <w:ilvl w:val="0"/>
                <w:numId w:val="37"/>
              </w:numPr>
              <w:rPr>
                <w:b/>
                <w:bCs/>
                <w:sz w:val="20"/>
                <w:szCs w:val="20"/>
              </w:rPr>
            </w:pPr>
            <w:r w:rsidRPr="00E06F45">
              <w:rPr>
                <w:rFonts w:eastAsia="Times New Roman" w:cstheme="minorHAnsi"/>
                <w:b/>
                <w:bCs/>
                <w:kern w:val="0"/>
                <w:sz w:val="20"/>
                <w:szCs w:val="20"/>
                <w14:ligatures w14:val="none"/>
              </w:rPr>
              <w:t>Requestor</w:t>
            </w:r>
            <w:r w:rsidRPr="00E06F45">
              <w:rPr>
                <w:rFonts w:eastAsia="Times New Roman" w:cstheme="minorHAnsi"/>
                <w:kern w:val="0"/>
                <w:sz w:val="20"/>
                <w:szCs w:val="20"/>
                <w14:ligatures w14:val="none"/>
              </w:rPr>
              <w:t xml:space="preserve"> - Creates and updates positions by Operating Unit/Department Hierarchy</w:t>
            </w:r>
          </w:p>
        </w:tc>
        <w:tc>
          <w:tcPr>
            <w:tcW w:w="4140" w:type="dxa"/>
          </w:tcPr>
          <w:p w14:paraId="2D207E4B" w14:textId="294C804F" w:rsidR="006B6603" w:rsidRPr="00E06F45" w:rsidRDefault="006B6603">
            <w:pPr>
              <w:pStyle w:val="ListParagraph"/>
              <w:numPr>
                <w:ilvl w:val="0"/>
                <w:numId w:val="33"/>
              </w:numPr>
              <w:ind w:left="360"/>
              <w:rPr>
                <w:b/>
                <w:bCs/>
                <w:sz w:val="20"/>
                <w:szCs w:val="20"/>
              </w:rPr>
            </w:pPr>
            <w:bookmarkStart w:id="87" w:name="_Hlk209005154"/>
            <w:r w:rsidRPr="00E06F45">
              <w:rPr>
                <w:rFonts w:eastAsia="Times New Roman" w:cstheme="minorHAnsi"/>
                <w:b/>
                <w:bCs/>
                <w:kern w:val="0"/>
                <w:sz w:val="20"/>
                <w:szCs w:val="20"/>
                <w14:ligatures w14:val="none"/>
              </w:rPr>
              <w:t>Position Administrator - Operating Unit Level Data Access</w:t>
            </w:r>
            <w:bookmarkEnd w:id="87"/>
          </w:p>
        </w:tc>
        <w:tc>
          <w:tcPr>
            <w:tcW w:w="1530" w:type="dxa"/>
          </w:tcPr>
          <w:p w14:paraId="2602F533" w14:textId="5D055595" w:rsidR="006B6603" w:rsidRPr="00E06F45" w:rsidRDefault="00204126" w:rsidP="000032BC">
            <w:pPr>
              <w:pStyle w:val="ListParagraph"/>
              <w:ind w:left="360" w:hanging="436"/>
              <w:jc w:val="center"/>
              <w:rPr>
                <w:b/>
                <w:bCs/>
                <w:sz w:val="20"/>
                <w:szCs w:val="20"/>
              </w:rPr>
            </w:pPr>
            <w:r>
              <w:rPr>
                <w:sz w:val="20"/>
                <w:szCs w:val="20"/>
              </w:rPr>
              <w:t>Yes</w:t>
            </w:r>
          </w:p>
        </w:tc>
      </w:tr>
      <w:tr w:rsidR="006B6603" w:rsidRPr="002E4B2B" w14:paraId="2B72F2AB" w14:textId="5A8562BE" w:rsidTr="006B6603">
        <w:trPr>
          <w:trHeight w:val="20"/>
        </w:trPr>
        <w:tc>
          <w:tcPr>
            <w:tcW w:w="4585" w:type="dxa"/>
          </w:tcPr>
          <w:p w14:paraId="0FEE9A1A" w14:textId="1B187A44" w:rsidR="006B6603" w:rsidRPr="00E06F45" w:rsidRDefault="006B6603">
            <w:pPr>
              <w:pStyle w:val="ListParagraph"/>
              <w:numPr>
                <w:ilvl w:val="0"/>
                <w:numId w:val="37"/>
              </w:numPr>
              <w:rPr>
                <w:sz w:val="20"/>
                <w:szCs w:val="20"/>
              </w:rPr>
            </w:pPr>
            <w:r w:rsidRPr="00E06F45">
              <w:rPr>
                <w:b/>
                <w:bCs/>
                <w:sz w:val="20"/>
                <w:szCs w:val="20"/>
              </w:rPr>
              <w:t>HR Focal point/HR Manager</w:t>
            </w:r>
            <w:r w:rsidRPr="00E06F45">
              <w:rPr>
                <w:sz w:val="20"/>
                <w:szCs w:val="20"/>
              </w:rPr>
              <w:t xml:space="preserve"> </w:t>
            </w:r>
            <w:r w:rsidRPr="00E06F45">
              <w:rPr>
                <w:b/>
                <w:bCs/>
                <w:sz w:val="20"/>
                <w:szCs w:val="20"/>
              </w:rPr>
              <w:t>reviewer</w:t>
            </w:r>
            <w:r w:rsidRPr="00E06F45">
              <w:rPr>
                <w:sz w:val="20"/>
                <w:szCs w:val="20"/>
              </w:rPr>
              <w:t xml:space="preserve"> – performs first line of review for any position request.</w:t>
            </w:r>
          </w:p>
        </w:tc>
        <w:tc>
          <w:tcPr>
            <w:tcW w:w="4140" w:type="dxa"/>
          </w:tcPr>
          <w:p w14:paraId="4F9A8F0B" w14:textId="4ACC31EE" w:rsidR="006B6603" w:rsidRPr="00E06F45" w:rsidRDefault="006B6603">
            <w:pPr>
              <w:pStyle w:val="ListParagraph"/>
              <w:numPr>
                <w:ilvl w:val="0"/>
                <w:numId w:val="33"/>
              </w:numPr>
              <w:ind w:left="360"/>
              <w:rPr>
                <w:sz w:val="20"/>
                <w:szCs w:val="20"/>
              </w:rPr>
            </w:pPr>
            <w:bookmarkStart w:id="88" w:name="_Hlk209005164"/>
            <w:r w:rsidRPr="00E06F45">
              <w:rPr>
                <w:b/>
                <w:bCs/>
                <w:sz w:val="20"/>
                <w:szCs w:val="20"/>
              </w:rPr>
              <w:t>Position Approver HR Manager by Department –</w:t>
            </w:r>
            <w:r w:rsidRPr="00E06F45">
              <w:rPr>
                <w:sz w:val="20"/>
                <w:szCs w:val="20"/>
              </w:rPr>
              <w:t xml:space="preserve"> if </w:t>
            </w:r>
            <w:bookmarkEnd w:id="88"/>
            <w:r w:rsidRPr="00E06F45">
              <w:rPr>
                <w:sz w:val="20"/>
                <w:szCs w:val="20"/>
              </w:rPr>
              <w:t>the request is limited to one Department/or CO.</w:t>
            </w:r>
          </w:p>
          <w:p w14:paraId="776E6A4A" w14:textId="77777777" w:rsidR="006B6603" w:rsidRPr="00E06F45" w:rsidRDefault="006B6603" w:rsidP="006B6603">
            <w:pPr>
              <w:rPr>
                <w:sz w:val="20"/>
                <w:szCs w:val="20"/>
              </w:rPr>
            </w:pPr>
          </w:p>
          <w:p w14:paraId="66A38D5C" w14:textId="712CB621" w:rsidR="006B6603" w:rsidRPr="00E06F45" w:rsidRDefault="006B6603">
            <w:pPr>
              <w:pStyle w:val="ListParagraph"/>
              <w:numPr>
                <w:ilvl w:val="0"/>
                <w:numId w:val="33"/>
              </w:numPr>
              <w:ind w:left="360"/>
              <w:rPr>
                <w:sz w:val="20"/>
                <w:szCs w:val="20"/>
              </w:rPr>
            </w:pPr>
            <w:bookmarkStart w:id="89" w:name="_Hlk209005178"/>
            <w:r w:rsidRPr="00E06F45">
              <w:rPr>
                <w:b/>
                <w:bCs/>
                <w:sz w:val="20"/>
                <w:szCs w:val="20"/>
              </w:rPr>
              <w:t>Position Approver HR Manager Bureau Level </w:t>
            </w:r>
            <w:bookmarkEnd w:id="89"/>
            <w:r w:rsidRPr="00E06F45">
              <w:rPr>
                <w:b/>
                <w:bCs/>
                <w:sz w:val="20"/>
                <w:szCs w:val="20"/>
              </w:rPr>
              <w:t>–</w:t>
            </w:r>
            <w:r w:rsidRPr="00E06F45">
              <w:rPr>
                <w:sz w:val="20"/>
                <w:szCs w:val="20"/>
              </w:rPr>
              <w:t xml:space="preserve"> for exceptional scenarios where a single colleague is acting as HR Manager/Focal point for the whole Bureau.</w:t>
            </w:r>
          </w:p>
        </w:tc>
        <w:tc>
          <w:tcPr>
            <w:tcW w:w="1530" w:type="dxa"/>
          </w:tcPr>
          <w:p w14:paraId="4A29FC39" w14:textId="1BFE7A93" w:rsidR="006B6603" w:rsidRPr="00E06F45" w:rsidRDefault="006B6603" w:rsidP="000032BC">
            <w:pPr>
              <w:pStyle w:val="ListParagraph"/>
              <w:ind w:left="360" w:hanging="436"/>
              <w:jc w:val="center"/>
              <w:rPr>
                <w:sz w:val="20"/>
                <w:szCs w:val="20"/>
              </w:rPr>
            </w:pPr>
            <w:r w:rsidRPr="00E06F45">
              <w:rPr>
                <w:sz w:val="20"/>
                <w:szCs w:val="20"/>
              </w:rPr>
              <w:t>Yes</w:t>
            </w:r>
          </w:p>
        </w:tc>
      </w:tr>
      <w:tr w:rsidR="006B6603" w:rsidRPr="002E4B2B" w14:paraId="44CA4268" w14:textId="47BDF172" w:rsidTr="006B6603">
        <w:trPr>
          <w:trHeight w:val="20"/>
        </w:trPr>
        <w:tc>
          <w:tcPr>
            <w:tcW w:w="4585" w:type="dxa"/>
          </w:tcPr>
          <w:p w14:paraId="74DA8D88" w14:textId="7EC9A7A4" w:rsidR="006B6603" w:rsidRPr="00E06F45" w:rsidRDefault="006B6603">
            <w:pPr>
              <w:pStyle w:val="ListParagraph"/>
              <w:numPr>
                <w:ilvl w:val="0"/>
                <w:numId w:val="37"/>
              </w:numPr>
              <w:rPr>
                <w:sz w:val="20"/>
                <w:szCs w:val="20"/>
              </w:rPr>
            </w:pPr>
            <w:r w:rsidRPr="00E06F45">
              <w:rPr>
                <w:b/>
                <w:bCs/>
                <w:sz w:val="20"/>
                <w:szCs w:val="20"/>
              </w:rPr>
              <w:t>Budget/ Finance reviewers</w:t>
            </w:r>
            <w:r w:rsidRPr="00E06F45">
              <w:rPr>
                <w:sz w:val="20"/>
                <w:szCs w:val="20"/>
              </w:rPr>
              <w:t xml:space="preserve"> – </w:t>
            </w:r>
            <w:bookmarkStart w:id="90" w:name="_Hlk194500402"/>
            <w:r w:rsidRPr="00E06F45">
              <w:rPr>
                <w:sz w:val="20"/>
                <w:szCs w:val="20"/>
              </w:rPr>
              <w:t>responsible for ascertaining there is proper funding available for the position request in a department or a country office/unit</w:t>
            </w:r>
            <w:r w:rsidR="00FE6FA8" w:rsidRPr="00E06F45">
              <w:rPr>
                <w:sz w:val="20"/>
                <w:szCs w:val="20"/>
              </w:rPr>
              <w:t xml:space="preserve"> (including, where applicable, performing a cash budget review to minimize payroll errors)</w:t>
            </w:r>
            <w:r w:rsidRPr="00E06F45">
              <w:rPr>
                <w:sz w:val="20"/>
                <w:szCs w:val="20"/>
              </w:rPr>
              <w:t>.</w:t>
            </w:r>
            <w:bookmarkEnd w:id="90"/>
          </w:p>
        </w:tc>
        <w:tc>
          <w:tcPr>
            <w:tcW w:w="4140" w:type="dxa"/>
          </w:tcPr>
          <w:p w14:paraId="7F74A1B9" w14:textId="4A3D15AE" w:rsidR="006B6603" w:rsidRPr="00E06F45" w:rsidRDefault="006B6603">
            <w:pPr>
              <w:pStyle w:val="ListParagraph"/>
              <w:numPr>
                <w:ilvl w:val="0"/>
                <w:numId w:val="34"/>
              </w:numPr>
              <w:ind w:left="360"/>
              <w:rPr>
                <w:sz w:val="20"/>
                <w:szCs w:val="20"/>
              </w:rPr>
            </w:pPr>
            <w:bookmarkStart w:id="91" w:name="_Hlk209005188"/>
            <w:r w:rsidRPr="00E06F45">
              <w:rPr>
                <w:b/>
                <w:bCs/>
                <w:sz w:val="20"/>
                <w:szCs w:val="20"/>
              </w:rPr>
              <w:t>Position Approver Budget Reviewer by Department</w:t>
            </w:r>
            <w:r w:rsidRPr="00E06F45">
              <w:rPr>
                <w:sz w:val="20"/>
                <w:szCs w:val="20"/>
              </w:rPr>
              <w:t> </w:t>
            </w:r>
            <w:bookmarkEnd w:id="91"/>
            <w:r w:rsidRPr="00E06F45">
              <w:rPr>
                <w:sz w:val="20"/>
                <w:szCs w:val="20"/>
              </w:rPr>
              <w:t>– if the request is limited to one Department/or CO.</w:t>
            </w:r>
          </w:p>
          <w:p w14:paraId="386D3835" w14:textId="77777777" w:rsidR="006B6603" w:rsidRPr="00E06F45" w:rsidRDefault="006B6603" w:rsidP="006B6603">
            <w:pPr>
              <w:rPr>
                <w:sz w:val="20"/>
                <w:szCs w:val="20"/>
              </w:rPr>
            </w:pPr>
          </w:p>
          <w:p w14:paraId="40B39790" w14:textId="172EDA8D" w:rsidR="006B6603" w:rsidRPr="00E06F45" w:rsidRDefault="006B6603">
            <w:pPr>
              <w:pStyle w:val="ListParagraph"/>
              <w:numPr>
                <w:ilvl w:val="0"/>
                <w:numId w:val="34"/>
              </w:numPr>
              <w:ind w:left="360"/>
              <w:rPr>
                <w:sz w:val="20"/>
                <w:szCs w:val="20"/>
              </w:rPr>
            </w:pPr>
            <w:bookmarkStart w:id="92" w:name="_Hlk209005199"/>
            <w:r w:rsidRPr="00E06F45">
              <w:rPr>
                <w:b/>
                <w:bCs/>
                <w:sz w:val="20"/>
                <w:szCs w:val="20"/>
              </w:rPr>
              <w:t>Position Approver Budget Reviewer Bureau Level</w:t>
            </w:r>
            <w:r w:rsidRPr="00E06F45">
              <w:rPr>
                <w:sz w:val="20"/>
                <w:szCs w:val="20"/>
              </w:rPr>
              <w:t> </w:t>
            </w:r>
            <w:bookmarkEnd w:id="92"/>
            <w:r w:rsidRPr="00E06F45">
              <w:rPr>
                <w:sz w:val="20"/>
                <w:szCs w:val="20"/>
              </w:rPr>
              <w:t>– for exceptional scenarios where a single colleague is performing the funding availability check for all Bureau requests.</w:t>
            </w:r>
          </w:p>
        </w:tc>
        <w:tc>
          <w:tcPr>
            <w:tcW w:w="1530" w:type="dxa"/>
          </w:tcPr>
          <w:p w14:paraId="5CE47AFA" w14:textId="3D41D301" w:rsidR="006B6603" w:rsidRPr="00E06F45" w:rsidRDefault="006B6603" w:rsidP="000032BC">
            <w:pPr>
              <w:pStyle w:val="ListParagraph"/>
              <w:ind w:left="360" w:hanging="436"/>
              <w:jc w:val="center"/>
              <w:rPr>
                <w:b/>
                <w:bCs/>
                <w:sz w:val="20"/>
                <w:szCs w:val="20"/>
              </w:rPr>
            </w:pPr>
            <w:r w:rsidRPr="00E06F45">
              <w:rPr>
                <w:sz w:val="20"/>
                <w:szCs w:val="20"/>
              </w:rPr>
              <w:t>Yes</w:t>
            </w:r>
          </w:p>
        </w:tc>
      </w:tr>
      <w:tr w:rsidR="006B6603" w:rsidRPr="002E4B2B" w14:paraId="75E1E425" w14:textId="444EBD7C" w:rsidTr="006B6603">
        <w:trPr>
          <w:trHeight w:val="20"/>
        </w:trPr>
        <w:tc>
          <w:tcPr>
            <w:tcW w:w="4585" w:type="dxa"/>
          </w:tcPr>
          <w:p w14:paraId="2D97EF1D" w14:textId="67C92171" w:rsidR="006B6603" w:rsidRPr="00E06F45" w:rsidRDefault="006B6603">
            <w:pPr>
              <w:pStyle w:val="ListParagraph"/>
              <w:numPr>
                <w:ilvl w:val="0"/>
                <w:numId w:val="37"/>
              </w:numPr>
              <w:rPr>
                <w:sz w:val="20"/>
                <w:szCs w:val="20"/>
              </w:rPr>
            </w:pPr>
            <w:r w:rsidRPr="00E06F45">
              <w:rPr>
                <w:b/>
                <w:bCs/>
                <w:sz w:val="20"/>
                <w:szCs w:val="20"/>
              </w:rPr>
              <w:lastRenderedPageBreak/>
              <w:t>Head of office</w:t>
            </w:r>
            <w:r w:rsidRPr="00E06F45">
              <w:rPr>
                <w:sz w:val="20"/>
                <w:szCs w:val="20"/>
              </w:rPr>
              <w:t> – RRs/DRRs/Head of office (or Head of office delegates) - approves the request for a position in their respective departments /</w:t>
            </w:r>
            <w:proofErr w:type="spellStart"/>
            <w:r w:rsidRPr="00E06F45">
              <w:rPr>
                <w:sz w:val="20"/>
                <w:szCs w:val="20"/>
              </w:rPr>
              <w:t>COs.</w:t>
            </w:r>
            <w:proofErr w:type="spellEnd"/>
          </w:p>
        </w:tc>
        <w:tc>
          <w:tcPr>
            <w:tcW w:w="4140" w:type="dxa"/>
          </w:tcPr>
          <w:p w14:paraId="38BD0154" w14:textId="77777777" w:rsidR="006B6603" w:rsidRPr="00E06F45" w:rsidRDefault="006B6603">
            <w:pPr>
              <w:pStyle w:val="ListParagraph"/>
              <w:numPr>
                <w:ilvl w:val="0"/>
                <w:numId w:val="35"/>
              </w:numPr>
              <w:ind w:left="360"/>
              <w:rPr>
                <w:sz w:val="20"/>
                <w:szCs w:val="20"/>
              </w:rPr>
            </w:pPr>
            <w:r w:rsidRPr="00E06F45">
              <w:rPr>
                <w:b/>
                <w:bCs/>
                <w:sz w:val="20"/>
                <w:szCs w:val="20"/>
              </w:rPr>
              <w:t>Position Approver Head of Office –</w:t>
            </w:r>
            <w:r w:rsidRPr="00E06F45">
              <w:rPr>
                <w:sz w:val="20"/>
                <w:szCs w:val="20"/>
              </w:rPr>
              <w:t xml:space="preserve"> if the request is limited to one Department/or CO.</w:t>
            </w:r>
          </w:p>
          <w:p w14:paraId="45E8CC88" w14:textId="77777777" w:rsidR="006B6603" w:rsidRPr="00E06F45" w:rsidRDefault="006B6603" w:rsidP="006B6603">
            <w:pPr>
              <w:rPr>
                <w:sz w:val="20"/>
                <w:szCs w:val="20"/>
              </w:rPr>
            </w:pPr>
          </w:p>
          <w:p w14:paraId="5A186B86" w14:textId="4E128FFA" w:rsidR="006B6603" w:rsidRPr="00E06F45" w:rsidRDefault="006B6603">
            <w:pPr>
              <w:pStyle w:val="ListParagraph"/>
              <w:numPr>
                <w:ilvl w:val="0"/>
                <w:numId w:val="35"/>
              </w:numPr>
              <w:ind w:left="360"/>
              <w:rPr>
                <w:sz w:val="20"/>
                <w:szCs w:val="20"/>
              </w:rPr>
            </w:pPr>
            <w:r w:rsidRPr="00E06F45">
              <w:rPr>
                <w:b/>
                <w:bCs/>
                <w:sz w:val="20"/>
                <w:szCs w:val="20"/>
              </w:rPr>
              <w:t>Position Approver Head of Office Bureau Level –</w:t>
            </w:r>
            <w:r w:rsidRPr="00E06F45">
              <w:rPr>
                <w:sz w:val="20"/>
                <w:szCs w:val="20"/>
              </w:rPr>
              <w:t xml:space="preserve"> for exceptional scenarios where a single colleague is acting as HR Manager/Focal point for the whole Bureau.</w:t>
            </w:r>
          </w:p>
        </w:tc>
        <w:tc>
          <w:tcPr>
            <w:tcW w:w="1530" w:type="dxa"/>
          </w:tcPr>
          <w:p w14:paraId="1BC810C5" w14:textId="2B535CC7" w:rsidR="006B6603" w:rsidRPr="00E06F45" w:rsidRDefault="006B6603" w:rsidP="000032BC">
            <w:pPr>
              <w:pStyle w:val="ListParagraph"/>
              <w:ind w:left="360" w:hanging="436"/>
              <w:jc w:val="center"/>
              <w:rPr>
                <w:b/>
                <w:bCs/>
                <w:sz w:val="20"/>
                <w:szCs w:val="20"/>
              </w:rPr>
            </w:pPr>
            <w:r w:rsidRPr="00E06F45">
              <w:rPr>
                <w:sz w:val="20"/>
                <w:szCs w:val="20"/>
              </w:rPr>
              <w:t>No</w:t>
            </w:r>
          </w:p>
        </w:tc>
      </w:tr>
      <w:tr w:rsidR="006B6603" w:rsidRPr="002E4B2B" w14:paraId="1DBC2929" w14:textId="65381D6C" w:rsidTr="006B6603">
        <w:trPr>
          <w:trHeight w:val="20"/>
        </w:trPr>
        <w:tc>
          <w:tcPr>
            <w:tcW w:w="4585" w:type="dxa"/>
          </w:tcPr>
          <w:p w14:paraId="10CBC483" w14:textId="232419F7" w:rsidR="006B6603" w:rsidRPr="00E06F45" w:rsidRDefault="006B6603">
            <w:pPr>
              <w:pStyle w:val="ListParagraph"/>
              <w:numPr>
                <w:ilvl w:val="0"/>
                <w:numId w:val="37"/>
              </w:numPr>
              <w:rPr>
                <w:sz w:val="20"/>
                <w:szCs w:val="20"/>
              </w:rPr>
            </w:pPr>
            <w:r w:rsidRPr="00E06F45">
              <w:rPr>
                <w:b/>
                <w:bCs/>
                <w:sz w:val="20"/>
                <w:szCs w:val="20"/>
              </w:rPr>
              <w:t>Bureau level reviewer</w:t>
            </w:r>
            <w:r w:rsidRPr="00E06F45">
              <w:rPr>
                <w:sz w:val="20"/>
                <w:szCs w:val="20"/>
              </w:rPr>
              <w:t xml:space="preserve"> – reviews the position request for institutional budget-funded (core, </w:t>
            </w:r>
            <w:r w:rsidR="000C0C3C">
              <w:rPr>
                <w:sz w:val="20"/>
                <w:szCs w:val="20"/>
              </w:rPr>
              <w:t>non-core</w:t>
            </w:r>
            <w:r w:rsidRPr="00E06F45">
              <w:rPr>
                <w:sz w:val="20"/>
                <w:szCs w:val="20"/>
              </w:rPr>
              <w:t>) or change management positions</w:t>
            </w:r>
            <w:r w:rsidR="00FE6FA8" w:rsidRPr="00E06F45">
              <w:rPr>
                <w:sz w:val="20"/>
                <w:szCs w:val="20"/>
              </w:rPr>
              <w:t>, as per bureau practice</w:t>
            </w:r>
            <w:r w:rsidRPr="00E06F45">
              <w:rPr>
                <w:sz w:val="20"/>
                <w:szCs w:val="20"/>
              </w:rPr>
              <w:t>.</w:t>
            </w:r>
          </w:p>
        </w:tc>
        <w:tc>
          <w:tcPr>
            <w:tcW w:w="4140" w:type="dxa"/>
          </w:tcPr>
          <w:p w14:paraId="1EA43CC6" w14:textId="73ECB7C6" w:rsidR="006B6603" w:rsidRPr="00E06F45" w:rsidRDefault="006B6603">
            <w:pPr>
              <w:pStyle w:val="ListParagraph"/>
              <w:numPr>
                <w:ilvl w:val="0"/>
                <w:numId w:val="36"/>
              </w:numPr>
              <w:rPr>
                <w:sz w:val="20"/>
                <w:szCs w:val="20"/>
              </w:rPr>
            </w:pPr>
            <w:bookmarkStart w:id="93" w:name="_Hlk209005215"/>
            <w:r w:rsidRPr="00E06F45">
              <w:rPr>
                <w:b/>
                <w:bCs/>
                <w:sz w:val="20"/>
                <w:szCs w:val="20"/>
              </w:rPr>
              <w:t>Position Approver Bureau Reviewer</w:t>
            </w:r>
            <w:r w:rsidRPr="00E06F45">
              <w:rPr>
                <w:sz w:val="20"/>
                <w:szCs w:val="20"/>
              </w:rPr>
              <w:t xml:space="preserve"> </w:t>
            </w:r>
            <w:bookmarkEnd w:id="93"/>
            <w:r w:rsidRPr="00E06F45">
              <w:rPr>
                <w:sz w:val="20"/>
                <w:szCs w:val="20"/>
              </w:rPr>
              <w:t>– for exceptional scenarios where a single colleague is acting as HR Manager/Focal point for the whole Bureau.</w:t>
            </w:r>
          </w:p>
        </w:tc>
        <w:tc>
          <w:tcPr>
            <w:tcW w:w="1530" w:type="dxa"/>
          </w:tcPr>
          <w:p w14:paraId="34CD997E" w14:textId="141EF2AE" w:rsidR="006B6603" w:rsidRPr="00E06F45" w:rsidRDefault="006B6603" w:rsidP="000032BC">
            <w:pPr>
              <w:pStyle w:val="ListParagraph"/>
              <w:ind w:left="360" w:hanging="436"/>
              <w:jc w:val="center"/>
              <w:rPr>
                <w:b/>
                <w:bCs/>
                <w:sz w:val="20"/>
                <w:szCs w:val="20"/>
              </w:rPr>
            </w:pPr>
            <w:r w:rsidRPr="00E06F45">
              <w:rPr>
                <w:sz w:val="20"/>
                <w:szCs w:val="20"/>
              </w:rPr>
              <w:t>Yes</w:t>
            </w:r>
          </w:p>
        </w:tc>
      </w:tr>
      <w:tr w:rsidR="006B6603" w:rsidRPr="002E4B2B" w14:paraId="0124AD19" w14:textId="4E8647C5" w:rsidTr="006B6603">
        <w:trPr>
          <w:trHeight w:val="20"/>
        </w:trPr>
        <w:tc>
          <w:tcPr>
            <w:tcW w:w="4585" w:type="dxa"/>
          </w:tcPr>
          <w:p w14:paraId="18F600D0" w14:textId="3A8CA310" w:rsidR="006B6603" w:rsidRPr="00E06F45" w:rsidRDefault="006B6603">
            <w:pPr>
              <w:pStyle w:val="ListParagraph"/>
              <w:numPr>
                <w:ilvl w:val="0"/>
                <w:numId w:val="37"/>
              </w:numPr>
              <w:rPr>
                <w:sz w:val="20"/>
                <w:szCs w:val="20"/>
              </w:rPr>
            </w:pPr>
            <w:r w:rsidRPr="00E06F45">
              <w:rPr>
                <w:b/>
                <w:bCs/>
                <w:sz w:val="20"/>
                <w:szCs w:val="20"/>
              </w:rPr>
              <w:t>BMS/GSSC Position Approver</w:t>
            </w:r>
            <w:r w:rsidRPr="00E06F45">
              <w:rPr>
                <w:sz w:val="20"/>
                <w:szCs w:val="20"/>
              </w:rPr>
              <w:t xml:space="preserve"> – performs final ‘verifying’ review for all positions currently not under devolution before approving position creation/extension in Quantum.</w:t>
            </w:r>
          </w:p>
        </w:tc>
        <w:tc>
          <w:tcPr>
            <w:tcW w:w="4140" w:type="dxa"/>
          </w:tcPr>
          <w:p w14:paraId="3089EE8D" w14:textId="77777777" w:rsidR="006B6603" w:rsidRPr="00E06F45" w:rsidRDefault="006B6603">
            <w:pPr>
              <w:pStyle w:val="ListParagraph"/>
              <w:numPr>
                <w:ilvl w:val="0"/>
                <w:numId w:val="36"/>
              </w:numPr>
              <w:rPr>
                <w:b/>
                <w:bCs/>
                <w:sz w:val="20"/>
                <w:szCs w:val="20"/>
              </w:rPr>
            </w:pPr>
            <w:bookmarkStart w:id="94" w:name="_Hlk209005223"/>
            <w:r w:rsidRPr="00E06F45">
              <w:rPr>
                <w:b/>
                <w:bCs/>
                <w:sz w:val="20"/>
                <w:szCs w:val="20"/>
              </w:rPr>
              <w:t>Position Approver GSSC</w:t>
            </w:r>
          </w:p>
          <w:bookmarkEnd w:id="94"/>
          <w:p w14:paraId="36915989" w14:textId="77777777" w:rsidR="006B6603" w:rsidRPr="00E06F45" w:rsidRDefault="006B6603" w:rsidP="006B6603">
            <w:pPr>
              <w:rPr>
                <w:sz w:val="20"/>
                <w:szCs w:val="20"/>
              </w:rPr>
            </w:pPr>
          </w:p>
        </w:tc>
        <w:tc>
          <w:tcPr>
            <w:tcW w:w="1530" w:type="dxa"/>
          </w:tcPr>
          <w:p w14:paraId="107C37F8" w14:textId="6564AAF1" w:rsidR="006B6603" w:rsidRPr="00E06F45" w:rsidRDefault="00204126" w:rsidP="000032BC">
            <w:pPr>
              <w:pStyle w:val="ListParagraph"/>
              <w:ind w:left="360" w:hanging="436"/>
              <w:jc w:val="center"/>
              <w:rPr>
                <w:b/>
                <w:bCs/>
                <w:sz w:val="20"/>
                <w:szCs w:val="20"/>
              </w:rPr>
            </w:pPr>
            <w:r>
              <w:rPr>
                <w:sz w:val="20"/>
                <w:szCs w:val="20"/>
              </w:rPr>
              <w:t>Yes</w:t>
            </w:r>
          </w:p>
        </w:tc>
      </w:tr>
    </w:tbl>
    <w:p w14:paraId="10A30461" w14:textId="48639F9C" w:rsidR="00D41C92" w:rsidRDefault="004B7DDB">
      <w:pPr>
        <w:pStyle w:val="Heading1"/>
        <w:numPr>
          <w:ilvl w:val="0"/>
          <w:numId w:val="92"/>
        </w:numPr>
        <w:spacing w:after="240"/>
      </w:pPr>
      <w:bookmarkStart w:id="95" w:name="_Toc210052781"/>
      <w:r>
        <w:t>General Financial Management</w:t>
      </w:r>
      <w:bookmarkEnd w:id="95"/>
    </w:p>
    <w:p w14:paraId="559410BF" w14:textId="78F64608" w:rsidR="00223CD7" w:rsidRPr="00E06F45" w:rsidRDefault="004B7DDB" w:rsidP="363CA695">
      <w:pPr>
        <w:spacing w:line="240" w:lineRule="auto"/>
      </w:pPr>
      <w:r w:rsidRPr="00E06F45">
        <w:t>The Finance team within each office</w:t>
      </w:r>
      <w:r w:rsidR="00407CD4" w:rsidRPr="00E06F45">
        <w:t>/unit</w:t>
      </w:r>
      <w:r w:rsidRPr="00E06F45">
        <w:t xml:space="preserve"> supports the promotion of the sustainable development agenda by continuously enhancing CO financial performance, delivering sound management of financial resources, and ensuring strong accountability through informed decision making, effective financial management processes, and transparent financial reporting that </w:t>
      </w:r>
      <w:proofErr w:type="gramStart"/>
      <w:r w:rsidRPr="00E06F45">
        <w:t>complies</w:t>
      </w:r>
      <w:proofErr w:type="gramEnd"/>
      <w:r w:rsidRPr="00E06F45">
        <w:t xml:space="preserve"> with international standards and regulatory guidelines. Under the overall guidance of the DRR, the Finance team is responsible for ensuring the highest efficiency in financial resources management and the provision of accurate, thoroughly researched and documented financial information, effective delivery of financial services, and transparent utilization of financial resources.</w:t>
      </w:r>
    </w:p>
    <w:p w14:paraId="118519BB" w14:textId="2991F496" w:rsidR="00053CC0" w:rsidRPr="00E06F45" w:rsidRDefault="00053CC0" w:rsidP="00053CC0">
      <w:pPr>
        <w:spacing w:line="240" w:lineRule="auto"/>
      </w:pPr>
      <w:r w:rsidRPr="00E06F45">
        <w:t xml:space="preserve">POPP </w:t>
      </w:r>
      <w:hyperlink r:id="rId137">
        <w:r w:rsidRPr="00E06F45">
          <w:rPr>
            <w:rStyle w:val="Hyperlink"/>
            <w:color w:val="4472C4" w:themeColor="accent1"/>
          </w:rPr>
          <w:t>Financial Resources Management</w:t>
        </w:r>
      </w:hyperlink>
      <w:r w:rsidRPr="00E06F45">
        <w:rPr>
          <w:color w:val="4472C4" w:themeColor="accent1"/>
        </w:rPr>
        <w:t xml:space="preserve"> </w:t>
      </w:r>
      <w:r w:rsidRPr="00E06F45">
        <w:t xml:space="preserve">sets out the policies and procedures for financial management. Additionally, a range of Quantum Knowledge Articles can be found in UNall at </w:t>
      </w:r>
      <w:hyperlink r:id="rId138">
        <w:r w:rsidRPr="00E06F45">
          <w:rPr>
            <w:rStyle w:val="Hyperlink"/>
            <w:color w:val="4472C4" w:themeColor="accent1"/>
          </w:rPr>
          <w:t>Financial Management</w:t>
        </w:r>
      </w:hyperlink>
      <w:r w:rsidRPr="00E06F45">
        <w:t xml:space="preserve">, </w:t>
      </w:r>
      <w:r w:rsidR="00170196" w:rsidRPr="00E06F45">
        <w:t xml:space="preserve">as well as </w:t>
      </w:r>
      <w:r w:rsidRPr="00E06F45">
        <w:t xml:space="preserve">the </w:t>
      </w:r>
      <w:hyperlink r:id="rId139">
        <w:r w:rsidRPr="00E06F45">
          <w:rPr>
            <w:rStyle w:val="Hyperlink"/>
            <w:color w:val="4472C4" w:themeColor="accent1"/>
          </w:rPr>
          <w:t>BMS/GSSC Finance Services SharePoint site</w:t>
        </w:r>
      </w:hyperlink>
      <w:r w:rsidRPr="00E06F45">
        <w:t xml:space="preserve"> and the </w:t>
      </w:r>
      <w:hyperlink r:id="rId140">
        <w:r w:rsidRPr="00E06F45">
          <w:rPr>
            <w:rStyle w:val="Hyperlink"/>
            <w:color w:val="4472C4" w:themeColor="accent1"/>
          </w:rPr>
          <w:t>BMS/GSSC SOP SharePoint site</w:t>
        </w:r>
      </w:hyperlink>
      <w:r w:rsidRPr="00E06F45">
        <w:rPr>
          <w:color w:val="4472C4" w:themeColor="accent1"/>
        </w:rPr>
        <w:t>.</w:t>
      </w:r>
    </w:p>
    <w:p w14:paraId="3F7C4793" w14:textId="79FE1726" w:rsidR="0005445E" w:rsidRPr="00E06F45" w:rsidRDefault="0005445E">
      <w:pPr>
        <w:pStyle w:val="Heading2"/>
        <w:numPr>
          <w:ilvl w:val="1"/>
          <w:numId w:val="92"/>
        </w:numPr>
        <w:spacing w:after="240"/>
        <w:ind w:left="360"/>
        <w:rPr>
          <w:color w:val="4472C4" w:themeColor="accent1"/>
        </w:rPr>
      </w:pPr>
      <w:bookmarkStart w:id="96" w:name="_Toc210052782"/>
      <w:r w:rsidRPr="00E06F45">
        <w:rPr>
          <w:color w:val="4472C4" w:themeColor="accent1"/>
        </w:rPr>
        <w:t>DRR Operations</w:t>
      </w:r>
      <w:r w:rsidR="000032BC" w:rsidRPr="00E06F45">
        <w:rPr>
          <w:color w:val="4472C4" w:themeColor="accent1"/>
        </w:rPr>
        <w:t xml:space="preserve"> (or HQ-equivalent)</w:t>
      </w:r>
      <w:bookmarkEnd w:id="96"/>
    </w:p>
    <w:p w14:paraId="00703AF7" w14:textId="440573AC" w:rsidR="0005445E" w:rsidRPr="00E06F45" w:rsidRDefault="00E27FA3" w:rsidP="363CA695">
      <w:pPr>
        <w:spacing w:line="240" w:lineRule="auto"/>
      </w:pPr>
      <w:r w:rsidRPr="00E06F45">
        <w:t xml:space="preserve">The Deputy Resident Representative (Operations) </w:t>
      </w:r>
      <w:r w:rsidR="000032BC" w:rsidRPr="00E06F45">
        <w:t xml:space="preserve">(or HQ-equivalent) </w:t>
      </w:r>
      <w:r w:rsidRPr="00E06F45">
        <w:t xml:space="preserve">ensures that all managerial/leadership functions are performed in line with the established UN and UNDP management norms, regulations and rules and in conformity with UNDP’s internal accountability framework for senior managers which emphasizes, inter alia, the highest standards of ethics, integrity and accountability in the personal and professional domains. </w:t>
      </w:r>
      <w:r w:rsidR="0029384D" w:rsidRPr="00E06F45">
        <w:t>While UNDP offices</w:t>
      </w:r>
      <w:r w:rsidR="00407CD4" w:rsidRPr="00E06F45">
        <w:t>/units</w:t>
      </w:r>
      <w:r w:rsidR="0029384D" w:rsidRPr="00E06F45">
        <w:t xml:space="preserve"> have varied organizational structures, </w:t>
      </w:r>
      <w:r w:rsidR="0005445E" w:rsidRPr="00E06F45">
        <w:t>the DRR</w:t>
      </w:r>
      <w:r w:rsidRPr="00E06F45">
        <w:t xml:space="preserve"> </w:t>
      </w:r>
      <w:r w:rsidR="0029384D" w:rsidRPr="00E06F45">
        <w:t xml:space="preserve">Operations </w:t>
      </w:r>
      <w:r w:rsidR="00AC709C" w:rsidRPr="00E06F45">
        <w:t>may</w:t>
      </w:r>
      <w:r w:rsidR="0029384D" w:rsidRPr="00E06F45">
        <w:t xml:space="preserve"> typically have </w:t>
      </w:r>
      <w:r w:rsidRPr="00E06F45">
        <w:t>the following key responsibilities</w:t>
      </w:r>
      <w:r w:rsidR="0029384D" w:rsidRPr="00E06F45">
        <w:t xml:space="preserve"> as it relates to financial resources management and related controls:</w:t>
      </w:r>
    </w:p>
    <w:tbl>
      <w:tblPr>
        <w:tblpPr w:leftFromText="180" w:rightFromText="180" w:vertAnchor="text" w:horzAnchor="margin" w:tblpY="-7"/>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05"/>
      </w:tblGrid>
      <w:tr w:rsidR="00A35ED2" w:rsidRPr="00A35ED2" w14:paraId="3AD937D4" w14:textId="77777777" w:rsidTr="363CA695">
        <w:trPr>
          <w:trHeight w:val="20"/>
        </w:trPr>
        <w:tc>
          <w:tcPr>
            <w:tcW w:w="9805" w:type="dxa"/>
            <w:shd w:val="clear" w:color="auto" w:fill="FFF1CC"/>
          </w:tcPr>
          <w:p w14:paraId="33B25215" w14:textId="5920E40F" w:rsidR="00A35ED2" w:rsidRPr="00E06F45" w:rsidRDefault="00A35ED2" w:rsidP="006A7B6C">
            <w:pPr>
              <w:spacing w:after="0" w:line="240" w:lineRule="auto"/>
              <w:rPr>
                <w:b/>
                <w:bCs/>
                <w:sz w:val="20"/>
                <w:szCs w:val="20"/>
              </w:rPr>
            </w:pPr>
            <w:r w:rsidRPr="00E06F45">
              <w:rPr>
                <w:b/>
                <w:bCs/>
                <w:sz w:val="20"/>
                <w:szCs w:val="20"/>
              </w:rPr>
              <w:lastRenderedPageBreak/>
              <w:t>DRR Operations (</w:t>
            </w:r>
            <w:r w:rsidR="00172AD3" w:rsidRPr="00E06F45">
              <w:rPr>
                <w:b/>
                <w:bCs/>
                <w:sz w:val="20"/>
                <w:szCs w:val="20"/>
              </w:rPr>
              <w:t xml:space="preserve">or </w:t>
            </w:r>
            <w:r w:rsidRPr="00E06F45">
              <w:rPr>
                <w:b/>
                <w:bCs/>
                <w:sz w:val="20"/>
                <w:szCs w:val="20"/>
              </w:rPr>
              <w:t xml:space="preserve">HQ-equivalent): Internal Control Responsibilities </w:t>
            </w:r>
            <w:r w:rsidR="00172AD3" w:rsidRPr="00E06F45">
              <w:rPr>
                <w:b/>
                <w:bCs/>
                <w:sz w:val="20"/>
                <w:szCs w:val="20"/>
              </w:rPr>
              <w:t xml:space="preserve">typically </w:t>
            </w:r>
            <w:r w:rsidRPr="00E06F45">
              <w:rPr>
                <w:b/>
                <w:bCs/>
                <w:sz w:val="20"/>
                <w:szCs w:val="20"/>
              </w:rPr>
              <w:t>performed within each office</w:t>
            </w:r>
            <w:r w:rsidR="00407CD4" w:rsidRPr="00E06F45">
              <w:rPr>
                <w:b/>
                <w:bCs/>
                <w:sz w:val="20"/>
                <w:szCs w:val="20"/>
              </w:rPr>
              <w:t>/unit</w:t>
            </w:r>
          </w:p>
        </w:tc>
      </w:tr>
      <w:tr w:rsidR="00A35ED2" w:rsidRPr="00A35ED2" w14:paraId="0276E4CE" w14:textId="77777777" w:rsidTr="363CA695">
        <w:trPr>
          <w:trHeight w:val="20"/>
        </w:trPr>
        <w:tc>
          <w:tcPr>
            <w:tcW w:w="9805" w:type="dxa"/>
          </w:tcPr>
          <w:p w14:paraId="3A3F8ACB" w14:textId="27B8BBA0"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Ensures the integrity of financial systems, review of budget requirements and the consistent application o</w:t>
            </w:r>
            <w:r w:rsidR="00E27FA3" w:rsidRPr="00E06F45">
              <w:rPr>
                <w:sz w:val="20"/>
                <w:szCs w:val="20"/>
              </w:rPr>
              <w:t>f regulations and rules</w:t>
            </w:r>
            <w:r w:rsidRPr="00E06F45">
              <w:rPr>
                <w:sz w:val="20"/>
                <w:szCs w:val="20"/>
              </w:rPr>
              <w:t>.</w:t>
            </w:r>
          </w:p>
        </w:tc>
      </w:tr>
      <w:tr w:rsidR="00A35ED2" w:rsidRPr="00A35ED2" w14:paraId="54C9C78F" w14:textId="77777777" w:rsidTr="363CA695">
        <w:trPr>
          <w:trHeight w:val="20"/>
        </w:trPr>
        <w:tc>
          <w:tcPr>
            <w:tcW w:w="9805" w:type="dxa"/>
          </w:tcPr>
          <w:p w14:paraId="26345C20" w14:textId="5DE5C80E"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Establishes and supervises implementation of adequate internal controls to ensure the integrity of financial transactions and systems</w:t>
            </w:r>
            <w:r w:rsidR="00966B46" w:rsidRPr="00E06F45">
              <w:rPr>
                <w:sz w:val="20"/>
                <w:szCs w:val="20"/>
              </w:rPr>
              <w:t>, including ensuring timely review and completion of office/unit Internal control Framework documentation.</w:t>
            </w:r>
          </w:p>
        </w:tc>
      </w:tr>
      <w:tr w:rsidR="00A35ED2" w:rsidRPr="00A35ED2" w14:paraId="0F92100B" w14:textId="77777777" w:rsidTr="363CA695">
        <w:trPr>
          <w:trHeight w:val="20"/>
        </w:trPr>
        <w:tc>
          <w:tcPr>
            <w:tcW w:w="9805" w:type="dxa"/>
          </w:tcPr>
          <w:p w14:paraId="5BF997E2" w14:textId="4B54E9F6" w:rsidR="00A35ED2" w:rsidRPr="00E06F45" w:rsidRDefault="00A35ED2">
            <w:pPr>
              <w:pStyle w:val="ListParagraph"/>
              <w:widowControl w:val="0"/>
              <w:numPr>
                <w:ilvl w:val="0"/>
                <w:numId w:val="101"/>
              </w:numPr>
              <w:autoSpaceDE w:val="0"/>
              <w:autoSpaceDN w:val="0"/>
              <w:spacing w:after="0" w:line="240" w:lineRule="auto"/>
              <w:ind w:right="110"/>
              <w:rPr>
                <w:sz w:val="20"/>
                <w:szCs w:val="20"/>
              </w:rPr>
            </w:pPr>
            <w:r w:rsidRPr="00E06F45">
              <w:rPr>
                <w:sz w:val="20"/>
                <w:szCs w:val="20"/>
              </w:rPr>
              <w:t>Monitors and supervises the implementation of the integrated planning, budgeting</w:t>
            </w:r>
            <w:r w:rsidR="00E27FA3" w:rsidRPr="00E06F45">
              <w:rPr>
                <w:sz w:val="20"/>
                <w:szCs w:val="20"/>
              </w:rPr>
              <w:t>,</w:t>
            </w:r>
            <w:r w:rsidRPr="00E06F45">
              <w:rPr>
                <w:sz w:val="20"/>
                <w:szCs w:val="20"/>
              </w:rPr>
              <w:t xml:space="preserve"> and utilization of resources in line with established POPP </w:t>
            </w:r>
            <w:hyperlink r:id="rId141">
              <w:r w:rsidRPr="00E06F45">
                <w:rPr>
                  <w:rStyle w:val="Hyperlink"/>
                  <w:color w:val="4472C4" w:themeColor="accent1"/>
                  <w:sz w:val="20"/>
                  <w:szCs w:val="20"/>
                </w:rPr>
                <w:t>Financial Resources Management</w:t>
              </w:r>
            </w:hyperlink>
            <w:r w:rsidRPr="00E06F45">
              <w:rPr>
                <w:color w:val="4472C4" w:themeColor="accent1"/>
                <w:sz w:val="20"/>
                <w:szCs w:val="20"/>
              </w:rPr>
              <w:t>.</w:t>
            </w:r>
          </w:p>
        </w:tc>
      </w:tr>
      <w:tr w:rsidR="00172AD3" w:rsidRPr="00A35ED2" w14:paraId="3A6C1023" w14:textId="77777777" w:rsidTr="363CA695">
        <w:trPr>
          <w:trHeight w:val="20"/>
        </w:trPr>
        <w:tc>
          <w:tcPr>
            <w:tcW w:w="9805" w:type="dxa"/>
          </w:tcPr>
          <w:p w14:paraId="7810DFF1" w14:textId="6AE8A8C1" w:rsidR="00172AD3" w:rsidRPr="00E06F45" w:rsidRDefault="00172AD3">
            <w:pPr>
              <w:pStyle w:val="ListParagraph"/>
              <w:widowControl w:val="0"/>
              <w:numPr>
                <w:ilvl w:val="0"/>
                <w:numId w:val="101"/>
              </w:numPr>
              <w:autoSpaceDE w:val="0"/>
              <w:autoSpaceDN w:val="0"/>
              <w:spacing w:after="0" w:line="240" w:lineRule="auto"/>
              <w:rPr>
                <w:sz w:val="20"/>
                <w:szCs w:val="20"/>
              </w:rPr>
            </w:pPr>
            <w:proofErr w:type="gramStart"/>
            <w:r w:rsidRPr="00E06F45">
              <w:rPr>
                <w:sz w:val="20"/>
                <w:szCs w:val="20"/>
              </w:rPr>
              <w:t>Oversees</w:t>
            </w:r>
            <w:proofErr w:type="gramEnd"/>
            <w:r w:rsidRPr="00E06F45">
              <w:rPr>
                <w:sz w:val="20"/>
                <w:szCs w:val="20"/>
              </w:rPr>
              <w:t xml:space="preserve"> corporate exercises such as Annual Representation, Business Continuity Plan, and preparation of IWP of the Institutional Budget (IB) component, ensuring relevant inputs are obtained from ARR-Programmes.</w:t>
            </w:r>
          </w:p>
        </w:tc>
      </w:tr>
      <w:tr w:rsidR="00172AD3" w:rsidRPr="00A35ED2" w14:paraId="7F24AD8D" w14:textId="77777777" w:rsidTr="363CA695">
        <w:trPr>
          <w:trHeight w:val="20"/>
        </w:trPr>
        <w:tc>
          <w:tcPr>
            <w:tcW w:w="9805" w:type="dxa"/>
          </w:tcPr>
          <w:p w14:paraId="484E4E75" w14:textId="53B62C11" w:rsidR="00172AD3" w:rsidRPr="00E06F45" w:rsidRDefault="00335E15">
            <w:pPr>
              <w:pStyle w:val="ListParagraph"/>
              <w:widowControl w:val="0"/>
              <w:numPr>
                <w:ilvl w:val="0"/>
                <w:numId w:val="101"/>
              </w:numPr>
              <w:autoSpaceDE w:val="0"/>
              <w:autoSpaceDN w:val="0"/>
              <w:spacing w:after="0" w:line="240" w:lineRule="auto"/>
              <w:rPr>
                <w:sz w:val="20"/>
                <w:szCs w:val="20"/>
              </w:rPr>
            </w:pPr>
            <w:r w:rsidRPr="00E06F45">
              <w:rPr>
                <w:sz w:val="20"/>
                <w:szCs w:val="20"/>
              </w:rPr>
              <w:t>Monitors</w:t>
            </w:r>
            <w:r w:rsidR="00172AD3" w:rsidRPr="00E06F45">
              <w:rPr>
                <w:sz w:val="20"/>
                <w:szCs w:val="20"/>
              </w:rPr>
              <w:t xml:space="preserve"> office/unit HACT compliance in close collaboration with </w:t>
            </w:r>
            <w:r w:rsidRPr="00E06F45">
              <w:rPr>
                <w:sz w:val="20"/>
                <w:szCs w:val="20"/>
              </w:rPr>
              <w:t xml:space="preserve">ARR – P and </w:t>
            </w:r>
            <w:proofErr w:type="spellStart"/>
            <w:r w:rsidR="00172AD3" w:rsidRPr="00E06F45">
              <w:rPr>
                <w:sz w:val="20"/>
                <w:szCs w:val="20"/>
              </w:rPr>
              <w:t>programme</w:t>
            </w:r>
            <w:proofErr w:type="spellEnd"/>
            <w:r w:rsidR="00172AD3" w:rsidRPr="00E06F45">
              <w:rPr>
                <w:sz w:val="20"/>
                <w:szCs w:val="20"/>
              </w:rPr>
              <w:t xml:space="preserve"> and operations teams.</w:t>
            </w:r>
          </w:p>
        </w:tc>
      </w:tr>
      <w:tr w:rsidR="00A35ED2" w:rsidRPr="00A35ED2" w14:paraId="15AAF7BA" w14:textId="77777777" w:rsidTr="363CA695">
        <w:trPr>
          <w:trHeight w:val="20"/>
        </w:trPr>
        <w:tc>
          <w:tcPr>
            <w:tcW w:w="9805" w:type="dxa"/>
          </w:tcPr>
          <w:p w14:paraId="717E3755" w14:textId="519F4C72" w:rsidR="00A35ED2" w:rsidRPr="00E06F45" w:rsidRDefault="00A35ED2">
            <w:pPr>
              <w:pStyle w:val="ListParagraph"/>
              <w:widowControl w:val="0"/>
              <w:numPr>
                <w:ilvl w:val="0"/>
                <w:numId w:val="101"/>
              </w:numPr>
              <w:autoSpaceDE w:val="0"/>
              <w:autoSpaceDN w:val="0"/>
              <w:spacing w:after="0" w:line="240" w:lineRule="auto"/>
              <w:rPr>
                <w:sz w:val="20"/>
                <w:szCs w:val="20"/>
              </w:rPr>
            </w:pPr>
            <w:r w:rsidRPr="00E06F45">
              <w:rPr>
                <w:sz w:val="20"/>
                <w:szCs w:val="20"/>
              </w:rPr>
              <w:t xml:space="preserve">Applies </w:t>
            </w:r>
            <w:r w:rsidR="00E27FA3" w:rsidRPr="00E06F45">
              <w:rPr>
                <w:sz w:val="20"/>
                <w:szCs w:val="20"/>
              </w:rPr>
              <w:t xml:space="preserve">the </w:t>
            </w:r>
            <w:r w:rsidRPr="00E06F45">
              <w:rPr>
                <w:sz w:val="20"/>
                <w:szCs w:val="20"/>
              </w:rPr>
              <w:t xml:space="preserve">UNDP </w:t>
            </w:r>
            <w:hyperlink r:id="rId142" w:history="1">
              <w:r w:rsidRPr="00E06F45">
                <w:rPr>
                  <w:rStyle w:val="Hyperlink"/>
                  <w:color w:val="4472C4" w:themeColor="accent1"/>
                  <w:sz w:val="20"/>
                  <w:szCs w:val="20"/>
                </w:rPr>
                <w:t>cost recovery policy</w:t>
              </w:r>
            </w:hyperlink>
            <w:r w:rsidRPr="00E06F45">
              <w:rPr>
                <w:color w:val="4472C4" w:themeColor="accent1"/>
                <w:sz w:val="20"/>
                <w:szCs w:val="20"/>
              </w:rPr>
              <w:t xml:space="preserve">. </w:t>
            </w:r>
          </w:p>
        </w:tc>
      </w:tr>
      <w:tr w:rsidR="00EB0AFA" w:rsidRPr="00A35ED2" w14:paraId="6550E197" w14:textId="77777777" w:rsidTr="363CA695">
        <w:trPr>
          <w:trHeight w:val="20"/>
        </w:trPr>
        <w:tc>
          <w:tcPr>
            <w:tcW w:w="9805" w:type="dxa"/>
          </w:tcPr>
          <w:p w14:paraId="536BB022" w14:textId="3D1ACDA8" w:rsidR="00EB0AFA" w:rsidRPr="00E06F45" w:rsidRDefault="00EB0AFA">
            <w:pPr>
              <w:pStyle w:val="ListParagraph"/>
              <w:widowControl w:val="0"/>
              <w:numPr>
                <w:ilvl w:val="0"/>
                <w:numId w:val="101"/>
              </w:numPr>
              <w:autoSpaceDE w:val="0"/>
              <w:autoSpaceDN w:val="0"/>
              <w:spacing w:after="0" w:line="240" w:lineRule="auto"/>
              <w:rPr>
                <w:sz w:val="20"/>
                <w:szCs w:val="20"/>
              </w:rPr>
            </w:pPr>
            <w:r w:rsidRPr="00E06F45">
              <w:rPr>
                <w:sz w:val="20"/>
                <w:szCs w:val="20"/>
              </w:rPr>
              <w:t>Typically assigned as an Approving manager for the office/unit, performing functions described in section 5.4.</w:t>
            </w:r>
          </w:p>
        </w:tc>
      </w:tr>
      <w:tr w:rsidR="00A35ED2" w:rsidRPr="00A35ED2" w14:paraId="0725E6A4" w14:textId="77777777" w:rsidTr="363CA695">
        <w:trPr>
          <w:trHeight w:val="20"/>
        </w:trPr>
        <w:tc>
          <w:tcPr>
            <w:tcW w:w="9805" w:type="dxa"/>
            <w:shd w:val="clear" w:color="auto" w:fill="E1EED9"/>
          </w:tcPr>
          <w:p w14:paraId="08BF7A9A" w14:textId="77777777" w:rsidR="00A35ED2" w:rsidRPr="00E06F45" w:rsidRDefault="00A35ED2" w:rsidP="006A7B6C">
            <w:pPr>
              <w:spacing w:after="0" w:line="240" w:lineRule="auto"/>
              <w:ind w:left="90"/>
              <w:rPr>
                <w:b/>
                <w:bCs/>
                <w:sz w:val="20"/>
                <w:szCs w:val="20"/>
              </w:rPr>
            </w:pPr>
            <w:r w:rsidRPr="00E06F45">
              <w:rPr>
                <w:b/>
                <w:bCs/>
                <w:sz w:val="20"/>
                <w:szCs w:val="20"/>
              </w:rPr>
              <w:t>IDAM Business Profile - Senior Manager (must be a UNDP staff member)</w:t>
            </w:r>
          </w:p>
        </w:tc>
      </w:tr>
    </w:tbl>
    <w:p w14:paraId="4C2BE7F3" w14:textId="6F7BBAB3" w:rsidR="00E27FA3" w:rsidRPr="00E06F45" w:rsidRDefault="00E27FA3" w:rsidP="363CA695">
      <w:pPr>
        <w:spacing w:after="0"/>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EB0AFA" w:rsidRPr="00E06F45">
        <w:rPr>
          <w:i/>
          <w:iCs/>
          <w:sz w:val="20"/>
          <w:szCs w:val="20"/>
        </w:rPr>
        <w:t>based on</w:t>
      </w:r>
      <w:r w:rsidR="00D77D3A" w:rsidRPr="00E06F45">
        <w:rPr>
          <w:i/>
          <w:iCs/>
          <w:sz w:val="20"/>
          <w:szCs w:val="20"/>
        </w:rPr>
        <w:t xml:space="preserve"> </w:t>
      </w:r>
      <w:r w:rsidRPr="00E06F45">
        <w:rPr>
          <w:i/>
          <w:iCs/>
          <w:sz w:val="20"/>
          <w:szCs w:val="20"/>
        </w:rPr>
        <w:t xml:space="preserve">BMS/OHR </w:t>
      </w:r>
      <w:hyperlink r:id="rId143">
        <w:r w:rsidRPr="00E06F45">
          <w:rPr>
            <w:rStyle w:val="Hyperlink"/>
            <w:i/>
            <w:iCs/>
            <w:color w:val="4472C4" w:themeColor="accent1"/>
            <w:sz w:val="20"/>
            <w:szCs w:val="20"/>
          </w:rPr>
          <w:t>generic job descriptions</w:t>
        </w:r>
      </w:hyperlink>
      <w:r w:rsidRPr="00E06F45">
        <w:rPr>
          <w:i/>
          <w:iCs/>
          <w:color w:val="4472C4" w:themeColor="accent1"/>
          <w:sz w:val="20"/>
          <w:szCs w:val="20"/>
        </w:rPr>
        <w:t xml:space="preserve"> </w:t>
      </w:r>
      <w:r w:rsidRPr="00E06F45">
        <w:rPr>
          <w:i/>
          <w:iCs/>
          <w:sz w:val="20"/>
          <w:szCs w:val="20"/>
        </w:rPr>
        <w:t>developed for DRR - Ops in 2023.</w:t>
      </w:r>
    </w:p>
    <w:p w14:paraId="267288A1" w14:textId="77777777" w:rsidR="0029384D" w:rsidRPr="0029384D" w:rsidRDefault="0029384D" w:rsidP="00E27FA3">
      <w:pPr>
        <w:rPr>
          <w:i/>
          <w:iCs/>
          <w:sz w:val="8"/>
          <w:szCs w:val="8"/>
        </w:rPr>
      </w:pPr>
    </w:p>
    <w:p w14:paraId="540FED2A" w14:textId="1ABCBE43" w:rsidR="0029384D" w:rsidRDefault="0005445E">
      <w:pPr>
        <w:pStyle w:val="Heading2"/>
        <w:numPr>
          <w:ilvl w:val="1"/>
          <w:numId w:val="92"/>
        </w:numPr>
        <w:spacing w:after="240"/>
        <w:ind w:left="360"/>
      </w:pPr>
      <w:bookmarkStart w:id="97" w:name="_Toc210052783"/>
      <w:r>
        <w:t>Operations Manager</w:t>
      </w:r>
      <w:bookmarkEnd w:id="97"/>
    </w:p>
    <w:p w14:paraId="6A3EE2BE" w14:textId="79476C5D" w:rsidR="0029384D" w:rsidRPr="00E06F45" w:rsidRDefault="0029384D" w:rsidP="363CA695">
      <w:pPr>
        <w:spacing w:line="240" w:lineRule="auto"/>
      </w:pPr>
      <w:r w:rsidRPr="00E06F45">
        <w:t>The Operations Manager (and HQ-equivalent) is responsible for ensuring effective, risk-informed and accurate financial resources management and supervision of the Finance team. While UNDP offices</w:t>
      </w:r>
      <w:r w:rsidR="00407CD4" w:rsidRPr="00E06F45">
        <w:t>/units</w:t>
      </w:r>
      <w:r w:rsidRPr="00E06F45">
        <w:t xml:space="preserve"> have varied organizational structures, the Operations Manager </w:t>
      </w:r>
      <w:r w:rsidR="00AC709C" w:rsidRPr="00E06F45">
        <w:t xml:space="preserve">may </w:t>
      </w:r>
      <w:r w:rsidRPr="00E06F45">
        <w:t>typically have the following key responsibilities as it relates to financial resources management and related controls:</w:t>
      </w:r>
    </w:p>
    <w:tbl>
      <w:tblPr>
        <w:tblStyle w:val="TableGrid"/>
        <w:tblW w:w="0" w:type="auto"/>
        <w:tblLook w:val="04A0" w:firstRow="1" w:lastRow="0" w:firstColumn="1" w:lastColumn="0" w:noHBand="0" w:noVBand="1"/>
      </w:tblPr>
      <w:tblGrid>
        <w:gridCol w:w="9926"/>
      </w:tblGrid>
      <w:tr w:rsidR="006A7B6C" w14:paraId="4C344420" w14:textId="77777777" w:rsidTr="363CA695">
        <w:trPr>
          <w:tblHeader/>
        </w:trPr>
        <w:tc>
          <w:tcPr>
            <w:tcW w:w="9926" w:type="dxa"/>
            <w:shd w:val="clear" w:color="auto" w:fill="FFF2CC" w:themeFill="accent4" w:themeFillTint="33"/>
          </w:tcPr>
          <w:p w14:paraId="752FF76F" w14:textId="0818BE3F" w:rsidR="006A7B6C" w:rsidRPr="00E06F45" w:rsidRDefault="006A7B6C" w:rsidP="006A4651">
            <w:r w:rsidRPr="00E06F45">
              <w:rPr>
                <w:b/>
                <w:bCs/>
                <w:sz w:val="20"/>
                <w:szCs w:val="20"/>
              </w:rPr>
              <w:t>Operations Manager (and HQ-equivalent): Internal Control responsibilities performed within each office/unit</w:t>
            </w:r>
          </w:p>
        </w:tc>
      </w:tr>
      <w:tr w:rsidR="006A7B6C" w14:paraId="37796DF0" w14:textId="77777777" w:rsidTr="363CA695">
        <w:tc>
          <w:tcPr>
            <w:tcW w:w="9926" w:type="dxa"/>
          </w:tcPr>
          <w:p w14:paraId="0C26618F" w14:textId="3B04DAF8" w:rsidR="006A7B6C" w:rsidRPr="00E06F45" w:rsidRDefault="006A7B6C">
            <w:pPr>
              <w:pStyle w:val="ListParagraph"/>
              <w:numPr>
                <w:ilvl w:val="0"/>
                <w:numId w:val="104"/>
              </w:numPr>
            </w:pPr>
            <w:r w:rsidRPr="00E06F45">
              <w:rPr>
                <w:sz w:val="20"/>
                <w:szCs w:val="20"/>
              </w:rPr>
              <w:t xml:space="preserve">Ensure proper planning of CO financial resources, tracking and recording of expenditures in compliance with IPSAS, and audit of financial resources, including </w:t>
            </w:r>
            <w:r w:rsidR="000C0C3C">
              <w:rPr>
                <w:sz w:val="20"/>
                <w:szCs w:val="20"/>
              </w:rPr>
              <w:t>non-core</w:t>
            </w:r>
            <w:r w:rsidRPr="00E06F45">
              <w:rPr>
                <w:sz w:val="20"/>
                <w:szCs w:val="20"/>
              </w:rPr>
              <w:t xml:space="preserve"> income in accordance with UNDP FRRs.</w:t>
            </w:r>
          </w:p>
        </w:tc>
      </w:tr>
      <w:tr w:rsidR="006A7B6C" w14:paraId="3E18C8D3" w14:textId="77777777" w:rsidTr="363CA695">
        <w:tc>
          <w:tcPr>
            <w:tcW w:w="9926" w:type="dxa"/>
          </w:tcPr>
          <w:p w14:paraId="487B5280" w14:textId="2D877586" w:rsidR="006A7B6C" w:rsidRPr="00E06F45" w:rsidRDefault="006A7B6C">
            <w:pPr>
              <w:pStyle w:val="ListParagraph"/>
              <w:numPr>
                <w:ilvl w:val="0"/>
                <w:numId w:val="104"/>
              </w:numPr>
            </w:pPr>
            <w:r w:rsidRPr="00E06F45">
              <w:rPr>
                <w:sz w:val="20"/>
                <w:szCs w:val="20"/>
              </w:rPr>
              <w:t xml:space="preserve">Oversee CO </w:t>
            </w:r>
            <w:r w:rsidR="00FC6A08" w:rsidRPr="00E06F45">
              <w:rPr>
                <w:sz w:val="20"/>
                <w:szCs w:val="20"/>
              </w:rPr>
              <w:t>assurance activities</w:t>
            </w:r>
            <w:r w:rsidRPr="00E06F45">
              <w:rPr>
                <w:sz w:val="20"/>
                <w:szCs w:val="20"/>
              </w:rPr>
              <w:t xml:space="preserve"> (</w:t>
            </w:r>
            <w:r w:rsidR="00FC6A08" w:rsidRPr="00E06F45">
              <w:rPr>
                <w:sz w:val="20"/>
                <w:szCs w:val="20"/>
              </w:rPr>
              <w:t xml:space="preserve">e.g., </w:t>
            </w:r>
            <w:r w:rsidRPr="00E06F45">
              <w:rPr>
                <w:sz w:val="20"/>
                <w:szCs w:val="20"/>
              </w:rPr>
              <w:t>management and NIM</w:t>
            </w:r>
            <w:r w:rsidR="00FC6A08" w:rsidRPr="00E06F45">
              <w:rPr>
                <w:sz w:val="20"/>
                <w:szCs w:val="20"/>
              </w:rPr>
              <w:t xml:space="preserve"> audits</w:t>
            </w:r>
            <w:r w:rsidRPr="00E06F45">
              <w:rPr>
                <w:sz w:val="20"/>
                <w:szCs w:val="20"/>
              </w:rPr>
              <w:t xml:space="preserve">) and ensure implementation of </w:t>
            </w:r>
            <w:r w:rsidR="00FC6A08" w:rsidRPr="00E06F45">
              <w:rPr>
                <w:sz w:val="20"/>
                <w:szCs w:val="20"/>
              </w:rPr>
              <w:t xml:space="preserve">related </w:t>
            </w:r>
            <w:r w:rsidRPr="00E06F45">
              <w:rPr>
                <w:sz w:val="20"/>
                <w:szCs w:val="20"/>
              </w:rPr>
              <w:t>recommendations.</w:t>
            </w:r>
          </w:p>
        </w:tc>
      </w:tr>
      <w:tr w:rsidR="006A7B6C" w14:paraId="57966611" w14:textId="77777777" w:rsidTr="363CA695">
        <w:tc>
          <w:tcPr>
            <w:tcW w:w="9926" w:type="dxa"/>
          </w:tcPr>
          <w:p w14:paraId="57DD15B3" w14:textId="3E8251CF" w:rsidR="006A7B6C" w:rsidRPr="00E06F45" w:rsidRDefault="006A7B6C">
            <w:pPr>
              <w:pStyle w:val="ListParagraph"/>
              <w:numPr>
                <w:ilvl w:val="0"/>
                <w:numId w:val="104"/>
              </w:numPr>
            </w:pPr>
            <w:r w:rsidRPr="00E06F45">
              <w:rPr>
                <w:sz w:val="20"/>
                <w:szCs w:val="20"/>
              </w:rPr>
              <w:t>Ensure timely completion of corporate exercises such as Annual Representation, Business Continuity Plan, and preparation of IWP of the Institutional Budget (IB) component.</w:t>
            </w:r>
          </w:p>
        </w:tc>
      </w:tr>
      <w:tr w:rsidR="006A7B6C" w14:paraId="23CE30DD" w14:textId="77777777" w:rsidTr="363CA695">
        <w:tc>
          <w:tcPr>
            <w:tcW w:w="9926" w:type="dxa"/>
          </w:tcPr>
          <w:p w14:paraId="3FD6858C" w14:textId="5B0B4F15" w:rsidR="006A7B6C" w:rsidRPr="00E06F45" w:rsidRDefault="00172AD3">
            <w:pPr>
              <w:pStyle w:val="ListParagraph"/>
              <w:numPr>
                <w:ilvl w:val="0"/>
                <w:numId w:val="104"/>
              </w:numPr>
            </w:pPr>
            <w:r w:rsidRPr="00E06F45">
              <w:rPr>
                <w:sz w:val="20"/>
                <w:szCs w:val="20"/>
              </w:rPr>
              <w:t xml:space="preserve">Support </w:t>
            </w:r>
            <w:r w:rsidR="00F2298C" w:rsidRPr="00E06F45">
              <w:rPr>
                <w:sz w:val="20"/>
                <w:szCs w:val="20"/>
              </w:rPr>
              <w:t>office/unit</w:t>
            </w:r>
            <w:r w:rsidR="006A7B6C" w:rsidRPr="00E06F45">
              <w:rPr>
                <w:sz w:val="20"/>
                <w:szCs w:val="20"/>
              </w:rPr>
              <w:t xml:space="preserve"> HACT compliance in close collaboration with </w:t>
            </w:r>
            <w:proofErr w:type="spellStart"/>
            <w:r w:rsidR="006A7B6C" w:rsidRPr="00E06F45">
              <w:rPr>
                <w:sz w:val="20"/>
                <w:szCs w:val="20"/>
              </w:rPr>
              <w:t>programme</w:t>
            </w:r>
            <w:proofErr w:type="spellEnd"/>
            <w:r w:rsidR="006A7B6C" w:rsidRPr="00E06F45">
              <w:rPr>
                <w:sz w:val="20"/>
                <w:szCs w:val="20"/>
              </w:rPr>
              <w:t xml:space="preserve"> and operations teams.</w:t>
            </w:r>
          </w:p>
        </w:tc>
      </w:tr>
      <w:tr w:rsidR="006A7B6C" w14:paraId="730DEF1F" w14:textId="77777777" w:rsidTr="363CA695">
        <w:tc>
          <w:tcPr>
            <w:tcW w:w="9926" w:type="dxa"/>
          </w:tcPr>
          <w:p w14:paraId="3835626E" w14:textId="66CEAA9C" w:rsidR="006A7B6C" w:rsidRPr="00E06F45" w:rsidRDefault="006A7B6C">
            <w:pPr>
              <w:pStyle w:val="ListParagraph"/>
              <w:numPr>
                <w:ilvl w:val="0"/>
                <w:numId w:val="104"/>
              </w:numPr>
            </w:pPr>
            <w:r w:rsidRPr="00E06F45">
              <w:rPr>
                <w:sz w:val="20"/>
                <w:szCs w:val="20"/>
              </w:rPr>
              <w:t xml:space="preserve">Oversee the contributions management business process and </w:t>
            </w:r>
            <w:proofErr w:type="gramStart"/>
            <w:r w:rsidRPr="00E06F45">
              <w:rPr>
                <w:sz w:val="20"/>
                <w:szCs w:val="20"/>
              </w:rPr>
              <w:t>accounting</w:t>
            </w:r>
            <w:proofErr w:type="gramEnd"/>
            <w:r w:rsidRPr="00E06F45">
              <w:rPr>
                <w:sz w:val="20"/>
                <w:szCs w:val="20"/>
              </w:rPr>
              <w:t xml:space="preserve"> for contributions to ensure that the money due to UNDP is properly identified, consistently and uniformly classified, recorded on a timely basis, and received with sufficient supporting documentation.</w:t>
            </w:r>
          </w:p>
        </w:tc>
      </w:tr>
      <w:tr w:rsidR="006A7B6C" w14:paraId="004974E5" w14:textId="77777777" w:rsidTr="363CA695">
        <w:tc>
          <w:tcPr>
            <w:tcW w:w="9926" w:type="dxa"/>
          </w:tcPr>
          <w:p w14:paraId="789B7E4E" w14:textId="2F3E910D" w:rsidR="006A7B6C" w:rsidRPr="00E06F45" w:rsidRDefault="006A7B6C">
            <w:pPr>
              <w:pStyle w:val="ListParagraph"/>
              <w:numPr>
                <w:ilvl w:val="0"/>
                <w:numId w:val="104"/>
              </w:numPr>
            </w:pPr>
            <w:r w:rsidRPr="00E06F45">
              <w:rPr>
                <w:sz w:val="20"/>
                <w:szCs w:val="20"/>
              </w:rPr>
              <w:t>Organize cost-recovery mechanisms for CO services provided to projects and UN Agencies that includes ensuring timely preparation of proforma invoices for UN agencies.</w:t>
            </w:r>
          </w:p>
        </w:tc>
      </w:tr>
      <w:tr w:rsidR="006A7B6C" w14:paraId="74F24780" w14:textId="77777777" w:rsidTr="363CA695">
        <w:tc>
          <w:tcPr>
            <w:tcW w:w="9926" w:type="dxa"/>
          </w:tcPr>
          <w:p w14:paraId="1D1620BA" w14:textId="3F724745" w:rsidR="006A7B6C" w:rsidRPr="00E06F45" w:rsidRDefault="006A7B6C">
            <w:pPr>
              <w:pStyle w:val="ListParagraph"/>
              <w:numPr>
                <w:ilvl w:val="0"/>
                <w:numId w:val="104"/>
              </w:numPr>
            </w:pPr>
            <w:r w:rsidRPr="00E06F45">
              <w:rPr>
                <w:sz w:val="20"/>
                <w:szCs w:val="20"/>
              </w:rPr>
              <w:t>Perform appropriate delegations in Quantum for voucher and Treasury transactions approvals and bank reconciliation. Approve bank reconciliations and pending disbursements as the “third authority” (cheques, bank transfers, EFT), where this role is not performed by BMS/GSSC.</w:t>
            </w:r>
          </w:p>
        </w:tc>
      </w:tr>
      <w:tr w:rsidR="006A7B6C" w14:paraId="7E399BE6" w14:textId="77777777" w:rsidTr="363CA695">
        <w:tc>
          <w:tcPr>
            <w:tcW w:w="9926" w:type="dxa"/>
          </w:tcPr>
          <w:p w14:paraId="003B4E5B" w14:textId="78D0F46D" w:rsidR="006A7B6C" w:rsidRPr="00E06F45" w:rsidRDefault="006A7B6C">
            <w:pPr>
              <w:pStyle w:val="ListParagraph"/>
              <w:numPr>
                <w:ilvl w:val="0"/>
                <w:numId w:val="104"/>
              </w:numPr>
              <w:rPr>
                <w:sz w:val="20"/>
                <w:szCs w:val="20"/>
              </w:rPr>
            </w:pPr>
            <w:r w:rsidRPr="00E06F45">
              <w:rPr>
                <w:sz w:val="20"/>
                <w:szCs w:val="20"/>
              </w:rPr>
              <w:t xml:space="preserve">Organize and provide oversight of CO cash management processes, including liquidity management, recommendation of </w:t>
            </w:r>
            <w:proofErr w:type="spellStart"/>
            <w:r w:rsidRPr="00E06F45">
              <w:rPr>
                <w:sz w:val="20"/>
                <w:szCs w:val="20"/>
              </w:rPr>
              <w:t>imprest</w:t>
            </w:r>
            <w:proofErr w:type="spellEnd"/>
            <w:r w:rsidRPr="00E06F45">
              <w:rPr>
                <w:sz w:val="20"/>
                <w:szCs w:val="20"/>
              </w:rPr>
              <w:t xml:space="preserve"> level, risk assessment, bank relationship management, timely accounting and reconciliation of all transactions, and security for cash assets on site.</w:t>
            </w:r>
          </w:p>
        </w:tc>
      </w:tr>
      <w:tr w:rsidR="006A7B6C" w14:paraId="22FDFC70" w14:textId="77777777" w:rsidTr="363CA695">
        <w:tc>
          <w:tcPr>
            <w:tcW w:w="9926" w:type="dxa"/>
          </w:tcPr>
          <w:p w14:paraId="4BA56419" w14:textId="65C91305" w:rsidR="006A7B6C" w:rsidRPr="00E06F45" w:rsidRDefault="006A7B6C">
            <w:pPr>
              <w:pStyle w:val="ListParagraph"/>
              <w:numPr>
                <w:ilvl w:val="0"/>
                <w:numId w:val="104"/>
              </w:numPr>
              <w:rPr>
                <w:sz w:val="20"/>
                <w:szCs w:val="20"/>
              </w:rPr>
            </w:pPr>
            <w:r w:rsidRPr="00E06F45">
              <w:rPr>
                <w:sz w:val="20"/>
                <w:szCs w:val="20"/>
              </w:rPr>
              <w:t>Fulfill the roles of Asset Manager and Inventory Manager, in line with Section 7 of this Guide</w:t>
            </w:r>
          </w:p>
        </w:tc>
      </w:tr>
      <w:tr w:rsidR="006A7B6C" w14:paraId="25E5129E" w14:textId="77777777" w:rsidTr="363CA695">
        <w:tc>
          <w:tcPr>
            <w:tcW w:w="9926" w:type="dxa"/>
          </w:tcPr>
          <w:p w14:paraId="5593E5D5" w14:textId="080F7B5E" w:rsidR="006A7B6C" w:rsidRPr="00E06F45" w:rsidRDefault="006A7B6C">
            <w:pPr>
              <w:pStyle w:val="ListParagraph"/>
              <w:numPr>
                <w:ilvl w:val="0"/>
                <w:numId w:val="104"/>
              </w:numPr>
              <w:rPr>
                <w:sz w:val="20"/>
                <w:szCs w:val="20"/>
              </w:rPr>
            </w:pPr>
            <w:r w:rsidRPr="00E06F45">
              <w:rPr>
                <w:sz w:val="20"/>
                <w:szCs w:val="20"/>
              </w:rPr>
              <w:t>Monitor financial exception reports for unusual activities and/or transactions; and investigate anomalies or unusual transactions. Ensure appropriate CO and UNDP HQ staff are informed of the results of the investigation when satisfactory answers are not obtained.</w:t>
            </w:r>
          </w:p>
        </w:tc>
      </w:tr>
      <w:tr w:rsidR="006A7B6C" w14:paraId="0EEEF44A" w14:textId="77777777" w:rsidTr="363CA695">
        <w:tc>
          <w:tcPr>
            <w:tcW w:w="9926" w:type="dxa"/>
          </w:tcPr>
          <w:p w14:paraId="08E33182" w14:textId="714F1EEA" w:rsidR="006A7B6C" w:rsidRPr="00E06F45" w:rsidRDefault="006A7B6C">
            <w:pPr>
              <w:pStyle w:val="ListParagraph"/>
              <w:numPr>
                <w:ilvl w:val="0"/>
                <w:numId w:val="104"/>
              </w:numPr>
              <w:rPr>
                <w:sz w:val="20"/>
                <w:szCs w:val="20"/>
              </w:rPr>
            </w:pPr>
            <w:r w:rsidRPr="00E06F45">
              <w:rPr>
                <w:sz w:val="20"/>
                <w:szCs w:val="20"/>
              </w:rPr>
              <w:t>Serve as member of bank signatory panel (for COs and outposted HQ locations)</w:t>
            </w:r>
          </w:p>
        </w:tc>
      </w:tr>
      <w:tr w:rsidR="006A7B6C" w14:paraId="7455C20A" w14:textId="77777777" w:rsidTr="363CA695">
        <w:tc>
          <w:tcPr>
            <w:tcW w:w="9926" w:type="dxa"/>
          </w:tcPr>
          <w:p w14:paraId="295D1E07" w14:textId="308C95AB" w:rsidR="006A7B6C" w:rsidRPr="00E06F45" w:rsidRDefault="006A7B6C">
            <w:pPr>
              <w:pStyle w:val="ListParagraph"/>
              <w:numPr>
                <w:ilvl w:val="0"/>
                <w:numId w:val="104"/>
              </w:numPr>
              <w:rPr>
                <w:sz w:val="20"/>
                <w:szCs w:val="20"/>
              </w:rPr>
            </w:pPr>
            <w:r w:rsidRPr="00E06F45">
              <w:rPr>
                <w:sz w:val="20"/>
                <w:szCs w:val="20"/>
              </w:rPr>
              <w:t>Ensure transaction and stop payment approval on internet banking system.</w:t>
            </w:r>
          </w:p>
        </w:tc>
      </w:tr>
      <w:tr w:rsidR="006A7B6C" w14:paraId="1DF8F88B" w14:textId="77777777" w:rsidTr="363CA695">
        <w:tc>
          <w:tcPr>
            <w:tcW w:w="9926" w:type="dxa"/>
          </w:tcPr>
          <w:p w14:paraId="7C673213" w14:textId="50576671" w:rsidR="006A7B6C" w:rsidRPr="00E06F45" w:rsidRDefault="006A7B6C">
            <w:pPr>
              <w:pStyle w:val="ListParagraph"/>
              <w:numPr>
                <w:ilvl w:val="0"/>
                <w:numId w:val="104"/>
              </w:numPr>
              <w:rPr>
                <w:sz w:val="20"/>
                <w:szCs w:val="20"/>
              </w:rPr>
            </w:pPr>
            <w:r w:rsidRPr="00E06F45">
              <w:rPr>
                <w:sz w:val="20"/>
                <w:szCs w:val="20"/>
              </w:rPr>
              <w:lastRenderedPageBreak/>
              <w:t>Monitor 3-way match exception overrides (in offices/units with non-clustered Accounts Payable processes</w:t>
            </w:r>
            <w:r w:rsidRPr="00E06F45">
              <w:rPr>
                <w:rStyle w:val="FootnoteReference"/>
                <w:sz w:val="20"/>
                <w:szCs w:val="20"/>
              </w:rPr>
              <w:footnoteReference w:id="31"/>
            </w:r>
            <w:r w:rsidRPr="00E06F45">
              <w:rPr>
                <w:sz w:val="20"/>
                <w:szCs w:val="20"/>
              </w:rPr>
              <w:t>)</w:t>
            </w:r>
          </w:p>
        </w:tc>
      </w:tr>
      <w:tr w:rsidR="00E06F45" w:rsidRPr="00E06F45" w14:paraId="553D0A78" w14:textId="77777777" w:rsidTr="363CA695">
        <w:tc>
          <w:tcPr>
            <w:tcW w:w="9926" w:type="dxa"/>
          </w:tcPr>
          <w:p w14:paraId="5105593B" w14:textId="7C5932E3" w:rsidR="006A7B6C" w:rsidRPr="00E06F45" w:rsidRDefault="006A7B6C">
            <w:pPr>
              <w:pStyle w:val="ListParagraph"/>
              <w:numPr>
                <w:ilvl w:val="0"/>
                <w:numId w:val="104"/>
              </w:numPr>
              <w:rPr>
                <w:sz w:val="20"/>
                <w:szCs w:val="20"/>
              </w:rPr>
            </w:pPr>
            <w:r w:rsidRPr="00E06F45">
              <w:rPr>
                <w:sz w:val="20"/>
                <w:szCs w:val="20"/>
              </w:rPr>
              <w:t>Ensure all financial transactions are identified, recorded, and verified in compliance with IPSAS as outlined in the corporate policies and procedures.</w:t>
            </w:r>
          </w:p>
        </w:tc>
      </w:tr>
      <w:tr w:rsidR="00E06F45" w:rsidRPr="00E06F45" w14:paraId="59A89652" w14:textId="77777777" w:rsidTr="363CA695">
        <w:tc>
          <w:tcPr>
            <w:tcW w:w="9926" w:type="dxa"/>
            <w:shd w:val="clear" w:color="auto" w:fill="E2EFD9" w:themeFill="accent6" w:themeFillTint="33"/>
          </w:tcPr>
          <w:p w14:paraId="7C0151B5" w14:textId="27C501E0" w:rsidR="006A7B6C" w:rsidRPr="00E06F45" w:rsidRDefault="006A7B6C" w:rsidP="006A4651">
            <w:pPr>
              <w:rPr>
                <w:sz w:val="20"/>
                <w:szCs w:val="20"/>
              </w:rPr>
            </w:pPr>
            <w:r w:rsidRPr="00E06F45">
              <w:rPr>
                <w:b/>
                <w:bCs/>
                <w:sz w:val="20"/>
                <w:szCs w:val="20"/>
              </w:rPr>
              <w:t>IDAM Business Profile – Typically Senior Manager or Manager Level 2 (must be a UNDP staff member)</w:t>
            </w:r>
          </w:p>
        </w:tc>
      </w:tr>
    </w:tbl>
    <w:p w14:paraId="18A94BCA" w14:textId="302BD538" w:rsidR="00EC79FA" w:rsidRPr="00E06F45" w:rsidRDefault="00EC79FA" w:rsidP="363CA695">
      <w:pPr>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311836" w:rsidRPr="00E06F45">
        <w:rPr>
          <w:i/>
          <w:iCs/>
          <w:sz w:val="20"/>
          <w:szCs w:val="20"/>
        </w:rPr>
        <w:t>ba</w:t>
      </w:r>
      <w:r w:rsidR="006A4651" w:rsidRPr="00E06F45">
        <w:rPr>
          <w:i/>
          <w:iCs/>
          <w:sz w:val="20"/>
          <w:szCs w:val="20"/>
        </w:rPr>
        <w:t>s</w:t>
      </w:r>
      <w:r w:rsidR="00311836" w:rsidRPr="00E06F45">
        <w:rPr>
          <w:i/>
          <w:iCs/>
          <w:sz w:val="20"/>
          <w:szCs w:val="20"/>
        </w:rPr>
        <w:t>ed on</w:t>
      </w:r>
      <w:r w:rsidR="00D77D3A" w:rsidRPr="00E06F45">
        <w:rPr>
          <w:i/>
          <w:iCs/>
          <w:sz w:val="20"/>
          <w:szCs w:val="20"/>
        </w:rPr>
        <w:t xml:space="preserve"> </w:t>
      </w:r>
      <w:r w:rsidRPr="00E06F45">
        <w:rPr>
          <w:i/>
          <w:iCs/>
          <w:sz w:val="20"/>
          <w:szCs w:val="20"/>
        </w:rPr>
        <w:t xml:space="preserve">BMS/OHR </w:t>
      </w:r>
      <w:hyperlink r:id="rId144">
        <w:r w:rsidRPr="00E06F45">
          <w:rPr>
            <w:rStyle w:val="Hyperlink"/>
            <w:i/>
            <w:iCs/>
            <w:color w:val="4472C4" w:themeColor="accent1"/>
            <w:sz w:val="20"/>
            <w:szCs w:val="20"/>
          </w:rPr>
          <w:t>generic job descriptions</w:t>
        </w:r>
      </w:hyperlink>
      <w:r w:rsidRPr="00E06F45">
        <w:rPr>
          <w:i/>
          <w:iCs/>
          <w:color w:val="4472C4" w:themeColor="accent1"/>
          <w:sz w:val="20"/>
          <w:szCs w:val="20"/>
        </w:rPr>
        <w:t xml:space="preserve"> </w:t>
      </w:r>
      <w:r w:rsidRPr="00E06F45">
        <w:rPr>
          <w:i/>
          <w:iCs/>
          <w:sz w:val="20"/>
          <w:szCs w:val="20"/>
        </w:rPr>
        <w:t>developed for Operations Managers in 2023.</w:t>
      </w:r>
    </w:p>
    <w:p w14:paraId="1294316F" w14:textId="5098C48D" w:rsidR="008A398C" w:rsidRDefault="008A398C">
      <w:pPr>
        <w:pStyle w:val="Heading2"/>
        <w:numPr>
          <w:ilvl w:val="1"/>
          <w:numId w:val="92"/>
        </w:numPr>
        <w:spacing w:after="240"/>
        <w:ind w:left="360"/>
      </w:pPr>
      <w:bookmarkStart w:id="98" w:name="_Toc210052784"/>
      <w:r>
        <w:t>Finance Staff</w:t>
      </w:r>
      <w:bookmarkEnd w:id="98"/>
    </w:p>
    <w:p w14:paraId="5626CFB9" w14:textId="21A49904" w:rsidR="00097CC5" w:rsidRPr="00097CC5" w:rsidRDefault="00097CC5" w:rsidP="00097CC5">
      <w:pPr>
        <w:spacing w:line="240" w:lineRule="auto"/>
      </w:pPr>
      <w:r w:rsidRPr="363CA695">
        <w:t>Finance staff are responsible for a wide range of financial management activities that involve budgeting, revenue management, cost recovery, payments, cash management, general ledger account monitoring, financial monitoring, and document management. These activities are usually performed by Finance staff with an IDAM Business Profile of ‘Finance User.’ The BMS/GSSC performs many finance functions for offices</w:t>
      </w:r>
      <w:r w:rsidR="00407CD4" w:rsidRPr="363CA695">
        <w:t>/units</w:t>
      </w:r>
      <w:r w:rsidRPr="363CA695">
        <w:t xml:space="preserve"> with clustered finance processes. For offices</w:t>
      </w:r>
      <w:r w:rsidR="00407CD4" w:rsidRPr="363CA695">
        <w:t>/units</w:t>
      </w:r>
      <w:r w:rsidRPr="363CA695">
        <w:t xml:space="preserve"> with non-clustered finance processes, the BMS/GSSC performs revenue, asset and inventory accounting and bank reconciliations.</w:t>
      </w:r>
    </w:p>
    <w:p w14:paraId="3A2EB470" w14:textId="688914E3" w:rsidR="00097CC5" w:rsidRPr="00097CC5" w:rsidRDefault="00097CC5" w:rsidP="00097CC5">
      <w:pPr>
        <w:spacing w:line="240" w:lineRule="auto"/>
      </w:pPr>
      <w:r w:rsidRPr="00097CC5">
        <w:t>With the launch of Quantum, the IDAM ‘Finance User’ Business Profile can be assigned to non-staff personnel, including IPSAs, NPSAs and ICs, as the control functions that used to be in this role are now performed by BMS/GSSC and BMS/OF</w:t>
      </w:r>
      <w:r w:rsidR="00A40A72">
        <w:t>R</w:t>
      </w:r>
      <w:r w:rsidRPr="00097CC5">
        <w:t xml:space="preserve">M/Treasury. </w:t>
      </w:r>
    </w:p>
    <w:p w14:paraId="088B6023" w14:textId="2B08516F" w:rsidR="00097CC5" w:rsidRPr="004A797B" w:rsidRDefault="00097CC5" w:rsidP="004A797B">
      <w:pPr>
        <w:rPr>
          <w:rFonts w:ascii="Calibri" w:hAnsi="Calibri" w:cs="Calibri"/>
        </w:rPr>
      </w:pPr>
      <w:r w:rsidRPr="363CA695">
        <w:t>This Guide assumes that the finance</w:t>
      </w:r>
      <w:r w:rsidR="00407CD4" w:rsidRPr="363CA695">
        <w:t xml:space="preserve"> team</w:t>
      </w:r>
      <w:r w:rsidRPr="363CA695">
        <w:t xml:space="preserve"> includes the </w:t>
      </w:r>
      <w:proofErr w:type="spellStart"/>
      <w:r w:rsidR="673D7624" w:rsidRPr="363CA695">
        <w:t>P</w:t>
      </w:r>
      <w:r w:rsidR="0985C93D" w:rsidRPr="363CA695">
        <w:t>rogramme</w:t>
      </w:r>
      <w:proofErr w:type="spellEnd"/>
      <w:r w:rsidR="0985C93D" w:rsidRPr="363CA695">
        <w:t xml:space="preserve"> </w:t>
      </w:r>
      <w:r w:rsidR="21414CA9" w:rsidRPr="363CA695">
        <w:t>S</w:t>
      </w:r>
      <w:r w:rsidR="0985C93D" w:rsidRPr="363CA695">
        <w:t xml:space="preserve">upport </w:t>
      </w:r>
      <w:r w:rsidR="75D8BF0D" w:rsidRPr="363CA695">
        <w:t>U</w:t>
      </w:r>
      <w:r w:rsidR="0985C93D" w:rsidRPr="363CA695">
        <w:t>nit (PSU).</w:t>
      </w:r>
      <w:r w:rsidRPr="363CA695">
        <w:t xml:space="preserve"> While offices</w:t>
      </w:r>
      <w:r w:rsidR="00407CD4" w:rsidRPr="363CA695">
        <w:t>/units</w:t>
      </w:r>
      <w:r w:rsidRPr="363CA695">
        <w:t xml:space="preserve"> are not required to combine these two </w:t>
      </w:r>
      <w:r w:rsidR="00407CD4" w:rsidRPr="363CA695">
        <w:t>teams</w:t>
      </w:r>
      <w:r w:rsidRPr="363CA695">
        <w:t>, in many cases they can achieve greater synergies by doing so. Where PSU is not combined with the finance</w:t>
      </w:r>
      <w:r w:rsidR="00407CD4" w:rsidRPr="363CA695">
        <w:t xml:space="preserve"> team</w:t>
      </w:r>
      <w:r w:rsidRPr="363CA695">
        <w:t>, offices</w:t>
      </w:r>
      <w:r w:rsidR="00407CD4" w:rsidRPr="363CA695">
        <w:t>/units</w:t>
      </w:r>
      <w:r w:rsidRPr="363CA695">
        <w:t xml:space="preserve"> should </w:t>
      </w:r>
      <w:r w:rsidR="002D5B80" w:rsidRPr="363CA695">
        <w:t xml:space="preserve">consider maintaining a </w:t>
      </w:r>
      <w:r w:rsidRPr="363CA695">
        <w:t>direct or matrixed reporting responsibility to the Operations Manager</w:t>
      </w:r>
      <w:r w:rsidR="00407CD4" w:rsidRPr="363CA695">
        <w:t xml:space="preserve"> (or HQ-equivalen</w:t>
      </w:r>
      <w:r w:rsidR="00407CD4" w:rsidRPr="00E06F45">
        <w:t>t)</w:t>
      </w:r>
      <w:r w:rsidR="002D5B80" w:rsidRPr="00E06F45">
        <w:t xml:space="preserve">, or otherwise ensuring there are close communication channels between </w:t>
      </w:r>
      <w:r w:rsidR="395BB2C3" w:rsidRPr="00E06F45">
        <w:t>F</w:t>
      </w:r>
      <w:r w:rsidR="002D5B80" w:rsidRPr="00E06F45">
        <w:t>inance and PSU teams</w:t>
      </w:r>
      <w:r w:rsidR="004A797B" w:rsidRPr="00E06F45">
        <w:t xml:space="preserve"> </w:t>
      </w:r>
      <w:r w:rsidR="004A797B" w:rsidRPr="00E06F45">
        <w:rPr>
          <w:rFonts w:ascii="Calibri" w:hAnsi="Calibri" w:cs="Calibri"/>
        </w:rPr>
        <w:t>to ensure adequate review of the finance/</w:t>
      </w:r>
      <w:proofErr w:type="spellStart"/>
      <w:r w:rsidR="004A797B" w:rsidRPr="00E06F45">
        <w:rPr>
          <w:rFonts w:ascii="Calibri" w:hAnsi="Calibri" w:cs="Calibri"/>
        </w:rPr>
        <w:t>programme</w:t>
      </w:r>
      <w:proofErr w:type="spellEnd"/>
      <w:r w:rsidR="004A797B" w:rsidRPr="00E06F45">
        <w:rPr>
          <w:rFonts w:ascii="Calibri" w:hAnsi="Calibri" w:cs="Calibri"/>
        </w:rPr>
        <w:t xml:space="preserve"> responsibilities that are related. </w:t>
      </w:r>
      <w:r w:rsidRPr="00E06F45">
        <w:t>While UNDP offices</w:t>
      </w:r>
      <w:r w:rsidR="00407CD4" w:rsidRPr="00E06F45">
        <w:t>/units</w:t>
      </w:r>
      <w:r w:rsidRPr="00E06F45">
        <w:t xml:space="preserve"> have varied organizational structures, Finance </w:t>
      </w:r>
      <w:r w:rsidR="00126173" w:rsidRPr="00E06F45">
        <w:t>teams</w:t>
      </w:r>
      <w:r w:rsidRPr="00E06F45">
        <w:t xml:space="preserve"> may typically have the following key responsibilities as it relates to financial resources management and related controls:</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895"/>
      </w:tblGrid>
      <w:tr w:rsidR="00AC709C" w:rsidRPr="00C24118" w14:paraId="6532F9E4" w14:textId="77777777" w:rsidTr="27454D58">
        <w:trPr>
          <w:trHeight w:val="20"/>
          <w:tblHeader/>
        </w:trPr>
        <w:tc>
          <w:tcPr>
            <w:tcW w:w="9895" w:type="dxa"/>
            <w:shd w:val="clear" w:color="auto" w:fill="D9E2F3" w:themeFill="accent1" w:themeFillTint="33"/>
          </w:tcPr>
          <w:p w14:paraId="6B422FDC" w14:textId="4A92BCD9" w:rsidR="00AC709C" w:rsidRPr="00C24118" w:rsidRDefault="00674D27" w:rsidP="008A398C">
            <w:pPr>
              <w:spacing w:after="0" w:line="240" w:lineRule="auto"/>
              <w:rPr>
                <w:b/>
                <w:bCs/>
                <w:sz w:val="20"/>
                <w:szCs w:val="20"/>
              </w:rPr>
            </w:pPr>
            <w:r w:rsidRPr="00C24118">
              <w:rPr>
                <w:b/>
                <w:bCs/>
                <w:sz w:val="20"/>
                <w:szCs w:val="20"/>
              </w:rPr>
              <w:t>Finance staff</w:t>
            </w:r>
            <w:r w:rsidR="00AC709C" w:rsidRPr="00C24118">
              <w:rPr>
                <w:b/>
                <w:bCs/>
                <w:sz w:val="20"/>
                <w:szCs w:val="20"/>
              </w:rPr>
              <w:t xml:space="preserve"> (and HQ-equivalent): Internal Control responsibilities performed within each office</w:t>
            </w:r>
            <w:r w:rsidR="00407CD4">
              <w:rPr>
                <w:b/>
                <w:bCs/>
                <w:sz w:val="20"/>
                <w:szCs w:val="20"/>
              </w:rPr>
              <w:t>/unit</w:t>
            </w:r>
          </w:p>
        </w:tc>
      </w:tr>
      <w:tr w:rsidR="00AC709C" w:rsidRPr="00C24118" w14:paraId="53BEA604" w14:textId="77777777" w:rsidTr="27454D58">
        <w:trPr>
          <w:trHeight w:val="20"/>
        </w:trPr>
        <w:tc>
          <w:tcPr>
            <w:tcW w:w="9895" w:type="dxa"/>
            <w:shd w:val="clear" w:color="auto" w:fill="000000" w:themeFill="text1"/>
          </w:tcPr>
          <w:p w14:paraId="6FA97A1D" w14:textId="4E7045D7" w:rsidR="00AC709C" w:rsidRPr="00C24118" w:rsidRDefault="008D7700" w:rsidP="008A398C">
            <w:pPr>
              <w:spacing w:after="0" w:line="240" w:lineRule="auto"/>
              <w:rPr>
                <w:b/>
                <w:bCs/>
                <w:sz w:val="20"/>
                <w:szCs w:val="20"/>
              </w:rPr>
            </w:pPr>
            <w:r w:rsidRPr="00C24118">
              <w:rPr>
                <w:b/>
                <w:bCs/>
                <w:sz w:val="20"/>
                <w:szCs w:val="20"/>
              </w:rPr>
              <w:t xml:space="preserve">Project </w:t>
            </w:r>
            <w:r w:rsidR="00FB4635">
              <w:rPr>
                <w:b/>
                <w:bCs/>
                <w:sz w:val="20"/>
                <w:szCs w:val="20"/>
              </w:rPr>
              <w:t>creation &amp; update</w:t>
            </w:r>
          </w:p>
        </w:tc>
      </w:tr>
      <w:tr w:rsidR="00AC709C" w:rsidRPr="00C24118" w14:paraId="4B451528" w14:textId="77777777" w:rsidTr="27454D58">
        <w:trPr>
          <w:trHeight w:val="20"/>
        </w:trPr>
        <w:tc>
          <w:tcPr>
            <w:tcW w:w="9895" w:type="dxa"/>
          </w:tcPr>
          <w:p w14:paraId="53F3CE7B" w14:textId="59ECEEC7" w:rsidR="00AC709C" w:rsidRPr="00C24118" w:rsidRDefault="008D7700">
            <w:pPr>
              <w:pStyle w:val="ListParagraph"/>
              <w:numPr>
                <w:ilvl w:val="0"/>
                <w:numId w:val="40"/>
              </w:numPr>
              <w:spacing w:after="0" w:line="240" w:lineRule="auto"/>
              <w:rPr>
                <w:sz w:val="20"/>
                <w:szCs w:val="20"/>
              </w:rPr>
            </w:pPr>
            <w:r w:rsidRPr="363CA695">
              <w:rPr>
                <w:b/>
                <w:bCs/>
                <w:sz w:val="20"/>
                <w:szCs w:val="20"/>
              </w:rPr>
              <w:t>Create and update projects in Quantum</w:t>
            </w:r>
            <w:r w:rsidRPr="363CA695">
              <w:rPr>
                <w:sz w:val="20"/>
                <w:szCs w:val="20"/>
              </w:rPr>
              <w:t xml:space="preserve">, </w:t>
            </w:r>
            <w:r w:rsidR="00674D27" w:rsidRPr="363CA695">
              <w:rPr>
                <w:sz w:val="20"/>
                <w:szCs w:val="20"/>
              </w:rPr>
              <w:t xml:space="preserve">after </w:t>
            </w:r>
            <w:r w:rsidRPr="363CA695">
              <w:rPr>
                <w:sz w:val="20"/>
                <w:szCs w:val="20"/>
              </w:rPr>
              <w:t>ensuring: (</w:t>
            </w:r>
            <w:proofErr w:type="spellStart"/>
            <w:r w:rsidRPr="363CA695">
              <w:rPr>
                <w:sz w:val="20"/>
                <w:szCs w:val="20"/>
              </w:rPr>
              <w:t>i</w:t>
            </w:r>
            <w:proofErr w:type="spellEnd"/>
            <w:r w:rsidRPr="363CA695">
              <w:rPr>
                <w:sz w:val="20"/>
                <w:szCs w:val="20"/>
              </w:rPr>
              <w:t>) PAC review</w:t>
            </w:r>
            <w:r w:rsidR="00674D27" w:rsidRPr="363CA695">
              <w:rPr>
                <w:sz w:val="20"/>
                <w:szCs w:val="20"/>
              </w:rPr>
              <w:t xml:space="preserve"> is complete</w:t>
            </w:r>
            <w:r w:rsidRPr="363CA695">
              <w:rPr>
                <w:sz w:val="20"/>
                <w:szCs w:val="20"/>
              </w:rPr>
              <w:t xml:space="preserve">; (ii) project document is signed; (iii) PAC minutes and project document are attached to </w:t>
            </w:r>
            <w:r w:rsidR="00C24118" w:rsidRPr="363CA695">
              <w:rPr>
                <w:sz w:val="20"/>
                <w:szCs w:val="20"/>
              </w:rPr>
              <w:t xml:space="preserve">the </w:t>
            </w:r>
            <w:r w:rsidRPr="363CA695">
              <w:rPr>
                <w:sz w:val="20"/>
                <w:szCs w:val="20"/>
              </w:rPr>
              <w:t xml:space="preserve">proposal in Quantum; and (iv) </w:t>
            </w:r>
            <w:r w:rsidR="00674D27" w:rsidRPr="363CA695">
              <w:rPr>
                <w:sz w:val="20"/>
                <w:szCs w:val="20"/>
              </w:rPr>
              <w:t>c</w:t>
            </w:r>
            <w:r w:rsidRPr="363CA695">
              <w:rPr>
                <w:sz w:val="20"/>
                <w:szCs w:val="20"/>
              </w:rPr>
              <w:t>ore funding is confirmed and/or the non-core funding is anticipated</w:t>
            </w:r>
            <w:r w:rsidR="00674D27" w:rsidRPr="363CA695">
              <w:rPr>
                <w:sz w:val="20"/>
                <w:szCs w:val="20"/>
              </w:rPr>
              <w:t>.</w:t>
            </w:r>
          </w:p>
        </w:tc>
      </w:tr>
      <w:tr w:rsidR="00FB4635" w:rsidRPr="00C24118" w14:paraId="1E31EFB2" w14:textId="77777777" w:rsidTr="27454D58">
        <w:trPr>
          <w:trHeight w:val="20"/>
        </w:trPr>
        <w:tc>
          <w:tcPr>
            <w:tcW w:w="9895" w:type="dxa"/>
            <w:shd w:val="clear" w:color="auto" w:fill="000000" w:themeFill="text1"/>
          </w:tcPr>
          <w:p w14:paraId="52443855" w14:textId="64760998" w:rsidR="00FB4635" w:rsidRPr="00FB4635" w:rsidRDefault="00FB4635" w:rsidP="008A398C">
            <w:pPr>
              <w:spacing w:after="0" w:line="240" w:lineRule="auto"/>
              <w:rPr>
                <w:b/>
                <w:bCs/>
                <w:sz w:val="20"/>
                <w:szCs w:val="20"/>
              </w:rPr>
            </w:pPr>
            <w:r w:rsidRPr="00FB4635">
              <w:rPr>
                <w:b/>
                <w:bCs/>
                <w:sz w:val="20"/>
                <w:szCs w:val="20"/>
              </w:rPr>
              <w:t>Budgets</w:t>
            </w:r>
          </w:p>
        </w:tc>
      </w:tr>
      <w:tr w:rsidR="00FB4635" w:rsidRPr="00C24118" w14:paraId="7C2EB7FA" w14:textId="77777777" w:rsidTr="27454D58">
        <w:trPr>
          <w:trHeight w:val="20"/>
        </w:trPr>
        <w:tc>
          <w:tcPr>
            <w:tcW w:w="9895" w:type="dxa"/>
          </w:tcPr>
          <w:p w14:paraId="352233EC" w14:textId="3701748B" w:rsidR="00FB4635" w:rsidRPr="00E06F45" w:rsidRDefault="009E45EB">
            <w:pPr>
              <w:pStyle w:val="ListParagraph"/>
              <w:numPr>
                <w:ilvl w:val="0"/>
                <w:numId w:val="40"/>
              </w:numPr>
              <w:spacing w:after="0" w:line="240" w:lineRule="auto"/>
              <w:rPr>
                <w:sz w:val="20"/>
                <w:szCs w:val="20"/>
              </w:rPr>
            </w:pPr>
            <w:r w:rsidRPr="00E06F45">
              <w:rPr>
                <w:b/>
                <w:bCs/>
                <w:sz w:val="20"/>
                <w:szCs w:val="20"/>
              </w:rPr>
              <w:t>Budget review &amp; analysis:</w:t>
            </w:r>
            <w:r w:rsidRPr="00E06F45">
              <w:rPr>
                <w:sz w:val="20"/>
                <w:szCs w:val="20"/>
              </w:rPr>
              <w:t xml:space="preserve"> </w:t>
            </w:r>
            <w:r w:rsidR="00FB4635" w:rsidRPr="00E06F45">
              <w:rPr>
                <w:sz w:val="20"/>
                <w:szCs w:val="20"/>
              </w:rPr>
              <w:t>Clear development project budgets, manage budgets of management projects and Direct Project Costs (DPC)</w:t>
            </w:r>
            <w:r w:rsidR="005D2DCB" w:rsidRPr="00E06F45">
              <w:rPr>
                <w:sz w:val="20"/>
                <w:szCs w:val="20"/>
              </w:rPr>
              <w:t>/Delivery Enabling Services</w:t>
            </w:r>
            <w:r w:rsidR="00684C03" w:rsidRPr="00E06F45">
              <w:rPr>
                <w:sz w:val="20"/>
                <w:szCs w:val="20"/>
              </w:rPr>
              <w:t xml:space="preserve"> (DES)</w:t>
            </w:r>
            <w:r w:rsidR="00FB4635" w:rsidRPr="00E06F45">
              <w:rPr>
                <w:sz w:val="20"/>
                <w:szCs w:val="20"/>
              </w:rPr>
              <w:t xml:space="preserve">; prepare and monitor project budgets in </w:t>
            </w:r>
            <w:r w:rsidR="00195091" w:rsidRPr="00E06F45">
              <w:rPr>
                <w:sz w:val="20"/>
                <w:szCs w:val="20"/>
              </w:rPr>
              <w:t xml:space="preserve">the </w:t>
            </w:r>
            <w:r w:rsidR="00FB4635" w:rsidRPr="00E06F45">
              <w:rPr>
                <w:sz w:val="20"/>
                <w:szCs w:val="20"/>
              </w:rPr>
              <w:t>ERP</w:t>
            </w:r>
            <w:r w:rsidRPr="00E06F45">
              <w:rPr>
                <w:sz w:val="20"/>
                <w:szCs w:val="20"/>
              </w:rPr>
              <w:t>. Provide regular analysis and report on budget approvals and delivery situation of management projects.</w:t>
            </w:r>
          </w:p>
        </w:tc>
      </w:tr>
      <w:tr w:rsidR="00FB4635" w:rsidRPr="00C24118" w14:paraId="08468988" w14:textId="77777777" w:rsidTr="27454D58">
        <w:trPr>
          <w:trHeight w:val="20"/>
        </w:trPr>
        <w:tc>
          <w:tcPr>
            <w:tcW w:w="9895" w:type="dxa"/>
          </w:tcPr>
          <w:p w14:paraId="26F7B77A" w14:textId="6CE524CA" w:rsidR="00FB4635" w:rsidRPr="00E06F45" w:rsidRDefault="00FB4635">
            <w:pPr>
              <w:pStyle w:val="ListParagraph"/>
              <w:numPr>
                <w:ilvl w:val="0"/>
                <w:numId w:val="40"/>
              </w:numPr>
              <w:spacing w:after="0" w:line="240" w:lineRule="auto"/>
              <w:rPr>
                <w:sz w:val="20"/>
                <w:szCs w:val="20"/>
              </w:rPr>
            </w:pPr>
            <w:r w:rsidRPr="00E06F45">
              <w:rPr>
                <w:b/>
                <w:bCs/>
                <w:sz w:val="20"/>
                <w:szCs w:val="20"/>
              </w:rPr>
              <w:t>Coordinate the preparation of required budget revisions</w:t>
            </w:r>
            <w:r w:rsidRPr="00E06F45">
              <w:rPr>
                <w:sz w:val="20"/>
                <w:szCs w:val="20"/>
              </w:rPr>
              <w:t xml:space="preserve"> (ensuring multiyear budget revision) within the unit at required period, timely securing of authorized spending limits (ASLs); and detailed record keeping of funds released for projects</w:t>
            </w:r>
            <w:r w:rsidR="00195091" w:rsidRPr="00E06F45">
              <w:rPr>
                <w:sz w:val="20"/>
                <w:szCs w:val="20"/>
              </w:rPr>
              <w:t>,</w:t>
            </w:r>
            <w:r w:rsidRPr="00E06F45">
              <w:rPr>
                <w:sz w:val="20"/>
                <w:szCs w:val="20"/>
              </w:rPr>
              <w:t xml:space="preserve"> as well as monthly ASL reporting for non-core/ GEF projects</w:t>
            </w:r>
            <w:r w:rsidR="00195091" w:rsidRPr="00E06F45">
              <w:rPr>
                <w:sz w:val="20"/>
                <w:szCs w:val="20"/>
              </w:rPr>
              <w:t xml:space="preserve">. Implement </w:t>
            </w:r>
            <w:r w:rsidRPr="00E06F45">
              <w:rPr>
                <w:sz w:val="20"/>
                <w:szCs w:val="20"/>
              </w:rPr>
              <w:t xml:space="preserve">mechanisms to eliminate deficiencies in budget management. </w:t>
            </w:r>
          </w:p>
        </w:tc>
      </w:tr>
      <w:tr w:rsidR="00FB4635" w:rsidRPr="00C24118" w14:paraId="023ABDC2" w14:textId="77777777" w:rsidTr="27454D58">
        <w:trPr>
          <w:trHeight w:val="20"/>
        </w:trPr>
        <w:tc>
          <w:tcPr>
            <w:tcW w:w="9895" w:type="dxa"/>
            <w:shd w:val="clear" w:color="auto" w:fill="000000" w:themeFill="text1"/>
          </w:tcPr>
          <w:p w14:paraId="34497C85" w14:textId="357CE44D" w:rsidR="00FB4635" w:rsidRPr="00C24118" w:rsidRDefault="00FB4635" w:rsidP="008A398C">
            <w:pPr>
              <w:spacing w:after="0" w:line="240" w:lineRule="auto"/>
              <w:rPr>
                <w:b/>
                <w:bCs/>
                <w:sz w:val="20"/>
                <w:szCs w:val="20"/>
              </w:rPr>
            </w:pPr>
            <w:r w:rsidRPr="00C24118">
              <w:rPr>
                <w:b/>
                <w:bCs/>
                <w:sz w:val="20"/>
                <w:szCs w:val="20"/>
              </w:rPr>
              <w:t>Revenue</w:t>
            </w:r>
          </w:p>
        </w:tc>
      </w:tr>
      <w:tr w:rsidR="004C5FBB" w:rsidRPr="00C24118" w14:paraId="1AA7352A" w14:textId="77777777" w:rsidTr="27454D58">
        <w:trPr>
          <w:trHeight w:val="20"/>
        </w:trPr>
        <w:tc>
          <w:tcPr>
            <w:tcW w:w="9895" w:type="dxa"/>
          </w:tcPr>
          <w:p w14:paraId="494296FD" w14:textId="32AB8670" w:rsidR="004C5FBB" w:rsidRPr="004C5FBB" w:rsidRDefault="004C5FBB">
            <w:pPr>
              <w:pStyle w:val="ListParagraph"/>
              <w:numPr>
                <w:ilvl w:val="0"/>
                <w:numId w:val="47"/>
              </w:numPr>
              <w:spacing w:after="0" w:line="240" w:lineRule="auto"/>
              <w:rPr>
                <w:sz w:val="20"/>
                <w:szCs w:val="20"/>
              </w:rPr>
            </w:pPr>
            <w:r w:rsidRPr="363CA695">
              <w:rPr>
                <w:b/>
                <w:bCs/>
                <w:sz w:val="20"/>
                <w:szCs w:val="20"/>
              </w:rPr>
              <w:t xml:space="preserve">Communicate information and submit documents to the BMS/GSSC to record contributions, including </w:t>
            </w:r>
            <w:r w:rsidRPr="363CA695">
              <w:rPr>
                <w:sz w:val="20"/>
                <w:szCs w:val="20"/>
              </w:rPr>
              <w:t>completing the necessary information in Unity/</w:t>
            </w:r>
            <w:proofErr w:type="spellStart"/>
            <w:r w:rsidRPr="363CA695">
              <w:rPr>
                <w:sz w:val="20"/>
                <w:szCs w:val="20"/>
              </w:rPr>
              <w:t>UNAll</w:t>
            </w:r>
            <w:proofErr w:type="spellEnd"/>
            <w:r w:rsidRPr="363CA695">
              <w:rPr>
                <w:sz w:val="20"/>
                <w:szCs w:val="20"/>
              </w:rPr>
              <w:t xml:space="preserve">, uploading signed agreements/documents, and submitting for subsequent recording by BMS/GSSC </w:t>
            </w:r>
            <w:r w:rsidRPr="363CA695">
              <w:rPr>
                <w:b/>
                <w:bCs/>
                <w:sz w:val="20"/>
                <w:szCs w:val="20"/>
              </w:rPr>
              <w:t>immediately upon</w:t>
            </w:r>
            <w:r w:rsidRPr="363CA695">
              <w:rPr>
                <w:b/>
                <w:bCs/>
                <w:spacing w:val="1"/>
                <w:sz w:val="20"/>
                <w:szCs w:val="20"/>
              </w:rPr>
              <w:t xml:space="preserve"> </w:t>
            </w:r>
            <w:r w:rsidRPr="363CA695">
              <w:rPr>
                <w:b/>
                <w:bCs/>
                <w:sz w:val="20"/>
                <w:szCs w:val="20"/>
              </w:rPr>
              <w:t xml:space="preserve">receipt from </w:t>
            </w:r>
            <w:proofErr w:type="spellStart"/>
            <w:r w:rsidRPr="363CA695">
              <w:rPr>
                <w:b/>
                <w:bCs/>
                <w:sz w:val="20"/>
                <w:szCs w:val="20"/>
              </w:rPr>
              <w:t>Programme</w:t>
            </w:r>
            <w:proofErr w:type="spellEnd"/>
            <w:r w:rsidRPr="363CA695">
              <w:rPr>
                <w:b/>
                <w:bCs/>
                <w:sz w:val="20"/>
                <w:szCs w:val="20"/>
              </w:rPr>
              <w:t xml:space="preserve"> Officers</w:t>
            </w:r>
            <w:r w:rsidRPr="363CA695">
              <w:rPr>
                <w:sz w:val="20"/>
                <w:szCs w:val="20"/>
              </w:rPr>
              <w:t>. Additionally, the BMS/GSSC should be notified through Unity/</w:t>
            </w:r>
            <w:proofErr w:type="spellStart"/>
            <w:r w:rsidRPr="363CA695">
              <w:rPr>
                <w:sz w:val="20"/>
                <w:szCs w:val="20"/>
              </w:rPr>
              <w:t>UNAll</w:t>
            </w:r>
            <w:proofErr w:type="spellEnd"/>
            <w:r w:rsidRPr="363CA695">
              <w:rPr>
                <w:sz w:val="20"/>
                <w:szCs w:val="20"/>
              </w:rPr>
              <w:t xml:space="preserve"> as soon as outstanding events like deposits and approved reports are achieved so </w:t>
            </w:r>
            <w:r w:rsidRPr="363CA695">
              <w:rPr>
                <w:sz w:val="20"/>
                <w:szCs w:val="20"/>
              </w:rPr>
              <w:lastRenderedPageBreak/>
              <w:t>that Quantum can be updated accordingly. Delayed submission of signed agreements or late reporting of events to the BMS/GSSC at year-end can result in a material misstatement of UNDP’s revenue in the financial statements and could lead to an audit qualification.</w:t>
            </w:r>
            <w:r w:rsidR="004B2DF3" w:rsidRPr="363CA695">
              <w:rPr>
                <w:sz w:val="20"/>
                <w:szCs w:val="20"/>
              </w:rPr>
              <w:t xml:space="preserve"> Maintain financing and trust fund agreements.</w:t>
            </w:r>
          </w:p>
        </w:tc>
      </w:tr>
      <w:tr w:rsidR="004C5FBB" w:rsidRPr="00C24118" w14:paraId="4FB9AA05" w14:textId="77777777" w:rsidTr="27454D58">
        <w:trPr>
          <w:trHeight w:val="20"/>
        </w:trPr>
        <w:tc>
          <w:tcPr>
            <w:tcW w:w="9895" w:type="dxa"/>
          </w:tcPr>
          <w:p w14:paraId="4D123CF7" w14:textId="633D9326" w:rsidR="004C5FBB" w:rsidRPr="00D43A2F" w:rsidRDefault="004C5FBB">
            <w:pPr>
              <w:pStyle w:val="ListParagraph"/>
              <w:numPr>
                <w:ilvl w:val="0"/>
                <w:numId w:val="47"/>
              </w:numPr>
              <w:spacing w:after="0" w:line="240" w:lineRule="auto"/>
              <w:rPr>
                <w:sz w:val="20"/>
                <w:szCs w:val="20"/>
              </w:rPr>
            </w:pPr>
            <w:r w:rsidRPr="363CA695">
              <w:rPr>
                <w:b/>
                <w:bCs/>
                <w:sz w:val="20"/>
                <w:szCs w:val="20"/>
              </w:rPr>
              <w:lastRenderedPageBreak/>
              <w:t>Ensure timely deposit identification and communication to BMS/GSSC:</w:t>
            </w:r>
            <w:r w:rsidRPr="363CA695">
              <w:rPr>
                <w:sz w:val="20"/>
                <w:szCs w:val="20"/>
              </w:rPr>
              <w:t xml:space="preserve"> For </w:t>
            </w:r>
            <w:r w:rsidRPr="363CA695">
              <w:rPr>
                <w:sz w:val="20"/>
                <w:szCs w:val="20"/>
                <w:u w:val="single"/>
              </w:rPr>
              <w:t>Country Office bank accounts</w:t>
            </w:r>
            <w:r w:rsidRPr="363CA695">
              <w:rPr>
                <w:sz w:val="20"/>
                <w:szCs w:val="20"/>
              </w:rPr>
              <w:t>, deposits are created by the BMS/GSSC based on the CO’s bank statements obtained either through BMS/GSSC access to online banking or based on bank statements provided by the CO. In cases where the CO has received the deposit directly, the CO creates a ‘deposit creation service request’ in Unity/</w:t>
            </w:r>
            <w:proofErr w:type="spellStart"/>
            <w:r w:rsidRPr="363CA695">
              <w:rPr>
                <w:sz w:val="20"/>
                <w:szCs w:val="20"/>
              </w:rPr>
              <w:t>UNAll</w:t>
            </w:r>
            <w:proofErr w:type="spellEnd"/>
            <w:r w:rsidRPr="363CA695">
              <w:rPr>
                <w:sz w:val="20"/>
                <w:szCs w:val="20"/>
              </w:rPr>
              <w:t xml:space="preserve"> for the BMS/GSSC to create and apply the deposits received. It is the responsibility of the CO or HQ office</w:t>
            </w:r>
            <w:r w:rsidR="00407CD4" w:rsidRPr="363CA695">
              <w:rPr>
                <w:sz w:val="20"/>
                <w:szCs w:val="20"/>
              </w:rPr>
              <w:t>/unit</w:t>
            </w:r>
            <w:r w:rsidRPr="363CA695">
              <w:rPr>
                <w:sz w:val="20"/>
                <w:szCs w:val="20"/>
              </w:rPr>
              <w:t xml:space="preserve"> to communicate the receipt information via Unity/</w:t>
            </w:r>
            <w:proofErr w:type="spellStart"/>
            <w:r w:rsidRPr="363CA695">
              <w:rPr>
                <w:sz w:val="20"/>
                <w:szCs w:val="20"/>
              </w:rPr>
              <w:t>UNAll</w:t>
            </w:r>
            <w:proofErr w:type="spellEnd"/>
            <w:r w:rsidRPr="363CA695">
              <w:rPr>
                <w:sz w:val="20"/>
                <w:szCs w:val="20"/>
              </w:rPr>
              <w:t xml:space="preserve">. </w:t>
            </w:r>
            <w:r w:rsidRPr="363CA695">
              <w:rPr>
                <w:sz w:val="20"/>
                <w:szCs w:val="20"/>
                <w:u w:val="single"/>
              </w:rPr>
              <w:t>For HQ bank accounts</w:t>
            </w:r>
            <w:r w:rsidRPr="363CA695">
              <w:rPr>
                <w:sz w:val="20"/>
                <w:szCs w:val="20"/>
              </w:rPr>
              <w:t>: The BMS/GSSC receives a daily ‘unapplied receipts report’ produced by BMS/OF</w:t>
            </w:r>
            <w:r w:rsidR="00A40A72">
              <w:rPr>
                <w:sz w:val="20"/>
                <w:szCs w:val="20"/>
              </w:rPr>
              <w:t>R</w:t>
            </w:r>
            <w:r w:rsidRPr="363CA695">
              <w:rPr>
                <w:sz w:val="20"/>
                <w:szCs w:val="20"/>
              </w:rPr>
              <w:t>M/Treasury identifying all deposits to be recorded in Quantum, including donor contributions and miscellaneous receipts. The BMS/GSSC records the deposits listed in the daily ‘unapplied receipts report in Quantum. It is the responsibility of the HQ division to communicate the receipt information via Unity/</w:t>
            </w:r>
            <w:proofErr w:type="spellStart"/>
            <w:r w:rsidRPr="363CA695">
              <w:rPr>
                <w:sz w:val="20"/>
                <w:szCs w:val="20"/>
              </w:rPr>
              <w:t>UNAll</w:t>
            </w:r>
            <w:proofErr w:type="spellEnd"/>
            <w:r w:rsidRPr="363CA695">
              <w:rPr>
                <w:sz w:val="20"/>
                <w:szCs w:val="20"/>
              </w:rPr>
              <w:t>.</w:t>
            </w:r>
          </w:p>
        </w:tc>
      </w:tr>
      <w:tr w:rsidR="00FB4635" w:rsidRPr="00C24118" w14:paraId="68BC91BE" w14:textId="77777777" w:rsidTr="27454D58">
        <w:trPr>
          <w:trHeight w:val="20"/>
        </w:trPr>
        <w:tc>
          <w:tcPr>
            <w:tcW w:w="9895" w:type="dxa"/>
          </w:tcPr>
          <w:p w14:paraId="0EB2498E" w14:textId="436CA4A1" w:rsidR="00FB4635" w:rsidRPr="00C1404A" w:rsidRDefault="00FB4635">
            <w:pPr>
              <w:pStyle w:val="ListParagraph"/>
              <w:numPr>
                <w:ilvl w:val="0"/>
                <w:numId w:val="47"/>
              </w:numPr>
              <w:spacing w:after="0" w:line="240" w:lineRule="auto"/>
              <w:rPr>
                <w:sz w:val="20"/>
                <w:szCs w:val="20"/>
              </w:rPr>
            </w:pPr>
            <w:r w:rsidRPr="363CA695">
              <w:rPr>
                <w:b/>
                <w:bCs/>
                <w:sz w:val="20"/>
                <w:szCs w:val="20"/>
              </w:rPr>
              <w:t>Record and reconcile other revenue</w:t>
            </w:r>
            <w:r w:rsidR="00D43A2F" w:rsidRPr="363CA695">
              <w:rPr>
                <w:b/>
                <w:bCs/>
                <w:sz w:val="20"/>
                <w:szCs w:val="20"/>
              </w:rPr>
              <w:t>:</w:t>
            </w:r>
            <w:r w:rsidRPr="363CA695">
              <w:rPr>
                <w:sz w:val="20"/>
                <w:szCs w:val="20"/>
              </w:rPr>
              <w:t xml:space="preserve"> including payment of GLOC, in-kind contribution by governments, </w:t>
            </w:r>
            <w:r w:rsidR="00D43A2F" w:rsidRPr="363CA695">
              <w:rPr>
                <w:sz w:val="20"/>
                <w:szCs w:val="20"/>
              </w:rPr>
              <w:t xml:space="preserve">and </w:t>
            </w:r>
            <w:r w:rsidRPr="363CA695">
              <w:rPr>
                <w:sz w:val="20"/>
                <w:szCs w:val="20"/>
              </w:rPr>
              <w:t>agency income through UPL/LPL.</w:t>
            </w:r>
            <w:r w:rsidR="00D43A2F" w:rsidRPr="363CA695">
              <w:rPr>
                <w:sz w:val="20"/>
                <w:szCs w:val="20"/>
              </w:rPr>
              <w:t xml:space="preserve"> </w:t>
            </w:r>
            <w:r w:rsidR="00C1404A" w:rsidRPr="363CA695">
              <w:rPr>
                <w:sz w:val="20"/>
                <w:szCs w:val="20"/>
                <w:u w:val="single"/>
              </w:rPr>
              <w:t>For offices</w:t>
            </w:r>
            <w:r w:rsidR="00407CD4" w:rsidRPr="363CA695">
              <w:rPr>
                <w:sz w:val="20"/>
                <w:szCs w:val="20"/>
                <w:u w:val="single"/>
              </w:rPr>
              <w:t>/units</w:t>
            </w:r>
            <w:r w:rsidR="00C1404A" w:rsidRPr="363CA695">
              <w:rPr>
                <w:sz w:val="20"/>
                <w:szCs w:val="20"/>
                <w:u w:val="single"/>
              </w:rPr>
              <w:t xml:space="preserve"> with clustered Agency Billing processes</w:t>
            </w:r>
            <w:r w:rsidR="00C1404A" w:rsidRPr="363CA695">
              <w:rPr>
                <w:sz w:val="20"/>
                <w:szCs w:val="20"/>
              </w:rPr>
              <w:t>,</w:t>
            </w:r>
            <w:r w:rsidR="005419B8" w:rsidRPr="363CA695">
              <w:rPr>
                <w:sz w:val="20"/>
                <w:szCs w:val="20"/>
              </w:rPr>
              <w:t xml:space="preserve"> </w:t>
            </w:r>
            <w:r w:rsidR="00C1404A" w:rsidRPr="363CA695">
              <w:rPr>
                <w:sz w:val="20"/>
                <w:szCs w:val="20"/>
              </w:rPr>
              <w:t>BMS/GSSC prepares service bills to UN Agencies based on CO's signed SLA and negotiated LPLs, processes and applies service revenue earned, and reports and reconciles the cost recovery amounts billed and applied. BMS/GSSC also reconciles the Service Clearing Account</w:t>
            </w:r>
            <w:r w:rsidR="005419B8" w:rsidRPr="363CA695">
              <w:rPr>
                <w:sz w:val="20"/>
                <w:szCs w:val="20"/>
              </w:rPr>
              <w:t xml:space="preserve"> (SCA)</w:t>
            </w:r>
            <w:r w:rsidR="00C1404A" w:rsidRPr="363CA695">
              <w:rPr>
                <w:sz w:val="20"/>
                <w:szCs w:val="20"/>
              </w:rPr>
              <w:t>. Offices</w:t>
            </w:r>
            <w:r w:rsidR="00407CD4" w:rsidRPr="363CA695">
              <w:rPr>
                <w:sz w:val="20"/>
                <w:szCs w:val="20"/>
              </w:rPr>
              <w:t>/units</w:t>
            </w:r>
            <w:r w:rsidR="00C1404A" w:rsidRPr="363CA695">
              <w:rPr>
                <w:sz w:val="20"/>
                <w:szCs w:val="20"/>
              </w:rPr>
              <w:t xml:space="preserve"> with clustered Agency Billing processes monitor the application of the service revenue. </w:t>
            </w:r>
            <w:r w:rsidR="00C1404A" w:rsidRPr="363CA695">
              <w:rPr>
                <w:sz w:val="20"/>
                <w:szCs w:val="20"/>
                <w:u w:val="single"/>
              </w:rPr>
              <w:t>For offices</w:t>
            </w:r>
            <w:r w:rsidR="00407CD4" w:rsidRPr="363CA695">
              <w:rPr>
                <w:sz w:val="20"/>
                <w:szCs w:val="20"/>
                <w:u w:val="single"/>
              </w:rPr>
              <w:t>/units</w:t>
            </w:r>
            <w:r w:rsidR="00C1404A" w:rsidRPr="363CA695">
              <w:rPr>
                <w:sz w:val="20"/>
                <w:szCs w:val="20"/>
                <w:u w:val="single"/>
              </w:rPr>
              <w:t xml:space="preserve"> with non-clustered Agency Billing processes</w:t>
            </w:r>
            <w:r w:rsidR="00C1404A" w:rsidRPr="363CA695">
              <w:rPr>
                <w:sz w:val="20"/>
                <w:szCs w:val="20"/>
              </w:rPr>
              <w:t>, all agency service billing actions are performed within the office</w:t>
            </w:r>
            <w:r w:rsidR="00407CD4" w:rsidRPr="363CA695">
              <w:rPr>
                <w:sz w:val="20"/>
                <w:szCs w:val="20"/>
              </w:rPr>
              <w:t>/unit</w:t>
            </w:r>
            <w:r w:rsidR="00C1404A" w:rsidRPr="363CA695">
              <w:rPr>
                <w:sz w:val="20"/>
                <w:szCs w:val="20"/>
              </w:rPr>
              <w:t>.</w:t>
            </w:r>
          </w:p>
        </w:tc>
      </w:tr>
      <w:tr w:rsidR="00D43A2F" w:rsidRPr="00C24118" w14:paraId="7A29B514" w14:textId="77777777" w:rsidTr="27454D58">
        <w:trPr>
          <w:trHeight w:val="20"/>
        </w:trPr>
        <w:tc>
          <w:tcPr>
            <w:tcW w:w="9895" w:type="dxa"/>
          </w:tcPr>
          <w:p w14:paraId="260A74A5" w14:textId="273BFABD" w:rsidR="00D43A2F" w:rsidRPr="00D43A2F" w:rsidRDefault="00D43A2F">
            <w:pPr>
              <w:pStyle w:val="ListParagraph"/>
              <w:numPr>
                <w:ilvl w:val="0"/>
                <w:numId w:val="39"/>
              </w:numPr>
              <w:spacing w:after="0" w:line="240" w:lineRule="auto"/>
              <w:rPr>
                <w:sz w:val="20"/>
                <w:szCs w:val="20"/>
              </w:rPr>
            </w:pPr>
            <w:r w:rsidRPr="363CA695">
              <w:rPr>
                <w:b/>
                <w:bCs/>
                <w:sz w:val="20"/>
                <w:szCs w:val="20"/>
              </w:rPr>
              <w:t>Record miscellaneous revenue:</w:t>
            </w:r>
            <w:r w:rsidRPr="363CA695">
              <w:rPr>
                <w:sz w:val="20"/>
                <w:szCs w:val="20"/>
              </w:rPr>
              <w:t xml:space="preserve"> Finance staff prepare a ‘deposit creation service request’ via Unity/</w:t>
            </w:r>
            <w:proofErr w:type="spellStart"/>
            <w:r w:rsidRPr="363CA695">
              <w:rPr>
                <w:sz w:val="20"/>
                <w:szCs w:val="20"/>
              </w:rPr>
              <w:t>UNAll</w:t>
            </w:r>
            <w:proofErr w:type="spellEnd"/>
            <w:r w:rsidRPr="363CA695">
              <w:rPr>
                <w:sz w:val="20"/>
                <w:szCs w:val="20"/>
              </w:rPr>
              <w:t xml:space="preserve"> for submission to the BMS/GSSC for recording in Quantum all miscellaneous revenue that may result from the reimbursement for personal activities such as personal telephone calls or small amounts of cash received at the CO. For further guidance on managing receipts, refer to </w:t>
            </w:r>
            <w:hyperlink r:id="rId145">
              <w:r w:rsidRPr="363CA695">
                <w:rPr>
                  <w:rStyle w:val="Hyperlink"/>
                  <w:sz w:val="20"/>
                  <w:szCs w:val="20"/>
                </w:rPr>
                <w:t xml:space="preserve">POPP Handling Cash &amp; Receipts  </w:t>
              </w:r>
            </w:hyperlink>
            <w:r w:rsidRPr="363CA695">
              <w:rPr>
                <w:sz w:val="20"/>
                <w:szCs w:val="20"/>
              </w:rPr>
              <w:t xml:space="preserve">and the </w:t>
            </w:r>
            <w:hyperlink r:id="rId146">
              <w:r w:rsidRPr="363CA695">
                <w:rPr>
                  <w:rStyle w:val="Hyperlink"/>
                  <w:sz w:val="20"/>
                  <w:szCs w:val="20"/>
                </w:rPr>
                <w:t>BMS/GSSC SOP on Revenue Management</w:t>
              </w:r>
            </w:hyperlink>
            <w:r w:rsidRPr="363CA695">
              <w:rPr>
                <w:sz w:val="20"/>
                <w:szCs w:val="20"/>
              </w:rPr>
              <w:t>..</w:t>
            </w:r>
          </w:p>
        </w:tc>
      </w:tr>
      <w:tr w:rsidR="00D43A2F" w:rsidRPr="00C24118" w14:paraId="30015433" w14:textId="77777777" w:rsidTr="27454D58">
        <w:trPr>
          <w:trHeight w:val="20"/>
        </w:trPr>
        <w:tc>
          <w:tcPr>
            <w:tcW w:w="9895" w:type="dxa"/>
          </w:tcPr>
          <w:p w14:paraId="5A029455" w14:textId="6504C9AD" w:rsidR="00D43A2F" w:rsidRPr="00D43A2F" w:rsidRDefault="00D43A2F">
            <w:pPr>
              <w:pStyle w:val="ListParagraph"/>
              <w:numPr>
                <w:ilvl w:val="0"/>
                <w:numId w:val="39"/>
              </w:numPr>
              <w:spacing w:after="0" w:line="240" w:lineRule="auto"/>
              <w:rPr>
                <w:sz w:val="20"/>
                <w:szCs w:val="20"/>
              </w:rPr>
            </w:pPr>
            <w:r w:rsidRPr="363CA695">
              <w:rPr>
                <w:b/>
                <w:bCs/>
                <w:sz w:val="20"/>
                <w:szCs w:val="20"/>
              </w:rPr>
              <w:t>Maintain accounts receivables and follow up on contributions:</w:t>
            </w:r>
            <w:r w:rsidRPr="363CA695">
              <w:rPr>
                <w:sz w:val="20"/>
                <w:szCs w:val="20"/>
              </w:rPr>
              <w:t xml:space="preserve"> For offices</w:t>
            </w:r>
            <w:r w:rsidR="00407CD4" w:rsidRPr="363CA695">
              <w:rPr>
                <w:sz w:val="20"/>
                <w:szCs w:val="20"/>
              </w:rPr>
              <w:t>/units</w:t>
            </w:r>
            <w:r w:rsidRPr="363CA695">
              <w:rPr>
                <w:sz w:val="20"/>
                <w:szCs w:val="20"/>
              </w:rPr>
              <w:t xml:space="preserve"> with clustered Receivable Management processes, the BMS/GSSC performs periodic review and analysis of: (</w:t>
            </w:r>
            <w:proofErr w:type="spellStart"/>
            <w:r w:rsidRPr="363CA695">
              <w:rPr>
                <w:sz w:val="20"/>
                <w:szCs w:val="20"/>
              </w:rPr>
              <w:t>i</w:t>
            </w:r>
            <w:proofErr w:type="spellEnd"/>
            <w:r w:rsidRPr="363CA695">
              <w:rPr>
                <w:sz w:val="20"/>
                <w:szCs w:val="20"/>
              </w:rPr>
              <w:t>) aged outstanding accounts receivables (both donor and other receivables, such as staff receivables); and (ii) pending or past due events and works with the Requesting Office</w:t>
            </w:r>
            <w:r w:rsidR="00407CD4" w:rsidRPr="363CA695">
              <w:rPr>
                <w:sz w:val="20"/>
                <w:szCs w:val="20"/>
              </w:rPr>
              <w:t>/Unit</w:t>
            </w:r>
            <w:r w:rsidRPr="363CA695">
              <w:rPr>
                <w:sz w:val="20"/>
                <w:szCs w:val="20"/>
              </w:rPr>
              <w:t xml:space="preserve"> on resolution. The BMS/GSSC also reconciles GL to AR and balance accounts. For offices</w:t>
            </w:r>
            <w:r w:rsidR="00407CD4" w:rsidRPr="363CA695">
              <w:rPr>
                <w:sz w:val="20"/>
                <w:szCs w:val="20"/>
              </w:rPr>
              <w:t xml:space="preserve">/units </w:t>
            </w:r>
            <w:r w:rsidRPr="363CA695">
              <w:rPr>
                <w:sz w:val="20"/>
                <w:szCs w:val="20"/>
              </w:rPr>
              <w:t xml:space="preserve">with non-clustered Receivable Management processes, all receivable monitoring, collection. or </w:t>
            </w:r>
            <w:proofErr w:type="gramStart"/>
            <w:r w:rsidRPr="363CA695">
              <w:rPr>
                <w:sz w:val="20"/>
                <w:szCs w:val="20"/>
              </w:rPr>
              <w:t>other</w:t>
            </w:r>
            <w:proofErr w:type="gramEnd"/>
            <w:r w:rsidRPr="363CA695">
              <w:rPr>
                <w:sz w:val="20"/>
                <w:szCs w:val="20"/>
              </w:rPr>
              <w:t xml:space="preserve"> resolution is performed within the office</w:t>
            </w:r>
            <w:r w:rsidR="00407CD4" w:rsidRPr="363CA695">
              <w:rPr>
                <w:sz w:val="20"/>
                <w:szCs w:val="20"/>
              </w:rPr>
              <w:t>/unit</w:t>
            </w:r>
            <w:r w:rsidRPr="363CA695">
              <w:rPr>
                <w:sz w:val="20"/>
                <w:szCs w:val="20"/>
              </w:rPr>
              <w:t>.</w:t>
            </w:r>
          </w:p>
        </w:tc>
      </w:tr>
      <w:tr w:rsidR="00D43A2F" w:rsidRPr="00C24118" w14:paraId="541498D5" w14:textId="77777777" w:rsidTr="27454D58">
        <w:trPr>
          <w:trHeight w:val="20"/>
        </w:trPr>
        <w:tc>
          <w:tcPr>
            <w:tcW w:w="9895" w:type="dxa"/>
          </w:tcPr>
          <w:p w14:paraId="6365D120" w14:textId="4350AC6C" w:rsidR="00D43A2F" w:rsidRPr="00D43A2F" w:rsidRDefault="004B2DF3">
            <w:pPr>
              <w:pStyle w:val="ListParagraph"/>
              <w:numPr>
                <w:ilvl w:val="0"/>
                <w:numId w:val="39"/>
              </w:numPr>
              <w:spacing w:after="0" w:line="240" w:lineRule="auto"/>
              <w:rPr>
                <w:b/>
                <w:bCs/>
                <w:sz w:val="20"/>
                <w:szCs w:val="20"/>
              </w:rPr>
            </w:pPr>
            <w:r w:rsidRPr="00E06F45">
              <w:rPr>
                <w:b/>
                <w:bCs/>
                <w:sz w:val="20"/>
                <w:szCs w:val="20"/>
              </w:rPr>
              <w:t>Manage VAT claims:</w:t>
            </w:r>
            <w:r w:rsidRPr="00E06F45">
              <w:rPr>
                <w:sz w:val="20"/>
                <w:szCs w:val="20"/>
              </w:rPr>
              <w:t xml:space="preserve"> </w:t>
            </w:r>
            <w:r w:rsidR="00D43A2F" w:rsidRPr="00E06F45">
              <w:rPr>
                <w:sz w:val="20"/>
                <w:szCs w:val="20"/>
              </w:rPr>
              <w:t xml:space="preserve">Ensure timely recording, reconciliation, and submission of VAT claims with relevant </w:t>
            </w:r>
            <w:r w:rsidRPr="00E06F45">
              <w:rPr>
                <w:sz w:val="20"/>
                <w:szCs w:val="20"/>
              </w:rPr>
              <w:t>tax</w:t>
            </w:r>
            <w:r w:rsidR="00D43A2F" w:rsidRPr="00E06F45">
              <w:rPr>
                <w:sz w:val="20"/>
                <w:szCs w:val="20"/>
              </w:rPr>
              <w:t xml:space="preserve"> authority and follow up on VAT reimbursements.</w:t>
            </w:r>
          </w:p>
        </w:tc>
      </w:tr>
      <w:tr w:rsidR="00FB4635" w:rsidRPr="00C24118" w14:paraId="1D45811E" w14:textId="77777777" w:rsidTr="27454D58">
        <w:trPr>
          <w:trHeight w:val="20"/>
        </w:trPr>
        <w:tc>
          <w:tcPr>
            <w:tcW w:w="9895" w:type="dxa"/>
            <w:shd w:val="clear" w:color="auto" w:fill="000000" w:themeFill="text1"/>
          </w:tcPr>
          <w:p w14:paraId="021FE94B" w14:textId="1A001F6A" w:rsidR="00FB4635" w:rsidRPr="00C24118" w:rsidRDefault="00FB4635" w:rsidP="008A398C">
            <w:pPr>
              <w:spacing w:after="0" w:line="240" w:lineRule="auto"/>
              <w:rPr>
                <w:b/>
                <w:bCs/>
                <w:sz w:val="20"/>
                <w:szCs w:val="20"/>
              </w:rPr>
            </w:pPr>
            <w:r w:rsidRPr="27454D58">
              <w:rPr>
                <w:b/>
                <w:bCs/>
                <w:sz w:val="20"/>
                <w:szCs w:val="20"/>
              </w:rPr>
              <w:t>Cost recovery</w:t>
            </w:r>
          </w:p>
        </w:tc>
      </w:tr>
      <w:tr w:rsidR="00FB4635" w:rsidRPr="00C24118" w14:paraId="517500C0" w14:textId="77777777" w:rsidTr="27454D58">
        <w:trPr>
          <w:trHeight w:val="20"/>
        </w:trPr>
        <w:tc>
          <w:tcPr>
            <w:tcW w:w="9895" w:type="dxa"/>
          </w:tcPr>
          <w:p w14:paraId="0D640734" w14:textId="54025452" w:rsidR="00FB4635" w:rsidRPr="00E06F45" w:rsidRDefault="00FB4635">
            <w:pPr>
              <w:pStyle w:val="ListParagraph"/>
              <w:numPr>
                <w:ilvl w:val="0"/>
                <w:numId w:val="41"/>
              </w:numPr>
              <w:spacing w:after="0" w:line="240" w:lineRule="auto"/>
              <w:rPr>
                <w:sz w:val="20"/>
                <w:szCs w:val="20"/>
              </w:rPr>
            </w:pPr>
            <w:r w:rsidRPr="00E06F45">
              <w:rPr>
                <w:b/>
                <w:bCs/>
                <w:sz w:val="20"/>
                <w:szCs w:val="20"/>
              </w:rPr>
              <w:t>Organize cost-recovery and DPC</w:t>
            </w:r>
            <w:r w:rsidR="005F2150" w:rsidRPr="00E06F45">
              <w:rPr>
                <w:b/>
                <w:bCs/>
                <w:sz w:val="20"/>
                <w:szCs w:val="20"/>
              </w:rPr>
              <w:t>/DES</w:t>
            </w:r>
            <w:r w:rsidRPr="00E06F45">
              <w:rPr>
                <w:b/>
                <w:bCs/>
                <w:sz w:val="20"/>
                <w:szCs w:val="20"/>
              </w:rPr>
              <w:t xml:space="preserve"> mechanisms</w:t>
            </w:r>
            <w:r w:rsidRPr="00E06F45">
              <w:rPr>
                <w:sz w:val="20"/>
                <w:szCs w:val="20"/>
              </w:rPr>
              <w:t xml:space="preserve"> for services provided by UNDP ensuring preparation of pro-forma invoices for UN agencies and monitoring through the ERP tracking system. Ensure cost-sharing financing contributions are properly transferred to UNDP on a timely basis.</w:t>
            </w:r>
          </w:p>
        </w:tc>
      </w:tr>
      <w:tr w:rsidR="00FB4635" w:rsidRPr="00C24118" w14:paraId="01F9D31F" w14:textId="77777777" w:rsidTr="27454D58">
        <w:trPr>
          <w:trHeight w:val="20"/>
        </w:trPr>
        <w:tc>
          <w:tcPr>
            <w:tcW w:w="9895" w:type="dxa"/>
          </w:tcPr>
          <w:p w14:paraId="7C23BC40" w14:textId="55A0084E" w:rsidR="00FB4635" w:rsidRPr="00E06F45" w:rsidRDefault="00FB4635">
            <w:pPr>
              <w:pStyle w:val="ListParagraph"/>
              <w:numPr>
                <w:ilvl w:val="0"/>
                <w:numId w:val="41"/>
              </w:numPr>
              <w:spacing w:after="0" w:line="240" w:lineRule="auto"/>
              <w:rPr>
                <w:sz w:val="20"/>
                <w:szCs w:val="20"/>
              </w:rPr>
            </w:pPr>
            <w:r w:rsidRPr="00E06F45">
              <w:rPr>
                <w:b/>
                <w:bCs/>
                <w:sz w:val="20"/>
                <w:szCs w:val="20"/>
              </w:rPr>
              <w:t>Prepare timely cost-recovery and DPC</w:t>
            </w:r>
            <w:r w:rsidR="00DC2FF1" w:rsidRPr="00E06F45">
              <w:rPr>
                <w:b/>
                <w:bCs/>
                <w:sz w:val="20"/>
                <w:szCs w:val="20"/>
              </w:rPr>
              <w:t>/DES</w:t>
            </w:r>
            <w:r w:rsidRPr="00E06F45">
              <w:rPr>
                <w:b/>
                <w:bCs/>
                <w:sz w:val="20"/>
                <w:szCs w:val="20"/>
              </w:rPr>
              <w:t xml:space="preserve"> bills in the ERP </w:t>
            </w:r>
            <w:r w:rsidR="00863E46" w:rsidRPr="00E06F45">
              <w:rPr>
                <w:b/>
                <w:bCs/>
                <w:sz w:val="20"/>
                <w:szCs w:val="20"/>
              </w:rPr>
              <w:t>(</w:t>
            </w:r>
            <w:r w:rsidRPr="00E06F45">
              <w:rPr>
                <w:b/>
                <w:bCs/>
                <w:sz w:val="20"/>
                <w:szCs w:val="20"/>
              </w:rPr>
              <w:t>for</w:t>
            </w:r>
            <w:r w:rsidR="00863E46" w:rsidRPr="00E06F45">
              <w:rPr>
                <w:b/>
                <w:bCs/>
                <w:sz w:val="20"/>
                <w:szCs w:val="20"/>
              </w:rPr>
              <w:t xml:space="preserve"> Quantum Agencies) </w:t>
            </w:r>
            <w:r w:rsidR="00BD51BB" w:rsidRPr="00E06F45">
              <w:rPr>
                <w:b/>
                <w:bCs/>
                <w:sz w:val="20"/>
                <w:szCs w:val="20"/>
              </w:rPr>
              <w:t xml:space="preserve">/ record </w:t>
            </w:r>
            <w:r w:rsidR="00E43E77" w:rsidRPr="00E06F45">
              <w:rPr>
                <w:b/>
                <w:bCs/>
                <w:sz w:val="20"/>
                <w:szCs w:val="20"/>
              </w:rPr>
              <w:t>financial authori</w:t>
            </w:r>
            <w:r w:rsidR="00F2298C" w:rsidRPr="00E06F45">
              <w:rPr>
                <w:b/>
                <w:bCs/>
                <w:sz w:val="20"/>
                <w:szCs w:val="20"/>
              </w:rPr>
              <w:t>z</w:t>
            </w:r>
            <w:r w:rsidR="00E43E77" w:rsidRPr="00E06F45">
              <w:rPr>
                <w:b/>
                <w:bCs/>
                <w:sz w:val="20"/>
                <w:szCs w:val="20"/>
              </w:rPr>
              <w:t>ations and fulfilment of agency service requests in the Agency services portal (for SCA)</w:t>
            </w:r>
            <w:r w:rsidR="008B64F7" w:rsidRPr="00E06F45">
              <w:rPr>
                <w:b/>
                <w:bCs/>
                <w:sz w:val="20"/>
                <w:szCs w:val="20"/>
              </w:rPr>
              <w:t xml:space="preserve"> to cost-recover</w:t>
            </w:r>
            <w:r w:rsidRPr="00E06F45">
              <w:rPr>
                <w:b/>
                <w:bCs/>
                <w:sz w:val="20"/>
                <w:szCs w:val="20"/>
              </w:rPr>
              <w:t xml:space="preserve"> the services provided by UNDP.</w:t>
            </w:r>
            <w:r w:rsidRPr="00E06F45">
              <w:rPr>
                <w:sz w:val="20"/>
                <w:szCs w:val="20"/>
              </w:rPr>
              <w:t xml:space="preserve"> </w:t>
            </w:r>
            <w:r w:rsidR="00736033" w:rsidRPr="00E06F45">
              <w:rPr>
                <w:sz w:val="20"/>
                <w:szCs w:val="20"/>
              </w:rPr>
              <w:t>Implement a</w:t>
            </w:r>
            <w:r w:rsidRPr="00E06F45">
              <w:rPr>
                <w:sz w:val="20"/>
                <w:szCs w:val="20"/>
              </w:rPr>
              <w:t xml:space="preserve"> revenue tracking system and follow up on cost recovery. Establish criteria for pro-rating Agencies’ contributions to the common services account, prepare and modify the common services budget, and follow up on timely recovery of payments.</w:t>
            </w:r>
            <w:r w:rsidR="00DA4C02" w:rsidRPr="00E06F45">
              <w:rPr>
                <w:sz w:val="20"/>
                <w:szCs w:val="20"/>
              </w:rPr>
              <w:t xml:space="preserve"> </w:t>
            </w:r>
            <w:r w:rsidR="00DA4C02" w:rsidRPr="00E06F45">
              <w:rPr>
                <w:sz w:val="20"/>
                <w:szCs w:val="20"/>
                <w:u w:val="single"/>
              </w:rPr>
              <w:t>For offices</w:t>
            </w:r>
            <w:r w:rsidR="00407CD4" w:rsidRPr="00E06F45">
              <w:rPr>
                <w:sz w:val="20"/>
                <w:szCs w:val="20"/>
                <w:u w:val="single"/>
              </w:rPr>
              <w:t>/units</w:t>
            </w:r>
            <w:r w:rsidR="00DA4C02" w:rsidRPr="00E06F45">
              <w:rPr>
                <w:sz w:val="20"/>
                <w:szCs w:val="20"/>
                <w:u w:val="single"/>
              </w:rPr>
              <w:t xml:space="preserve"> with clustered Common Services Administration processes</w:t>
            </w:r>
            <w:r w:rsidR="00DA4C02" w:rsidRPr="00E06F45">
              <w:rPr>
                <w:sz w:val="20"/>
                <w:szCs w:val="20"/>
              </w:rPr>
              <w:t>, the BMS/GSSC performs UN agency common service management, administration</w:t>
            </w:r>
            <w:r w:rsidR="00F2298C" w:rsidRPr="00E06F45">
              <w:rPr>
                <w:sz w:val="20"/>
                <w:szCs w:val="20"/>
              </w:rPr>
              <w:t>,</w:t>
            </w:r>
            <w:r w:rsidR="00DA4C02" w:rsidRPr="00E06F45">
              <w:rPr>
                <w:sz w:val="20"/>
                <w:szCs w:val="20"/>
              </w:rPr>
              <w:t xml:space="preserve"> and reporting, including performing advanced billings to Agencies prior to receiving the payments/funds; recording all project-related transactions (Other service lines - AP, </w:t>
            </w:r>
            <w:r w:rsidR="005609DF" w:rsidRPr="00E06F45">
              <w:rPr>
                <w:sz w:val="20"/>
                <w:szCs w:val="20"/>
              </w:rPr>
              <w:t>ZDI</w:t>
            </w:r>
            <w:r w:rsidR="00DA4C02" w:rsidRPr="00E06F45">
              <w:rPr>
                <w:sz w:val="20"/>
                <w:szCs w:val="20"/>
              </w:rPr>
              <w:t xml:space="preserve">, deposits), monitoring and tracking projects and budget spending (UN Entities); and preparing periodic reports for the UN agencies. </w:t>
            </w:r>
            <w:r w:rsidR="00DA4C02" w:rsidRPr="00E06F45">
              <w:rPr>
                <w:sz w:val="20"/>
                <w:szCs w:val="20"/>
                <w:u w:val="single"/>
              </w:rPr>
              <w:t>For offices</w:t>
            </w:r>
            <w:r w:rsidR="00407CD4" w:rsidRPr="00E06F45">
              <w:rPr>
                <w:sz w:val="20"/>
                <w:szCs w:val="20"/>
                <w:u w:val="single"/>
              </w:rPr>
              <w:t>/units</w:t>
            </w:r>
            <w:r w:rsidR="00DA4C02" w:rsidRPr="00E06F45">
              <w:rPr>
                <w:sz w:val="20"/>
                <w:szCs w:val="20"/>
                <w:u w:val="single"/>
              </w:rPr>
              <w:t xml:space="preserve"> with non-clustered Common Services Administration processes</w:t>
            </w:r>
            <w:r w:rsidR="00DA4C02" w:rsidRPr="00E06F45">
              <w:rPr>
                <w:sz w:val="20"/>
                <w:szCs w:val="20"/>
              </w:rPr>
              <w:t>, all common service billing actions are performed within the office</w:t>
            </w:r>
            <w:r w:rsidR="00407CD4" w:rsidRPr="00E06F45">
              <w:rPr>
                <w:sz w:val="20"/>
                <w:szCs w:val="20"/>
              </w:rPr>
              <w:t>/unit</w:t>
            </w:r>
            <w:r w:rsidR="00DA4C02" w:rsidRPr="00E06F45">
              <w:rPr>
                <w:sz w:val="20"/>
                <w:szCs w:val="20"/>
              </w:rPr>
              <w:t>.</w:t>
            </w:r>
          </w:p>
        </w:tc>
      </w:tr>
      <w:tr w:rsidR="00195091" w:rsidRPr="00C24118" w14:paraId="21A7818F" w14:textId="77777777" w:rsidTr="27454D58">
        <w:trPr>
          <w:trHeight w:val="20"/>
        </w:trPr>
        <w:tc>
          <w:tcPr>
            <w:tcW w:w="9895" w:type="dxa"/>
            <w:shd w:val="clear" w:color="auto" w:fill="000000" w:themeFill="text1"/>
          </w:tcPr>
          <w:p w14:paraId="6F8D7AA8" w14:textId="33E47340" w:rsidR="00195091" w:rsidRPr="00195091" w:rsidRDefault="00195091" w:rsidP="008A398C">
            <w:pPr>
              <w:spacing w:after="0" w:line="240" w:lineRule="auto"/>
              <w:rPr>
                <w:b/>
                <w:bCs/>
                <w:sz w:val="20"/>
                <w:szCs w:val="20"/>
              </w:rPr>
            </w:pPr>
            <w:r w:rsidRPr="00195091">
              <w:rPr>
                <w:b/>
                <w:bCs/>
                <w:sz w:val="20"/>
                <w:szCs w:val="20"/>
              </w:rPr>
              <w:t>Payments</w:t>
            </w:r>
          </w:p>
        </w:tc>
      </w:tr>
      <w:tr w:rsidR="00195091" w:rsidRPr="00C24118" w14:paraId="4B1821D7" w14:textId="77777777" w:rsidTr="27454D58">
        <w:trPr>
          <w:trHeight w:val="20"/>
        </w:trPr>
        <w:tc>
          <w:tcPr>
            <w:tcW w:w="9895" w:type="dxa"/>
          </w:tcPr>
          <w:p w14:paraId="5F975155" w14:textId="071A1F9E" w:rsidR="00E173C1" w:rsidRPr="003B0367" w:rsidRDefault="00195091">
            <w:pPr>
              <w:pStyle w:val="ListParagraph"/>
              <w:numPr>
                <w:ilvl w:val="0"/>
                <w:numId w:val="48"/>
              </w:numPr>
              <w:spacing w:after="0" w:line="240" w:lineRule="auto"/>
              <w:rPr>
                <w:sz w:val="20"/>
                <w:szCs w:val="20"/>
              </w:rPr>
            </w:pPr>
            <w:r w:rsidRPr="00E06F45">
              <w:rPr>
                <w:b/>
                <w:bCs/>
                <w:sz w:val="20"/>
                <w:szCs w:val="20"/>
              </w:rPr>
              <w:t>Review and process advance and direct payments for projects for submission to BMS/GSS</w:t>
            </w:r>
            <w:r w:rsidR="00052C68" w:rsidRPr="00E06F45">
              <w:rPr>
                <w:b/>
                <w:bCs/>
                <w:sz w:val="20"/>
                <w:szCs w:val="20"/>
              </w:rPr>
              <w:t>C</w:t>
            </w:r>
            <w:r w:rsidRPr="00E06F45">
              <w:rPr>
                <w:b/>
                <w:bCs/>
                <w:sz w:val="20"/>
                <w:szCs w:val="20"/>
              </w:rPr>
              <w:t xml:space="preserve"> on a timely basis</w:t>
            </w:r>
            <w:r w:rsidR="00736033" w:rsidRPr="00E06F45">
              <w:rPr>
                <w:b/>
                <w:bCs/>
                <w:sz w:val="20"/>
                <w:szCs w:val="20"/>
              </w:rPr>
              <w:t>:</w:t>
            </w:r>
            <w:r w:rsidRPr="00E06F45">
              <w:rPr>
                <w:sz w:val="20"/>
                <w:szCs w:val="20"/>
              </w:rPr>
              <w:t xml:space="preserve"> and ensure payment information is properly recorded into the ERP system on a timely basis. </w:t>
            </w:r>
            <w:r w:rsidR="00736033" w:rsidRPr="363CA695">
              <w:rPr>
                <w:sz w:val="20"/>
                <w:szCs w:val="20"/>
                <w:u w:val="single"/>
              </w:rPr>
              <w:t xml:space="preserve">For payment of NIM/Responsible Party (RP) advances: </w:t>
            </w:r>
            <w:r w:rsidR="00736033" w:rsidRPr="363CA695">
              <w:rPr>
                <w:sz w:val="20"/>
                <w:szCs w:val="20"/>
              </w:rPr>
              <w:t>The Requesting Office</w:t>
            </w:r>
            <w:r w:rsidR="00407CD4" w:rsidRPr="363CA695">
              <w:rPr>
                <w:sz w:val="20"/>
                <w:szCs w:val="20"/>
              </w:rPr>
              <w:t>/Unit</w:t>
            </w:r>
            <w:r w:rsidR="00736033" w:rsidRPr="363CA695">
              <w:rPr>
                <w:sz w:val="20"/>
                <w:szCs w:val="20"/>
              </w:rPr>
              <w:t xml:space="preserve"> designated personnel are responsible </w:t>
            </w:r>
            <w:proofErr w:type="gramStart"/>
            <w:r w:rsidR="00736033" w:rsidRPr="363CA695">
              <w:rPr>
                <w:sz w:val="20"/>
                <w:szCs w:val="20"/>
              </w:rPr>
              <w:t>to ensure</w:t>
            </w:r>
            <w:proofErr w:type="gramEnd"/>
            <w:r w:rsidR="00736033" w:rsidRPr="363CA695">
              <w:rPr>
                <w:sz w:val="20"/>
                <w:szCs w:val="20"/>
              </w:rPr>
              <w:t xml:space="preserve"> </w:t>
            </w:r>
            <w:r w:rsidR="00736033" w:rsidRPr="363CA695">
              <w:rPr>
                <w:sz w:val="20"/>
                <w:szCs w:val="20"/>
              </w:rPr>
              <w:lastRenderedPageBreak/>
              <w:t>that the payment request is per the approved Annual Work Plan and budget and meets the 3 criteria</w:t>
            </w:r>
            <w:r w:rsidR="00E173C1" w:rsidRPr="363CA695">
              <w:rPr>
                <w:rStyle w:val="FootnoteReference"/>
                <w:sz w:val="20"/>
                <w:szCs w:val="20"/>
              </w:rPr>
              <w:footnoteReference w:id="32"/>
            </w:r>
            <w:r w:rsidR="00736033" w:rsidRPr="363CA695">
              <w:rPr>
                <w:sz w:val="20"/>
                <w:szCs w:val="20"/>
              </w:rPr>
              <w:t xml:space="preserve"> for releasing advances to Implementing Partners (IP) or Responsible Parties (RP). </w:t>
            </w:r>
            <w:r w:rsidR="00736033" w:rsidRPr="363CA695">
              <w:rPr>
                <w:b/>
                <w:bCs/>
                <w:sz w:val="20"/>
                <w:szCs w:val="20"/>
              </w:rPr>
              <w:t>Regional Bureau approval is required for: (</w:t>
            </w:r>
            <w:proofErr w:type="spellStart"/>
            <w:r w:rsidR="00736033" w:rsidRPr="363CA695">
              <w:rPr>
                <w:b/>
                <w:bCs/>
                <w:sz w:val="20"/>
                <w:szCs w:val="20"/>
              </w:rPr>
              <w:t>i</w:t>
            </w:r>
            <w:proofErr w:type="spellEnd"/>
            <w:r w:rsidR="00736033" w:rsidRPr="363CA695">
              <w:rPr>
                <w:b/>
                <w:bCs/>
                <w:sz w:val="20"/>
                <w:szCs w:val="20"/>
              </w:rPr>
              <w:t xml:space="preserve">) any project that does not use a FACE form; and (ii) NIM/RP payments that do not meet the 3 criteria and exceed the BMS/GSSC’s processing flexibility thresholds. </w:t>
            </w:r>
            <w:r w:rsidR="00736033" w:rsidRPr="363CA695">
              <w:rPr>
                <w:sz w:val="20"/>
                <w:szCs w:val="20"/>
              </w:rPr>
              <w:t>The Requesting Office</w:t>
            </w:r>
            <w:r w:rsidR="00407CD4" w:rsidRPr="363CA695">
              <w:rPr>
                <w:sz w:val="20"/>
                <w:szCs w:val="20"/>
              </w:rPr>
              <w:t xml:space="preserve">/Unit </w:t>
            </w:r>
            <w:r w:rsidR="00736033" w:rsidRPr="363CA695">
              <w:rPr>
                <w:sz w:val="20"/>
                <w:szCs w:val="20"/>
              </w:rPr>
              <w:t xml:space="preserve">is responsible for obtaining the required approvals from the Regional Bureau. </w:t>
            </w:r>
            <w:r w:rsidR="00736033" w:rsidRPr="00E06F45">
              <w:rPr>
                <w:sz w:val="20"/>
                <w:szCs w:val="20"/>
              </w:rPr>
              <w:t xml:space="preserve">The CO manager’s first approval certifies that the person who signed the FACE form as </w:t>
            </w:r>
            <w:proofErr w:type="spellStart"/>
            <w:r w:rsidR="00736033" w:rsidRPr="00E06F45">
              <w:rPr>
                <w:sz w:val="20"/>
                <w:szCs w:val="20"/>
              </w:rPr>
              <w:t>programme</w:t>
            </w:r>
            <w:proofErr w:type="spellEnd"/>
            <w:r w:rsidR="00736033" w:rsidRPr="00E06F45">
              <w:rPr>
                <w:sz w:val="20"/>
                <w:szCs w:val="20"/>
              </w:rPr>
              <w:t xml:space="preserve"> officer really is the </w:t>
            </w:r>
            <w:proofErr w:type="spellStart"/>
            <w:r w:rsidR="00736033" w:rsidRPr="00E06F45">
              <w:rPr>
                <w:sz w:val="20"/>
                <w:szCs w:val="20"/>
              </w:rPr>
              <w:t>programme</w:t>
            </w:r>
            <w:proofErr w:type="spellEnd"/>
            <w:r w:rsidR="00736033" w:rsidRPr="00E06F45">
              <w:rPr>
                <w:sz w:val="20"/>
                <w:szCs w:val="20"/>
              </w:rPr>
              <w:t xml:space="preserve"> officer</w:t>
            </w:r>
            <w:r w:rsidR="008956E6" w:rsidRPr="00E06F45">
              <w:rPr>
                <w:sz w:val="20"/>
                <w:szCs w:val="20"/>
              </w:rPr>
              <w:t xml:space="preserve">. </w:t>
            </w:r>
            <w:r w:rsidR="00736033" w:rsidRPr="363CA695">
              <w:rPr>
                <w:sz w:val="20"/>
                <w:szCs w:val="20"/>
              </w:rPr>
              <w:t xml:space="preserve">Refer to POPP on </w:t>
            </w:r>
            <w:hyperlink r:id="rId147" w:history="1">
              <w:r w:rsidR="008956E6" w:rsidRPr="008956E6">
                <w:rPr>
                  <w:rStyle w:val="Hyperlink"/>
                  <w:sz w:val="20"/>
                  <w:szCs w:val="20"/>
                  <w:lang w:val="en-MY"/>
                </w:rPr>
                <w:t>Direct Cash Transfers and Reimbursements</w:t>
              </w:r>
            </w:hyperlink>
            <w:r w:rsidR="008956E6" w:rsidRPr="008956E6" w:rsidDel="008956E6">
              <w:rPr>
                <w:sz w:val="20"/>
                <w:szCs w:val="20"/>
              </w:rPr>
              <w:t xml:space="preserve"> </w:t>
            </w:r>
            <w:r w:rsidR="00736033" w:rsidRPr="363CA695">
              <w:rPr>
                <w:sz w:val="20"/>
                <w:szCs w:val="20"/>
              </w:rPr>
              <w:t xml:space="preserve">for detail on the criteria to be applied. </w:t>
            </w:r>
          </w:p>
        </w:tc>
      </w:tr>
      <w:tr w:rsidR="00615908" w:rsidRPr="00C24118" w14:paraId="766F6D7C" w14:textId="77777777" w:rsidTr="27454D58">
        <w:trPr>
          <w:trHeight w:val="20"/>
        </w:trPr>
        <w:tc>
          <w:tcPr>
            <w:tcW w:w="9895" w:type="dxa"/>
          </w:tcPr>
          <w:p w14:paraId="6E05E5DD" w14:textId="62905A38" w:rsidR="00615908" w:rsidRPr="00FB5581" w:rsidRDefault="00615908">
            <w:pPr>
              <w:pStyle w:val="ListParagraph"/>
              <w:numPr>
                <w:ilvl w:val="0"/>
                <w:numId w:val="48"/>
              </w:numPr>
              <w:spacing w:after="0" w:line="240" w:lineRule="auto"/>
              <w:rPr>
                <w:color w:val="ED7D31" w:themeColor="accent2"/>
                <w:sz w:val="20"/>
                <w:szCs w:val="20"/>
              </w:rPr>
            </w:pPr>
            <w:r w:rsidRPr="363CA695">
              <w:rPr>
                <w:b/>
                <w:bCs/>
                <w:sz w:val="20"/>
                <w:szCs w:val="20"/>
              </w:rPr>
              <w:lastRenderedPageBreak/>
              <w:t>Create invoices in Quantum</w:t>
            </w:r>
            <w:r w:rsidRPr="363CA695">
              <w:rPr>
                <w:sz w:val="20"/>
                <w:szCs w:val="20"/>
              </w:rPr>
              <w:t xml:space="preserve"> in cases where a supplier cannot submit an invoice through the Quantum Supplier Portal. </w:t>
            </w:r>
            <w:r w:rsidR="0009386A" w:rsidRPr="363CA695">
              <w:rPr>
                <w:sz w:val="20"/>
                <w:szCs w:val="20"/>
              </w:rPr>
              <w:t>All PO-based invoices are automatically checked against the PO and goods/services receipt and when there is a 3-</w:t>
            </w:r>
            <w:r w:rsidR="0009386A" w:rsidRPr="00E06F45">
              <w:rPr>
                <w:sz w:val="20"/>
                <w:szCs w:val="20"/>
              </w:rPr>
              <w:t>way match, it is sent to the pay-cycle. For non-PO invoices</w:t>
            </w:r>
            <w:r w:rsidR="000C4256" w:rsidRPr="00E06F45">
              <w:rPr>
                <w:sz w:val="20"/>
                <w:szCs w:val="20"/>
              </w:rPr>
              <w:t>,</w:t>
            </w:r>
            <w:r w:rsidR="0009386A" w:rsidRPr="00E06F45">
              <w:rPr>
                <w:sz w:val="20"/>
                <w:szCs w:val="20"/>
              </w:rPr>
              <w:t xml:space="preserve"> </w:t>
            </w:r>
            <w:r w:rsidR="007209B2" w:rsidRPr="00E06F45">
              <w:rPr>
                <w:sz w:val="20"/>
                <w:szCs w:val="20"/>
              </w:rPr>
              <w:t xml:space="preserve">finance staff in offices/units ensure Project Managers have confirmed receipt of the goods/services, verify the invoice, add the COA, and perform a funds check. </w:t>
            </w:r>
            <w:r w:rsidRPr="00E06F45">
              <w:rPr>
                <w:sz w:val="20"/>
                <w:szCs w:val="20"/>
              </w:rPr>
              <w:t xml:space="preserve">Refer to </w:t>
            </w:r>
            <w:hyperlink w:anchor="_Annex_5:_Process" w:history="1">
              <w:r w:rsidRPr="00876EB0">
                <w:rPr>
                  <w:rStyle w:val="Hyperlink"/>
                  <w:sz w:val="20"/>
                  <w:szCs w:val="20"/>
                </w:rPr>
                <w:t>Annex 5</w:t>
              </w:r>
            </w:hyperlink>
            <w:r w:rsidRPr="363CA695">
              <w:rPr>
                <w:color w:val="ED7D31" w:themeColor="accent2"/>
                <w:sz w:val="20"/>
                <w:szCs w:val="20"/>
              </w:rPr>
              <w:t xml:space="preserve"> </w:t>
            </w:r>
            <w:r w:rsidRPr="00E06F45">
              <w:rPr>
                <w:sz w:val="20"/>
                <w:szCs w:val="20"/>
              </w:rPr>
              <w:t xml:space="preserve">for </w:t>
            </w:r>
            <w:r w:rsidR="007209B2" w:rsidRPr="00E06F45">
              <w:rPr>
                <w:sz w:val="20"/>
                <w:szCs w:val="20"/>
              </w:rPr>
              <w:t>further detail</w:t>
            </w:r>
            <w:r w:rsidR="003F7E23" w:rsidRPr="00E06F45">
              <w:rPr>
                <w:sz w:val="20"/>
                <w:szCs w:val="20"/>
              </w:rPr>
              <w:t>s</w:t>
            </w:r>
            <w:r w:rsidR="007209B2" w:rsidRPr="00E06F45">
              <w:rPr>
                <w:sz w:val="20"/>
                <w:szCs w:val="20"/>
              </w:rPr>
              <w:t xml:space="preserve"> on</w:t>
            </w:r>
            <w:r w:rsidRPr="00E06F45">
              <w:rPr>
                <w:sz w:val="20"/>
                <w:szCs w:val="20"/>
              </w:rPr>
              <w:t xml:space="preserve"> PO and non-PO </w:t>
            </w:r>
            <w:r w:rsidR="007209B2" w:rsidRPr="00E06F45">
              <w:rPr>
                <w:sz w:val="20"/>
                <w:szCs w:val="20"/>
              </w:rPr>
              <w:t>Procure &amp; Pay</w:t>
            </w:r>
            <w:r w:rsidRPr="00E06F45">
              <w:rPr>
                <w:sz w:val="20"/>
                <w:szCs w:val="20"/>
              </w:rPr>
              <w:t xml:space="preserve"> process</w:t>
            </w:r>
            <w:r w:rsidR="007209B2" w:rsidRPr="00E06F45">
              <w:rPr>
                <w:sz w:val="20"/>
                <w:szCs w:val="20"/>
              </w:rPr>
              <w:t xml:space="preserve"> steps and roles.</w:t>
            </w:r>
          </w:p>
          <w:p w14:paraId="67182D6B" w14:textId="77777777" w:rsidR="00FB5581" w:rsidRDefault="00FB5581" w:rsidP="00FB5581">
            <w:pPr>
              <w:pStyle w:val="ListParagraph"/>
              <w:spacing w:after="0" w:line="240" w:lineRule="auto"/>
              <w:ind w:left="360"/>
              <w:rPr>
                <w:b/>
                <w:bCs/>
                <w:sz w:val="20"/>
                <w:szCs w:val="20"/>
              </w:rPr>
            </w:pPr>
          </w:p>
          <w:p w14:paraId="3A94B84E" w14:textId="363387B6" w:rsidR="00FB5581" w:rsidRPr="00615908" w:rsidRDefault="00FB5581" w:rsidP="00FB5581">
            <w:pPr>
              <w:pStyle w:val="ListParagraph"/>
              <w:spacing w:after="0" w:line="240" w:lineRule="auto"/>
              <w:ind w:left="360"/>
            </w:pPr>
            <w:r>
              <w:rPr>
                <w:b/>
                <w:bCs/>
                <w:sz w:val="20"/>
                <w:szCs w:val="20"/>
              </w:rPr>
              <w:t xml:space="preserve">Special situation: </w:t>
            </w:r>
            <w:r w:rsidRPr="005419B8">
              <w:rPr>
                <w:b/>
                <w:bCs/>
                <w:sz w:val="20"/>
                <w:szCs w:val="20"/>
              </w:rPr>
              <w:t>Creating invoices for other offices with clustered Accounts Payable processes:</w:t>
            </w:r>
            <w:r w:rsidRPr="007174B2">
              <w:rPr>
                <w:sz w:val="20"/>
                <w:szCs w:val="20"/>
              </w:rPr>
              <w:t xml:space="preserve"> There may be situations where an office/unit (such as BMS/GSSC HR) creates an invoice for a salary advance in a CO. BMS/GSSC HR does not have clustered AP processes, but the CO does. In these situations, the Quantum workflow will send the invoice to the CO approver rather than to BMS/GSSC HR. If the amount is more than $5k, it will be directed to BMS/GSSC Finance for approval. However, if it is for less than $5k, it will be approved only in the CO.</w:t>
            </w:r>
          </w:p>
        </w:tc>
      </w:tr>
      <w:tr w:rsidR="00195091" w:rsidRPr="00C24118" w14:paraId="6F0AFFC7" w14:textId="77777777" w:rsidTr="27454D58">
        <w:trPr>
          <w:trHeight w:val="20"/>
        </w:trPr>
        <w:tc>
          <w:tcPr>
            <w:tcW w:w="9895" w:type="dxa"/>
          </w:tcPr>
          <w:p w14:paraId="0F489864" w14:textId="6C4CCC44" w:rsidR="00CD60E6" w:rsidRPr="00CD60E6" w:rsidRDefault="004B2DF3">
            <w:pPr>
              <w:pStyle w:val="ListParagraph"/>
              <w:numPr>
                <w:ilvl w:val="0"/>
                <w:numId w:val="42"/>
              </w:numPr>
              <w:spacing w:after="0" w:line="240" w:lineRule="auto"/>
              <w:rPr>
                <w:sz w:val="20"/>
                <w:szCs w:val="20"/>
              </w:rPr>
            </w:pPr>
            <w:r w:rsidRPr="363CA695">
              <w:rPr>
                <w:b/>
                <w:bCs/>
                <w:sz w:val="20"/>
                <w:szCs w:val="20"/>
              </w:rPr>
              <w:t>When authorized by the Head of Office</w:t>
            </w:r>
            <w:r w:rsidR="00407CD4" w:rsidRPr="363CA695">
              <w:rPr>
                <w:b/>
                <w:bCs/>
                <w:sz w:val="20"/>
                <w:szCs w:val="20"/>
              </w:rPr>
              <w:t>/Unit</w:t>
            </w:r>
            <w:r w:rsidRPr="363CA695">
              <w:rPr>
                <w:b/>
                <w:bCs/>
                <w:sz w:val="20"/>
                <w:szCs w:val="20"/>
              </w:rPr>
              <w:t>, p</w:t>
            </w:r>
            <w:r w:rsidR="00195091" w:rsidRPr="363CA695">
              <w:rPr>
                <w:b/>
                <w:bCs/>
                <w:sz w:val="20"/>
                <w:szCs w:val="20"/>
              </w:rPr>
              <w:t>roduce manual payments (exceptionally, and max 5 per month</w:t>
            </w:r>
            <w:r w:rsidR="008A398C" w:rsidRPr="363CA695">
              <w:rPr>
                <w:b/>
                <w:bCs/>
                <w:sz w:val="20"/>
                <w:szCs w:val="20"/>
              </w:rPr>
              <w:t>, unless CFO pre-approves more than 5)</w:t>
            </w:r>
            <w:r w:rsidR="00D43A2F" w:rsidRPr="363CA695">
              <w:rPr>
                <w:b/>
                <w:bCs/>
                <w:sz w:val="20"/>
                <w:szCs w:val="20"/>
              </w:rPr>
              <w:t>:</w:t>
            </w:r>
            <w:r w:rsidR="00D43A2F" w:rsidRPr="363CA695">
              <w:rPr>
                <w:sz w:val="20"/>
                <w:szCs w:val="20"/>
              </w:rPr>
              <w:t xml:space="preserve"> A ‘manual cheque’</w:t>
            </w:r>
            <w:r w:rsidR="00CD60E6" w:rsidRPr="363CA695">
              <w:rPr>
                <w:rStyle w:val="FootnoteReference"/>
                <w:sz w:val="20"/>
                <w:szCs w:val="20"/>
              </w:rPr>
              <w:footnoteReference w:id="33"/>
            </w:r>
            <w:r w:rsidR="00D43A2F" w:rsidRPr="363CA695">
              <w:rPr>
                <w:sz w:val="20"/>
                <w:szCs w:val="20"/>
              </w:rPr>
              <w:t xml:space="preserve"> or ‘payment transmittal letter’ is a payment issued outside Quantum and subsequently recorded in Quantum. When recorded in Quantum, the payment type is ‘MAN’ for ‘manual.’ </w:t>
            </w:r>
            <w:r w:rsidR="00D43A2F" w:rsidRPr="363CA695">
              <w:rPr>
                <w:sz w:val="20"/>
                <w:szCs w:val="20"/>
                <w:u w:val="single"/>
              </w:rPr>
              <w:t>Manual payments are a major control risk and should be used very exceptionally</w:t>
            </w:r>
            <w:r w:rsidR="00D43A2F" w:rsidRPr="363CA695">
              <w:rPr>
                <w:sz w:val="20"/>
                <w:szCs w:val="20"/>
              </w:rPr>
              <w:t>. The use of manual payments circumvents all Quantum control features such as a budget check. If not done properly, there is also a risk that manual controls might be circumvented as well. Manual payments must be made only after recording in Quantum, or when Quantum is unavailable and the payment is urgent, the payment must be recorded in Quantum immediately as soon as Quantum functionality is restored</w:t>
            </w:r>
            <w:r w:rsidR="66C06104" w:rsidRPr="363CA695">
              <w:rPr>
                <w:sz w:val="20"/>
                <w:szCs w:val="20"/>
              </w:rPr>
              <w:t>,</w:t>
            </w:r>
            <w:r w:rsidR="00D43A2F" w:rsidRPr="363CA695">
              <w:rPr>
                <w:sz w:val="20"/>
                <w:szCs w:val="20"/>
              </w:rPr>
              <w:t xml:space="preserve"> after issuance of the payment. The CFO has authorized offices</w:t>
            </w:r>
            <w:r w:rsidR="00407CD4" w:rsidRPr="363CA695">
              <w:rPr>
                <w:sz w:val="20"/>
                <w:szCs w:val="20"/>
              </w:rPr>
              <w:t>/units</w:t>
            </w:r>
            <w:r w:rsidR="00D43A2F" w:rsidRPr="363CA695">
              <w:rPr>
                <w:sz w:val="20"/>
                <w:szCs w:val="20"/>
              </w:rPr>
              <w:t xml:space="preserve"> to issue up to five manual payments per month; any additions require the written approval of the CFO.</w:t>
            </w:r>
          </w:p>
        </w:tc>
      </w:tr>
      <w:tr w:rsidR="00195091" w:rsidRPr="00C24118" w14:paraId="5D72EB87" w14:textId="77777777" w:rsidTr="27454D58">
        <w:trPr>
          <w:trHeight w:val="20"/>
        </w:trPr>
        <w:tc>
          <w:tcPr>
            <w:tcW w:w="9895" w:type="dxa"/>
            <w:shd w:val="clear" w:color="auto" w:fill="000000" w:themeFill="text1"/>
          </w:tcPr>
          <w:p w14:paraId="0F20192F" w14:textId="0BA916D2" w:rsidR="00195091" w:rsidRPr="00C666FA" w:rsidRDefault="00195091" w:rsidP="008A398C">
            <w:pPr>
              <w:spacing w:after="0" w:line="240" w:lineRule="auto"/>
              <w:rPr>
                <w:b/>
                <w:bCs/>
                <w:sz w:val="20"/>
                <w:szCs w:val="20"/>
              </w:rPr>
            </w:pPr>
            <w:r w:rsidRPr="00C666FA">
              <w:rPr>
                <w:b/>
                <w:bCs/>
                <w:sz w:val="20"/>
                <w:szCs w:val="20"/>
              </w:rPr>
              <w:t>Cash management</w:t>
            </w:r>
          </w:p>
        </w:tc>
      </w:tr>
      <w:tr w:rsidR="00195091" w:rsidRPr="00C24118" w14:paraId="7706189B" w14:textId="77777777" w:rsidTr="27454D58">
        <w:trPr>
          <w:trHeight w:val="20"/>
        </w:trPr>
        <w:tc>
          <w:tcPr>
            <w:tcW w:w="9895" w:type="dxa"/>
          </w:tcPr>
          <w:p w14:paraId="3D9422C1" w14:textId="6C412592" w:rsidR="00195091" w:rsidRPr="00E06F45" w:rsidRDefault="00195091">
            <w:pPr>
              <w:pStyle w:val="ListParagraph"/>
              <w:numPr>
                <w:ilvl w:val="0"/>
                <w:numId w:val="43"/>
              </w:numPr>
              <w:spacing w:after="0" w:line="240" w:lineRule="auto"/>
              <w:rPr>
                <w:sz w:val="20"/>
                <w:szCs w:val="20"/>
              </w:rPr>
            </w:pPr>
            <w:r w:rsidRPr="00E06F45">
              <w:rPr>
                <w:b/>
                <w:bCs/>
                <w:sz w:val="20"/>
                <w:szCs w:val="20"/>
              </w:rPr>
              <w:t>Provide timely review of cash positions</w:t>
            </w:r>
            <w:r w:rsidRPr="00E06F45">
              <w:rPr>
                <w:sz w:val="20"/>
                <w:szCs w:val="20"/>
              </w:rPr>
              <w:t xml:space="preserve"> for local accounts to ensure sufficient funds for disbursements and maintain liquidity level approved by BMS/OF</w:t>
            </w:r>
            <w:r w:rsidR="00A40A72">
              <w:rPr>
                <w:sz w:val="20"/>
                <w:szCs w:val="20"/>
              </w:rPr>
              <w:t>R</w:t>
            </w:r>
            <w:r w:rsidRPr="00E06F45">
              <w:rPr>
                <w:sz w:val="20"/>
                <w:szCs w:val="20"/>
              </w:rPr>
              <w:t xml:space="preserve">M/Treasury. Ensure daily review of zero-balance </w:t>
            </w:r>
            <w:proofErr w:type="gramStart"/>
            <w:r w:rsidRPr="00E06F45">
              <w:rPr>
                <w:sz w:val="20"/>
                <w:szCs w:val="20"/>
              </w:rPr>
              <w:t>account bank</w:t>
            </w:r>
            <w:proofErr w:type="gramEnd"/>
            <w:r w:rsidRPr="00E06F45">
              <w:rPr>
                <w:sz w:val="20"/>
                <w:szCs w:val="20"/>
              </w:rPr>
              <w:t xml:space="preserve"> statements in ERP</w:t>
            </w:r>
            <w:r w:rsidR="00FF3F21" w:rsidRPr="00E06F45">
              <w:rPr>
                <w:rStyle w:val="FootnoteReference"/>
                <w:sz w:val="20"/>
                <w:szCs w:val="20"/>
              </w:rPr>
              <w:footnoteReference w:id="34"/>
            </w:r>
            <w:r w:rsidRPr="00E06F45">
              <w:rPr>
                <w:sz w:val="20"/>
                <w:szCs w:val="20"/>
              </w:rPr>
              <w:t xml:space="preserve"> to monitor </w:t>
            </w:r>
            <w:proofErr w:type="spellStart"/>
            <w:r w:rsidRPr="00E06F45">
              <w:rPr>
                <w:sz w:val="20"/>
                <w:szCs w:val="20"/>
              </w:rPr>
              <w:t>imprest</w:t>
            </w:r>
            <w:proofErr w:type="spellEnd"/>
            <w:r w:rsidRPr="00E06F45">
              <w:rPr>
                <w:sz w:val="20"/>
                <w:szCs w:val="20"/>
              </w:rPr>
              <w:t xml:space="preserve"> level.</w:t>
            </w:r>
            <w:r w:rsidR="00FF3F21" w:rsidRPr="00E06F45">
              <w:rPr>
                <w:sz w:val="20"/>
                <w:szCs w:val="20"/>
              </w:rPr>
              <w:t xml:space="preserve"> </w:t>
            </w:r>
            <w:r w:rsidR="005419B8" w:rsidRPr="00E06F45">
              <w:rPr>
                <w:sz w:val="20"/>
                <w:szCs w:val="20"/>
              </w:rPr>
              <w:t>Obtain disbursement estimates from</w:t>
            </w:r>
            <w:r w:rsidR="00FF3F21" w:rsidRPr="00E06F45">
              <w:rPr>
                <w:sz w:val="20"/>
                <w:szCs w:val="20"/>
              </w:rPr>
              <w:t xml:space="preserve"> </w:t>
            </w:r>
            <w:proofErr w:type="gramStart"/>
            <w:r w:rsidR="00FF3F21" w:rsidRPr="00E06F45">
              <w:rPr>
                <w:sz w:val="20"/>
                <w:szCs w:val="20"/>
              </w:rPr>
              <w:t>participating</w:t>
            </w:r>
            <w:proofErr w:type="gramEnd"/>
            <w:r w:rsidR="00FF3F21" w:rsidRPr="00E06F45">
              <w:rPr>
                <w:sz w:val="20"/>
                <w:szCs w:val="20"/>
              </w:rPr>
              <w:t xml:space="preserve"> UN agencies</w:t>
            </w:r>
            <w:r w:rsidR="005419B8" w:rsidRPr="00E06F45">
              <w:rPr>
                <w:sz w:val="20"/>
                <w:szCs w:val="20"/>
              </w:rPr>
              <w:t>.</w:t>
            </w:r>
          </w:p>
        </w:tc>
      </w:tr>
      <w:tr w:rsidR="00195091" w:rsidRPr="00C24118" w14:paraId="697FD7E4" w14:textId="77777777" w:rsidTr="27454D58">
        <w:trPr>
          <w:trHeight w:val="20"/>
        </w:trPr>
        <w:tc>
          <w:tcPr>
            <w:tcW w:w="9895" w:type="dxa"/>
          </w:tcPr>
          <w:p w14:paraId="4B6B2BE5" w14:textId="393D0B9B" w:rsidR="00195091" w:rsidRPr="00E06F45" w:rsidRDefault="00195091">
            <w:pPr>
              <w:pStyle w:val="ListParagraph"/>
              <w:numPr>
                <w:ilvl w:val="0"/>
                <w:numId w:val="43"/>
              </w:numPr>
              <w:spacing w:after="0" w:line="240" w:lineRule="auto"/>
              <w:rPr>
                <w:sz w:val="20"/>
                <w:szCs w:val="20"/>
              </w:rPr>
            </w:pPr>
            <w:r w:rsidRPr="00E06F45">
              <w:rPr>
                <w:b/>
                <w:bCs/>
                <w:sz w:val="20"/>
                <w:szCs w:val="20"/>
              </w:rPr>
              <w:t>Prepare and process disbursement and stop payment</w:t>
            </w:r>
            <w:r w:rsidRPr="00E06F45">
              <w:rPr>
                <w:sz w:val="20"/>
                <w:szCs w:val="20"/>
              </w:rPr>
              <w:t xml:space="preserve"> on internet banking system. </w:t>
            </w:r>
          </w:p>
        </w:tc>
      </w:tr>
      <w:tr w:rsidR="00FF3F21" w:rsidRPr="00C24118" w14:paraId="4F3C5A30" w14:textId="77777777" w:rsidTr="27454D58">
        <w:trPr>
          <w:trHeight w:val="20"/>
        </w:trPr>
        <w:tc>
          <w:tcPr>
            <w:tcW w:w="9895" w:type="dxa"/>
          </w:tcPr>
          <w:p w14:paraId="6B203FCC" w14:textId="2AD66103" w:rsidR="00FF3F21" w:rsidRPr="00E06F45" w:rsidRDefault="00FF3F21">
            <w:pPr>
              <w:pStyle w:val="ListParagraph"/>
              <w:numPr>
                <w:ilvl w:val="0"/>
                <w:numId w:val="43"/>
              </w:numPr>
              <w:spacing w:after="0" w:line="240" w:lineRule="auto"/>
              <w:rPr>
                <w:sz w:val="20"/>
                <w:szCs w:val="20"/>
              </w:rPr>
            </w:pPr>
            <w:r w:rsidRPr="00E06F45">
              <w:rPr>
                <w:b/>
                <w:bCs/>
                <w:sz w:val="20"/>
                <w:szCs w:val="20"/>
              </w:rPr>
              <w:t>Initiate and select bank transfers and deals</w:t>
            </w:r>
            <w:r w:rsidRPr="00E06F45">
              <w:rPr>
                <w:sz w:val="20"/>
                <w:szCs w:val="20"/>
              </w:rPr>
              <w:t xml:space="preserve"> for approval and settlement and notify approving manager.  Notify BMS/GSSC to create and select bank transfers (Cash Management/ Settlements) in ERP.</w:t>
            </w:r>
          </w:p>
        </w:tc>
      </w:tr>
      <w:tr w:rsidR="00195091" w:rsidRPr="00C24118" w14:paraId="02406346" w14:textId="77777777" w:rsidTr="27454D58">
        <w:trPr>
          <w:trHeight w:val="20"/>
        </w:trPr>
        <w:tc>
          <w:tcPr>
            <w:tcW w:w="9895" w:type="dxa"/>
          </w:tcPr>
          <w:p w14:paraId="182C9AEE" w14:textId="0026A814" w:rsidR="00195091" w:rsidRPr="00A25367" w:rsidRDefault="00195091">
            <w:pPr>
              <w:pStyle w:val="ListParagraph"/>
              <w:numPr>
                <w:ilvl w:val="0"/>
                <w:numId w:val="43"/>
              </w:numPr>
              <w:spacing w:after="0" w:line="240" w:lineRule="auto"/>
              <w:rPr>
                <w:sz w:val="20"/>
                <w:szCs w:val="20"/>
              </w:rPr>
            </w:pPr>
            <w:r w:rsidRPr="363CA695">
              <w:rPr>
                <w:b/>
                <w:bCs/>
                <w:sz w:val="20"/>
                <w:szCs w:val="20"/>
              </w:rPr>
              <w:t>Review bank reconciliation</w:t>
            </w:r>
            <w:r w:rsidR="009B5F85" w:rsidRPr="363CA695">
              <w:rPr>
                <w:b/>
                <w:bCs/>
                <w:sz w:val="20"/>
                <w:szCs w:val="20"/>
              </w:rPr>
              <w:t>s</w:t>
            </w:r>
            <w:r w:rsidRPr="363CA695">
              <w:rPr>
                <w:b/>
                <w:bCs/>
                <w:sz w:val="20"/>
                <w:szCs w:val="20"/>
              </w:rPr>
              <w:t xml:space="preserve"> and provide documentation to BMS/GSSC</w:t>
            </w:r>
            <w:r w:rsidRPr="363CA695">
              <w:rPr>
                <w:sz w:val="20"/>
                <w:szCs w:val="20"/>
              </w:rPr>
              <w:t xml:space="preserve"> in accordance with service level agreement. </w:t>
            </w:r>
            <w:r w:rsidR="009B5F85" w:rsidRPr="363CA695">
              <w:rPr>
                <w:sz w:val="20"/>
                <w:szCs w:val="20"/>
              </w:rPr>
              <w:t xml:space="preserve">Regular bank reconciliations are </w:t>
            </w:r>
            <w:proofErr w:type="gramStart"/>
            <w:r w:rsidR="009B5F85" w:rsidRPr="363CA695">
              <w:rPr>
                <w:sz w:val="20"/>
                <w:szCs w:val="20"/>
              </w:rPr>
              <w:t>an essential</w:t>
            </w:r>
            <w:proofErr w:type="gramEnd"/>
            <w:r w:rsidR="009B5F85" w:rsidRPr="363CA695">
              <w:rPr>
                <w:sz w:val="20"/>
                <w:szCs w:val="20"/>
              </w:rPr>
              <w:t xml:space="preserve"> internal control and should be performed at least monthly. The objective of bank account reconciliation is to prove that the entries in Quantum are correct and reconciled with the transactions that have been recorded by the bank. Any differences must be analyzed and reported. </w:t>
            </w:r>
            <w:r w:rsidR="005B1BD7" w:rsidRPr="363CA695">
              <w:rPr>
                <w:sz w:val="20"/>
                <w:szCs w:val="20"/>
              </w:rPr>
              <w:t xml:space="preserve">Bank </w:t>
            </w:r>
            <w:r w:rsidR="005B1BD7" w:rsidRPr="363CA695">
              <w:rPr>
                <w:sz w:val="20"/>
                <w:szCs w:val="20"/>
              </w:rPr>
              <w:lastRenderedPageBreak/>
              <w:t>reconciliations are prepared and approved by the BMS/GSSC for all offices</w:t>
            </w:r>
            <w:r w:rsidR="00407CD4" w:rsidRPr="363CA695">
              <w:rPr>
                <w:sz w:val="20"/>
                <w:szCs w:val="20"/>
              </w:rPr>
              <w:t>/units</w:t>
            </w:r>
            <w:r w:rsidR="00A25367" w:rsidRPr="363CA695">
              <w:rPr>
                <w:rStyle w:val="FootnoteReference"/>
                <w:sz w:val="20"/>
                <w:szCs w:val="20"/>
              </w:rPr>
              <w:footnoteReference w:id="35"/>
            </w:r>
            <w:r w:rsidR="005B1BD7" w:rsidRPr="363CA695">
              <w:rPr>
                <w:sz w:val="20"/>
                <w:szCs w:val="20"/>
              </w:rPr>
              <w:t>. Country Offices provide B2B information/documents to the BMS/GSSC; liaise with local banks to resolve bank errors/issues; and clear unreconciled or legacy items. For HQ offices, BMS/OF</w:t>
            </w:r>
            <w:r w:rsidR="00A40A72">
              <w:rPr>
                <w:sz w:val="20"/>
                <w:szCs w:val="20"/>
              </w:rPr>
              <w:t>R</w:t>
            </w:r>
            <w:r w:rsidR="005B1BD7" w:rsidRPr="363CA695">
              <w:rPr>
                <w:sz w:val="20"/>
                <w:szCs w:val="20"/>
              </w:rPr>
              <w:t xml:space="preserve">M/Treasury completes these actions. </w:t>
            </w:r>
          </w:p>
        </w:tc>
      </w:tr>
      <w:tr w:rsidR="00195091" w:rsidRPr="00C24118" w14:paraId="6C2BACDB" w14:textId="77777777" w:rsidTr="27454D58">
        <w:trPr>
          <w:trHeight w:val="20"/>
        </w:trPr>
        <w:tc>
          <w:tcPr>
            <w:tcW w:w="9895" w:type="dxa"/>
          </w:tcPr>
          <w:p w14:paraId="283AA07D" w14:textId="268DE7FA" w:rsidR="00195091" w:rsidRPr="00C24118" w:rsidRDefault="00195091">
            <w:pPr>
              <w:pStyle w:val="ListParagraph"/>
              <w:numPr>
                <w:ilvl w:val="0"/>
                <w:numId w:val="43"/>
              </w:numPr>
              <w:spacing w:after="0" w:line="240" w:lineRule="auto"/>
              <w:rPr>
                <w:sz w:val="20"/>
                <w:szCs w:val="20"/>
              </w:rPr>
            </w:pPr>
            <w:r w:rsidRPr="00E06F45">
              <w:rPr>
                <w:b/>
                <w:bCs/>
                <w:sz w:val="20"/>
                <w:szCs w:val="20"/>
              </w:rPr>
              <w:lastRenderedPageBreak/>
              <w:t>Monitor financial exception reports</w:t>
            </w:r>
            <w:r w:rsidRPr="00E06F45">
              <w:rPr>
                <w:sz w:val="20"/>
                <w:szCs w:val="20"/>
              </w:rPr>
              <w:t xml:space="preserve"> </w:t>
            </w:r>
            <w:r w:rsidR="005419B8" w:rsidRPr="00E06F45">
              <w:rPr>
                <w:sz w:val="20"/>
                <w:szCs w:val="20"/>
              </w:rPr>
              <w:t>(e.g.,</w:t>
            </w:r>
            <w:r w:rsidRPr="00E06F45">
              <w:rPr>
                <w:sz w:val="20"/>
                <w:szCs w:val="20"/>
              </w:rPr>
              <w:t xml:space="preserve"> cash arrangements</w:t>
            </w:r>
            <w:r w:rsidR="005419B8" w:rsidRPr="00E06F45">
              <w:rPr>
                <w:sz w:val="20"/>
                <w:szCs w:val="20"/>
              </w:rPr>
              <w:t>)</w:t>
            </w:r>
            <w:r w:rsidRPr="00E06F45">
              <w:rPr>
                <w:sz w:val="20"/>
                <w:szCs w:val="20"/>
              </w:rPr>
              <w:t xml:space="preserve"> for unusual</w:t>
            </w:r>
            <w:r w:rsidR="005419B8" w:rsidRPr="00E06F45">
              <w:rPr>
                <w:sz w:val="20"/>
                <w:szCs w:val="20"/>
              </w:rPr>
              <w:t xml:space="preserve"> </w:t>
            </w:r>
            <w:r w:rsidRPr="00E06F45">
              <w:rPr>
                <w:sz w:val="20"/>
                <w:szCs w:val="20"/>
              </w:rPr>
              <w:t>transactions</w:t>
            </w:r>
            <w:r w:rsidR="005419B8" w:rsidRPr="00E06F45">
              <w:rPr>
                <w:sz w:val="20"/>
                <w:szCs w:val="20"/>
              </w:rPr>
              <w:t xml:space="preserve"> and</w:t>
            </w:r>
            <w:r w:rsidRPr="00E06F45">
              <w:rPr>
                <w:sz w:val="20"/>
                <w:szCs w:val="20"/>
              </w:rPr>
              <w:t xml:space="preserve"> highlight anomalies.</w:t>
            </w:r>
          </w:p>
        </w:tc>
      </w:tr>
      <w:tr w:rsidR="00195091" w:rsidRPr="00C24118" w14:paraId="4E3C5F53" w14:textId="77777777" w:rsidTr="27454D58">
        <w:trPr>
          <w:trHeight w:val="20"/>
        </w:trPr>
        <w:tc>
          <w:tcPr>
            <w:tcW w:w="9895" w:type="dxa"/>
          </w:tcPr>
          <w:p w14:paraId="6588DABD" w14:textId="00059940" w:rsidR="00195091" w:rsidRPr="00C24118" w:rsidRDefault="00195091">
            <w:pPr>
              <w:pStyle w:val="ListParagraph"/>
              <w:numPr>
                <w:ilvl w:val="0"/>
                <w:numId w:val="43"/>
              </w:numPr>
              <w:spacing w:after="0" w:line="240" w:lineRule="auto"/>
              <w:rPr>
                <w:sz w:val="20"/>
                <w:szCs w:val="20"/>
              </w:rPr>
            </w:pPr>
            <w:r w:rsidRPr="00E06F45">
              <w:rPr>
                <w:b/>
                <w:bCs/>
                <w:sz w:val="20"/>
                <w:szCs w:val="20"/>
              </w:rPr>
              <w:t>Ensure adequate security for cash and other assets</w:t>
            </w:r>
            <w:r w:rsidRPr="363CA695">
              <w:rPr>
                <w:sz w:val="20"/>
                <w:szCs w:val="20"/>
              </w:rPr>
              <w:t xml:space="preserve"> on </w:t>
            </w:r>
            <w:proofErr w:type="gramStart"/>
            <w:r w:rsidRPr="363CA695">
              <w:rPr>
                <w:sz w:val="20"/>
                <w:szCs w:val="20"/>
              </w:rPr>
              <w:t>site.,</w:t>
            </w:r>
            <w:proofErr w:type="gramEnd"/>
            <w:r w:rsidRPr="363CA695">
              <w:rPr>
                <w:sz w:val="20"/>
                <w:szCs w:val="20"/>
              </w:rPr>
              <w:t xml:space="preserve"> including petty cash, project cash, safes, etc.</w:t>
            </w:r>
          </w:p>
        </w:tc>
      </w:tr>
      <w:tr w:rsidR="00195091" w:rsidRPr="00C24118" w14:paraId="0EF68655" w14:textId="77777777" w:rsidTr="27454D58">
        <w:trPr>
          <w:trHeight w:val="20"/>
        </w:trPr>
        <w:tc>
          <w:tcPr>
            <w:tcW w:w="9895" w:type="dxa"/>
          </w:tcPr>
          <w:p w14:paraId="1385CC2D" w14:textId="69CABEB6" w:rsidR="00195091" w:rsidRPr="00C24118" w:rsidRDefault="00195091">
            <w:pPr>
              <w:pStyle w:val="ListParagraph"/>
              <w:numPr>
                <w:ilvl w:val="0"/>
                <w:numId w:val="43"/>
              </w:numPr>
              <w:spacing w:after="0" w:line="240" w:lineRule="auto"/>
              <w:rPr>
                <w:sz w:val="20"/>
                <w:szCs w:val="20"/>
              </w:rPr>
            </w:pPr>
            <w:r w:rsidRPr="00E06F45">
              <w:rPr>
                <w:b/>
                <w:bCs/>
                <w:sz w:val="20"/>
                <w:szCs w:val="20"/>
              </w:rPr>
              <w:t>Reconcile petty cash</w:t>
            </w:r>
            <w:r w:rsidR="008A398C" w:rsidRPr="00E06F45">
              <w:rPr>
                <w:b/>
                <w:bCs/>
                <w:sz w:val="20"/>
                <w:szCs w:val="20"/>
              </w:rPr>
              <w:t xml:space="preserve"> accounts</w:t>
            </w:r>
            <w:r w:rsidR="008A398C" w:rsidRPr="363CA695">
              <w:rPr>
                <w:sz w:val="20"/>
                <w:szCs w:val="20"/>
              </w:rPr>
              <w:t xml:space="preserve"> in accordance with POPP </w:t>
            </w:r>
            <w:hyperlink r:id="rId148">
              <w:r w:rsidR="008A398C" w:rsidRPr="363CA695">
                <w:rPr>
                  <w:rStyle w:val="Hyperlink"/>
                  <w:sz w:val="20"/>
                  <w:szCs w:val="20"/>
                </w:rPr>
                <w:t>Petty Cash Management</w:t>
              </w:r>
            </w:hyperlink>
            <w:r w:rsidR="00FF3F21" w:rsidRPr="363CA695">
              <w:rPr>
                <w:sz w:val="20"/>
                <w:szCs w:val="20"/>
              </w:rPr>
              <w:t>.</w:t>
            </w:r>
          </w:p>
        </w:tc>
      </w:tr>
      <w:tr w:rsidR="00195091" w:rsidRPr="00C24118" w14:paraId="3EE48472" w14:textId="77777777" w:rsidTr="27454D58">
        <w:trPr>
          <w:trHeight w:val="20"/>
        </w:trPr>
        <w:tc>
          <w:tcPr>
            <w:tcW w:w="9895" w:type="dxa"/>
          </w:tcPr>
          <w:p w14:paraId="780A5179" w14:textId="2FD4ED62" w:rsidR="00195091" w:rsidRPr="00C24118" w:rsidRDefault="00FF3F21">
            <w:pPr>
              <w:pStyle w:val="ListParagraph"/>
              <w:numPr>
                <w:ilvl w:val="0"/>
                <w:numId w:val="38"/>
              </w:numPr>
              <w:spacing w:after="0" w:line="240" w:lineRule="auto"/>
              <w:ind w:left="375"/>
              <w:rPr>
                <w:sz w:val="20"/>
                <w:szCs w:val="20"/>
              </w:rPr>
            </w:pPr>
            <w:r w:rsidRPr="00E06F45">
              <w:rPr>
                <w:b/>
                <w:bCs/>
                <w:sz w:val="20"/>
                <w:szCs w:val="20"/>
              </w:rPr>
              <w:t>Manage the office/unit safe</w:t>
            </w:r>
            <w:r w:rsidRPr="363CA695">
              <w:rPr>
                <w:sz w:val="20"/>
                <w:szCs w:val="20"/>
              </w:rPr>
              <w:t xml:space="preserve"> in accordance with POPP </w:t>
            </w:r>
            <w:hyperlink r:id="rId149">
              <w:r w:rsidRPr="363CA695">
                <w:rPr>
                  <w:rStyle w:val="Hyperlink"/>
                  <w:sz w:val="20"/>
                  <w:szCs w:val="20"/>
                </w:rPr>
                <w:t>Guidance on Safe Management</w:t>
              </w:r>
            </w:hyperlink>
            <w:r w:rsidRPr="363CA695">
              <w:rPr>
                <w:sz w:val="20"/>
                <w:szCs w:val="20"/>
              </w:rPr>
              <w:t xml:space="preserve"> and POPP </w:t>
            </w:r>
            <w:hyperlink r:id="rId150">
              <w:r w:rsidRPr="363CA695">
                <w:rPr>
                  <w:rStyle w:val="Hyperlink"/>
                  <w:sz w:val="20"/>
                  <w:szCs w:val="20"/>
                </w:rPr>
                <w:t>ICT Disaster Recovery Standards for UNDP offices/units.</w:t>
              </w:r>
            </w:hyperlink>
          </w:p>
        </w:tc>
      </w:tr>
      <w:tr w:rsidR="00C666FA" w:rsidRPr="00C24118" w14:paraId="2005D6D8" w14:textId="77777777" w:rsidTr="27454D58">
        <w:trPr>
          <w:trHeight w:val="20"/>
        </w:trPr>
        <w:tc>
          <w:tcPr>
            <w:tcW w:w="9895" w:type="dxa"/>
            <w:shd w:val="clear" w:color="auto" w:fill="000000" w:themeFill="text1"/>
          </w:tcPr>
          <w:p w14:paraId="7D722BC3" w14:textId="00208AB0" w:rsidR="00C666FA" w:rsidRPr="00C666FA" w:rsidRDefault="00C666FA" w:rsidP="008A398C">
            <w:pPr>
              <w:spacing w:after="0" w:line="240" w:lineRule="auto"/>
              <w:rPr>
                <w:b/>
                <w:bCs/>
                <w:sz w:val="20"/>
                <w:szCs w:val="20"/>
              </w:rPr>
            </w:pPr>
            <w:r w:rsidRPr="00C666FA">
              <w:rPr>
                <w:b/>
                <w:bCs/>
                <w:sz w:val="20"/>
                <w:szCs w:val="20"/>
              </w:rPr>
              <w:t>Transaction &amp; GL accounts</w:t>
            </w:r>
          </w:p>
        </w:tc>
      </w:tr>
      <w:tr w:rsidR="00C666FA" w:rsidRPr="00C24118" w14:paraId="0B072474" w14:textId="77777777" w:rsidTr="27454D58">
        <w:trPr>
          <w:trHeight w:val="20"/>
        </w:trPr>
        <w:tc>
          <w:tcPr>
            <w:tcW w:w="9895" w:type="dxa"/>
          </w:tcPr>
          <w:p w14:paraId="7BEB401A" w14:textId="0E12F6E8" w:rsidR="00C666FA" w:rsidRPr="00E06F45" w:rsidRDefault="0003693B">
            <w:pPr>
              <w:pStyle w:val="ListParagraph"/>
              <w:numPr>
                <w:ilvl w:val="0"/>
                <w:numId w:val="38"/>
              </w:numPr>
              <w:spacing w:after="0" w:line="240" w:lineRule="auto"/>
              <w:ind w:left="375"/>
              <w:rPr>
                <w:sz w:val="20"/>
                <w:szCs w:val="20"/>
              </w:rPr>
            </w:pPr>
            <w:r w:rsidRPr="00E06F45">
              <w:rPr>
                <w:b/>
                <w:bCs/>
                <w:sz w:val="20"/>
                <w:szCs w:val="20"/>
              </w:rPr>
              <w:t>Maintain office/unit General Ledger:</w:t>
            </w:r>
            <w:r w:rsidRPr="00E06F45">
              <w:rPr>
                <w:sz w:val="20"/>
                <w:szCs w:val="20"/>
              </w:rPr>
              <w:t xml:space="preserve"> Ensure all financial transactions are identified, recorded, and verified in compliance with POPP Financial Management, including coordinating and reviewing allocated General Ledger and sub-ledger accounts, monitoring accounts receivable, and supporting timely project closure.</w:t>
            </w:r>
          </w:p>
        </w:tc>
      </w:tr>
      <w:tr w:rsidR="00C666FA" w:rsidRPr="00C24118" w14:paraId="2C0E0E7E" w14:textId="77777777" w:rsidTr="27454D58">
        <w:trPr>
          <w:trHeight w:val="20"/>
        </w:trPr>
        <w:tc>
          <w:tcPr>
            <w:tcW w:w="9895" w:type="dxa"/>
          </w:tcPr>
          <w:p w14:paraId="35B2EBD5" w14:textId="7CB4F8BC" w:rsidR="00C666FA" w:rsidRPr="00E06F45" w:rsidRDefault="0003693B">
            <w:pPr>
              <w:pStyle w:val="ListParagraph"/>
              <w:numPr>
                <w:ilvl w:val="0"/>
                <w:numId w:val="38"/>
              </w:numPr>
              <w:spacing w:after="0" w:line="240" w:lineRule="auto"/>
              <w:ind w:left="375"/>
              <w:rPr>
                <w:sz w:val="20"/>
                <w:szCs w:val="20"/>
              </w:rPr>
            </w:pPr>
            <w:r w:rsidRPr="00E06F45">
              <w:rPr>
                <w:b/>
                <w:bCs/>
                <w:sz w:val="20"/>
                <w:szCs w:val="20"/>
              </w:rPr>
              <w:t>Monitor timely completion of transactions:</w:t>
            </w:r>
            <w:r w:rsidRPr="00E06F45">
              <w:rPr>
                <w:sz w:val="20"/>
                <w:szCs w:val="20"/>
              </w:rPr>
              <w:t xml:space="preserve"> </w:t>
            </w:r>
            <w:r w:rsidR="00C666FA" w:rsidRPr="00E06F45">
              <w:rPr>
                <w:sz w:val="20"/>
                <w:szCs w:val="20"/>
              </w:rPr>
              <w:t>Ensure invoices processed are matched and completed, transactions are correctly recorded and posted in ERP; and travel claims and other entitlements are duly processed in compliance with POPP</w:t>
            </w:r>
            <w:r w:rsidRPr="00E06F45">
              <w:rPr>
                <w:sz w:val="20"/>
                <w:szCs w:val="20"/>
              </w:rPr>
              <w:t>; and that timely corrective actions are taken on unposted invoices and GL, including invoices with validation errors, match exceptions, and/or unapproved invoices.</w:t>
            </w:r>
          </w:p>
        </w:tc>
      </w:tr>
      <w:tr w:rsidR="00C666FA" w:rsidRPr="00C24118" w14:paraId="426132FA" w14:textId="77777777" w:rsidTr="27454D58">
        <w:trPr>
          <w:trHeight w:val="20"/>
        </w:trPr>
        <w:tc>
          <w:tcPr>
            <w:tcW w:w="9895" w:type="dxa"/>
          </w:tcPr>
          <w:p w14:paraId="524529CB" w14:textId="404E09EF" w:rsidR="00C666FA" w:rsidRPr="00E06F45" w:rsidRDefault="0003693B">
            <w:pPr>
              <w:pStyle w:val="ListParagraph"/>
              <w:numPr>
                <w:ilvl w:val="0"/>
                <w:numId w:val="44"/>
              </w:numPr>
              <w:spacing w:after="0" w:line="240" w:lineRule="auto"/>
              <w:rPr>
                <w:sz w:val="20"/>
                <w:szCs w:val="20"/>
              </w:rPr>
            </w:pPr>
            <w:r w:rsidRPr="00E06F45">
              <w:rPr>
                <w:b/>
                <w:bCs/>
                <w:sz w:val="20"/>
                <w:szCs w:val="20"/>
              </w:rPr>
              <w:t>Monitor office/unit financial status and management indicators:</w:t>
            </w:r>
            <w:r w:rsidRPr="00E06F45">
              <w:rPr>
                <w:sz w:val="20"/>
                <w:szCs w:val="20"/>
              </w:rPr>
              <w:t xml:space="preserve"> Regularly review key indicators on the integrated financial dashboard and take prompt preventive or corrective measures. </w:t>
            </w:r>
            <w:r w:rsidR="00C666FA" w:rsidRPr="00E06F45">
              <w:rPr>
                <w:sz w:val="20"/>
                <w:szCs w:val="20"/>
              </w:rPr>
              <w:t xml:space="preserve">Periodically monitor dashboards and exceptions; and identify remedial actions. </w:t>
            </w:r>
          </w:p>
        </w:tc>
      </w:tr>
      <w:tr w:rsidR="00C666FA" w:rsidRPr="00C24118" w14:paraId="1AEC2258" w14:textId="77777777" w:rsidTr="27454D58">
        <w:trPr>
          <w:trHeight w:val="20"/>
        </w:trPr>
        <w:tc>
          <w:tcPr>
            <w:tcW w:w="9895" w:type="dxa"/>
          </w:tcPr>
          <w:p w14:paraId="6147CF64" w14:textId="2B4713A8" w:rsidR="00C666FA" w:rsidRPr="00E06F45" w:rsidRDefault="0003693B">
            <w:pPr>
              <w:pStyle w:val="ListParagraph"/>
              <w:numPr>
                <w:ilvl w:val="0"/>
                <w:numId w:val="44"/>
              </w:numPr>
              <w:spacing w:after="0" w:line="240" w:lineRule="auto"/>
              <w:rPr>
                <w:sz w:val="20"/>
                <w:szCs w:val="20"/>
              </w:rPr>
            </w:pPr>
            <w:r w:rsidRPr="00E06F45">
              <w:rPr>
                <w:b/>
                <w:bCs/>
                <w:sz w:val="20"/>
                <w:szCs w:val="20"/>
              </w:rPr>
              <w:t xml:space="preserve">Ensure </w:t>
            </w:r>
            <w:r w:rsidR="005419B8" w:rsidRPr="00E06F45">
              <w:rPr>
                <w:b/>
                <w:bCs/>
                <w:sz w:val="20"/>
                <w:szCs w:val="20"/>
              </w:rPr>
              <w:t xml:space="preserve">timely </w:t>
            </w:r>
            <w:r w:rsidRPr="00E06F45">
              <w:rPr>
                <w:b/>
                <w:bCs/>
                <w:sz w:val="20"/>
                <w:szCs w:val="20"/>
              </w:rPr>
              <w:t>certifications:</w:t>
            </w:r>
            <w:r w:rsidRPr="00E06F45">
              <w:rPr>
                <w:sz w:val="20"/>
                <w:szCs w:val="20"/>
              </w:rPr>
              <w:t xml:space="preserve"> </w:t>
            </w:r>
            <w:r w:rsidR="00C666FA" w:rsidRPr="00E06F45">
              <w:rPr>
                <w:sz w:val="20"/>
                <w:szCs w:val="20"/>
              </w:rPr>
              <w:t>Perform timely quarterly and year-end certifications as per BMS/OF</w:t>
            </w:r>
            <w:r w:rsidR="00A40A72">
              <w:rPr>
                <w:sz w:val="20"/>
                <w:szCs w:val="20"/>
              </w:rPr>
              <w:t>R</w:t>
            </w:r>
            <w:r w:rsidR="00C666FA" w:rsidRPr="00E06F45">
              <w:rPr>
                <w:sz w:val="20"/>
                <w:szCs w:val="20"/>
              </w:rPr>
              <w:t>M guidelines.</w:t>
            </w:r>
          </w:p>
        </w:tc>
      </w:tr>
      <w:tr w:rsidR="00DB1DB9" w:rsidRPr="00C24118" w14:paraId="3F66AF3D" w14:textId="77777777" w:rsidTr="27454D58">
        <w:trPr>
          <w:trHeight w:val="20"/>
        </w:trPr>
        <w:tc>
          <w:tcPr>
            <w:tcW w:w="9895" w:type="dxa"/>
            <w:shd w:val="clear" w:color="auto" w:fill="000000" w:themeFill="text1"/>
          </w:tcPr>
          <w:p w14:paraId="24C547F8" w14:textId="09487D49" w:rsidR="00DB1DB9" w:rsidRPr="00DB1DB9" w:rsidRDefault="00DB1DB9" w:rsidP="363CA695">
            <w:pPr>
              <w:spacing w:after="0" w:line="240" w:lineRule="auto"/>
              <w:rPr>
                <w:b/>
                <w:bCs/>
                <w:sz w:val="20"/>
                <w:szCs w:val="20"/>
              </w:rPr>
            </w:pPr>
            <w:r w:rsidRPr="363CA695">
              <w:rPr>
                <w:b/>
                <w:bCs/>
                <w:sz w:val="20"/>
                <w:szCs w:val="20"/>
              </w:rPr>
              <w:t>Financial management monitoring</w:t>
            </w:r>
          </w:p>
        </w:tc>
      </w:tr>
      <w:tr w:rsidR="00EC70BF" w:rsidRPr="00C24118" w14:paraId="0357D8DE" w14:textId="77777777" w:rsidTr="27454D58">
        <w:trPr>
          <w:trHeight w:val="20"/>
        </w:trPr>
        <w:tc>
          <w:tcPr>
            <w:tcW w:w="9895" w:type="dxa"/>
          </w:tcPr>
          <w:p w14:paraId="1EB0E542" w14:textId="5F7913FB" w:rsidR="00EC70BF" w:rsidRPr="00E06F45" w:rsidRDefault="00EC70BF">
            <w:pPr>
              <w:pStyle w:val="ListParagraph"/>
              <w:numPr>
                <w:ilvl w:val="0"/>
                <w:numId w:val="45"/>
              </w:numPr>
              <w:spacing w:after="0" w:line="240" w:lineRule="auto"/>
              <w:rPr>
                <w:sz w:val="20"/>
                <w:szCs w:val="20"/>
              </w:rPr>
            </w:pPr>
            <w:r w:rsidRPr="00E06F45">
              <w:rPr>
                <w:b/>
                <w:bCs/>
                <w:sz w:val="20"/>
                <w:szCs w:val="20"/>
              </w:rPr>
              <w:t>Monitor financial situation:</w:t>
            </w:r>
            <w:r w:rsidRPr="00E06F45">
              <w:rPr>
                <w:sz w:val="20"/>
                <w:szCs w:val="20"/>
              </w:rPr>
              <w:t xml:space="preserve"> Continuously analyze and monitor the</w:t>
            </w:r>
            <w:r w:rsidR="00E62EE3" w:rsidRPr="00E06F45">
              <w:rPr>
                <w:sz w:val="20"/>
                <w:szCs w:val="20"/>
              </w:rPr>
              <w:t xml:space="preserve"> </w:t>
            </w:r>
            <w:r w:rsidRPr="00E06F45">
              <w:rPr>
                <w:sz w:val="20"/>
                <w:szCs w:val="20"/>
              </w:rPr>
              <w:t>office/unit financial situation and potential risks, including regular oversight of all resources managed by the office/unit, and provide forecasts for allocated development and management projects, transactions, and activities. Refer to section 15 for information on key financial management monitoring reports.</w:t>
            </w:r>
          </w:p>
        </w:tc>
      </w:tr>
      <w:tr w:rsidR="00DB1DB9" w:rsidRPr="00C24118" w14:paraId="6D8FBEDD" w14:textId="77777777" w:rsidTr="27454D58">
        <w:trPr>
          <w:trHeight w:val="20"/>
        </w:trPr>
        <w:tc>
          <w:tcPr>
            <w:tcW w:w="9895" w:type="dxa"/>
          </w:tcPr>
          <w:p w14:paraId="0D040064" w14:textId="3180DD34" w:rsidR="00DB1DB9" w:rsidRPr="00E06F45" w:rsidRDefault="00EC70BF">
            <w:pPr>
              <w:pStyle w:val="ListParagraph"/>
              <w:numPr>
                <w:ilvl w:val="0"/>
                <w:numId w:val="45"/>
              </w:numPr>
              <w:spacing w:after="0" w:line="240" w:lineRule="auto"/>
              <w:rPr>
                <w:sz w:val="20"/>
                <w:szCs w:val="20"/>
              </w:rPr>
            </w:pPr>
            <w:r w:rsidRPr="00E06F45">
              <w:rPr>
                <w:b/>
                <w:bCs/>
                <w:sz w:val="20"/>
                <w:szCs w:val="20"/>
              </w:rPr>
              <w:t>Monitor financial exceptions:</w:t>
            </w:r>
            <w:r w:rsidRPr="00E06F45">
              <w:rPr>
                <w:sz w:val="20"/>
                <w:szCs w:val="20"/>
              </w:rPr>
              <w:t xml:space="preserve"> </w:t>
            </w:r>
            <w:r w:rsidR="00DB1DB9" w:rsidRPr="00E06F45">
              <w:rPr>
                <w:sz w:val="20"/>
                <w:szCs w:val="20"/>
              </w:rPr>
              <w:t>Routinely monitor financial exception reports for unusual activities, transactions, and investigate anomalies or unusual transactions.</w:t>
            </w:r>
            <w:r w:rsidR="004A797B" w:rsidRPr="00E06F45">
              <w:rPr>
                <w:sz w:val="20"/>
                <w:szCs w:val="20"/>
              </w:rPr>
              <w:t xml:space="preserve"> Refer to </w:t>
            </w:r>
            <w:hyperlink w:anchor="_Management_Reports" w:history="1">
              <w:r w:rsidR="004A797B" w:rsidRPr="00E06F45">
                <w:rPr>
                  <w:rStyle w:val="Hyperlink"/>
                  <w:color w:val="4472C4" w:themeColor="accent1"/>
                  <w:sz w:val="20"/>
                  <w:szCs w:val="20"/>
                </w:rPr>
                <w:t>section 16</w:t>
              </w:r>
            </w:hyperlink>
            <w:r w:rsidR="004A797B" w:rsidRPr="00E06F45">
              <w:rPr>
                <w:sz w:val="20"/>
                <w:szCs w:val="20"/>
              </w:rPr>
              <w:t xml:space="preserve"> for links to relevant Quantum reports.</w:t>
            </w:r>
            <w:r w:rsidR="00DB1DB9" w:rsidRPr="00E06F45">
              <w:rPr>
                <w:sz w:val="20"/>
                <w:szCs w:val="20"/>
              </w:rPr>
              <w:t xml:space="preserve"> Inform senior CO management and other UNDP staff at Headquarters of the results of the investigation when satisfactory answers are not obtained.</w:t>
            </w:r>
          </w:p>
        </w:tc>
      </w:tr>
      <w:tr w:rsidR="00DB1DB9" w:rsidRPr="00C24118" w14:paraId="4E0C1546" w14:textId="77777777" w:rsidTr="27454D58">
        <w:trPr>
          <w:trHeight w:val="20"/>
        </w:trPr>
        <w:tc>
          <w:tcPr>
            <w:tcW w:w="9895" w:type="dxa"/>
          </w:tcPr>
          <w:p w14:paraId="25D095B5" w14:textId="292CFBB8" w:rsidR="00DB1DB9" w:rsidRPr="00E06F45" w:rsidRDefault="00DB1DB9">
            <w:pPr>
              <w:pStyle w:val="ListParagraph"/>
              <w:numPr>
                <w:ilvl w:val="0"/>
                <w:numId w:val="38"/>
              </w:numPr>
              <w:spacing w:after="0" w:line="240" w:lineRule="auto"/>
              <w:ind w:left="375"/>
              <w:rPr>
                <w:sz w:val="20"/>
                <w:szCs w:val="20"/>
              </w:rPr>
            </w:pPr>
            <w:r w:rsidRPr="00E06F45">
              <w:rPr>
                <w:b/>
                <w:bCs/>
                <w:sz w:val="20"/>
                <w:szCs w:val="20"/>
              </w:rPr>
              <w:t>Facilitate sound management of financial resources</w:t>
            </w:r>
            <w:r w:rsidR="00EC70BF" w:rsidRPr="00E06F45">
              <w:rPr>
                <w:sz w:val="20"/>
                <w:szCs w:val="20"/>
              </w:rPr>
              <w:t>:</w:t>
            </w:r>
            <w:r w:rsidRPr="00E06F45">
              <w:rPr>
                <w:sz w:val="20"/>
                <w:szCs w:val="20"/>
              </w:rPr>
              <w:t xml:space="preserve"> through planning, guiding, monitoring and controlling resources in accordance with POPP policies &amp; procedures. Perform periodic oversight of financial reports for projects and management funds/budget balance</w:t>
            </w:r>
            <w:r w:rsidR="00EC34BA" w:rsidRPr="00E06F45">
              <w:rPr>
                <w:sz w:val="20"/>
                <w:szCs w:val="20"/>
              </w:rPr>
              <w:t>, including cost recovery and GMS</w:t>
            </w:r>
            <w:r w:rsidRPr="00E06F45">
              <w:rPr>
                <w:sz w:val="20"/>
                <w:szCs w:val="20"/>
              </w:rPr>
              <w:t>.</w:t>
            </w:r>
          </w:p>
        </w:tc>
      </w:tr>
      <w:tr w:rsidR="00DB1DB9" w:rsidRPr="00C24118" w14:paraId="6ED3D61F" w14:textId="77777777" w:rsidTr="27454D58">
        <w:trPr>
          <w:trHeight w:val="20"/>
        </w:trPr>
        <w:tc>
          <w:tcPr>
            <w:tcW w:w="9895" w:type="dxa"/>
          </w:tcPr>
          <w:p w14:paraId="190BA55E" w14:textId="28162AE4" w:rsidR="00DB1DB9" w:rsidRPr="00E06F45" w:rsidRDefault="00EC70BF">
            <w:pPr>
              <w:pStyle w:val="ListParagraph"/>
              <w:numPr>
                <w:ilvl w:val="0"/>
                <w:numId w:val="38"/>
              </w:numPr>
              <w:spacing w:after="0" w:line="240" w:lineRule="auto"/>
              <w:ind w:left="375"/>
              <w:rPr>
                <w:sz w:val="20"/>
                <w:szCs w:val="20"/>
              </w:rPr>
            </w:pPr>
            <w:r w:rsidRPr="00E06F45">
              <w:rPr>
                <w:b/>
                <w:bCs/>
                <w:sz w:val="20"/>
                <w:szCs w:val="20"/>
              </w:rPr>
              <w:t>Facilitate financial risk management:</w:t>
            </w:r>
            <w:r w:rsidRPr="00E06F45">
              <w:rPr>
                <w:sz w:val="20"/>
                <w:szCs w:val="20"/>
              </w:rPr>
              <w:t xml:space="preserve"> </w:t>
            </w:r>
            <w:r w:rsidR="00DB1DB9" w:rsidRPr="00E06F45">
              <w:rPr>
                <w:sz w:val="20"/>
                <w:szCs w:val="20"/>
              </w:rPr>
              <w:t>Provide support in closure of audit gaps, implement effective internal controls, and ensure proper design and functioning of the financial resources management system with attention to risk management.</w:t>
            </w:r>
          </w:p>
        </w:tc>
      </w:tr>
      <w:tr w:rsidR="00DB1DB9" w:rsidRPr="00C24118" w14:paraId="7DA03E6E" w14:textId="77777777" w:rsidTr="27454D58">
        <w:trPr>
          <w:trHeight w:val="20"/>
        </w:trPr>
        <w:tc>
          <w:tcPr>
            <w:tcW w:w="9895" w:type="dxa"/>
            <w:shd w:val="clear" w:color="auto" w:fill="000000" w:themeFill="text1"/>
          </w:tcPr>
          <w:p w14:paraId="5A1BF559" w14:textId="4602BA05" w:rsidR="00DB1DB9" w:rsidRPr="00DB1DB9" w:rsidRDefault="00DB1DB9" w:rsidP="008A398C">
            <w:pPr>
              <w:spacing w:after="0" w:line="240" w:lineRule="auto"/>
              <w:rPr>
                <w:b/>
                <w:bCs/>
                <w:sz w:val="20"/>
                <w:szCs w:val="20"/>
              </w:rPr>
            </w:pPr>
            <w:r w:rsidRPr="00DB1DB9">
              <w:rPr>
                <w:b/>
                <w:bCs/>
                <w:sz w:val="20"/>
                <w:szCs w:val="20"/>
              </w:rPr>
              <w:t>Document management</w:t>
            </w:r>
          </w:p>
        </w:tc>
      </w:tr>
      <w:tr w:rsidR="00DB1DB9" w:rsidRPr="00C24118" w14:paraId="0492503B" w14:textId="77777777" w:rsidTr="27454D58">
        <w:trPr>
          <w:trHeight w:val="20"/>
        </w:trPr>
        <w:tc>
          <w:tcPr>
            <w:tcW w:w="9895" w:type="dxa"/>
          </w:tcPr>
          <w:p w14:paraId="0993C251" w14:textId="5866C881" w:rsidR="00DB1DB9" w:rsidRPr="00DB1DB9" w:rsidRDefault="00DB1DB9">
            <w:pPr>
              <w:pStyle w:val="ListParagraph"/>
              <w:numPr>
                <w:ilvl w:val="0"/>
                <w:numId w:val="46"/>
              </w:numPr>
              <w:spacing w:after="0" w:line="240" w:lineRule="auto"/>
              <w:rPr>
                <w:sz w:val="20"/>
                <w:szCs w:val="20"/>
              </w:rPr>
            </w:pPr>
            <w:r w:rsidRPr="363CA695">
              <w:rPr>
                <w:sz w:val="20"/>
                <w:szCs w:val="20"/>
              </w:rPr>
              <w:t xml:space="preserve">Ensure </w:t>
            </w:r>
            <w:r w:rsidR="004B2DF3" w:rsidRPr="363CA695">
              <w:rPr>
                <w:sz w:val="20"/>
                <w:szCs w:val="20"/>
              </w:rPr>
              <w:t>effective financial document management in accordance with</w:t>
            </w:r>
            <w:r w:rsidRPr="363CA695">
              <w:rPr>
                <w:sz w:val="20"/>
                <w:szCs w:val="20"/>
              </w:rPr>
              <w:t xml:space="preserve"> </w:t>
            </w:r>
            <w:r w:rsidR="00794FCA">
              <w:rPr>
                <w:sz w:val="20"/>
                <w:szCs w:val="20"/>
              </w:rPr>
              <w:t>the guidance provided in Section 2.10 of this Guide.</w:t>
            </w:r>
          </w:p>
        </w:tc>
      </w:tr>
      <w:tr w:rsidR="00DB1DB9" w:rsidRPr="00C24118" w14:paraId="24BF51C2" w14:textId="77777777" w:rsidTr="27454D58">
        <w:trPr>
          <w:trHeight w:val="20"/>
        </w:trPr>
        <w:tc>
          <w:tcPr>
            <w:tcW w:w="9895" w:type="dxa"/>
            <w:shd w:val="clear" w:color="auto" w:fill="E1EED9"/>
          </w:tcPr>
          <w:p w14:paraId="7023B40D" w14:textId="17CB2406" w:rsidR="00DB1DB9" w:rsidRPr="00C24118" w:rsidRDefault="00DB1DB9" w:rsidP="005419B8">
            <w:pPr>
              <w:spacing w:after="0" w:line="240" w:lineRule="auto"/>
              <w:ind w:left="90"/>
              <w:rPr>
                <w:b/>
                <w:bCs/>
                <w:sz w:val="20"/>
                <w:szCs w:val="20"/>
              </w:rPr>
            </w:pPr>
            <w:r w:rsidRPr="00C24118">
              <w:rPr>
                <w:b/>
                <w:bCs/>
                <w:sz w:val="20"/>
                <w:szCs w:val="20"/>
              </w:rPr>
              <w:t>IDAM Business Profile – Various, including Manager Level 1 (must be a UNDP staff member) or Finance User (may be assigned to non-staff personnel)</w:t>
            </w:r>
          </w:p>
        </w:tc>
      </w:tr>
    </w:tbl>
    <w:p w14:paraId="4856D4A5" w14:textId="21C9DB3F" w:rsidR="001765C7" w:rsidRPr="00E06F45" w:rsidRDefault="00E578DA" w:rsidP="363CA695">
      <w:pPr>
        <w:rPr>
          <w:i/>
          <w:iCs/>
          <w:sz w:val="20"/>
          <w:szCs w:val="20"/>
        </w:rPr>
      </w:pPr>
      <w:r w:rsidRPr="00E06F45">
        <w:rPr>
          <w:i/>
          <w:iCs/>
          <w:sz w:val="20"/>
          <w:szCs w:val="20"/>
        </w:rPr>
        <w:t xml:space="preserve">Source: </w:t>
      </w:r>
      <w:r w:rsidR="00D77D3A" w:rsidRPr="00E06F45">
        <w:rPr>
          <w:i/>
          <w:iCs/>
          <w:sz w:val="20"/>
          <w:szCs w:val="20"/>
        </w:rPr>
        <w:t xml:space="preserve">Financial management facets </w:t>
      </w:r>
      <w:r w:rsidR="00311836" w:rsidRPr="00E06F45">
        <w:rPr>
          <w:i/>
          <w:iCs/>
          <w:sz w:val="20"/>
          <w:szCs w:val="20"/>
        </w:rPr>
        <w:t>based on</w:t>
      </w:r>
      <w:r w:rsidR="00D77D3A" w:rsidRPr="00E06F45">
        <w:rPr>
          <w:i/>
          <w:iCs/>
          <w:sz w:val="20"/>
          <w:szCs w:val="20"/>
        </w:rPr>
        <w:t xml:space="preserve"> </w:t>
      </w:r>
      <w:r w:rsidRPr="00E06F45">
        <w:rPr>
          <w:i/>
          <w:iCs/>
          <w:sz w:val="20"/>
          <w:szCs w:val="20"/>
        </w:rPr>
        <w:t xml:space="preserve">BMS/OHR </w:t>
      </w:r>
      <w:hyperlink r:id="rId151">
        <w:r w:rsidRPr="00E06F45">
          <w:rPr>
            <w:rStyle w:val="Hyperlink"/>
            <w:i/>
            <w:iCs/>
            <w:color w:val="4472C4" w:themeColor="accent1"/>
            <w:sz w:val="20"/>
            <w:szCs w:val="20"/>
          </w:rPr>
          <w:t>generic job descriptions</w:t>
        </w:r>
      </w:hyperlink>
      <w:r w:rsidRPr="00E06F45">
        <w:rPr>
          <w:i/>
          <w:iCs/>
          <w:sz w:val="20"/>
          <w:szCs w:val="20"/>
        </w:rPr>
        <w:t xml:space="preserve"> developed for </w:t>
      </w:r>
      <w:r w:rsidR="00EE3AD1" w:rsidRPr="00E06F45">
        <w:rPr>
          <w:i/>
          <w:iCs/>
          <w:sz w:val="20"/>
          <w:szCs w:val="20"/>
        </w:rPr>
        <w:t xml:space="preserve">Finance </w:t>
      </w:r>
      <w:r w:rsidR="00DB1DB9" w:rsidRPr="00E06F45">
        <w:rPr>
          <w:i/>
          <w:iCs/>
          <w:sz w:val="20"/>
          <w:szCs w:val="20"/>
        </w:rPr>
        <w:t>staff</w:t>
      </w:r>
      <w:r w:rsidRPr="00E06F45">
        <w:rPr>
          <w:i/>
          <w:iCs/>
          <w:sz w:val="20"/>
          <w:szCs w:val="20"/>
        </w:rPr>
        <w:t xml:space="preserve"> in 2023.</w:t>
      </w:r>
    </w:p>
    <w:p w14:paraId="3EA68BB9" w14:textId="77777777" w:rsidR="00CC7A58" w:rsidRPr="00CC7A58" w:rsidRDefault="00CC7A58" w:rsidP="00E578DA">
      <w:pPr>
        <w:rPr>
          <w:sz w:val="8"/>
          <w:szCs w:val="8"/>
        </w:rPr>
      </w:pPr>
    </w:p>
    <w:p w14:paraId="595C4CC0" w14:textId="72AAE28C" w:rsidR="001470A0" w:rsidRDefault="001470A0">
      <w:pPr>
        <w:pStyle w:val="Heading2"/>
        <w:numPr>
          <w:ilvl w:val="1"/>
          <w:numId w:val="92"/>
        </w:numPr>
        <w:spacing w:after="240"/>
        <w:ind w:left="360"/>
      </w:pPr>
      <w:bookmarkStart w:id="99" w:name="_Toc210052785"/>
      <w:r w:rsidRPr="001470A0">
        <w:lastRenderedPageBreak/>
        <w:t xml:space="preserve">BMS/GSSC finance </w:t>
      </w:r>
      <w:r w:rsidR="00D43E96">
        <w:t>team</w:t>
      </w:r>
      <w:bookmarkEnd w:id="99"/>
    </w:p>
    <w:p w14:paraId="33C236A0" w14:textId="2AABF8D4" w:rsidR="00040E07" w:rsidRPr="00E06F45" w:rsidRDefault="23B12F61" w:rsidP="363CA695">
      <w:pPr>
        <w:spacing w:line="240" w:lineRule="auto"/>
      </w:pPr>
      <w:r w:rsidRPr="00E06F45">
        <w:t xml:space="preserve">Further details on the financial management services provided by the </w:t>
      </w:r>
      <w:r w:rsidR="6F3A5F1C" w:rsidRPr="00E06F45">
        <w:t>BMS/GSSC</w:t>
      </w:r>
      <w:r w:rsidRPr="00E06F45">
        <w:t xml:space="preserve"> </w:t>
      </w:r>
      <w:r w:rsidR="1B894D32" w:rsidRPr="00E06F45">
        <w:t>F</w:t>
      </w:r>
      <w:r w:rsidRPr="00E06F45">
        <w:t xml:space="preserve">inance team and their specific responsibilities within a process can be found at the </w:t>
      </w:r>
      <w:r w:rsidR="2F3DB2CD" w:rsidRPr="00E06F45">
        <w:t xml:space="preserve">links shown below, and in </w:t>
      </w:r>
      <w:hyperlink r:id="rId152">
        <w:r w:rsidR="2F3DB2CD" w:rsidRPr="00E06F45">
          <w:rPr>
            <w:rStyle w:val="Hyperlink"/>
            <w:color w:val="auto"/>
          </w:rPr>
          <w:t>BMS/GSSC SOPs</w:t>
        </w:r>
      </w:hyperlink>
      <w:r w:rsidR="2F3DB2CD" w:rsidRPr="00E06F45">
        <w:t>.</w:t>
      </w:r>
    </w:p>
    <w:tbl>
      <w:tblPr>
        <w:tblStyle w:val="TableGrid"/>
        <w:tblW w:w="9895" w:type="dxa"/>
        <w:tblCellMar>
          <w:bottom w:w="43" w:type="dxa"/>
        </w:tblCellMar>
        <w:tblLook w:val="04A0" w:firstRow="1" w:lastRow="0" w:firstColumn="1" w:lastColumn="0" w:noHBand="0" w:noVBand="1"/>
      </w:tblPr>
      <w:tblGrid>
        <w:gridCol w:w="1525"/>
        <w:gridCol w:w="3600"/>
        <w:gridCol w:w="4770"/>
      </w:tblGrid>
      <w:tr w:rsidR="00CC7A58" w:rsidRPr="00CC7A58" w14:paraId="2CFC58B8" w14:textId="77777777" w:rsidTr="363CA695">
        <w:trPr>
          <w:trHeight w:val="20"/>
          <w:tblHeader/>
        </w:trPr>
        <w:tc>
          <w:tcPr>
            <w:tcW w:w="1525" w:type="dxa"/>
            <w:shd w:val="clear" w:color="auto" w:fill="002060"/>
          </w:tcPr>
          <w:p w14:paraId="442D15CD" w14:textId="313237C1" w:rsidR="00C06ED7" w:rsidRPr="00E06F45" w:rsidRDefault="00CC7A58" w:rsidP="001470A0">
            <w:pPr>
              <w:rPr>
                <w:b/>
                <w:bCs/>
                <w:sz w:val="20"/>
                <w:szCs w:val="20"/>
              </w:rPr>
            </w:pPr>
            <w:r w:rsidRPr="00E06F45">
              <w:rPr>
                <w:b/>
                <w:bCs/>
                <w:sz w:val="20"/>
                <w:szCs w:val="20"/>
              </w:rPr>
              <w:t>Service</w:t>
            </w:r>
            <w:r w:rsidR="00C06ED7" w:rsidRPr="00E06F45">
              <w:rPr>
                <w:b/>
                <w:bCs/>
                <w:sz w:val="20"/>
                <w:szCs w:val="20"/>
              </w:rPr>
              <w:t xml:space="preserve"> area</w:t>
            </w:r>
          </w:p>
        </w:tc>
        <w:tc>
          <w:tcPr>
            <w:tcW w:w="3600" w:type="dxa"/>
            <w:shd w:val="clear" w:color="auto" w:fill="002060"/>
          </w:tcPr>
          <w:p w14:paraId="10AA34AA" w14:textId="4DB12F9B" w:rsidR="00C06ED7" w:rsidRPr="00E06F45" w:rsidRDefault="00C06ED7" w:rsidP="001470A0">
            <w:pPr>
              <w:rPr>
                <w:b/>
                <w:bCs/>
                <w:sz w:val="20"/>
                <w:szCs w:val="20"/>
              </w:rPr>
            </w:pPr>
            <w:r w:rsidRPr="00E06F45">
              <w:rPr>
                <w:b/>
                <w:bCs/>
                <w:sz w:val="20"/>
                <w:szCs w:val="20"/>
              </w:rPr>
              <w:t>Process</w:t>
            </w:r>
            <w:r w:rsidR="000679D3" w:rsidRPr="00E06F45">
              <w:rPr>
                <w:b/>
                <w:bCs/>
                <w:sz w:val="20"/>
                <w:szCs w:val="20"/>
              </w:rPr>
              <w:t xml:space="preserve"> &amp; description of BMS/GSSC responsibilities</w:t>
            </w:r>
          </w:p>
        </w:tc>
        <w:tc>
          <w:tcPr>
            <w:tcW w:w="4770" w:type="dxa"/>
            <w:shd w:val="clear" w:color="auto" w:fill="002060"/>
          </w:tcPr>
          <w:p w14:paraId="6CB31367" w14:textId="7889E4F8" w:rsidR="00C06ED7" w:rsidRPr="00E06F45" w:rsidRDefault="00C06ED7" w:rsidP="001470A0">
            <w:pPr>
              <w:rPr>
                <w:b/>
                <w:bCs/>
                <w:sz w:val="20"/>
                <w:szCs w:val="20"/>
              </w:rPr>
            </w:pPr>
            <w:r w:rsidRPr="00E06F45">
              <w:rPr>
                <w:b/>
                <w:bCs/>
                <w:sz w:val="20"/>
                <w:szCs w:val="20"/>
              </w:rPr>
              <w:t>Services provided to</w:t>
            </w:r>
          </w:p>
        </w:tc>
      </w:tr>
      <w:tr w:rsidR="00CC7A58" w:rsidRPr="00CC7A58" w14:paraId="5AE72FCC" w14:textId="00C3BC02" w:rsidTr="363CA695">
        <w:trPr>
          <w:trHeight w:val="20"/>
        </w:trPr>
        <w:tc>
          <w:tcPr>
            <w:tcW w:w="1525" w:type="dxa"/>
            <w:vMerge w:val="restart"/>
          </w:tcPr>
          <w:p w14:paraId="1193A03D" w14:textId="55924E4C" w:rsidR="00C06ED7" w:rsidRPr="00E06F45" w:rsidRDefault="00C06ED7" w:rsidP="001470A0">
            <w:pPr>
              <w:rPr>
                <w:sz w:val="20"/>
                <w:szCs w:val="20"/>
              </w:rPr>
            </w:pPr>
            <w:r w:rsidRPr="00E06F45">
              <w:rPr>
                <w:sz w:val="20"/>
                <w:szCs w:val="20"/>
              </w:rPr>
              <w:t>Accounts Payable</w:t>
            </w:r>
          </w:p>
        </w:tc>
        <w:tc>
          <w:tcPr>
            <w:tcW w:w="3600" w:type="dxa"/>
          </w:tcPr>
          <w:p w14:paraId="6776FD7A" w14:textId="57204BD7" w:rsidR="00C06ED7" w:rsidRPr="00E06F45" w:rsidRDefault="00C06ED7" w:rsidP="001470A0">
            <w:pPr>
              <w:rPr>
                <w:color w:val="4472C4" w:themeColor="accent1"/>
                <w:sz w:val="20"/>
                <w:szCs w:val="20"/>
              </w:rPr>
            </w:pPr>
            <w:hyperlink r:id="rId153" w:history="1">
              <w:r w:rsidRPr="00E06F45">
                <w:rPr>
                  <w:rStyle w:val="Hyperlink"/>
                  <w:color w:val="4472C4" w:themeColor="accent1"/>
                  <w:sz w:val="20"/>
                  <w:szCs w:val="20"/>
                </w:rPr>
                <w:t>Supplier management</w:t>
              </w:r>
            </w:hyperlink>
          </w:p>
        </w:tc>
        <w:tc>
          <w:tcPr>
            <w:tcW w:w="4770" w:type="dxa"/>
          </w:tcPr>
          <w:p w14:paraId="7010435C" w14:textId="456A6712" w:rsidR="00C06ED7" w:rsidRPr="00E06F45" w:rsidRDefault="004721A4" w:rsidP="001470A0">
            <w:pPr>
              <w:rPr>
                <w:sz w:val="20"/>
                <w:szCs w:val="20"/>
              </w:rPr>
            </w:pPr>
            <w:r w:rsidRPr="00E06F45">
              <w:rPr>
                <w:sz w:val="20"/>
                <w:szCs w:val="20"/>
              </w:rPr>
              <w:t>L2 supplier approval provided for all offices</w:t>
            </w:r>
          </w:p>
        </w:tc>
      </w:tr>
      <w:tr w:rsidR="00CC7A58" w:rsidRPr="00CC7A58" w14:paraId="08F8AEB5" w14:textId="3AF507D3" w:rsidTr="363CA695">
        <w:trPr>
          <w:trHeight w:val="20"/>
        </w:trPr>
        <w:tc>
          <w:tcPr>
            <w:tcW w:w="1525" w:type="dxa"/>
            <w:vMerge/>
          </w:tcPr>
          <w:p w14:paraId="72219653" w14:textId="418C7FA1" w:rsidR="00C06ED7" w:rsidRPr="00E06F45" w:rsidRDefault="00C06ED7" w:rsidP="001470A0">
            <w:pPr>
              <w:rPr>
                <w:sz w:val="20"/>
                <w:szCs w:val="20"/>
              </w:rPr>
            </w:pPr>
          </w:p>
        </w:tc>
        <w:tc>
          <w:tcPr>
            <w:tcW w:w="3600" w:type="dxa"/>
          </w:tcPr>
          <w:p w14:paraId="0D90D99A" w14:textId="570D8E92" w:rsidR="00C06ED7" w:rsidRPr="00E06F45" w:rsidRDefault="00C06ED7" w:rsidP="001470A0">
            <w:pPr>
              <w:rPr>
                <w:color w:val="4472C4" w:themeColor="accent1"/>
                <w:sz w:val="20"/>
                <w:szCs w:val="20"/>
              </w:rPr>
            </w:pPr>
            <w:hyperlink r:id="rId154" w:history="1">
              <w:r w:rsidRPr="00E06F45">
                <w:rPr>
                  <w:rStyle w:val="Hyperlink"/>
                  <w:color w:val="4472C4" w:themeColor="accent1"/>
                  <w:sz w:val="20"/>
                  <w:szCs w:val="20"/>
                </w:rPr>
                <w:t>Invoice processing</w:t>
              </w:r>
            </w:hyperlink>
          </w:p>
        </w:tc>
        <w:tc>
          <w:tcPr>
            <w:tcW w:w="4770" w:type="dxa"/>
          </w:tcPr>
          <w:p w14:paraId="653A0224" w14:textId="06D40991" w:rsidR="00C06ED7" w:rsidRPr="00E06F45" w:rsidRDefault="00C06ED7" w:rsidP="001470A0">
            <w:pPr>
              <w:rPr>
                <w:sz w:val="20"/>
                <w:szCs w:val="20"/>
              </w:rPr>
            </w:pPr>
            <w:r w:rsidRPr="00E06F45">
              <w:rPr>
                <w:sz w:val="20"/>
                <w:szCs w:val="20"/>
              </w:rPr>
              <w:t>Offices with clustered process</w:t>
            </w:r>
            <w:r w:rsidR="004721A4" w:rsidRPr="00E06F45">
              <w:rPr>
                <w:sz w:val="20"/>
                <w:szCs w:val="20"/>
              </w:rPr>
              <w:t>*</w:t>
            </w:r>
          </w:p>
        </w:tc>
      </w:tr>
      <w:tr w:rsidR="00CC7A58" w:rsidRPr="00CC7A58" w14:paraId="5EFD1B2F" w14:textId="7D710CC5" w:rsidTr="363CA695">
        <w:trPr>
          <w:trHeight w:val="20"/>
        </w:trPr>
        <w:tc>
          <w:tcPr>
            <w:tcW w:w="1525" w:type="dxa"/>
            <w:vMerge/>
          </w:tcPr>
          <w:p w14:paraId="47530D5A" w14:textId="13AADA5F" w:rsidR="00C06ED7" w:rsidRPr="00E06F45" w:rsidRDefault="00C06ED7" w:rsidP="001470A0">
            <w:pPr>
              <w:rPr>
                <w:sz w:val="20"/>
                <w:szCs w:val="20"/>
              </w:rPr>
            </w:pPr>
          </w:p>
        </w:tc>
        <w:tc>
          <w:tcPr>
            <w:tcW w:w="3600" w:type="dxa"/>
          </w:tcPr>
          <w:p w14:paraId="583406FE" w14:textId="4E382A1C" w:rsidR="00C06ED7" w:rsidRPr="00E06F45" w:rsidRDefault="00C06ED7" w:rsidP="001470A0">
            <w:pPr>
              <w:rPr>
                <w:color w:val="4472C4" w:themeColor="accent1"/>
                <w:sz w:val="20"/>
                <w:szCs w:val="20"/>
              </w:rPr>
            </w:pPr>
            <w:hyperlink r:id="rId155" w:history="1">
              <w:r w:rsidRPr="00E06F45">
                <w:rPr>
                  <w:rStyle w:val="Hyperlink"/>
                  <w:color w:val="4472C4" w:themeColor="accent1"/>
                  <w:sz w:val="20"/>
                  <w:szCs w:val="20"/>
                </w:rPr>
                <w:t>Pay-cycle</w:t>
              </w:r>
            </w:hyperlink>
          </w:p>
        </w:tc>
        <w:tc>
          <w:tcPr>
            <w:tcW w:w="4770" w:type="dxa"/>
          </w:tcPr>
          <w:p w14:paraId="7503DEC5" w14:textId="6E58E736" w:rsidR="00C06ED7" w:rsidRPr="00E06F45" w:rsidRDefault="00C06ED7" w:rsidP="001470A0">
            <w:pPr>
              <w:rPr>
                <w:sz w:val="20"/>
                <w:szCs w:val="20"/>
              </w:rPr>
            </w:pPr>
            <w:r w:rsidRPr="00E06F45">
              <w:rPr>
                <w:sz w:val="20"/>
                <w:szCs w:val="20"/>
              </w:rPr>
              <w:t>Offices with clustered process</w:t>
            </w:r>
            <w:r w:rsidR="004721A4" w:rsidRPr="00E06F45">
              <w:rPr>
                <w:sz w:val="20"/>
                <w:szCs w:val="20"/>
              </w:rPr>
              <w:t>.</w:t>
            </w:r>
            <w:r w:rsidR="004C17D5" w:rsidRPr="00E06F45">
              <w:rPr>
                <w:sz w:val="20"/>
                <w:szCs w:val="20"/>
              </w:rPr>
              <w:t xml:space="preserve"> </w:t>
            </w:r>
            <w:r w:rsidR="004721A4" w:rsidRPr="00E06F45">
              <w:rPr>
                <w:sz w:val="20"/>
                <w:szCs w:val="20"/>
              </w:rPr>
              <w:t>BMS/OF</w:t>
            </w:r>
            <w:r w:rsidR="00A40A72">
              <w:rPr>
                <w:sz w:val="20"/>
                <w:szCs w:val="20"/>
              </w:rPr>
              <w:t>R</w:t>
            </w:r>
            <w:r w:rsidR="004721A4" w:rsidRPr="00E06F45">
              <w:rPr>
                <w:sz w:val="20"/>
                <w:szCs w:val="20"/>
              </w:rPr>
              <w:t>M/Treasury provides these services for HQ offices/units.</w:t>
            </w:r>
          </w:p>
        </w:tc>
      </w:tr>
      <w:tr w:rsidR="00CC7A58" w:rsidRPr="00CC7A58" w14:paraId="2F15347B" w14:textId="3086197D" w:rsidTr="363CA695">
        <w:trPr>
          <w:trHeight w:val="20"/>
        </w:trPr>
        <w:tc>
          <w:tcPr>
            <w:tcW w:w="1525" w:type="dxa"/>
            <w:vMerge w:val="restart"/>
          </w:tcPr>
          <w:p w14:paraId="2F08BCE8" w14:textId="7E446FF3" w:rsidR="00C06ED7" w:rsidRPr="00E06F45" w:rsidRDefault="00C06ED7" w:rsidP="001470A0">
            <w:pPr>
              <w:rPr>
                <w:sz w:val="20"/>
                <w:szCs w:val="20"/>
              </w:rPr>
            </w:pPr>
            <w:r w:rsidRPr="00E06F45">
              <w:rPr>
                <w:sz w:val="20"/>
                <w:szCs w:val="20"/>
              </w:rPr>
              <w:t>Contribution &amp; Revenue Management</w:t>
            </w:r>
          </w:p>
        </w:tc>
        <w:tc>
          <w:tcPr>
            <w:tcW w:w="3600" w:type="dxa"/>
          </w:tcPr>
          <w:p w14:paraId="7D43DA28" w14:textId="5A168513" w:rsidR="00C06ED7" w:rsidRPr="00E06F45" w:rsidRDefault="00C06ED7" w:rsidP="001470A0">
            <w:pPr>
              <w:rPr>
                <w:color w:val="4472C4" w:themeColor="accent1"/>
                <w:sz w:val="20"/>
                <w:szCs w:val="20"/>
              </w:rPr>
            </w:pPr>
            <w:hyperlink r:id="rId156" w:history="1">
              <w:r w:rsidRPr="00E06F45">
                <w:rPr>
                  <w:rStyle w:val="Hyperlink"/>
                  <w:color w:val="4472C4" w:themeColor="accent1"/>
                  <w:sz w:val="20"/>
                  <w:szCs w:val="20"/>
                </w:rPr>
                <w:t>Contract management</w:t>
              </w:r>
            </w:hyperlink>
          </w:p>
        </w:tc>
        <w:tc>
          <w:tcPr>
            <w:tcW w:w="4770" w:type="dxa"/>
          </w:tcPr>
          <w:p w14:paraId="238C95DF" w14:textId="491FFD98" w:rsidR="00C06ED7" w:rsidRPr="00E06F45" w:rsidRDefault="00C06ED7" w:rsidP="001470A0">
            <w:pPr>
              <w:rPr>
                <w:sz w:val="20"/>
                <w:szCs w:val="20"/>
              </w:rPr>
            </w:pPr>
            <w:r w:rsidRPr="00E06F45">
              <w:rPr>
                <w:sz w:val="20"/>
                <w:szCs w:val="20"/>
              </w:rPr>
              <w:t>All offices/units</w:t>
            </w:r>
          </w:p>
        </w:tc>
      </w:tr>
      <w:tr w:rsidR="00CC7A58" w:rsidRPr="00CC7A58" w14:paraId="5DCC234D" w14:textId="635E4E19" w:rsidTr="363CA695">
        <w:trPr>
          <w:trHeight w:val="20"/>
        </w:trPr>
        <w:tc>
          <w:tcPr>
            <w:tcW w:w="1525" w:type="dxa"/>
            <w:vMerge/>
          </w:tcPr>
          <w:p w14:paraId="5B8B2793" w14:textId="77777777" w:rsidR="00C06ED7" w:rsidRPr="00E06F45" w:rsidRDefault="00C06ED7" w:rsidP="001470A0">
            <w:pPr>
              <w:rPr>
                <w:sz w:val="20"/>
                <w:szCs w:val="20"/>
              </w:rPr>
            </w:pPr>
          </w:p>
        </w:tc>
        <w:tc>
          <w:tcPr>
            <w:tcW w:w="3600" w:type="dxa"/>
          </w:tcPr>
          <w:p w14:paraId="047A2AE4" w14:textId="2A58E16B" w:rsidR="00C06ED7" w:rsidRPr="00E06F45" w:rsidRDefault="00C06ED7" w:rsidP="001470A0">
            <w:pPr>
              <w:rPr>
                <w:color w:val="4472C4" w:themeColor="accent1"/>
                <w:sz w:val="20"/>
                <w:szCs w:val="20"/>
              </w:rPr>
            </w:pPr>
            <w:hyperlink r:id="rId157" w:history="1">
              <w:r w:rsidRPr="00E06F45">
                <w:rPr>
                  <w:rStyle w:val="Hyperlink"/>
                  <w:color w:val="4472C4" w:themeColor="accent1"/>
                  <w:sz w:val="20"/>
                  <w:szCs w:val="20"/>
                </w:rPr>
                <w:t>Deposit creation and application</w:t>
              </w:r>
            </w:hyperlink>
          </w:p>
        </w:tc>
        <w:tc>
          <w:tcPr>
            <w:tcW w:w="4770" w:type="dxa"/>
          </w:tcPr>
          <w:p w14:paraId="33E6F6DD" w14:textId="0B8DFFEE" w:rsidR="00C06ED7" w:rsidRPr="00E06F45" w:rsidRDefault="00C06ED7" w:rsidP="001470A0">
            <w:pPr>
              <w:rPr>
                <w:sz w:val="20"/>
                <w:szCs w:val="20"/>
              </w:rPr>
            </w:pPr>
            <w:r w:rsidRPr="00E06F45">
              <w:rPr>
                <w:sz w:val="20"/>
                <w:szCs w:val="20"/>
              </w:rPr>
              <w:t>All offices/units</w:t>
            </w:r>
          </w:p>
        </w:tc>
      </w:tr>
      <w:tr w:rsidR="00CC7A58" w:rsidRPr="00CC7A58" w14:paraId="709D554E" w14:textId="3E9957B3" w:rsidTr="363CA695">
        <w:trPr>
          <w:trHeight w:val="20"/>
        </w:trPr>
        <w:tc>
          <w:tcPr>
            <w:tcW w:w="1525" w:type="dxa"/>
            <w:vMerge/>
          </w:tcPr>
          <w:p w14:paraId="7B731CD5" w14:textId="77777777" w:rsidR="00C06ED7" w:rsidRPr="00E06F45" w:rsidRDefault="00C06ED7" w:rsidP="001470A0">
            <w:pPr>
              <w:rPr>
                <w:sz w:val="20"/>
                <w:szCs w:val="20"/>
              </w:rPr>
            </w:pPr>
          </w:p>
        </w:tc>
        <w:tc>
          <w:tcPr>
            <w:tcW w:w="3600" w:type="dxa"/>
          </w:tcPr>
          <w:p w14:paraId="0A260BBF" w14:textId="29E06370" w:rsidR="00C06ED7" w:rsidRPr="00E06F45" w:rsidRDefault="00C06ED7" w:rsidP="001470A0">
            <w:pPr>
              <w:rPr>
                <w:color w:val="4472C4" w:themeColor="accent1"/>
                <w:sz w:val="20"/>
                <w:szCs w:val="20"/>
              </w:rPr>
            </w:pPr>
            <w:hyperlink r:id="rId158" w:history="1">
              <w:r w:rsidRPr="00E06F45">
                <w:rPr>
                  <w:rStyle w:val="Hyperlink"/>
                  <w:color w:val="4472C4" w:themeColor="accent1"/>
                  <w:sz w:val="20"/>
                  <w:szCs w:val="20"/>
                </w:rPr>
                <w:t>Accounts receivable reporting</w:t>
              </w:r>
            </w:hyperlink>
          </w:p>
        </w:tc>
        <w:tc>
          <w:tcPr>
            <w:tcW w:w="4770" w:type="dxa"/>
          </w:tcPr>
          <w:p w14:paraId="1BC63895" w14:textId="61A0068E" w:rsidR="00C06ED7" w:rsidRPr="00E06F45" w:rsidRDefault="00C06ED7" w:rsidP="001470A0">
            <w:pPr>
              <w:rPr>
                <w:sz w:val="20"/>
                <w:szCs w:val="20"/>
              </w:rPr>
            </w:pPr>
            <w:r w:rsidRPr="00E06F45">
              <w:rPr>
                <w:sz w:val="20"/>
                <w:szCs w:val="20"/>
              </w:rPr>
              <w:t>All offices/units</w:t>
            </w:r>
          </w:p>
        </w:tc>
      </w:tr>
      <w:tr w:rsidR="00CC7A58" w:rsidRPr="00CC7A58" w14:paraId="7EF2EB26" w14:textId="77777777" w:rsidTr="363CA695">
        <w:trPr>
          <w:trHeight w:val="20"/>
        </w:trPr>
        <w:tc>
          <w:tcPr>
            <w:tcW w:w="1525" w:type="dxa"/>
            <w:vMerge w:val="restart"/>
          </w:tcPr>
          <w:p w14:paraId="3542D470" w14:textId="2EA3234F" w:rsidR="000679D3" w:rsidRPr="00E06F45" w:rsidRDefault="000679D3" w:rsidP="001470A0">
            <w:pPr>
              <w:rPr>
                <w:sz w:val="20"/>
                <w:szCs w:val="20"/>
              </w:rPr>
            </w:pPr>
            <w:r w:rsidRPr="00E06F45">
              <w:rPr>
                <w:sz w:val="20"/>
                <w:szCs w:val="20"/>
              </w:rPr>
              <w:t>General Accounting</w:t>
            </w:r>
          </w:p>
        </w:tc>
        <w:tc>
          <w:tcPr>
            <w:tcW w:w="3600" w:type="dxa"/>
          </w:tcPr>
          <w:p w14:paraId="5FDC8CF9" w14:textId="1EA5CC3C" w:rsidR="000679D3" w:rsidRPr="00E06F45" w:rsidRDefault="000679D3" w:rsidP="001470A0">
            <w:pPr>
              <w:rPr>
                <w:color w:val="4472C4" w:themeColor="accent1"/>
                <w:sz w:val="20"/>
                <w:szCs w:val="20"/>
              </w:rPr>
            </w:pPr>
            <w:hyperlink r:id="rId159" w:history="1">
              <w:r w:rsidRPr="00E06F45">
                <w:rPr>
                  <w:rStyle w:val="Hyperlink"/>
                  <w:color w:val="4472C4" w:themeColor="accent1"/>
                  <w:sz w:val="20"/>
                  <w:szCs w:val="20"/>
                </w:rPr>
                <w:t>Investment accounting</w:t>
              </w:r>
            </w:hyperlink>
          </w:p>
        </w:tc>
        <w:tc>
          <w:tcPr>
            <w:tcW w:w="4770" w:type="dxa"/>
          </w:tcPr>
          <w:p w14:paraId="2B1926D1" w14:textId="7FC6DAAF" w:rsidR="000679D3" w:rsidRPr="00E06F45" w:rsidRDefault="00F2298C" w:rsidP="001470A0">
            <w:pPr>
              <w:rPr>
                <w:sz w:val="20"/>
                <w:szCs w:val="20"/>
              </w:rPr>
            </w:pPr>
            <w:r w:rsidRPr="00E06F45">
              <w:rPr>
                <w:sz w:val="20"/>
                <w:szCs w:val="20"/>
              </w:rPr>
              <w:t xml:space="preserve">HQ offices </w:t>
            </w:r>
          </w:p>
        </w:tc>
      </w:tr>
      <w:tr w:rsidR="00CC7A58" w:rsidRPr="00CC7A58" w14:paraId="5E11E63E" w14:textId="1E757BB5" w:rsidTr="363CA695">
        <w:trPr>
          <w:trHeight w:val="20"/>
        </w:trPr>
        <w:tc>
          <w:tcPr>
            <w:tcW w:w="1525" w:type="dxa"/>
            <w:vMerge/>
          </w:tcPr>
          <w:p w14:paraId="5EDE9702" w14:textId="579FF5BC" w:rsidR="000679D3" w:rsidRPr="00E06F45" w:rsidRDefault="000679D3" w:rsidP="001470A0">
            <w:pPr>
              <w:rPr>
                <w:sz w:val="20"/>
                <w:szCs w:val="20"/>
              </w:rPr>
            </w:pPr>
          </w:p>
        </w:tc>
        <w:tc>
          <w:tcPr>
            <w:tcW w:w="3600" w:type="dxa"/>
          </w:tcPr>
          <w:p w14:paraId="1C54035E" w14:textId="5B87F1DC" w:rsidR="000679D3" w:rsidRPr="00E06F45" w:rsidRDefault="000679D3" w:rsidP="001470A0">
            <w:pPr>
              <w:rPr>
                <w:color w:val="4472C4" w:themeColor="accent1"/>
                <w:sz w:val="20"/>
                <w:szCs w:val="20"/>
              </w:rPr>
            </w:pPr>
            <w:hyperlink r:id="rId160" w:history="1">
              <w:r w:rsidRPr="00E06F45">
                <w:rPr>
                  <w:rStyle w:val="Hyperlink"/>
                  <w:color w:val="4472C4" w:themeColor="accent1"/>
                  <w:sz w:val="20"/>
                  <w:szCs w:val="20"/>
                </w:rPr>
                <w:t xml:space="preserve">Travel </w:t>
              </w:r>
              <w:r w:rsidR="007231B1" w:rsidRPr="00E06F45">
                <w:rPr>
                  <w:rStyle w:val="Hyperlink"/>
                  <w:color w:val="4472C4" w:themeColor="accent1"/>
                  <w:sz w:val="20"/>
                  <w:szCs w:val="20"/>
                </w:rPr>
                <w:t xml:space="preserve">ticket </w:t>
              </w:r>
              <w:r w:rsidRPr="00E06F45">
                <w:rPr>
                  <w:rStyle w:val="Hyperlink"/>
                  <w:color w:val="4472C4" w:themeColor="accent1"/>
                  <w:sz w:val="20"/>
                  <w:szCs w:val="20"/>
                </w:rPr>
                <w:t>payment and reconciliation</w:t>
              </w:r>
            </w:hyperlink>
          </w:p>
        </w:tc>
        <w:tc>
          <w:tcPr>
            <w:tcW w:w="4770" w:type="dxa"/>
          </w:tcPr>
          <w:p w14:paraId="1C177E7C" w14:textId="71EFF93D" w:rsidR="000679D3" w:rsidRPr="00E06F45" w:rsidRDefault="000679D3" w:rsidP="001470A0">
            <w:pPr>
              <w:rPr>
                <w:sz w:val="20"/>
                <w:szCs w:val="20"/>
              </w:rPr>
            </w:pPr>
            <w:r w:rsidRPr="00E06F45">
              <w:rPr>
                <w:sz w:val="20"/>
                <w:szCs w:val="20"/>
              </w:rPr>
              <w:t>All offices/units</w:t>
            </w:r>
            <w:r w:rsidR="00D64043" w:rsidRPr="00E06F45">
              <w:rPr>
                <w:sz w:val="20"/>
                <w:szCs w:val="20"/>
              </w:rPr>
              <w:t>, with additional invoice creation support available for high volume transactions. Refer section 6.</w:t>
            </w:r>
          </w:p>
        </w:tc>
      </w:tr>
      <w:tr w:rsidR="00CC7A58" w:rsidRPr="00CC7A58" w14:paraId="3F3F1DEF" w14:textId="4C5C2992" w:rsidTr="363CA695">
        <w:trPr>
          <w:trHeight w:val="20"/>
        </w:trPr>
        <w:tc>
          <w:tcPr>
            <w:tcW w:w="1525" w:type="dxa"/>
            <w:vMerge/>
          </w:tcPr>
          <w:p w14:paraId="6FBAC218" w14:textId="77777777" w:rsidR="000679D3" w:rsidRPr="00E06F45" w:rsidRDefault="000679D3" w:rsidP="001470A0">
            <w:pPr>
              <w:rPr>
                <w:sz w:val="20"/>
                <w:szCs w:val="20"/>
              </w:rPr>
            </w:pPr>
          </w:p>
        </w:tc>
        <w:tc>
          <w:tcPr>
            <w:tcW w:w="3600" w:type="dxa"/>
          </w:tcPr>
          <w:p w14:paraId="6AB5104C" w14:textId="5CBE1BA8" w:rsidR="000679D3" w:rsidRPr="00E06F45" w:rsidRDefault="000679D3" w:rsidP="001470A0">
            <w:pPr>
              <w:rPr>
                <w:color w:val="4472C4" w:themeColor="accent1"/>
                <w:sz w:val="20"/>
                <w:szCs w:val="20"/>
              </w:rPr>
            </w:pPr>
            <w:hyperlink r:id="rId161" w:history="1">
              <w:r w:rsidRPr="00E06F45">
                <w:rPr>
                  <w:rStyle w:val="Hyperlink"/>
                  <w:color w:val="4472C4" w:themeColor="accent1"/>
                  <w:sz w:val="20"/>
                  <w:szCs w:val="20"/>
                </w:rPr>
                <w:t xml:space="preserve">Bank </w:t>
              </w:r>
              <w:r w:rsidR="00EA5F50" w:rsidRPr="00E06F45">
                <w:rPr>
                  <w:rStyle w:val="Hyperlink"/>
                  <w:color w:val="4472C4" w:themeColor="accent1"/>
                  <w:sz w:val="20"/>
                  <w:szCs w:val="20"/>
                </w:rPr>
                <w:t xml:space="preserve">to book </w:t>
              </w:r>
              <w:r w:rsidRPr="00E06F45">
                <w:rPr>
                  <w:rStyle w:val="Hyperlink"/>
                  <w:color w:val="4472C4" w:themeColor="accent1"/>
                  <w:sz w:val="20"/>
                  <w:szCs w:val="20"/>
                </w:rPr>
                <w:t>reconciliations</w:t>
              </w:r>
            </w:hyperlink>
          </w:p>
        </w:tc>
        <w:tc>
          <w:tcPr>
            <w:tcW w:w="4770" w:type="dxa"/>
          </w:tcPr>
          <w:p w14:paraId="06B3ADAB" w14:textId="18B2561B" w:rsidR="000679D3" w:rsidRPr="00E06F45" w:rsidRDefault="000679D3" w:rsidP="001470A0">
            <w:pPr>
              <w:rPr>
                <w:sz w:val="20"/>
                <w:szCs w:val="20"/>
              </w:rPr>
            </w:pPr>
            <w:r w:rsidRPr="00E06F45">
              <w:rPr>
                <w:sz w:val="20"/>
                <w:szCs w:val="20"/>
              </w:rPr>
              <w:t>All offices/units</w:t>
            </w:r>
          </w:p>
        </w:tc>
      </w:tr>
      <w:tr w:rsidR="00CC7A58" w:rsidRPr="00CC7A58" w14:paraId="04B517DF" w14:textId="361A349D" w:rsidTr="363CA695">
        <w:trPr>
          <w:trHeight w:val="20"/>
        </w:trPr>
        <w:tc>
          <w:tcPr>
            <w:tcW w:w="1525" w:type="dxa"/>
            <w:vMerge/>
          </w:tcPr>
          <w:p w14:paraId="50F3379D" w14:textId="77777777" w:rsidR="000679D3" w:rsidRPr="00E06F45" w:rsidRDefault="000679D3" w:rsidP="001470A0">
            <w:pPr>
              <w:rPr>
                <w:sz w:val="20"/>
                <w:szCs w:val="20"/>
              </w:rPr>
            </w:pPr>
          </w:p>
        </w:tc>
        <w:tc>
          <w:tcPr>
            <w:tcW w:w="3600" w:type="dxa"/>
          </w:tcPr>
          <w:p w14:paraId="1DA95881" w14:textId="6253BADE" w:rsidR="000679D3" w:rsidRPr="00E06F45" w:rsidRDefault="000679D3" w:rsidP="001470A0">
            <w:pPr>
              <w:rPr>
                <w:color w:val="4472C4" w:themeColor="accent1"/>
                <w:sz w:val="20"/>
                <w:szCs w:val="20"/>
              </w:rPr>
            </w:pPr>
            <w:hyperlink r:id="rId162" w:history="1">
              <w:r w:rsidRPr="00E06F45">
                <w:rPr>
                  <w:rStyle w:val="Hyperlink"/>
                  <w:color w:val="4472C4" w:themeColor="accent1"/>
                  <w:sz w:val="20"/>
                  <w:szCs w:val="20"/>
                </w:rPr>
                <w:t>Fixed assets processing and inventory certifications</w:t>
              </w:r>
            </w:hyperlink>
          </w:p>
        </w:tc>
        <w:tc>
          <w:tcPr>
            <w:tcW w:w="4770" w:type="dxa"/>
          </w:tcPr>
          <w:p w14:paraId="26614D6B" w14:textId="20A3ED74" w:rsidR="000679D3" w:rsidRPr="00E06F45" w:rsidRDefault="000679D3" w:rsidP="001470A0">
            <w:pPr>
              <w:rPr>
                <w:sz w:val="20"/>
                <w:szCs w:val="20"/>
              </w:rPr>
            </w:pPr>
            <w:r w:rsidRPr="00E06F45">
              <w:rPr>
                <w:sz w:val="20"/>
                <w:szCs w:val="20"/>
              </w:rPr>
              <w:t>All offices/units</w:t>
            </w:r>
          </w:p>
        </w:tc>
      </w:tr>
      <w:tr w:rsidR="00CC7A58" w:rsidRPr="00CC7A58" w14:paraId="0E3AF250" w14:textId="7DE3C84D" w:rsidTr="363CA695">
        <w:trPr>
          <w:trHeight w:val="20"/>
        </w:trPr>
        <w:tc>
          <w:tcPr>
            <w:tcW w:w="1525" w:type="dxa"/>
            <w:vMerge w:val="restart"/>
          </w:tcPr>
          <w:p w14:paraId="44F48567" w14:textId="50D240D5" w:rsidR="00C06ED7" w:rsidRPr="00E06F45" w:rsidRDefault="00C06ED7" w:rsidP="001470A0">
            <w:pPr>
              <w:rPr>
                <w:sz w:val="20"/>
                <w:szCs w:val="20"/>
              </w:rPr>
            </w:pPr>
            <w:r w:rsidRPr="00E06F45">
              <w:rPr>
                <w:sz w:val="20"/>
                <w:szCs w:val="20"/>
              </w:rPr>
              <w:t>Project Accounting</w:t>
            </w:r>
          </w:p>
        </w:tc>
        <w:tc>
          <w:tcPr>
            <w:tcW w:w="3600" w:type="dxa"/>
          </w:tcPr>
          <w:p w14:paraId="73AEA69E" w14:textId="29653E5D" w:rsidR="00C06ED7" w:rsidRPr="00E06F45" w:rsidRDefault="00C06ED7" w:rsidP="001470A0">
            <w:pPr>
              <w:rPr>
                <w:color w:val="4472C4" w:themeColor="accent1"/>
                <w:sz w:val="20"/>
                <w:szCs w:val="20"/>
              </w:rPr>
            </w:pPr>
            <w:hyperlink r:id="rId163" w:history="1">
              <w:r w:rsidRPr="00E06F45">
                <w:rPr>
                  <w:rStyle w:val="Hyperlink"/>
                  <w:color w:val="4472C4" w:themeColor="accent1"/>
                  <w:sz w:val="20"/>
                  <w:szCs w:val="20"/>
                </w:rPr>
                <w:t>Financial closure of development projects</w:t>
              </w:r>
            </w:hyperlink>
          </w:p>
        </w:tc>
        <w:tc>
          <w:tcPr>
            <w:tcW w:w="4770" w:type="dxa"/>
          </w:tcPr>
          <w:p w14:paraId="26882849" w14:textId="15AD4BDB" w:rsidR="00C06ED7" w:rsidRPr="00E06F45" w:rsidRDefault="00C06ED7" w:rsidP="363CA695">
            <w:pPr>
              <w:rPr>
                <w:sz w:val="20"/>
                <w:szCs w:val="20"/>
              </w:rPr>
            </w:pPr>
            <w:r w:rsidRPr="00E06F45">
              <w:rPr>
                <w:sz w:val="20"/>
                <w:szCs w:val="20"/>
              </w:rPr>
              <w:t>Offices with clustered process</w:t>
            </w:r>
            <w:r w:rsidR="004721A4" w:rsidRPr="00E06F45">
              <w:rPr>
                <w:sz w:val="20"/>
                <w:szCs w:val="20"/>
              </w:rPr>
              <w:t>*</w:t>
            </w:r>
            <w:r w:rsidR="00F2298C" w:rsidRPr="00E06F45">
              <w:rPr>
                <w:sz w:val="20"/>
                <w:szCs w:val="20"/>
              </w:rPr>
              <w:t xml:space="preserve">. </w:t>
            </w:r>
            <w:r w:rsidR="00F2298C" w:rsidRPr="00E06F45">
              <w:rPr>
                <w:rStyle w:val="cf01"/>
                <w:rFonts w:asciiTheme="minorHAnsi" w:hAnsiTheme="minorHAnsi" w:cstheme="minorBidi"/>
                <w:sz w:val="20"/>
                <w:szCs w:val="20"/>
              </w:rPr>
              <w:t xml:space="preserve">BMS/GSSC development project financial closure responsibility includes projects that were operationally </w:t>
            </w:r>
            <w:proofErr w:type="gramStart"/>
            <w:r w:rsidR="00F2298C" w:rsidRPr="00E06F45">
              <w:rPr>
                <w:rStyle w:val="cf01"/>
                <w:rFonts w:asciiTheme="minorHAnsi" w:hAnsiTheme="minorHAnsi" w:cstheme="minorBidi"/>
                <w:sz w:val="20"/>
                <w:szCs w:val="20"/>
              </w:rPr>
              <w:t>closed up</w:t>
            </w:r>
            <w:proofErr w:type="gramEnd"/>
            <w:r w:rsidR="00F2298C" w:rsidRPr="00E06F45">
              <w:rPr>
                <w:rStyle w:val="cf01"/>
                <w:rFonts w:asciiTheme="minorHAnsi" w:hAnsiTheme="minorHAnsi" w:cstheme="minorBidi"/>
                <w:sz w:val="20"/>
                <w:szCs w:val="20"/>
              </w:rPr>
              <w:t xml:space="preserve"> to 6 months before clustering or after clustering. Projects that were closed earlier than 6 months before the date of clustering the region are to be financially closed by the CO/BU.</w:t>
            </w:r>
          </w:p>
        </w:tc>
      </w:tr>
      <w:tr w:rsidR="00CC7A58" w:rsidRPr="00CC7A58" w14:paraId="6C80698B" w14:textId="507E4B2A" w:rsidTr="363CA695">
        <w:trPr>
          <w:trHeight w:val="20"/>
        </w:trPr>
        <w:tc>
          <w:tcPr>
            <w:tcW w:w="1525" w:type="dxa"/>
            <w:vMerge/>
          </w:tcPr>
          <w:p w14:paraId="1F22065C" w14:textId="77777777" w:rsidR="00C06ED7" w:rsidRPr="00E06F45" w:rsidRDefault="00C06ED7" w:rsidP="001470A0">
            <w:pPr>
              <w:rPr>
                <w:sz w:val="20"/>
                <w:szCs w:val="20"/>
              </w:rPr>
            </w:pPr>
          </w:p>
        </w:tc>
        <w:tc>
          <w:tcPr>
            <w:tcW w:w="3600" w:type="dxa"/>
          </w:tcPr>
          <w:p w14:paraId="775AABDE" w14:textId="5CE8F9E3" w:rsidR="00C06ED7" w:rsidRPr="00E06F45" w:rsidRDefault="00C06ED7" w:rsidP="001470A0">
            <w:pPr>
              <w:rPr>
                <w:color w:val="4472C4" w:themeColor="accent1"/>
                <w:sz w:val="20"/>
                <w:szCs w:val="20"/>
              </w:rPr>
            </w:pPr>
            <w:hyperlink r:id="rId164" w:history="1">
              <w:r w:rsidRPr="00E06F45">
                <w:rPr>
                  <w:rStyle w:val="Hyperlink"/>
                  <w:color w:val="4472C4" w:themeColor="accent1"/>
                  <w:sz w:val="20"/>
                  <w:szCs w:val="20"/>
                </w:rPr>
                <w:t>Donor refunds</w:t>
              </w:r>
            </w:hyperlink>
          </w:p>
        </w:tc>
        <w:tc>
          <w:tcPr>
            <w:tcW w:w="4770" w:type="dxa"/>
          </w:tcPr>
          <w:p w14:paraId="18167183" w14:textId="4564E4B3" w:rsidR="00C06ED7" w:rsidRPr="00E06F45" w:rsidRDefault="00CC7A58" w:rsidP="001470A0">
            <w:pPr>
              <w:rPr>
                <w:sz w:val="20"/>
                <w:szCs w:val="20"/>
              </w:rPr>
            </w:pPr>
            <w:r w:rsidRPr="00E06F45">
              <w:rPr>
                <w:sz w:val="20"/>
                <w:szCs w:val="20"/>
              </w:rPr>
              <w:t>All offices/units</w:t>
            </w:r>
          </w:p>
        </w:tc>
      </w:tr>
    </w:tbl>
    <w:p w14:paraId="704FE540" w14:textId="07097DDB" w:rsidR="00D43E96" w:rsidRPr="00E06F45" w:rsidRDefault="004721A4" w:rsidP="004721A4">
      <w:pPr>
        <w:rPr>
          <w:sz w:val="20"/>
          <w:szCs w:val="20"/>
        </w:rPr>
      </w:pPr>
      <w:r w:rsidRPr="00E06F45">
        <w:rPr>
          <w:sz w:val="20"/>
          <w:szCs w:val="20"/>
        </w:rPr>
        <w:t>*Offices with non-clustered processes perform these roles within their office/unit.</w:t>
      </w:r>
      <w:r w:rsidR="69077E05" w:rsidRPr="00E06F45">
        <w:rPr>
          <w:sz w:val="20"/>
          <w:szCs w:val="20"/>
        </w:rPr>
        <w:t xml:space="preserve"> </w:t>
      </w:r>
    </w:p>
    <w:p w14:paraId="6BCDF00D" w14:textId="29E788D2" w:rsidR="00697230" w:rsidRPr="00E06F45" w:rsidRDefault="00697230" w:rsidP="363CA695">
      <w:pPr>
        <w:spacing w:line="240" w:lineRule="auto"/>
      </w:pPr>
      <w:r w:rsidRPr="00E06F45">
        <w:t xml:space="preserve">Refer to </w:t>
      </w:r>
      <w:hyperlink w:anchor="_Annex_7:_Overview" w:history="1">
        <w:r w:rsidRPr="00E06F45">
          <w:rPr>
            <w:rStyle w:val="Hyperlink"/>
            <w:color w:val="4472C4" w:themeColor="accent1"/>
          </w:rPr>
          <w:t>Annex 7</w:t>
        </w:r>
      </w:hyperlink>
      <w:r w:rsidRPr="00E06F45">
        <w:t xml:space="preserve"> for an overview of where key actions are performed within each functional area, including within: (</w:t>
      </w:r>
      <w:proofErr w:type="spellStart"/>
      <w:r w:rsidRPr="00E06F45">
        <w:t>i</w:t>
      </w:r>
      <w:proofErr w:type="spellEnd"/>
      <w:r w:rsidRPr="00E06F45">
        <w:t>) offices/units with clustered processes; (ii) BMS/GSSC; (iii) HQ offices/units with non-clustered processes; and (iv) outposted HQ locations.</w:t>
      </w:r>
    </w:p>
    <w:p w14:paraId="5658F7DC" w14:textId="6D13BCEF" w:rsidR="00231F3A" w:rsidRDefault="000173E6">
      <w:pPr>
        <w:pStyle w:val="Heading1"/>
        <w:numPr>
          <w:ilvl w:val="0"/>
          <w:numId w:val="92"/>
        </w:numPr>
        <w:spacing w:after="240"/>
      </w:pPr>
      <w:bookmarkStart w:id="100" w:name="_Toc210052786"/>
      <w:r>
        <w:t>Head of Office</w:t>
      </w:r>
      <w:r w:rsidR="006D6C0A">
        <w:t>/Unit</w:t>
      </w:r>
      <w:bookmarkEnd w:id="100"/>
    </w:p>
    <w:p w14:paraId="01E2524D" w14:textId="5BEFF573" w:rsidR="00011B58" w:rsidRDefault="00011B58" w:rsidP="00AD810D">
      <w:pPr>
        <w:spacing w:line="240" w:lineRule="auto"/>
      </w:pPr>
      <w:r w:rsidRPr="363CA695">
        <w:t>The Head of Office</w:t>
      </w:r>
      <w:r w:rsidR="006D6C0A" w:rsidRPr="363CA695">
        <w:t>/Unit</w:t>
      </w:r>
      <w:r w:rsidRPr="363CA695">
        <w:t xml:space="preserve"> role refers to the head of either an HQ unit or a CO, that is, Regional and Central Bureau Directors, Regional Directors, and Resident Representatives (RRs). No specific Quantum profile has been developed for the Head of Office</w:t>
      </w:r>
      <w:r w:rsidR="006D6C0A" w:rsidRPr="363CA695">
        <w:t>/Unit</w:t>
      </w:r>
      <w:r w:rsidRPr="363CA695">
        <w:t>; instead, they are assigned an Approving Manager (second authority) role in Quantum with the user profile ‘Senior Manager.’ The Head of Office</w:t>
      </w:r>
      <w:r w:rsidR="006D6C0A" w:rsidRPr="363CA695">
        <w:t>/Unit</w:t>
      </w:r>
      <w:r w:rsidRPr="363CA695">
        <w:t xml:space="preserve"> has overall accountability for establishing and maintaining adequate internal controls within their office</w:t>
      </w:r>
      <w:r w:rsidR="006D6C0A" w:rsidRPr="363CA695">
        <w:t>/unit</w:t>
      </w:r>
      <w:r w:rsidRPr="363CA695">
        <w:t xml:space="preserve"> and for ensuring that their office</w:t>
      </w:r>
      <w:r w:rsidR="006D6C0A" w:rsidRPr="363CA695">
        <w:t>/unit</w:t>
      </w:r>
      <w:r w:rsidRPr="363CA695">
        <w:t>’s internal control procedures are documented.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bottom w:w="43" w:type="dxa"/>
          <w:right w:w="72" w:type="dxa"/>
        </w:tblCellMar>
        <w:tblLook w:val="01E0" w:firstRow="1" w:lastRow="1" w:firstColumn="1" w:lastColumn="1" w:noHBand="0" w:noVBand="0"/>
      </w:tblPr>
      <w:tblGrid>
        <w:gridCol w:w="9900"/>
      </w:tblGrid>
      <w:tr w:rsidR="00147C55" w:rsidRPr="005D2478" w14:paraId="62BA327C" w14:textId="77777777" w:rsidTr="363CA695">
        <w:trPr>
          <w:trHeight w:val="20"/>
          <w:tblHeader/>
        </w:trPr>
        <w:tc>
          <w:tcPr>
            <w:tcW w:w="9900" w:type="dxa"/>
            <w:shd w:val="clear" w:color="auto" w:fill="D9E2F3" w:themeFill="accent1" w:themeFillTint="33"/>
          </w:tcPr>
          <w:p w14:paraId="3AF4F726" w14:textId="4BB60EDC" w:rsidR="00011B58" w:rsidRPr="00570E5D" w:rsidRDefault="00011B58" w:rsidP="001765C7">
            <w:pPr>
              <w:spacing w:after="0" w:line="240" w:lineRule="auto"/>
              <w:rPr>
                <w:b/>
                <w:bCs/>
                <w:sz w:val="20"/>
                <w:szCs w:val="20"/>
              </w:rPr>
            </w:pPr>
            <w:r w:rsidRPr="00570E5D">
              <w:rPr>
                <w:b/>
                <w:bCs/>
                <w:sz w:val="20"/>
                <w:szCs w:val="20"/>
              </w:rPr>
              <w:t>Head of Office</w:t>
            </w:r>
            <w:r w:rsidR="006D6C0A">
              <w:rPr>
                <w:b/>
                <w:bCs/>
                <w:sz w:val="20"/>
                <w:szCs w:val="20"/>
              </w:rPr>
              <w:t>/Unit</w:t>
            </w:r>
            <w:r w:rsidRPr="00570E5D">
              <w:rPr>
                <w:b/>
                <w:bCs/>
                <w:sz w:val="20"/>
                <w:szCs w:val="20"/>
              </w:rPr>
              <w:t>: Internal Control Responsibilities</w:t>
            </w:r>
          </w:p>
        </w:tc>
      </w:tr>
      <w:tr w:rsidR="00147C55" w:rsidRPr="005D2478" w14:paraId="6E5B90D5" w14:textId="77777777" w:rsidTr="363CA695">
        <w:trPr>
          <w:trHeight w:val="20"/>
        </w:trPr>
        <w:tc>
          <w:tcPr>
            <w:tcW w:w="9900" w:type="dxa"/>
            <w:shd w:val="clear" w:color="auto" w:fill="000000" w:themeFill="text1"/>
          </w:tcPr>
          <w:p w14:paraId="1C2FBC68" w14:textId="7EE32E3D"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Planning &amp; monitoring</w:t>
            </w:r>
          </w:p>
        </w:tc>
      </w:tr>
      <w:tr w:rsidR="007B1BE3" w:rsidRPr="005D2478" w14:paraId="3CF5146D" w14:textId="77777777" w:rsidTr="363CA695">
        <w:trPr>
          <w:trHeight w:val="20"/>
        </w:trPr>
        <w:tc>
          <w:tcPr>
            <w:tcW w:w="9900" w:type="dxa"/>
          </w:tcPr>
          <w:p w14:paraId="16119E5D" w14:textId="12B1B09B" w:rsidR="00827E39" w:rsidRPr="00827E39" w:rsidRDefault="00827E39">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Effective planning of overall development and management results</w:t>
            </w:r>
            <w:r w:rsidRPr="005D2478">
              <w:rPr>
                <w:rFonts w:cstheme="minorHAnsi"/>
                <w:sz w:val="20"/>
                <w:szCs w:val="20"/>
              </w:rPr>
              <w:t xml:space="preserve"> in the context of results-based</w:t>
            </w:r>
            <w:r w:rsidRPr="005D2478">
              <w:rPr>
                <w:rFonts w:cstheme="minorHAnsi"/>
                <w:spacing w:val="1"/>
                <w:sz w:val="20"/>
                <w:szCs w:val="20"/>
              </w:rPr>
              <w:t xml:space="preserve"> </w:t>
            </w:r>
            <w:r w:rsidRPr="005D2478">
              <w:rPr>
                <w:rFonts w:cstheme="minorHAnsi"/>
                <w:sz w:val="20"/>
                <w:szCs w:val="20"/>
              </w:rPr>
              <w:t>budgeting, using the integrated work-planning tool on the results-based management platform.</w:t>
            </w:r>
          </w:p>
        </w:tc>
      </w:tr>
      <w:tr w:rsidR="007B1BE3" w:rsidRPr="005D2478" w14:paraId="052931BF" w14:textId="77777777" w:rsidTr="363CA695">
        <w:trPr>
          <w:trHeight w:val="20"/>
        </w:trPr>
        <w:tc>
          <w:tcPr>
            <w:tcW w:w="9900" w:type="dxa"/>
          </w:tcPr>
          <w:p w14:paraId="7A96C5A5" w14:textId="416F1650" w:rsidR="00827E39" w:rsidRPr="00827E39" w:rsidRDefault="00827E39">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An annual work plan</w:t>
            </w:r>
            <w:r w:rsidRPr="005D2478">
              <w:rPr>
                <w:rFonts w:cstheme="minorHAnsi"/>
                <w:sz w:val="20"/>
                <w:szCs w:val="20"/>
              </w:rPr>
              <w:t xml:space="preserve"> for the office</w:t>
            </w:r>
            <w:r w:rsidR="006D6C0A">
              <w:rPr>
                <w:rFonts w:cstheme="minorHAnsi"/>
                <w:sz w:val="20"/>
                <w:szCs w:val="20"/>
              </w:rPr>
              <w:t>/unit</w:t>
            </w:r>
            <w:r w:rsidRPr="005D2478">
              <w:rPr>
                <w:rFonts w:cstheme="minorHAnsi"/>
                <w:sz w:val="20"/>
                <w:szCs w:val="20"/>
              </w:rPr>
              <w:t xml:space="preserve"> linked</w:t>
            </w:r>
            <w:r w:rsidRPr="005D2478">
              <w:rPr>
                <w:rFonts w:cstheme="minorHAnsi"/>
                <w:spacing w:val="-2"/>
                <w:sz w:val="20"/>
                <w:szCs w:val="20"/>
              </w:rPr>
              <w:t xml:space="preserve"> </w:t>
            </w:r>
            <w:r w:rsidRPr="005D2478">
              <w:rPr>
                <w:rFonts w:cstheme="minorHAnsi"/>
                <w:sz w:val="20"/>
                <w:szCs w:val="20"/>
              </w:rPr>
              <w:t>to</w:t>
            </w:r>
            <w:r w:rsidRPr="005D2478">
              <w:rPr>
                <w:rFonts w:cstheme="minorHAnsi"/>
                <w:spacing w:val="1"/>
                <w:sz w:val="20"/>
                <w:szCs w:val="20"/>
              </w:rPr>
              <w:t xml:space="preserve"> </w:t>
            </w:r>
            <w:r w:rsidRPr="005D2478">
              <w:rPr>
                <w:rFonts w:cstheme="minorHAnsi"/>
                <w:sz w:val="20"/>
                <w:szCs w:val="20"/>
              </w:rPr>
              <w:t>corporate priorities is prepared and</w:t>
            </w:r>
            <w:r w:rsidRPr="005D2478">
              <w:rPr>
                <w:rFonts w:cstheme="minorHAnsi"/>
                <w:spacing w:val="-1"/>
                <w:sz w:val="20"/>
                <w:szCs w:val="20"/>
              </w:rPr>
              <w:t xml:space="preserve"> </w:t>
            </w:r>
            <w:r w:rsidRPr="005D2478">
              <w:rPr>
                <w:rFonts w:cstheme="minorHAnsi"/>
                <w:sz w:val="20"/>
                <w:szCs w:val="20"/>
              </w:rPr>
              <w:t>communicated.</w:t>
            </w:r>
          </w:p>
        </w:tc>
      </w:tr>
      <w:tr w:rsidR="007B1BE3" w:rsidRPr="005D2478" w14:paraId="108118FB" w14:textId="77777777" w:rsidTr="363CA695">
        <w:trPr>
          <w:trHeight w:val="20"/>
        </w:trPr>
        <w:tc>
          <w:tcPr>
            <w:tcW w:w="9900" w:type="dxa"/>
          </w:tcPr>
          <w:p w14:paraId="1C6958D1" w14:textId="4137ECA7" w:rsidR="00827E39" w:rsidRPr="00827E39" w:rsidRDefault="00827E39">
            <w:pPr>
              <w:pStyle w:val="ListParagraph"/>
              <w:widowControl w:val="0"/>
              <w:numPr>
                <w:ilvl w:val="0"/>
                <w:numId w:val="50"/>
              </w:numPr>
              <w:autoSpaceDE w:val="0"/>
              <w:autoSpaceDN w:val="0"/>
              <w:spacing w:after="0" w:line="240" w:lineRule="auto"/>
              <w:rPr>
                <w:sz w:val="20"/>
                <w:szCs w:val="20"/>
              </w:rPr>
            </w:pPr>
            <w:r w:rsidRPr="363CA695">
              <w:rPr>
                <w:b/>
                <w:bCs/>
                <w:sz w:val="20"/>
                <w:szCs w:val="20"/>
              </w:rPr>
              <w:lastRenderedPageBreak/>
              <w:t>An effective monitoring system</w:t>
            </w:r>
            <w:r w:rsidRPr="363CA695">
              <w:rPr>
                <w:sz w:val="20"/>
                <w:szCs w:val="20"/>
              </w:rPr>
              <w:t xml:space="preserve"> is in place &amp; </w:t>
            </w:r>
            <w:proofErr w:type="gramStart"/>
            <w:r w:rsidRPr="363CA695">
              <w:rPr>
                <w:sz w:val="20"/>
                <w:szCs w:val="20"/>
              </w:rPr>
              <w:t>functioning</w:t>
            </w:r>
            <w:proofErr w:type="gramEnd"/>
            <w:r w:rsidR="00146B83" w:rsidRPr="363CA695">
              <w:rPr>
                <w:sz w:val="20"/>
                <w:szCs w:val="20"/>
              </w:rPr>
              <w:t xml:space="preserve"> </w:t>
            </w:r>
            <w:r w:rsidRPr="363CA695">
              <w:rPr>
                <w:sz w:val="20"/>
                <w:szCs w:val="20"/>
              </w:rPr>
              <w:t xml:space="preserve">to </w:t>
            </w:r>
            <w:r w:rsidR="00C173D0" w:rsidRPr="363CA695">
              <w:rPr>
                <w:sz w:val="20"/>
                <w:szCs w:val="20"/>
              </w:rPr>
              <w:t>ensure</w:t>
            </w:r>
            <w:r w:rsidRPr="363CA695">
              <w:rPr>
                <w:sz w:val="20"/>
                <w:szCs w:val="20"/>
              </w:rPr>
              <w:t xml:space="preserve"> that the office</w:t>
            </w:r>
            <w:r w:rsidR="006D6C0A" w:rsidRPr="363CA695">
              <w:rPr>
                <w:sz w:val="20"/>
                <w:szCs w:val="20"/>
              </w:rPr>
              <w:t>/unit</w:t>
            </w:r>
            <w:r w:rsidRPr="363CA695">
              <w:rPr>
                <w:sz w:val="20"/>
                <w:szCs w:val="20"/>
              </w:rPr>
              <w:t xml:space="preserve"> </w:t>
            </w:r>
            <w:proofErr w:type="gramStart"/>
            <w:r w:rsidRPr="363CA695">
              <w:rPr>
                <w:sz w:val="20"/>
                <w:szCs w:val="20"/>
              </w:rPr>
              <w:t>is progressing</w:t>
            </w:r>
            <w:proofErr w:type="gramEnd"/>
            <w:r w:rsidRPr="363CA695">
              <w:rPr>
                <w:sz w:val="20"/>
                <w:szCs w:val="20"/>
              </w:rPr>
              <w:t xml:space="preserve"> on its annual work plans and that the internal control</w:t>
            </w:r>
            <w:r w:rsidRPr="363CA695">
              <w:rPr>
                <w:spacing w:val="1"/>
                <w:sz w:val="20"/>
                <w:szCs w:val="20"/>
              </w:rPr>
              <w:t xml:space="preserve"> </w:t>
            </w:r>
            <w:r w:rsidRPr="363CA695">
              <w:rPr>
                <w:sz w:val="20"/>
                <w:szCs w:val="20"/>
              </w:rPr>
              <w:t>system is functioning.</w:t>
            </w:r>
            <w:r w:rsidR="00C173D0" w:rsidRPr="363CA695">
              <w:rPr>
                <w:sz w:val="20"/>
                <w:szCs w:val="20"/>
              </w:rPr>
              <w:t xml:space="preserve"> </w:t>
            </w:r>
            <w:r w:rsidR="00C173D0" w:rsidRPr="00E06F45">
              <w:rPr>
                <w:sz w:val="20"/>
                <w:szCs w:val="20"/>
              </w:rPr>
              <w:t xml:space="preserve">The focus of the monitoring system will depend on the control risks identified when assessing the local operating context and the office’s capacities as part of the local ICF development. Some areas that may be useful to consider include: </w:t>
            </w:r>
            <w:r w:rsidR="00C173D0" w:rsidRPr="363CA695">
              <w:rPr>
                <w:sz w:val="20"/>
                <w:szCs w:val="20"/>
              </w:rPr>
              <w:t>overall resource situation of the office/unit; workplan &amp; budget vs actual performance; contributions and receivables management; any process exceptions (e.g. related to procurement, contracting etc.); human resource changes and impact on payroll; frequency and status of budget overrides; timeliness of GSSC service request submissions and any recurring case management issues; IFD performance; etc.</w:t>
            </w:r>
          </w:p>
        </w:tc>
      </w:tr>
      <w:tr w:rsidR="007B1BE3" w:rsidRPr="005D2478" w14:paraId="5B311D03" w14:textId="77777777" w:rsidTr="363CA695">
        <w:trPr>
          <w:trHeight w:val="20"/>
        </w:trPr>
        <w:tc>
          <w:tcPr>
            <w:tcW w:w="9900" w:type="dxa"/>
          </w:tcPr>
          <w:p w14:paraId="594C3243" w14:textId="7B9EA182" w:rsidR="00011B58" w:rsidRPr="005D2478" w:rsidRDefault="00011B58">
            <w:pPr>
              <w:pStyle w:val="ListParagraph"/>
              <w:widowControl w:val="0"/>
              <w:numPr>
                <w:ilvl w:val="0"/>
                <w:numId w:val="50"/>
              </w:numPr>
              <w:autoSpaceDE w:val="0"/>
              <w:autoSpaceDN w:val="0"/>
              <w:spacing w:after="0" w:line="240" w:lineRule="auto"/>
              <w:contextualSpacing w:val="0"/>
              <w:rPr>
                <w:rFonts w:cstheme="minorHAnsi"/>
                <w:sz w:val="20"/>
                <w:szCs w:val="20"/>
              </w:rPr>
            </w:pPr>
            <w:r w:rsidRPr="005D2478">
              <w:rPr>
                <w:rFonts w:cstheme="minorHAnsi"/>
                <w:b/>
                <w:bCs/>
                <w:sz w:val="20"/>
                <w:szCs w:val="20"/>
              </w:rPr>
              <w:t>Internal control procedures</w:t>
            </w:r>
            <w:r w:rsidRPr="005D2478">
              <w:rPr>
                <w:rFonts w:cstheme="minorHAnsi"/>
                <w:sz w:val="20"/>
                <w:szCs w:val="20"/>
              </w:rPr>
              <w:t xml:space="preserve"> for the office</w:t>
            </w:r>
            <w:r w:rsidR="006D6C0A">
              <w:rPr>
                <w:rFonts w:cstheme="minorHAnsi"/>
                <w:sz w:val="20"/>
                <w:szCs w:val="20"/>
              </w:rPr>
              <w:t>/unit</w:t>
            </w:r>
            <w:r w:rsidRPr="005D2478">
              <w:rPr>
                <w:rFonts w:cstheme="minorHAnsi"/>
                <w:sz w:val="20"/>
                <w:szCs w:val="20"/>
              </w:rPr>
              <w:t xml:space="preserve"> are documented to ensure local office</w:t>
            </w:r>
            <w:r w:rsidR="006D6C0A">
              <w:rPr>
                <w:rFonts w:cstheme="minorHAnsi"/>
                <w:sz w:val="20"/>
                <w:szCs w:val="20"/>
              </w:rPr>
              <w:t>/unit</w:t>
            </w:r>
            <w:r w:rsidRPr="005D2478">
              <w:rPr>
                <w:rFonts w:cstheme="minorHAnsi"/>
                <w:sz w:val="20"/>
                <w:szCs w:val="20"/>
              </w:rPr>
              <w:t xml:space="preserve"> capacity and operating context risks are addressed (refer </w:t>
            </w:r>
            <w:r w:rsidRPr="00311836">
              <w:rPr>
                <w:rFonts w:cstheme="minorHAnsi"/>
                <w:sz w:val="20"/>
                <w:szCs w:val="20"/>
              </w:rPr>
              <w:t xml:space="preserve">section </w:t>
            </w:r>
            <w:r w:rsidR="00311836" w:rsidRPr="00311836">
              <w:rPr>
                <w:rFonts w:cstheme="minorHAnsi"/>
                <w:sz w:val="20"/>
                <w:szCs w:val="20"/>
              </w:rPr>
              <w:t>2.</w:t>
            </w:r>
            <w:r w:rsidR="00311836">
              <w:rPr>
                <w:rFonts w:cstheme="minorHAnsi"/>
                <w:sz w:val="20"/>
                <w:szCs w:val="20"/>
              </w:rPr>
              <w:t xml:space="preserve">5 </w:t>
            </w:r>
            <w:r w:rsidRPr="005D2478">
              <w:rPr>
                <w:rFonts w:cstheme="minorHAnsi"/>
                <w:sz w:val="20"/>
                <w:szCs w:val="20"/>
              </w:rPr>
              <w:t>for guidance on preparing the local ICF).</w:t>
            </w:r>
          </w:p>
        </w:tc>
      </w:tr>
      <w:tr w:rsidR="00147C55" w:rsidRPr="005D2478" w14:paraId="6B988B57" w14:textId="77777777" w:rsidTr="363CA695">
        <w:trPr>
          <w:trHeight w:val="20"/>
        </w:trPr>
        <w:tc>
          <w:tcPr>
            <w:tcW w:w="9900" w:type="dxa"/>
            <w:shd w:val="clear" w:color="auto" w:fill="000000" w:themeFill="text1"/>
          </w:tcPr>
          <w:p w14:paraId="0632F2C8" w14:textId="38F3DFF3" w:rsidR="00011B58" w:rsidRPr="00570E5D"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70E5D">
              <w:rPr>
                <w:rFonts w:cstheme="minorHAnsi"/>
                <w:b/>
                <w:bCs/>
                <w:sz w:val="20"/>
                <w:szCs w:val="20"/>
              </w:rPr>
              <w:t>Making legal commitments</w:t>
            </w:r>
          </w:p>
        </w:tc>
      </w:tr>
      <w:tr w:rsidR="007B1BE3" w:rsidRPr="005D2478" w14:paraId="39F25437" w14:textId="77777777" w:rsidTr="363CA695">
        <w:trPr>
          <w:trHeight w:val="20"/>
        </w:trPr>
        <w:tc>
          <w:tcPr>
            <w:tcW w:w="9900" w:type="dxa"/>
          </w:tcPr>
          <w:p w14:paraId="50C89469" w14:textId="39DDFF41" w:rsidR="00011B58" w:rsidRPr="00342286" w:rsidRDefault="00011B58">
            <w:pPr>
              <w:pStyle w:val="ListParagraph"/>
              <w:widowControl w:val="0"/>
              <w:numPr>
                <w:ilvl w:val="0"/>
                <w:numId w:val="51"/>
              </w:numPr>
              <w:autoSpaceDE w:val="0"/>
              <w:autoSpaceDN w:val="0"/>
              <w:spacing w:after="0" w:line="240" w:lineRule="auto"/>
              <w:rPr>
                <w:sz w:val="20"/>
                <w:szCs w:val="20"/>
              </w:rPr>
            </w:pPr>
            <w:r w:rsidRPr="363CA695">
              <w:rPr>
                <w:b/>
                <w:bCs/>
                <w:sz w:val="20"/>
                <w:szCs w:val="20"/>
              </w:rPr>
              <w:t>General:</w:t>
            </w:r>
            <w:r w:rsidRPr="363CA695">
              <w:rPr>
                <w:sz w:val="20"/>
                <w:szCs w:val="20"/>
              </w:rPr>
              <w:t xml:space="preserve"> ensures that only standard contracts</w:t>
            </w:r>
            <w:r w:rsidRPr="363CA695">
              <w:rPr>
                <w:rStyle w:val="FootnoteReference"/>
                <w:sz w:val="20"/>
                <w:szCs w:val="20"/>
              </w:rPr>
              <w:footnoteReference w:id="36"/>
            </w:r>
            <w:r w:rsidRPr="363CA695">
              <w:rPr>
                <w:sz w:val="20"/>
                <w:szCs w:val="20"/>
              </w:rPr>
              <w:t xml:space="preserve"> &amp; agreements are signed (e.g., MOUs; cost-sharing agreements; development project documents &amp; budget revisions; POs and ICs; authorization for travel). Where any legal agreement to be signed by the office</w:t>
            </w:r>
            <w:r w:rsidR="006D6C0A" w:rsidRPr="363CA695">
              <w:rPr>
                <w:sz w:val="20"/>
                <w:szCs w:val="20"/>
              </w:rPr>
              <w:t>/unit</w:t>
            </w:r>
            <w:r w:rsidRPr="363CA695">
              <w:rPr>
                <w:sz w:val="20"/>
                <w:szCs w:val="20"/>
              </w:rPr>
              <w:t xml:space="preserve"> deviates from model templates in POPP (see</w:t>
            </w:r>
            <w:r w:rsidRPr="363CA695">
              <w:rPr>
                <w:color w:val="0462C1"/>
                <w:sz w:val="20"/>
                <w:szCs w:val="20"/>
              </w:rPr>
              <w:t xml:space="preserve"> </w:t>
            </w:r>
            <w:hyperlink r:id="rId165">
              <w:r w:rsidRPr="363CA695">
                <w:rPr>
                  <w:color w:val="0462C1"/>
                  <w:sz w:val="20"/>
                  <w:szCs w:val="20"/>
                  <w:u w:val="single" w:color="0462C1"/>
                </w:rPr>
                <w:t>selecting an</w:t>
              </w:r>
            </w:hyperlink>
            <w:r w:rsidRPr="363CA695">
              <w:rPr>
                <w:color w:val="0462C1"/>
                <w:spacing w:val="1"/>
                <w:sz w:val="20"/>
                <w:szCs w:val="20"/>
              </w:rPr>
              <w:t xml:space="preserve"> </w:t>
            </w:r>
            <w:hyperlink r:id="rId166">
              <w:r w:rsidRPr="363CA695">
                <w:rPr>
                  <w:color w:val="0462C1"/>
                  <w:sz w:val="20"/>
                  <w:szCs w:val="20"/>
                  <w:u w:val="single" w:color="0462C1"/>
                </w:rPr>
                <w:t>implementing partner)</w:t>
              </w:r>
              <w:r w:rsidRPr="363CA695">
                <w:rPr>
                  <w:color w:val="0462C1"/>
                  <w:sz w:val="20"/>
                  <w:szCs w:val="20"/>
                </w:rPr>
                <w:t xml:space="preserve"> </w:t>
              </w:r>
            </w:hyperlink>
            <w:r w:rsidRPr="363CA695">
              <w:rPr>
                <w:color w:val="0462C1"/>
                <w:sz w:val="20"/>
                <w:szCs w:val="20"/>
              </w:rPr>
              <w:t xml:space="preserve">they </w:t>
            </w:r>
            <w:r w:rsidRPr="363CA695">
              <w:rPr>
                <w:sz w:val="20"/>
                <w:szCs w:val="20"/>
              </w:rPr>
              <w:t>must be referred to BMS/Office of Legal Services (OLS) for clearance and to Bureau of</w:t>
            </w:r>
            <w:r w:rsidRPr="363CA695">
              <w:rPr>
                <w:spacing w:val="1"/>
                <w:sz w:val="20"/>
                <w:szCs w:val="20"/>
              </w:rPr>
              <w:t xml:space="preserve"> </w:t>
            </w:r>
            <w:r w:rsidRPr="363CA695">
              <w:rPr>
                <w:sz w:val="20"/>
                <w:szCs w:val="20"/>
              </w:rPr>
              <w:t>External Relations and Advocacy (BERA) (</w:t>
            </w:r>
            <w:hyperlink r:id="rId167">
              <w:r w:rsidRPr="363CA695">
                <w:rPr>
                  <w:color w:val="0462C1"/>
                  <w:sz w:val="20"/>
                  <w:szCs w:val="20"/>
                  <w:u w:val="single" w:color="0462C1"/>
                </w:rPr>
                <w:t>cosupport@undp.org</w:t>
              </w:r>
            </w:hyperlink>
            <w:r w:rsidRPr="363CA695">
              <w:rPr>
                <w:sz w:val="20"/>
                <w:szCs w:val="20"/>
              </w:rPr>
              <w:t>), including in cases where a proposed MOU relates to</w:t>
            </w:r>
            <w:r w:rsidRPr="363CA695">
              <w:rPr>
                <w:spacing w:val="1"/>
                <w:sz w:val="20"/>
                <w:szCs w:val="20"/>
              </w:rPr>
              <w:t xml:space="preserve"> </w:t>
            </w:r>
            <w:r w:rsidRPr="363CA695">
              <w:rPr>
                <w:sz w:val="20"/>
                <w:szCs w:val="20"/>
              </w:rPr>
              <w:t>financing</w:t>
            </w:r>
            <w:r w:rsidRPr="363CA695">
              <w:rPr>
                <w:spacing w:val="-2"/>
                <w:sz w:val="20"/>
                <w:szCs w:val="20"/>
              </w:rPr>
              <w:t xml:space="preserve"> </w:t>
            </w:r>
            <w:r w:rsidRPr="363CA695">
              <w:rPr>
                <w:sz w:val="20"/>
                <w:szCs w:val="20"/>
              </w:rPr>
              <w:t>activities. All revenue-generating agreements must be submitted to BMS/GSSC for recording in Quantum within one week of signature. Requirements for specific contract types are noted below.</w:t>
            </w:r>
          </w:p>
        </w:tc>
      </w:tr>
      <w:tr w:rsidR="007B1BE3" w:rsidRPr="005D2478" w14:paraId="5371ADF5" w14:textId="77777777" w:rsidTr="363CA695">
        <w:trPr>
          <w:trHeight w:val="20"/>
        </w:trPr>
        <w:tc>
          <w:tcPr>
            <w:tcW w:w="9900" w:type="dxa"/>
          </w:tcPr>
          <w:p w14:paraId="28B8C531" w14:textId="46FD9085" w:rsidR="00342286" w:rsidRPr="00342286" w:rsidRDefault="00342286">
            <w:pPr>
              <w:pStyle w:val="ListParagraph"/>
              <w:widowControl w:val="0"/>
              <w:numPr>
                <w:ilvl w:val="0"/>
                <w:numId w:val="51"/>
              </w:numPr>
              <w:autoSpaceDE w:val="0"/>
              <w:autoSpaceDN w:val="0"/>
              <w:spacing w:after="0" w:line="240" w:lineRule="auto"/>
              <w:rPr>
                <w:sz w:val="20"/>
                <w:szCs w:val="20"/>
              </w:rPr>
            </w:pPr>
            <w:r w:rsidRPr="363CA695">
              <w:rPr>
                <w:b/>
                <w:bCs/>
                <w:sz w:val="20"/>
                <w:szCs w:val="20"/>
              </w:rPr>
              <w:t>MOUs:</w:t>
            </w:r>
            <w:r w:rsidRPr="363CA695">
              <w:rPr>
                <w:sz w:val="20"/>
                <w:szCs w:val="20"/>
              </w:rPr>
              <w:t xml:space="preserve"> MOUs generally apply to agreements between UNDP and other UN organizations and</w:t>
            </w:r>
            <w:r w:rsidRPr="363CA695">
              <w:rPr>
                <w:spacing w:val="1"/>
                <w:sz w:val="20"/>
                <w:szCs w:val="20"/>
              </w:rPr>
              <w:t xml:space="preserve"> </w:t>
            </w:r>
            <w:r w:rsidRPr="363CA695">
              <w:rPr>
                <w:sz w:val="20"/>
                <w:szCs w:val="20"/>
              </w:rPr>
              <w:t xml:space="preserve">government institutions. They are also used in </w:t>
            </w:r>
            <w:proofErr w:type="gramStart"/>
            <w:r w:rsidRPr="363CA695">
              <w:rPr>
                <w:sz w:val="20"/>
                <w:szCs w:val="20"/>
              </w:rPr>
              <w:t>partnership</w:t>
            </w:r>
            <w:proofErr w:type="gramEnd"/>
            <w:r w:rsidRPr="363CA695">
              <w:rPr>
                <w:sz w:val="20"/>
                <w:szCs w:val="20"/>
              </w:rPr>
              <w:t xml:space="preserve"> (not procurement) to record an intent to</w:t>
            </w:r>
            <w:r w:rsidRPr="363CA695">
              <w:rPr>
                <w:spacing w:val="1"/>
                <w:sz w:val="20"/>
                <w:szCs w:val="20"/>
              </w:rPr>
              <w:t xml:space="preserve"> </w:t>
            </w:r>
            <w:r w:rsidRPr="363CA695">
              <w:rPr>
                <w:sz w:val="20"/>
                <w:szCs w:val="20"/>
              </w:rPr>
              <w:t>collaborate with another entity in areas of mutual interest, such as common services or common</w:t>
            </w:r>
            <w:r w:rsidRPr="363CA695">
              <w:rPr>
                <w:spacing w:val="1"/>
                <w:sz w:val="20"/>
                <w:szCs w:val="20"/>
              </w:rPr>
              <w:t xml:space="preserve"> </w:t>
            </w:r>
            <w:r w:rsidRPr="363CA695">
              <w:rPr>
                <w:sz w:val="20"/>
                <w:szCs w:val="20"/>
              </w:rPr>
              <w:t xml:space="preserve">premises. MOUs should not be used instead of regular contracts when purchasing goods or services is the essence of the relationship. </w:t>
            </w:r>
          </w:p>
        </w:tc>
      </w:tr>
      <w:tr w:rsidR="007B1BE3" w:rsidRPr="005D2478" w14:paraId="665BB0D6" w14:textId="77777777" w:rsidTr="363CA695">
        <w:trPr>
          <w:trHeight w:val="20"/>
        </w:trPr>
        <w:tc>
          <w:tcPr>
            <w:tcW w:w="9900" w:type="dxa"/>
          </w:tcPr>
          <w:p w14:paraId="5F4B49D1" w14:textId="5A6B6706"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pacing w:val="3"/>
                <w:sz w:val="20"/>
                <w:szCs w:val="20"/>
              </w:rPr>
            </w:pPr>
            <w:r w:rsidRPr="005D2478">
              <w:rPr>
                <w:rFonts w:cstheme="minorHAnsi"/>
                <w:b/>
                <w:bCs/>
                <w:sz w:val="20"/>
                <w:szCs w:val="20"/>
              </w:rPr>
              <w:t>Cost-sharing agreements:</w:t>
            </w:r>
            <w:r w:rsidRPr="005D2478">
              <w:rPr>
                <w:rFonts w:cstheme="minorHAnsi"/>
                <w:sz w:val="20"/>
                <w:szCs w:val="20"/>
              </w:rPr>
              <w:t xml:space="preserve"> If the donor insists on using a</w:t>
            </w:r>
            <w:r w:rsidRPr="005D2478">
              <w:rPr>
                <w:rFonts w:cstheme="minorHAnsi"/>
                <w:spacing w:val="1"/>
                <w:sz w:val="20"/>
                <w:szCs w:val="20"/>
              </w:rPr>
              <w:t xml:space="preserve"> </w:t>
            </w:r>
            <w:r w:rsidRPr="005D2478">
              <w:rPr>
                <w:rFonts w:cstheme="minorHAnsi"/>
                <w:sz w:val="20"/>
                <w:szCs w:val="20"/>
              </w:rPr>
              <w:t>non-standard cost-sharing agreement, the Head of Office</w:t>
            </w:r>
            <w:r w:rsidR="006D6C0A">
              <w:rPr>
                <w:rFonts w:cstheme="minorHAnsi"/>
                <w:sz w:val="20"/>
                <w:szCs w:val="20"/>
              </w:rPr>
              <w:t xml:space="preserve">/Unit </w:t>
            </w:r>
            <w:r w:rsidRPr="005D2478">
              <w:rPr>
                <w:rFonts w:cstheme="minorHAnsi"/>
                <w:sz w:val="20"/>
                <w:szCs w:val="20"/>
              </w:rPr>
              <w:t>must seek clearance from the BMS Director. RRs also have the authority to sign cost-sharing</w:t>
            </w:r>
            <w:r w:rsidRPr="005D2478">
              <w:rPr>
                <w:rFonts w:cstheme="minorHAnsi"/>
                <w:spacing w:val="1"/>
                <w:sz w:val="20"/>
                <w:szCs w:val="20"/>
              </w:rPr>
              <w:t xml:space="preserve"> </w:t>
            </w:r>
            <w:r w:rsidRPr="005D2478">
              <w:rPr>
                <w:rFonts w:cstheme="minorHAnsi"/>
                <w:sz w:val="20"/>
                <w:szCs w:val="20"/>
              </w:rPr>
              <w:t>agreements with participating entities and agencies in any common services, common premises, UN</w:t>
            </w:r>
            <w:r w:rsidRPr="005D2478">
              <w:rPr>
                <w:rFonts w:cstheme="minorHAnsi"/>
                <w:spacing w:val="1"/>
                <w:sz w:val="20"/>
                <w:szCs w:val="20"/>
              </w:rPr>
              <w:t xml:space="preserve"> </w:t>
            </w:r>
            <w:r w:rsidRPr="005D2478">
              <w:rPr>
                <w:rFonts w:cstheme="minorHAnsi"/>
                <w:sz w:val="20"/>
                <w:szCs w:val="20"/>
              </w:rPr>
              <w:t>House,</w:t>
            </w:r>
            <w:r w:rsidRPr="005D2478">
              <w:rPr>
                <w:rFonts w:cstheme="minorHAnsi"/>
                <w:spacing w:val="-3"/>
                <w:sz w:val="20"/>
                <w:szCs w:val="20"/>
              </w:rPr>
              <w:t xml:space="preserve"> </w:t>
            </w:r>
            <w:r w:rsidRPr="005D2478">
              <w:rPr>
                <w:rFonts w:cstheme="minorHAnsi"/>
                <w:sz w:val="20"/>
                <w:szCs w:val="20"/>
              </w:rPr>
              <w:t>or</w:t>
            </w:r>
            <w:r w:rsidRPr="005D2478">
              <w:rPr>
                <w:rFonts w:cstheme="minorHAnsi"/>
                <w:spacing w:val="-2"/>
                <w:sz w:val="20"/>
                <w:szCs w:val="20"/>
              </w:rPr>
              <w:t xml:space="preserve"> </w:t>
            </w:r>
            <w:r w:rsidRPr="005D2478">
              <w:rPr>
                <w:rFonts w:cstheme="minorHAnsi"/>
                <w:sz w:val="20"/>
                <w:szCs w:val="20"/>
              </w:rPr>
              <w:t>Delivering</w:t>
            </w:r>
            <w:r w:rsidRPr="005D2478">
              <w:rPr>
                <w:rFonts w:cstheme="minorHAnsi"/>
                <w:spacing w:val="-1"/>
                <w:sz w:val="20"/>
                <w:szCs w:val="20"/>
              </w:rPr>
              <w:t xml:space="preserve"> </w:t>
            </w:r>
            <w:r w:rsidRPr="005D2478">
              <w:rPr>
                <w:rFonts w:cstheme="minorHAnsi"/>
                <w:sz w:val="20"/>
                <w:szCs w:val="20"/>
              </w:rPr>
              <w:t>as</w:t>
            </w:r>
            <w:r w:rsidRPr="005D2478">
              <w:rPr>
                <w:rFonts w:cstheme="minorHAnsi"/>
                <w:spacing w:val="-2"/>
                <w:sz w:val="20"/>
                <w:szCs w:val="20"/>
              </w:rPr>
              <w:t xml:space="preserve"> </w:t>
            </w:r>
            <w:r w:rsidRPr="005D2478">
              <w:rPr>
                <w:rFonts w:cstheme="minorHAnsi"/>
                <w:sz w:val="20"/>
                <w:szCs w:val="20"/>
              </w:rPr>
              <w:t>One</w:t>
            </w:r>
            <w:r w:rsidRPr="005D2478">
              <w:rPr>
                <w:rFonts w:cstheme="minorHAnsi"/>
                <w:spacing w:val="1"/>
                <w:sz w:val="20"/>
                <w:szCs w:val="20"/>
              </w:rPr>
              <w:t xml:space="preserve"> </w:t>
            </w:r>
            <w:r w:rsidRPr="005D2478">
              <w:rPr>
                <w:rFonts w:cstheme="minorHAnsi"/>
                <w:sz w:val="20"/>
                <w:szCs w:val="20"/>
              </w:rPr>
              <w:t>initiative.</w:t>
            </w:r>
          </w:p>
        </w:tc>
      </w:tr>
      <w:tr w:rsidR="007B1BE3" w:rsidRPr="005D2478" w14:paraId="5CE91FA1" w14:textId="77777777" w:rsidTr="363CA695">
        <w:trPr>
          <w:trHeight w:val="20"/>
        </w:trPr>
        <w:tc>
          <w:tcPr>
            <w:tcW w:w="9900" w:type="dxa"/>
          </w:tcPr>
          <w:p w14:paraId="09D574A9" w14:textId="07A0A538"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z w:val="20"/>
                <w:szCs w:val="20"/>
              </w:rPr>
            </w:pPr>
            <w:r w:rsidRPr="005D2478">
              <w:rPr>
                <w:rFonts w:cstheme="minorHAnsi"/>
                <w:b/>
                <w:bCs/>
                <w:spacing w:val="3"/>
                <w:sz w:val="20"/>
                <w:szCs w:val="20"/>
              </w:rPr>
              <w:t>Trust fund agreements:</w:t>
            </w:r>
            <w:r w:rsidRPr="005D2478">
              <w:rPr>
                <w:rFonts w:cstheme="minorHAnsi"/>
                <w:spacing w:val="3"/>
                <w:sz w:val="20"/>
                <w:szCs w:val="20"/>
              </w:rPr>
              <w:t xml:space="preserve"> </w:t>
            </w:r>
            <w:r w:rsidRPr="005D2478">
              <w:rPr>
                <w:rFonts w:cstheme="minorHAnsi"/>
                <w:sz w:val="20"/>
                <w:szCs w:val="20"/>
              </w:rPr>
              <w:t>Heads</w:t>
            </w:r>
            <w:r w:rsidRPr="005D2478">
              <w:rPr>
                <w:rFonts w:cstheme="minorHAnsi"/>
                <w:spacing w:val="1"/>
                <w:sz w:val="20"/>
                <w:szCs w:val="20"/>
              </w:rPr>
              <w:t xml:space="preserve"> </w:t>
            </w:r>
            <w:r w:rsidRPr="005D2478">
              <w:rPr>
                <w:rFonts w:cstheme="minorHAnsi"/>
                <w:sz w:val="20"/>
                <w:szCs w:val="20"/>
              </w:rPr>
              <w:t xml:space="preserve">of </w:t>
            </w:r>
            <w:r w:rsidR="006D6C0A">
              <w:rPr>
                <w:rFonts w:cstheme="minorHAnsi"/>
                <w:sz w:val="20"/>
                <w:szCs w:val="20"/>
              </w:rPr>
              <w:t>O</w:t>
            </w:r>
            <w:r w:rsidRPr="005D2478">
              <w:rPr>
                <w:rFonts w:cstheme="minorHAnsi"/>
                <w:sz w:val="20"/>
                <w:szCs w:val="20"/>
              </w:rPr>
              <w:t>ffice</w:t>
            </w:r>
            <w:r w:rsidR="006D6C0A">
              <w:rPr>
                <w:rFonts w:cstheme="minorHAnsi"/>
                <w:sz w:val="20"/>
                <w:szCs w:val="20"/>
              </w:rPr>
              <w:t>s/Units</w:t>
            </w:r>
            <w:r w:rsidRPr="005D2478">
              <w:rPr>
                <w:rFonts w:cstheme="minorHAnsi"/>
                <w:sz w:val="20"/>
                <w:szCs w:val="20"/>
              </w:rPr>
              <w:t xml:space="preserve"> do </w:t>
            </w:r>
            <w:r w:rsidRPr="005D2478">
              <w:rPr>
                <w:rFonts w:cstheme="minorHAnsi"/>
                <w:sz w:val="20"/>
                <w:szCs w:val="20"/>
                <w:u w:val="single"/>
              </w:rPr>
              <w:t>not</w:t>
            </w:r>
            <w:r w:rsidRPr="005D2478">
              <w:rPr>
                <w:rFonts w:cstheme="minorHAnsi"/>
                <w:sz w:val="20"/>
                <w:szCs w:val="20"/>
              </w:rPr>
              <w:t xml:space="preserve"> have authority to sign trust fund agreements, which must be sent to the BERA for written</w:t>
            </w:r>
            <w:r w:rsidRPr="005D2478">
              <w:rPr>
                <w:rFonts w:cstheme="minorHAnsi"/>
                <w:spacing w:val="1"/>
                <w:sz w:val="20"/>
                <w:szCs w:val="20"/>
              </w:rPr>
              <w:t xml:space="preserve"> </w:t>
            </w:r>
            <w:r w:rsidRPr="005D2478">
              <w:rPr>
                <w:rFonts w:cstheme="minorHAnsi"/>
                <w:sz w:val="20"/>
                <w:szCs w:val="20"/>
              </w:rPr>
              <w:t>clearance and signature by the Associate Administrator.</w:t>
            </w:r>
          </w:p>
        </w:tc>
      </w:tr>
      <w:tr w:rsidR="007B1BE3" w:rsidRPr="005D2478" w14:paraId="2B4F4B9E" w14:textId="77777777" w:rsidTr="363CA695">
        <w:trPr>
          <w:trHeight w:val="20"/>
        </w:trPr>
        <w:tc>
          <w:tcPr>
            <w:tcW w:w="9900" w:type="dxa"/>
          </w:tcPr>
          <w:p w14:paraId="27ACCD5E" w14:textId="5326B58F" w:rsidR="00342286" w:rsidRPr="00342286" w:rsidRDefault="00342286">
            <w:pPr>
              <w:pStyle w:val="ListParagraph"/>
              <w:widowControl w:val="0"/>
              <w:numPr>
                <w:ilvl w:val="0"/>
                <w:numId w:val="51"/>
              </w:numPr>
              <w:autoSpaceDE w:val="0"/>
              <w:autoSpaceDN w:val="0"/>
              <w:spacing w:after="0" w:line="240" w:lineRule="auto"/>
              <w:rPr>
                <w:sz w:val="20"/>
                <w:szCs w:val="20"/>
              </w:rPr>
            </w:pPr>
            <w:r w:rsidRPr="363CA695">
              <w:rPr>
                <w:b/>
                <w:bCs/>
                <w:sz w:val="20"/>
                <w:szCs w:val="20"/>
              </w:rPr>
              <w:t xml:space="preserve">Project documents and project budget revisions for development projects: </w:t>
            </w:r>
            <w:r w:rsidRPr="363CA695">
              <w:rPr>
                <w:sz w:val="20"/>
                <w:szCs w:val="20"/>
              </w:rPr>
              <w:t>In executing delegated authority to sign project documents on behalf of UNDP (per</w:t>
            </w:r>
            <w:r w:rsidRPr="363CA695">
              <w:rPr>
                <w:b/>
                <w:bCs/>
                <w:sz w:val="20"/>
                <w:szCs w:val="20"/>
              </w:rPr>
              <w:t xml:space="preserve"> </w:t>
            </w:r>
            <w:hyperlink r:id="rId168">
              <w:r w:rsidRPr="363CA695">
                <w:rPr>
                  <w:rStyle w:val="Hyperlink"/>
                  <w:sz w:val="20"/>
                  <w:szCs w:val="20"/>
                </w:rPr>
                <w:t xml:space="preserve">POPP Delegation of Authority Policy), </w:t>
              </w:r>
            </w:hyperlink>
            <w:r w:rsidRPr="363CA695">
              <w:rPr>
                <w:sz w:val="20"/>
                <w:szCs w:val="20"/>
              </w:rPr>
              <w:t xml:space="preserve">the RR is accountable for ensuring compliance with </w:t>
            </w:r>
            <w:hyperlink r:id="rId169">
              <w:r w:rsidRPr="363CA695">
                <w:rPr>
                  <w:rStyle w:val="Hyperlink"/>
                  <w:sz w:val="20"/>
                  <w:szCs w:val="20"/>
                </w:rPr>
                <w:t>POPP Project Management</w:t>
              </w:r>
            </w:hyperlink>
            <w:r w:rsidRPr="363CA695">
              <w:rPr>
                <w:sz w:val="20"/>
                <w:szCs w:val="20"/>
              </w:rPr>
              <w:t xml:space="preserve">, including ensuring that a Project Appraisal Committee (PAC) meeting took place and that the annual work plan was revised to address PAC comments. </w:t>
            </w:r>
            <w:r w:rsidRPr="363CA695">
              <w:rPr>
                <w:b/>
                <w:bCs/>
                <w:color w:val="4472C4" w:themeColor="accent1"/>
                <w:sz w:val="20"/>
                <w:szCs w:val="20"/>
                <w:u w:val="single"/>
              </w:rPr>
              <w:t>Exceptions:</w:t>
            </w:r>
            <w:r w:rsidRPr="363CA695">
              <w:rPr>
                <w:color w:val="4472C4" w:themeColor="accent1"/>
                <w:sz w:val="20"/>
                <w:szCs w:val="20"/>
                <w:u w:val="single"/>
              </w:rPr>
              <w:t xml:space="preserve"> </w:t>
            </w:r>
            <w:r w:rsidRPr="363CA695">
              <w:rPr>
                <w:sz w:val="20"/>
                <w:szCs w:val="20"/>
              </w:rPr>
              <w:t xml:space="preserve">The </w:t>
            </w:r>
            <w:proofErr w:type="spellStart"/>
            <w:r w:rsidRPr="363CA695">
              <w:rPr>
                <w:sz w:val="20"/>
                <w:szCs w:val="20"/>
              </w:rPr>
              <w:t>programme</w:t>
            </w:r>
            <w:proofErr w:type="spellEnd"/>
            <w:r w:rsidRPr="363CA695">
              <w:rPr>
                <w:sz w:val="20"/>
                <w:szCs w:val="20"/>
              </w:rPr>
              <w:t xml:space="preserve"> manager/Resident Representative </w:t>
            </w:r>
            <w:r w:rsidRPr="363CA695">
              <w:rPr>
                <w:b/>
                <w:bCs/>
                <w:sz w:val="20"/>
                <w:szCs w:val="20"/>
              </w:rPr>
              <w:t>does not have authority to approve a project document in the following cases</w:t>
            </w:r>
            <w:r w:rsidRPr="363CA695">
              <w:rPr>
                <w:sz w:val="20"/>
                <w:szCs w:val="20"/>
              </w:rPr>
              <w:t>, unless he/she has received specific authorization from the Regional Bureau Director: (</w:t>
            </w:r>
            <w:proofErr w:type="spellStart"/>
            <w:r w:rsidRPr="363CA695">
              <w:rPr>
                <w:sz w:val="20"/>
                <w:szCs w:val="20"/>
              </w:rPr>
              <w:t>i</w:t>
            </w:r>
            <w:proofErr w:type="spellEnd"/>
            <w:r w:rsidRPr="363CA695">
              <w:rPr>
                <w:sz w:val="20"/>
                <w:szCs w:val="20"/>
              </w:rPr>
              <w:t xml:space="preserve">) when support to an infrastructure project is proposed (construction or other major infrastructure development; see related policy on </w:t>
            </w:r>
            <w:hyperlink r:id="rId170">
              <w:r w:rsidRPr="363CA695">
                <w:rPr>
                  <w:rStyle w:val="Hyperlink"/>
                  <w:sz w:val="20"/>
                  <w:szCs w:val="20"/>
                </w:rPr>
                <w:t>Construction Works</w:t>
              </w:r>
            </w:hyperlink>
            <w:r w:rsidRPr="363CA695">
              <w:rPr>
                <w:sz w:val="20"/>
                <w:szCs w:val="20"/>
              </w:rPr>
              <w:t xml:space="preserve">); and (ii) when the amount of core/TRAC funds to be spent on low-value grants would increase the overall amount spent on low-value grants beyond 10 percent of the country’s core allocation for the country </w:t>
            </w:r>
            <w:proofErr w:type="spellStart"/>
            <w:r w:rsidRPr="363CA695">
              <w:rPr>
                <w:sz w:val="20"/>
                <w:szCs w:val="20"/>
              </w:rPr>
              <w:t>programme</w:t>
            </w:r>
            <w:proofErr w:type="spellEnd"/>
            <w:r w:rsidRPr="363CA695">
              <w:rPr>
                <w:sz w:val="20"/>
                <w:szCs w:val="20"/>
              </w:rPr>
              <w:t xml:space="preserve"> period. (</w:t>
            </w:r>
            <w:hyperlink r:id="rId171">
              <w:r w:rsidRPr="363CA695">
                <w:rPr>
                  <w:rStyle w:val="Hyperlink"/>
                  <w:sz w:val="20"/>
                  <w:szCs w:val="20"/>
                </w:rPr>
                <w:t>See POPP Appraise &amp; Approve, para 4</w:t>
              </w:r>
            </w:hyperlink>
            <w:r w:rsidRPr="363CA695">
              <w:rPr>
                <w:sz w:val="20"/>
                <w:szCs w:val="20"/>
              </w:rPr>
              <w:t>).</w:t>
            </w:r>
          </w:p>
        </w:tc>
      </w:tr>
      <w:tr w:rsidR="007B1BE3" w:rsidRPr="005D2478" w14:paraId="106C210F" w14:textId="77777777" w:rsidTr="363CA695">
        <w:trPr>
          <w:trHeight w:val="20"/>
        </w:trPr>
        <w:tc>
          <w:tcPr>
            <w:tcW w:w="9900" w:type="dxa"/>
          </w:tcPr>
          <w:p w14:paraId="61A19F60" w14:textId="4F79FC5F" w:rsidR="00342286" w:rsidRPr="00342286" w:rsidRDefault="00342286">
            <w:pPr>
              <w:pStyle w:val="ListParagraph"/>
              <w:widowControl w:val="0"/>
              <w:numPr>
                <w:ilvl w:val="0"/>
                <w:numId w:val="51"/>
              </w:numPr>
              <w:autoSpaceDE w:val="0"/>
              <w:autoSpaceDN w:val="0"/>
              <w:spacing w:after="0" w:line="240" w:lineRule="auto"/>
              <w:contextualSpacing w:val="0"/>
              <w:rPr>
                <w:rFonts w:cstheme="minorHAnsi"/>
                <w:sz w:val="20"/>
                <w:szCs w:val="20"/>
              </w:rPr>
            </w:pPr>
            <w:r w:rsidRPr="005D2478">
              <w:rPr>
                <w:rFonts w:cstheme="minorHAnsi"/>
                <w:b/>
                <w:bCs/>
                <w:sz w:val="20"/>
                <w:szCs w:val="20"/>
              </w:rPr>
              <w:t>Purchase Orders and IC contracts:</w:t>
            </w:r>
            <w:r w:rsidRPr="005D2478">
              <w:rPr>
                <w:rFonts w:cstheme="minorHAnsi"/>
                <w:sz w:val="20"/>
                <w:szCs w:val="20"/>
              </w:rPr>
              <w:t xml:space="preserve"> As described in POPP (see </w:t>
            </w:r>
            <w:hyperlink r:id="rId172">
              <w:r w:rsidRPr="005D2478">
                <w:rPr>
                  <w:rStyle w:val="Hyperlink"/>
                  <w:rFonts w:cstheme="minorHAnsi"/>
                  <w:sz w:val="20"/>
                  <w:szCs w:val="20"/>
                </w:rPr>
                <w:t>procurement authority)</w:t>
              </w:r>
            </w:hyperlink>
            <w:r w:rsidRPr="005D2478">
              <w:rPr>
                <w:rFonts w:cstheme="minorHAnsi"/>
                <w:sz w:val="20"/>
                <w:szCs w:val="20"/>
              </w:rPr>
              <w:t>, CPO delegates authority to each Head of Office</w:t>
            </w:r>
            <w:r w:rsidR="006D6C0A">
              <w:rPr>
                <w:rFonts w:cstheme="minorHAnsi"/>
                <w:sz w:val="20"/>
                <w:szCs w:val="20"/>
              </w:rPr>
              <w:t>/Unit</w:t>
            </w:r>
            <w:r w:rsidRPr="005D2478">
              <w:rPr>
                <w:rFonts w:cstheme="minorHAnsi"/>
                <w:sz w:val="20"/>
                <w:szCs w:val="20"/>
              </w:rPr>
              <w:t xml:space="preserve">, who is accountable for ensuring POPP compliance (see POPP </w:t>
            </w:r>
            <w:hyperlink r:id="rId173" w:history="1">
              <w:r w:rsidRPr="005D2478">
                <w:rPr>
                  <w:rStyle w:val="Hyperlink"/>
                  <w:rFonts w:cstheme="minorHAnsi"/>
                  <w:sz w:val="20"/>
                  <w:szCs w:val="20"/>
                </w:rPr>
                <w:t>contract, asset, and procurement management</w:t>
              </w:r>
            </w:hyperlink>
            <w:r w:rsidRPr="005D2478">
              <w:rPr>
                <w:rFonts w:cstheme="minorHAnsi"/>
                <w:sz w:val="20"/>
                <w:szCs w:val="20"/>
              </w:rPr>
              <w:t>), including with respect to review by the Contracts, Assets, and Procurement Committee (CAPC), the Advisory Committee on Procurement (ACP), or the Regional Advisory Committee on Procurement (RACP). The Head of Office</w:t>
            </w:r>
            <w:r w:rsidR="006D6C0A">
              <w:rPr>
                <w:rFonts w:cstheme="minorHAnsi"/>
                <w:sz w:val="20"/>
                <w:szCs w:val="20"/>
              </w:rPr>
              <w:t>/Unit</w:t>
            </w:r>
            <w:r w:rsidRPr="005D2478">
              <w:rPr>
                <w:rFonts w:cstheme="minorHAnsi"/>
                <w:sz w:val="20"/>
                <w:szCs w:val="20"/>
              </w:rPr>
              <w:t xml:space="preserve"> may delegate this authority </w:t>
            </w:r>
            <w:proofErr w:type="gramStart"/>
            <w:r w:rsidRPr="005D2478">
              <w:rPr>
                <w:rFonts w:cstheme="minorHAnsi"/>
                <w:sz w:val="20"/>
                <w:szCs w:val="20"/>
              </w:rPr>
              <w:t>in</w:t>
            </w:r>
            <w:proofErr w:type="gramEnd"/>
            <w:r w:rsidRPr="005D2478">
              <w:rPr>
                <w:rFonts w:cstheme="minorHAnsi"/>
                <w:sz w:val="20"/>
                <w:szCs w:val="20"/>
              </w:rPr>
              <w:t xml:space="preserve"> writing to office</w:t>
            </w:r>
            <w:r w:rsidR="006D6C0A">
              <w:rPr>
                <w:rFonts w:cstheme="minorHAnsi"/>
                <w:sz w:val="20"/>
                <w:szCs w:val="20"/>
              </w:rPr>
              <w:t>/unit</w:t>
            </w:r>
            <w:r w:rsidRPr="005D2478">
              <w:rPr>
                <w:rFonts w:cstheme="minorHAnsi"/>
                <w:sz w:val="20"/>
                <w:szCs w:val="20"/>
              </w:rPr>
              <w:t xml:space="preserve"> staff. Note: Only standard </w:t>
            </w:r>
            <w:r w:rsidRPr="005D2478">
              <w:rPr>
                <w:rFonts w:cstheme="minorHAnsi"/>
                <w:sz w:val="20"/>
                <w:szCs w:val="20"/>
              </w:rPr>
              <w:lastRenderedPageBreak/>
              <w:t xml:space="preserve">contracts and standard POs with UNDP general conditions of contract can be concluded at the CO level. </w:t>
            </w:r>
          </w:p>
        </w:tc>
      </w:tr>
      <w:tr w:rsidR="007B1BE3" w:rsidRPr="005D2478" w14:paraId="1B8C9C68" w14:textId="77777777" w:rsidTr="363CA695">
        <w:trPr>
          <w:trHeight w:val="20"/>
        </w:trPr>
        <w:tc>
          <w:tcPr>
            <w:tcW w:w="9900" w:type="dxa"/>
          </w:tcPr>
          <w:p w14:paraId="03597FE8" w14:textId="32527FF6" w:rsidR="00342286" w:rsidRPr="005D2478" w:rsidRDefault="00342286">
            <w:pPr>
              <w:pStyle w:val="ListParagraph"/>
              <w:widowControl w:val="0"/>
              <w:numPr>
                <w:ilvl w:val="0"/>
                <w:numId w:val="51"/>
              </w:numPr>
              <w:autoSpaceDE w:val="0"/>
              <w:autoSpaceDN w:val="0"/>
              <w:spacing w:after="0" w:line="240" w:lineRule="auto"/>
              <w:contextualSpacing w:val="0"/>
              <w:rPr>
                <w:rFonts w:cstheme="minorHAnsi"/>
                <w:b/>
                <w:bCs/>
                <w:sz w:val="20"/>
                <w:szCs w:val="20"/>
              </w:rPr>
            </w:pPr>
            <w:r w:rsidRPr="005D2478">
              <w:rPr>
                <w:rFonts w:cstheme="minorHAnsi"/>
                <w:b/>
                <w:bCs/>
                <w:sz w:val="20"/>
                <w:szCs w:val="20"/>
              </w:rPr>
              <w:lastRenderedPageBreak/>
              <w:t>Travel:</w:t>
            </w:r>
            <w:r w:rsidRPr="005D2478">
              <w:rPr>
                <w:rFonts w:cstheme="minorHAnsi"/>
                <w:sz w:val="20"/>
                <w:szCs w:val="20"/>
              </w:rPr>
              <w:t xml:space="preserve"> Authorizes travel, ensuring compliance with POPP </w:t>
            </w:r>
            <w:hyperlink r:id="rId174">
              <w:r w:rsidRPr="005D2478">
                <w:rPr>
                  <w:rStyle w:val="Hyperlink"/>
                  <w:rFonts w:cstheme="minorHAnsi"/>
                  <w:sz w:val="20"/>
                  <w:szCs w:val="20"/>
                </w:rPr>
                <w:t xml:space="preserve">Authorizing official business travel. </w:t>
              </w:r>
            </w:hyperlink>
          </w:p>
        </w:tc>
      </w:tr>
      <w:tr w:rsidR="00147C55" w:rsidRPr="005D2478" w14:paraId="25626627" w14:textId="77777777" w:rsidTr="363CA695">
        <w:trPr>
          <w:trHeight w:val="20"/>
        </w:trPr>
        <w:tc>
          <w:tcPr>
            <w:tcW w:w="9900" w:type="dxa"/>
            <w:shd w:val="clear" w:color="auto" w:fill="000000" w:themeFill="text1"/>
          </w:tcPr>
          <w:p w14:paraId="2095942E" w14:textId="4870DE17" w:rsidR="00011B58" w:rsidRPr="005D2478" w:rsidRDefault="00016669">
            <w:pPr>
              <w:pStyle w:val="ListParagraph"/>
              <w:widowControl w:val="0"/>
              <w:numPr>
                <w:ilvl w:val="0"/>
                <w:numId w:val="49"/>
              </w:numPr>
              <w:autoSpaceDE w:val="0"/>
              <w:autoSpaceDN w:val="0"/>
              <w:spacing w:after="0" w:line="240" w:lineRule="auto"/>
              <w:rPr>
                <w:b/>
                <w:bCs/>
                <w:sz w:val="20"/>
                <w:szCs w:val="20"/>
              </w:rPr>
            </w:pPr>
            <w:r w:rsidRPr="363CA695">
              <w:rPr>
                <w:b/>
                <w:bCs/>
                <w:sz w:val="20"/>
                <w:szCs w:val="20"/>
              </w:rPr>
              <w:t>Designating t</w:t>
            </w:r>
            <w:r w:rsidR="00011B58" w:rsidRPr="363CA695">
              <w:rPr>
                <w:b/>
                <w:bCs/>
                <w:sz w:val="20"/>
                <w:szCs w:val="20"/>
              </w:rPr>
              <w:t>ransaction control</w:t>
            </w:r>
            <w:r w:rsidRPr="363CA695">
              <w:rPr>
                <w:b/>
                <w:bCs/>
                <w:sz w:val="20"/>
                <w:szCs w:val="20"/>
              </w:rPr>
              <w:t xml:space="preserve"> roles</w:t>
            </w:r>
          </w:p>
        </w:tc>
      </w:tr>
      <w:tr w:rsidR="007B1BE3" w:rsidRPr="005D2478" w14:paraId="540CDD7A" w14:textId="77777777" w:rsidTr="363CA695">
        <w:trPr>
          <w:trHeight w:val="20"/>
        </w:trPr>
        <w:tc>
          <w:tcPr>
            <w:tcW w:w="9900" w:type="dxa"/>
          </w:tcPr>
          <w:p w14:paraId="2ADF5000" w14:textId="399D2FA8" w:rsidR="00011B58" w:rsidRPr="000E3E36" w:rsidRDefault="00011B58">
            <w:pPr>
              <w:pStyle w:val="ListParagraph"/>
              <w:widowControl w:val="0"/>
              <w:numPr>
                <w:ilvl w:val="0"/>
                <w:numId w:val="52"/>
              </w:numPr>
              <w:autoSpaceDE w:val="0"/>
              <w:autoSpaceDN w:val="0"/>
              <w:spacing w:after="0" w:line="240" w:lineRule="auto"/>
              <w:rPr>
                <w:sz w:val="20"/>
                <w:szCs w:val="20"/>
              </w:rPr>
            </w:pPr>
            <w:r w:rsidRPr="363CA695">
              <w:rPr>
                <w:b/>
                <w:bCs/>
                <w:sz w:val="20"/>
                <w:szCs w:val="20"/>
              </w:rPr>
              <w:t>Designates three authorities for UNDP procurement:</w:t>
            </w:r>
            <w:r w:rsidRPr="363CA695">
              <w:rPr>
                <w:sz w:val="20"/>
                <w:szCs w:val="20"/>
              </w:rPr>
              <w:t xml:space="preserve"> Responsible for designating in writing the three authorities as described in sections 4.1 Project Manager (first authority), 5.</w:t>
            </w:r>
            <w:r w:rsidR="00311836" w:rsidRPr="363CA695">
              <w:rPr>
                <w:sz w:val="20"/>
                <w:szCs w:val="20"/>
              </w:rPr>
              <w:t>4</w:t>
            </w:r>
            <w:r w:rsidRPr="363CA695">
              <w:rPr>
                <w:sz w:val="20"/>
                <w:szCs w:val="20"/>
              </w:rPr>
              <w:t xml:space="preserve"> Approving Manager (second authority), and 5.</w:t>
            </w:r>
            <w:r w:rsidR="00311836" w:rsidRPr="363CA695">
              <w:rPr>
                <w:sz w:val="20"/>
                <w:szCs w:val="20"/>
              </w:rPr>
              <w:t>5</w:t>
            </w:r>
            <w:r w:rsidRPr="363CA695">
              <w:rPr>
                <w:sz w:val="20"/>
                <w:szCs w:val="20"/>
              </w:rPr>
              <w:t xml:space="preserve"> Disbursing Officer (third authority)</w:t>
            </w:r>
            <w:r w:rsidRPr="363CA695">
              <w:rPr>
                <w:rStyle w:val="FootnoteReference"/>
                <w:sz w:val="20"/>
                <w:szCs w:val="20"/>
              </w:rPr>
              <w:footnoteReference w:id="37"/>
            </w:r>
            <w:r w:rsidRPr="363CA695">
              <w:rPr>
                <w:sz w:val="20"/>
                <w:szCs w:val="20"/>
              </w:rPr>
              <w:t xml:space="preserve"> of this Guide, including identifying alternates. The written designation should describe the authorities granted and the associated responsibilities, and the designated manager should acknowledge their awareness and acceptance.</w:t>
            </w:r>
          </w:p>
        </w:tc>
      </w:tr>
      <w:tr w:rsidR="007B1BE3" w:rsidRPr="005D2478" w14:paraId="5688F99F" w14:textId="77777777" w:rsidTr="363CA695">
        <w:trPr>
          <w:trHeight w:val="20"/>
        </w:trPr>
        <w:tc>
          <w:tcPr>
            <w:tcW w:w="9900" w:type="dxa"/>
          </w:tcPr>
          <w:p w14:paraId="6C8C1EDD" w14:textId="7394B2E8" w:rsidR="00342286" w:rsidRPr="00342286" w:rsidRDefault="00342286">
            <w:pPr>
              <w:pStyle w:val="ListParagraph"/>
              <w:widowControl w:val="0"/>
              <w:numPr>
                <w:ilvl w:val="0"/>
                <w:numId w:val="52"/>
              </w:numPr>
              <w:autoSpaceDE w:val="0"/>
              <w:autoSpaceDN w:val="0"/>
              <w:spacing w:after="0" w:line="240" w:lineRule="auto"/>
              <w:rPr>
                <w:sz w:val="20"/>
                <w:szCs w:val="20"/>
              </w:rPr>
            </w:pPr>
            <w:proofErr w:type="gramStart"/>
            <w:r w:rsidRPr="363CA695">
              <w:rPr>
                <w:b/>
                <w:bCs/>
                <w:sz w:val="20"/>
                <w:szCs w:val="20"/>
              </w:rPr>
              <w:t>Designates</w:t>
            </w:r>
            <w:proofErr w:type="gramEnd"/>
            <w:r w:rsidRPr="363CA695">
              <w:rPr>
                <w:b/>
                <w:bCs/>
                <w:sz w:val="20"/>
                <w:szCs w:val="20"/>
              </w:rPr>
              <w:t xml:space="preserve"> staff to prepare and verify service requests submitted to BMS/GSSC:</w:t>
            </w:r>
            <w:r w:rsidRPr="363CA695">
              <w:rPr>
                <w:sz w:val="20"/>
                <w:szCs w:val="20"/>
              </w:rPr>
              <w:t xml:space="preserve"> Assigns staff responsible for entering information into the UNALL case management system/Quantum and </w:t>
            </w:r>
            <w:proofErr w:type="gramStart"/>
            <w:r w:rsidRPr="363CA695">
              <w:rPr>
                <w:sz w:val="20"/>
                <w:szCs w:val="20"/>
              </w:rPr>
              <w:t>assign</w:t>
            </w:r>
            <w:proofErr w:type="gramEnd"/>
            <w:r w:rsidRPr="363CA695">
              <w:rPr>
                <w:sz w:val="20"/>
                <w:szCs w:val="20"/>
              </w:rPr>
              <w:t xml:space="preserve"> staff responsible for verifying the accuracy and completeness of the information for BMS/GSSC to perform the service request. Designations should be in line with the SOPs and user guides issued by BMS/GSSC. It is recommended that two </w:t>
            </w:r>
            <w:proofErr w:type="gramStart"/>
            <w:r w:rsidRPr="363CA695">
              <w:rPr>
                <w:sz w:val="20"/>
                <w:szCs w:val="20"/>
              </w:rPr>
              <w:t>persons</w:t>
            </w:r>
            <w:proofErr w:type="gramEnd"/>
            <w:r w:rsidRPr="363CA695">
              <w:rPr>
                <w:sz w:val="20"/>
                <w:szCs w:val="20"/>
              </w:rPr>
              <w:t xml:space="preserve"> are assigned the responsibility for verifying the accuracy and completeness of the information entered for each category of service request.</w:t>
            </w:r>
          </w:p>
        </w:tc>
      </w:tr>
      <w:tr w:rsidR="007B1BE3" w:rsidRPr="005D2478" w14:paraId="1FB6606D" w14:textId="77777777" w:rsidTr="363CA695">
        <w:trPr>
          <w:trHeight w:val="20"/>
        </w:trPr>
        <w:tc>
          <w:tcPr>
            <w:tcW w:w="9900" w:type="dxa"/>
          </w:tcPr>
          <w:p w14:paraId="4420219D" w14:textId="5495E95C" w:rsidR="00342286" w:rsidRPr="005D2478" w:rsidRDefault="00342286">
            <w:pPr>
              <w:pStyle w:val="ListParagraph"/>
              <w:widowControl w:val="0"/>
              <w:numPr>
                <w:ilvl w:val="0"/>
                <w:numId w:val="52"/>
              </w:numPr>
              <w:autoSpaceDE w:val="0"/>
              <w:autoSpaceDN w:val="0"/>
              <w:spacing w:after="0" w:line="240" w:lineRule="auto"/>
              <w:rPr>
                <w:b/>
                <w:bCs/>
                <w:sz w:val="20"/>
                <w:szCs w:val="20"/>
              </w:rPr>
            </w:pPr>
            <w:r w:rsidRPr="363CA695">
              <w:rPr>
                <w:b/>
                <w:bCs/>
                <w:sz w:val="20"/>
                <w:szCs w:val="20"/>
              </w:rPr>
              <w:t>Emergency Transaction Processing in offices</w:t>
            </w:r>
            <w:r w:rsidR="006D6C0A" w:rsidRPr="363CA695">
              <w:rPr>
                <w:b/>
                <w:bCs/>
                <w:sz w:val="20"/>
                <w:szCs w:val="20"/>
              </w:rPr>
              <w:t>/units</w:t>
            </w:r>
            <w:r w:rsidRPr="363CA695">
              <w:rPr>
                <w:b/>
                <w:bCs/>
                <w:sz w:val="20"/>
                <w:szCs w:val="20"/>
              </w:rPr>
              <w:t xml:space="preserve"> with clustered Accounts Payable processes:</w:t>
            </w:r>
            <w:r w:rsidRPr="363CA695">
              <w:rPr>
                <w:sz w:val="20"/>
                <w:szCs w:val="20"/>
              </w:rPr>
              <w:t xml:space="preserve"> Designates Approving Managers and Disbursing Officers who are authorized to execute the second or third authorities, respectively, in emergency situations in which the BMS/GSSC has communicated that it cannot process a transaction in time. In this case, the authorities must be segregated in accordance with this Guide and the procedures for the processing of emergency transactions should be followed, as described in the </w:t>
            </w:r>
            <w:hyperlink r:id="rId175" w:history="1">
              <w:r w:rsidR="004420D7" w:rsidRPr="00255E51">
                <w:rPr>
                  <w:rStyle w:val="Hyperlink"/>
                  <w:sz w:val="20"/>
                  <w:szCs w:val="20"/>
                </w:rPr>
                <w:t>GSSC SOP on Emergency Financial Transactions</w:t>
              </w:r>
            </w:hyperlink>
            <w:r w:rsidR="004420D7">
              <w:rPr>
                <w:color w:val="ED7D31" w:themeColor="accent2"/>
                <w:sz w:val="20"/>
                <w:szCs w:val="20"/>
              </w:rPr>
              <w:t>.</w:t>
            </w:r>
          </w:p>
        </w:tc>
      </w:tr>
      <w:tr w:rsidR="00147C55" w:rsidRPr="005D2478" w14:paraId="73A2A1B8" w14:textId="77777777" w:rsidTr="363CA695">
        <w:trPr>
          <w:trHeight w:val="20"/>
        </w:trPr>
        <w:tc>
          <w:tcPr>
            <w:tcW w:w="9900" w:type="dxa"/>
            <w:shd w:val="clear" w:color="auto" w:fill="000000" w:themeFill="text1"/>
          </w:tcPr>
          <w:p w14:paraId="0C99641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Human Resources Management</w:t>
            </w:r>
          </w:p>
        </w:tc>
      </w:tr>
      <w:tr w:rsidR="007B1BE3" w:rsidRPr="005D2478" w14:paraId="0EA1ADD1" w14:textId="77777777" w:rsidTr="363CA695">
        <w:trPr>
          <w:trHeight w:val="20"/>
        </w:trPr>
        <w:tc>
          <w:tcPr>
            <w:tcW w:w="9900" w:type="dxa"/>
          </w:tcPr>
          <w:p w14:paraId="64CC59E6" w14:textId="78167FF2" w:rsidR="00011B58" w:rsidRPr="00E33F1D" w:rsidRDefault="00011B58">
            <w:pPr>
              <w:pStyle w:val="ListParagraph"/>
              <w:numPr>
                <w:ilvl w:val="0"/>
                <w:numId w:val="105"/>
              </w:numPr>
              <w:spacing w:after="0" w:line="240" w:lineRule="auto"/>
              <w:rPr>
                <w:sz w:val="20"/>
                <w:szCs w:val="20"/>
              </w:rPr>
            </w:pPr>
            <w:r w:rsidRPr="363CA695">
              <w:rPr>
                <w:b/>
                <w:bCs/>
                <w:sz w:val="20"/>
                <w:szCs w:val="20"/>
              </w:rPr>
              <w:t xml:space="preserve">Authorizes creation or extension of </w:t>
            </w:r>
            <w:r w:rsidR="00E33F1D" w:rsidRPr="363CA695">
              <w:rPr>
                <w:b/>
                <w:bCs/>
                <w:sz w:val="20"/>
                <w:szCs w:val="20"/>
              </w:rPr>
              <w:t xml:space="preserve">non-core funded and Temporary Appointment (TA) </w:t>
            </w:r>
            <w:r w:rsidRPr="363CA695">
              <w:rPr>
                <w:b/>
                <w:bCs/>
                <w:sz w:val="20"/>
                <w:szCs w:val="20"/>
              </w:rPr>
              <w:t>positions</w:t>
            </w:r>
            <w:r w:rsidR="00E33F1D" w:rsidRPr="00E06F45">
              <w:rPr>
                <w:b/>
                <w:bCs/>
                <w:sz w:val="20"/>
                <w:szCs w:val="20"/>
              </w:rPr>
              <w:t>, and Institutional Budget (IB) positions</w:t>
            </w:r>
            <w:r w:rsidR="000F667C" w:rsidRPr="00E06F45">
              <w:rPr>
                <w:b/>
                <w:bCs/>
                <w:sz w:val="20"/>
                <w:szCs w:val="20"/>
              </w:rPr>
              <w:t xml:space="preserve"> </w:t>
            </w:r>
            <w:r w:rsidR="00E33F1D" w:rsidRPr="00E06F45">
              <w:rPr>
                <w:b/>
                <w:bCs/>
                <w:sz w:val="20"/>
                <w:szCs w:val="20"/>
              </w:rPr>
              <w:t xml:space="preserve">that fall </w:t>
            </w:r>
            <w:r w:rsidR="000F667C" w:rsidRPr="00E06F45">
              <w:rPr>
                <w:b/>
                <w:bCs/>
                <w:sz w:val="20"/>
                <w:szCs w:val="20"/>
              </w:rPr>
              <w:t>within the office/unit</w:t>
            </w:r>
            <w:r w:rsidR="00E33F1D" w:rsidRPr="00E06F45">
              <w:rPr>
                <w:b/>
                <w:bCs/>
                <w:sz w:val="20"/>
                <w:szCs w:val="20"/>
              </w:rPr>
              <w:t>’s annual approved IB envelope (core and non-core)</w:t>
            </w:r>
            <w:r w:rsidRPr="00E06F45">
              <w:rPr>
                <w:b/>
                <w:bCs/>
                <w:sz w:val="20"/>
                <w:szCs w:val="20"/>
              </w:rPr>
              <w:t xml:space="preserve">: </w:t>
            </w:r>
            <w:r w:rsidR="00E33F1D" w:rsidRPr="00E06F45">
              <w:rPr>
                <w:sz w:val="20"/>
                <w:szCs w:val="20"/>
              </w:rPr>
              <w:t xml:space="preserve">The annual Budget Execution Instructions provide that offices/units shall manage their IB within the parameters of the approved IB (both core IB and non-core IB), paying attention to the restrictive head counts in line with approved </w:t>
            </w:r>
            <w:r w:rsidR="004A797B" w:rsidRPr="00E06F45">
              <w:rPr>
                <w:sz w:val="20"/>
                <w:szCs w:val="20"/>
              </w:rPr>
              <w:t>IB</w:t>
            </w:r>
            <w:r w:rsidR="00B75422" w:rsidRPr="00E06F45">
              <w:rPr>
                <w:sz w:val="20"/>
                <w:szCs w:val="20"/>
              </w:rPr>
              <w:t xml:space="preserve">-funded </w:t>
            </w:r>
            <w:r w:rsidR="00E33F1D" w:rsidRPr="00E06F45">
              <w:rPr>
                <w:sz w:val="20"/>
                <w:szCs w:val="20"/>
              </w:rPr>
              <w:t xml:space="preserve">FTEs. This means any </w:t>
            </w:r>
            <w:proofErr w:type="gramStart"/>
            <w:r w:rsidR="00E33F1D" w:rsidRPr="00E06F45">
              <w:rPr>
                <w:sz w:val="20"/>
                <w:szCs w:val="20"/>
              </w:rPr>
              <w:t>recruitments</w:t>
            </w:r>
            <w:proofErr w:type="gramEnd"/>
            <w:r w:rsidR="00E33F1D" w:rsidRPr="00E06F45">
              <w:rPr>
                <w:sz w:val="20"/>
                <w:szCs w:val="20"/>
              </w:rPr>
              <w:t xml:space="preserve"> must fit within the office/unit’s IB staff operating cost budget for the current and following year (assuming no budget increases in following year). Further, it is restricted that pos</w:t>
            </w:r>
            <w:r w:rsidR="004928EB" w:rsidRPr="00E06F45">
              <w:rPr>
                <w:sz w:val="20"/>
                <w:szCs w:val="20"/>
              </w:rPr>
              <w:t>itions</w:t>
            </w:r>
            <w:r w:rsidR="00E33F1D" w:rsidRPr="00E06F45">
              <w:rPr>
                <w:sz w:val="20"/>
                <w:szCs w:val="20"/>
              </w:rPr>
              <w:t xml:space="preserve"> can only be monetized from staff to non-staff. Non-staff budgets cannot be converted to staff costs. Any IB pos</w:t>
            </w:r>
            <w:r w:rsidR="005F6EAD" w:rsidRPr="00E06F45">
              <w:rPr>
                <w:sz w:val="20"/>
                <w:szCs w:val="20"/>
              </w:rPr>
              <w:t>itions</w:t>
            </w:r>
            <w:r w:rsidR="00E33F1D" w:rsidRPr="00E06F45">
              <w:rPr>
                <w:sz w:val="20"/>
                <w:szCs w:val="20"/>
              </w:rPr>
              <w:t xml:space="preserve"> outside of the approved level would require a special IB allocation, which should be sought from the Administrator (through the Regional Bureau, where relevant). </w:t>
            </w:r>
            <w:r w:rsidRPr="00E06F45">
              <w:rPr>
                <w:sz w:val="20"/>
                <w:szCs w:val="20"/>
              </w:rPr>
              <w:t xml:space="preserve">Refer to section </w:t>
            </w:r>
            <w:r w:rsidR="00311836" w:rsidRPr="00E06F45">
              <w:rPr>
                <w:sz w:val="20"/>
                <w:szCs w:val="20"/>
              </w:rPr>
              <w:t>8.</w:t>
            </w:r>
            <w:r w:rsidR="00DD1EBD">
              <w:rPr>
                <w:sz w:val="20"/>
                <w:szCs w:val="20"/>
              </w:rPr>
              <w:t>5</w:t>
            </w:r>
            <w:r w:rsidR="00DD1EBD" w:rsidRPr="00E06F45">
              <w:rPr>
                <w:sz w:val="20"/>
                <w:szCs w:val="20"/>
              </w:rPr>
              <w:t xml:space="preserve"> </w:t>
            </w:r>
            <w:r w:rsidRPr="00E06F45">
              <w:rPr>
                <w:sz w:val="20"/>
                <w:szCs w:val="20"/>
              </w:rPr>
              <w:t xml:space="preserve">for more information on the Position Administration process. </w:t>
            </w:r>
          </w:p>
        </w:tc>
      </w:tr>
      <w:tr w:rsidR="007B1BE3" w:rsidRPr="005D2478" w14:paraId="12BA1601" w14:textId="77777777" w:rsidTr="363CA695">
        <w:trPr>
          <w:trHeight w:val="20"/>
        </w:trPr>
        <w:tc>
          <w:tcPr>
            <w:tcW w:w="9900" w:type="dxa"/>
          </w:tcPr>
          <w:p w14:paraId="32917ECC" w14:textId="71664D28" w:rsidR="00016669" w:rsidRPr="00016669" w:rsidRDefault="00016669">
            <w:pPr>
              <w:pStyle w:val="ListParagraph"/>
              <w:widowControl w:val="0"/>
              <w:numPr>
                <w:ilvl w:val="0"/>
                <w:numId w:val="53"/>
              </w:numPr>
              <w:autoSpaceDE w:val="0"/>
              <w:autoSpaceDN w:val="0"/>
              <w:spacing w:after="0" w:line="240" w:lineRule="auto"/>
              <w:rPr>
                <w:sz w:val="20"/>
                <w:szCs w:val="20"/>
              </w:rPr>
            </w:pPr>
            <w:r w:rsidRPr="363CA695">
              <w:rPr>
                <w:b/>
                <w:bCs/>
                <w:sz w:val="20"/>
                <w:szCs w:val="20"/>
              </w:rPr>
              <w:t>Authorizes HR actions for the office/unit:</w:t>
            </w:r>
            <w:r w:rsidRPr="363CA695">
              <w:rPr>
                <w:sz w:val="20"/>
                <w:szCs w:val="20"/>
              </w:rPr>
              <w:t xml:space="preserve"> within authority and funding limits, approves positions, hires, contract administration actions (new NPSA/IPSA, contract extensions, expiry), separations (except disciplinary separations) and the associated service requests submitted to BMS/GSSC.</w:t>
            </w:r>
          </w:p>
        </w:tc>
      </w:tr>
      <w:tr w:rsidR="007B1BE3" w:rsidRPr="005D2478" w14:paraId="6BEE31B6" w14:textId="77777777" w:rsidTr="363CA695">
        <w:trPr>
          <w:trHeight w:val="20"/>
        </w:trPr>
        <w:tc>
          <w:tcPr>
            <w:tcW w:w="9900" w:type="dxa"/>
          </w:tcPr>
          <w:p w14:paraId="3BD622CE" w14:textId="77777777" w:rsidR="00016669" w:rsidRPr="005D2478" w:rsidRDefault="00016669">
            <w:pPr>
              <w:pStyle w:val="ListParagraph"/>
              <w:widowControl w:val="0"/>
              <w:numPr>
                <w:ilvl w:val="0"/>
                <w:numId w:val="53"/>
              </w:numPr>
              <w:autoSpaceDE w:val="0"/>
              <w:autoSpaceDN w:val="0"/>
              <w:spacing w:line="240" w:lineRule="auto"/>
              <w:contextualSpacing w:val="0"/>
              <w:rPr>
                <w:rFonts w:cstheme="minorHAnsi"/>
                <w:sz w:val="20"/>
                <w:szCs w:val="20"/>
              </w:rPr>
            </w:pPr>
            <w:r w:rsidRPr="005D2478">
              <w:rPr>
                <w:rFonts w:cstheme="minorHAnsi"/>
                <w:b/>
                <w:bCs/>
                <w:sz w:val="20"/>
                <w:szCs w:val="20"/>
              </w:rPr>
              <w:t>Approves hires:</w:t>
            </w:r>
            <w:r w:rsidRPr="005D2478">
              <w:rPr>
                <w:rFonts w:cstheme="minorHAnsi"/>
                <w:sz w:val="20"/>
                <w:szCs w:val="20"/>
              </w:rPr>
              <w:t xml:space="preserve"> (including FTAs, TAs, NPSAs and IPSAs): The Administrator has delegated authority to Heads of Offices</w:t>
            </w:r>
            <w:r>
              <w:rPr>
                <w:rFonts w:cstheme="minorHAnsi"/>
                <w:sz w:val="20"/>
                <w:szCs w:val="20"/>
              </w:rPr>
              <w:t>/Units</w:t>
            </w:r>
            <w:r w:rsidRPr="005D2478">
              <w:rPr>
                <w:rFonts w:cstheme="minorHAnsi"/>
                <w:sz w:val="20"/>
                <w:szCs w:val="20"/>
              </w:rPr>
              <w:t xml:space="preserve"> to recruit and select UNDP staff members, subject to central review body/central review panel approval, according to applicable UNDP recruitment and selection policies (see POPP </w:t>
            </w:r>
            <w:hyperlink r:id="rId176">
              <w:r w:rsidRPr="005D2478">
                <w:rPr>
                  <w:rStyle w:val="Hyperlink"/>
                  <w:rFonts w:cstheme="minorHAnsi"/>
                  <w:sz w:val="20"/>
                  <w:szCs w:val="20"/>
                </w:rPr>
                <w:t>human resources management).</w:t>
              </w:r>
            </w:hyperlink>
          </w:p>
          <w:p w14:paraId="579AE273" w14:textId="3EEEB7EE" w:rsidR="00016669" w:rsidRPr="005D2478" w:rsidRDefault="00016669">
            <w:pPr>
              <w:pStyle w:val="ListParagraph"/>
              <w:widowControl w:val="0"/>
              <w:numPr>
                <w:ilvl w:val="0"/>
                <w:numId w:val="53"/>
              </w:numPr>
              <w:autoSpaceDE w:val="0"/>
              <w:autoSpaceDN w:val="0"/>
              <w:spacing w:after="0" w:line="240" w:lineRule="auto"/>
              <w:contextualSpacing w:val="0"/>
              <w:rPr>
                <w:rFonts w:cstheme="minorHAnsi"/>
                <w:b/>
                <w:bCs/>
                <w:sz w:val="20"/>
                <w:szCs w:val="20"/>
              </w:rPr>
            </w:pPr>
            <w:r w:rsidRPr="005D2478">
              <w:rPr>
                <w:rFonts w:cstheme="minorHAnsi"/>
                <w:sz w:val="20"/>
                <w:szCs w:val="20"/>
                <w:u w:val="single"/>
              </w:rPr>
              <w:t>Role of BMS/GSSC:</w:t>
            </w:r>
            <w:r w:rsidRPr="005D2478">
              <w:rPr>
                <w:rFonts w:cstheme="minorHAnsi"/>
                <w:sz w:val="20"/>
                <w:szCs w:val="20"/>
              </w:rPr>
              <w:t xml:space="preserve"> For offices</w:t>
            </w:r>
            <w:r>
              <w:rPr>
                <w:rFonts w:cstheme="minorHAnsi"/>
                <w:sz w:val="20"/>
                <w:szCs w:val="20"/>
              </w:rPr>
              <w:t>/units</w:t>
            </w:r>
            <w:r w:rsidRPr="005D2478">
              <w:rPr>
                <w:rFonts w:cstheme="minorHAnsi"/>
                <w:sz w:val="20"/>
                <w:szCs w:val="20"/>
              </w:rPr>
              <w:t xml:space="preserve"> with clustered hiring processes, once the candidate has been selected and approved by the Head of Office</w:t>
            </w:r>
            <w:r>
              <w:rPr>
                <w:rFonts w:cstheme="minorHAnsi"/>
                <w:sz w:val="20"/>
                <w:szCs w:val="20"/>
              </w:rPr>
              <w:t>/Unit</w:t>
            </w:r>
            <w:r w:rsidRPr="005D2478">
              <w:rPr>
                <w:rFonts w:cstheme="minorHAnsi"/>
                <w:sz w:val="20"/>
                <w:szCs w:val="20"/>
              </w:rPr>
              <w:t xml:space="preserve">, </w:t>
            </w:r>
            <w:r w:rsidR="00AB5BD2" w:rsidRPr="00AB5BD2">
              <w:rPr>
                <w:rStyle w:val="cf01"/>
                <w:rFonts w:asciiTheme="minorHAnsi" w:hAnsiTheme="minorHAnsi" w:cstheme="minorHAnsi"/>
                <w:sz w:val="20"/>
                <w:szCs w:val="20"/>
              </w:rPr>
              <w:t>the service request for issuance of LOA (FTA/TA) or NPSA/IPSA is done by the BMS/GSSC Recruitment Team, not the hiring office/unit.</w:t>
            </w:r>
            <w:r w:rsidR="00AB5BD2">
              <w:rPr>
                <w:rFonts w:cstheme="minorHAnsi"/>
                <w:sz w:val="20"/>
                <w:szCs w:val="20"/>
              </w:rPr>
              <w:t xml:space="preserve"> </w:t>
            </w:r>
            <w:r w:rsidRPr="005D2478">
              <w:rPr>
                <w:rFonts w:cstheme="minorHAnsi"/>
                <w:sz w:val="20"/>
                <w:szCs w:val="20"/>
              </w:rPr>
              <w:t>For offices</w:t>
            </w:r>
            <w:r>
              <w:rPr>
                <w:rFonts w:cstheme="minorHAnsi"/>
                <w:sz w:val="20"/>
                <w:szCs w:val="20"/>
              </w:rPr>
              <w:t>/units</w:t>
            </w:r>
            <w:r w:rsidRPr="005D2478">
              <w:rPr>
                <w:rFonts w:cstheme="minorHAnsi"/>
                <w:sz w:val="20"/>
                <w:szCs w:val="20"/>
              </w:rPr>
              <w:t xml:space="preserve"> with non-clustered hiring processes, BMS/OHR submits this service request to the BMS/GSSC, excepting IPSA/NPSA requests and outposted HQ local staff requests.</w:t>
            </w:r>
          </w:p>
        </w:tc>
      </w:tr>
      <w:tr w:rsidR="00147C55" w:rsidRPr="005D2478" w14:paraId="6E2EB659" w14:textId="77777777" w:rsidTr="363CA695">
        <w:trPr>
          <w:trHeight w:val="20"/>
        </w:trPr>
        <w:tc>
          <w:tcPr>
            <w:tcW w:w="9900" w:type="dxa"/>
            <w:shd w:val="clear" w:color="auto" w:fill="000000" w:themeFill="text1"/>
          </w:tcPr>
          <w:p w14:paraId="6B95D58F"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Cash management </w:t>
            </w:r>
          </w:p>
        </w:tc>
      </w:tr>
      <w:tr w:rsidR="007B1BE3" w:rsidRPr="005D2478" w14:paraId="472B06E1" w14:textId="77777777" w:rsidTr="363CA695">
        <w:trPr>
          <w:trHeight w:val="20"/>
        </w:trPr>
        <w:tc>
          <w:tcPr>
            <w:tcW w:w="9900" w:type="dxa"/>
          </w:tcPr>
          <w:p w14:paraId="088DE8DC" w14:textId="791C889F" w:rsidR="00CC7A58" w:rsidRPr="00106F90" w:rsidRDefault="00CC7A58">
            <w:pPr>
              <w:pStyle w:val="ListParagraph"/>
              <w:widowControl w:val="0"/>
              <w:numPr>
                <w:ilvl w:val="0"/>
                <w:numId w:val="54"/>
              </w:numPr>
              <w:autoSpaceDE w:val="0"/>
              <w:autoSpaceDN w:val="0"/>
              <w:spacing w:after="0" w:line="240" w:lineRule="auto"/>
              <w:ind w:left="360"/>
              <w:rPr>
                <w:sz w:val="20"/>
                <w:szCs w:val="20"/>
              </w:rPr>
            </w:pPr>
            <w:r w:rsidRPr="363CA695">
              <w:rPr>
                <w:b/>
                <w:bCs/>
                <w:sz w:val="20"/>
                <w:szCs w:val="20"/>
              </w:rPr>
              <w:t>Designates Bank Account Signatories:</w:t>
            </w:r>
            <w:r w:rsidRPr="363CA695">
              <w:rPr>
                <w:sz w:val="20"/>
                <w:szCs w:val="20"/>
              </w:rPr>
              <w:t xml:space="preserve"> in accordance with </w:t>
            </w:r>
            <w:hyperlink r:id="rId177">
              <w:r w:rsidRPr="363CA695">
                <w:rPr>
                  <w:rStyle w:val="Hyperlink"/>
                  <w:sz w:val="20"/>
                  <w:szCs w:val="20"/>
                </w:rPr>
                <w:t xml:space="preserve">POPP Designation &amp; Responsibilities of Signatories. </w:t>
              </w:r>
            </w:hyperlink>
          </w:p>
        </w:tc>
      </w:tr>
      <w:tr w:rsidR="007B1BE3" w:rsidRPr="005D2478" w14:paraId="3E6D328A" w14:textId="77777777" w:rsidTr="363CA695">
        <w:trPr>
          <w:trHeight w:val="20"/>
        </w:trPr>
        <w:tc>
          <w:tcPr>
            <w:tcW w:w="9900" w:type="dxa"/>
          </w:tcPr>
          <w:p w14:paraId="3CF92E2C" w14:textId="27AB5AFE" w:rsidR="00106F90" w:rsidRPr="00106F90" w:rsidRDefault="00106F90">
            <w:pPr>
              <w:pStyle w:val="ListParagraph"/>
              <w:widowControl w:val="0"/>
              <w:numPr>
                <w:ilvl w:val="0"/>
                <w:numId w:val="54"/>
              </w:numPr>
              <w:autoSpaceDE w:val="0"/>
              <w:autoSpaceDN w:val="0"/>
              <w:spacing w:after="0" w:line="240" w:lineRule="auto"/>
              <w:ind w:left="360"/>
              <w:rPr>
                <w:sz w:val="20"/>
                <w:szCs w:val="20"/>
              </w:rPr>
            </w:pPr>
            <w:r w:rsidRPr="00AD810D">
              <w:rPr>
                <w:b/>
                <w:bCs/>
                <w:sz w:val="20"/>
                <w:szCs w:val="20"/>
              </w:rPr>
              <w:lastRenderedPageBreak/>
              <w:t>Designates a primary and alternate safe custodian (must be UNDP staff members):</w:t>
            </w:r>
            <w:r w:rsidRPr="00AD810D">
              <w:rPr>
                <w:sz w:val="20"/>
                <w:szCs w:val="20"/>
              </w:rPr>
              <w:t xml:space="preserve"> to monitor activities of the office/unit safe in accordance with the POPP </w:t>
            </w:r>
            <w:hyperlink r:id="rId178">
              <w:r w:rsidRPr="00AD810D">
                <w:rPr>
                  <w:rStyle w:val="Hyperlink"/>
                  <w:sz w:val="20"/>
                  <w:szCs w:val="20"/>
                </w:rPr>
                <w:t>Safe management policy</w:t>
              </w:r>
            </w:hyperlink>
            <w:r w:rsidRPr="00AD810D">
              <w:rPr>
                <w:sz w:val="20"/>
                <w:szCs w:val="20"/>
              </w:rPr>
              <w:t>.</w:t>
            </w:r>
          </w:p>
        </w:tc>
      </w:tr>
      <w:tr w:rsidR="007B1BE3" w:rsidRPr="005D2478" w14:paraId="63F5A7B7" w14:textId="77777777" w:rsidTr="363CA695">
        <w:trPr>
          <w:trHeight w:val="20"/>
        </w:trPr>
        <w:tc>
          <w:tcPr>
            <w:tcW w:w="9900" w:type="dxa"/>
          </w:tcPr>
          <w:p w14:paraId="5EB1BEE8" w14:textId="41826075" w:rsidR="00106F90" w:rsidRPr="00106F90" w:rsidRDefault="00106F90">
            <w:pPr>
              <w:pStyle w:val="ListParagraph"/>
              <w:widowControl w:val="0"/>
              <w:numPr>
                <w:ilvl w:val="0"/>
                <w:numId w:val="54"/>
              </w:numPr>
              <w:autoSpaceDE w:val="0"/>
              <w:autoSpaceDN w:val="0"/>
              <w:spacing w:after="0" w:line="240" w:lineRule="auto"/>
              <w:ind w:left="360"/>
              <w:rPr>
                <w:sz w:val="20"/>
                <w:szCs w:val="20"/>
              </w:rPr>
            </w:pPr>
            <w:proofErr w:type="gramStart"/>
            <w:r w:rsidRPr="363CA695">
              <w:rPr>
                <w:b/>
                <w:bCs/>
                <w:sz w:val="20"/>
                <w:szCs w:val="20"/>
              </w:rPr>
              <w:t>Ensures</w:t>
            </w:r>
            <w:proofErr w:type="gramEnd"/>
            <w:r w:rsidRPr="363CA695">
              <w:rPr>
                <w:b/>
                <w:bCs/>
                <w:sz w:val="20"/>
                <w:szCs w:val="20"/>
              </w:rPr>
              <w:t xml:space="preserve"> manual payments are kept to a minimum:</w:t>
            </w:r>
            <w:r w:rsidRPr="363CA695">
              <w:rPr>
                <w:sz w:val="20"/>
                <w:szCs w:val="20"/>
              </w:rPr>
              <w:t xml:space="preserve"> Manual payments are defined as payments made outside Quantum and subsequently recorded in Quantum. All manual payments must have supporting documents and must be recorded immediately thereafter in Quantum. Subject to Head of Office/Unit approval, offices/units are authorized to issue up to five manual payments per month, and the circumstances for making such manual payments must be recorded in writing. If this maximum amount is inadequate, then the Head of Office/Unit must request prior written authorization from the CFO to exceed this limit.</w:t>
            </w:r>
          </w:p>
        </w:tc>
      </w:tr>
      <w:tr w:rsidR="007B1BE3" w:rsidRPr="005D2478" w14:paraId="0A0DB1F1" w14:textId="77777777" w:rsidTr="363CA695">
        <w:trPr>
          <w:trHeight w:val="20"/>
        </w:trPr>
        <w:tc>
          <w:tcPr>
            <w:tcW w:w="9900" w:type="dxa"/>
          </w:tcPr>
          <w:p w14:paraId="673226F7" w14:textId="76F8E8F4" w:rsidR="00106F90" w:rsidRPr="00106F90" w:rsidRDefault="00106F90">
            <w:pPr>
              <w:pStyle w:val="ListParagraph"/>
              <w:widowControl w:val="0"/>
              <w:numPr>
                <w:ilvl w:val="0"/>
                <w:numId w:val="54"/>
              </w:numPr>
              <w:autoSpaceDE w:val="0"/>
              <w:autoSpaceDN w:val="0"/>
              <w:spacing w:after="0" w:line="240" w:lineRule="auto"/>
              <w:ind w:left="360"/>
              <w:contextualSpacing w:val="0"/>
              <w:rPr>
                <w:rFonts w:cstheme="minorHAnsi"/>
                <w:sz w:val="20"/>
                <w:szCs w:val="20"/>
              </w:rPr>
            </w:pPr>
            <w:r w:rsidRPr="005D2478">
              <w:rPr>
                <w:rFonts w:cstheme="minorHAnsi"/>
                <w:b/>
                <w:bCs/>
                <w:sz w:val="20"/>
                <w:szCs w:val="20"/>
              </w:rPr>
              <w:t>Ensures cheque writer software is installed and used to generate cheques:</w:t>
            </w:r>
            <w:r w:rsidRPr="005D2478">
              <w:rPr>
                <w:rFonts w:cstheme="minorHAnsi"/>
                <w:sz w:val="20"/>
                <w:szCs w:val="20"/>
              </w:rPr>
              <w:t xml:space="preserve"> Use of the software ensures encryption of Quantum payment data transferred to the cheque, thus reducing the risk of error or fraud in cheque preparation.</w:t>
            </w:r>
          </w:p>
        </w:tc>
      </w:tr>
      <w:tr w:rsidR="007B1BE3" w:rsidRPr="005D2478" w14:paraId="102846B1" w14:textId="77777777" w:rsidTr="363CA695">
        <w:trPr>
          <w:trHeight w:val="20"/>
        </w:trPr>
        <w:tc>
          <w:tcPr>
            <w:tcW w:w="9900" w:type="dxa"/>
          </w:tcPr>
          <w:p w14:paraId="4B8A3536" w14:textId="467A7D49" w:rsidR="00106F90" w:rsidRPr="005D2478" w:rsidRDefault="00106F90">
            <w:pPr>
              <w:pStyle w:val="ListParagraph"/>
              <w:widowControl w:val="0"/>
              <w:numPr>
                <w:ilvl w:val="0"/>
                <w:numId w:val="54"/>
              </w:numPr>
              <w:autoSpaceDE w:val="0"/>
              <w:autoSpaceDN w:val="0"/>
              <w:spacing w:after="0" w:line="240" w:lineRule="auto"/>
              <w:ind w:left="360"/>
              <w:rPr>
                <w:b/>
                <w:bCs/>
                <w:sz w:val="20"/>
                <w:szCs w:val="20"/>
              </w:rPr>
            </w:pPr>
            <w:r w:rsidRPr="363CA695">
              <w:rPr>
                <w:b/>
                <w:bCs/>
                <w:sz w:val="20"/>
                <w:szCs w:val="20"/>
              </w:rPr>
              <w:t>Ensures timely year-end reporting of cash balances to BMS/OF</w:t>
            </w:r>
            <w:r w:rsidR="00A40A72">
              <w:rPr>
                <w:b/>
                <w:bCs/>
                <w:sz w:val="20"/>
                <w:szCs w:val="20"/>
              </w:rPr>
              <w:t>R</w:t>
            </w:r>
            <w:r w:rsidRPr="363CA695">
              <w:rPr>
                <w:b/>
                <w:bCs/>
                <w:sz w:val="20"/>
                <w:szCs w:val="20"/>
              </w:rPr>
              <w:t>M/Treasury:</w:t>
            </w:r>
            <w:r w:rsidRPr="363CA695">
              <w:rPr>
                <w:sz w:val="20"/>
                <w:szCs w:val="20"/>
              </w:rPr>
              <w:t xml:space="preserve"> Cash balances maintained must be sent annually as part of the year-end closing procedure to BMS/OF</w:t>
            </w:r>
            <w:r w:rsidR="00A40A72">
              <w:rPr>
                <w:sz w:val="20"/>
                <w:szCs w:val="20"/>
              </w:rPr>
              <w:t>R</w:t>
            </w:r>
            <w:r w:rsidRPr="363CA695">
              <w:rPr>
                <w:sz w:val="20"/>
                <w:szCs w:val="20"/>
              </w:rPr>
              <w:t>M/Treasury with a copy to the director of the respective bureau. In addition to the balance of cash held, the Head of Office/Unit may wish to report on any other items of significance or items that may pose a risk to the organization at any time, based on the judgment of the Head of Office/Unit.</w:t>
            </w:r>
          </w:p>
        </w:tc>
      </w:tr>
      <w:tr w:rsidR="00147C55" w:rsidRPr="005D2478" w14:paraId="1AAEFC97" w14:textId="77777777" w:rsidTr="363CA695">
        <w:trPr>
          <w:trHeight w:val="20"/>
        </w:trPr>
        <w:tc>
          <w:tcPr>
            <w:tcW w:w="9900" w:type="dxa"/>
            <w:shd w:val="clear" w:color="auto" w:fill="000000" w:themeFill="text1"/>
          </w:tcPr>
          <w:p w14:paraId="1D2B2173"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Fixed Asset Management </w:t>
            </w:r>
          </w:p>
        </w:tc>
      </w:tr>
      <w:tr w:rsidR="007B1BE3" w:rsidRPr="005D2478" w14:paraId="15ADE4CE" w14:textId="77777777" w:rsidTr="363CA695">
        <w:trPr>
          <w:trHeight w:val="20"/>
        </w:trPr>
        <w:tc>
          <w:tcPr>
            <w:tcW w:w="9900" w:type="dxa"/>
          </w:tcPr>
          <w:p w14:paraId="77F88FB4" w14:textId="7D654D2B" w:rsidR="00011B58" w:rsidRPr="00106F90" w:rsidRDefault="00011B58">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Assigns segregated asset management roles:</w:t>
            </w:r>
            <w:r w:rsidRPr="363CA695">
              <w:rPr>
                <w:sz w:val="20"/>
                <w:szCs w:val="20"/>
              </w:rPr>
              <w:t xml:space="preserve"> The Head of Office</w:t>
            </w:r>
            <w:r w:rsidR="006D6C0A" w:rsidRPr="363CA695">
              <w:rPr>
                <w:sz w:val="20"/>
                <w:szCs w:val="20"/>
              </w:rPr>
              <w:t>/Unit</w:t>
            </w:r>
            <w:r w:rsidRPr="363CA695">
              <w:rPr>
                <w:sz w:val="20"/>
                <w:szCs w:val="20"/>
              </w:rPr>
              <w:t xml:space="preserve"> must designate distinct individuals for the following roles: Asset Manager, Asset Focal Point, and Asset Physical Verification Coordinator. The </w:t>
            </w:r>
            <w:r w:rsidR="006D6C0A" w:rsidRPr="363CA695">
              <w:rPr>
                <w:sz w:val="20"/>
                <w:szCs w:val="20"/>
              </w:rPr>
              <w:t>H</w:t>
            </w:r>
            <w:r w:rsidRPr="363CA695">
              <w:rPr>
                <w:sz w:val="20"/>
                <w:szCs w:val="20"/>
              </w:rPr>
              <w:t xml:space="preserve">ead of </w:t>
            </w:r>
            <w:r w:rsidR="006D6C0A" w:rsidRPr="363CA695">
              <w:rPr>
                <w:sz w:val="20"/>
                <w:szCs w:val="20"/>
              </w:rPr>
              <w:t>O</w:t>
            </w:r>
            <w:r w:rsidRPr="363CA695">
              <w:rPr>
                <w:sz w:val="20"/>
                <w:szCs w:val="20"/>
              </w:rPr>
              <w:t>ffice</w:t>
            </w:r>
            <w:r w:rsidR="006D6C0A" w:rsidRPr="363CA695">
              <w:rPr>
                <w:sz w:val="20"/>
                <w:szCs w:val="20"/>
              </w:rPr>
              <w:t>/Unit</w:t>
            </w:r>
            <w:r w:rsidRPr="363CA695">
              <w:rPr>
                <w:sz w:val="20"/>
                <w:szCs w:val="20"/>
              </w:rPr>
              <w:t xml:space="preserve"> must also designate a staff member to initiate asset transactions (usually Asset Focal Point) and a staff member to authorize transactions (usually Asset Manager) for subsequent recording by BMS/GSSC in Quantum. </w:t>
            </w:r>
          </w:p>
        </w:tc>
      </w:tr>
      <w:tr w:rsidR="007B1BE3" w:rsidRPr="005D2478" w14:paraId="38ABAE81" w14:textId="77777777" w:rsidTr="363CA695">
        <w:trPr>
          <w:trHeight w:val="20"/>
        </w:trPr>
        <w:tc>
          <w:tcPr>
            <w:tcW w:w="9900" w:type="dxa"/>
          </w:tcPr>
          <w:p w14:paraId="1CD529A7" w14:textId="08855D0E"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 xml:space="preserve">Ensures asset verification takes </w:t>
            </w:r>
            <w:r w:rsidRPr="00E06F45">
              <w:rPr>
                <w:b/>
                <w:bCs/>
                <w:sz w:val="20"/>
                <w:szCs w:val="20"/>
              </w:rPr>
              <w:t xml:space="preserve">place </w:t>
            </w:r>
            <w:r w:rsidR="00781E90" w:rsidRPr="00E06F45">
              <w:rPr>
                <w:b/>
                <w:bCs/>
                <w:sz w:val="20"/>
                <w:szCs w:val="20"/>
              </w:rPr>
              <w:t>bi-annually</w:t>
            </w:r>
            <w:r w:rsidRPr="00E06F45">
              <w:rPr>
                <w:b/>
                <w:bCs/>
                <w:sz w:val="20"/>
                <w:szCs w:val="20"/>
              </w:rPr>
              <w:t>:</w:t>
            </w:r>
            <w:r w:rsidRPr="00E06F45">
              <w:rPr>
                <w:sz w:val="20"/>
                <w:szCs w:val="20"/>
              </w:rPr>
              <w:t xml:space="preserve"> At </w:t>
            </w:r>
            <w:r w:rsidRPr="363CA695">
              <w:rPr>
                <w:sz w:val="20"/>
                <w:szCs w:val="20"/>
              </w:rPr>
              <w:t>the end of the asset verification exercise, the Head of Office/Unit personally signs the Quantum asset management in service detail report, the acquisition report, the disposal report, the adjustment report, and the summary report to certify that all are accurate, that the items in these reports match the physical count of the items on office/unit premises, and that the disposal report is supported by CAPC or ACP minutes and approved by the Head of Office/Unit or the CPO as required. The reports should be maintained and securely filed as evidence of review.</w:t>
            </w:r>
          </w:p>
        </w:tc>
      </w:tr>
      <w:tr w:rsidR="007B1BE3" w:rsidRPr="005D2478" w14:paraId="117778E5" w14:textId="77777777" w:rsidTr="363CA695">
        <w:trPr>
          <w:trHeight w:val="20"/>
        </w:trPr>
        <w:tc>
          <w:tcPr>
            <w:tcW w:w="9900" w:type="dxa"/>
          </w:tcPr>
          <w:p w14:paraId="4D109D83" w14:textId="783B31DA"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Ensures actions are taken to address asset discrepancies identified during verifications:</w:t>
            </w:r>
            <w:r w:rsidRPr="363CA695">
              <w:rPr>
                <w:sz w:val="20"/>
                <w:szCs w:val="20"/>
              </w:rPr>
              <w:t xml:space="preserve"> The Head of Office/Unit ensures: (</w:t>
            </w:r>
            <w:proofErr w:type="spellStart"/>
            <w:r w:rsidRPr="363CA695">
              <w:rPr>
                <w:sz w:val="20"/>
                <w:szCs w:val="20"/>
              </w:rPr>
              <w:t>i</w:t>
            </w:r>
            <w:proofErr w:type="spellEnd"/>
            <w:r w:rsidRPr="363CA695">
              <w:rPr>
                <w:sz w:val="20"/>
                <w:szCs w:val="20"/>
              </w:rPr>
              <w:t xml:space="preserve">) that items that cannot be located are marked as exceptions, and any discrepancies in the assets, the asset item number, description, locations, and the reconciliation performed are documented; (ii) that action is taken to conduct a review and recommendations for write-off with the appropriate justification through the CAP, RACP or the ACP; (iii) approves the write-off where it is within the Head of Office/Unit’s authority or ensures the CPO has approved the write-off (refer POPP </w:t>
            </w:r>
            <w:hyperlink r:id="rId179">
              <w:r w:rsidRPr="363CA695">
                <w:rPr>
                  <w:rStyle w:val="Hyperlink"/>
                  <w:sz w:val="20"/>
                  <w:szCs w:val="20"/>
                </w:rPr>
                <w:t>Asset Disposal and Write Offs</w:t>
              </w:r>
            </w:hyperlink>
            <w:r w:rsidRPr="363CA695">
              <w:rPr>
                <w:sz w:val="20"/>
                <w:szCs w:val="20"/>
              </w:rPr>
              <w:t>); and (iv) communicates the approved write-off to BMS/GSSC for recording in Quantum.</w:t>
            </w:r>
          </w:p>
        </w:tc>
      </w:tr>
      <w:tr w:rsidR="007B1BE3" w:rsidRPr="005D2478" w14:paraId="5FBA8285" w14:textId="77777777" w:rsidTr="363CA695">
        <w:trPr>
          <w:trHeight w:val="20"/>
        </w:trPr>
        <w:tc>
          <w:tcPr>
            <w:tcW w:w="9900" w:type="dxa"/>
          </w:tcPr>
          <w:p w14:paraId="67270A14" w14:textId="0147F028" w:rsidR="00106F90" w:rsidRPr="00106F90" w:rsidRDefault="00106F90">
            <w:pPr>
              <w:pStyle w:val="ListParagraph"/>
              <w:widowControl w:val="0"/>
              <w:numPr>
                <w:ilvl w:val="0"/>
                <w:numId w:val="55"/>
              </w:numPr>
              <w:autoSpaceDE w:val="0"/>
              <w:autoSpaceDN w:val="0"/>
              <w:spacing w:after="0" w:line="240" w:lineRule="auto"/>
              <w:ind w:left="360"/>
              <w:rPr>
                <w:sz w:val="20"/>
                <w:szCs w:val="20"/>
              </w:rPr>
            </w:pPr>
            <w:r w:rsidRPr="363CA695">
              <w:rPr>
                <w:b/>
                <w:bCs/>
                <w:sz w:val="20"/>
                <w:szCs w:val="20"/>
              </w:rPr>
              <w:t xml:space="preserve">Authorizes asset disposals and write-offs within limits assigned by CPO: </w:t>
            </w:r>
            <w:r w:rsidRPr="363CA695">
              <w:rPr>
                <w:sz w:val="20"/>
                <w:szCs w:val="20"/>
              </w:rPr>
              <w:t xml:space="preserve">in accordance with POPP </w:t>
            </w:r>
            <w:hyperlink r:id="rId180">
              <w:r w:rsidRPr="363CA695">
                <w:rPr>
                  <w:rStyle w:val="Hyperlink"/>
                  <w:sz w:val="20"/>
                  <w:szCs w:val="20"/>
                </w:rPr>
                <w:t>Asset Disposal and Write Offs</w:t>
              </w:r>
            </w:hyperlink>
            <w:r w:rsidRPr="363CA695">
              <w:rPr>
                <w:sz w:val="20"/>
                <w:szCs w:val="20"/>
              </w:rPr>
              <w:t xml:space="preserve"> and POPP </w:t>
            </w:r>
            <w:hyperlink r:id="rId181">
              <w:r w:rsidRPr="363CA695">
                <w:rPr>
                  <w:rStyle w:val="Hyperlink"/>
                  <w:sz w:val="20"/>
                  <w:szCs w:val="20"/>
                </w:rPr>
                <w:t>Accounts Receivable</w:t>
              </w:r>
            </w:hyperlink>
            <w:r w:rsidRPr="363CA695">
              <w:rPr>
                <w:rStyle w:val="Hyperlink"/>
                <w:sz w:val="20"/>
                <w:szCs w:val="20"/>
              </w:rPr>
              <w:t>.</w:t>
            </w:r>
          </w:p>
        </w:tc>
      </w:tr>
      <w:tr w:rsidR="007B1BE3" w:rsidRPr="005D2478" w14:paraId="66C2BF33" w14:textId="77777777" w:rsidTr="363CA695">
        <w:trPr>
          <w:trHeight w:val="20"/>
        </w:trPr>
        <w:tc>
          <w:tcPr>
            <w:tcW w:w="9900" w:type="dxa"/>
          </w:tcPr>
          <w:p w14:paraId="31821740" w14:textId="1B1C4D2D" w:rsidR="00106F90" w:rsidRPr="005D2478" w:rsidRDefault="00106F90">
            <w:pPr>
              <w:pStyle w:val="ListParagraph"/>
              <w:widowControl w:val="0"/>
              <w:numPr>
                <w:ilvl w:val="0"/>
                <w:numId w:val="55"/>
              </w:numPr>
              <w:autoSpaceDE w:val="0"/>
              <w:autoSpaceDN w:val="0"/>
              <w:spacing w:after="0" w:line="240" w:lineRule="auto"/>
              <w:ind w:left="360"/>
              <w:contextualSpacing w:val="0"/>
              <w:rPr>
                <w:rFonts w:cstheme="minorHAnsi"/>
                <w:b/>
                <w:bCs/>
                <w:sz w:val="20"/>
                <w:szCs w:val="20"/>
              </w:rPr>
            </w:pPr>
            <w:r w:rsidRPr="005D2478">
              <w:rPr>
                <w:rFonts w:cstheme="minorHAnsi"/>
                <w:b/>
                <w:bCs/>
                <w:sz w:val="20"/>
                <w:szCs w:val="20"/>
              </w:rPr>
              <w:t>Certifies completeness and accuracy of office</w:t>
            </w:r>
            <w:r>
              <w:rPr>
                <w:rFonts w:cstheme="minorHAnsi"/>
                <w:b/>
                <w:bCs/>
                <w:sz w:val="20"/>
                <w:szCs w:val="20"/>
              </w:rPr>
              <w:t>/unit</w:t>
            </w:r>
            <w:r w:rsidRPr="005D2478">
              <w:rPr>
                <w:rFonts w:cstheme="minorHAnsi"/>
                <w:b/>
                <w:bCs/>
                <w:sz w:val="20"/>
                <w:szCs w:val="20"/>
              </w:rPr>
              <w:t>’s assets:</w:t>
            </w:r>
            <w:r w:rsidRPr="005D2478">
              <w:rPr>
                <w:rFonts w:cstheme="minorHAnsi"/>
                <w:sz w:val="20"/>
                <w:szCs w:val="20"/>
              </w:rPr>
              <w:t xml:space="preserve"> as recorded in the Quantum-based asset register, including personally certifying the mid-year (30 June) and annual (31 December) asset certification letter. This letter includes the certification of assets used and controlled by UNDP such as equipment and furniture, building leases, equipment leases, land and buildings owned by UNDP, and leasehold improvements.</w:t>
            </w:r>
          </w:p>
        </w:tc>
      </w:tr>
      <w:tr w:rsidR="00147C55" w:rsidRPr="005D2478" w14:paraId="73DF6375" w14:textId="77777777" w:rsidTr="363CA695">
        <w:trPr>
          <w:trHeight w:val="20"/>
        </w:trPr>
        <w:tc>
          <w:tcPr>
            <w:tcW w:w="9900" w:type="dxa"/>
            <w:shd w:val="clear" w:color="auto" w:fill="000000" w:themeFill="text1"/>
          </w:tcPr>
          <w:p w14:paraId="4B2F626A"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Staff receivables management</w:t>
            </w:r>
          </w:p>
        </w:tc>
      </w:tr>
      <w:tr w:rsidR="007B1BE3" w:rsidRPr="005D2478" w14:paraId="6CEA8448" w14:textId="77777777" w:rsidTr="363CA695">
        <w:trPr>
          <w:trHeight w:val="20"/>
        </w:trPr>
        <w:tc>
          <w:tcPr>
            <w:tcW w:w="9900" w:type="dxa"/>
          </w:tcPr>
          <w:p w14:paraId="52283E4A" w14:textId="3BAEE932" w:rsidR="00106F90" w:rsidRPr="00106F90" w:rsidRDefault="00106F90">
            <w:pPr>
              <w:pStyle w:val="ListParagraph"/>
              <w:widowControl w:val="0"/>
              <w:numPr>
                <w:ilvl w:val="0"/>
                <w:numId w:val="98"/>
              </w:numPr>
              <w:autoSpaceDE w:val="0"/>
              <w:autoSpaceDN w:val="0"/>
              <w:spacing w:after="0" w:line="240" w:lineRule="auto"/>
              <w:rPr>
                <w:b/>
                <w:bCs/>
                <w:sz w:val="20"/>
                <w:szCs w:val="20"/>
              </w:rPr>
            </w:pPr>
            <w:r w:rsidRPr="363CA695">
              <w:rPr>
                <w:b/>
                <w:bCs/>
                <w:sz w:val="20"/>
                <w:szCs w:val="20"/>
              </w:rPr>
              <w:t>Approves staff receivables:</w:t>
            </w:r>
            <w:r w:rsidRPr="363CA695">
              <w:rPr>
                <w:sz w:val="20"/>
                <w:szCs w:val="20"/>
              </w:rPr>
              <w:t xml:space="preserve"> including salary advances in accordance with POPP </w:t>
            </w:r>
            <w:hyperlink r:id="rId182">
              <w:r w:rsidRPr="363CA695">
                <w:rPr>
                  <w:rStyle w:val="Hyperlink"/>
                  <w:sz w:val="20"/>
                  <w:szCs w:val="20"/>
                </w:rPr>
                <w:t>Salary Advances</w:t>
              </w:r>
            </w:hyperlink>
            <w:r w:rsidRPr="363CA695">
              <w:rPr>
                <w:sz w:val="20"/>
                <w:szCs w:val="20"/>
              </w:rPr>
              <w:t xml:space="preserve">. May delegate authority to approve salary advances to DRR (Ops) or similar function. </w:t>
            </w:r>
            <w:r w:rsidRPr="363CA695">
              <w:rPr>
                <w:b/>
                <w:bCs/>
                <w:sz w:val="20"/>
                <w:szCs w:val="20"/>
              </w:rPr>
              <w:t>Ensures appropriate monitoring</w:t>
            </w:r>
            <w:r w:rsidRPr="363CA695">
              <w:rPr>
                <w:sz w:val="20"/>
                <w:szCs w:val="20"/>
              </w:rPr>
              <w:t xml:space="preserve"> and timely collection mechanisms are in place, including ensuring collection of any existing staff receivables during staff transition or separation processes, as once staff have left the organization, collection becomes significantly more complex.</w:t>
            </w:r>
          </w:p>
        </w:tc>
      </w:tr>
      <w:tr w:rsidR="007B1BE3" w:rsidRPr="005D2478" w14:paraId="00402688" w14:textId="77777777" w:rsidTr="363CA695">
        <w:trPr>
          <w:trHeight w:val="20"/>
        </w:trPr>
        <w:tc>
          <w:tcPr>
            <w:tcW w:w="9900" w:type="dxa"/>
          </w:tcPr>
          <w:p w14:paraId="499F5301" w14:textId="1C285F86" w:rsidR="00106F90" w:rsidRPr="005D2478" w:rsidRDefault="00106F90">
            <w:pPr>
              <w:pStyle w:val="ListParagraph"/>
              <w:widowControl w:val="0"/>
              <w:numPr>
                <w:ilvl w:val="0"/>
                <w:numId w:val="98"/>
              </w:numPr>
              <w:autoSpaceDE w:val="0"/>
              <w:autoSpaceDN w:val="0"/>
              <w:spacing w:after="0" w:line="240" w:lineRule="auto"/>
              <w:rPr>
                <w:b/>
                <w:bCs/>
                <w:sz w:val="20"/>
                <w:szCs w:val="20"/>
              </w:rPr>
            </w:pPr>
            <w:r w:rsidRPr="363CA695">
              <w:rPr>
                <w:b/>
                <w:bCs/>
                <w:sz w:val="20"/>
                <w:szCs w:val="20"/>
              </w:rPr>
              <w:t>Ensures the Annual Representation Statement is complete</w:t>
            </w:r>
            <w:r w:rsidRPr="363CA695">
              <w:rPr>
                <w:sz w:val="20"/>
                <w:szCs w:val="20"/>
              </w:rPr>
              <w:t xml:space="preserve"> and accurate as it relates to the status and collectability of staff receivables.</w:t>
            </w:r>
          </w:p>
        </w:tc>
      </w:tr>
      <w:tr w:rsidR="00147C55" w:rsidRPr="005D2478" w14:paraId="2CE4E10B" w14:textId="77777777" w:rsidTr="363CA695">
        <w:trPr>
          <w:trHeight w:val="20"/>
        </w:trPr>
        <w:tc>
          <w:tcPr>
            <w:tcW w:w="9900" w:type="dxa"/>
            <w:shd w:val="clear" w:color="auto" w:fill="000000" w:themeFill="text1"/>
          </w:tcPr>
          <w:p w14:paraId="4C85323B"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Financial information management</w:t>
            </w:r>
          </w:p>
        </w:tc>
      </w:tr>
      <w:tr w:rsidR="007B1BE3" w:rsidRPr="005D2478" w14:paraId="74040C25" w14:textId="77777777" w:rsidTr="363CA695">
        <w:trPr>
          <w:trHeight w:val="20"/>
        </w:trPr>
        <w:tc>
          <w:tcPr>
            <w:tcW w:w="9900" w:type="dxa"/>
          </w:tcPr>
          <w:p w14:paraId="5CE90F7D" w14:textId="06EFA097" w:rsidR="00CC7A58" w:rsidRPr="00106F90" w:rsidRDefault="00CC7A58">
            <w:pPr>
              <w:pStyle w:val="ListParagraph"/>
              <w:widowControl w:val="0"/>
              <w:numPr>
                <w:ilvl w:val="0"/>
                <w:numId w:val="56"/>
              </w:numPr>
              <w:autoSpaceDE w:val="0"/>
              <w:autoSpaceDN w:val="0"/>
              <w:spacing w:after="0" w:line="240" w:lineRule="auto"/>
              <w:ind w:left="360"/>
              <w:rPr>
                <w:sz w:val="20"/>
                <w:szCs w:val="20"/>
              </w:rPr>
            </w:pPr>
            <w:r w:rsidRPr="363CA695">
              <w:rPr>
                <w:b/>
                <w:bCs/>
                <w:sz w:val="20"/>
                <w:szCs w:val="20"/>
              </w:rPr>
              <w:t>Certifies year-end financial information for financial statement use and retains required supporting documentation for year-end financial information:</w:t>
            </w:r>
            <w:r w:rsidRPr="363CA695">
              <w:rPr>
                <w:sz w:val="20"/>
                <w:szCs w:val="20"/>
              </w:rPr>
              <w:t xml:space="preserve"> reviews, certifies and submits all year-end certifications to </w:t>
            </w:r>
            <w:r w:rsidRPr="363CA695">
              <w:rPr>
                <w:sz w:val="20"/>
                <w:szCs w:val="20"/>
              </w:rPr>
              <w:lastRenderedPageBreak/>
              <w:t>BMS/OF</w:t>
            </w:r>
            <w:r w:rsidR="00A40A72">
              <w:rPr>
                <w:sz w:val="20"/>
                <w:szCs w:val="20"/>
              </w:rPr>
              <w:t>R</w:t>
            </w:r>
            <w:r w:rsidRPr="363CA695">
              <w:rPr>
                <w:sz w:val="20"/>
                <w:szCs w:val="20"/>
              </w:rPr>
              <w:t>M/Chief of Financial Performance Management and Reporting (FPMR) in a timely manner and retains locally all analyses and reconciliations that may be specified in the BMS/OF</w:t>
            </w:r>
            <w:r w:rsidR="00A40A72">
              <w:rPr>
                <w:sz w:val="20"/>
                <w:szCs w:val="20"/>
              </w:rPr>
              <w:t>R</w:t>
            </w:r>
            <w:r w:rsidRPr="363CA695">
              <w:rPr>
                <w:sz w:val="20"/>
                <w:szCs w:val="20"/>
              </w:rPr>
              <w:t xml:space="preserve">M </w:t>
            </w:r>
            <w:hyperlink r:id="rId183">
              <w:r w:rsidRPr="363CA695">
                <w:rPr>
                  <w:rStyle w:val="Hyperlink"/>
                  <w:sz w:val="20"/>
                  <w:szCs w:val="20"/>
                </w:rPr>
                <w:t>year-end closing instructions</w:t>
              </w:r>
            </w:hyperlink>
            <w:r w:rsidRPr="363CA695">
              <w:rPr>
                <w:sz w:val="20"/>
                <w:szCs w:val="20"/>
              </w:rPr>
              <w:t>.</w:t>
            </w:r>
          </w:p>
        </w:tc>
      </w:tr>
      <w:tr w:rsidR="007B1BE3" w:rsidRPr="005D2478" w14:paraId="51068048" w14:textId="77777777" w:rsidTr="363CA695">
        <w:trPr>
          <w:trHeight w:val="20"/>
        </w:trPr>
        <w:tc>
          <w:tcPr>
            <w:tcW w:w="9900" w:type="dxa"/>
          </w:tcPr>
          <w:p w14:paraId="06AA5EE1" w14:textId="2E979ADA" w:rsidR="00106F90" w:rsidRPr="005D2478" w:rsidRDefault="00106F90">
            <w:pPr>
              <w:pStyle w:val="ListParagraph"/>
              <w:widowControl w:val="0"/>
              <w:numPr>
                <w:ilvl w:val="0"/>
                <w:numId w:val="56"/>
              </w:numPr>
              <w:autoSpaceDE w:val="0"/>
              <w:autoSpaceDN w:val="0"/>
              <w:spacing w:after="0" w:line="240" w:lineRule="auto"/>
              <w:ind w:left="360"/>
              <w:rPr>
                <w:b/>
                <w:bCs/>
                <w:sz w:val="20"/>
                <w:szCs w:val="20"/>
              </w:rPr>
            </w:pPr>
            <w:r w:rsidRPr="363CA695">
              <w:rPr>
                <w:b/>
                <w:bCs/>
                <w:sz w:val="20"/>
                <w:szCs w:val="20"/>
              </w:rPr>
              <w:lastRenderedPageBreak/>
              <w:t>Completes Annual Representation Statement:</w:t>
            </w:r>
            <w:r w:rsidRPr="363CA695">
              <w:rPr>
                <w:sz w:val="20"/>
                <w:szCs w:val="20"/>
              </w:rPr>
              <w:t xml:space="preserve"> in a timely manner, obtaining similar assurances from relevant office/unit staff, thereby identifying issues and agreeing on resolution timelines. The Head of Office/Unit is accountable for ensuring all sections of the Annual Representation Statement are complete and accurate.</w:t>
            </w:r>
          </w:p>
        </w:tc>
      </w:tr>
      <w:tr w:rsidR="00147C55" w:rsidRPr="005D2478" w14:paraId="38F134FA" w14:textId="77777777" w:rsidTr="363CA695">
        <w:trPr>
          <w:trHeight w:val="20"/>
        </w:trPr>
        <w:tc>
          <w:tcPr>
            <w:tcW w:w="9900" w:type="dxa"/>
            <w:shd w:val="clear" w:color="auto" w:fill="000000" w:themeFill="text1"/>
          </w:tcPr>
          <w:p w14:paraId="14987C9C"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Technology access management</w:t>
            </w:r>
          </w:p>
        </w:tc>
      </w:tr>
      <w:tr w:rsidR="007B1BE3" w:rsidRPr="005D2478" w14:paraId="167E362E" w14:textId="77777777" w:rsidTr="363CA695">
        <w:trPr>
          <w:trHeight w:val="20"/>
        </w:trPr>
        <w:tc>
          <w:tcPr>
            <w:tcW w:w="9900" w:type="dxa"/>
          </w:tcPr>
          <w:p w14:paraId="132F3E85" w14:textId="4EA3F667" w:rsidR="001765C7" w:rsidRPr="00106F90" w:rsidRDefault="001765C7">
            <w:pPr>
              <w:pStyle w:val="ListParagraph"/>
              <w:widowControl w:val="0"/>
              <w:numPr>
                <w:ilvl w:val="0"/>
                <w:numId w:val="57"/>
              </w:numPr>
              <w:autoSpaceDE w:val="0"/>
              <w:autoSpaceDN w:val="0"/>
              <w:spacing w:after="0" w:line="240" w:lineRule="auto"/>
              <w:rPr>
                <w:sz w:val="20"/>
                <w:szCs w:val="20"/>
              </w:rPr>
            </w:pPr>
            <w:r w:rsidRPr="363CA695">
              <w:rPr>
                <w:b/>
                <w:bCs/>
                <w:sz w:val="20"/>
                <w:szCs w:val="20"/>
              </w:rPr>
              <w:t>Approves Quantum Business Profiles and Supplementary Roles assigned to personnel to ensure effective control:</w:t>
            </w:r>
            <w:r w:rsidRPr="363CA695">
              <w:rPr>
                <w:sz w:val="20"/>
                <w:szCs w:val="20"/>
              </w:rPr>
              <w:t xml:space="preserve"> The Head of Office</w:t>
            </w:r>
            <w:r w:rsidR="006D6C0A" w:rsidRPr="363CA695">
              <w:rPr>
                <w:sz w:val="20"/>
                <w:szCs w:val="20"/>
              </w:rPr>
              <w:t>/Unit</w:t>
            </w:r>
            <w:r w:rsidRPr="363CA695">
              <w:rPr>
                <w:sz w:val="20"/>
                <w:szCs w:val="20"/>
              </w:rPr>
              <w:t xml:space="preserve"> must authorize all requests for personnel access to Quantum. The Head of Office</w:t>
            </w:r>
            <w:r w:rsidR="006D6C0A" w:rsidRPr="363CA695">
              <w:rPr>
                <w:sz w:val="20"/>
                <w:szCs w:val="20"/>
              </w:rPr>
              <w:t>/Unit</w:t>
            </w:r>
            <w:r w:rsidRPr="363CA695">
              <w:rPr>
                <w:sz w:val="20"/>
                <w:szCs w:val="20"/>
              </w:rPr>
              <w:t xml:space="preserve"> must designate an IDAM focal point who is responsible for initiating user profile requests (i.e., new/modify/delete), and IDAM Request Approver(s) (typically RR/DRR/OM or HQ-equivalent), who approve the access request via IDAM electronic workflow. Where a global business process owner (GBPO) pre-approval is needed for high-risk role assignments (e.g. Fund Manager, Budget Override), the IDAM electronic workflow will route the request to the GPO prior to the IDAM Approver step. </w:t>
            </w:r>
            <w:hyperlink w:anchor="_Annex_3:_Overview" w:history="1">
              <w:r w:rsidRPr="00876EB0">
                <w:rPr>
                  <w:rStyle w:val="Hyperlink"/>
                  <w:sz w:val="20"/>
                  <w:szCs w:val="20"/>
                </w:rPr>
                <w:t xml:space="preserve">Annex </w:t>
              </w:r>
              <w:r w:rsidR="00876EB0" w:rsidRPr="00876EB0">
                <w:rPr>
                  <w:rStyle w:val="Hyperlink"/>
                  <w:sz w:val="20"/>
                  <w:szCs w:val="20"/>
                </w:rPr>
                <w:t>3</w:t>
              </w:r>
            </w:hyperlink>
            <w:r w:rsidR="00876EB0" w:rsidRPr="363CA695">
              <w:rPr>
                <w:sz w:val="20"/>
                <w:szCs w:val="20"/>
              </w:rPr>
              <w:t xml:space="preserve"> </w:t>
            </w:r>
            <w:r w:rsidRPr="363CA695">
              <w:rPr>
                <w:sz w:val="20"/>
                <w:szCs w:val="20"/>
              </w:rPr>
              <w:t xml:space="preserve">illustrates the business process capabilities granted with assignment of each IDAM Business Profile and Supplementary Role. </w:t>
            </w:r>
          </w:p>
        </w:tc>
      </w:tr>
      <w:tr w:rsidR="007B1BE3" w:rsidRPr="005D2478" w14:paraId="4848AA24" w14:textId="77777777" w:rsidTr="363CA695">
        <w:trPr>
          <w:trHeight w:val="20"/>
        </w:trPr>
        <w:tc>
          <w:tcPr>
            <w:tcW w:w="9900" w:type="dxa"/>
          </w:tcPr>
          <w:p w14:paraId="723A7934" w14:textId="4201959F" w:rsidR="00106F90" w:rsidRPr="00106F90" w:rsidRDefault="00106F90">
            <w:pPr>
              <w:pStyle w:val="ListParagraph"/>
              <w:widowControl w:val="0"/>
              <w:numPr>
                <w:ilvl w:val="0"/>
                <w:numId w:val="57"/>
              </w:numPr>
              <w:autoSpaceDE w:val="0"/>
              <w:autoSpaceDN w:val="0"/>
              <w:spacing w:after="0" w:line="240" w:lineRule="auto"/>
              <w:contextualSpacing w:val="0"/>
              <w:rPr>
                <w:rFonts w:cstheme="minorHAnsi"/>
                <w:sz w:val="20"/>
                <w:szCs w:val="20"/>
              </w:rPr>
            </w:pPr>
            <w:r w:rsidRPr="005D2478">
              <w:rPr>
                <w:rFonts w:cstheme="minorHAnsi"/>
                <w:b/>
                <w:bCs/>
                <w:sz w:val="20"/>
                <w:szCs w:val="20"/>
              </w:rPr>
              <w:t>Regularly monitors IDAM user assignments:</w:t>
            </w:r>
            <w:r w:rsidRPr="005D2478">
              <w:rPr>
                <w:rFonts w:cstheme="minorHAnsi"/>
                <w:sz w:val="20"/>
                <w:szCs w:val="20"/>
              </w:rPr>
              <w:t xml:space="preserve"> The Head of Office</w:t>
            </w:r>
            <w:r>
              <w:rPr>
                <w:rFonts w:cstheme="minorHAnsi"/>
                <w:sz w:val="20"/>
                <w:szCs w:val="20"/>
              </w:rPr>
              <w:t>/Unit</w:t>
            </w:r>
            <w:r w:rsidRPr="005D2478">
              <w:rPr>
                <w:rFonts w:cstheme="minorHAnsi"/>
                <w:sz w:val="20"/>
                <w:szCs w:val="20"/>
              </w:rPr>
              <w:t xml:space="preserve"> must provide written instructions to the IDAM Focal Point and IDAM Approvers that are consistent with the requirements of this Guide and, on a monthly basis, review the list of staff members and their IDAM Business Profiles and Supplementary Roles (if any) to ensure they remain current and appropriate.</w:t>
            </w:r>
          </w:p>
        </w:tc>
      </w:tr>
      <w:tr w:rsidR="007B1BE3" w:rsidRPr="005D2478" w14:paraId="1FA8C471" w14:textId="77777777" w:rsidTr="363CA695">
        <w:trPr>
          <w:trHeight w:val="20"/>
        </w:trPr>
        <w:tc>
          <w:tcPr>
            <w:tcW w:w="9900" w:type="dxa"/>
          </w:tcPr>
          <w:p w14:paraId="601BA57E" w14:textId="65F16DEE" w:rsidR="00106F90" w:rsidRPr="00106F90" w:rsidRDefault="00106F90">
            <w:pPr>
              <w:pStyle w:val="ListParagraph"/>
              <w:widowControl w:val="0"/>
              <w:numPr>
                <w:ilvl w:val="0"/>
                <w:numId w:val="57"/>
              </w:numPr>
              <w:autoSpaceDE w:val="0"/>
              <w:autoSpaceDN w:val="0"/>
              <w:spacing w:after="0" w:line="240" w:lineRule="auto"/>
              <w:rPr>
                <w:sz w:val="20"/>
                <w:szCs w:val="20"/>
              </w:rPr>
            </w:pPr>
            <w:r w:rsidRPr="363CA695">
              <w:rPr>
                <w:b/>
                <w:bCs/>
                <w:sz w:val="20"/>
                <w:szCs w:val="20"/>
              </w:rPr>
              <w:t xml:space="preserve">Seeking CFO approval for ICF </w:t>
            </w:r>
            <w:proofErr w:type="gramStart"/>
            <w:r w:rsidRPr="363CA695">
              <w:rPr>
                <w:b/>
                <w:bCs/>
                <w:sz w:val="20"/>
                <w:szCs w:val="20"/>
              </w:rPr>
              <w:t>exceptions:</w:t>
            </w:r>
            <w:proofErr w:type="gramEnd"/>
            <w:r w:rsidRPr="363CA695">
              <w:rPr>
                <w:sz w:val="20"/>
                <w:szCs w:val="20"/>
              </w:rPr>
              <w:t xml:space="preserve"> submits requests for exceptions on Finance and certain HR transactional roles through the </w:t>
            </w:r>
            <w:proofErr w:type="spellStart"/>
            <w:r w:rsidRPr="363CA695">
              <w:rPr>
                <w:sz w:val="20"/>
                <w:szCs w:val="20"/>
              </w:rPr>
              <w:t>CBx</w:t>
            </w:r>
            <w:proofErr w:type="spellEnd"/>
            <w:r w:rsidRPr="363CA695">
              <w:rPr>
                <w:sz w:val="20"/>
                <w:szCs w:val="20"/>
              </w:rPr>
              <w:t>/</w:t>
            </w:r>
            <w:proofErr w:type="spellStart"/>
            <w:r w:rsidRPr="363CA695">
              <w:rPr>
                <w:sz w:val="20"/>
                <w:szCs w:val="20"/>
              </w:rPr>
              <w:t>RBx</w:t>
            </w:r>
            <w:proofErr w:type="spellEnd"/>
            <w:r w:rsidRPr="363CA695">
              <w:rPr>
                <w:sz w:val="20"/>
                <w:szCs w:val="20"/>
              </w:rPr>
              <w:t xml:space="preserve"> ICF Focal point to ‘Finance Business Advisors</w:t>
            </w:r>
            <w:r w:rsidR="00AB5BD2" w:rsidRPr="363CA695">
              <w:rPr>
                <w:sz w:val="20"/>
                <w:szCs w:val="20"/>
              </w:rPr>
              <w:t xml:space="preserve"> (</w:t>
            </w:r>
            <w:hyperlink r:id="rId184">
              <w:r w:rsidR="00AB5BD2" w:rsidRPr="363CA695">
                <w:rPr>
                  <w:rStyle w:val="Hyperlink"/>
                  <w:sz w:val="20"/>
                  <w:szCs w:val="20"/>
                </w:rPr>
                <w:t>fba.all@undp.org</w:t>
              </w:r>
            </w:hyperlink>
            <w:r w:rsidRPr="363CA695">
              <w:rPr>
                <w:sz w:val="20"/>
                <w:szCs w:val="20"/>
              </w:rPr>
              <w:t>). Each request should set out: (</w:t>
            </w:r>
            <w:proofErr w:type="spellStart"/>
            <w:r w:rsidRPr="363CA695">
              <w:rPr>
                <w:sz w:val="20"/>
                <w:szCs w:val="20"/>
              </w:rPr>
              <w:t>i</w:t>
            </w:r>
            <w:proofErr w:type="spellEnd"/>
            <w:r w:rsidRPr="363CA695">
              <w:rPr>
                <w:sz w:val="20"/>
                <w:szCs w:val="20"/>
              </w:rPr>
              <w:t>) what exception is being requested (segregation of duty, assignment of staff role to non-staff, etc.); (ii) why the timebound exception is needed; and (iii) what compensating controls/review measures the office/unit (or Bx, as relevant) will put in place during the period of the exception; and (iv) what steps the office/unit will take to phase out the need for the exception in the medium to longer term. The CFO’s approval of the request (if granted) should be attached to the IDAM access request as a supporting document when requesting the special access in IDAM.</w:t>
            </w:r>
          </w:p>
        </w:tc>
      </w:tr>
      <w:tr w:rsidR="007B1BE3" w:rsidRPr="005D2478" w14:paraId="7585E325" w14:textId="77777777" w:rsidTr="363CA695">
        <w:trPr>
          <w:trHeight w:val="20"/>
        </w:trPr>
        <w:tc>
          <w:tcPr>
            <w:tcW w:w="9900" w:type="dxa"/>
          </w:tcPr>
          <w:p w14:paraId="0E4E8661" w14:textId="15585B22" w:rsidR="00106F90" w:rsidRPr="005D2478" w:rsidRDefault="00106F90">
            <w:pPr>
              <w:pStyle w:val="ListParagraph"/>
              <w:widowControl w:val="0"/>
              <w:numPr>
                <w:ilvl w:val="0"/>
                <w:numId w:val="57"/>
              </w:numPr>
              <w:autoSpaceDE w:val="0"/>
              <w:autoSpaceDN w:val="0"/>
              <w:spacing w:after="0" w:line="240" w:lineRule="auto"/>
              <w:contextualSpacing w:val="0"/>
              <w:rPr>
                <w:rFonts w:cstheme="minorHAnsi"/>
                <w:b/>
                <w:bCs/>
                <w:sz w:val="20"/>
                <w:szCs w:val="20"/>
              </w:rPr>
            </w:pPr>
            <w:r w:rsidRPr="005D2478">
              <w:rPr>
                <w:rFonts w:cstheme="minorHAnsi"/>
                <w:b/>
                <w:bCs/>
                <w:sz w:val="20"/>
                <w:szCs w:val="20"/>
              </w:rPr>
              <w:t>Ensures emergency transactions follow this Guide:</w:t>
            </w:r>
            <w:r w:rsidRPr="005D2478">
              <w:rPr>
                <w:rFonts w:cstheme="minorHAnsi"/>
                <w:sz w:val="20"/>
                <w:szCs w:val="20"/>
              </w:rPr>
              <w:t xml:space="preserve"> </w:t>
            </w:r>
            <w:r>
              <w:rPr>
                <w:rFonts w:cstheme="minorHAnsi"/>
                <w:sz w:val="20"/>
                <w:szCs w:val="20"/>
              </w:rPr>
              <w:t xml:space="preserve">including </w:t>
            </w:r>
            <w:r w:rsidRPr="005D2478">
              <w:rPr>
                <w:rFonts w:cstheme="minorHAnsi"/>
                <w:sz w:val="20"/>
                <w:szCs w:val="20"/>
              </w:rPr>
              <w:t>implementation of segregation of duty and staff-only role requirements, as set out in sections 2.1 and 2.3 of this Guide.</w:t>
            </w:r>
          </w:p>
        </w:tc>
      </w:tr>
      <w:tr w:rsidR="00147C55" w:rsidRPr="005D2478" w14:paraId="64BCB90B" w14:textId="77777777" w:rsidTr="363CA695">
        <w:trPr>
          <w:trHeight w:val="20"/>
        </w:trPr>
        <w:tc>
          <w:tcPr>
            <w:tcW w:w="9900" w:type="dxa"/>
            <w:shd w:val="clear" w:color="auto" w:fill="000000" w:themeFill="text1"/>
          </w:tcPr>
          <w:p w14:paraId="6B603421"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 xml:space="preserve">Budget override management </w:t>
            </w:r>
          </w:p>
        </w:tc>
      </w:tr>
      <w:tr w:rsidR="007B1BE3" w:rsidRPr="005D2478" w14:paraId="1E6A37AE" w14:textId="77777777" w:rsidTr="363CA695">
        <w:trPr>
          <w:trHeight w:val="20"/>
        </w:trPr>
        <w:tc>
          <w:tcPr>
            <w:tcW w:w="9900" w:type="dxa"/>
          </w:tcPr>
          <w:p w14:paraId="4253A83E" w14:textId="18B2AA09" w:rsidR="00CC7A58" w:rsidRPr="00106F90" w:rsidRDefault="00CC7A58">
            <w:pPr>
              <w:pStyle w:val="ListParagraph"/>
              <w:widowControl w:val="0"/>
              <w:numPr>
                <w:ilvl w:val="0"/>
                <w:numId w:val="59"/>
              </w:numPr>
              <w:autoSpaceDE w:val="0"/>
              <w:autoSpaceDN w:val="0"/>
              <w:spacing w:after="0" w:line="240" w:lineRule="auto"/>
              <w:ind w:right="110"/>
              <w:rPr>
                <w:sz w:val="20"/>
                <w:szCs w:val="20"/>
              </w:rPr>
            </w:pPr>
            <w:r w:rsidRPr="363CA695">
              <w:rPr>
                <w:rStyle w:val="normaltextrun"/>
                <w:b/>
                <w:bCs/>
                <w:sz w:val="20"/>
                <w:szCs w:val="20"/>
                <w:shd w:val="clear" w:color="auto" w:fill="FFFFFF"/>
              </w:rPr>
              <w:t>Responsible for preparing a Budget Override</w:t>
            </w:r>
            <w:r w:rsidRPr="00A34AA2">
              <w:rPr>
                <w:rStyle w:val="normaltextrun"/>
                <w:b/>
                <w:bCs/>
                <w:color w:val="ED7D31" w:themeColor="accent2"/>
                <w:sz w:val="20"/>
                <w:szCs w:val="20"/>
                <w:shd w:val="clear" w:color="auto" w:fill="FFFFFF"/>
              </w:rPr>
              <w:t xml:space="preserve"> </w:t>
            </w:r>
            <w:r w:rsidR="004E63DA" w:rsidRPr="00E06F45">
              <w:rPr>
                <w:rStyle w:val="normaltextrun"/>
                <w:b/>
                <w:bCs/>
                <w:sz w:val="20"/>
                <w:szCs w:val="20"/>
              </w:rPr>
              <w:t xml:space="preserve">Guidance </w:t>
            </w:r>
            <w:r w:rsidRPr="00E06F45">
              <w:rPr>
                <w:rStyle w:val="normaltextrun"/>
                <w:b/>
                <w:bCs/>
                <w:sz w:val="20"/>
                <w:szCs w:val="20"/>
                <w:shd w:val="clear" w:color="auto" w:fill="FFFFFF"/>
              </w:rPr>
              <w:t>for the office/unit:</w:t>
            </w:r>
            <w:r w:rsidRPr="00E06F45">
              <w:rPr>
                <w:rStyle w:val="normaltextrun"/>
                <w:sz w:val="20"/>
                <w:szCs w:val="20"/>
                <w:shd w:val="clear" w:color="auto" w:fill="FFFFFF"/>
              </w:rPr>
              <w:t xml:space="preserve"> </w:t>
            </w:r>
            <w:r w:rsidRPr="00E06F45">
              <w:rPr>
                <w:sz w:val="20"/>
                <w:szCs w:val="20"/>
              </w:rPr>
              <w:t xml:space="preserve">In Quantum, all cost-sharing and EU contributions are defined as ‘cash-controlled funds.’ According to UNDP FRRs, offices/units do not have authority to </w:t>
            </w:r>
            <w:proofErr w:type="gramStart"/>
            <w:r w:rsidRPr="00E06F45">
              <w:rPr>
                <w:sz w:val="20"/>
                <w:szCs w:val="20"/>
              </w:rPr>
              <w:t>enter into</w:t>
            </w:r>
            <w:proofErr w:type="gramEnd"/>
            <w:r w:rsidRPr="00E06F45">
              <w:rPr>
                <w:sz w:val="20"/>
                <w:szCs w:val="20"/>
              </w:rPr>
              <w:t xml:space="preserve"> commitments in the absence of available cash. Quantum budgetary control enforces this by ensuring that only those POs, invoices, and journals entries that have funds available (i.e., pass budget check) can be finalized. Nevertheless, given that special circumstances in a particular office/unit may justify short-term deficits, the Head of Office/Unit is responsible for defining a budget override </w:t>
            </w:r>
            <w:r w:rsidR="00AA7D75" w:rsidRPr="00E06F45">
              <w:rPr>
                <w:sz w:val="20"/>
                <w:szCs w:val="20"/>
              </w:rPr>
              <w:t xml:space="preserve">guidance </w:t>
            </w:r>
            <w:r w:rsidRPr="00E06F45">
              <w:rPr>
                <w:rStyle w:val="normaltextrun"/>
                <w:sz w:val="20"/>
                <w:szCs w:val="20"/>
                <w:shd w:val="clear" w:color="auto" w:fill="FFFFFF"/>
              </w:rPr>
              <w:t xml:space="preserve">that </w:t>
            </w:r>
            <w:r w:rsidRPr="363CA695">
              <w:rPr>
                <w:rStyle w:val="normaltextrun"/>
                <w:sz w:val="20"/>
                <w:szCs w:val="20"/>
                <w:shd w:val="clear" w:color="auto" w:fill="FFFFFF"/>
              </w:rPr>
              <w:t xml:space="preserve">is in line with the corporate </w:t>
            </w:r>
            <w:hyperlink r:id="rId185" w:history="1">
              <w:r w:rsidR="004F73BA">
                <w:rPr>
                  <w:rStyle w:val="Hyperlink"/>
                  <w:sz w:val="20"/>
                  <w:szCs w:val="20"/>
                  <w:shd w:val="clear" w:color="auto" w:fill="FFFFFF"/>
                </w:rPr>
                <w:t>Budget Override Guidance and Temp</w:t>
              </w:r>
              <w:r w:rsidR="004F73BA">
                <w:rPr>
                  <w:rStyle w:val="Hyperlink"/>
                  <w:sz w:val="20"/>
                  <w:szCs w:val="20"/>
                  <w:shd w:val="clear" w:color="auto" w:fill="FFFFFF"/>
                </w:rPr>
                <w:t>l</w:t>
              </w:r>
              <w:r w:rsidR="004F73BA">
                <w:rPr>
                  <w:rStyle w:val="Hyperlink"/>
                  <w:sz w:val="20"/>
                  <w:szCs w:val="20"/>
                  <w:shd w:val="clear" w:color="auto" w:fill="FFFFFF"/>
                </w:rPr>
                <w:t>ate</w:t>
              </w:r>
            </w:hyperlink>
            <w:r w:rsidR="00C83F1F">
              <w:rPr>
                <w:rStyle w:val="normaltextrun"/>
                <w:sz w:val="20"/>
                <w:szCs w:val="20"/>
                <w:shd w:val="clear" w:color="auto" w:fill="FFFFFF"/>
              </w:rPr>
              <w:t xml:space="preserve">. </w:t>
            </w:r>
            <w:r w:rsidRPr="363CA695">
              <w:rPr>
                <w:rStyle w:val="normaltextrun"/>
                <w:sz w:val="20"/>
                <w:szCs w:val="20"/>
                <w:shd w:val="clear" w:color="auto" w:fill="FFFFFF"/>
              </w:rPr>
              <w:t xml:space="preserve">The office/unit Budget </w:t>
            </w:r>
            <w:r w:rsidRPr="00E06F45">
              <w:rPr>
                <w:rStyle w:val="normaltextrun"/>
                <w:sz w:val="20"/>
                <w:szCs w:val="20"/>
                <w:shd w:val="clear" w:color="auto" w:fill="FFFFFF"/>
              </w:rPr>
              <w:t xml:space="preserve">Override </w:t>
            </w:r>
            <w:r w:rsidR="00791F83" w:rsidRPr="00E06F45">
              <w:rPr>
                <w:rStyle w:val="normaltextrun"/>
                <w:sz w:val="20"/>
                <w:szCs w:val="20"/>
              </w:rPr>
              <w:t xml:space="preserve">guidance </w:t>
            </w:r>
            <w:r w:rsidRPr="00E06F45">
              <w:rPr>
                <w:rStyle w:val="normaltextrun"/>
                <w:sz w:val="20"/>
                <w:szCs w:val="20"/>
                <w:shd w:val="clear" w:color="auto" w:fill="FFFFFF"/>
              </w:rPr>
              <w:t xml:space="preserve">should </w:t>
            </w:r>
            <w:r w:rsidRPr="363CA695">
              <w:rPr>
                <w:rStyle w:val="normaltextrun"/>
                <w:sz w:val="20"/>
                <w:szCs w:val="20"/>
                <w:shd w:val="clear" w:color="auto" w:fill="FFFFFF"/>
              </w:rPr>
              <w:t>be pre-approved by BMS/OF</w:t>
            </w:r>
            <w:r w:rsidR="00A40A72">
              <w:rPr>
                <w:rStyle w:val="normaltextrun"/>
                <w:sz w:val="20"/>
                <w:szCs w:val="20"/>
                <w:shd w:val="clear" w:color="auto" w:fill="FFFFFF"/>
              </w:rPr>
              <w:t>R</w:t>
            </w:r>
            <w:r w:rsidRPr="363CA695">
              <w:rPr>
                <w:rStyle w:val="normaltextrun"/>
                <w:sz w:val="20"/>
                <w:szCs w:val="20"/>
                <w:shd w:val="clear" w:color="auto" w:fill="FFFFFF"/>
              </w:rPr>
              <w:t>M and uploaded to the BMS/OF</w:t>
            </w:r>
            <w:r w:rsidR="00A40A72">
              <w:rPr>
                <w:rStyle w:val="normaltextrun"/>
                <w:sz w:val="20"/>
                <w:szCs w:val="20"/>
                <w:shd w:val="clear" w:color="auto" w:fill="FFFFFF"/>
              </w:rPr>
              <w:t>R</w:t>
            </w:r>
            <w:r w:rsidRPr="363CA695">
              <w:rPr>
                <w:rStyle w:val="normaltextrun"/>
                <w:sz w:val="20"/>
                <w:szCs w:val="20"/>
                <w:shd w:val="clear" w:color="auto" w:fill="FFFFFF"/>
              </w:rPr>
              <w:t xml:space="preserve">M SharePoint </w:t>
            </w:r>
            <w:hyperlink r:id="rId186" w:tgtFrame="_blank" w:history="1">
              <w:r w:rsidRPr="363CA695">
                <w:rPr>
                  <w:rStyle w:val="Hyperlink"/>
                  <w:sz w:val="20"/>
                  <w:szCs w:val="20"/>
                </w:rPr>
                <w:t>ICF Repository</w:t>
              </w:r>
            </w:hyperlink>
            <w:r w:rsidRPr="363CA695">
              <w:rPr>
                <w:sz w:val="20"/>
                <w:szCs w:val="20"/>
              </w:rPr>
              <w:t>.</w:t>
            </w:r>
            <w:r w:rsidRPr="363CA695">
              <w:rPr>
                <w:rStyle w:val="eop"/>
                <w:sz w:val="20"/>
                <w:szCs w:val="20"/>
                <w:shd w:val="clear" w:color="auto" w:fill="FFFFFF"/>
              </w:rPr>
              <w:t> </w:t>
            </w:r>
            <w:r w:rsidRPr="363CA695">
              <w:rPr>
                <w:sz w:val="20"/>
                <w:szCs w:val="20"/>
              </w:rPr>
              <w:t xml:space="preserve">This </w:t>
            </w:r>
            <w:proofErr w:type="gramStart"/>
            <w:r w:rsidR="00A34AA2" w:rsidRPr="00E06F45">
              <w:rPr>
                <w:sz w:val="20"/>
                <w:szCs w:val="20"/>
              </w:rPr>
              <w:t>guidance</w:t>
            </w:r>
            <w:proofErr w:type="gramEnd"/>
            <w:r w:rsidR="00A34AA2" w:rsidRPr="00E06F45">
              <w:rPr>
                <w:sz w:val="20"/>
                <w:szCs w:val="20"/>
              </w:rPr>
              <w:t xml:space="preserve"> </w:t>
            </w:r>
            <w:r w:rsidRPr="00E06F45">
              <w:rPr>
                <w:sz w:val="20"/>
                <w:szCs w:val="20"/>
              </w:rPr>
              <w:t>should</w:t>
            </w:r>
            <w:r w:rsidRPr="00E06F45">
              <w:rPr>
                <w:spacing w:val="1"/>
                <w:sz w:val="20"/>
                <w:szCs w:val="20"/>
              </w:rPr>
              <w:t xml:space="preserve"> </w:t>
            </w:r>
            <w:r w:rsidRPr="363CA695">
              <w:rPr>
                <w:sz w:val="20"/>
                <w:szCs w:val="20"/>
              </w:rPr>
              <w:t xml:space="preserve">outline the circumstances under which a budget override is acceptable, who is authorized to approve the budget override, as well as who is responsible </w:t>
            </w:r>
            <w:proofErr w:type="gramStart"/>
            <w:r w:rsidRPr="363CA695">
              <w:rPr>
                <w:sz w:val="20"/>
                <w:szCs w:val="20"/>
              </w:rPr>
              <w:t>to monitor</w:t>
            </w:r>
            <w:proofErr w:type="gramEnd"/>
            <w:r w:rsidRPr="363CA695">
              <w:rPr>
                <w:sz w:val="20"/>
                <w:szCs w:val="20"/>
              </w:rPr>
              <w:t xml:space="preserve"> budget override usage. For most</w:t>
            </w:r>
            <w:r w:rsidRPr="363CA695">
              <w:rPr>
                <w:spacing w:val="1"/>
                <w:sz w:val="20"/>
                <w:szCs w:val="20"/>
              </w:rPr>
              <w:t xml:space="preserve"> </w:t>
            </w:r>
            <w:r w:rsidRPr="363CA695">
              <w:rPr>
                <w:sz w:val="20"/>
                <w:szCs w:val="20"/>
              </w:rPr>
              <w:t xml:space="preserve">offices/units, the </w:t>
            </w:r>
            <w:r w:rsidR="00D15479" w:rsidRPr="363CA695">
              <w:rPr>
                <w:sz w:val="20"/>
                <w:szCs w:val="20"/>
              </w:rPr>
              <w:t xml:space="preserve">guidance </w:t>
            </w:r>
            <w:r w:rsidRPr="363CA695">
              <w:rPr>
                <w:sz w:val="20"/>
                <w:szCs w:val="20"/>
              </w:rPr>
              <w:t>assigns responsibility to the DRR(O) for monitoring override expenditures,</w:t>
            </w:r>
            <w:r w:rsidRPr="363CA695">
              <w:rPr>
                <w:spacing w:val="1"/>
                <w:sz w:val="20"/>
                <w:szCs w:val="20"/>
              </w:rPr>
              <w:t xml:space="preserve"> </w:t>
            </w:r>
            <w:r w:rsidRPr="363CA695">
              <w:rPr>
                <w:sz w:val="20"/>
                <w:szCs w:val="20"/>
              </w:rPr>
              <w:t>supported by the Finance Unit; and the DRR(O) updates the RR on a regular basis.</w:t>
            </w:r>
          </w:p>
        </w:tc>
      </w:tr>
      <w:tr w:rsidR="007B1BE3" w:rsidRPr="005D2478" w14:paraId="085BC15C" w14:textId="77777777" w:rsidTr="363CA695">
        <w:trPr>
          <w:trHeight w:val="20"/>
        </w:trPr>
        <w:tc>
          <w:tcPr>
            <w:tcW w:w="9900" w:type="dxa"/>
          </w:tcPr>
          <w:p w14:paraId="75D7348C" w14:textId="77777777" w:rsidR="00106F90" w:rsidRPr="00CC7A58" w:rsidRDefault="00106F90">
            <w:pPr>
              <w:pStyle w:val="ListParagraph"/>
              <w:widowControl w:val="0"/>
              <w:numPr>
                <w:ilvl w:val="0"/>
                <w:numId w:val="59"/>
              </w:numPr>
              <w:autoSpaceDE w:val="0"/>
              <w:autoSpaceDN w:val="0"/>
              <w:spacing w:line="240" w:lineRule="auto"/>
              <w:rPr>
                <w:rStyle w:val="normaltextrun"/>
                <w:sz w:val="20"/>
                <w:szCs w:val="20"/>
              </w:rPr>
            </w:pPr>
            <w:proofErr w:type="gramStart"/>
            <w:r w:rsidRPr="363CA695">
              <w:rPr>
                <w:rStyle w:val="eop"/>
                <w:b/>
                <w:bCs/>
                <w:sz w:val="20"/>
                <w:szCs w:val="20"/>
                <w:shd w:val="clear" w:color="auto" w:fill="FFFFFF"/>
              </w:rPr>
              <w:t>Approves</w:t>
            </w:r>
            <w:proofErr w:type="gramEnd"/>
            <w:r w:rsidRPr="363CA695">
              <w:rPr>
                <w:rStyle w:val="eop"/>
                <w:b/>
                <w:bCs/>
                <w:sz w:val="20"/>
                <w:szCs w:val="20"/>
                <w:shd w:val="clear" w:color="auto" w:fill="FFFFFF"/>
              </w:rPr>
              <w:t xml:space="preserve"> budget overrides for the office/unit</w:t>
            </w:r>
            <w:r w:rsidRPr="363CA695">
              <w:rPr>
                <w:rStyle w:val="FootnoteReference"/>
                <w:sz w:val="20"/>
                <w:szCs w:val="20"/>
                <w:shd w:val="clear" w:color="auto" w:fill="FFFFFF"/>
              </w:rPr>
              <w:footnoteReference w:id="38"/>
            </w:r>
            <w:r w:rsidRPr="363CA695">
              <w:rPr>
                <w:rStyle w:val="eop"/>
                <w:b/>
                <w:bCs/>
                <w:sz w:val="20"/>
                <w:szCs w:val="20"/>
                <w:shd w:val="clear" w:color="auto" w:fill="FFFFFF"/>
              </w:rPr>
              <w:t xml:space="preserve">: </w:t>
            </w:r>
            <w:r w:rsidRPr="363CA695">
              <w:rPr>
                <w:rStyle w:val="eop"/>
                <w:sz w:val="20"/>
                <w:szCs w:val="20"/>
                <w:shd w:val="clear" w:color="auto" w:fill="FFFFFF"/>
              </w:rPr>
              <w:t xml:space="preserve">in accordance with the conditions specified in the Budget Override Guidance and template. </w:t>
            </w:r>
            <w:r w:rsidRPr="363CA695">
              <w:rPr>
                <w:rStyle w:val="normaltextrun"/>
                <w:color w:val="000000"/>
                <w:sz w:val="20"/>
                <w:szCs w:val="20"/>
                <w:shd w:val="clear" w:color="auto" w:fill="FFFFFF"/>
              </w:rPr>
              <w:t>The Head of Office/Unit may issue a written delegation for the authorization function to the DRR (or HQ-equivalent) or the OIC of the office/unit.</w:t>
            </w:r>
          </w:p>
          <w:p w14:paraId="755E7ED0" w14:textId="5266348E" w:rsidR="00106F90" w:rsidRDefault="00106F90" w:rsidP="363CA695">
            <w:pPr>
              <w:pStyle w:val="ListParagraph"/>
              <w:widowControl w:val="0"/>
              <w:autoSpaceDE w:val="0"/>
              <w:autoSpaceDN w:val="0"/>
              <w:spacing w:line="240" w:lineRule="auto"/>
              <w:ind w:left="360"/>
              <w:rPr>
                <w:sz w:val="20"/>
                <w:szCs w:val="20"/>
              </w:rPr>
            </w:pPr>
            <w:r w:rsidRPr="363CA695">
              <w:rPr>
                <w:b/>
                <w:bCs/>
                <w:sz w:val="20"/>
                <w:szCs w:val="20"/>
              </w:rPr>
              <w:t>Permitted blanket override exception:</w:t>
            </w:r>
            <w:r w:rsidRPr="363CA695">
              <w:rPr>
                <w:sz w:val="20"/>
                <w:szCs w:val="20"/>
              </w:rPr>
              <w:t xml:space="preserve"> For projects funded by the European Union (EU), the Head of Office/Unit has blanket authorization to approve budget overrides where the following conditions are met: (</w:t>
            </w:r>
            <w:proofErr w:type="spellStart"/>
            <w:r w:rsidRPr="363CA695">
              <w:rPr>
                <w:sz w:val="20"/>
                <w:szCs w:val="20"/>
              </w:rPr>
              <w:t>i</w:t>
            </w:r>
            <w:proofErr w:type="spellEnd"/>
            <w:r w:rsidRPr="363CA695">
              <w:rPr>
                <w:sz w:val="20"/>
                <w:szCs w:val="20"/>
              </w:rPr>
              <w:t>) the blanket budget override authorization applies only to the withheld (final installment) amount of EU funding; and (ii) in the event the final payment of the withheld amount by the EU remains unpaid for any reason, for example due to non-compliance with the EU agreement (inadequate donor reporting etc.), the office/unit will replenish any deficit created from its own alternative resources. </w:t>
            </w:r>
          </w:p>
          <w:p w14:paraId="13167A7E" w14:textId="500482AE" w:rsidR="005D41D5" w:rsidRPr="005D41D5" w:rsidRDefault="005D41D5" w:rsidP="363CA695">
            <w:pPr>
              <w:pStyle w:val="ListParagraph"/>
              <w:widowControl w:val="0"/>
              <w:autoSpaceDE w:val="0"/>
              <w:autoSpaceDN w:val="0"/>
              <w:spacing w:line="240" w:lineRule="auto"/>
              <w:ind w:left="360"/>
              <w:rPr>
                <w:sz w:val="20"/>
                <w:szCs w:val="20"/>
              </w:rPr>
            </w:pPr>
            <w:r w:rsidRPr="005D41D5">
              <w:rPr>
                <w:b/>
                <w:bCs/>
                <w:sz w:val="20"/>
                <w:szCs w:val="20"/>
              </w:rPr>
              <w:lastRenderedPageBreak/>
              <w:t>Note:</w:t>
            </w:r>
            <w:r w:rsidRPr="005D41D5">
              <w:rPr>
                <w:sz w:val="20"/>
                <w:szCs w:val="20"/>
              </w:rPr>
              <w:t xml:space="preserve"> </w:t>
            </w:r>
            <w:r w:rsidRPr="005D41D5">
              <w:rPr>
                <w:rStyle w:val="normaltextrun"/>
                <w:rFonts w:ascii="Calibri" w:hAnsi="Calibri" w:cs="Calibri"/>
                <w:sz w:val="20"/>
                <w:szCs w:val="20"/>
                <w:shd w:val="clear" w:color="auto" w:fill="FFFFFF"/>
              </w:rPr>
              <w:t xml:space="preserve">Quantum </w:t>
            </w:r>
            <w:r w:rsidRPr="005D41D5">
              <w:rPr>
                <w:rStyle w:val="normaltextrun"/>
                <w:sz w:val="20"/>
                <w:szCs w:val="20"/>
                <w:shd w:val="clear" w:color="auto" w:fill="FFFFFF"/>
              </w:rPr>
              <w:t xml:space="preserve">cannot restrict budget override approvals </w:t>
            </w:r>
            <w:r w:rsidRPr="005D41D5">
              <w:rPr>
                <w:rStyle w:val="normaltextrun"/>
                <w:rFonts w:ascii="Calibri" w:hAnsi="Calibri" w:cs="Calibri"/>
                <w:sz w:val="20"/>
                <w:szCs w:val="20"/>
                <w:shd w:val="clear" w:color="auto" w:fill="FFFFFF"/>
              </w:rPr>
              <w:t>to a particular Business Unit and/or department and must therefore be implemented at the Bureau level. Each Bureau</w:t>
            </w:r>
            <w:r w:rsidRPr="005D41D5">
              <w:rPr>
                <w:rStyle w:val="normaltextrun"/>
                <w:sz w:val="20"/>
                <w:szCs w:val="20"/>
                <w:shd w:val="clear" w:color="auto" w:fill="FFFFFF"/>
              </w:rPr>
              <w:t xml:space="preserve"> has</w:t>
            </w:r>
            <w:r w:rsidRPr="005D41D5">
              <w:rPr>
                <w:rStyle w:val="normaltextrun"/>
                <w:rFonts w:ascii="Calibri" w:hAnsi="Calibri" w:cs="Calibri"/>
                <w:sz w:val="20"/>
                <w:szCs w:val="20"/>
                <w:shd w:val="clear" w:color="auto" w:fill="FFFFFF"/>
              </w:rPr>
              <w:t xml:space="preserve"> identif</w:t>
            </w:r>
            <w:r w:rsidRPr="005D41D5">
              <w:rPr>
                <w:rStyle w:val="normaltextrun"/>
                <w:sz w:val="20"/>
                <w:szCs w:val="20"/>
                <w:shd w:val="clear" w:color="auto" w:fill="FFFFFF"/>
              </w:rPr>
              <w:t>ied</w:t>
            </w:r>
            <w:r w:rsidRPr="005D41D5">
              <w:rPr>
                <w:rStyle w:val="normaltextrun"/>
                <w:rFonts w:ascii="Calibri" w:hAnsi="Calibri" w:cs="Calibri"/>
                <w:sz w:val="20"/>
                <w:szCs w:val="20"/>
                <w:shd w:val="clear" w:color="auto" w:fill="FFFFFF"/>
              </w:rPr>
              <w:t xml:space="preserve"> a small group of staff members who are authorized to approve budget override transactions in Quantum for the offices/units within their purview (e.g., regional bureaus for COs, central bureaus for outposted HQ offices), based on documented approvals received from the relevant CO RR/Head of Office/Unit. While the regional bureaus/central bureaus execute the budget override approval in Quantum, they do so based on the RR/Head of Office/Unit approval, and the RR/Head of Office/Unit therefore remains accountable for all budget override transactions within their office/unit. Regional and central bureaus should ensure review of budget override compliance, including the subsequent clearance of cost-sharing deficits, is included in their ongoing oversight activities for offices/units that fall within their purview.</w:t>
            </w:r>
          </w:p>
          <w:p w14:paraId="55D28596" w14:textId="12840491" w:rsidR="00106F90" w:rsidRPr="005D2478" w:rsidRDefault="00106F90">
            <w:pPr>
              <w:pStyle w:val="ListParagraph"/>
              <w:widowControl w:val="0"/>
              <w:numPr>
                <w:ilvl w:val="0"/>
                <w:numId w:val="59"/>
              </w:numPr>
              <w:autoSpaceDE w:val="0"/>
              <w:autoSpaceDN w:val="0"/>
              <w:spacing w:after="0" w:line="240" w:lineRule="auto"/>
              <w:ind w:right="110"/>
              <w:rPr>
                <w:rStyle w:val="normaltextrun"/>
                <w:b/>
                <w:bCs/>
                <w:sz w:val="20"/>
                <w:szCs w:val="20"/>
                <w:shd w:val="clear" w:color="auto" w:fill="FFFFFF"/>
              </w:rPr>
            </w:pPr>
            <w:r w:rsidRPr="363CA695">
              <w:rPr>
                <w:b/>
                <w:bCs/>
                <w:sz w:val="20"/>
                <w:szCs w:val="20"/>
                <w:u w:val="single"/>
              </w:rPr>
              <w:t>ASLs must not be exceeded:</w:t>
            </w:r>
            <w:r w:rsidRPr="363CA695">
              <w:rPr>
                <w:sz w:val="20"/>
                <w:szCs w:val="20"/>
              </w:rPr>
              <w:t xml:space="preserve"> In Quantum, all core resources and some non-core resources (e.g., open trust funds and thematic trust funds) are defined as ‘ASL- controlled’ and are funded through an Authorized spending limit (ASL). The ASL represents an ‘authorization to spend’ from the fund manager. Offices/units must not </w:t>
            </w:r>
            <w:proofErr w:type="gramStart"/>
            <w:r w:rsidRPr="363CA695">
              <w:rPr>
                <w:sz w:val="20"/>
                <w:szCs w:val="20"/>
              </w:rPr>
              <w:t>enter into</w:t>
            </w:r>
            <w:proofErr w:type="gramEnd"/>
            <w:r w:rsidRPr="363CA695">
              <w:rPr>
                <w:sz w:val="20"/>
                <w:szCs w:val="20"/>
              </w:rPr>
              <w:t xml:space="preserve"> commitments that exceed ASLs.</w:t>
            </w:r>
          </w:p>
        </w:tc>
      </w:tr>
      <w:tr w:rsidR="007B1BE3" w:rsidRPr="005D2478" w14:paraId="0AB0B3E6" w14:textId="77777777" w:rsidTr="363CA695">
        <w:trPr>
          <w:trHeight w:val="20"/>
        </w:trPr>
        <w:tc>
          <w:tcPr>
            <w:tcW w:w="9900" w:type="dxa"/>
          </w:tcPr>
          <w:p w14:paraId="1493F1D2" w14:textId="5C542BEE" w:rsidR="00106F90" w:rsidRPr="005D2478" w:rsidRDefault="00106F90">
            <w:pPr>
              <w:pStyle w:val="ListParagraph"/>
              <w:widowControl w:val="0"/>
              <w:numPr>
                <w:ilvl w:val="0"/>
                <w:numId w:val="59"/>
              </w:numPr>
              <w:autoSpaceDE w:val="0"/>
              <w:autoSpaceDN w:val="0"/>
              <w:spacing w:after="0" w:line="240" w:lineRule="auto"/>
              <w:ind w:right="110"/>
              <w:rPr>
                <w:rStyle w:val="normaltextrun"/>
                <w:b/>
                <w:bCs/>
                <w:sz w:val="20"/>
                <w:szCs w:val="20"/>
                <w:shd w:val="clear" w:color="auto" w:fill="FFFFFF"/>
              </w:rPr>
            </w:pPr>
            <w:r w:rsidRPr="363CA695">
              <w:rPr>
                <w:b/>
                <w:bCs/>
                <w:sz w:val="20"/>
                <w:szCs w:val="20"/>
              </w:rPr>
              <w:lastRenderedPageBreak/>
              <w:t>Ensures budget override monitoring mechanisms are in place:</w:t>
            </w:r>
            <w:r w:rsidRPr="363CA695">
              <w:rPr>
                <w:sz w:val="20"/>
                <w:szCs w:val="20"/>
              </w:rPr>
              <w:t xml:space="preserve"> for timely clearance of budget override transactions. Where an override has been </w:t>
            </w:r>
            <w:proofErr w:type="gramStart"/>
            <w:r w:rsidRPr="363CA695">
              <w:rPr>
                <w:sz w:val="20"/>
                <w:szCs w:val="20"/>
              </w:rPr>
              <w:t>exercised</w:t>
            </w:r>
            <w:proofErr w:type="gramEnd"/>
            <w:r w:rsidRPr="363CA695">
              <w:rPr>
                <w:sz w:val="20"/>
                <w:szCs w:val="20"/>
              </w:rPr>
              <w:t xml:space="preserve">, the Head of Office/Unit is responsible for ensuring funds are received within 30 days, unless special conditions are agreed to and applied by the donor. However, such special conditions must be pre-approved by the CFO and included in the office/unit budget override </w:t>
            </w:r>
            <w:r w:rsidR="00A34AA2" w:rsidRPr="006804BF">
              <w:rPr>
                <w:sz w:val="20"/>
                <w:szCs w:val="20"/>
              </w:rPr>
              <w:t>guidance</w:t>
            </w:r>
            <w:r w:rsidRPr="363CA695">
              <w:rPr>
                <w:sz w:val="20"/>
                <w:szCs w:val="20"/>
              </w:rPr>
              <w:t>. If funds are not received within 30 days</w:t>
            </w:r>
            <w:bookmarkStart w:id="101" w:name="_Hlk183185512"/>
            <w:r w:rsidRPr="363CA695">
              <w:rPr>
                <w:sz w:val="20"/>
                <w:szCs w:val="20"/>
              </w:rPr>
              <w:t xml:space="preserve">, unless otherwise noted above, this </w:t>
            </w:r>
            <w:r w:rsidR="00AD4A16" w:rsidRPr="363CA695">
              <w:rPr>
                <w:sz w:val="20"/>
                <w:szCs w:val="20"/>
              </w:rPr>
              <w:t>situation</w:t>
            </w:r>
            <w:r w:rsidRPr="363CA695">
              <w:rPr>
                <w:sz w:val="20"/>
                <w:szCs w:val="20"/>
              </w:rPr>
              <w:t xml:space="preserve"> must be communicated to the head of the respective regional bureau, as well as to the CFO. To ensure budget overrides are cleared, Project Managers must closely monitor contributor payments received against agreed installment schedules and proactively follow up with donors on payments.</w:t>
            </w:r>
            <w:bookmarkEnd w:id="101"/>
          </w:p>
        </w:tc>
      </w:tr>
      <w:tr w:rsidR="00147C55" w:rsidRPr="005D2478" w14:paraId="5C1ED198" w14:textId="77777777" w:rsidTr="363CA695">
        <w:trPr>
          <w:trHeight w:val="20"/>
        </w:trPr>
        <w:tc>
          <w:tcPr>
            <w:tcW w:w="9900" w:type="dxa"/>
            <w:shd w:val="clear" w:color="auto" w:fill="000000" w:themeFill="text1"/>
          </w:tcPr>
          <w:p w14:paraId="6B133D2D" w14:textId="77777777" w:rsidR="00011B58" w:rsidRPr="005D2478" w:rsidRDefault="00011B58">
            <w:pPr>
              <w:pStyle w:val="ListParagraph"/>
              <w:widowControl w:val="0"/>
              <w:numPr>
                <w:ilvl w:val="0"/>
                <w:numId w:val="49"/>
              </w:numPr>
              <w:autoSpaceDE w:val="0"/>
              <w:autoSpaceDN w:val="0"/>
              <w:spacing w:after="0" w:line="240" w:lineRule="auto"/>
              <w:contextualSpacing w:val="0"/>
              <w:rPr>
                <w:rFonts w:cstheme="minorHAnsi"/>
                <w:b/>
                <w:bCs/>
                <w:sz w:val="20"/>
                <w:szCs w:val="20"/>
              </w:rPr>
            </w:pPr>
            <w:r w:rsidRPr="005D2478">
              <w:rPr>
                <w:rFonts w:cstheme="minorHAnsi"/>
                <w:b/>
                <w:bCs/>
                <w:sz w:val="20"/>
                <w:szCs w:val="20"/>
              </w:rPr>
              <w:t>Records Management</w:t>
            </w:r>
          </w:p>
        </w:tc>
      </w:tr>
      <w:tr w:rsidR="007B1BE3" w:rsidRPr="005D2478" w14:paraId="47AD015C" w14:textId="77777777" w:rsidTr="363CA695">
        <w:trPr>
          <w:trHeight w:val="20"/>
        </w:trPr>
        <w:tc>
          <w:tcPr>
            <w:tcW w:w="9900" w:type="dxa"/>
          </w:tcPr>
          <w:p w14:paraId="255BA3F0" w14:textId="2690EB89" w:rsidR="00011B58" w:rsidRPr="005D2478" w:rsidRDefault="00011B58">
            <w:pPr>
              <w:pStyle w:val="ListParagraph"/>
              <w:widowControl w:val="0"/>
              <w:numPr>
                <w:ilvl w:val="0"/>
                <w:numId w:val="58"/>
              </w:numPr>
              <w:autoSpaceDE w:val="0"/>
              <w:autoSpaceDN w:val="0"/>
              <w:spacing w:after="0" w:line="240" w:lineRule="auto"/>
              <w:rPr>
                <w:sz w:val="20"/>
                <w:szCs w:val="20"/>
              </w:rPr>
            </w:pPr>
            <w:r w:rsidRPr="363CA695">
              <w:rPr>
                <w:sz w:val="20"/>
                <w:szCs w:val="20"/>
              </w:rPr>
              <w:t>Ensures procedures are in place to comply with</w:t>
            </w:r>
            <w:r w:rsidRPr="001E219E">
              <w:rPr>
                <w:sz w:val="20"/>
                <w:szCs w:val="20"/>
              </w:rPr>
              <w:t xml:space="preserve"> </w:t>
            </w:r>
            <w:r w:rsidR="001E219E" w:rsidRPr="001E219E">
              <w:rPr>
                <w:sz w:val="20"/>
                <w:szCs w:val="20"/>
              </w:rPr>
              <w:t xml:space="preserve">documentation management and retention policies, </w:t>
            </w:r>
            <w:r w:rsidRPr="001E219E">
              <w:rPr>
                <w:sz w:val="20"/>
                <w:szCs w:val="20"/>
              </w:rPr>
              <w:t>as articulated in section 2.10 of this Guide.</w:t>
            </w:r>
          </w:p>
        </w:tc>
      </w:tr>
      <w:tr w:rsidR="00147C55" w:rsidRPr="005D2478" w14:paraId="255B351A" w14:textId="77777777" w:rsidTr="363CA695">
        <w:trPr>
          <w:trHeight w:val="20"/>
        </w:trPr>
        <w:tc>
          <w:tcPr>
            <w:tcW w:w="9900" w:type="dxa"/>
            <w:shd w:val="clear" w:color="auto" w:fill="E2EFD9" w:themeFill="accent6" w:themeFillTint="33"/>
          </w:tcPr>
          <w:p w14:paraId="5319F1B9" w14:textId="77777777" w:rsidR="00011B58" w:rsidRPr="005D2478" w:rsidRDefault="00011B58" w:rsidP="00011B58">
            <w:pPr>
              <w:spacing w:after="0" w:line="240" w:lineRule="auto"/>
              <w:rPr>
                <w:rFonts w:cstheme="minorHAnsi"/>
                <w:sz w:val="20"/>
                <w:szCs w:val="20"/>
              </w:rPr>
            </w:pPr>
            <w:r w:rsidRPr="005D2478">
              <w:rPr>
                <w:rFonts w:cstheme="minorHAnsi"/>
                <w:b/>
                <w:bCs/>
                <w:sz w:val="20"/>
                <w:szCs w:val="20"/>
              </w:rPr>
              <w:t>IDAM Business Profile:</w:t>
            </w:r>
            <w:r w:rsidRPr="005D2478">
              <w:rPr>
                <w:rFonts w:cstheme="minorHAnsi"/>
                <w:sz w:val="20"/>
                <w:szCs w:val="20"/>
              </w:rPr>
              <w:t xml:space="preserve"> </w:t>
            </w:r>
            <w:r w:rsidRPr="00C00376">
              <w:rPr>
                <w:rFonts w:cstheme="minorHAnsi"/>
                <w:b/>
                <w:bCs/>
                <w:sz w:val="20"/>
                <w:szCs w:val="20"/>
              </w:rPr>
              <w:t>Typically, Senior Manager (must be a UNDP staff member)</w:t>
            </w:r>
          </w:p>
        </w:tc>
      </w:tr>
    </w:tbl>
    <w:p w14:paraId="0E8ABE2A" w14:textId="7B69773A" w:rsidR="00231F3A" w:rsidRDefault="00A51D00">
      <w:pPr>
        <w:pStyle w:val="Heading1"/>
        <w:numPr>
          <w:ilvl w:val="0"/>
          <w:numId w:val="92"/>
        </w:numPr>
        <w:spacing w:after="240"/>
      </w:pPr>
      <w:bookmarkStart w:id="102" w:name="_Toc210052787"/>
      <w:r>
        <w:t>Other Internal Control Roles</w:t>
      </w:r>
      <w:bookmarkEnd w:id="102"/>
    </w:p>
    <w:p w14:paraId="238B0AE6" w14:textId="09A504D8" w:rsidR="00A51D00" w:rsidRPr="00D97479" w:rsidRDefault="00A51D00">
      <w:pPr>
        <w:pStyle w:val="Heading2"/>
        <w:numPr>
          <w:ilvl w:val="1"/>
          <w:numId w:val="92"/>
        </w:numPr>
        <w:spacing w:after="240"/>
        <w:ind w:left="360"/>
      </w:pPr>
      <w:bookmarkStart w:id="103" w:name="_Toc134134786"/>
      <w:bookmarkStart w:id="104" w:name="_Toc210052788"/>
      <w:r w:rsidRPr="363CA695">
        <w:t>Designated Officials to submit service requests to BMS/GSSC</w:t>
      </w:r>
      <w:bookmarkEnd w:id="103"/>
      <w:bookmarkEnd w:id="104"/>
    </w:p>
    <w:p w14:paraId="282DDBCB" w14:textId="524E6F44" w:rsidR="00A51D00" w:rsidRPr="00217D1B" w:rsidRDefault="00A51D00" w:rsidP="00A51D00">
      <w:pPr>
        <w:spacing w:line="240" w:lineRule="auto"/>
      </w:pPr>
      <w:r w:rsidRPr="363CA695">
        <w:t>The Head of Office</w:t>
      </w:r>
      <w:r w:rsidR="006D6C0A" w:rsidRPr="363CA695">
        <w:t>/Unit</w:t>
      </w:r>
      <w:r w:rsidRPr="363CA695">
        <w:t xml:space="preserve"> assigns staff and non-staff responsible for entering information into BMS/GSSC service request platform(s)/Quantum and staff responsible for verifying the accuracy and completeness of the information for BMS/GSSC to perform the service request. Designations should be in line with</w:t>
      </w:r>
      <w:r w:rsidR="00494060" w:rsidRPr="363CA695">
        <w:t xml:space="preserve"> </w:t>
      </w:r>
      <w:hyperlink r:id="rId187">
        <w:r w:rsidR="00494060" w:rsidRPr="363CA695">
          <w:rPr>
            <w:rStyle w:val="Hyperlink"/>
          </w:rPr>
          <w:t>BMS/GSSC</w:t>
        </w:r>
        <w:r w:rsidRPr="363CA695">
          <w:rPr>
            <w:rStyle w:val="Hyperlink"/>
          </w:rPr>
          <w:t xml:space="preserve"> SOPs and other user guides</w:t>
        </w:r>
      </w:hyperlink>
      <w:r w:rsidRPr="363CA695">
        <w:t>. It is recommended that two personnel are designated as being responsible for reviewing and ensuring service requests submitted to BMS/GSSC are valid, complete, accurate, compliant with POPP and the relevant BMS/GSSC SOP, and adequately evidenced with supporting documentation.</w:t>
      </w:r>
    </w:p>
    <w:p w14:paraId="0255C41B" w14:textId="55769DB9" w:rsidR="00A51D00" w:rsidRPr="00217D1B" w:rsidRDefault="00A51D00">
      <w:pPr>
        <w:pStyle w:val="Heading2"/>
        <w:numPr>
          <w:ilvl w:val="1"/>
          <w:numId w:val="92"/>
        </w:numPr>
        <w:spacing w:after="240"/>
        <w:ind w:left="360"/>
      </w:pPr>
      <w:bookmarkStart w:id="105" w:name="11.2_Argus_Focal_Point"/>
      <w:bookmarkStart w:id="106" w:name="_Toc134134787"/>
      <w:bookmarkStart w:id="107" w:name="_Toc210052789"/>
      <w:bookmarkEnd w:id="105"/>
      <w:r w:rsidRPr="00217D1B">
        <w:t>IDAM Focal Points</w:t>
      </w:r>
      <w:bookmarkEnd w:id="106"/>
      <w:r w:rsidRPr="00217D1B">
        <w:t xml:space="preserve"> &amp; IDAM Request Approvers</w:t>
      </w:r>
      <w:bookmarkEnd w:id="107"/>
    </w:p>
    <w:p w14:paraId="2F50EC9E" w14:textId="7DFF31E3" w:rsidR="00A51D00" w:rsidRPr="00217D1B" w:rsidRDefault="00A51D00" w:rsidP="00A51D00">
      <w:pPr>
        <w:spacing w:line="240" w:lineRule="auto"/>
      </w:pPr>
      <w:r w:rsidRPr="363CA695">
        <w:t>The IDAM Focal Point (IDAM Requestor) and IDAM Request Approver are designated in each office</w:t>
      </w:r>
      <w:r w:rsidR="006D6C0A" w:rsidRPr="363CA695">
        <w:t>/unit</w:t>
      </w:r>
      <w:r w:rsidRPr="363CA695">
        <w:t xml:space="preserve"> to facilitate and enact the Head of Office</w:t>
      </w:r>
      <w:r w:rsidR="006D6C0A" w:rsidRPr="363CA695">
        <w:t>/Unit</w:t>
      </w:r>
      <w:r w:rsidRPr="363CA695">
        <w:t>’s approval for Quantum user profile requests. The IDAM Focal Point and IDAM Request Approver should have an awareness of the various job functions within the office</w:t>
      </w:r>
      <w:r w:rsidR="006D6C0A" w:rsidRPr="363CA695">
        <w:t>/unit</w:t>
      </w:r>
      <w:r w:rsidRPr="363CA695">
        <w:t>, a thorough understanding of the ICF Operational Guide, and an appreciation for risk management considerations, to ensure that access requests are both necessary and appropriate in the context of the office</w:t>
      </w:r>
      <w:r w:rsidR="006D6C0A" w:rsidRPr="363CA695">
        <w:t>/unit</w:t>
      </w:r>
      <w:r w:rsidRPr="363CA695">
        <w:t>’s activities.</w:t>
      </w:r>
    </w:p>
    <w:p w14:paraId="2764B18F" w14:textId="3EE9B8F9" w:rsidR="00003931" w:rsidRDefault="00DF5E09">
      <w:pPr>
        <w:pStyle w:val="Heading1"/>
        <w:numPr>
          <w:ilvl w:val="0"/>
          <w:numId w:val="92"/>
        </w:numPr>
        <w:spacing w:after="240"/>
      </w:pPr>
      <w:bookmarkStart w:id="108" w:name="_Toc210052790"/>
      <w:r>
        <w:lastRenderedPageBreak/>
        <w:t xml:space="preserve">Transactions performed at request of </w:t>
      </w:r>
      <w:r w:rsidR="00016669">
        <w:t xml:space="preserve">UNDP </w:t>
      </w:r>
      <w:r>
        <w:t>offices</w:t>
      </w:r>
      <w:r w:rsidR="006D6C0A">
        <w:t>/units</w:t>
      </w:r>
      <w:r>
        <w:t xml:space="preserve"> or UN agencies</w:t>
      </w:r>
      <w:bookmarkEnd w:id="108"/>
    </w:p>
    <w:p w14:paraId="6499F8EB" w14:textId="14F771BB" w:rsidR="0077104B" w:rsidRPr="00C55920" w:rsidRDefault="0077104B" w:rsidP="00775292">
      <w:pPr>
        <w:spacing w:line="240" w:lineRule="auto"/>
      </w:pPr>
      <w:r w:rsidRPr="00C55920">
        <w:t>UNDP offices</w:t>
      </w:r>
      <w:r w:rsidR="006D6C0A">
        <w:t>/units</w:t>
      </w:r>
      <w:r w:rsidRPr="00C55920">
        <w:t xml:space="preserve"> perform certain administrative and transactional services for other UNDP offices</w:t>
      </w:r>
      <w:r w:rsidR="006D6C0A">
        <w:t>/units</w:t>
      </w:r>
      <w:r w:rsidRPr="00C55920">
        <w:t xml:space="preserve"> or other UN organizations, including:</w:t>
      </w:r>
    </w:p>
    <w:p w14:paraId="01EF4264" w14:textId="51C2F0B6" w:rsidR="0077104B" w:rsidRPr="00C55920" w:rsidRDefault="0077104B">
      <w:pPr>
        <w:pStyle w:val="ListParagraph"/>
        <w:numPr>
          <w:ilvl w:val="0"/>
          <w:numId w:val="83"/>
        </w:numPr>
        <w:spacing w:line="240" w:lineRule="auto"/>
      </w:pPr>
      <w:r w:rsidRPr="00C55920">
        <w:t>Making payments for offices</w:t>
      </w:r>
      <w:r w:rsidR="006D6C0A">
        <w:t>/units</w:t>
      </w:r>
      <w:r w:rsidRPr="00C55920">
        <w:t xml:space="preserve"> or UN agencies that do not have banking facilities in certain countries.</w:t>
      </w:r>
    </w:p>
    <w:p w14:paraId="52D2A2D6" w14:textId="43C79AA2" w:rsidR="0077104B" w:rsidRPr="00C55920" w:rsidRDefault="0077104B">
      <w:pPr>
        <w:pStyle w:val="ListParagraph"/>
        <w:numPr>
          <w:ilvl w:val="0"/>
          <w:numId w:val="83"/>
        </w:numPr>
        <w:spacing w:line="240" w:lineRule="auto"/>
      </w:pPr>
      <w:r w:rsidRPr="00C55920">
        <w:t>Signing UN agency contracts at the request of another office</w:t>
      </w:r>
      <w:r w:rsidR="006D6C0A">
        <w:t>/unit</w:t>
      </w:r>
      <w:r w:rsidRPr="00C55920">
        <w:t xml:space="preserve"> or UN organization.</w:t>
      </w:r>
    </w:p>
    <w:p w14:paraId="75BDC189" w14:textId="21CAABD1" w:rsidR="0077104B" w:rsidRPr="00C55920" w:rsidRDefault="0077104B">
      <w:pPr>
        <w:pStyle w:val="ListParagraph"/>
        <w:numPr>
          <w:ilvl w:val="0"/>
          <w:numId w:val="83"/>
        </w:numPr>
        <w:spacing w:line="240" w:lineRule="auto"/>
      </w:pPr>
      <w:r w:rsidRPr="00C55920">
        <w:t>Contracting procurement, recruitment, travel, and other services on behalf of another office</w:t>
      </w:r>
      <w:r w:rsidR="006D6C0A">
        <w:t>/unit</w:t>
      </w:r>
      <w:r w:rsidRPr="00C55920">
        <w:t xml:space="preserve"> or UN organization and concluding contracts for UN organizations in UNDP’s name.</w:t>
      </w:r>
    </w:p>
    <w:p w14:paraId="65ABC344" w14:textId="7D63EA81" w:rsidR="0077104B" w:rsidRDefault="0077104B" w:rsidP="00775292">
      <w:pPr>
        <w:spacing w:line="240" w:lineRule="auto"/>
      </w:pPr>
      <w:r w:rsidRPr="363CA695">
        <w:t>Each of these scenarios is described below, including the key internal control points that should be observed.</w:t>
      </w:r>
    </w:p>
    <w:tbl>
      <w:tblPr>
        <w:tblStyle w:val="TableGrid"/>
        <w:tblW w:w="0" w:type="auto"/>
        <w:tblCellMar>
          <w:left w:w="72" w:type="dxa"/>
          <w:bottom w:w="43" w:type="dxa"/>
          <w:right w:w="72" w:type="dxa"/>
        </w:tblCellMar>
        <w:tblLook w:val="04A0" w:firstRow="1" w:lastRow="0" w:firstColumn="1" w:lastColumn="0" w:noHBand="0" w:noVBand="1"/>
      </w:tblPr>
      <w:tblGrid>
        <w:gridCol w:w="1345"/>
        <w:gridCol w:w="8550"/>
      </w:tblGrid>
      <w:tr w:rsidR="0077104B" w:rsidRPr="00194657" w14:paraId="1C4E7C34" w14:textId="77777777" w:rsidTr="363CA695">
        <w:trPr>
          <w:trHeight w:val="20"/>
          <w:tblHeader/>
        </w:trPr>
        <w:tc>
          <w:tcPr>
            <w:tcW w:w="9895" w:type="dxa"/>
            <w:gridSpan w:val="2"/>
            <w:shd w:val="clear" w:color="auto" w:fill="002060"/>
          </w:tcPr>
          <w:p w14:paraId="5135E993" w14:textId="6B6169E7" w:rsidR="0077104B" w:rsidRPr="00194657" w:rsidRDefault="0077104B">
            <w:pPr>
              <w:pStyle w:val="ListParagraph"/>
              <w:widowControl w:val="0"/>
              <w:numPr>
                <w:ilvl w:val="0"/>
                <w:numId w:val="80"/>
              </w:numPr>
              <w:autoSpaceDE w:val="0"/>
              <w:autoSpaceDN w:val="0"/>
              <w:contextualSpacing w:val="0"/>
              <w:rPr>
                <w:b/>
                <w:bCs/>
                <w:sz w:val="20"/>
                <w:szCs w:val="20"/>
              </w:rPr>
            </w:pPr>
            <w:r w:rsidRPr="00194657">
              <w:rPr>
                <w:b/>
                <w:bCs/>
                <w:sz w:val="20"/>
                <w:szCs w:val="20"/>
              </w:rPr>
              <w:t>Making payments for other UNDP offices</w:t>
            </w:r>
            <w:r w:rsidR="006D6C0A">
              <w:rPr>
                <w:b/>
                <w:bCs/>
                <w:sz w:val="20"/>
                <w:szCs w:val="20"/>
              </w:rPr>
              <w:t xml:space="preserve">/units </w:t>
            </w:r>
            <w:r w:rsidRPr="00194657">
              <w:rPr>
                <w:b/>
                <w:bCs/>
                <w:sz w:val="20"/>
                <w:szCs w:val="20"/>
              </w:rPr>
              <w:t>or UN agencies</w:t>
            </w:r>
          </w:p>
        </w:tc>
      </w:tr>
      <w:tr w:rsidR="0077104B" w:rsidRPr="00194657" w14:paraId="0FBE4FA5" w14:textId="77777777" w:rsidTr="363CA695">
        <w:trPr>
          <w:trHeight w:val="20"/>
        </w:trPr>
        <w:tc>
          <w:tcPr>
            <w:tcW w:w="1345" w:type="dxa"/>
          </w:tcPr>
          <w:p w14:paraId="09FF9B87" w14:textId="77777777" w:rsidR="0077104B" w:rsidRPr="00194657" w:rsidRDefault="0077104B" w:rsidP="00CF32EB">
            <w:pPr>
              <w:rPr>
                <w:sz w:val="20"/>
                <w:szCs w:val="20"/>
              </w:rPr>
            </w:pPr>
            <w:r w:rsidRPr="00194657">
              <w:rPr>
                <w:sz w:val="20"/>
                <w:szCs w:val="20"/>
              </w:rPr>
              <w:t xml:space="preserve">What </w:t>
            </w:r>
            <w:r>
              <w:rPr>
                <w:sz w:val="20"/>
                <w:szCs w:val="20"/>
              </w:rPr>
              <w:t>it covers</w:t>
            </w:r>
          </w:p>
        </w:tc>
        <w:tc>
          <w:tcPr>
            <w:tcW w:w="8550" w:type="dxa"/>
          </w:tcPr>
          <w:p w14:paraId="2DFE4C35" w14:textId="77777777" w:rsidR="0077104B" w:rsidRPr="00194657" w:rsidRDefault="0077104B" w:rsidP="00CF32EB">
            <w:pPr>
              <w:rPr>
                <w:sz w:val="20"/>
                <w:szCs w:val="20"/>
              </w:rPr>
            </w:pPr>
            <w:r w:rsidRPr="00194657">
              <w:rPr>
                <w:sz w:val="20"/>
                <w:szCs w:val="20"/>
              </w:rPr>
              <w:t>Payment services for agencies that do not have banking facilities in certain countries</w:t>
            </w:r>
          </w:p>
        </w:tc>
      </w:tr>
      <w:tr w:rsidR="0077104B" w:rsidRPr="00194657" w14:paraId="75E9EF9A" w14:textId="77777777" w:rsidTr="363CA695">
        <w:trPr>
          <w:trHeight w:val="20"/>
        </w:trPr>
        <w:tc>
          <w:tcPr>
            <w:tcW w:w="1345" w:type="dxa"/>
          </w:tcPr>
          <w:p w14:paraId="13021DDF" w14:textId="77777777" w:rsidR="0077104B" w:rsidRPr="00194657" w:rsidRDefault="0077104B" w:rsidP="00CF32EB">
            <w:pPr>
              <w:rPr>
                <w:sz w:val="20"/>
                <w:szCs w:val="20"/>
              </w:rPr>
            </w:pPr>
            <w:r w:rsidRPr="00194657">
              <w:rPr>
                <w:sz w:val="20"/>
                <w:szCs w:val="20"/>
              </w:rPr>
              <w:t>ICF implications</w:t>
            </w:r>
          </w:p>
        </w:tc>
        <w:tc>
          <w:tcPr>
            <w:tcW w:w="8550" w:type="dxa"/>
          </w:tcPr>
          <w:p w14:paraId="5340BEF0" w14:textId="20F01DB2" w:rsidR="0077104B" w:rsidRPr="00194657" w:rsidRDefault="0077104B" w:rsidP="00354C59">
            <w:pPr>
              <w:rPr>
                <w:sz w:val="20"/>
                <w:szCs w:val="20"/>
              </w:rPr>
            </w:pPr>
            <w:r w:rsidRPr="00194657">
              <w:rPr>
                <w:sz w:val="20"/>
                <w:szCs w:val="20"/>
              </w:rPr>
              <w:t>The concept of authorities does not apply to BMS/GSSC and BMS/OF</w:t>
            </w:r>
            <w:r w:rsidR="00A40A72">
              <w:rPr>
                <w:sz w:val="20"/>
                <w:szCs w:val="20"/>
              </w:rPr>
              <w:t>R</w:t>
            </w:r>
            <w:r w:rsidRPr="00194657">
              <w:rPr>
                <w:sz w:val="20"/>
                <w:szCs w:val="20"/>
              </w:rPr>
              <w:t>M/Treasury (the disbursing offices</w:t>
            </w:r>
            <w:r w:rsidR="006D6C0A">
              <w:rPr>
                <w:sz w:val="20"/>
                <w:szCs w:val="20"/>
              </w:rPr>
              <w:t>/units</w:t>
            </w:r>
            <w:r w:rsidRPr="00194657">
              <w:rPr>
                <w:sz w:val="20"/>
                <w:szCs w:val="20"/>
              </w:rPr>
              <w:t xml:space="preserve">) when </w:t>
            </w:r>
            <w:r w:rsidR="00354C59">
              <w:rPr>
                <w:sz w:val="20"/>
                <w:szCs w:val="20"/>
              </w:rPr>
              <w:t>they</w:t>
            </w:r>
            <w:r w:rsidRPr="00194657">
              <w:rPr>
                <w:sz w:val="20"/>
                <w:szCs w:val="20"/>
              </w:rPr>
              <w:t xml:space="preserve"> make a disbursement (i.e., run PPR) at the request of the other organization (the requesting office</w:t>
            </w:r>
            <w:r w:rsidR="006D6C0A">
              <w:rPr>
                <w:sz w:val="20"/>
                <w:szCs w:val="20"/>
              </w:rPr>
              <w:t>/unit</w:t>
            </w:r>
            <w:r w:rsidRPr="00194657">
              <w:rPr>
                <w:sz w:val="20"/>
                <w:szCs w:val="20"/>
              </w:rPr>
              <w:t>).</w:t>
            </w:r>
            <w:r w:rsidR="00354C59">
              <w:rPr>
                <w:sz w:val="20"/>
                <w:szCs w:val="20"/>
              </w:rPr>
              <w:t xml:space="preserve"> </w:t>
            </w:r>
            <w:r w:rsidR="00354C59" w:rsidRPr="006E1DAD">
              <w:rPr>
                <w:sz w:val="20"/>
                <w:szCs w:val="20"/>
              </w:rPr>
              <w:t xml:space="preserve">However, </w:t>
            </w:r>
            <w:r w:rsidR="00354C59">
              <w:rPr>
                <w:sz w:val="20"/>
                <w:szCs w:val="20"/>
              </w:rPr>
              <w:t>they do</w:t>
            </w:r>
            <w:r w:rsidR="00354C59" w:rsidRPr="006E1DAD">
              <w:rPr>
                <w:sz w:val="20"/>
                <w:szCs w:val="20"/>
              </w:rPr>
              <w:t xml:space="preserve"> perform</w:t>
            </w:r>
            <w:r w:rsidR="00354C59">
              <w:rPr>
                <w:sz w:val="20"/>
                <w:szCs w:val="20"/>
              </w:rPr>
              <w:t xml:space="preserve"> </w:t>
            </w:r>
            <w:r w:rsidR="00354C59" w:rsidRPr="006E1DAD">
              <w:rPr>
                <w:sz w:val="20"/>
                <w:szCs w:val="20"/>
              </w:rPr>
              <w:t xml:space="preserve">the </w:t>
            </w:r>
            <w:r w:rsidR="00354C59">
              <w:rPr>
                <w:sz w:val="20"/>
                <w:szCs w:val="20"/>
              </w:rPr>
              <w:t>below-mentioned</w:t>
            </w:r>
            <w:r w:rsidR="00354C59" w:rsidRPr="006E1DAD">
              <w:rPr>
                <w:sz w:val="20"/>
                <w:szCs w:val="20"/>
              </w:rPr>
              <w:t xml:space="preserve"> actions for risk management purposes</w:t>
            </w:r>
            <w:r w:rsidR="00354C59">
              <w:rPr>
                <w:sz w:val="20"/>
                <w:szCs w:val="20"/>
              </w:rPr>
              <w:t>.</w:t>
            </w:r>
          </w:p>
        </w:tc>
      </w:tr>
      <w:tr w:rsidR="0077104B" w:rsidRPr="00194657" w14:paraId="699F38A8" w14:textId="77777777" w:rsidTr="363CA695">
        <w:trPr>
          <w:trHeight w:val="20"/>
        </w:trPr>
        <w:tc>
          <w:tcPr>
            <w:tcW w:w="9895" w:type="dxa"/>
            <w:gridSpan w:val="2"/>
            <w:shd w:val="clear" w:color="auto" w:fill="BFBFBF" w:themeFill="background1" w:themeFillShade="BF"/>
          </w:tcPr>
          <w:p w14:paraId="2A99CECC" w14:textId="77777777" w:rsidR="0077104B" w:rsidRPr="00194657" w:rsidRDefault="0077104B" w:rsidP="00CF32EB">
            <w:pPr>
              <w:rPr>
                <w:b/>
                <w:bCs/>
                <w:sz w:val="20"/>
                <w:szCs w:val="20"/>
              </w:rPr>
            </w:pPr>
            <w:r w:rsidRPr="00194657">
              <w:rPr>
                <w:b/>
                <w:bCs/>
                <w:sz w:val="20"/>
                <w:szCs w:val="20"/>
              </w:rPr>
              <w:t>Responsibilities for Quantum agencies (such as UNCDF, UNFPA, UN Women, UNU, UNITAR and UNSSC)</w:t>
            </w:r>
          </w:p>
        </w:tc>
      </w:tr>
      <w:tr w:rsidR="0077104B" w:rsidRPr="00194657" w14:paraId="78218433" w14:textId="77777777" w:rsidTr="363CA695">
        <w:trPr>
          <w:trHeight w:val="20"/>
        </w:trPr>
        <w:tc>
          <w:tcPr>
            <w:tcW w:w="1345" w:type="dxa"/>
          </w:tcPr>
          <w:p w14:paraId="1C4D68FD" w14:textId="57E9D5BD" w:rsidR="0077104B" w:rsidRPr="00194657" w:rsidRDefault="0077104B" w:rsidP="00CF32EB">
            <w:pPr>
              <w:rPr>
                <w:sz w:val="20"/>
                <w:szCs w:val="20"/>
              </w:rPr>
            </w:pPr>
            <w:r w:rsidRPr="00194657">
              <w:rPr>
                <w:sz w:val="20"/>
                <w:szCs w:val="20"/>
              </w:rPr>
              <w:t>Requesting office</w:t>
            </w:r>
            <w:r w:rsidR="006D6C0A">
              <w:rPr>
                <w:sz w:val="20"/>
                <w:szCs w:val="20"/>
              </w:rPr>
              <w:t>/unit</w:t>
            </w:r>
          </w:p>
        </w:tc>
        <w:tc>
          <w:tcPr>
            <w:tcW w:w="8550" w:type="dxa"/>
          </w:tcPr>
          <w:p w14:paraId="61568292" w14:textId="77777777" w:rsidR="00A0634F" w:rsidRPr="00D2258D" w:rsidRDefault="00A0634F">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Prefunds UNDP Bank Account prior to generating </w:t>
            </w:r>
            <w:proofErr w:type="gramStart"/>
            <w:r w:rsidRPr="00D2258D">
              <w:rPr>
                <w:sz w:val="20"/>
                <w:szCs w:val="20"/>
              </w:rPr>
              <w:t>invoice</w:t>
            </w:r>
            <w:proofErr w:type="gramEnd"/>
            <w:r w:rsidRPr="00D2258D">
              <w:rPr>
                <w:sz w:val="20"/>
                <w:szCs w:val="20"/>
              </w:rPr>
              <w:t xml:space="preserve"> for disbursement through UNDP.</w:t>
            </w:r>
          </w:p>
          <w:p w14:paraId="60C17139" w14:textId="6346BD5D" w:rsidR="0077104B" w:rsidRPr="00D2258D" w:rsidRDefault="0077104B">
            <w:pPr>
              <w:pStyle w:val="ListParagraph"/>
              <w:widowControl w:val="0"/>
              <w:numPr>
                <w:ilvl w:val="0"/>
                <w:numId w:val="81"/>
              </w:numPr>
              <w:autoSpaceDE w:val="0"/>
              <w:autoSpaceDN w:val="0"/>
              <w:ind w:left="250" w:hanging="270"/>
              <w:contextualSpacing w:val="0"/>
              <w:rPr>
                <w:sz w:val="20"/>
                <w:szCs w:val="20"/>
              </w:rPr>
            </w:pPr>
            <w:r w:rsidRPr="00D2258D">
              <w:rPr>
                <w:sz w:val="20"/>
                <w:szCs w:val="20"/>
              </w:rPr>
              <w:t>Ensures own procedures are followed in creating &amp; approving</w:t>
            </w:r>
            <w:r w:rsidR="00A0634F" w:rsidRPr="00D2258D">
              <w:rPr>
                <w:sz w:val="20"/>
                <w:szCs w:val="20"/>
              </w:rPr>
              <w:t xml:space="preserve"> supplier &amp;</w:t>
            </w:r>
            <w:r w:rsidRPr="00D2258D">
              <w:rPr>
                <w:sz w:val="20"/>
                <w:szCs w:val="20"/>
              </w:rPr>
              <w:t xml:space="preserve"> AP invoice in Quantum.</w:t>
            </w:r>
          </w:p>
        </w:tc>
      </w:tr>
      <w:tr w:rsidR="0077104B" w:rsidRPr="00194657" w14:paraId="2B2AB5B2" w14:textId="77777777" w:rsidTr="363CA695">
        <w:trPr>
          <w:trHeight w:val="20"/>
        </w:trPr>
        <w:tc>
          <w:tcPr>
            <w:tcW w:w="1345" w:type="dxa"/>
          </w:tcPr>
          <w:p w14:paraId="38D99954" w14:textId="77777777" w:rsidR="0077104B" w:rsidRPr="00194657" w:rsidRDefault="0077104B" w:rsidP="00CF32EB">
            <w:pPr>
              <w:rPr>
                <w:sz w:val="20"/>
                <w:szCs w:val="20"/>
              </w:rPr>
            </w:pPr>
            <w:r w:rsidRPr="00194657">
              <w:rPr>
                <w:sz w:val="20"/>
                <w:szCs w:val="20"/>
              </w:rPr>
              <w:t>BMS (GSSC or Treasury)</w:t>
            </w:r>
          </w:p>
        </w:tc>
        <w:tc>
          <w:tcPr>
            <w:tcW w:w="8550" w:type="dxa"/>
          </w:tcPr>
          <w:p w14:paraId="0EDC0EA6" w14:textId="24EF678F" w:rsidR="0077104B" w:rsidRPr="00D2258D" w:rsidRDefault="0077104B">
            <w:pPr>
              <w:pStyle w:val="ListParagraph"/>
              <w:widowControl w:val="0"/>
              <w:numPr>
                <w:ilvl w:val="0"/>
                <w:numId w:val="81"/>
              </w:numPr>
              <w:autoSpaceDE w:val="0"/>
              <w:autoSpaceDN w:val="0"/>
              <w:ind w:left="250" w:hanging="270"/>
              <w:rPr>
                <w:sz w:val="20"/>
                <w:szCs w:val="20"/>
              </w:rPr>
            </w:pPr>
            <w:r w:rsidRPr="00D2258D">
              <w:rPr>
                <w:sz w:val="20"/>
                <w:szCs w:val="20"/>
              </w:rPr>
              <w:t xml:space="preserve">Checks AP invoice is assigned to the correct bank account </w:t>
            </w:r>
            <w:proofErr w:type="spellStart"/>
            <w:r w:rsidRPr="00D2258D">
              <w:rPr>
                <w:sz w:val="20"/>
                <w:szCs w:val="20"/>
              </w:rPr>
              <w:t>PayGroup</w:t>
            </w:r>
            <w:proofErr w:type="spellEnd"/>
            <w:r w:rsidRPr="00D2258D">
              <w:rPr>
                <w:sz w:val="20"/>
                <w:szCs w:val="20"/>
              </w:rPr>
              <w:t xml:space="preserve"> and payment method prior to making payment.</w:t>
            </w:r>
          </w:p>
        </w:tc>
      </w:tr>
      <w:tr w:rsidR="0077104B" w:rsidRPr="00194657" w14:paraId="4BA04785" w14:textId="77777777" w:rsidTr="363CA695">
        <w:trPr>
          <w:trHeight w:val="20"/>
        </w:trPr>
        <w:tc>
          <w:tcPr>
            <w:tcW w:w="9895" w:type="dxa"/>
            <w:gridSpan w:val="2"/>
            <w:shd w:val="clear" w:color="auto" w:fill="B4C6E7" w:themeFill="accent1" w:themeFillTint="66"/>
          </w:tcPr>
          <w:p w14:paraId="20893AC4" w14:textId="77777777" w:rsidR="0077104B" w:rsidRPr="00194657" w:rsidRDefault="0077104B" w:rsidP="00CF32EB">
            <w:pPr>
              <w:rPr>
                <w:b/>
                <w:bCs/>
                <w:sz w:val="20"/>
                <w:szCs w:val="20"/>
              </w:rPr>
            </w:pPr>
            <w:r w:rsidRPr="00194657">
              <w:rPr>
                <w:b/>
                <w:bCs/>
                <w:sz w:val="20"/>
                <w:szCs w:val="20"/>
              </w:rPr>
              <w:t>Responsibilities for non-Quantum agencies (such as UNAIDS, UNESCO, UNOCHA, FAO, et al)</w:t>
            </w:r>
          </w:p>
        </w:tc>
      </w:tr>
      <w:tr w:rsidR="0077104B" w:rsidRPr="00194657" w14:paraId="4DFD9149" w14:textId="77777777" w:rsidTr="363CA695">
        <w:trPr>
          <w:trHeight w:val="20"/>
        </w:trPr>
        <w:tc>
          <w:tcPr>
            <w:tcW w:w="1345" w:type="dxa"/>
          </w:tcPr>
          <w:p w14:paraId="5EE49CBF" w14:textId="36C6BEB4" w:rsidR="0077104B" w:rsidRPr="00194657" w:rsidRDefault="0077104B" w:rsidP="00CF32EB">
            <w:pPr>
              <w:rPr>
                <w:sz w:val="20"/>
                <w:szCs w:val="20"/>
              </w:rPr>
            </w:pPr>
            <w:r w:rsidRPr="00194657">
              <w:rPr>
                <w:sz w:val="20"/>
                <w:szCs w:val="20"/>
              </w:rPr>
              <w:t>Requesting office</w:t>
            </w:r>
            <w:r w:rsidR="006D6C0A">
              <w:rPr>
                <w:sz w:val="20"/>
                <w:szCs w:val="20"/>
              </w:rPr>
              <w:t>/unit</w:t>
            </w:r>
          </w:p>
        </w:tc>
        <w:tc>
          <w:tcPr>
            <w:tcW w:w="8550" w:type="dxa"/>
          </w:tcPr>
          <w:p w14:paraId="035E26A7" w14:textId="48493DC7" w:rsidR="0077104B" w:rsidRPr="00194657" w:rsidRDefault="0077104B">
            <w:pPr>
              <w:pStyle w:val="ListParagraph"/>
              <w:widowControl w:val="0"/>
              <w:numPr>
                <w:ilvl w:val="0"/>
                <w:numId w:val="81"/>
              </w:numPr>
              <w:autoSpaceDE w:val="0"/>
              <w:autoSpaceDN w:val="0"/>
              <w:ind w:left="250" w:hanging="270"/>
              <w:contextualSpacing w:val="0"/>
              <w:rPr>
                <w:sz w:val="20"/>
                <w:szCs w:val="20"/>
              </w:rPr>
            </w:pPr>
            <w:proofErr w:type="gramStart"/>
            <w:r>
              <w:rPr>
                <w:sz w:val="20"/>
                <w:szCs w:val="20"/>
              </w:rPr>
              <w:t>S</w:t>
            </w:r>
            <w:r w:rsidRPr="00194657">
              <w:rPr>
                <w:sz w:val="20"/>
                <w:szCs w:val="20"/>
              </w:rPr>
              <w:t>ends</w:t>
            </w:r>
            <w:proofErr w:type="gramEnd"/>
            <w:r w:rsidRPr="00194657">
              <w:rPr>
                <w:sz w:val="20"/>
                <w:szCs w:val="20"/>
              </w:rPr>
              <w:t xml:space="preserve"> an approved Agency Service Request</w:t>
            </w:r>
            <w:r>
              <w:rPr>
                <w:sz w:val="20"/>
                <w:szCs w:val="20"/>
              </w:rPr>
              <w:t xml:space="preserve"> (ASR) form</w:t>
            </w:r>
            <w:r w:rsidRPr="00194657">
              <w:rPr>
                <w:sz w:val="20"/>
                <w:szCs w:val="20"/>
              </w:rPr>
              <w:t xml:space="preserve"> with supporting documentation to the Country Office</w:t>
            </w:r>
            <w:r w:rsidR="00356A22" w:rsidRPr="00D2258D">
              <w:rPr>
                <w:sz w:val="20"/>
                <w:szCs w:val="20"/>
              </w:rPr>
              <w:t>/unit</w:t>
            </w:r>
            <w:r w:rsidR="00B6095F" w:rsidRPr="00D2258D">
              <w:rPr>
                <w:sz w:val="20"/>
                <w:szCs w:val="20"/>
              </w:rPr>
              <w:t xml:space="preserve"> through the Agency </w:t>
            </w:r>
            <w:r w:rsidR="00AF7ABF" w:rsidRPr="00D2258D">
              <w:rPr>
                <w:sz w:val="20"/>
                <w:szCs w:val="20"/>
              </w:rPr>
              <w:t xml:space="preserve">Service </w:t>
            </w:r>
            <w:r w:rsidR="00B6095F" w:rsidRPr="00D2258D">
              <w:rPr>
                <w:sz w:val="20"/>
                <w:szCs w:val="20"/>
              </w:rPr>
              <w:t>Portal, including the invoice for payment.</w:t>
            </w:r>
          </w:p>
        </w:tc>
      </w:tr>
      <w:tr w:rsidR="0077104B" w:rsidRPr="00194657" w14:paraId="2FF00DEC" w14:textId="77777777" w:rsidTr="363CA695">
        <w:trPr>
          <w:trHeight w:val="20"/>
        </w:trPr>
        <w:tc>
          <w:tcPr>
            <w:tcW w:w="1345" w:type="dxa"/>
          </w:tcPr>
          <w:p w14:paraId="13BB7557" w14:textId="77777777" w:rsidR="0077104B" w:rsidRPr="00194657" w:rsidRDefault="0077104B" w:rsidP="00CF32EB">
            <w:pPr>
              <w:rPr>
                <w:sz w:val="20"/>
                <w:szCs w:val="20"/>
              </w:rPr>
            </w:pPr>
            <w:r w:rsidRPr="00194657">
              <w:rPr>
                <w:sz w:val="20"/>
                <w:szCs w:val="20"/>
              </w:rPr>
              <w:t>CO</w:t>
            </w:r>
          </w:p>
        </w:tc>
        <w:tc>
          <w:tcPr>
            <w:tcW w:w="8550" w:type="dxa"/>
          </w:tcPr>
          <w:p w14:paraId="19913997" w14:textId="77777777" w:rsidR="0077104B" w:rsidRPr="00D2258D" w:rsidRDefault="0077104B">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supplier in Quantum following the UNDP POPP for supplier creation.</w:t>
            </w:r>
          </w:p>
          <w:p w14:paraId="3EB70446" w14:textId="13100177" w:rsidR="00B6095F" w:rsidRPr="00D2258D" w:rsidRDefault="00B6095F">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Checks that the ASR has been approved by an authorized official included on the </w:t>
            </w:r>
            <w:hyperlink r:id="rId188">
              <w:r w:rsidRPr="00D2258D">
                <w:rPr>
                  <w:sz w:val="20"/>
                  <w:szCs w:val="20"/>
                </w:rPr>
                <w:t xml:space="preserve">‘Agencies Authorized Signatories List’ </w:t>
              </w:r>
            </w:hyperlink>
            <w:r w:rsidRPr="00D2258D">
              <w:rPr>
                <w:sz w:val="20"/>
                <w:szCs w:val="20"/>
              </w:rPr>
              <w:t>maintained by BMS/</w:t>
            </w:r>
            <w:r w:rsidR="00F4272D" w:rsidRPr="00D2258D">
              <w:rPr>
                <w:sz w:val="20"/>
                <w:szCs w:val="20"/>
              </w:rPr>
              <w:t>GSSC</w:t>
            </w:r>
            <w:r w:rsidR="00DC2A4A" w:rsidRPr="00D2258D">
              <w:rPr>
                <w:sz w:val="20"/>
                <w:szCs w:val="20"/>
              </w:rPr>
              <w:t xml:space="preserve"> Agencies</w:t>
            </w:r>
            <w:r w:rsidRPr="00D2258D">
              <w:rPr>
                <w:sz w:val="20"/>
                <w:szCs w:val="20"/>
              </w:rPr>
              <w:t>.</w:t>
            </w:r>
          </w:p>
          <w:p w14:paraId="050D309A" w14:textId="28199E4A" w:rsidR="00B6095F" w:rsidRPr="00D2258D" w:rsidRDefault="00B6095F">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invoice in Quantum based on the ASR, attaching the ASR to the Quantum invoice transaction.</w:t>
            </w:r>
            <w:r w:rsidR="00550E92" w:rsidRPr="00D2258D">
              <w:rPr>
                <w:sz w:val="20"/>
                <w:szCs w:val="20"/>
              </w:rPr>
              <w:t xml:space="preserve"> Transaction is recorded in the Service Clearing Account (SCA), pre</w:t>
            </w:r>
            <w:r w:rsidR="00D85A63" w:rsidRPr="00D2258D">
              <w:rPr>
                <w:sz w:val="20"/>
                <w:szCs w:val="20"/>
              </w:rPr>
              <w:t>-funded</w:t>
            </w:r>
            <w:r w:rsidR="00AB5BD2" w:rsidRPr="00D2258D">
              <w:rPr>
                <w:sz w:val="20"/>
                <w:szCs w:val="20"/>
              </w:rPr>
              <w:t xml:space="preserve"> </w:t>
            </w:r>
            <w:r w:rsidR="00550E92" w:rsidRPr="00D2258D">
              <w:rPr>
                <w:sz w:val="20"/>
                <w:szCs w:val="20"/>
              </w:rPr>
              <w:t xml:space="preserve">by </w:t>
            </w:r>
            <w:r w:rsidR="00E17ADC" w:rsidRPr="00D2258D">
              <w:rPr>
                <w:sz w:val="20"/>
                <w:szCs w:val="20"/>
              </w:rPr>
              <w:t>the A</w:t>
            </w:r>
            <w:r w:rsidR="00550E92" w:rsidRPr="00D2258D">
              <w:rPr>
                <w:sz w:val="20"/>
                <w:szCs w:val="20"/>
              </w:rPr>
              <w:t>gency.</w:t>
            </w:r>
          </w:p>
          <w:p w14:paraId="05DDFAED" w14:textId="4782FEEC" w:rsidR="0077104B" w:rsidRPr="00B6095F" w:rsidRDefault="00B6095F">
            <w:pPr>
              <w:pStyle w:val="ListParagraph"/>
              <w:widowControl w:val="0"/>
              <w:numPr>
                <w:ilvl w:val="0"/>
                <w:numId w:val="81"/>
              </w:numPr>
              <w:autoSpaceDE w:val="0"/>
              <w:autoSpaceDN w:val="0"/>
              <w:ind w:left="250" w:hanging="270"/>
              <w:contextualSpacing w:val="0"/>
              <w:rPr>
                <w:color w:val="ED7D31" w:themeColor="accent2"/>
                <w:sz w:val="20"/>
                <w:szCs w:val="20"/>
              </w:rPr>
            </w:pPr>
            <w:r w:rsidRPr="00D2258D">
              <w:rPr>
                <w:sz w:val="20"/>
                <w:szCs w:val="20"/>
              </w:rPr>
              <w:t>Performs first approval on the AP invoice in Quantum</w:t>
            </w:r>
            <w:r w:rsidR="00550E92" w:rsidRPr="00D2258D">
              <w:rPr>
                <w:sz w:val="20"/>
                <w:szCs w:val="20"/>
              </w:rPr>
              <w:t>,</w:t>
            </w:r>
            <w:r w:rsidR="0077104B" w:rsidRPr="00D2258D">
              <w:rPr>
                <w:sz w:val="20"/>
                <w:szCs w:val="20"/>
              </w:rPr>
              <w:t xml:space="preserve"> ensur</w:t>
            </w:r>
            <w:r w:rsidR="00550E92" w:rsidRPr="00D2258D">
              <w:rPr>
                <w:sz w:val="20"/>
                <w:szCs w:val="20"/>
              </w:rPr>
              <w:t>ing</w:t>
            </w:r>
            <w:r w:rsidR="0077104B" w:rsidRPr="00D2258D">
              <w:rPr>
                <w:sz w:val="20"/>
                <w:szCs w:val="20"/>
              </w:rPr>
              <w:t xml:space="preserve"> that the service has been provided in accordance with the request/agreement with the non-Quantum Agency</w:t>
            </w:r>
            <w:r w:rsidR="00550E92" w:rsidRPr="00D2258D">
              <w:rPr>
                <w:sz w:val="20"/>
                <w:szCs w:val="20"/>
              </w:rPr>
              <w:t>,</w:t>
            </w:r>
            <w:r w:rsidR="0077104B" w:rsidRPr="00D2258D">
              <w:rPr>
                <w:sz w:val="20"/>
                <w:szCs w:val="20"/>
              </w:rPr>
              <w:t xml:space="preserve"> and that relevant cost recovery charges have been applied</w:t>
            </w:r>
            <w:r w:rsidR="00A76133" w:rsidRPr="00D2258D">
              <w:rPr>
                <w:sz w:val="20"/>
                <w:szCs w:val="20"/>
              </w:rPr>
              <w:t xml:space="preserve"> by marking the request in the Agency Services Portal as “fulfilled”</w:t>
            </w:r>
            <w:r w:rsidR="00550E92" w:rsidRPr="00D2258D">
              <w:rPr>
                <w:sz w:val="20"/>
                <w:szCs w:val="20"/>
              </w:rPr>
              <w:t xml:space="preserve"> (</w:t>
            </w:r>
            <w:r w:rsidR="00A76133" w:rsidRPr="00D2258D">
              <w:rPr>
                <w:sz w:val="20"/>
                <w:szCs w:val="20"/>
              </w:rPr>
              <w:t xml:space="preserve">fees are </w:t>
            </w:r>
            <w:r w:rsidR="00550E92" w:rsidRPr="00D2258D">
              <w:rPr>
                <w:sz w:val="20"/>
                <w:szCs w:val="20"/>
              </w:rPr>
              <w:t>automatically computed by</w:t>
            </w:r>
            <w:r w:rsidR="00A76133" w:rsidRPr="00D2258D">
              <w:rPr>
                <w:sz w:val="20"/>
                <w:szCs w:val="20"/>
              </w:rPr>
              <w:t xml:space="preserve"> the</w:t>
            </w:r>
            <w:r w:rsidR="00550E92" w:rsidRPr="00D2258D">
              <w:rPr>
                <w:sz w:val="20"/>
                <w:szCs w:val="20"/>
              </w:rPr>
              <w:t xml:space="preserve"> Agency </w:t>
            </w:r>
            <w:r w:rsidR="00A76133" w:rsidRPr="00D2258D">
              <w:rPr>
                <w:sz w:val="20"/>
                <w:szCs w:val="20"/>
              </w:rPr>
              <w:t xml:space="preserve">Services </w:t>
            </w:r>
            <w:r w:rsidR="00550E92" w:rsidRPr="00D2258D">
              <w:rPr>
                <w:sz w:val="20"/>
                <w:szCs w:val="20"/>
              </w:rPr>
              <w:t>Portal during request submission based on a selection of services (</w:t>
            </w:r>
            <w:r w:rsidR="00995C94" w:rsidRPr="00D2258D">
              <w:rPr>
                <w:sz w:val="20"/>
                <w:szCs w:val="20"/>
              </w:rPr>
              <w:t>, s</w:t>
            </w:r>
            <w:r w:rsidR="0051004F" w:rsidRPr="00D2258D">
              <w:rPr>
                <w:sz w:val="20"/>
                <w:szCs w:val="20"/>
              </w:rPr>
              <w:t>ervice c</w:t>
            </w:r>
            <w:r w:rsidR="00291B3E" w:rsidRPr="00D2258D">
              <w:rPr>
                <w:sz w:val="20"/>
                <w:szCs w:val="20"/>
              </w:rPr>
              <w:t>ategory and service package</w:t>
            </w:r>
            <w:r w:rsidR="00550E92" w:rsidRPr="00D2258D">
              <w:rPr>
                <w:sz w:val="20"/>
                <w:szCs w:val="20"/>
              </w:rPr>
              <w:t>) chosen by the submitter).</w:t>
            </w:r>
          </w:p>
        </w:tc>
      </w:tr>
      <w:tr w:rsidR="0077104B" w:rsidRPr="00194657" w14:paraId="41B1EEAB" w14:textId="77777777" w:rsidTr="363CA695">
        <w:trPr>
          <w:trHeight w:val="20"/>
        </w:trPr>
        <w:tc>
          <w:tcPr>
            <w:tcW w:w="1345" w:type="dxa"/>
          </w:tcPr>
          <w:p w14:paraId="2752D693" w14:textId="77777777" w:rsidR="0077104B" w:rsidRPr="00194657" w:rsidRDefault="0077104B" w:rsidP="00CF32EB">
            <w:pPr>
              <w:rPr>
                <w:sz w:val="20"/>
                <w:szCs w:val="20"/>
              </w:rPr>
            </w:pPr>
            <w:r w:rsidRPr="00194657">
              <w:rPr>
                <w:sz w:val="20"/>
                <w:szCs w:val="20"/>
              </w:rPr>
              <w:t>BMS/GSSC</w:t>
            </w:r>
          </w:p>
        </w:tc>
        <w:tc>
          <w:tcPr>
            <w:tcW w:w="8550" w:type="dxa"/>
          </w:tcPr>
          <w:p w14:paraId="2FFE95F4" w14:textId="77777777" w:rsidR="0077104B" w:rsidRDefault="0077104B">
            <w:pPr>
              <w:pStyle w:val="ListParagraph"/>
              <w:widowControl w:val="0"/>
              <w:numPr>
                <w:ilvl w:val="0"/>
                <w:numId w:val="81"/>
              </w:numPr>
              <w:autoSpaceDE w:val="0"/>
              <w:autoSpaceDN w:val="0"/>
              <w:ind w:left="250" w:hanging="270"/>
              <w:contextualSpacing w:val="0"/>
              <w:rPr>
                <w:sz w:val="20"/>
                <w:szCs w:val="20"/>
              </w:rPr>
            </w:pPr>
            <w:r>
              <w:rPr>
                <w:sz w:val="20"/>
                <w:szCs w:val="20"/>
              </w:rPr>
              <w:t>R</w:t>
            </w:r>
            <w:r w:rsidRPr="00194657">
              <w:rPr>
                <w:sz w:val="20"/>
                <w:szCs w:val="20"/>
              </w:rPr>
              <w:t>eviews and approves supplier in Quantum following UNDP</w:t>
            </w:r>
            <w:r>
              <w:rPr>
                <w:sz w:val="20"/>
                <w:szCs w:val="20"/>
              </w:rPr>
              <w:t xml:space="preserve"> POPP for</w:t>
            </w:r>
            <w:r w:rsidRPr="00194657">
              <w:rPr>
                <w:sz w:val="20"/>
                <w:szCs w:val="20"/>
              </w:rPr>
              <w:t xml:space="preserve"> supplier approval</w:t>
            </w:r>
            <w:r>
              <w:rPr>
                <w:sz w:val="20"/>
                <w:szCs w:val="20"/>
              </w:rPr>
              <w:t>.</w:t>
            </w:r>
          </w:p>
          <w:p w14:paraId="54CB6F3B" w14:textId="0B9AED14" w:rsidR="0077104B" w:rsidRPr="00194657" w:rsidRDefault="0077104B">
            <w:pPr>
              <w:pStyle w:val="ListParagraph"/>
              <w:widowControl w:val="0"/>
              <w:numPr>
                <w:ilvl w:val="0"/>
                <w:numId w:val="81"/>
              </w:numPr>
              <w:autoSpaceDE w:val="0"/>
              <w:autoSpaceDN w:val="0"/>
              <w:ind w:left="250" w:hanging="270"/>
              <w:rPr>
                <w:sz w:val="20"/>
                <w:szCs w:val="20"/>
              </w:rPr>
            </w:pPr>
            <w:r w:rsidRPr="363CA695">
              <w:rPr>
                <w:sz w:val="20"/>
                <w:szCs w:val="20"/>
              </w:rPr>
              <w:t>Verifies the AP invoice in Quantum, checking that: (</w:t>
            </w:r>
            <w:proofErr w:type="spellStart"/>
            <w:r w:rsidRPr="363CA695">
              <w:rPr>
                <w:sz w:val="20"/>
                <w:szCs w:val="20"/>
              </w:rPr>
              <w:t>i</w:t>
            </w:r>
            <w:proofErr w:type="spellEnd"/>
            <w:r w:rsidRPr="363CA695">
              <w:rPr>
                <w:sz w:val="20"/>
                <w:szCs w:val="20"/>
              </w:rPr>
              <w:t xml:space="preserve">) ASR amount and bank information matches the invoice provided as supporting documentation; and (ii) ASR has been approved by an authorized official included on the </w:t>
            </w:r>
            <w:hyperlink r:id="rId189">
              <w:r w:rsidRPr="363CA695">
                <w:rPr>
                  <w:sz w:val="20"/>
                  <w:szCs w:val="20"/>
                </w:rPr>
                <w:t xml:space="preserve">‘Agencies Authorized Signatories List’ </w:t>
              </w:r>
            </w:hyperlink>
            <w:r w:rsidRPr="363CA695">
              <w:rPr>
                <w:sz w:val="20"/>
                <w:szCs w:val="20"/>
              </w:rPr>
              <w:t>maintained by BMS/OF</w:t>
            </w:r>
            <w:r w:rsidR="00A40A72">
              <w:rPr>
                <w:sz w:val="20"/>
                <w:szCs w:val="20"/>
              </w:rPr>
              <w:t>R</w:t>
            </w:r>
            <w:r w:rsidRPr="363CA695">
              <w:rPr>
                <w:sz w:val="20"/>
                <w:szCs w:val="20"/>
              </w:rPr>
              <w:t>M/CFRA; before approving the invoice for payment in Quantum.</w:t>
            </w:r>
          </w:p>
          <w:p w14:paraId="1B77101D" w14:textId="77777777" w:rsidR="0077104B" w:rsidRPr="00194657" w:rsidRDefault="0077104B">
            <w:pPr>
              <w:pStyle w:val="ListParagraph"/>
              <w:widowControl w:val="0"/>
              <w:numPr>
                <w:ilvl w:val="0"/>
                <w:numId w:val="81"/>
              </w:numPr>
              <w:autoSpaceDE w:val="0"/>
              <w:autoSpaceDN w:val="0"/>
              <w:ind w:left="250" w:hanging="270"/>
              <w:contextualSpacing w:val="0"/>
              <w:rPr>
                <w:sz w:val="20"/>
                <w:szCs w:val="20"/>
              </w:rPr>
            </w:pPr>
            <w:r>
              <w:rPr>
                <w:sz w:val="20"/>
                <w:szCs w:val="20"/>
              </w:rPr>
              <w:t xml:space="preserve">Confirms </w:t>
            </w:r>
            <w:r w:rsidRPr="00194657">
              <w:rPr>
                <w:sz w:val="20"/>
                <w:szCs w:val="20"/>
              </w:rPr>
              <w:t xml:space="preserve">approved </w:t>
            </w:r>
            <w:r>
              <w:rPr>
                <w:sz w:val="20"/>
                <w:szCs w:val="20"/>
              </w:rPr>
              <w:t>ASR</w:t>
            </w:r>
            <w:r w:rsidRPr="00194657">
              <w:rPr>
                <w:sz w:val="20"/>
                <w:szCs w:val="20"/>
              </w:rPr>
              <w:t xml:space="preserve"> and supporting invoice </w:t>
            </w:r>
            <w:proofErr w:type="gramStart"/>
            <w:r w:rsidRPr="00194657">
              <w:rPr>
                <w:sz w:val="20"/>
                <w:szCs w:val="20"/>
              </w:rPr>
              <w:t>is</w:t>
            </w:r>
            <w:proofErr w:type="gramEnd"/>
            <w:r w:rsidRPr="00194657">
              <w:rPr>
                <w:sz w:val="20"/>
                <w:szCs w:val="20"/>
              </w:rPr>
              <w:t xml:space="preserve"> attached in Quantum as evidence</w:t>
            </w:r>
            <w:r>
              <w:rPr>
                <w:sz w:val="20"/>
                <w:szCs w:val="20"/>
              </w:rPr>
              <w:t>.</w:t>
            </w:r>
          </w:p>
        </w:tc>
      </w:tr>
    </w:tbl>
    <w:p w14:paraId="621DF08F" w14:textId="77777777" w:rsidR="0077104B" w:rsidRPr="00C55920" w:rsidRDefault="0077104B" w:rsidP="0077104B">
      <w:pPr>
        <w:rPr>
          <w:sz w:val="8"/>
          <w:szCs w:val="8"/>
        </w:rPr>
      </w:pPr>
    </w:p>
    <w:tbl>
      <w:tblPr>
        <w:tblStyle w:val="TableGrid"/>
        <w:tblW w:w="0" w:type="auto"/>
        <w:tblCellMar>
          <w:left w:w="72" w:type="dxa"/>
          <w:bottom w:w="43" w:type="dxa"/>
          <w:right w:w="72" w:type="dxa"/>
        </w:tblCellMar>
        <w:tblLook w:val="04A0" w:firstRow="1" w:lastRow="0" w:firstColumn="1" w:lastColumn="0" w:noHBand="0" w:noVBand="1"/>
      </w:tblPr>
      <w:tblGrid>
        <w:gridCol w:w="1345"/>
        <w:gridCol w:w="8550"/>
      </w:tblGrid>
      <w:tr w:rsidR="0077104B" w:rsidRPr="00BB337C" w14:paraId="423BE226" w14:textId="77777777" w:rsidTr="363CA695">
        <w:trPr>
          <w:trHeight w:val="20"/>
        </w:trPr>
        <w:tc>
          <w:tcPr>
            <w:tcW w:w="9895" w:type="dxa"/>
            <w:gridSpan w:val="2"/>
            <w:shd w:val="clear" w:color="auto" w:fill="002060"/>
          </w:tcPr>
          <w:p w14:paraId="31A28101" w14:textId="77777777" w:rsidR="0077104B" w:rsidRPr="00BB337C" w:rsidRDefault="0077104B">
            <w:pPr>
              <w:pStyle w:val="ListParagraph"/>
              <w:widowControl w:val="0"/>
              <w:numPr>
                <w:ilvl w:val="0"/>
                <w:numId w:val="80"/>
              </w:numPr>
              <w:autoSpaceDE w:val="0"/>
              <w:autoSpaceDN w:val="0"/>
              <w:contextualSpacing w:val="0"/>
              <w:rPr>
                <w:b/>
                <w:bCs/>
                <w:sz w:val="20"/>
                <w:szCs w:val="20"/>
              </w:rPr>
            </w:pPr>
            <w:r w:rsidRPr="00BB337C">
              <w:rPr>
                <w:b/>
                <w:bCs/>
                <w:sz w:val="20"/>
                <w:szCs w:val="20"/>
              </w:rPr>
              <w:t xml:space="preserve">Signing </w:t>
            </w:r>
            <w:r>
              <w:rPr>
                <w:b/>
                <w:bCs/>
                <w:sz w:val="20"/>
                <w:szCs w:val="20"/>
              </w:rPr>
              <w:t xml:space="preserve">non-UNDP </w:t>
            </w:r>
            <w:r w:rsidRPr="00BB337C">
              <w:rPr>
                <w:b/>
                <w:bCs/>
                <w:sz w:val="20"/>
                <w:szCs w:val="20"/>
              </w:rPr>
              <w:t>contracts at the request of another UN organization</w:t>
            </w:r>
          </w:p>
        </w:tc>
      </w:tr>
      <w:tr w:rsidR="0077104B" w:rsidRPr="00BB337C" w14:paraId="01B1DB01" w14:textId="77777777" w:rsidTr="363CA695">
        <w:trPr>
          <w:trHeight w:val="20"/>
        </w:trPr>
        <w:tc>
          <w:tcPr>
            <w:tcW w:w="1345" w:type="dxa"/>
          </w:tcPr>
          <w:p w14:paraId="0E5F9D08" w14:textId="77777777" w:rsidR="0077104B" w:rsidRPr="00BB337C" w:rsidRDefault="0077104B" w:rsidP="00CF32EB">
            <w:pPr>
              <w:rPr>
                <w:sz w:val="20"/>
                <w:szCs w:val="20"/>
              </w:rPr>
            </w:pPr>
            <w:r w:rsidRPr="00BB337C">
              <w:rPr>
                <w:sz w:val="20"/>
                <w:szCs w:val="20"/>
              </w:rPr>
              <w:t>What it covers</w:t>
            </w:r>
          </w:p>
        </w:tc>
        <w:tc>
          <w:tcPr>
            <w:tcW w:w="8550" w:type="dxa"/>
          </w:tcPr>
          <w:p w14:paraId="0517EB7D" w14:textId="77777777" w:rsidR="0077104B" w:rsidRPr="00BB337C" w:rsidRDefault="0077104B" w:rsidP="00CF32EB">
            <w:pPr>
              <w:rPr>
                <w:sz w:val="20"/>
                <w:szCs w:val="20"/>
              </w:rPr>
            </w:pPr>
            <w:r w:rsidRPr="00BB337C">
              <w:rPr>
                <w:sz w:val="20"/>
                <w:szCs w:val="20"/>
              </w:rPr>
              <w:t>UNDP RRs may be asked to sign a contract for goods and/or services between a UN entity represented by UNDP and a contractor.</w:t>
            </w:r>
          </w:p>
        </w:tc>
      </w:tr>
      <w:tr w:rsidR="0077104B" w:rsidRPr="00BB337C" w14:paraId="51CCFD38" w14:textId="77777777" w:rsidTr="363CA695">
        <w:trPr>
          <w:trHeight w:val="20"/>
        </w:trPr>
        <w:tc>
          <w:tcPr>
            <w:tcW w:w="1345" w:type="dxa"/>
          </w:tcPr>
          <w:p w14:paraId="1F2B5882" w14:textId="77777777" w:rsidR="0077104B" w:rsidRPr="00BB337C" w:rsidRDefault="0077104B" w:rsidP="00CF32EB">
            <w:pPr>
              <w:rPr>
                <w:sz w:val="20"/>
                <w:szCs w:val="20"/>
              </w:rPr>
            </w:pPr>
            <w:r w:rsidRPr="00BB337C">
              <w:rPr>
                <w:sz w:val="20"/>
                <w:szCs w:val="20"/>
              </w:rPr>
              <w:t>ICF implications</w:t>
            </w:r>
          </w:p>
        </w:tc>
        <w:tc>
          <w:tcPr>
            <w:tcW w:w="8550" w:type="dxa"/>
          </w:tcPr>
          <w:p w14:paraId="5CEF2DF9" w14:textId="4D6E4F7C" w:rsidR="0077104B" w:rsidRPr="00BB337C" w:rsidRDefault="0077104B" w:rsidP="363CA695">
            <w:pPr>
              <w:rPr>
                <w:sz w:val="20"/>
                <w:szCs w:val="20"/>
              </w:rPr>
            </w:pPr>
            <w:r w:rsidRPr="363CA695">
              <w:rPr>
                <w:sz w:val="20"/>
                <w:szCs w:val="20"/>
              </w:rPr>
              <w:t xml:space="preserve">Where the RR signs a contract on behalf of another organization, the contract should not refer to UNDP. The contract should be prepared on the letterhead or other template of the organization for which the RR is acting and not on UNDP letterhead, so as not to imply that it is a UNDP contract. Refer to </w:t>
            </w:r>
            <w:hyperlink r:id="rId190">
              <w:r w:rsidRPr="363CA695">
                <w:rPr>
                  <w:rStyle w:val="Hyperlink"/>
                  <w:sz w:val="20"/>
                  <w:szCs w:val="20"/>
                </w:rPr>
                <w:t xml:space="preserve">General </w:t>
              </w:r>
              <w:r w:rsidRPr="363CA695">
                <w:rPr>
                  <w:rStyle w:val="Hyperlink"/>
                  <w:sz w:val="20"/>
                  <w:szCs w:val="20"/>
                </w:rPr>
                <w:lastRenderedPageBreak/>
                <w:t xml:space="preserve">Considerations of Contracting </w:t>
              </w:r>
            </w:hyperlink>
            <w:r w:rsidRPr="363CA695">
              <w:rPr>
                <w:sz w:val="20"/>
                <w:szCs w:val="20"/>
              </w:rPr>
              <w:t>(para 20). Copies of this contract should be maintained and securely filed.</w:t>
            </w:r>
          </w:p>
          <w:p w14:paraId="5EC38385" w14:textId="77777777" w:rsidR="0077104B" w:rsidRPr="00BB337C" w:rsidRDefault="0077104B" w:rsidP="00CF32EB">
            <w:pPr>
              <w:rPr>
                <w:sz w:val="20"/>
                <w:szCs w:val="20"/>
              </w:rPr>
            </w:pPr>
          </w:p>
          <w:p w14:paraId="0D996BE6" w14:textId="77777777" w:rsidR="0077104B" w:rsidRPr="00BB337C" w:rsidRDefault="0077104B" w:rsidP="00CF32EB">
            <w:pPr>
              <w:rPr>
                <w:sz w:val="20"/>
                <w:szCs w:val="20"/>
              </w:rPr>
            </w:pPr>
            <w:r w:rsidRPr="00BB337C">
              <w:rPr>
                <w:sz w:val="20"/>
                <w:szCs w:val="20"/>
              </w:rPr>
              <w:t>Note: These contracts should not be recorded in Quantum, at least not within the UNDP business unit, because these contracts belong to other UN organizations and should be recorded within the accounting system of the respective organizations.</w:t>
            </w:r>
          </w:p>
        </w:tc>
      </w:tr>
    </w:tbl>
    <w:p w14:paraId="401B1CB1" w14:textId="77777777" w:rsidR="0077104B" w:rsidRPr="00C55920" w:rsidRDefault="0077104B" w:rsidP="0077104B">
      <w:pPr>
        <w:rPr>
          <w:sz w:val="8"/>
          <w:szCs w:val="8"/>
        </w:rPr>
      </w:pPr>
    </w:p>
    <w:tbl>
      <w:tblPr>
        <w:tblStyle w:val="TableGrid"/>
        <w:tblW w:w="0" w:type="auto"/>
        <w:tblCellMar>
          <w:left w:w="72" w:type="dxa"/>
          <w:bottom w:w="43" w:type="dxa"/>
          <w:right w:w="72" w:type="dxa"/>
        </w:tblCellMar>
        <w:tblLook w:val="04A0" w:firstRow="1" w:lastRow="0" w:firstColumn="1" w:lastColumn="0" w:noHBand="0" w:noVBand="1"/>
      </w:tblPr>
      <w:tblGrid>
        <w:gridCol w:w="1165"/>
        <w:gridCol w:w="8730"/>
      </w:tblGrid>
      <w:tr w:rsidR="0077104B" w:rsidRPr="00FC4670" w14:paraId="0FA31B16" w14:textId="77777777" w:rsidTr="363CA695">
        <w:trPr>
          <w:trHeight w:val="20"/>
          <w:tblHeader/>
        </w:trPr>
        <w:tc>
          <w:tcPr>
            <w:tcW w:w="9895" w:type="dxa"/>
            <w:gridSpan w:val="2"/>
            <w:shd w:val="clear" w:color="auto" w:fill="002060"/>
          </w:tcPr>
          <w:p w14:paraId="6B2899D9" w14:textId="24B732EC" w:rsidR="0077104B" w:rsidRPr="00FC4670" w:rsidRDefault="0077104B">
            <w:pPr>
              <w:pStyle w:val="ListParagraph"/>
              <w:widowControl w:val="0"/>
              <w:numPr>
                <w:ilvl w:val="0"/>
                <w:numId w:val="80"/>
              </w:numPr>
              <w:autoSpaceDE w:val="0"/>
              <w:autoSpaceDN w:val="0"/>
              <w:contextualSpacing w:val="0"/>
              <w:rPr>
                <w:b/>
                <w:bCs/>
                <w:sz w:val="20"/>
                <w:szCs w:val="20"/>
              </w:rPr>
            </w:pPr>
            <w:r w:rsidRPr="00FC4670">
              <w:rPr>
                <w:b/>
                <w:bCs/>
                <w:sz w:val="20"/>
                <w:szCs w:val="20"/>
              </w:rPr>
              <w:t>Signing UNDP contracts for procurement, travel and other services performed on behalf of another office</w:t>
            </w:r>
            <w:r w:rsidR="00356A22">
              <w:rPr>
                <w:b/>
                <w:bCs/>
                <w:sz w:val="20"/>
                <w:szCs w:val="20"/>
              </w:rPr>
              <w:t>/unit</w:t>
            </w:r>
            <w:r w:rsidRPr="00FC4670">
              <w:rPr>
                <w:b/>
                <w:bCs/>
                <w:sz w:val="20"/>
                <w:szCs w:val="20"/>
              </w:rPr>
              <w:t xml:space="preserve"> or UN organization and concluding contracts for UN organizations in UNDP’s name</w:t>
            </w:r>
          </w:p>
        </w:tc>
      </w:tr>
      <w:tr w:rsidR="0077104B" w:rsidRPr="00FC4670" w14:paraId="0E919282" w14:textId="77777777" w:rsidTr="363CA695">
        <w:trPr>
          <w:trHeight w:val="20"/>
        </w:trPr>
        <w:tc>
          <w:tcPr>
            <w:tcW w:w="1165" w:type="dxa"/>
          </w:tcPr>
          <w:p w14:paraId="7F52DB34" w14:textId="77777777" w:rsidR="0077104B" w:rsidRPr="00FC4670" w:rsidRDefault="0077104B" w:rsidP="00CF32EB">
            <w:pPr>
              <w:rPr>
                <w:sz w:val="20"/>
                <w:szCs w:val="20"/>
              </w:rPr>
            </w:pPr>
            <w:r w:rsidRPr="00FC4670">
              <w:rPr>
                <w:sz w:val="20"/>
                <w:szCs w:val="20"/>
              </w:rPr>
              <w:t>What it covers</w:t>
            </w:r>
          </w:p>
        </w:tc>
        <w:tc>
          <w:tcPr>
            <w:tcW w:w="8730" w:type="dxa"/>
          </w:tcPr>
          <w:p w14:paraId="28B04D48" w14:textId="6ADF30D2" w:rsidR="0077104B" w:rsidRPr="00FC4670" w:rsidRDefault="0077104B" w:rsidP="363CA695">
            <w:pPr>
              <w:rPr>
                <w:sz w:val="20"/>
                <w:szCs w:val="20"/>
              </w:rPr>
            </w:pPr>
            <w:r w:rsidRPr="363CA695">
              <w:rPr>
                <w:sz w:val="20"/>
                <w:szCs w:val="20"/>
              </w:rPr>
              <w:t>When the office</w:t>
            </w:r>
            <w:r w:rsidR="00356A22" w:rsidRPr="363CA695">
              <w:rPr>
                <w:sz w:val="20"/>
                <w:szCs w:val="20"/>
              </w:rPr>
              <w:t>/unit</w:t>
            </w:r>
            <w:r w:rsidRPr="363CA695">
              <w:rPr>
                <w:sz w:val="20"/>
                <w:szCs w:val="20"/>
              </w:rPr>
              <w:t>, referred to as the ‘contracting office</w:t>
            </w:r>
            <w:r w:rsidR="00356A22" w:rsidRPr="363CA695">
              <w:rPr>
                <w:sz w:val="20"/>
                <w:szCs w:val="20"/>
              </w:rPr>
              <w:t>/unit</w:t>
            </w:r>
            <w:r w:rsidRPr="363CA695">
              <w:rPr>
                <w:sz w:val="20"/>
                <w:szCs w:val="20"/>
              </w:rPr>
              <w:t xml:space="preserve">,’ </w:t>
            </w:r>
            <w:proofErr w:type="gramStart"/>
            <w:r w:rsidRPr="363CA695">
              <w:rPr>
                <w:sz w:val="20"/>
                <w:szCs w:val="20"/>
              </w:rPr>
              <w:t>enters into</w:t>
            </w:r>
            <w:proofErr w:type="gramEnd"/>
            <w:r w:rsidRPr="363CA695">
              <w:rPr>
                <w:sz w:val="20"/>
                <w:szCs w:val="20"/>
              </w:rPr>
              <w:t xml:space="preserve"> a UNDP contract at the request of another office</w:t>
            </w:r>
            <w:r w:rsidR="00356A22" w:rsidRPr="363CA695">
              <w:rPr>
                <w:sz w:val="20"/>
                <w:szCs w:val="20"/>
              </w:rPr>
              <w:t>/unit</w:t>
            </w:r>
            <w:r w:rsidRPr="363CA695">
              <w:rPr>
                <w:sz w:val="20"/>
                <w:szCs w:val="20"/>
              </w:rPr>
              <w:t xml:space="preserve"> or organization, referred to as the ‘requesting office</w:t>
            </w:r>
            <w:r w:rsidR="00356A22" w:rsidRPr="363CA695">
              <w:rPr>
                <w:sz w:val="20"/>
                <w:szCs w:val="20"/>
              </w:rPr>
              <w:t>/unit</w:t>
            </w:r>
            <w:r w:rsidRPr="363CA695">
              <w:rPr>
                <w:sz w:val="20"/>
                <w:szCs w:val="20"/>
              </w:rPr>
              <w:t>.’</w:t>
            </w:r>
          </w:p>
        </w:tc>
      </w:tr>
      <w:tr w:rsidR="0077104B" w:rsidRPr="00FC4670" w14:paraId="6E1DA831" w14:textId="77777777" w:rsidTr="363CA695">
        <w:trPr>
          <w:trHeight w:val="20"/>
        </w:trPr>
        <w:tc>
          <w:tcPr>
            <w:tcW w:w="1165" w:type="dxa"/>
          </w:tcPr>
          <w:p w14:paraId="01AE466B" w14:textId="77777777" w:rsidR="0077104B" w:rsidRPr="00FC4670" w:rsidRDefault="0077104B" w:rsidP="00CF32EB">
            <w:pPr>
              <w:rPr>
                <w:sz w:val="20"/>
                <w:szCs w:val="20"/>
              </w:rPr>
            </w:pPr>
            <w:r w:rsidRPr="00FC4670">
              <w:rPr>
                <w:sz w:val="20"/>
                <w:szCs w:val="20"/>
              </w:rPr>
              <w:t>ICF implications</w:t>
            </w:r>
          </w:p>
        </w:tc>
        <w:tc>
          <w:tcPr>
            <w:tcW w:w="8730" w:type="dxa"/>
          </w:tcPr>
          <w:p w14:paraId="15D02B66" w14:textId="77777777" w:rsidR="0077104B" w:rsidRPr="00FC4670" w:rsidRDefault="0077104B" w:rsidP="00CF32EB">
            <w:pPr>
              <w:rPr>
                <w:sz w:val="20"/>
                <w:szCs w:val="20"/>
              </w:rPr>
            </w:pPr>
            <w:r w:rsidRPr="00FC4670">
              <w:rPr>
                <w:sz w:val="20"/>
                <w:szCs w:val="20"/>
              </w:rPr>
              <w:t xml:space="preserve">In these cases, UNDP’s </w:t>
            </w:r>
            <w:hyperlink r:id="rId191">
              <w:r w:rsidRPr="00FC4670">
                <w:rPr>
                  <w:rStyle w:val="Hyperlink"/>
                  <w:sz w:val="20"/>
                  <w:szCs w:val="20"/>
                </w:rPr>
                <w:t xml:space="preserve">procurement </w:t>
              </w:r>
            </w:hyperlink>
            <w:r w:rsidRPr="00FC4670">
              <w:rPr>
                <w:sz w:val="20"/>
                <w:szCs w:val="20"/>
              </w:rPr>
              <w:t>policies and procedures should be followed. This section also applies to requests to arrange travel (i.e., ticket and DSA).</w:t>
            </w:r>
          </w:p>
        </w:tc>
      </w:tr>
      <w:tr w:rsidR="0077104B" w:rsidRPr="00FC4670" w14:paraId="294D72A0" w14:textId="77777777" w:rsidTr="363CA695">
        <w:trPr>
          <w:trHeight w:val="20"/>
        </w:trPr>
        <w:tc>
          <w:tcPr>
            <w:tcW w:w="9895" w:type="dxa"/>
            <w:gridSpan w:val="2"/>
            <w:shd w:val="clear" w:color="auto" w:fill="BFBFBF" w:themeFill="background1" w:themeFillShade="BF"/>
          </w:tcPr>
          <w:p w14:paraId="02CA633B" w14:textId="77777777" w:rsidR="0077104B" w:rsidRPr="00FC4670" w:rsidRDefault="0077104B" w:rsidP="00CF32EB">
            <w:pPr>
              <w:rPr>
                <w:b/>
                <w:bCs/>
                <w:sz w:val="20"/>
                <w:szCs w:val="20"/>
              </w:rPr>
            </w:pPr>
            <w:r w:rsidRPr="00FC4670">
              <w:rPr>
                <w:b/>
                <w:bCs/>
                <w:sz w:val="20"/>
                <w:szCs w:val="20"/>
              </w:rPr>
              <w:t>Responsibilities for Quantum agencies (such as UNCDF, UNFPA, UN Women, UNU, UNITAR and UNSSC)</w:t>
            </w:r>
          </w:p>
        </w:tc>
      </w:tr>
      <w:tr w:rsidR="0077104B" w:rsidRPr="00FC4670" w14:paraId="13DC5C16" w14:textId="77777777" w:rsidTr="363CA695">
        <w:trPr>
          <w:trHeight w:val="20"/>
        </w:trPr>
        <w:tc>
          <w:tcPr>
            <w:tcW w:w="1165" w:type="dxa"/>
          </w:tcPr>
          <w:p w14:paraId="1B3333B4" w14:textId="3F9FD643" w:rsidR="0077104B" w:rsidRPr="00FC4670" w:rsidRDefault="0077104B" w:rsidP="00CF32EB">
            <w:pPr>
              <w:rPr>
                <w:sz w:val="20"/>
                <w:szCs w:val="20"/>
              </w:rPr>
            </w:pPr>
            <w:r w:rsidRPr="00FC4670">
              <w:rPr>
                <w:sz w:val="20"/>
                <w:szCs w:val="20"/>
              </w:rPr>
              <w:t>Requesting office</w:t>
            </w:r>
            <w:r w:rsidR="00356A22">
              <w:rPr>
                <w:sz w:val="20"/>
                <w:szCs w:val="20"/>
              </w:rPr>
              <w:t>/unit</w:t>
            </w:r>
          </w:p>
        </w:tc>
        <w:tc>
          <w:tcPr>
            <w:tcW w:w="8730" w:type="dxa"/>
          </w:tcPr>
          <w:p w14:paraId="16534720" w14:textId="667FF7AD" w:rsidR="0077104B" w:rsidRPr="00FC4670"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Acts as first authority by creating &amp; approving purchase requisition or travel request in Quan</w:t>
            </w:r>
            <w:r w:rsidR="00550E92">
              <w:rPr>
                <w:sz w:val="20"/>
                <w:szCs w:val="20"/>
              </w:rPr>
              <w:t>tum</w:t>
            </w:r>
            <w:r w:rsidRPr="00FC4670">
              <w:rPr>
                <w:sz w:val="20"/>
                <w:szCs w:val="20"/>
              </w:rPr>
              <w:t>.</w:t>
            </w:r>
          </w:p>
        </w:tc>
      </w:tr>
      <w:tr w:rsidR="0077104B" w:rsidRPr="00FC4670" w14:paraId="70072C7B" w14:textId="77777777" w:rsidTr="363CA695">
        <w:trPr>
          <w:trHeight w:val="20"/>
        </w:trPr>
        <w:tc>
          <w:tcPr>
            <w:tcW w:w="1165" w:type="dxa"/>
          </w:tcPr>
          <w:p w14:paraId="07C57A15" w14:textId="77777777" w:rsidR="0077104B" w:rsidRPr="00FC4670" w:rsidRDefault="0077104B" w:rsidP="00CF32EB">
            <w:pPr>
              <w:rPr>
                <w:sz w:val="20"/>
                <w:szCs w:val="20"/>
              </w:rPr>
            </w:pPr>
            <w:r>
              <w:rPr>
                <w:sz w:val="20"/>
                <w:szCs w:val="20"/>
              </w:rPr>
              <w:t>CO</w:t>
            </w:r>
          </w:p>
        </w:tc>
        <w:tc>
          <w:tcPr>
            <w:tcW w:w="8730" w:type="dxa"/>
          </w:tcPr>
          <w:p w14:paraId="3DE9330C" w14:textId="58A3D45D"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Conducts procurement according to UNDP POPP</w:t>
            </w:r>
            <w:r w:rsidR="00721FC3">
              <w:rPr>
                <w:sz w:val="20"/>
                <w:szCs w:val="20"/>
              </w:rPr>
              <w:t>.</w:t>
            </w:r>
          </w:p>
          <w:p w14:paraId="0652EFF3" w14:textId="1AEEC2A0" w:rsidR="00721FC3" w:rsidRPr="00D2258D" w:rsidRDefault="00721FC3">
            <w:pPr>
              <w:pStyle w:val="ListParagraph"/>
              <w:widowControl w:val="0"/>
              <w:numPr>
                <w:ilvl w:val="0"/>
                <w:numId w:val="81"/>
              </w:numPr>
              <w:autoSpaceDE w:val="0"/>
              <w:autoSpaceDN w:val="0"/>
              <w:ind w:left="250" w:hanging="270"/>
              <w:contextualSpacing w:val="0"/>
              <w:rPr>
                <w:sz w:val="20"/>
                <w:szCs w:val="20"/>
              </w:rPr>
            </w:pPr>
            <w:r w:rsidRPr="00D2258D">
              <w:rPr>
                <w:sz w:val="20"/>
                <w:szCs w:val="20"/>
              </w:rPr>
              <w:t>Creates PO.</w:t>
            </w:r>
          </w:p>
          <w:p w14:paraId="36582EC6" w14:textId="3CF6493C" w:rsidR="0077104B" w:rsidRPr="00FC4670" w:rsidRDefault="0077104B">
            <w:pPr>
              <w:pStyle w:val="ListParagraph"/>
              <w:widowControl w:val="0"/>
              <w:numPr>
                <w:ilvl w:val="0"/>
                <w:numId w:val="81"/>
              </w:numPr>
              <w:autoSpaceDE w:val="0"/>
              <w:autoSpaceDN w:val="0"/>
              <w:ind w:left="250" w:hanging="270"/>
              <w:rPr>
                <w:sz w:val="20"/>
                <w:szCs w:val="20"/>
              </w:rPr>
            </w:pPr>
            <w:r w:rsidRPr="363CA695">
              <w:rPr>
                <w:sz w:val="20"/>
                <w:szCs w:val="20"/>
              </w:rPr>
              <w:t>Approving Manager approves PO or travel request in Quantum and signs hard copy PO</w:t>
            </w:r>
            <w:r w:rsidR="00721FC3" w:rsidRPr="363CA695">
              <w:rPr>
                <w:sz w:val="20"/>
                <w:szCs w:val="20"/>
              </w:rPr>
              <w:t>.</w:t>
            </w:r>
          </w:p>
        </w:tc>
      </w:tr>
      <w:tr w:rsidR="0077104B" w:rsidRPr="00FC4670" w14:paraId="33818A01" w14:textId="77777777" w:rsidTr="363CA695">
        <w:trPr>
          <w:trHeight w:val="20"/>
        </w:trPr>
        <w:tc>
          <w:tcPr>
            <w:tcW w:w="9895" w:type="dxa"/>
            <w:gridSpan w:val="2"/>
            <w:shd w:val="clear" w:color="auto" w:fill="B4C6E7" w:themeFill="accent1" w:themeFillTint="66"/>
          </w:tcPr>
          <w:p w14:paraId="5E42609F" w14:textId="77777777" w:rsidR="0077104B" w:rsidRPr="00FC4670" w:rsidRDefault="0077104B" w:rsidP="363CA695">
            <w:pPr>
              <w:rPr>
                <w:b/>
                <w:bCs/>
                <w:sz w:val="20"/>
                <w:szCs w:val="20"/>
              </w:rPr>
            </w:pPr>
            <w:r w:rsidRPr="363CA695">
              <w:rPr>
                <w:b/>
                <w:bCs/>
                <w:sz w:val="20"/>
                <w:szCs w:val="20"/>
              </w:rPr>
              <w:t>Responsibilities for non-Quantum agencies (such as UNAIDS, UNESCO, UNOCHA, FAO, et al)</w:t>
            </w:r>
            <w:r w:rsidRPr="363CA695">
              <w:rPr>
                <w:rStyle w:val="FootnoteReference"/>
                <w:b/>
                <w:bCs/>
                <w:sz w:val="20"/>
                <w:szCs w:val="20"/>
              </w:rPr>
              <w:footnoteReference w:id="39"/>
            </w:r>
          </w:p>
        </w:tc>
      </w:tr>
      <w:tr w:rsidR="0077104B" w:rsidRPr="00FC4670" w14:paraId="5DF445E0" w14:textId="77777777" w:rsidTr="363CA695">
        <w:trPr>
          <w:trHeight w:val="20"/>
        </w:trPr>
        <w:tc>
          <w:tcPr>
            <w:tcW w:w="1165" w:type="dxa"/>
          </w:tcPr>
          <w:p w14:paraId="0B9824D4" w14:textId="225B5A53" w:rsidR="0077104B" w:rsidRPr="00FC4670" w:rsidRDefault="0077104B" w:rsidP="00CF32EB">
            <w:pPr>
              <w:rPr>
                <w:sz w:val="20"/>
                <w:szCs w:val="20"/>
              </w:rPr>
            </w:pPr>
            <w:r w:rsidRPr="00FC4670">
              <w:rPr>
                <w:sz w:val="20"/>
                <w:szCs w:val="20"/>
              </w:rPr>
              <w:t>Requesting office</w:t>
            </w:r>
            <w:r w:rsidR="00356A22">
              <w:rPr>
                <w:sz w:val="20"/>
                <w:szCs w:val="20"/>
              </w:rPr>
              <w:t>/unit</w:t>
            </w:r>
          </w:p>
        </w:tc>
        <w:tc>
          <w:tcPr>
            <w:tcW w:w="8730" w:type="dxa"/>
          </w:tcPr>
          <w:p w14:paraId="38443D1C" w14:textId="1554C216" w:rsidR="0077104B" w:rsidRDefault="0077104B">
            <w:pPr>
              <w:pStyle w:val="ListParagraph"/>
              <w:widowControl w:val="0"/>
              <w:numPr>
                <w:ilvl w:val="0"/>
                <w:numId w:val="81"/>
              </w:numPr>
              <w:autoSpaceDE w:val="0"/>
              <w:autoSpaceDN w:val="0"/>
              <w:ind w:left="250" w:hanging="270"/>
              <w:contextualSpacing w:val="0"/>
              <w:rPr>
                <w:sz w:val="20"/>
                <w:szCs w:val="20"/>
              </w:rPr>
            </w:pPr>
            <w:proofErr w:type="gramStart"/>
            <w:r w:rsidRPr="00FC4670">
              <w:rPr>
                <w:sz w:val="20"/>
                <w:szCs w:val="20"/>
              </w:rPr>
              <w:t>Sends</w:t>
            </w:r>
            <w:proofErr w:type="gramEnd"/>
            <w:r w:rsidRPr="00FC4670">
              <w:rPr>
                <w:sz w:val="20"/>
                <w:szCs w:val="20"/>
              </w:rPr>
              <w:t xml:space="preserve"> </w:t>
            </w:r>
            <w:r>
              <w:rPr>
                <w:sz w:val="20"/>
                <w:szCs w:val="20"/>
              </w:rPr>
              <w:t>Inter-Office Memo (optional) and</w:t>
            </w:r>
            <w:r w:rsidRPr="00FC4670">
              <w:rPr>
                <w:sz w:val="20"/>
                <w:szCs w:val="20"/>
              </w:rPr>
              <w:t xml:space="preserve"> approved Agency Service Request (ASR) form with supporting documentation to the </w:t>
            </w:r>
            <w:r>
              <w:rPr>
                <w:sz w:val="20"/>
                <w:szCs w:val="20"/>
              </w:rPr>
              <w:t>Contracting Office</w:t>
            </w:r>
            <w:r w:rsidR="00356A22">
              <w:rPr>
                <w:sz w:val="20"/>
                <w:szCs w:val="20"/>
              </w:rPr>
              <w:t>/unit</w:t>
            </w:r>
            <w:r>
              <w:rPr>
                <w:sz w:val="20"/>
                <w:szCs w:val="20"/>
              </w:rPr>
              <w:t xml:space="preserve"> (</w:t>
            </w:r>
            <w:r w:rsidRPr="00FC4670">
              <w:rPr>
                <w:sz w:val="20"/>
                <w:szCs w:val="20"/>
              </w:rPr>
              <w:t>Country Office</w:t>
            </w:r>
            <w:r w:rsidR="00356A22">
              <w:rPr>
                <w:sz w:val="20"/>
                <w:szCs w:val="20"/>
              </w:rPr>
              <w:t>/unit</w:t>
            </w:r>
            <w:r>
              <w:rPr>
                <w:sz w:val="20"/>
                <w:szCs w:val="20"/>
              </w:rPr>
              <w:t>)</w:t>
            </w:r>
            <w:r w:rsidR="00550E92">
              <w:rPr>
                <w:sz w:val="20"/>
                <w:szCs w:val="20"/>
              </w:rPr>
              <w:t>.</w:t>
            </w:r>
          </w:p>
          <w:p w14:paraId="66C99209" w14:textId="3F532F72" w:rsidR="00CA7534" w:rsidRPr="00FC4670" w:rsidRDefault="00CA7534">
            <w:pPr>
              <w:pStyle w:val="ListParagraph"/>
              <w:widowControl w:val="0"/>
              <w:numPr>
                <w:ilvl w:val="0"/>
                <w:numId w:val="81"/>
              </w:numPr>
              <w:autoSpaceDE w:val="0"/>
              <w:autoSpaceDN w:val="0"/>
              <w:ind w:left="250" w:hanging="270"/>
              <w:contextualSpacing w:val="0"/>
              <w:rPr>
                <w:sz w:val="20"/>
                <w:szCs w:val="20"/>
              </w:rPr>
            </w:pPr>
            <w:r w:rsidRPr="00D2258D">
              <w:rPr>
                <w:sz w:val="20"/>
                <w:szCs w:val="20"/>
              </w:rPr>
              <w:t>Confirms receipt of goods/services.</w:t>
            </w:r>
          </w:p>
        </w:tc>
      </w:tr>
      <w:tr w:rsidR="0077104B" w:rsidRPr="00FC4670" w14:paraId="0F3A9C80" w14:textId="77777777" w:rsidTr="363CA695">
        <w:trPr>
          <w:trHeight w:val="20"/>
        </w:trPr>
        <w:tc>
          <w:tcPr>
            <w:tcW w:w="1165" w:type="dxa"/>
          </w:tcPr>
          <w:p w14:paraId="7F297DB6" w14:textId="587C99C6" w:rsidR="0077104B" w:rsidRPr="00FC4670" w:rsidRDefault="0077104B" w:rsidP="00CF32EB">
            <w:pPr>
              <w:rPr>
                <w:sz w:val="20"/>
                <w:szCs w:val="20"/>
              </w:rPr>
            </w:pPr>
            <w:r w:rsidRPr="00FC4670">
              <w:rPr>
                <w:sz w:val="20"/>
                <w:szCs w:val="20"/>
              </w:rPr>
              <w:t>CO</w:t>
            </w:r>
            <w:r>
              <w:rPr>
                <w:sz w:val="20"/>
                <w:szCs w:val="20"/>
              </w:rPr>
              <w:t xml:space="preserve"> (contracting office</w:t>
            </w:r>
            <w:r w:rsidR="00356A22">
              <w:rPr>
                <w:sz w:val="20"/>
                <w:szCs w:val="20"/>
              </w:rPr>
              <w:t>/unit</w:t>
            </w:r>
            <w:r>
              <w:rPr>
                <w:sz w:val="20"/>
                <w:szCs w:val="20"/>
              </w:rPr>
              <w:t>)</w:t>
            </w:r>
          </w:p>
        </w:tc>
        <w:tc>
          <w:tcPr>
            <w:tcW w:w="8730" w:type="dxa"/>
          </w:tcPr>
          <w:p w14:paraId="75C89910" w14:textId="6102993D" w:rsidR="0077104B" w:rsidRPr="00FC4670"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 xml:space="preserve">Verifies the ASR form signature against the </w:t>
            </w:r>
            <w:r w:rsidRPr="006207F5">
              <w:rPr>
                <w:sz w:val="20"/>
                <w:szCs w:val="20"/>
              </w:rPr>
              <w:t>‘</w:t>
            </w:r>
            <w:hyperlink r:id="rId192" w:history="1">
              <w:r w:rsidRPr="006207F5">
                <w:rPr>
                  <w:rStyle w:val="Hyperlink"/>
                  <w:sz w:val="20"/>
                  <w:szCs w:val="20"/>
                </w:rPr>
                <w:t>Agencies Authorized Signatories List</w:t>
              </w:r>
            </w:hyperlink>
            <w:r w:rsidRPr="006207F5">
              <w:rPr>
                <w:sz w:val="20"/>
                <w:szCs w:val="20"/>
              </w:rPr>
              <w:t xml:space="preserve">’ </w:t>
            </w:r>
            <w:r w:rsidRPr="00FC4670">
              <w:rPr>
                <w:sz w:val="20"/>
                <w:szCs w:val="20"/>
              </w:rPr>
              <w:t>maintained by BMS/OF</w:t>
            </w:r>
            <w:r w:rsidR="00A40A72">
              <w:rPr>
                <w:sz w:val="20"/>
                <w:szCs w:val="20"/>
              </w:rPr>
              <w:t>R</w:t>
            </w:r>
            <w:r w:rsidRPr="00FC4670">
              <w:rPr>
                <w:sz w:val="20"/>
                <w:szCs w:val="20"/>
              </w:rPr>
              <w:t>M/CFRA</w:t>
            </w:r>
            <w:r>
              <w:rPr>
                <w:sz w:val="20"/>
                <w:szCs w:val="20"/>
              </w:rPr>
              <w:t>.</w:t>
            </w:r>
          </w:p>
          <w:p w14:paraId="2BA4F506" w14:textId="31D0A699"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 xml:space="preserve">Creates and approves the purchase requisition on behalf of the </w:t>
            </w:r>
            <w:proofErr w:type="gramStart"/>
            <w:r w:rsidRPr="00FC4670">
              <w:rPr>
                <w:sz w:val="20"/>
                <w:szCs w:val="20"/>
              </w:rPr>
              <w:t>requesting</w:t>
            </w:r>
            <w:proofErr w:type="gramEnd"/>
            <w:r>
              <w:rPr>
                <w:sz w:val="20"/>
                <w:szCs w:val="20"/>
              </w:rPr>
              <w:t xml:space="preserve"> office</w:t>
            </w:r>
            <w:r w:rsidR="00356A22">
              <w:rPr>
                <w:sz w:val="20"/>
                <w:szCs w:val="20"/>
              </w:rPr>
              <w:t>/unit</w:t>
            </w:r>
            <w:r w:rsidR="00CA7534">
              <w:rPr>
                <w:rStyle w:val="FootnoteReference"/>
                <w:sz w:val="20"/>
                <w:szCs w:val="20"/>
              </w:rPr>
              <w:footnoteReference w:id="40"/>
            </w:r>
            <w:r>
              <w:rPr>
                <w:sz w:val="20"/>
                <w:szCs w:val="20"/>
              </w:rPr>
              <w:t>.</w:t>
            </w:r>
          </w:p>
          <w:p w14:paraId="7258A48B" w14:textId="77777777" w:rsidR="0077104B" w:rsidRDefault="0077104B">
            <w:pPr>
              <w:pStyle w:val="ListParagraph"/>
              <w:widowControl w:val="0"/>
              <w:numPr>
                <w:ilvl w:val="0"/>
                <w:numId w:val="81"/>
              </w:numPr>
              <w:autoSpaceDE w:val="0"/>
              <w:autoSpaceDN w:val="0"/>
              <w:ind w:left="250" w:hanging="270"/>
              <w:contextualSpacing w:val="0"/>
              <w:rPr>
                <w:sz w:val="20"/>
                <w:szCs w:val="20"/>
              </w:rPr>
            </w:pPr>
            <w:r w:rsidRPr="00FC4670">
              <w:rPr>
                <w:sz w:val="20"/>
                <w:szCs w:val="20"/>
              </w:rPr>
              <w:t>Undertakes the procurement process according to UNDP POPP</w:t>
            </w:r>
            <w:r>
              <w:rPr>
                <w:sz w:val="20"/>
                <w:szCs w:val="20"/>
              </w:rPr>
              <w:t>.</w:t>
            </w:r>
          </w:p>
          <w:p w14:paraId="3C391F36" w14:textId="4909B250" w:rsidR="00550E92" w:rsidRPr="00D2258D" w:rsidRDefault="000A4D41">
            <w:pPr>
              <w:pStyle w:val="ListParagraph"/>
              <w:widowControl w:val="0"/>
              <w:numPr>
                <w:ilvl w:val="0"/>
                <w:numId w:val="81"/>
              </w:numPr>
              <w:autoSpaceDE w:val="0"/>
              <w:autoSpaceDN w:val="0"/>
              <w:ind w:left="250" w:hanging="270"/>
              <w:contextualSpacing w:val="0"/>
              <w:rPr>
                <w:sz w:val="20"/>
                <w:szCs w:val="20"/>
              </w:rPr>
            </w:pPr>
            <w:r w:rsidRPr="00D2258D">
              <w:rPr>
                <w:sz w:val="20"/>
                <w:szCs w:val="20"/>
              </w:rPr>
              <w:t xml:space="preserve">Creates </w:t>
            </w:r>
            <w:r w:rsidR="00550E92" w:rsidRPr="00D2258D">
              <w:rPr>
                <w:sz w:val="20"/>
                <w:szCs w:val="20"/>
              </w:rPr>
              <w:t>PO.</w:t>
            </w:r>
          </w:p>
          <w:p w14:paraId="4DAD5FA2" w14:textId="77777777" w:rsidR="0077104B" w:rsidRPr="00FC4670" w:rsidRDefault="0077104B">
            <w:pPr>
              <w:pStyle w:val="ListParagraph"/>
              <w:widowControl w:val="0"/>
              <w:numPr>
                <w:ilvl w:val="0"/>
                <w:numId w:val="81"/>
              </w:numPr>
              <w:autoSpaceDE w:val="0"/>
              <w:autoSpaceDN w:val="0"/>
              <w:ind w:left="250" w:hanging="270"/>
              <w:contextualSpacing w:val="0"/>
            </w:pPr>
            <w:r w:rsidRPr="00FC4670">
              <w:rPr>
                <w:sz w:val="20"/>
                <w:szCs w:val="20"/>
              </w:rPr>
              <w:t>Approving Manager approves PO in Quantum and signs hard copy UNDP PO or approves travel request.</w:t>
            </w:r>
          </w:p>
        </w:tc>
      </w:tr>
      <w:tr w:rsidR="0077104B" w:rsidRPr="00FC4670" w14:paraId="115F65C8" w14:textId="77777777" w:rsidTr="363CA695">
        <w:trPr>
          <w:trHeight w:val="20"/>
        </w:trPr>
        <w:tc>
          <w:tcPr>
            <w:tcW w:w="1165" w:type="dxa"/>
          </w:tcPr>
          <w:p w14:paraId="56929B63" w14:textId="77777777" w:rsidR="0077104B" w:rsidRPr="00FC4670" w:rsidRDefault="0077104B" w:rsidP="00CF32EB">
            <w:pPr>
              <w:rPr>
                <w:sz w:val="20"/>
                <w:szCs w:val="20"/>
              </w:rPr>
            </w:pPr>
            <w:r w:rsidRPr="00FC4670">
              <w:rPr>
                <w:sz w:val="20"/>
                <w:szCs w:val="20"/>
              </w:rPr>
              <w:t>BMS/GSSC</w:t>
            </w:r>
          </w:p>
        </w:tc>
        <w:tc>
          <w:tcPr>
            <w:tcW w:w="8730" w:type="dxa"/>
          </w:tcPr>
          <w:p w14:paraId="51600A58" w14:textId="43E2B655" w:rsidR="0077104B" w:rsidRPr="00FC4670" w:rsidRDefault="0077104B">
            <w:pPr>
              <w:pStyle w:val="ListParagraph"/>
              <w:widowControl w:val="0"/>
              <w:numPr>
                <w:ilvl w:val="0"/>
                <w:numId w:val="82"/>
              </w:numPr>
              <w:autoSpaceDE w:val="0"/>
              <w:autoSpaceDN w:val="0"/>
              <w:ind w:left="250" w:hanging="250"/>
              <w:rPr>
                <w:sz w:val="20"/>
                <w:szCs w:val="20"/>
              </w:rPr>
            </w:pPr>
            <w:r w:rsidRPr="363CA695">
              <w:rPr>
                <w:sz w:val="20"/>
                <w:szCs w:val="20"/>
              </w:rPr>
              <w:t>For payment requests, disbursing officer verifies ASR form signature against the list of authorized signatures maintained by BMS/OF</w:t>
            </w:r>
            <w:r w:rsidR="00A40A72">
              <w:rPr>
                <w:sz w:val="20"/>
                <w:szCs w:val="20"/>
              </w:rPr>
              <w:t>R</w:t>
            </w:r>
            <w:r w:rsidRPr="363CA695">
              <w:rPr>
                <w:sz w:val="20"/>
                <w:szCs w:val="20"/>
              </w:rPr>
              <w:t>M/CFRA prior to disbursing the payment. For higher-risk payments, it is recommended that a second confirmation be obtained from the agency.</w:t>
            </w:r>
          </w:p>
          <w:p w14:paraId="6C79A297" w14:textId="77777777" w:rsidR="0077104B" w:rsidRPr="00FC4670" w:rsidRDefault="0077104B">
            <w:pPr>
              <w:pStyle w:val="ListParagraph"/>
              <w:widowControl w:val="0"/>
              <w:numPr>
                <w:ilvl w:val="0"/>
                <w:numId w:val="82"/>
              </w:numPr>
              <w:autoSpaceDE w:val="0"/>
              <w:autoSpaceDN w:val="0"/>
              <w:ind w:left="250" w:hanging="250"/>
              <w:contextualSpacing w:val="0"/>
              <w:rPr>
                <w:sz w:val="20"/>
                <w:szCs w:val="20"/>
              </w:rPr>
            </w:pPr>
            <w:r w:rsidRPr="00FC4670">
              <w:rPr>
                <w:sz w:val="20"/>
                <w:szCs w:val="20"/>
              </w:rPr>
              <w:t>Before executing payment requests made by fax, email, or other method outside Quantum, UNDP must make reasonable assurances (e.g., reconfirming receipt of payment instructions with the sender) before executing the payment.</w:t>
            </w:r>
          </w:p>
        </w:tc>
      </w:tr>
    </w:tbl>
    <w:p w14:paraId="6FCB47DA" w14:textId="09A4A499" w:rsidR="001D7873" w:rsidRPr="00D2258D" w:rsidRDefault="00E52424">
      <w:pPr>
        <w:pStyle w:val="Heading1"/>
        <w:numPr>
          <w:ilvl w:val="0"/>
          <w:numId w:val="92"/>
        </w:numPr>
        <w:spacing w:after="240"/>
        <w:rPr>
          <w:color w:val="4472C4" w:themeColor="accent1"/>
        </w:rPr>
      </w:pPr>
      <w:bookmarkStart w:id="109" w:name="_Toc210052791"/>
      <w:bookmarkStart w:id="110" w:name="_Hlk189494495"/>
      <w:bookmarkStart w:id="111" w:name="_Hlk189497274"/>
      <w:r w:rsidRPr="00D2258D">
        <w:rPr>
          <w:color w:val="4472C4" w:themeColor="accent1"/>
        </w:rPr>
        <w:t>Cash transfer modalities for</w:t>
      </w:r>
      <w:r w:rsidR="001D7873" w:rsidRPr="00D2258D">
        <w:rPr>
          <w:color w:val="4472C4" w:themeColor="accent1"/>
        </w:rPr>
        <w:t xml:space="preserve"> Partners</w:t>
      </w:r>
      <w:bookmarkEnd w:id="109"/>
    </w:p>
    <w:p w14:paraId="64905BB9" w14:textId="474E0327" w:rsidR="001D7873" w:rsidRPr="00D2258D" w:rsidRDefault="00824124" w:rsidP="001D7873">
      <w:pPr>
        <w:shd w:val="clear" w:color="auto" w:fill="FFFFFF"/>
        <w:spacing w:after="0" w:line="240" w:lineRule="auto"/>
        <w:jc w:val="both"/>
        <w:textAlignment w:val="top"/>
        <w:rPr>
          <w:rFonts w:eastAsia="Times New Roman" w:cs="Arial"/>
          <w:bCs/>
        </w:rPr>
      </w:pPr>
      <w:r w:rsidRPr="00D2258D">
        <w:rPr>
          <w:rFonts w:eastAsia="Times New Roman" w:cs="Arial"/>
          <w:bCs/>
        </w:rPr>
        <w:t xml:space="preserve">The HACT framework applies to Implementing Partners and Responsible Parties, which are collectively referred to as Partners in this section of the Guide. </w:t>
      </w:r>
      <w:r w:rsidR="001D7873" w:rsidRPr="00D2258D">
        <w:rPr>
          <w:rFonts w:eastAsia="Times New Roman" w:cs="Arial"/>
          <w:bCs/>
        </w:rPr>
        <w:t xml:space="preserve">Three cash transfer modalities are available under </w:t>
      </w:r>
      <w:r w:rsidRPr="00D2258D">
        <w:rPr>
          <w:rFonts w:eastAsia="Times New Roman" w:cs="Arial"/>
          <w:bCs/>
        </w:rPr>
        <w:t xml:space="preserve">the </w:t>
      </w:r>
      <w:r w:rsidR="001D7873" w:rsidRPr="00D2258D">
        <w:rPr>
          <w:rFonts w:eastAsia="Times New Roman" w:cs="Arial"/>
          <w:bCs/>
        </w:rPr>
        <w:t>HACT Framework:</w:t>
      </w:r>
    </w:p>
    <w:p w14:paraId="65880E22" w14:textId="77777777" w:rsidR="001D7873" w:rsidRPr="00D2258D" w:rsidRDefault="001D7873" w:rsidP="001D7873">
      <w:pPr>
        <w:shd w:val="clear" w:color="auto" w:fill="FFFFFF"/>
        <w:spacing w:after="0" w:line="240" w:lineRule="auto"/>
        <w:jc w:val="both"/>
        <w:textAlignment w:val="top"/>
        <w:rPr>
          <w:rFonts w:eastAsia="Times New Roman" w:cs="Arial"/>
          <w:bCs/>
        </w:rPr>
      </w:pPr>
    </w:p>
    <w:p w14:paraId="111BA6D8" w14:textId="4443B38B" w:rsidR="001D7873" w:rsidRPr="00D2258D" w:rsidRDefault="001D7873">
      <w:pPr>
        <w:pStyle w:val="ListParagraph"/>
        <w:numPr>
          <w:ilvl w:val="0"/>
          <w:numId w:val="108"/>
        </w:numPr>
        <w:shd w:val="clear" w:color="auto" w:fill="FFFFFF"/>
        <w:spacing w:after="80" w:line="240" w:lineRule="auto"/>
        <w:ind w:left="540" w:hanging="270"/>
        <w:jc w:val="both"/>
        <w:textAlignment w:val="top"/>
        <w:rPr>
          <w:rFonts w:eastAsia="Times New Roman" w:cs="Arial"/>
        </w:rPr>
      </w:pPr>
      <w:r w:rsidRPr="00D2258D">
        <w:rPr>
          <w:rFonts w:eastAsia="Times New Roman" w:cs="Arial"/>
          <w:b/>
          <w:bCs/>
          <w:i/>
          <w:iCs/>
        </w:rPr>
        <w:t>Direct cash transfers –</w:t>
      </w:r>
      <w:r w:rsidRPr="00D2258D">
        <w:rPr>
          <w:rFonts w:eastAsia="Times New Roman" w:cs="Arial"/>
        </w:rPr>
        <w:t xml:space="preserve"> Funds are transferred by UNDP to the Partner before the Partner incurs obligations and expenditures to support activities agreed in the work plan (i.e., advances).</w:t>
      </w:r>
    </w:p>
    <w:p w14:paraId="6CDC6FC0" w14:textId="70D654A7" w:rsidR="001D7873" w:rsidRPr="00D2258D" w:rsidRDefault="001D7873">
      <w:pPr>
        <w:pStyle w:val="ListParagraph"/>
        <w:numPr>
          <w:ilvl w:val="0"/>
          <w:numId w:val="108"/>
        </w:numPr>
        <w:shd w:val="clear" w:color="auto" w:fill="FFFFFF" w:themeFill="background1"/>
        <w:spacing w:after="80" w:line="240" w:lineRule="auto"/>
        <w:ind w:left="540" w:hanging="270"/>
        <w:jc w:val="both"/>
        <w:textAlignment w:val="top"/>
        <w:rPr>
          <w:rFonts w:eastAsia="Times New Roman" w:cs="Arial"/>
        </w:rPr>
      </w:pPr>
      <w:r w:rsidRPr="00D2258D">
        <w:rPr>
          <w:rFonts w:eastAsia="Times New Roman" w:cs="Arial"/>
          <w:b/>
          <w:bCs/>
          <w:i/>
          <w:iCs/>
        </w:rPr>
        <w:t xml:space="preserve">Direct payments </w:t>
      </w:r>
      <w:r w:rsidRPr="00D2258D">
        <w:rPr>
          <w:rFonts w:eastAsia="Times New Roman" w:cs="Arial"/>
          <w:i/>
          <w:iCs/>
        </w:rPr>
        <w:t xml:space="preserve">– </w:t>
      </w:r>
      <w:r w:rsidRPr="00D2258D">
        <w:rPr>
          <w:rFonts w:eastAsia="Times New Roman" w:cs="Arial"/>
        </w:rPr>
        <w:t>Funds are paid by UNDP directly to suppliers and other third parties for obligations and expenditures incurred by the Partner to support activities agreed in the work plan (i.e. direct payments as described in section 15 below).</w:t>
      </w:r>
    </w:p>
    <w:p w14:paraId="5FB81D4C" w14:textId="129BCA72" w:rsidR="001D7873" w:rsidRPr="00D2258D" w:rsidRDefault="001D7873">
      <w:pPr>
        <w:pStyle w:val="ListParagraph"/>
        <w:numPr>
          <w:ilvl w:val="0"/>
          <w:numId w:val="108"/>
        </w:numPr>
        <w:shd w:val="clear" w:color="auto" w:fill="FFFFFF" w:themeFill="background1"/>
        <w:spacing w:after="0" w:line="240" w:lineRule="auto"/>
        <w:ind w:left="540" w:hanging="270"/>
        <w:jc w:val="both"/>
        <w:textAlignment w:val="top"/>
        <w:rPr>
          <w:rFonts w:eastAsia="Times New Roman" w:cs="Arial"/>
        </w:rPr>
      </w:pPr>
      <w:r w:rsidRPr="00D2258D">
        <w:rPr>
          <w:rFonts w:eastAsia="Times New Roman" w:cs="Arial"/>
          <w:b/>
          <w:bCs/>
          <w:i/>
          <w:iCs/>
        </w:rPr>
        <w:t>Reimbursements –</w:t>
      </w:r>
      <w:r w:rsidRPr="00D2258D">
        <w:rPr>
          <w:rFonts w:eastAsia="Times New Roman" w:cs="Arial"/>
        </w:rPr>
        <w:t xml:space="preserve"> Funds are provided by UNDP to the Partner for obligations made and expenditures incurred in support of activities agreed in work plan. </w:t>
      </w:r>
    </w:p>
    <w:p w14:paraId="181764EF" w14:textId="77777777" w:rsidR="001D7873" w:rsidRPr="00D2258D" w:rsidRDefault="001D7873" w:rsidP="001D7873">
      <w:pPr>
        <w:pStyle w:val="ListParagraph"/>
        <w:shd w:val="clear" w:color="auto" w:fill="FFFFFF"/>
        <w:spacing w:after="0" w:line="240" w:lineRule="auto"/>
        <w:ind w:left="540"/>
        <w:jc w:val="both"/>
        <w:textAlignment w:val="top"/>
        <w:rPr>
          <w:rFonts w:eastAsia="Times New Roman" w:cs="Arial"/>
        </w:rPr>
      </w:pPr>
    </w:p>
    <w:p w14:paraId="5311FDC6" w14:textId="1E17F0BE" w:rsidR="001D7873" w:rsidRPr="00D2258D" w:rsidRDefault="001D7873" w:rsidP="363CA695">
      <w:r w:rsidRPr="00D2258D">
        <w:t xml:space="preserve">In selecting the appropriate Cash Transfer Modalities for the Partner, the </w:t>
      </w:r>
      <w:hyperlink r:id="rId193">
        <w:r w:rsidRPr="00D2258D">
          <w:rPr>
            <w:rStyle w:val="Hyperlink"/>
            <w:color w:val="4472C4" w:themeColor="accent1"/>
          </w:rPr>
          <w:t xml:space="preserve">POPP HACT Policy </w:t>
        </w:r>
        <w:r w:rsidR="0036789A" w:rsidRPr="00D2258D">
          <w:rPr>
            <w:rStyle w:val="Hyperlink"/>
            <w:color w:val="4472C4" w:themeColor="accent1"/>
          </w:rPr>
          <w:t>and associated guidelines</w:t>
        </w:r>
      </w:hyperlink>
      <w:r w:rsidR="0036789A" w:rsidRPr="00D2258D">
        <w:t xml:space="preserve"> </w:t>
      </w:r>
      <w:r w:rsidRPr="00D2258D">
        <w:t>should be adhered to.</w:t>
      </w:r>
      <w:r w:rsidR="00E173C1" w:rsidRPr="00D2258D">
        <w:t xml:space="preserve"> The pre-requisite HACT assessment and subsequent assurance activities are applicable to all three cash transfer modalities.</w:t>
      </w:r>
    </w:p>
    <w:p w14:paraId="5CE8F7DC" w14:textId="61D4E84B" w:rsidR="001D7873" w:rsidRPr="00D2258D" w:rsidRDefault="00E173C1" w:rsidP="363CA695">
      <w:r w:rsidRPr="00D2258D">
        <w:t>HACT assessments are required where:</w:t>
      </w:r>
    </w:p>
    <w:p w14:paraId="639F9A33" w14:textId="3BD94D72" w:rsidR="00E173C1" w:rsidRPr="00D2258D" w:rsidRDefault="00E173C1">
      <w:pPr>
        <w:pStyle w:val="ListParagraph"/>
        <w:numPr>
          <w:ilvl w:val="0"/>
          <w:numId w:val="109"/>
        </w:numPr>
      </w:pPr>
      <w:r w:rsidRPr="00D2258D">
        <w:t xml:space="preserve">If </w:t>
      </w:r>
      <w:r w:rsidR="0036789A" w:rsidRPr="00D2258D">
        <w:t>the Partner</w:t>
      </w:r>
      <w:r w:rsidRPr="00D2258D">
        <w:t xml:space="preserve"> is expected to receive </w:t>
      </w:r>
      <w:r w:rsidRPr="00D2258D">
        <w:rPr>
          <w:b/>
          <w:bCs/>
        </w:rPr>
        <w:t>cash transfers of more than $150,000 per year</w:t>
      </w:r>
      <w:r w:rsidRPr="00D2258D">
        <w:t xml:space="preserve"> from UNDP: a HACT micro-assessment by a qualified third-party service provider is required. </w:t>
      </w:r>
    </w:p>
    <w:p w14:paraId="27095D72" w14:textId="77777777" w:rsidR="00E173C1" w:rsidRPr="00D2258D" w:rsidRDefault="00E173C1" w:rsidP="00E173C1">
      <w:pPr>
        <w:pStyle w:val="ListParagraph"/>
        <w:ind w:left="360"/>
      </w:pPr>
    </w:p>
    <w:p w14:paraId="45E9E265" w14:textId="4FC6749D" w:rsidR="001D7873" w:rsidRPr="00D2258D" w:rsidRDefault="00E173C1">
      <w:pPr>
        <w:pStyle w:val="ListParagraph"/>
        <w:numPr>
          <w:ilvl w:val="0"/>
          <w:numId w:val="109"/>
        </w:numPr>
      </w:pPr>
      <w:r w:rsidRPr="00D2258D">
        <w:t xml:space="preserve">If </w:t>
      </w:r>
      <w:r w:rsidR="0036789A" w:rsidRPr="00D2258D">
        <w:t>the Partner</w:t>
      </w:r>
      <w:r w:rsidRPr="00D2258D">
        <w:t xml:space="preserve"> is expected to receive </w:t>
      </w:r>
      <w:r w:rsidRPr="00D2258D">
        <w:rPr>
          <w:b/>
          <w:bCs/>
        </w:rPr>
        <w:t>cash transfers of less than 150,000 per year</w:t>
      </w:r>
      <w:r w:rsidRPr="00D2258D">
        <w:t xml:space="preserve"> from UNDP: a HACT micro-assessment is not required unless, at the discretion of the office/unit, a micro-assessment is deemed necessary due to other risk considerations (e.g., the office/unit has no previous experience with the </w:t>
      </w:r>
      <w:r w:rsidR="0036789A" w:rsidRPr="00D2258D">
        <w:t>Partner</w:t>
      </w:r>
      <w:r w:rsidRPr="00D2258D">
        <w:t xml:space="preserve"> or the operating environment is considered high risk). Offices/units are strongly encouraged to perform a micro-assessment for </w:t>
      </w:r>
      <w:r w:rsidR="0036789A" w:rsidRPr="00D2258D">
        <w:t>Partners</w:t>
      </w:r>
      <w:r w:rsidRPr="00D2258D">
        <w:t xml:space="preserve"> that are below the annual threshold but are expected to receive more than $150,000 cash in a </w:t>
      </w:r>
      <w:proofErr w:type="spellStart"/>
      <w:r w:rsidRPr="00D2258D">
        <w:t>programme</w:t>
      </w:r>
      <w:proofErr w:type="spellEnd"/>
      <w:r w:rsidRPr="00D2258D">
        <w:t xml:space="preserve"> cycle. </w:t>
      </w:r>
    </w:p>
    <w:p w14:paraId="35D7F07F" w14:textId="0FE66C7E" w:rsidR="001D7873" w:rsidRDefault="00DF5E09">
      <w:pPr>
        <w:pStyle w:val="Heading1"/>
        <w:numPr>
          <w:ilvl w:val="0"/>
          <w:numId w:val="92"/>
        </w:numPr>
        <w:spacing w:after="240"/>
      </w:pPr>
      <w:bookmarkStart w:id="112" w:name="_Toc210052792"/>
      <w:r>
        <w:t>Transaction</w:t>
      </w:r>
      <w:r w:rsidR="00E173C1">
        <w:t xml:space="preserve"> services </w:t>
      </w:r>
      <w:r>
        <w:t xml:space="preserve">performed </w:t>
      </w:r>
      <w:r w:rsidR="001D7873">
        <w:t>for</w:t>
      </w:r>
      <w:r>
        <w:t xml:space="preserve"> Partners</w:t>
      </w:r>
      <w:bookmarkEnd w:id="112"/>
    </w:p>
    <w:p w14:paraId="75F9281E" w14:textId="2D05BC45" w:rsidR="00714DA8" w:rsidRPr="00896D4D" w:rsidRDefault="00714DA8" w:rsidP="004943D0">
      <w:pPr>
        <w:spacing w:line="240" w:lineRule="auto"/>
      </w:pPr>
      <w:r w:rsidRPr="00896D4D">
        <w:t>UNDP offices</w:t>
      </w:r>
      <w:r w:rsidR="00356A22">
        <w:t>/units</w:t>
      </w:r>
      <w:r w:rsidRPr="00896D4D">
        <w:t xml:space="preserve"> perform certain administrative and transactional services for </w:t>
      </w:r>
      <w:r w:rsidR="00512AE1">
        <w:t>P</w:t>
      </w:r>
      <w:r w:rsidRPr="00896D4D">
        <w:t>artners</w:t>
      </w:r>
      <w:r w:rsidR="0036789A">
        <w:t>,</w:t>
      </w:r>
      <w:r w:rsidRPr="00896D4D">
        <w:t xml:space="preserve"> including:</w:t>
      </w:r>
    </w:p>
    <w:p w14:paraId="728506A6" w14:textId="6997987E" w:rsidR="00714DA8" w:rsidRDefault="00714DA8">
      <w:pPr>
        <w:pStyle w:val="ListParagraph"/>
        <w:numPr>
          <w:ilvl w:val="0"/>
          <w:numId w:val="84"/>
        </w:numPr>
        <w:spacing w:line="240" w:lineRule="auto"/>
      </w:pPr>
      <w:r w:rsidRPr="363CA695">
        <w:rPr>
          <w:b/>
          <w:bCs/>
        </w:rPr>
        <w:t>Making direct payments</w:t>
      </w:r>
      <w:r w:rsidRPr="363CA695">
        <w:t xml:space="preserve"> at the request </w:t>
      </w:r>
      <w:r w:rsidRPr="00D2258D">
        <w:t xml:space="preserve">of a </w:t>
      </w:r>
      <w:r w:rsidR="0036789A" w:rsidRPr="00D2258D">
        <w:t xml:space="preserve">Partner or </w:t>
      </w:r>
      <w:proofErr w:type="gramStart"/>
      <w:r w:rsidR="0036789A" w:rsidRPr="00D2258D">
        <w:t>as a result of</w:t>
      </w:r>
      <w:proofErr w:type="gramEnd"/>
      <w:r w:rsidR="0036789A" w:rsidRPr="00D2258D">
        <w:t xml:space="preserve"> </w:t>
      </w:r>
      <w:r w:rsidR="000E138D" w:rsidRPr="00D2258D">
        <w:t>the Partner’s risk profile determined through</w:t>
      </w:r>
      <w:r w:rsidR="0036789A" w:rsidRPr="00D2258D">
        <w:t xml:space="preserve"> HACT </w:t>
      </w:r>
      <w:r w:rsidR="000E138D" w:rsidRPr="00D2258D">
        <w:t>micro-</w:t>
      </w:r>
      <w:r w:rsidR="0036789A" w:rsidRPr="00D2258D">
        <w:t>assessment</w:t>
      </w:r>
      <w:r w:rsidR="00512AE1" w:rsidRPr="00D2258D">
        <w:t>.</w:t>
      </w:r>
      <w:r w:rsidR="00B95305" w:rsidRPr="00D2258D">
        <w:t xml:space="preserve"> In ‘direct </w:t>
      </w:r>
      <w:r w:rsidR="00B95305" w:rsidRPr="363CA695">
        <w:t xml:space="preserve">payments,’ the </w:t>
      </w:r>
      <w:r w:rsidR="0036789A" w:rsidRPr="363CA695">
        <w:t xml:space="preserve">Partner </w:t>
      </w:r>
      <w:r w:rsidR="00B95305" w:rsidRPr="363CA695">
        <w:t xml:space="preserve">performs recruitment or procurement and signs the contract according to its own regulations and rules. </w:t>
      </w:r>
      <w:r w:rsidR="00B95305" w:rsidRPr="363CA695">
        <w:rPr>
          <w:b/>
          <w:bCs/>
          <w:u w:val="single"/>
        </w:rPr>
        <w:t xml:space="preserve">The </w:t>
      </w:r>
      <w:r w:rsidR="0036789A" w:rsidRPr="363CA695">
        <w:rPr>
          <w:b/>
          <w:bCs/>
          <w:u w:val="single"/>
        </w:rPr>
        <w:t xml:space="preserve">Partner </w:t>
      </w:r>
      <w:r w:rsidR="00B95305" w:rsidRPr="363CA695">
        <w:rPr>
          <w:b/>
          <w:bCs/>
          <w:u w:val="single"/>
        </w:rPr>
        <w:t>assumes responsibility for the contracting process</w:t>
      </w:r>
      <w:r w:rsidR="00B95305" w:rsidRPr="363CA695">
        <w:t xml:space="preserve"> and is responsible for project expenses.</w:t>
      </w:r>
    </w:p>
    <w:p w14:paraId="1ADB2DE7" w14:textId="77777777" w:rsidR="001D7873" w:rsidRPr="00896D4D" w:rsidRDefault="001D7873" w:rsidP="001D7873">
      <w:pPr>
        <w:pStyle w:val="ListParagraph"/>
        <w:spacing w:line="240" w:lineRule="auto"/>
        <w:ind w:left="360"/>
      </w:pPr>
    </w:p>
    <w:p w14:paraId="2F47B6E4" w14:textId="43ACAD0F" w:rsidR="00714DA8" w:rsidRDefault="00714DA8">
      <w:pPr>
        <w:pStyle w:val="ListParagraph"/>
        <w:numPr>
          <w:ilvl w:val="0"/>
          <w:numId w:val="84"/>
        </w:numPr>
        <w:spacing w:line="240" w:lineRule="auto"/>
      </w:pPr>
      <w:r w:rsidRPr="00B95305">
        <w:rPr>
          <w:b/>
          <w:bCs/>
        </w:rPr>
        <w:t>Providing</w:t>
      </w:r>
      <w:r w:rsidR="00B95305" w:rsidRPr="00B95305">
        <w:rPr>
          <w:b/>
          <w:bCs/>
        </w:rPr>
        <w:t xml:space="preserve"> </w:t>
      </w:r>
      <w:r w:rsidR="005C5A21">
        <w:rPr>
          <w:b/>
          <w:bCs/>
        </w:rPr>
        <w:t xml:space="preserve">CO </w:t>
      </w:r>
      <w:r w:rsidR="00B95305" w:rsidRPr="00B95305">
        <w:rPr>
          <w:b/>
          <w:bCs/>
        </w:rPr>
        <w:t>support services</w:t>
      </w:r>
      <w:r w:rsidR="00B95305">
        <w:t xml:space="preserve"> at the request of the </w:t>
      </w:r>
      <w:r w:rsidR="0036789A">
        <w:t>Partner</w:t>
      </w:r>
      <w:r w:rsidR="00B95305">
        <w:t xml:space="preserve">, including </w:t>
      </w:r>
      <w:r w:rsidRPr="00896D4D">
        <w:t>procurement, recruitment, and travel services</w:t>
      </w:r>
      <w:r w:rsidR="00B95305">
        <w:t>.</w:t>
      </w:r>
      <w:r w:rsidRPr="00896D4D">
        <w:t xml:space="preserve"> </w:t>
      </w:r>
      <w:r w:rsidR="00B95305" w:rsidRPr="00D355E4">
        <w:t xml:space="preserve">In ‘CO support services,’ </w:t>
      </w:r>
      <w:r w:rsidR="00B95305" w:rsidRPr="001D7873">
        <w:rPr>
          <w:b/>
          <w:bCs/>
          <w:u w:val="single"/>
        </w:rPr>
        <w:t>the UNDP office/unit assumes responsibility for the contracting process</w:t>
      </w:r>
      <w:r w:rsidR="00B95305" w:rsidRPr="00D355E4">
        <w:t xml:space="preserve"> performed according to UNDP regulations and rules.</w:t>
      </w:r>
    </w:p>
    <w:p w14:paraId="31834EAD" w14:textId="29612396" w:rsidR="00210523" w:rsidRDefault="001D7873" w:rsidP="00AD810D">
      <w:pPr>
        <w:spacing w:after="0" w:line="240" w:lineRule="auto"/>
      </w:pPr>
      <w:r w:rsidRPr="363CA695">
        <w:t xml:space="preserve">These two </w:t>
      </w:r>
      <w:r w:rsidR="00210523" w:rsidRPr="363CA695">
        <w:t xml:space="preserve">scenarios </w:t>
      </w:r>
      <w:r w:rsidRPr="363CA695">
        <w:t>are</w:t>
      </w:r>
      <w:r w:rsidR="00210523" w:rsidRPr="363CA695">
        <w:t xml:space="preserve"> described below, including the key internal control points that should be observed.</w:t>
      </w:r>
      <w:r w:rsidR="00210523" w:rsidRPr="363CA695">
        <w:rPr>
          <w:b/>
          <w:bCs/>
        </w:rPr>
        <w:t xml:space="preserve"> Direct payments should not be confused with ‘CO support </w:t>
      </w:r>
      <w:proofErr w:type="gramStart"/>
      <w:r w:rsidR="00210523" w:rsidRPr="363CA695">
        <w:rPr>
          <w:b/>
          <w:bCs/>
        </w:rPr>
        <w:t>services’</w:t>
      </w:r>
      <w:proofErr w:type="gramEnd"/>
      <w:r w:rsidR="00210523" w:rsidRPr="363CA695">
        <w:rPr>
          <w:b/>
          <w:bCs/>
        </w:rPr>
        <w:t xml:space="preserve"> since there is a very important difference in accountability!</w:t>
      </w:r>
      <w:r w:rsidR="00210523" w:rsidRPr="363CA695">
        <w:t xml:space="preserve">  </w:t>
      </w:r>
    </w:p>
    <w:p w14:paraId="3BD95DEC" w14:textId="6B596FB7" w:rsidR="005C5A21" w:rsidRPr="00D2258D" w:rsidRDefault="005C5A21" w:rsidP="363CA695">
      <w:pPr>
        <w:pStyle w:val="NormalWeb"/>
        <w:rPr>
          <w:rFonts w:asciiTheme="minorHAnsi" w:hAnsiTheme="minorHAnsi" w:cstheme="minorBidi"/>
          <w:sz w:val="22"/>
          <w:szCs w:val="22"/>
        </w:rPr>
      </w:pPr>
      <w:r w:rsidRPr="00D2258D">
        <w:rPr>
          <w:rFonts w:asciiTheme="minorHAnsi" w:hAnsiTheme="minorHAnsi" w:cstheme="minorBidi"/>
          <w:sz w:val="22"/>
          <w:szCs w:val="22"/>
        </w:rPr>
        <w:t xml:space="preserve">UNDP offices/units should ensure that the full costs of processing Direct Payments or providing CO support services are recovered by directly charging them to the project budget. These costs should be incorporated into the initial project budget approved by the donor or the implementing partner. If such costs </w:t>
      </w:r>
      <w:proofErr w:type="gramStart"/>
      <w:r w:rsidRPr="00D2258D">
        <w:rPr>
          <w:rFonts w:asciiTheme="minorHAnsi" w:hAnsiTheme="minorHAnsi" w:cstheme="minorBidi"/>
          <w:sz w:val="22"/>
          <w:szCs w:val="22"/>
        </w:rPr>
        <w:t>were</w:t>
      </w:r>
      <w:proofErr w:type="gramEnd"/>
      <w:r w:rsidRPr="00D2258D">
        <w:rPr>
          <w:rFonts w:asciiTheme="minorHAnsi" w:hAnsiTheme="minorHAnsi" w:cstheme="minorBidi"/>
          <w:sz w:val="22"/>
          <w:szCs w:val="22"/>
        </w:rPr>
        <w:t xml:space="preserve"> not included in the approved project budget, offices/units should undertake budget amendment negotiations with the donor</w:t>
      </w:r>
      <w:r w:rsidRPr="00D2258D">
        <w:rPr>
          <w:rFonts w:asciiTheme="minorHAnsi" w:hAnsiTheme="minorHAnsi" w:cstheme="minorBidi"/>
          <w:i/>
          <w:iCs/>
          <w:sz w:val="22"/>
          <w:szCs w:val="22"/>
        </w:rPr>
        <w:t xml:space="preserve"> </w:t>
      </w:r>
      <w:r w:rsidRPr="00D2258D">
        <w:rPr>
          <w:rFonts w:asciiTheme="minorHAnsi" w:hAnsiTheme="minorHAnsi" w:cstheme="minorBidi"/>
          <w:sz w:val="22"/>
          <w:szCs w:val="22"/>
        </w:rPr>
        <w:t>or the implementing partner. If the costs are explicitly excluded as ineligible under donor policies, an alternative funding source should be identified. In all cases, funding for these costs should be planned before costs are incurred.</w:t>
      </w:r>
    </w:p>
    <w:tbl>
      <w:tblPr>
        <w:tblStyle w:val="TableGrid"/>
        <w:tblW w:w="0" w:type="auto"/>
        <w:tblCellMar>
          <w:left w:w="72" w:type="dxa"/>
          <w:bottom w:w="43" w:type="dxa"/>
          <w:right w:w="72" w:type="dxa"/>
        </w:tblCellMar>
        <w:tblLook w:val="04A0" w:firstRow="1" w:lastRow="0" w:firstColumn="1" w:lastColumn="0" w:noHBand="0" w:noVBand="1"/>
      </w:tblPr>
      <w:tblGrid>
        <w:gridCol w:w="1082"/>
        <w:gridCol w:w="8813"/>
      </w:tblGrid>
      <w:tr w:rsidR="00714DA8" w:rsidRPr="00714DA8" w14:paraId="0392FB08" w14:textId="77777777" w:rsidTr="3C69308B">
        <w:trPr>
          <w:trHeight w:val="20"/>
          <w:tblHeader/>
        </w:trPr>
        <w:tc>
          <w:tcPr>
            <w:tcW w:w="9895" w:type="dxa"/>
            <w:gridSpan w:val="2"/>
            <w:shd w:val="clear" w:color="auto" w:fill="002060"/>
          </w:tcPr>
          <w:p w14:paraId="2344057B" w14:textId="7C6E31A0" w:rsidR="00714DA8" w:rsidRPr="00714DA8" w:rsidRDefault="00714DA8">
            <w:pPr>
              <w:pStyle w:val="ListParagraph"/>
              <w:widowControl w:val="0"/>
              <w:numPr>
                <w:ilvl w:val="0"/>
                <w:numId w:val="85"/>
              </w:numPr>
              <w:autoSpaceDE w:val="0"/>
              <w:autoSpaceDN w:val="0"/>
              <w:rPr>
                <w:b/>
                <w:bCs/>
                <w:sz w:val="20"/>
                <w:szCs w:val="20"/>
              </w:rPr>
            </w:pPr>
            <w:r w:rsidRPr="3C69308B">
              <w:rPr>
                <w:b/>
                <w:bCs/>
                <w:sz w:val="20"/>
                <w:szCs w:val="20"/>
              </w:rPr>
              <w:lastRenderedPageBreak/>
              <w:t xml:space="preserve">Making direct payments </w:t>
            </w:r>
            <w:r w:rsidR="00D55BFC" w:rsidRPr="3C69308B">
              <w:rPr>
                <w:b/>
                <w:bCs/>
                <w:sz w:val="20"/>
                <w:szCs w:val="20"/>
              </w:rPr>
              <w:t>for</w:t>
            </w:r>
            <w:r w:rsidRPr="3C69308B">
              <w:rPr>
                <w:b/>
                <w:bCs/>
                <w:sz w:val="20"/>
                <w:szCs w:val="20"/>
              </w:rPr>
              <w:t xml:space="preserve"> a</w:t>
            </w:r>
            <w:r w:rsidR="0036789A" w:rsidRPr="3C69308B">
              <w:rPr>
                <w:b/>
                <w:bCs/>
                <w:sz w:val="20"/>
                <w:szCs w:val="20"/>
              </w:rPr>
              <w:t xml:space="preserve"> Partner</w:t>
            </w:r>
          </w:p>
        </w:tc>
      </w:tr>
      <w:tr w:rsidR="00714DA8" w:rsidRPr="00714DA8" w14:paraId="671BE8B0" w14:textId="77777777" w:rsidTr="3C69308B">
        <w:trPr>
          <w:trHeight w:val="20"/>
        </w:trPr>
        <w:tc>
          <w:tcPr>
            <w:tcW w:w="1082" w:type="dxa"/>
          </w:tcPr>
          <w:p w14:paraId="38B50FFD" w14:textId="77777777" w:rsidR="00714DA8" w:rsidRPr="00714DA8" w:rsidRDefault="00714DA8" w:rsidP="004943D0">
            <w:pPr>
              <w:rPr>
                <w:sz w:val="20"/>
                <w:szCs w:val="20"/>
              </w:rPr>
            </w:pPr>
            <w:r w:rsidRPr="00714DA8">
              <w:rPr>
                <w:sz w:val="20"/>
                <w:szCs w:val="20"/>
              </w:rPr>
              <w:t>What it covers</w:t>
            </w:r>
          </w:p>
        </w:tc>
        <w:tc>
          <w:tcPr>
            <w:tcW w:w="8813" w:type="dxa"/>
          </w:tcPr>
          <w:p w14:paraId="15332B96" w14:textId="63393334" w:rsidR="00714DA8" w:rsidRPr="00714DA8" w:rsidRDefault="00714DA8" w:rsidP="363CA695">
            <w:pPr>
              <w:rPr>
                <w:sz w:val="20"/>
                <w:szCs w:val="20"/>
              </w:rPr>
            </w:pPr>
            <w:r w:rsidRPr="363CA695">
              <w:rPr>
                <w:sz w:val="20"/>
                <w:szCs w:val="20"/>
              </w:rPr>
              <w:t>The</w:t>
            </w:r>
            <w:r w:rsidRPr="363CA695">
              <w:rPr>
                <w:color w:val="ED7D31" w:themeColor="accent2"/>
                <w:sz w:val="20"/>
                <w:szCs w:val="20"/>
              </w:rPr>
              <w:t xml:space="preserve"> </w:t>
            </w:r>
            <w:r w:rsidR="00FE1C71" w:rsidRPr="363CA695">
              <w:rPr>
                <w:sz w:val="20"/>
                <w:szCs w:val="20"/>
              </w:rPr>
              <w:t xml:space="preserve">UNDP </w:t>
            </w:r>
            <w:r w:rsidRPr="363CA695">
              <w:rPr>
                <w:sz w:val="20"/>
                <w:szCs w:val="20"/>
              </w:rPr>
              <w:t>office</w:t>
            </w:r>
            <w:r w:rsidR="00356A22" w:rsidRPr="363CA695">
              <w:rPr>
                <w:sz w:val="20"/>
                <w:szCs w:val="20"/>
              </w:rPr>
              <w:t>/unit</w:t>
            </w:r>
            <w:r w:rsidRPr="363CA695">
              <w:rPr>
                <w:sz w:val="20"/>
                <w:szCs w:val="20"/>
              </w:rPr>
              <w:t xml:space="preserve"> provides only accounting and banking services to the </w:t>
            </w:r>
            <w:r w:rsidR="0036789A" w:rsidRPr="363CA695">
              <w:rPr>
                <w:sz w:val="20"/>
                <w:szCs w:val="20"/>
              </w:rPr>
              <w:t>Partner</w:t>
            </w:r>
            <w:r w:rsidRPr="363CA695">
              <w:rPr>
                <w:sz w:val="20"/>
                <w:szCs w:val="20"/>
              </w:rPr>
              <w:t xml:space="preserve">. The </w:t>
            </w:r>
            <w:r w:rsidR="0036789A" w:rsidRPr="363CA695">
              <w:rPr>
                <w:sz w:val="20"/>
                <w:szCs w:val="20"/>
              </w:rPr>
              <w:t xml:space="preserve">Partner </w:t>
            </w:r>
            <w:r w:rsidRPr="363CA695">
              <w:rPr>
                <w:sz w:val="20"/>
                <w:szCs w:val="20"/>
              </w:rPr>
              <w:t xml:space="preserve">performs recruitment or procurement and signs the contract according to its own regulations and rules. The </w:t>
            </w:r>
            <w:r w:rsidR="006D76E5" w:rsidRPr="363CA695">
              <w:rPr>
                <w:sz w:val="20"/>
                <w:szCs w:val="20"/>
              </w:rPr>
              <w:t xml:space="preserve">Partner </w:t>
            </w:r>
            <w:r w:rsidRPr="363CA695">
              <w:rPr>
                <w:sz w:val="20"/>
                <w:szCs w:val="20"/>
              </w:rPr>
              <w:t xml:space="preserve">assumes responsibility for the contracting process and is responsible for project expenses. </w:t>
            </w:r>
          </w:p>
        </w:tc>
      </w:tr>
      <w:tr w:rsidR="00714DA8" w:rsidRPr="00714DA8" w14:paraId="3981633E" w14:textId="77777777" w:rsidTr="3C69308B">
        <w:trPr>
          <w:trHeight w:val="20"/>
        </w:trPr>
        <w:tc>
          <w:tcPr>
            <w:tcW w:w="1082" w:type="dxa"/>
          </w:tcPr>
          <w:p w14:paraId="3222D7C4" w14:textId="7D12FF06" w:rsidR="00714DA8" w:rsidRPr="00714DA8" w:rsidRDefault="00512AE1" w:rsidP="004943D0">
            <w:pPr>
              <w:rPr>
                <w:sz w:val="20"/>
                <w:szCs w:val="20"/>
              </w:rPr>
            </w:pPr>
            <w:r>
              <w:rPr>
                <w:sz w:val="20"/>
                <w:szCs w:val="20"/>
              </w:rPr>
              <w:t>Internal control assessment</w:t>
            </w:r>
          </w:p>
        </w:tc>
        <w:tc>
          <w:tcPr>
            <w:tcW w:w="8813" w:type="dxa"/>
          </w:tcPr>
          <w:p w14:paraId="7DBC3D1C" w14:textId="002214DE" w:rsidR="00714DA8" w:rsidRPr="00714DA8" w:rsidRDefault="00512AE1" w:rsidP="363CA695">
            <w:pPr>
              <w:rPr>
                <w:sz w:val="20"/>
                <w:szCs w:val="20"/>
              </w:rPr>
            </w:pPr>
            <w:r w:rsidRPr="363CA695">
              <w:rPr>
                <w:sz w:val="20"/>
                <w:szCs w:val="20"/>
                <w:u w:val="single"/>
              </w:rPr>
              <w:t>Direct payment pre-requisite:</w:t>
            </w:r>
            <w:r w:rsidRPr="363CA695">
              <w:rPr>
                <w:sz w:val="20"/>
                <w:szCs w:val="20"/>
              </w:rPr>
              <w:t xml:space="preserve"> </w:t>
            </w:r>
            <w:r w:rsidR="00714DA8" w:rsidRPr="363CA695">
              <w:rPr>
                <w:sz w:val="20"/>
                <w:szCs w:val="20"/>
              </w:rPr>
              <w:t>The dir</w:t>
            </w:r>
            <w:r w:rsidR="00714DA8" w:rsidRPr="00D2258D">
              <w:rPr>
                <w:sz w:val="20"/>
                <w:szCs w:val="20"/>
              </w:rPr>
              <w:t xml:space="preserve">ect payment modality </w:t>
            </w:r>
            <w:r w:rsidR="006D76E5" w:rsidRPr="00D2258D">
              <w:rPr>
                <w:sz w:val="20"/>
                <w:szCs w:val="20"/>
              </w:rPr>
              <w:t>may be at the request of the Partner</w:t>
            </w:r>
            <w:r w:rsidR="00D36B23" w:rsidRPr="00D2258D">
              <w:rPr>
                <w:sz w:val="20"/>
                <w:szCs w:val="20"/>
              </w:rPr>
              <w:t>,</w:t>
            </w:r>
            <w:r w:rsidR="006D76E5" w:rsidRPr="00D2258D">
              <w:rPr>
                <w:sz w:val="20"/>
                <w:szCs w:val="20"/>
              </w:rPr>
              <w:t xml:space="preserve"> or </w:t>
            </w:r>
            <w:proofErr w:type="gramStart"/>
            <w:r w:rsidR="006D76E5" w:rsidRPr="00D2258D">
              <w:rPr>
                <w:sz w:val="20"/>
                <w:szCs w:val="20"/>
              </w:rPr>
              <w:t>as a result of</w:t>
            </w:r>
            <w:proofErr w:type="gramEnd"/>
            <w:r w:rsidR="006D76E5" w:rsidRPr="00D2258D">
              <w:rPr>
                <w:sz w:val="20"/>
                <w:szCs w:val="20"/>
              </w:rPr>
              <w:t xml:space="preserve"> the Partner’s risk profile</w:t>
            </w:r>
            <w:r w:rsidR="00714DA8" w:rsidRPr="00D2258D">
              <w:rPr>
                <w:sz w:val="20"/>
                <w:szCs w:val="20"/>
              </w:rPr>
              <w:t xml:space="preserve"> </w:t>
            </w:r>
            <w:r w:rsidR="006D76E5" w:rsidRPr="00D2258D">
              <w:rPr>
                <w:sz w:val="20"/>
                <w:szCs w:val="20"/>
              </w:rPr>
              <w:t xml:space="preserve">determined through HACT micro-assessment, which includes </w:t>
            </w:r>
            <w:r w:rsidR="00714DA8" w:rsidRPr="00D2258D">
              <w:rPr>
                <w:sz w:val="20"/>
                <w:szCs w:val="20"/>
              </w:rPr>
              <w:t>an assessment of internal control</w:t>
            </w:r>
            <w:r w:rsidR="006D76E5" w:rsidRPr="00D2258D">
              <w:rPr>
                <w:sz w:val="20"/>
                <w:szCs w:val="20"/>
              </w:rPr>
              <w:t>.</w:t>
            </w:r>
          </w:p>
        </w:tc>
      </w:tr>
      <w:tr w:rsidR="00714DA8" w:rsidRPr="00714DA8" w14:paraId="290149B9" w14:textId="77777777" w:rsidTr="3C69308B">
        <w:trPr>
          <w:trHeight w:val="20"/>
        </w:trPr>
        <w:tc>
          <w:tcPr>
            <w:tcW w:w="9895" w:type="dxa"/>
            <w:gridSpan w:val="2"/>
            <w:shd w:val="clear" w:color="auto" w:fill="BFBFBF" w:themeFill="background1" w:themeFillShade="BF"/>
          </w:tcPr>
          <w:p w14:paraId="6CF5B3D8" w14:textId="185BB317" w:rsidR="00714DA8" w:rsidRPr="00714DA8" w:rsidRDefault="00714DA8" w:rsidP="00CF32EB">
            <w:pPr>
              <w:rPr>
                <w:b/>
                <w:bCs/>
                <w:sz w:val="20"/>
                <w:szCs w:val="20"/>
              </w:rPr>
            </w:pPr>
            <w:r w:rsidRPr="00714DA8">
              <w:rPr>
                <w:b/>
                <w:bCs/>
                <w:sz w:val="20"/>
                <w:szCs w:val="20"/>
              </w:rPr>
              <w:t xml:space="preserve">Responsibilities </w:t>
            </w:r>
            <w:r w:rsidR="00512AE1">
              <w:rPr>
                <w:b/>
                <w:bCs/>
                <w:sz w:val="20"/>
                <w:szCs w:val="20"/>
              </w:rPr>
              <w:t xml:space="preserve">of the </w:t>
            </w:r>
            <w:r w:rsidR="0036789A">
              <w:rPr>
                <w:b/>
                <w:bCs/>
                <w:sz w:val="20"/>
                <w:szCs w:val="20"/>
              </w:rPr>
              <w:t>Partner</w:t>
            </w:r>
          </w:p>
        </w:tc>
      </w:tr>
      <w:tr w:rsidR="00714DA8" w:rsidRPr="00714DA8" w14:paraId="25C2901C" w14:textId="77777777" w:rsidTr="3C69308B">
        <w:trPr>
          <w:trHeight w:val="20"/>
        </w:trPr>
        <w:tc>
          <w:tcPr>
            <w:tcW w:w="1082" w:type="dxa"/>
          </w:tcPr>
          <w:p w14:paraId="3176198C" w14:textId="59960091" w:rsidR="00714DA8" w:rsidRPr="00714DA8" w:rsidRDefault="0036789A" w:rsidP="00CF32EB">
            <w:pPr>
              <w:rPr>
                <w:sz w:val="20"/>
                <w:szCs w:val="20"/>
              </w:rPr>
            </w:pPr>
            <w:r>
              <w:rPr>
                <w:sz w:val="20"/>
                <w:szCs w:val="20"/>
              </w:rPr>
              <w:t>Partner</w:t>
            </w:r>
          </w:p>
        </w:tc>
        <w:tc>
          <w:tcPr>
            <w:tcW w:w="8813" w:type="dxa"/>
          </w:tcPr>
          <w:p w14:paraId="4251E1A9" w14:textId="1790EE94" w:rsidR="00512AE1" w:rsidRDefault="00512AE1">
            <w:pPr>
              <w:pStyle w:val="ListParagraph"/>
              <w:numPr>
                <w:ilvl w:val="0"/>
                <w:numId w:val="86"/>
              </w:numPr>
              <w:rPr>
                <w:sz w:val="20"/>
                <w:szCs w:val="20"/>
              </w:rPr>
            </w:pPr>
            <w:r w:rsidRPr="00512AE1">
              <w:rPr>
                <w:sz w:val="20"/>
                <w:szCs w:val="20"/>
              </w:rPr>
              <w:t>Maintains all supporting documentation for commitments and expenses.</w:t>
            </w:r>
          </w:p>
          <w:p w14:paraId="33D9C769" w14:textId="2B89FCDC" w:rsidR="001D34C9" w:rsidRPr="00D2258D" w:rsidRDefault="001D34C9">
            <w:pPr>
              <w:pStyle w:val="ListParagraph"/>
              <w:numPr>
                <w:ilvl w:val="0"/>
                <w:numId w:val="86"/>
              </w:numPr>
              <w:rPr>
                <w:sz w:val="20"/>
                <w:szCs w:val="20"/>
              </w:rPr>
            </w:pPr>
            <w:r w:rsidRPr="00D2258D">
              <w:rPr>
                <w:sz w:val="20"/>
                <w:szCs w:val="20"/>
              </w:rPr>
              <w:t>Communicates to the UNDP CO who is authorized to approve payment requests for submission to UNDP.</w:t>
            </w:r>
          </w:p>
          <w:p w14:paraId="5A4AE8E2" w14:textId="6AA08F0B" w:rsidR="00512AE1" w:rsidRPr="00512AE1" w:rsidRDefault="00512AE1">
            <w:pPr>
              <w:pStyle w:val="ListParagraph"/>
              <w:numPr>
                <w:ilvl w:val="0"/>
                <w:numId w:val="86"/>
              </w:numPr>
              <w:rPr>
                <w:sz w:val="20"/>
                <w:szCs w:val="20"/>
              </w:rPr>
            </w:pPr>
            <w:r w:rsidRPr="00512AE1">
              <w:rPr>
                <w:sz w:val="20"/>
                <w:szCs w:val="20"/>
              </w:rPr>
              <w:t xml:space="preserve">Sends approved direct payment requests to the UNDP CO through the </w:t>
            </w:r>
            <w:r w:rsidR="0036789A">
              <w:rPr>
                <w:sz w:val="20"/>
                <w:szCs w:val="20"/>
              </w:rPr>
              <w:t>Partner</w:t>
            </w:r>
            <w:r w:rsidRPr="00512AE1">
              <w:rPr>
                <w:sz w:val="20"/>
                <w:szCs w:val="20"/>
              </w:rPr>
              <w:t>’s National Project Director</w:t>
            </w:r>
            <w:r>
              <w:rPr>
                <w:sz w:val="20"/>
                <w:szCs w:val="20"/>
              </w:rPr>
              <w:t>.</w:t>
            </w:r>
          </w:p>
          <w:p w14:paraId="1ABED373" w14:textId="65C394D8" w:rsidR="00714DA8" w:rsidRPr="00512AE1" w:rsidRDefault="00512AE1">
            <w:pPr>
              <w:pStyle w:val="ListParagraph"/>
              <w:numPr>
                <w:ilvl w:val="0"/>
                <w:numId w:val="86"/>
              </w:numPr>
              <w:rPr>
                <w:sz w:val="20"/>
                <w:szCs w:val="20"/>
              </w:rPr>
            </w:pPr>
            <w:r w:rsidRPr="363CA695">
              <w:rPr>
                <w:sz w:val="20"/>
                <w:szCs w:val="20"/>
              </w:rPr>
              <w:t xml:space="preserve">At its option, </w:t>
            </w:r>
            <w:proofErr w:type="gramStart"/>
            <w:r w:rsidRPr="363CA695">
              <w:rPr>
                <w:sz w:val="20"/>
                <w:szCs w:val="20"/>
              </w:rPr>
              <w:t>the UNDP</w:t>
            </w:r>
            <w:proofErr w:type="gramEnd"/>
            <w:r w:rsidRPr="363CA695">
              <w:rPr>
                <w:sz w:val="20"/>
                <w:szCs w:val="20"/>
              </w:rPr>
              <w:t xml:space="preserve"> CO may require the </w:t>
            </w:r>
            <w:r w:rsidR="0036789A" w:rsidRPr="363CA695">
              <w:rPr>
                <w:sz w:val="20"/>
                <w:szCs w:val="20"/>
              </w:rPr>
              <w:t>Partner</w:t>
            </w:r>
            <w:r w:rsidRPr="363CA695">
              <w:rPr>
                <w:sz w:val="20"/>
                <w:szCs w:val="20"/>
              </w:rPr>
              <w:t xml:space="preserve"> to submit supporting documentation for the payment so that the office</w:t>
            </w:r>
            <w:r w:rsidR="00356A22" w:rsidRPr="363CA695">
              <w:rPr>
                <w:sz w:val="20"/>
                <w:szCs w:val="20"/>
              </w:rPr>
              <w:t>/unit</w:t>
            </w:r>
            <w:r w:rsidRPr="363CA695">
              <w:rPr>
                <w:sz w:val="20"/>
                <w:szCs w:val="20"/>
              </w:rPr>
              <w:t xml:space="preserve"> can monitor project activities on a transactional basis. Regardless, the </w:t>
            </w:r>
            <w:r w:rsidR="0036789A" w:rsidRPr="363CA695">
              <w:rPr>
                <w:sz w:val="20"/>
                <w:szCs w:val="20"/>
              </w:rPr>
              <w:t xml:space="preserve">Partner </w:t>
            </w:r>
            <w:r w:rsidRPr="363CA695">
              <w:rPr>
                <w:sz w:val="20"/>
                <w:szCs w:val="20"/>
              </w:rPr>
              <w:t xml:space="preserve">should send only copies &amp; should retain original documents in the </w:t>
            </w:r>
            <w:r w:rsidR="0036789A" w:rsidRPr="363CA695">
              <w:rPr>
                <w:sz w:val="20"/>
                <w:szCs w:val="20"/>
              </w:rPr>
              <w:t>Partner</w:t>
            </w:r>
            <w:r w:rsidRPr="363CA695">
              <w:rPr>
                <w:sz w:val="20"/>
                <w:szCs w:val="20"/>
              </w:rPr>
              <w:t>’s office for audit.</w:t>
            </w:r>
          </w:p>
        </w:tc>
      </w:tr>
      <w:tr w:rsidR="00714DA8" w:rsidRPr="00714DA8" w14:paraId="6D7E423E" w14:textId="77777777" w:rsidTr="3C69308B">
        <w:trPr>
          <w:trHeight w:val="20"/>
        </w:trPr>
        <w:tc>
          <w:tcPr>
            <w:tcW w:w="1082" w:type="dxa"/>
          </w:tcPr>
          <w:p w14:paraId="341F57E4" w14:textId="46696A61" w:rsidR="00714DA8" w:rsidRPr="00714DA8" w:rsidRDefault="00512AE1" w:rsidP="00CF32EB">
            <w:pPr>
              <w:rPr>
                <w:sz w:val="20"/>
                <w:szCs w:val="20"/>
              </w:rPr>
            </w:pPr>
            <w:r>
              <w:rPr>
                <w:sz w:val="20"/>
                <w:szCs w:val="20"/>
              </w:rPr>
              <w:t>CO</w:t>
            </w:r>
          </w:p>
        </w:tc>
        <w:tc>
          <w:tcPr>
            <w:tcW w:w="8813" w:type="dxa"/>
          </w:tcPr>
          <w:p w14:paraId="5ACC5433" w14:textId="1424506F" w:rsidR="00512AE1" w:rsidRPr="00D2258D" w:rsidRDefault="00512AE1" w:rsidP="00512AE1">
            <w:pPr>
              <w:rPr>
                <w:sz w:val="20"/>
                <w:szCs w:val="20"/>
              </w:rPr>
            </w:pPr>
            <w:r w:rsidRPr="002A1DC8">
              <w:rPr>
                <w:sz w:val="20"/>
                <w:szCs w:val="20"/>
              </w:rPr>
              <w:t>With Head of Office</w:t>
            </w:r>
            <w:r w:rsidR="00356A22" w:rsidRPr="00D2258D">
              <w:rPr>
                <w:sz w:val="20"/>
                <w:szCs w:val="20"/>
              </w:rPr>
              <w:t>/Unit</w:t>
            </w:r>
            <w:r w:rsidRPr="00D2258D">
              <w:rPr>
                <w:sz w:val="20"/>
                <w:szCs w:val="20"/>
              </w:rPr>
              <w:t xml:space="preserve"> or Deputy Head of Office</w:t>
            </w:r>
            <w:r w:rsidR="00356A22" w:rsidRPr="00D2258D">
              <w:rPr>
                <w:sz w:val="20"/>
                <w:szCs w:val="20"/>
              </w:rPr>
              <w:t>/Unit</w:t>
            </w:r>
            <w:r w:rsidRPr="00D2258D">
              <w:rPr>
                <w:sz w:val="20"/>
                <w:szCs w:val="20"/>
              </w:rPr>
              <w:t xml:space="preserve"> </w:t>
            </w:r>
            <w:r w:rsidR="00824DAB" w:rsidRPr="00D2258D">
              <w:rPr>
                <w:sz w:val="20"/>
                <w:szCs w:val="20"/>
              </w:rPr>
              <w:t xml:space="preserve">(or their designate) </w:t>
            </w:r>
            <w:r w:rsidRPr="00D2258D">
              <w:rPr>
                <w:sz w:val="20"/>
                <w:szCs w:val="20"/>
              </w:rPr>
              <w:t>authorization:</w:t>
            </w:r>
          </w:p>
          <w:p w14:paraId="6BC707E9" w14:textId="7B36EA33" w:rsidR="00512AE1" w:rsidRPr="00512AE1" w:rsidRDefault="001D34C9">
            <w:pPr>
              <w:pStyle w:val="ListParagraph"/>
              <w:numPr>
                <w:ilvl w:val="0"/>
                <w:numId w:val="87"/>
              </w:numPr>
              <w:rPr>
                <w:sz w:val="20"/>
                <w:szCs w:val="20"/>
              </w:rPr>
            </w:pPr>
            <w:r w:rsidRPr="00D2258D">
              <w:rPr>
                <w:sz w:val="20"/>
                <w:szCs w:val="20"/>
              </w:rPr>
              <w:t xml:space="preserve">Confirms the payment request is signed by an authorized Partner official and </w:t>
            </w:r>
            <w:r w:rsidR="0092374E" w:rsidRPr="00D2258D">
              <w:rPr>
                <w:sz w:val="20"/>
                <w:szCs w:val="20"/>
              </w:rPr>
              <w:t xml:space="preserve">based on </w:t>
            </w:r>
            <w:r w:rsidR="0036789A" w:rsidRPr="00D2258D">
              <w:rPr>
                <w:sz w:val="20"/>
                <w:szCs w:val="20"/>
              </w:rPr>
              <w:t>the Partner</w:t>
            </w:r>
            <w:r w:rsidR="00512AE1" w:rsidRPr="00D2258D">
              <w:rPr>
                <w:sz w:val="20"/>
                <w:szCs w:val="20"/>
              </w:rPr>
              <w:t>’s approved direct payment request creat</w:t>
            </w:r>
            <w:r w:rsidR="0092374E" w:rsidRPr="00D2258D">
              <w:rPr>
                <w:sz w:val="20"/>
                <w:szCs w:val="20"/>
              </w:rPr>
              <w:t>es</w:t>
            </w:r>
            <w:r w:rsidR="00512AE1" w:rsidRPr="00D2258D">
              <w:rPr>
                <w:sz w:val="20"/>
                <w:szCs w:val="20"/>
              </w:rPr>
              <w:t xml:space="preserve"> and </w:t>
            </w:r>
            <w:r w:rsidR="0092374E" w:rsidRPr="00D2258D">
              <w:rPr>
                <w:sz w:val="20"/>
                <w:szCs w:val="20"/>
              </w:rPr>
              <w:t xml:space="preserve">performs first </w:t>
            </w:r>
            <w:r w:rsidR="00512AE1" w:rsidRPr="00D2258D">
              <w:rPr>
                <w:sz w:val="20"/>
                <w:szCs w:val="20"/>
              </w:rPr>
              <w:t xml:space="preserve">approval of the </w:t>
            </w:r>
            <w:r w:rsidR="00512AE1" w:rsidRPr="00512AE1">
              <w:rPr>
                <w:sz w:val="20"/>
                <w:szCs w:val="20"/>
              </w:rPr>
              <w:t xml:space="preserve">invoice for payment since the </w:t>
            </w:r>
            <w:r w:rsidR="0036789A">
              <w:rPr>
                <w:sz w:val="20"/>
                <w:szCs w:val="20"/>
              </w:rPr>
              <w:t>Partner</w:t>
            </w:r>
            <w:r w:rsidR="00512AE1" w:rsidRPr="00512AE1">
              <w:rPr>
                <w:sz w:val="20"/>
                <w:szCs w:val="20"/>
              </w:rPr>
              <w:t xml:space="preserve"> does not have access to Quantum.</w:t>
            </w:r>
          </w:p>
          <w:p w14:paraId="4D875840" w14:textId="15368E18" w:rsidR="00512AE1" w:rsidRPr="00512AE1" w:rsidRDefault="00512AE1">
            <w:pPr>
              <w:pStyle w:val="ListParagraph"/>
              <w:numPr>
                <w:ilvl w:val="0"/>
                <w:numId w:val="87"/>
              </w:numPr>
              <w:rPr>
                <w:sz w:val="20"/>
                <w:szCs w:val="20"/>
              </w:rPr>
            </w:pPr>
            <w:r w:rsidRPr="00512AE1">
              <w:rPr>
                <w:sz w:val="20"/>
                <w:szCs w:val="20"/>
              </w:rPr>
              <w:t>Monitoring project activities to ensure prompt detection of</w:t>
            </w:r>
            <w:r w:rsidR="00D92DFE">
              <w:rPr>
                <w:sz w:val="20"/>
                <w:szCs w:val="20"/>
              </w:rPr>
              <w:t xml:space="preserve"> </w:t>
            </w:r>
            <w:r w:rsidRPr="00512AE1">
              <w:rPr>
                <w:sz w:val="20"/>
                <w:szCs w:val="20"/>
              </w:rPr>
              <w:t>deviations from project workplan</w:t>
            </w:r>
            <w:r w:rsidR="00D92DFE">
              <w:rPr>
                <w:sz w:val="20"/>
                <w:szCs w:val="20"/>
              </w:rPr>
              <w:t>/</w:t>
            </w:r>
            <w:r w:rsidRPr="00512AE1">
              <w:rPr>
                <w:sz w:val="20"/>
                <w:szCs w:val="20"/>
              </w:rPr>
              <w:t>budget.</w:t>
            </w:r>
          </w:p>
          <w:p w14:paraId="317B97E0" w14:textId="68CDC3A9" w:rsidR="00714DA8" w:rsidRPr="00512AE1" w:rsidRDefault="00512AE1">
            <w:pPr>
              <w:pStyle w:val="ListParagraph"/>
              <w:numPr>
                <w:ilvl w:val="0"/>
                <w:numId w:val="87"/>
              </w:numPr>
              <w:rPr>
                <w:sz w:val="20"/>
                <w:szCs w:val="20"/>
              </w:rPr>
            </w:pPr>
            <w:r w:rsidRPr="00512AE1">
              <w:rPr>
                <w:sz w:val="20"/>
                <w:szCs w:val="20"/>
              </w:rPr>
              <w:t xml:space="preserve">Arranging </w:t>
            </w:r>
            <w:r w:rsidR="00824124">
              <w:rPr>
                <w:sz w:val="20"/>
                <w:szCs w:val="20"/>
              </w:rPr>
              <w:t>assurance activities</w:t>
            </w:r>
            <w:r w:rsidRPr="00512AE1">
              <w:rPr>
                <w:sz w:val="20"/>
                <w:szCs w:val="20"/>
              </w:rPr>
              <w:t xml:space="preserve"> of the </w:t>
            </w:r>
            <w:r w:rsidR="0036789A">
              <w:rPr>
                <w:sz w:val="20"/>
                <w:szCs w:val="20"/>
              </w:rPr>
              <w:t>Partner</w:t>
            </w:r>
            <w:r w:rsidRPr="00512AE1">
              <w:rPr>
                <w:sz w:val="20"/>
                <w:szCs w:val="20"/>
              </w:rPr>
              <w:t xml:space="preserve"> </w:t>
            </w:r>
            <w:r w:rsidR="00824124">
              <w:rPr>
                <w:sz w:val="20"/>
                <w:szCs w:val="20"/>
              </w:rPr>
              <w:t xml:space="preserve">in line with </w:t>
            </w:r>
            <w:hyperlink r:id="rId194" w:history="1">
              <w:r w:rsidR="00824124" w:rsidRPr="00824124">
                <w:rPr>
                  <w:rStyle w:val="Hyperlink"/>
                  <w:sz w:val="20"/>
                  <w:szCs w:val="20"/>
                </w:rPr>
                <w:t>POPP HACT</w:t>
              </w:r>
            </w:hyperlink>
            <w:r w:rsidR="00824124">
              <w:rPr>
                <w:sz w:val="20"/>
                <w:szCs w:val="20"/>
              </w:rPr>
              <w:t xml:space="preserve"> </w:t>
            </w:r>
            <w:r w:rsidRPr="00512AE1">
              <w:rPr>
                <w:sz w:val="20"/>
                <w:szCs w:val="20"/>
              </w:rPr>
              <w:t xml:space="preserve">to ensure internal controls are adequate and that UNDP resources are used for purposes intended. </w:t>
            </w:r>
          </w:p>
        </w:tc>
      </w:tr>
    </w:tbl>
    <w:p w14:paraId="418ED5D0" w14:textId="77777777" w:rsidR="00D92DFE" w:rsidRDefault="00D92DFE" w:rsidP="00714DA8">
      <w:pPr>
        <w:pStyle w:val="ListParagraph"/>
        <w:ind w:left="360"/>
      </w:pPr>
    </w:p>
    <w:tbl>
      <w:tblPr>
        <w:tblStyle w:val="TableGrid"/>
        <w:tblW w:w="9895" w:type="dxa"/>
        <w:tblCellMar>
          <w:left w:w="72" w:type="dxa"/>
          <w:bottom w:w="43" w:type="dxa"/>
          <w:right w:w="72" w:type="dxa"/>
        </w:tblCellMar>
        <w:tblLook w:val="04A0" w:firstRow="1" w:lastRow="0" w:firstColumn="1" w:lastColumn="0" w:noHBand="0" w:noVBand="1"/>
      </w:tblPr>
      <w:tblGrid>
        <w:gridCol w:w="1435"/>
        <w:gridCol w:w="8460"/>
      </w:tblGrid>
      <w:tr w:rsidR="00B95305" w:rsidRPr="007732BA" w14:paraId="0D600CC7" w14:textId="77777777" w:rsidTr="363CA695">
        <w:trPr>
          <w:trHeight w:val="20"/>
          <w:tblHeader/>
        </w:trPr>
        <w:tc>
          <w:tcPr>
            <w:tcW w:w="9895" w:type="dxa"/>
            <w:gridSpan w:val="2"/>
            <w:shd w:val="clear" w:color="auto" w:fill="002060"/>
          </w:tcPr>
          <w:p w14:paraId="1C33E189" w14:textId="4A85C533" w:rsidR="00B95305" w:rsidRPr="007732BA" w:rsidRDefault="00B95305">
            <w:pPr>
              <w:pStyle w:val="ListParagraph"/>
              <w:widowControl w:val="0"/>
              <w:numPr>
                <w:ilvl w:val="0"/>
                <w:numId w:val="85"/>
              </w:numPr>
              <w:autoSpaceDE w:val="0"/>
              <w:autoSpaceDN w:val="0"/>
              <w:contextualSpacing w:val="0"/>
              <w:rPr>
                <w:b/>
                <w:bCs/>
                <w:sz w:val="20"/>
                <w:szCs w:val="20"/>
              </w:rPr>
            </w:pPr>
            <w:r w:rsidRPr="007732BA">
              <w:rPr>
                <w:b/>
                <w:bCs/>
                <w:sz w:val="20"/>
                <w:szCs w:val="20"/>
              </w:rPr>
              <w:t xml:space="preserve">CO support services provided to a </w:t>
            </w:r>
            <w:r w:rsidR="0036789A">
              <w:rPr>
                <w:b/>
                <w:bCs/>
                <w:sz w:val="20"/>
                <w:szCs w:val="20"/>
              </w:rPr>
              <w:t>Partner</w:t>
            </w:r>
          </w:p>
        </w:tc>
      </w:tr>
      <w:tr w:rsidR="00B95305" w:rsidRPr="006B395F" w14:paraId="2A992464" w14:textId="77777777" w:rsidTr="363CA695">
        <w:trPr>
          <w:trHeight w:val="20"/>
        </w:trPr>
        <w:tc>
          <w:tcPr>
            <w:tcW w:w="1435" w:type="dxa"/>
          </w:tcPr>
          <w:p w14:paraId="38D6F720" w14:textId="77777777" w:rsidR="00B95305" w:rsidRPr="007732BA" w:rsidRDefault="00B95305">
            <w:pPr>
              <w:rPr>
                <w:sz w:val="20"/>
                <w:szCs w:val="20"/>
              </w:rPr>
            </w:pPr>
            <w:r w:rsidRPr="007732BA">
              <w:rPr>
                <w:sz w:val="20"/>
                <w:szCs w:val="20"/>
              </w:rPr>
              <w:t>What it covers</w:t>
            </w:r>
          </w:p>
        </w:tc>
        <w:tc>
          <w:tcPr>
            <w:tcW w:w="8460" w:type="dxa"/>
          </w:tcPr>
          <w:p w14:paraId="29D34F62" w14:textId="362F503C" w:rsidR="00B95305" w:rsidRPr="006B395F" w:rsidRDefault="00B95305">
            <w:pPr>
              <w:rPr>
                <w:sz w:val="20"/>
                <w:szCs w:val="20"/>
              </w:rPr>
            </w:pPr>
            <w:r w:rsidRPr="007732BA">
              <w:rPr>
                <w:sz w:val="20"/>
                <w:szCs w:val="20"/>
              </w:rPr>
              <w:t xml:space="preserve">This section applies only to ‘CO support services’ </w:t>
            </w:r>
            <w:r>
              <w:rPr>
                <w:sz w:val="20"/>
                <w:szCs w:val="20"/>
              </w:rPr>
              <w:t>(such as p</w:t>
            </w:r>
            <w:r w:rsidRPr="00C71E80">
              <w:rPr>
                <w:sz w:val="20"/>
                <w:szCs w:val="20"/>
              </w:rPr>
              <w:t>rocurement, recruitment, and trav</w:t>
            </w:r>
            <w:r>
              <w:rPr>
                <w:sz w:val="20"/>
                <w:szCs w:val="20"/>
              </w:rPr>
              <w:t xml:space="preserve">el) </w:t>
            </w:r>
            <w:r w:rsidRPr="007732BA">
              <w:rPr>
                <w:sz w:val="20"/>
                <w:szCs w:val="20"/>
              </w:rPr>
              <w:t xml:space="preserve">provided to the </w:t>
            </w:r>
            <w:r w:rsidR="0036789A">
              <w:rPr>
                <w:sz w:val="20"/>
                <w:szCs w:val="20"/>
              </w:rPr>
              <w:t>Partner</w:t>
            </w:r>
            <w:r>
              <w:rPr>
                <w:sz w:val="20"/>
                <w:szCs w:val="20"/>
              </w:rPr>
              <w:t xml:space="preserve"> at the request of the </w:t>
            </w:r>
            <w:r w:rsidR="0036789A">
              <w:rPr>
                <w:sz w:val="20"/>
                <w:szCs w:val="20"/>
              </w:rPr>
              <w:t>Partner</w:t>
            </w:r>
            <w:r w:rsidRPr="007732BA">
              <w:rPr>
                <w:sz w:val="20"/>
                <w:szCs w:val="20"/>
              </w:rPr>
              <w:t>, that is</w:t>
            </w:r>
            <w:r>
              <w:rPr>
                <w:sz w:val="20"/>
                <w:szCs w:val="20"/>
              </w:rPr>
              <w:t>:</w:t>
            </w:r>
            <w:r w:rsidRPr="007732BA">
              <w:rPr>
                <w:sz w:val="20"/>
                <w:szCs w:val="20"/>
              </w:rPr>
              <w:t xml:space="preserve"> cases in which the UNDP CO assumes responsibility for the contracting process performed according to UNDP’s FRRs &amp; POPP</w:t>
            </w:r>
            <w:r w:rsidRPr="007732BA">
              <w:rPr>
                <w:rStyle w:val="FootnoteReference"/>
                <w:sz w:val="20"/>
                <w:szCs w:val="20"/>
              </w:rPr>
              <w:footnoteReference w:id="41"/>
            </w:r>
            <w:r w:rsidRPr="007732BA">
              <w:rPr>
                <w:sz w:val="20"/>
                <w:szCs w:val="20"/>
              </w:rPr>
              <w:t>.</w:t>
            </w:r>
          </w:p>
        </w:tc>
      </w:tr>
      <w:tr w:rsidR="00B95305" w:rsidRPr="007732BA" w14:paraId="70C8A7B1" w14:textId="77777777" w:rsidTr="363CA695">
        <w:trPr>
          <w:trHeight w:val="20"/>
        </w:trPr>
        <w:tc>
          <w:tcPr>
            <w:tcW w:w="9895" w:type="dxa"/>
            <w:gridSpan w:val="2"/>
            <w:shd w:val="clear" w:color="auto" w:fill="BFBFBF" w:themeFill="background1" w:themeFillShade="BF"/>
          </w:tcPr>
          <w:p w14:paraId="5015D63C" w14:textId="4E8B8332" w:rsidR="00B95305" w:rsidRPr="00D2258D" w:rsidRDefault="006D76E5">
            <w:pPr>
              <w:rPr>
                <w:b/>
                <w:bCs/>
                <w:sz w:val="20"/>
                <w:szCs w:val="20"/>
              </w:rPr>
            </w:pPr>
            <w:r w:rsidRPr="00D2258D">
              <w:rPr>
                <w:b/>
                <w:bCs/>
                <w:sz w:val="20"/>
                <w:szCs w:val="20"/>
              </w:rPr>
              <w:t>Responsibilities of</w:t>
            </w:r>
            <w:r w:rsidR="00D20AF7" w:rsidRPr="00D2258D">
              <w:rPr>
                <w:b/>
                <w:bCs/>
                <w:sz w:val="20"/>
                <w:szCs w:val="20"/>
              </w:rPr>
              <w:t xml:space="preserve"> UNDP</w:t>
            </w:r>
            <w:r w:rsidR="009B4AEE" w:rsidRPr="00D2258D">
              <w:rPr>
                <w:rStyle w:val="FootnoteReference"/>
                <w:b/>
                <w:bCs/>
                <w:sz w:val="20"/>
                <w:szCs w:val="20"/>
              </w:rPr>
              <w:footnoteReference w:id="42"/>
            </w:r>
          </w:p>
        </w:tc>
      </w:tr>
      <w:tr w:rsidR="00B95305" w:rsidRPr="007732BA" w14:paraId="626E13F8" w14:textId="77777777" w:rsidTr="363CA695">
        <w:trPr>
          <w:trHeight w:val="20"/>
        </w:trPr>
        <w:tc>
          <w:tcPr>
            <w:tcW w:w="1435" w:type="dxa"/>
          </w:tcPr>
          <w:p w14:paraId="2FD6D1C2" w14:textId="77777777" w:rsidR="00B95305" w:rsidRPr="00D2258D" w:rsidRDefault="00B95305">
            <w:pPr>
              <w:rPr>
                <w:sz w:val="20"/>
                <w:szCs w:val="20"/>
              </w:rPr>
            </w:pPr>
            <w:r w:rsidRPr="00D2258D">
              <w:rPr>
                <w:sz w:val="20"/>
                <w:szCs w:val="20"/>
              </w:rPr>
              <w:t>CO</w:t>
            </w:r>
          </w:p>
        </w:tc>
        <w:tc>
          <w:tcPr>
            <w:tcW w:w="8460" w:type="dxa"/>
          </w:tcPr>
          <w:p w14:paraId="5F39CE26" w14:textId="77777777" w:rsidR="00B95305" w:rsidRPr="00D2258D" w:rsidRDefault="00B95305">
            <w:pPr>
              <w:pStyle w:val="ListParagraph"/>
              <w:numPr>
                <w:ilvl w:val="0"/>
                <w:numId w:val="87"/>
              </w:numPr>
              <w:rPr>
                <w:sz w:val="20"/>
                <w:szCs w:val="20"/>
              </w:rPr>
            </w:pPr>
            <w:r w:rsidRPr="00D2258D">
              <w:rPr>
                <w:sz w:val="20"/>
                <w:szCs w:val="20"/>
              </w:rPr>
              <w:t>Undertakes the procurement process.</w:t>
            </w:r>
          </w:p>
          <w:p w14:paraId="47A67D5E" w14:textId="44335682" w:rsidR="00B95305" w:rsidRPr="00D2258D" w:rsidRDefault="00B95305">
            <w:pPr>
              <w:pStyle w:val="ListParagraph"/>
              <w:numPr>
                <w:ilvl w:val="0"/>
                <w:numId w:val="87"/>
              </w:numPr>
              <w:rPr>
                <w:sz w:val="20"/>
                <w:szCs w:val="20"/>
              </w:rPr>
            </w:pPr>
            <w:r w:rsidRPr="00D2258D">
              <w:rPr>
                <w:sz w:val="20"/>
                <w:szCs w:val="20"/>
              </w:rPr>
              <w:t>Creates supplier and performs L1 approval in accordance with POPP Supplier Management.</w:t>
            </w:r>
          </w:p>
          <w:p w14:paraId="592458C3" w14:textId="77777777" w:rsidR="00B95305" w:rsidRPr="00D2258D" w:rsidRDefault="00B95305">
            <w:pPr>
              <w:pStyle w:val="ListParagraph"/>
              <w:numPr>
                <w:ilvl w:val="0"/>
                <w:numId w:val="87"/>
              </w:numPr>
              <w:rPr>
                <w:sz w:val="20"/>
                <w:szCs w:val="20"/>
              </w:rPr>
            </w:pPr>
            <w:r w:rsidRPr="00D2258D">
              <w:rPr>
                <w:sz w:val="20"/>
                <w:szCs w:val="20"/>
              </w:rPr>
              <w:t>Creates and approves the PO.</w:t>
            </w:r>
          </w:p>
        </w:tc>
      </w:tr>
      <w:tr w:rsidR="00B95305" w:rsidRPr="007732BA" w14:paraId="4EE0087D" w14:textId="77777777" w:rsidTr="363CA695">
        <w:trPr>
          <w:trHeight w:val="20"/>
        </w:trPr>
        <w:tc>
          <w:tcPr>
            <w:tcW w:w="1435" w:type="dxa"/>
          </w:tcPr>
          <w:p w14:paraId="3400F6D9" w14:textId="77777777" w:rsidR="00B95305" w:rsidRPr="007732BA" w:rsidRDefault="00B95305">
            <w:pPr>
              <w:rPr>
                <w:sz w:val="20"/>
                <w:szCs w:val="20"/>
              </w:rPr>
            </w:pPr>
            <w:r w:rsidRPr="007732BA">
              <w:rPr>
                <w:sz w:val="20"/>
                <w:szCs w:val="20"/>
              </w:rPr>
              <w:t>BMS/GSSC</w:t>
            </w:r>
          </w:p>
        </w:tc>
        <w:tc>
          <w:tcPr>
            <w:tcW w:w="8460" w:type="dxa"/>
          </w:tcPr>
          <w:p w14:paraId="240AAFEF" w14:textId="77777777" w:rsidR="00B95305" w:rsidRPr="00D2258D" w:rsidRDefault="00B95305">
            <w:pPr>
              <w:pStyle w:val="ListParagraph"/>
              <w:numPr>
                <w:ilvl w:val="0"/>
                <w:numId w:val="87"/>
              </w:numPr>
              <w:rPr>
                <w:sz w:val="20"/>
                <w:szCs w:val="20"/>
              </w:rPr>
            </w:pPr>
            <w:r w:rsidRPr="00D2258D">
              <w:rPr>
                <w:sz w:val="20"/>
                <w:szCs w:val="20"/>
              </w:rPr>
              <w:t>Performs L2 approval of the supplier.</w:t>
            </w:r>
          </w:p>
          <w:p w14:paraId="490C3A24" w14:textId="77777777" w:rsidR="00B95305" w:rsidRPr="007732BA" w:rsidRDefault="00B95305">
            <w:pPr>
              <w:pStyle w:val="ListParagraph"/>
              <w:numPr>
                <w:ilvl w:val="0"/>
                <w:numId w:val="87"/>
              </w:numPr>
              <w:rPr>
                <w:sz w:val="20"/>
                <w:szCs w:val="20"/>
              </w:rPr>
            </w:pPr>
            <w:r w:rsidRPr="007732BA">
              <w:rPr>
                <w:sz w:val="20"/>
                <w:szCs w:val="20"/>
              </w:rPr>
              <w:t>Approves the PO-based invoice for paymen</w:t>
            </w:r>
            <w:r>
              <w:rPr>
                <w:sz w:val="20"/>
                <w:szCs w:val="20"/>
              </w:rPr>
              <w:t xml:space="preserve">t </w:t>
            </w:r>
            <w:r w:rsidRPr="007732BA">
              <w:rPr>
                <w:sz w:val="20"/>
                <w:szCs w:val="20"/>
              </w:rPr>
              <w:t>via Quantum automated 3-way matching</w:t>
            </w:r>
            <w:r>
              <w:rPr>
                <w:sz w:val="20"/>
                <w:szCs w:val="20"/>
              </w:rPr>
              <w:t>.</w:t>
            </w:r>
          </w:p>
          <w:p w14:paraId="751F5A81" w14:textId="77777777" w:rsidR="00B95305" w:rsidRPr="007732BA" w:rsidRDefault="00B95305">
            <w:pPr>
              <w:pStyle w:val="ListParagraph"/>
              <w:numPr>
                <w:ilvl w:val="0"/>
                <w:numId w:val="87"/>
              </w:numPr>
              <w:rPr>
                <w:sz w:val="20"/>
                <w:szCs w:val="20"/>
              </w:rPr>
            </w:pPr>
            <w:r w:rsidRPr="007732BA">
              <w:rPr>
                <w:sz w:val="20"/>
                <w:szCs w:val="20"/>
              </w:rPr>
              <w:t>Disburses payment.</w:t>
            </w:r>
          </w:p>
        </w:tc>
      </w:tr>
      <w:bookmarkEnd w:id="110"/>
    </w:tbl>
    <w:p w14:paraId="25C88CB9" w14:textId="77777777" w:rsidR="001D7873" w:rsidRDefault="001D7873" w:rsidP="001D7873"/>
    <w:p w14:paraId="6F83CBE4" w14:textId="660AA8E5" w:rsidR="00245AD3" w:rsidRDefault="00CD46A1">
      <w:pPr>
        <w:pStyle w:val="Heading1"/>
        <w:numPr>
          <w:ilvl w:val="0"/>
          <w:numId w:val="92"/>
        </w:numPr>
        <w:spacing w:after="240"/>
      </w:pPr>
      <w:bookmarkStart w:id="113" w:name="_Toc210052793"/>
      <w:bookmarkEnd w:id="111"/>
      <w:r>
        <w:t>External Access Facility</w:t>
      </w:r>
      <w:bookmarkEnd w:id="113"/>
    </w:p>
    <w:p w14:paraId="3179D955" w14:textId="6E42B34B" w:rsidR="00CD46A1" w:rsidRDefault="00CD46A1" w:rsidP="363CA695">
      <w:pPr>
        <w:spacing w:line="240" w:lineRule="auto"/>
        <w:rPr>
          <w:color w:val="ED7D31" w:themeColor="accent2"/>
        </w:rPr>
      </w:pPr>
      <w:r w:rsidRPr="00D2258D">
        <w:t xml:space="preserve">Representatives from IPs (Project Managers, General Users) may need to access and transact in Quantum to fulfill their project management responsibilities. However, since they are not UNDP staff members, they cannot </w:t>
      </w:r>
      <w:r w:rsidRPr="00D2258D">
        <w:lastRenderedPageBreak/>
        <w:t xml:space="preserve">access Quantum through a ‘single sign on’ access. To be able to perform their responsibilities, these IP representatives can be granted external access to Quantum through a POI </w:t>
      </w:r>
      <w:r w:rsidR="00C00376" w:rsidRPr="00D2258D">
        <w:t xml:space="preserve">(Contingent Worker) </w:t>
      </w:r>
      <w:r w:rsidRPr="00D2258D">
        <w:t xml:space="preserve">workflow in IDAM. </w:t>
      </w:r>
      <w:r w:rsidR="00C00376" w:rsidRPr="00D2258D">
        <w:t xml:space="preserve">Refer to the </w:t>
      </w:r>
      <w:hyperlink r:id="rId195">
        <w:r w:rsidR="00C00376" w:rsidRPr="363CA695">
          <w:rPr>
            <w:rStyle w:val="Hyperlink"/>
          </w:rPr>
          <w:t>External Access Step-by-Step Guide</w:t>
        </w:r>
      </w:hyperlink>
      <w:r w:rsidR="00EC70BF" w:rsidRPr="00D2258D">
        <w:t xml:space="preserve">. </w:t>
      </w:r>
      <w:r w:rsidR="00016669" w:rsidRPr="00D2258D">
        <w:t>There are two</w:t>
      </w:r>
      <w:r w:rsidR="00C00376" w:rsidRPr="00D2258D">
        <w:t xml:space="preserve"> external access</w:t>
      </w:r>
      <w:r w:rsidR="00016669" w:rsidRPr="00D2258D">
        <w:t xml:space="preserve"> user profiles that can be established</w:t>
      </w:r>
      <w:r w:rsidR="00C00376" w:rsidRPr="00D2258D">
        <w:t>, as follows:</w:t>
      </w:r>
    </w:p>
    <w:tbl>
      <w:tblPr>
        <w:tblStyle w:val="TableGrid"/>
        <w:tblW w:w="9432" w:type="dxa"/>
        <w:tblInd w:w="-5" w:type="dxa"/>
        <w:tblCellMar>
          <w:bottom w:w="43" w:type="dxa"/>
        </w:tblCellMar>
        <w:tblLook w:val="04A0" w:firstRow="1" w:lastRow="0" w:firstColumn="1" w:lastColumn="0" w:noHBand="0" w:noVBand="1"/>
      </w:tblPr>
      <w:tblGrid>
        <w:gridCol w:w="5760"/>
        <w:gridCol w:w="3672"/>
      </w:tblGrid>
      <w:tr w:rsidR="007B1BE3" w:rsidRPr="00016669" w14:paraId="5380566A" w14:textId="77777777" w:rsidTr="005C5A21">
        <w:trPr>
          <w:trHeight w:val="20"/>
          <w:tblHeader/>
        </w:trPr>
        <w:tc>
          <w:tcPr>
            <w:tcW w:w="5760" w:type="dxa"/>
            <w:shd w:val="clear" w:color="auto" w:fill="002060"/>
          </w:tcPr>
          <w:p w14:paraId="5F00E3AC" w14:textId="762ACBBC" w:rsidR="00016669" w:rsidRPr="00016669" w:rsidRDefault="00016669" w:rsidP="00016669">
            <w:pPr>
              <w:rPr>
                <w:b/>
                <w:bCs/>
                <w:sz w:val="20"/>
                <w:szCs w:val="20"/>
              </w:rPr>
            </w:pPr>
            <w:r w:rsidRPr="00016669">
              <w:rPr>
                <w:b/>
                <w:bCs/>
                <w:sz w:val="20"/>
                <w:szCs w:val="20"/>
              </w:rPr>
              <w:t>Operational user (Implementing Partner)</w:t>
            </w:r>
          </w:p>
        </w:tc>
        <w:tc>
          <w:tcPr>
            <w:tcW w:w="3672" w:type="dxa"/>
            <w:shd w:val="clear" w:color="auto" w:fill="002060"/>
          </w:tcPr>
          <w:p w14:paraId="402B2D94" w14:textId="0927CC9D" w:rsidR="00016669" w:rsidRPr="00016669" w:rsidRDefault="00016669" w:rsidP="00016669">
            <w:pPr>
              <w:rPr>
                <w:b/>
                <w:bCs/>
                <w:sz w:val="20"/>
                <w:szCs w:val="20"/>
              </w:rPr>
            </w:pPr>
            <w:r w:rsidRPr="00016669">
              <w:rPr>
                <w:b/>
                <w:bCs/>
                <w:sz w:val="20"/>
                <w:szCs w:val="20"/>
              </w:rPr>
              <w:t>Project Manager (Implementing Partner)</w:t>
            </w:r>
          </w:p>
        </w:tc>
      </w:tr>
      <w:tr w:rsidR="00016669" w:rsidRPr="00016669" w14:paraId="665E9B20" w14:textId="77777777" w:rsidTr="00491939">
        <w:trPr>
          <w:trHeight w:val="20"/>
        </w:trPr>
        <w:tc>
          <w:tcPr>
            <w:tcW w:w="5760" w:type="dxa"/>
          </w:tcPr>
          <w:p w14:paraId="4ACBB18C" w14:textId="61985053" w:rsidR="00016669" w:rsidRPr="00D2258D" w:rsidRDefault="00016669">
            <w:pPr>
              <w:pStyle w:val="ListParagraph"/>
              <w:numPr>
                <w:ilvl w:val="0"/>
                <w:numId w:val="96"/>
              </w:numPr>
              <w:rPr>
                <w:sz w:val="20"/>
                <w:szCs w:val="20"/>
              </w:rPr>
            </w:pPr>
            <w:r w:rsidRPr="00D2258D">
              <w:rPr>
                <w:sz w:val="20"/>
                <w:szCs w:val="20"/>
              </w:rPr>
              <w:t>Create and manage supplier data.</w:t>
            </w:r>
          </w:p>
          <w:p w14:paraId="03672D64" w14:textId="1F99786C" w:rsidR="00016669" w:rsidRPr="00D2258D" w:rsidRDefault="00016669">
            <w:pPr>
              <w:pStyle w:val="ListParagraph"/>
              <w:numPr>
                <w:ilvl w:val="0"/>
                <w:numId w:val="96"/>
              </w:numPr>
              <w:rPr>
                <w:sz w:val="20"/>
                <w:szCs w:val="20"/>
              </w:rPr>
            </w:pPr>
            <w:r w:rsidRPr="00D2258D">
              <w:rPr>
                <w:sz w:val="20"/>
                <w:szCs w:val="20"/>
              </w:rPr>
              <w:t xml:space="preserve">Create and manage </w:t>
            </w:r>
            <w:r w:rsidR="00C00376" w:rsidRPr="00D2258D">
              <w:rPr>
                <w:sz w:val="20"/>
                <w:szCs w:val="20"/>
              </w:rPr>
              <w:t>invoices.</w:t>
            </w:r>
          </w:p>
          <w:p w14:paraId="28450D87" w14:textId="0767007B" w:rsidR="00016669" w:rsidRPr="00D2258D" w:rsidRDefault="00016669">
            <w:pPr>
              <w:pStyle w:val="ListParagraph"/>
              <w:numPr>
                <w:ilvl w:val="0"/>
                <w:numId w:val="96"/>
              </w:numPr>
              <w:rPr>
                <w:sz w:val="20"/>
                <w:szCs w:val="20"/>
              </w:rPr>
            </w:pPr>
            <w:r w:rsidRPr="00D2258D">
              <w:rPr>
                <w:sz w:val="20"/>
                <w:szCs w:val="20"/>
              </w:rPr>
              <w:t>Create and manage E-requisitions.</w:t>
            </w:r>
          </w:p>
          <w:p w14:paraId="7C24B05B" w14:textId="480D606B" w:rsidR="00016669" w:rsidRPr="00D2258D" w:rsidRDefault="00016669">
            <w:pPr>
              <w:pStyle w:val="ListParagraph"/>
              <w:numPr>
                <w:ilvl w:val="0"/>
                <w:numId w:val="96"/>
              </w:numPr>
              <w:rPr>
                <w:sz w:val="20"/>
                <w:szCs w:val="20"/>
              </w:rPr>
            </w:pPr>
            <w:r w:rsidRPr="00D2258D">
              <w:rPr>
                <w:sz w:val="20"/>
                <w:szCs w:val="20"/>
              </w:rPr>
              <w:t>Apply receipts on PO related to requisition created by the user. </w:t>
            </w:r>
          </w:p>
          <w:p w14:paraId="268E9BBB" w14:textId="4826ACB9" w:rsidR="00016669" w:rsidRPr="00D2258D" w:rsidRDefault="00016669">
            <w:pPr>
              <w:pStyle w:val="ListParagraph"/>
              <w:numPr>
                <w:ilvl w:val="0"/>
                <w:numId w:val="96"/>
              </w:numPr>
              <w:rPr>
                <w:sz w:val="20"/>
                <w:szCs w:val="20"/>
              </w:rPr>
            </w:pPr>
            <w:r w:rsidRPr="00D2258D">
              <w:rPr>
                <w:sz w:val="20"/>
                <w:szCs w:val="20"/>
              </w:rPr>
              <w:t>Verify budget upon approval of E-requisitions.</w:t>
            </w:r>
          </w:p>
          <w:p w14:paraId="7D7FFD91" w14:textId="480529F7" w:rsidR="00016669" w:rsidRPr="00D2258D" w:rsidRDefault="00016669">
            <w:pPr>
              <w:pStyle w:val="ListParagraph"/>
              <w:numPr>
                <w:ilvl w:val="0"/>
                <w:numId w:val="96"/>
              </w:numPr>
              <w:rPr>
                <w:sz w:val="20"/>
                <w:szCs w:val="20"/>
              </w:rPr>
            </w:pPr>
            <w:r w:rsidRPr="00D2258D">
              <w:rPr>
                <w:sz w:val="20"/>
                <w:szCs w:val="20"/>
              </w:rPr>
              <w:t>Generate and review reports.</w:t>
            </w:r>
          </w:p>
        </w:tc>
        <w:tc>
          <w:tcPr>
            <w:tcW w:w="3672" w:type="dxa"/>
          </w:tcPr>
          <w:p w14:paraId="0A7E4675" w14:textId="530F32BA" w:rsidR="00016669" w:rsidRPr="00D2258D" w:rsidRDefault="00016669">
            <w:pPr>
              <w:pStyle w:val="ListParagraph"/>
              <w:numPr>
                <w:ilvl w:val="0"/>
                <w:numId w:val="97"/>
              </w:numPr>
              <w:rPr>
                <w:sz w:val="20"/>
                <w:szCs w:val="20"/>
              </w:rPr>
            </w:pPr>
            <w:r w:rsidRPr="00D2258D">
              <w:rPr>
                <w:sz w:val="20"/>
                <w:szCs w:val="20"/>
              </w:rPr>
              <w:t>Approve E-requisitions.</w:t>
            </w:r>
          </w:p>
          <w:p w14:paraId="2961A99B" w14:textId="0919F5D8" w:rsidR="00016669" w:rsidRPr="00D2258D" w:rsidRDefault="00016669">
            <w:pPr>
              <w:pStyle w:val="ListParagraph"/>
              <w:numPr>
                <w:ilvl w:val="0"/>
                <w:numId w:val="97"/>
              </w:numPr>
              <w:rPr>
                <w:sz w:val="20"/>
                <w:szCs w:val="20"/>
              </w:rPr>
            </w:pPr>
            <w:r w:rsidRPr="00D2258D">
              <w:rPr>
                <w:sz w:val="20"/>
                <w:szCs w:val="20"/>
              </w:rPr>
              <w:t>Project management and oversight.</w:t>
            </w:r>
          </w:p>
          <w:p w14:paraId="22B47481" w14:textId="43F92501" w:rsidR="00016669" w:rsidRPr="00D2258D" w:rsidRDefault="00016669">
            <w:pPr>
              <w:pStyle w:val="ListParagraph"/>
              <w:numPr>
                <w:ilvl w:val="0"/>
                <w:numId w:val="97"/>
              </w:numPr>
              <w:rPr>
                <w:sz w:val="20"/>
                <w:szCs w:val="20"/>
              </w:rPr>
            </w:pPr>
            <w:r w:rsidRPr="00D2258D">
              <w:rPr>
                <w:sz w:val="20"/>
                <w:szCs w:val="20"/>
              </w:rPr>
              <w:t>Generate and review reports.</w:t>
            </w:r>
          </w:p>
          <w:p w14:paraId="322F9472" w14:textId="77777777" w:rsidR="00016669" w:rsidRPr="00D2258D" w:rsidRDefault="00016669" w:rsidP="00016669">
            <w:pPr>
              <w:rPr>
                <w:sz w:val="20"/>
                <w:szCs w:val="20"/>
              </w:rPr>
            </w:pPr>
          </w:p>
        </w:tc>
      </w:tr>
      <w:tr w:rsidR="0082782F" w:rsidRPr="00016669" w14:paraId="564C2DAE" w14:textId="77777777" w:rsidTr="00C94684">
        <w:trPr>
          <w:trHeight w:val="20"/>
        </w:trPr>
        <w:tc>
          <w:tcPr>
            <w:tcW w:w="5760" w:type="dxa"/>
            <w:shd w:val="clear" w:color="auto" w:fill="E2EFD9" w:themeFill="accent6" w:themeFillTint="33"/>
          </w:tcPr>
          <w:p w14:paraId="3D7B003F" w14:textId="079FA468" w:rsidR="00C00376" w:rsidRPr="00D2258D" w:rsidRDefault="00C00376" w:rsidP="00C00376">
            <w:pPr>
              <w:rPr>
                <w:sz w:val="20"/>
                <w:szCs w:val="20"/>
              </w:rPr>
            </w:pPr>
            <w:r w:rsidRPr="00D2258D">
              <w:rPr>
                <w:b/>
                <w:bCs/>
                <w:sz w:val="20"/>
                <w:szCs w:val="20"/>
              </w:rPr>
              <w:t>IDAM Business Profiles:</w:t>
            </w:r>
            <w:r w:rsidRPr="00D2258D">
              <w:rPr>
                <w:sz w:val="20"/>
                <w:szCs w:val="20"/>
              </w:rPr>
              <w:t xml:space="preserve"> UN Procurement Requestor; UN Partner Supplier Administrator; UN Quantum External Access; UN External Access Accounts Payable Specialist</w:t>
            </w:r>
          </w:p>
        </w:tc>
        <w:tc>
          <w:tcPr>
            <w:tcW w:w="3672" w:type="dxa"/>
            <w:shd w:val="clear" w:color="auto" w:fill="E2EFD9" w:themeFill="accent6" w:themeFillTint="33"/>
          </w:tcPr>
          <w:p w14:paraId="32C54DF3" w14:textId="1E47D4FF" w:rsidR="00C00376" w:rsidRPr="00D2258D" w:rsidRDefault="00C00376" w:rsidP="00C00376">
            <w:pPr>
              <w:rPr>
                <w:sz w:val="20"/>
                <w:szCs w:val="20"/>
              </w:rPr>
            </w:pPr>
            <w:r w:rsidRPr="00D2258D">
              <w:rPr>
                <w:b/>
                <w:bCs/>
                <w:sz w:val="20"/>
                <w:szCs w:val="20"/>
              </w:rPr>
              <w:t>IDAM Business Profile:</w:t>
            </w:r>
            <w:r w:rsidRPr="00D2258D">
              <w:rPr>
                <w:sz w:val="20"/>
                <w:szCs w:val="20"/>
              </w:rPr>
              <w:t xml:space="preserve"> UN Quantum External Access</w:t>
            </w:r>
          </w:p>
        </w:tc>
      </w:tr>
    </w:tbl>
    <w:p w14:paraId="162EED2E" w14:textId="7293CF75" w:rsidR="000A2DF8" w:rsidRDefault="000A2DF8">
      <w:pPr>
        <w:pStyle w:val="Heading1"/>
        <w:numPr>
          <w:ilvl w:val="0"/>
          <w:numId w:val="92"/>
        </w:numPr>
        <w:spacing w:after="240"/>
      </w:pPr>
      <w:bookmarkStart w:id="114" w:name="_Management_Reports"/>
      <w:bookmarkStart w:id="115" w:name="_Toc210052794"/>
      <w:bookmarkEnd w:id="114"/>
      <w:r>
        <w:t>Management Reports</w:t>
      </w:r>
      <w:bookmarkEnd w:id="115"/>
    </w:p>
    <w:p w14:paraId="701AB75F" w14:textId="77777777" w:rsidR="000A2DF8" w:rsidRPr="00D2258D" w:rsidRDefault="000A2DF8" w:rsidP="000A2DF8">
      <w:pPr>
        <w:spacing w:line="240" w:lineRule="auto"/>
      </w:pPr>
      <w:r w:rsidRPr="00D2258D">
        <w:t>A range of Quantum reports and dashboards across business processes are available to enhance operational monitoring and analysis. While Quantum provides extensive “out-of-the-box” reporting capabilities, some reporting is supplemented with Power BI Reports generated through UNDP’s </w:t>
      </w:r>
      <w:hyperlink r:id="rId196" w:history="1">
        <w:r w:rsidRPr="00D2258D">
          <w:rPr>
            <w:rStyle w:val="Hyperlink"/>
            <w:color w:val="4472C4" w:themeColor="accent1"/>
          </w:rPr>
          <w:t>Unified Data Platform</w:t>
        </w:r>
      </w:hyperlink>
      <w:r w:rsidRPr="00D2258D">
        <w:t>, drawing on historical project data, for example. In general, operational reports are generated from Quantum, while analytical reports are available through Power BI. Some key reporting resources are provided below:</w:t>
      </w:r>
    </w:p>
    <w:p w14:paraId="4BF9A9ED" w14:textId="77777777" w:rsidR="000A2DF8" w:rsidRPr="00D2258D" w:rsidRDefault="000A2DF8">
      <w:pPr>
        <w:pStyle w:val="ListParagraph"/>
        <w:numPr>
          <w:ilvl w:val="0"/>
          <w:numId w:val="95"/>
        </w:numPr>
      </w:pPr>
      <w:hyperlink r:id="rId197" w:history="1">
        <w:r w:rsidRPr="00D2258D">
          <w:rPr>
            <w:rStyle w:val="Hyperlink"/>
            <w:color w:val="4472C4" w:themeColor="accent1"/>
          </w:rPr>
          <w:t>BMS/ITM Reports SharePoint site</w:t>
        </w:r>
      </w:hyperlink>
      <w:r w:rsidRPr="00D2258D">
        <w:t xml:space="preserve"> – provides Quantum navigation pathways and direct links to a range of reports for Finance, Procurement, Human Resources, Project &amp; Portfolio Management, and Travel. Please note that some reports are only accessible to functional specialists.</w:t>
      </w:r>
    </w:p>
    <w:p w14:paraId="43F8D106" w14:textId="77777777" w:rsidR="000A2DF8" w:rsidRPr="00D2258D" w:rsidRDefault="000A2DF8" w:rsidP="000A2DF8">
      <w:pPr>
        <w:pStyle w:val="ListParagraph"/>
        <w:ind w:left="360"/>
      </w:pPr>
    </w:p>
    <w:p w14:paraId="3B77AA8C" w14:textId="1C546796" w:rsidR="000A2DF8" w:rsidRPr="00D2258D" w:rsidRDefault="000A2DF8">
      <w:pPr>
        <w:pStyle w:val="ListParagraph"/>
        <w:numPr>
          <w:ilvl w:val="0"/>
          <w:numId w:val="95"/>
        </w:numPr>
        <w:spacing w:after="0"/>
      </w:pPr>
      <w:hyperlink r:id="rId198">
        <w:r w:rsidRPr="00D2258D">
          <w:rPr>
            <w:rStyle w:val="Hyperlink"/>
            <w:color w:val="4472C4" w:themeColor="accent1"/>
          </w:rPr>
          <w:t>BMS/OF</w:t>
        </w:r>
        <w:r w:rsidR="00A40A72">
          <w:rPr>
            <w:rStyle w:val="Hyperlink"/>
            <w:color w:val="4472C4" w:themeColor="accent1"/>
          </w:rPr>
          <w:t>R</w:t>
        </w:r>
        <w:r w:rsidRPr="00D2258D">
          <w:rPr>
            <w:rStyle w:val="Hyperlink"/>
            <w:color w:val="4472C4" w:themeColor="accent1"/>
          </w:rPr>
          <w:t>M SharePoint site</w:t>
        </w:r>
      </w:hyperlink>
      <w:r w:rsidRPr="00D2258D">
        <w:t xml:space="preserve"> – provides an overview of 20 key financial management reports and their purpose, with links to the report and associated user guides.</w:t>
      </w:r>
    </w:p>
    <w:p w14:paraId="5046D955" w14:textId="7DE90B91" w:rsidR="00175238" w:rsidRPr="00D2258D" w:rsidRDefault="00175238" w:rsidP="00175238">
      <w:pPr>
        <w:spacing w:after="0"/>
      </w:pPr>
    </w:p>
    <w:p w14:paraId="517F5D7B" w14:textId="11C1120B" w:rsidR="00175238" w:rsidRPr="00D2258D" w:rsidRDefault="00175238" w:rsidP="00175238">
      <w:pPr>
        <w:spacing w:after="0"/>
      </w:pPr>
      <w:r w:rsidRPr="00D2258D">
        <w:t xml:space="preserve">Legacy Atlas reports can be found </w:t>
      </w:r>
      <w:proofErr w:type="gramStart"/>
      <w:r w:rsidRPr="00D2258D">
        <w:t>at</w:t>
      </w:r>
      <w:proofErr w:type="gramEnd"/>
      <w:r w:rsidRPr="00D2258D">
        <w:t xml:space="preserve"> the following sites:</w:t>
      </w:r>
    </w:p>
    <w:p w14:paraId="44CCBF79" w14:textId="77777777" w:rsidR="00175238" w:rsidRPr="00D2258D" w:rsidRDefault="00175238" w:rsidP="00175238">
      <w:pPr>
        <w:spacing w:after="0"/>
      </w:pPr>
    </w:p>
    <w:p w14:paraId="2D659F53" w14:textId="42A97956" w:rsidR="00175238" w:rsidRPr="00D2258D" w:rsidRDefault="00175238">
      <w:pPr>
        <w:pStyle w:val="ListParagraph"/>
        <w:numPr>
          <w:ilvl w:val="0"/>
          <w:numId w:val="111"/>
        </w:numPr>
        <w:spacing w:after="0"/>
        <w:ind w:left="360"/>
      </w:pPr>
      <w:hyperlink r:id="rId199" w:history="1">
        <w:r w:rsidRPr="00D2258D">
          <w:rPr>
            <w:rStyle w:val="Hyperlink"/>
            <w:color w:val="4472C4" w:themeColor="accent1"/>
          </w:rPr>
          <w:t>BMS/OF</w:t>
        </w:r>
        <w:r w:rsidR="00A40A72">
          <w:rPr>
            <w:rStyle w:val="Hyperlink"/>
            <w:color w:val="4472C4" w:themeColor="accent1"/>
          </w:rPr>
          <w:t>R</w:t>
        </w:r>
        <w:r w:rsidRPr="00D2258D">
          <w:rPr>
            <w:rStyle w:val="Hyperlink"/>
            <w:color w:val="4472C4" w:themeColor="accent1"/>
          </w:rPr>
          <w:t>M Business Analytics SharePoint site</w:t>
        </w:r>
      </w:hyperlink>
      <w:r w:rsidRPr="00D2258D">
        <w:t xml:space="preserve"> – provides a list of key reports, along with a link to many more reports under the “Resources and Quick Links” tab on the left side of the page. </w:t>
      </w:r>
    </w:p>
    <w:p w14:paraId="4222E9F7" w14:textId="77777777" w:rsidR="00175238" w:rsidRPr="00D2258D" w:rsidRDefault="00175238" w:rsidP="00175238">
      <w:pPr>
        <w:spacing w:after="0"/>
      </w:pPr>
    </w:p>
    <w:p w14:paraId="6E33208A" w14:textId="5ED8FED4" w:rsidR="00175238" w:rsidRPr="00D2258D" w:rsidRDefault="00175238">
      <w:pPr>
        <w:pStyle w:val="ListParagraph"/>
        <w:numPr>
          <w:ilvl w:val="0"/>
          <w:numId w:val="111"/>
        </w:numPr>
        <w:spacing w:after="0"/>
        <w:ind w:left="360"/>
        <w:rPr>
          <w:color w:val="4472C4" w:themeColor="accent1"/>
        </w:rPr>
      </w:pPr>
      <w:hyperlink r:id="rId200" w:history="1">
        <w:r w:rsidRPr="00D2258D">
          <w:rPr>
            <w:rStyle w:val="Hyperlink"/>
            <w:color w:val="4472C4" w:themeColor="accent1"/>
          </w:rPr>
          <w:t>Executive Snapshot</w:t>
        </w:r>
      </w:hyperlink>
      <w:r w:rsidRPr="00D2258D">
        <w:rPr>
          <w:color w:val="4472C4" w:themeColor="accent1"/>
        </w:rPr>
        <w:t xml:space="preserve"> </w:t>
      </w:r>
    </w:p>
    <w:p w14:paraId="2D15A592" w14:textId="77777777" w:rsidR="00491939" w:rsidRDefault="00491939">
      <w:pPr>
        <w:rPr>
          <w:rFonts w:asciiTheme="majorHAnsi" w:eastAsiaTheme="majorEastAsia" w:hAnsiTheme="majorHAnsi" w:cstheme="majorBidi"/>
          <w:color w:val="2F5496" w:themeColor="accent1" w:themeShade="BF"/>
          <w:sz w:val="32"/>
          <w:szCs w:val="32"/>
        </w:rPr>
      </w:pPr>
      <w:r>
        <w:br w:type="page"/>
      </w:r>
    </w:p>
    <w:p w14:paraId="6B48AEB8" w14:textId="5568B5DC" w:rsidR="009B585B" w:rsidRDefault="009B585B" w:rsidP="009B585B">
      <w:pPr>
        <w:pStyle w:val="Heading1"/>
        <w:spacing w:after="240"/>
      </w:pPr>
      <w:bookmarkStart w:id="116" w:name="_Annex_1:_Overview"/>
      <w:bookmarkStart w:id="117" w:name="_Toc210052795"/>
      <w:bookmarkEnd w:id="116"/>
      <w:r>
        <w:lastRenderedPageBreak/>
        <w:t>Annex 1: Overview of ICF Monitoring Reports</w:t>
      </w:r>
      <w:bookmarkEnd w:id="117"/>
    </w:p>
    <w:tbl>
      <w:tblPr>
        <w:tblStyle w:val="TableGrid"/>
        <w:tblW w:w="10088" w:type="dxa"/>
        <w:tblCellMar>
          <w:bottom w:w="43" w:type="dxa"/>
        </w:tblCellMar>
        <w:tblLook w:val="04A0" w:firstRow="1" w:lastRow="0" w:firstColumn="1" w:lastColumn="0" w:noHBand="0" w:noVBand="1"/>
      </w:tblPr>
      <w:tblGrid>
        <w:gridCol w:w="368"/>
        <w:gridCol w:w="1350"/>
        <w:gridCol w:w="2880"/>
        <w:gridCol w:w="5490"/>
      </w:tblGrid>
      <w:tr w:rsidR="009B585B" w14:paraId="2B5A7533" w14:textId="77777777" w:rsidTr="363CA695">
        <w:trPr>
          <w:trHeight w:val="20"/>
          <w:tblHeader/>
        </w:trPr>
        <w:tc>
          <w:tcPr>
            <w:tcW w:w="368" w:type="dxa"/>
            <w:shd w:val="clear" w:color="auto" w:fill="002060"/>
          </w:tcPr>
          <w:p w14:paraId="143F2395" w14:textId="77777777" w:rsidR="009B585B" w:rsidRPr="0072475F" w:rsidRDefault="009B585B" w:rsidP="00CF32EB">
            <w:pPr>
              <w:rPr>
                <w:b/>
                <w:bCs/>
                <w:sz w:val="20"/>
                <w:szCs w:val="20"/>
              </w:rPr>
            </w:pPr>
            <w:r w:rsidRPr="0072475F">
              <w:rPr>
                <w:b/>
                <w:bCs/>
                <w:sz w:val="20"/>
                <w:szCs w:val="20"/>
              </w:rPr>
              <w:t>#</w:t>
            </w:r>
          </w:p>
        </w:tc>
        <w:tc>
          <w:tcPr>
            <w:tcW w:w="1350" w:type="dxa"/>
            <w:shd w:val="clear" w:color="auto" w:fill="002060"/>
          </w:tcPr>
          <w:p w14:paraId="5544D382" w14:textId="77777777" w:rsidR="009B585B" w:rsidRPr="0072475F" w:rsidRDefault="009B585B" w:rsidP="00CF32EB">
            <w:pPr>
              <w:rPr>
                <w:b/>
                <w:bCs/>
                <w:sz w:val="20"/>
                <w:szCs w:val="20"/>
              </w:rPr>
            </w:pPr>
            <w:r>
              <w:rPr>
                <w:b/>
                <w:bCs/>
                <w:sz w:val="20"/>
                <w:szCs w:val="20"/>
              </w:rPr>
              <w:t xml:space="preserve">ICF </w:t>
            </w:r>
            <w:r w:rsidRPr="0072475F">
              <w:rPr>
                <w:b/>
                <w:bCs/>
                <w:sz w:val="20"/>
                <w:szCs w:val="20"/>
              </w:rPr>
              <w:t xml:space="preserve">Report </w:t>
            </w:r>
          </w:p>
        </w:tc>
        <w:tc>
          <w:tcPr>
            <w:tcW w:w="2880" w:type="dxa"/>
            <w:shd w:val="clear" w:color="auto" w:fill="002060"/>
          </w:tcPr>
          <w:p w14:paraId="4C730DE6" w14:textId="77777777" w:rsidR="009B585B" w:rsidRPr="0072475F" w:rsidRDefault="009B585B" w:rsidP="00CF32EB">
            <w:pPr>
              <w:rPr>
                <w:b/>
                <w:bCs/>
                <w:sz w:val="20"/>
                <w:szCs w:val="20"/>
              </w:rPr>
            </w:pPr>
            <w:r w:rsidRPr="0072475F">
              <w:rPr>
                <w:b/>
                <w:bCs/>
                <w:sz w:val="20"/>
                <w:szCs w:val="20"/>
              </w:rPr>
              <w:t xml:space="preserve">Purpose </w:t>
            </w:r>
          </w:p>
        </w:tc>
        <w:tc>
          <w:tcPr>
            <w:tcW w:w="5490" w:type="dxa"/>
            <w:shd w:val="clear" w:color="auto" w:fill="002060"/>
          </w:tcPr>
          <w:p w14:paraId="74E90B11" w14:textId="77777777" w:rsidR="009B585B" w:rsidRPr="0072475F" w:rsidRDefault="009B585B" w:rsidP="00CF32EB">
            <w:pPr>
              <w:rPr>
                <w:b/>
                <w:bCs/>
                <w:sz w:val="20"/>
                <w:szCs w:val="20"/>
              </w:rPr>
            </w:pPr>
            <w:r w:rsidRPr="0072475F">
              <w:rPr>
                <w:b/>
                <w:bCs/>
                <w:sz w:val="20"/>
                <w:szCs w:val="20"/>
              </w:rPr>
              <w:t>Actions required</w:t>
            </w:r>
          </w:p>
        </w:tc>
      </w:tr>
      <w:tr w:rsidR="009B585B" w14:paraId="2BDBB4DF" w14:textId="77777777" w:rsidTr="363CA695">
        <w:trPr>
          <w:trHeight w:val="20"/>
        </w:trPr>
        <w:tc>
          <w:tcPr>
            <w:tcW w:w="368" w:type="dxa"/>
          </w:tcPr>
          <w:p w14:paraId="484F0044" w14:textId="77777777" w:rsidR="009B585B" w:rsidRPr="00D2258D" w:rsidRDefault="009B585B">
            <w:pPr>
              <w:pStyle w:val="ListParagraph"/>
              <w:numPr>
                <w:ilvl w:val="0"/>
                <w:numId w:val="15"/>
              </w:numPr>
              <w:rPr>
                <w:sz w:val="20"/>
                <w:szCs w:val="20"/>
              </w:rPr>
            </w:pPr>
          </w:p>
        </w:tc>
        <w:tc>
          <w:tcPr>
            <w:tcW w:w="1350" w:type="dxa"/>
          </w:tcPr>
          <w:p w14:paraId="19CA0945" w14:textId="77777777" w:rsidR="009B585B" w:rsidRPr="00D2258D" w:rsidRDefault="009B585B" w:rsidP="00CF32EB">
            <w:pPr>
              <w:rPr>
                <w:sz w:val="20"/>
                <w:szCs w:val="20"/>
              </w:rPr>
            </w:pPr>
            <w:r w:rsidRPr="00D2258D">
              <w:rPr>
                <w:sz w:val="20"/>
                <w:szCs w:val="20"/>
              </w:rPr>
              <w:t xml:space="preserve">Dual Approving Manager and Project Manager roles </w:t>
            </w:r>
          </w:p>
        </w:tc>
        <w:tc>
          <w:tcPr>
            <w:tcW w:w="2880" w:type="dxa"/>
          </w:tcPr>
          <w:p w14:paraId="76D26A5D" w14:textId="77777777" w:rsidR="009B585B" w:rsidRPr="00D2258D" w:rsidRDefault="009B585B" w:rsidP="00CF32EB">
            <w:pPr>
              <w:rPr>
                <w:sz w:val="20"/>
                <w:szCs w:val="20"/>
              </w:rPr>
            </w:pPr>
            <w:r w:rsidRPr="00D2258D">
              <w:rPr>
                <w:sz w:val="20"/>
                <w:szCs w:val="20"/>
              </w:rPr>
              <w:t xml:space="preserve">Shows personnel who are not RR/DRR/OM (or HQ-equivalent) holding dual Approving Manager profiles in IDAM and Project Manager roles directly assigned for specific projects in Quantum PPM module. </w:t>
            </w:r>
          </w:p>
        </w:tc>
        <w:tc>
          <w:tcPr>
            <w:tcW w:w="5490" w:type="dxa"/>
          </w:tcPr>
          <w:p w14:paraId="01476AE0" w14:textId="1BB023C3" w:rsidR="009B585B" w:rsidRPr="00D2258D" w:rsidRDefault="009B585B" w:rsidP="363CA695">
            <w:pPr>
              <w:rPr>
                <w:sz w:val="20"/>
                <w:szCs w:val="20"/>
              </w:rPr>
            </w:pPr>
            <w:r w:rsidRPr="00D2258D">
              <w:rPr>
                <w:sz w:val="20"/>
                <w:szCs w:val="20"/>
              </w:rPr>
              <w:t>If a staff member appearing in the report is not the RR/DRR/OM (or HQ-equivalent) for the relevant BU, then one of the assigned roles should be changed or deactivated immediately (i.e. either the IDAM or Quantum). Additionally, the assignment of the dual roles (Approving Manager and Project Manager) to DRRs and OMs (and HQ-equivalents) should be formally approved by the RR as part of the BU’s local ICF.</w:t>
            </w:r>
          </w:p>
        </w:tc>
      </w:tr>
      <w:tr w:rsidR="009B585B" w14:paraId="3A691278" w14:textId="77777777" w:rsidTr="363CA695">
        <w:trPr>
          <w:trHeight w:val="20"/>
        </w:trPr>
        <w:tc>
          <w:tcPr>
            <w:tcW w:w="368" w:type="dxa"/>
          </w:tcPr>
          <w:p w14:paraId="26B689E9" w14:textId="77777777" w:rsidR="009B585B" w:rsidRPr="00D2258D" w:rsidRDefault="009B585B">
            <w:pPr>
              <w:pStyle w:val="ListParagraph"/>
              <w:numPr>
                <w:ilvl w:val="0"/>
                <w:numId w:val="15"/>
              </w:numPr>
              <w:rPr>
                <w:sz w:val="20"/>
                <w:szCs w:val="20"/>
              </w:rPr>
            </w:pPr>
          </w:p>
        </w:tc>
        <w:tc>
          <w:tcPr>
            <w:tcW w:w="1350" w:type="dxa"/>
          </w:tcPr>
          <w:p w14:paraId="43D565C8" w14:textId="77777777" w:rsidR="009B585B" w:rsidRPr="00D2258D" w:rsidRDefault="009B585B" w:rsidP="00CF32EB">
            <w:pPr>
              <w:rPr>
                <w:sz w:val="20"/>
                <w:szCs w:val="20"/>
              </w:rPr>
            </w:pPr>
            <w:r w:rsidRPr="00D2258D">
              <w:rPr>
                <w:sz w:val="20"/>
                <w:szCs w:val="20"/>
              </w:rPr>
              <w:t xml:space="preserve">Invoices approved by project manager for own project </w:t>
            </w:r>
          </w:p>
        </w:tc>
        <w:tc>
          <w:tcPr>
            <w:tcW w:w="2880" w:type="dxa"/>
          </w:tcPr>
          <w:p w14:paraId="6CAE7957" w14:textId="74DFC926" w:rsidR="009B585B" w:rsidRPr="00D2258D" w:rsidRDefault="009B585B" w:rsidP="363CA695">
            <w:pPr>
              <w:pStyle w:val="ListParagraph"/>
              <w:tabs>
                <w:tab w:val="left" w:pos="540"/>
              </w:tabs>
              <w:ind w:left="0"/>
              <w:rPr>
                <w:sz w:val="20"/>
                <w:szCs w:val="20"/>
              </w:rPr>
            </w:pPr>
            <w:r w:rsidRPr="00D2258D">
              <w:rPr>
                <w:sz w:val="20"/>
                <w:szCs w:val="20"/>
              </w:rPr>
              <w:t>Shows instances where a Project Manager holding dual Project Manager and Approving Manager roles (Manager Level 1, Level 2 or Senior Manager) has approved an invoice on their own project</w:t>
            </w:r>
            <w:r w:rsidR="001C1A5E">
              <w:rPr>
                <w:sz w:val="20"/>
                <w:szCs w:val="20"/>
              </w:rPr>
              <w:t xml:space="preserve"> (development or management)</w:t>
            </w:r>
            <w:r w:rsidRPr="00D2258D">
              <w:rPr>
                <w:sz w:val="20"/>
                <w:szCs w:val="20"/>
              </w:rPr>
              <w:t>, which is a conflict of interest, as articulated in section 2.1 of this Guide.</w:t>
            </w:r>
          </w:p>
        </w:tc>
        <w:tc>
          <w:tcPr>
            <w:tcW w:w="5490" w:type="dxa"/>
          </w:tcPr>
          <w:p w14:paraId="7C71F24B" w14:textId="6881A7FC" w:rsidR="009B585B" w:rsidRPr="00D2258D" w:rsidRDefault="009B585B" w:rsidP="363CA695">
            <w:pPr>
              <w:tabs>
                <w:tab w:val="left" w:pos="540"/>
              </w:tabs>
              <w:rPr>
                <w:sz w:val="20"/>
                <w:szCs w:val="20"/>
              </w:rPr>
            </w:pPr>
            <w:r w:rsidRPr="00D2258D">
              <w:rPr>
                <w:sz w:val="20"/>
                <w:szCs w:val="20"/>
              </w:rPr>
              <w:t>An immediate post-facto review of the transactions listed in the report should be performed by an independent staff member in your BU to ensure that the transactions were legitimate and accurate. If they were, the staff member should be reminded to observe the ICF requirements stated in sections 2.1 and 2.2 of this Guide when holding dual Project Manager and Approving Manager roles. If the payments were not legitimate and a potential fraud risk has been identified, the usual reporting channels should be followed, as described in section 2.7 of this Guide.</w:t>
            </w:r>
          </w:p>
        </w:tc>
      </w:tr>
      <w:tr w:rsidR="009B585B" w14:paraId="602C6BD1" w14:textId="77777777" w:rsidTr="363CA695">
        <w:trPr>
          <w:trHeight w:val="20"/>
        </w:trPr>
        <w:tc>
          <w:tcPr>
            <w:tcW w:w="368" w:type="dxa"/>
          </w:tcPr>
          <w:p w14:paraId="6BF65CBC" w14:textId="77777777" w:rsidR="009B585B" w:rsidRPr="00D2258D" w:rsidRDefault="009B585B" w:rsidP="00CF32EB">
            <w:pPr>
              <w:rPr>
                <w:sz w:val="20"/>
                <w:szCs w:val="20"/>
              </w:rPr>
            </w:pPr>
            <w:r w:rsidRPr="00D2258D">
              <w:rPr>
                <w:sz w:val="20"/>
                <w:szCs w:val="20"/>
              </w:rPr>
              <w:t>3.</w:t>
            </w:r>
          </w:p>
        </w:tc>
        <w:tc>
          <w:tcPr>
            <w:tcW w:w="1350" w:type="dxa"/>
          </w:tcPr>
          <w:p w14:paraId="65507BA6" w14:textId="77777777" w:rsidR="009B585B" w:rsidRPr="00D2258D" w:rsidRDefault="009B585B" w:rsidP="00CF32EB">
            <w:pPr>
              <w:rPr>
                <w:sz w:val="20"/>
                <w:szCs w:val="20"/>
              </w:rPr>
            </w:pPr>
            <w:r w:rsidRPr="00D2258D">
              <w:rPr>
                <w:sz w:val="20"/>
                <w:szCs w:val="20"/>
              </w:rPr>
              <w:t xml:space="preserve">Misalignment between IDAM and PPM for Project Manager profiles </w:t>
            </w:r>
          </w:p>
        </w:tc>
        <w:tc>
          <w:tcPr>
            <w:tcW w:w="2880" w:type="dxa"/>
          </w:tcPr>
          <w:p w14:paraId="5BA48A1C" w14:textId="77777777" w:rsidR="009B585B" w:rsidRPr="00D2258D" w:rsidRDefault="009B585B" w:rsidP="00CF32EB">
            <w:pPr>
              <w:tabs>
                <w:tab w:val="left" w:pos="540"/>
              </w:tabs>
              <w:rPr>
                <w:sz w:val="20"/>
                <w:szCs w:val="20"/>
              </w:rPr>
            </w:pPr>
            <w:r w:rsidRPr="00D2258D">
              <w:rPr>
                <w:sz w:val="20"/>
                <w:szCs w:val="20"/>
              </w:rPr>
              <w:t>Shows the personnel in your BU that do not have an approved Project Manager profile assigned in IDAM but hold a Project Manager role directly assigned in Quantum PPM.</w:t>
            </w:r>
          </w:p>
        </w:tc>
        <w:tc>
          <w:tcPr>
            <w:tcW w:w="5490" w:type="dxa"/>
          </w:tcPr>
          <w:p w14:paraId="52534936" w14:textId="188C9FE6" w:rsidR="009B585B" w:rsidRPr="00D2258D" w:rsidRDefault="009B585B" w:rsidP="00CF32EB">
            <w:pPr>
              <w:rPr>
                <w:sz w:val="20"/>
                <w:szCs w:val="20"/>
              </w:rPr>
            </w:pPr>
            <w:r w:rsidRPr="00D2258D">
              <w:rPr>
                <w:sz w:val="20"/>
                <w:szCs w:val="20"/>
              </w:rPr>
              <w:t>For the BU personnel appearing in the report, please immediately deactivate or modify one of the assigned roles – either the IDAM profile should be changed to Project Manager to align with the PPM Project Manager role assignments, or the Project Manager role in Quantum PPM must be removed, based on the needs of the office</w:t>
            </w:r>
            <w:r w:rsidR="00356A22" w:rsidRPr="00D2258D">
              <w:rPr>
                <w:sz w:val="20"/>
                <w:szCs w:val="20"/>
              </w:rPr>
              <w:t>/unit</w:t>
            </w:r>
            <w:r w:rsidRPr="00D2258D">
              <w:rPr>
                <w:sz w:val="20"/>
                <w:szCs w:val="20"/>
              </w:rPr>
              <w:t>, such that your BU personnel hold only one of these roles.</w:t>
            </w:r>
          </w:p>
        </w:tc>
      </w:tr>
      <w:tr w:rsidR="009B585B" w14:paraId="1D506E9C" w14:textId="77777777" w:rsidTr="363CA695">
        <w:trPr>
          <w:trHeight w:val="20"/>
        </w:trPr>
        <w:tc>
          <w:tcPr>
            <w:tcW w:w="368" w:type="dxa"/>
          </w:tcPr>
          <w:p w14:paraId="23310A8B" w14:textId="77777777" w:rsidR="009B585B" w:rsidRPr="00D2258D" w:rsidRDefault="009B585B" w:rsidP="00CF32EB">
            <w:pPr>
              <w:rPr>
                <w:sz w:val="20"/>
                <w:szCs w:val="20"/>
              </w:rPr>
            </w:pPr>
            <w:r w:rsidRPr="00D2258D">
              <w:rPr>
                <w:sz w:val="20"/>
                <w:szCs w:val="20"/>
              </w:rPr>
              <w:t>4.</w:t>
            </w:r>
          </w:p>
        </w:tc>
        <w:tc>
          <w:tcPr>
            <w:tcW w:w="1350" w:type="dxa"/>
          </w:tcPr>
          <w:p w14:paraId="2B6E3344" w14:textId="77777777" w:rsidR="009B585B" w:rsidRPr="00D2258D" w:rsidRDefault="009B585B" w:rsidP="00CF32EB">
            <w:pPr>
              <w:rPr>
                <w:sz w:val="20"/>
                <w:szCs w:val="20"/>
              </w:rPr>
            </w:pPr>
            <w:r w:rsidRPr="00D2258D">
              <w:rPr>
                <w:sz w:val="20"/>
                <w:szCs w:val="20"/>
              </w:rPr>
              <w:t xml:space="preserve">Number of supplier approvers exceeds ICF limits </w:t>
            </w:r>
          </w:p>
        </w:tc>
        <w:tc>
          <w:tcPr>
            <w:tcW w:w="2880" w:type="dxa"/>
          </w:tcPr>
          <w:p w14:paraId="3DB17718" w14:textId="52E99073" w:rsidR="009B585B" w:rsidRPr="00D2258D" w:rsidRDefault="009B585B" w:rsidP="363CA695">
            <w:pPr>
              <w:rPr>
                <w:sz w:val="20"/>
                <w:szCs w:val="20"/>
              </w:rPr>
            </w:pPr>
            <w:r w:rsidRPr="00D2258D">
              <w:rPr>
                <w:sz w:val="20"/>
                <w:szCs w:val="20"/>
              </w:rPr>
              <w:t xml:space="preserve">Shows the number of Supplier Maintenance (L1) and Supplier Approver (L2) supplementary roles assigned in IDAM for each BU that exceeds the ICF limits established in section </w:t>
            </w:r>
            <w:r w:rsidR="00532E13" w:rsidRPr="00D2258D">
              <w:rPr>
                <w:sz w:val="20"/>
                <w:szCs w:val="20"/>
              </w:rPr>
              <w:t>2.1</w:t>
            </w:r>
            <w:r w:rsidRPr="00D2258D">
              <w:rPr>
                <w:sz w:val="20"/>
                <w:szCs w:val="20"/>
              </w:rPr>
              <w:t xml:space="preserve"> of this Guide.</w:t>
            </w:r>
          </w:p>
        </w:tc>
        <w:tc>
          <w:tcPr>
            <w:tcW w:w="5490" w:type="dxa"/>
          </w:tcPr>
          <w:p w14:paraId="5C32A0D2" w14:textId="7DCFC5CA" w:rsidR="009B585B" w:rsidRPr="00D2258D" w:rsidRDefault="009B585B" w:rsidP="363CA695">
            <w:pPr>
              <w:rPr>
                <w:sz w:val="20"/>
                <w:szCs w:val="20"/>
              </w:rPr>
            </w:pPr>
            <w:r w:rsidRPr="00D2258D">
              <w:rPr>
                <w:sz w:val="20"/>
                <w:szCs w:val="20"/>
              </w:rPr>
              <w:t>Take immediate action in IDAM to reduce the number of Supplier Maintenance (L1) supplementary role assignments in your BU to 2 or 3 depending on the value of your prior year delivery. Ensure no Supplier Approver (L2) supplementary role assignments exist in IDAM for your BU (exceptions are allowed for BMS/GSSC and for select HQ offices</w:t>
            </w:r>
            <w:r w:rsidR="00356A22" w:rsidRPr="00D2258D">
              <w:rPr>
                <w:sz w:val="20"/>
                <w:szCs w:val="20"/>
              </w:rPr>
              <w:t>/units</w:t>
            </w:r>
            <w:r w:rsidRPr="00D2258D">
              <w:rPr>
                <w:sz w:val="20"/>
                <w:szCs w:val="20"/>
              </w:rPr>
              <w:t>, as pre-approved by the CFO).</w:t>
            </w:r>
          </w:p>
        </w:tc>
      </w:tr>
      <w:tr w:rsidR="009B585B" w14:paraId="63BEB635" w14:textId="77777777" w:rsidTr="363CA695">
        <w:trPr>
          <w:trHeight w:val="20"/>
        </w:trPr>
        <w:tc>
          <w:tcPr>
            <w:tcW w:w="368" w:type="dxa"/>
          </w:tcPr>
          <w:p w14:paraId="31B013BD" w14:textId="77777777" w:rsidR="009B585B" w:rsidRPr="00D2258D" w:rsidRDefault="009B585B" w:rsidP="00CF32EB">
            <w:pPr>
              <w:rPr>
                <w:sz w:val="20"/>
                <w:szCs w:val="20"/>
              </w:rPr>
            </w:pPr>
            <w:r w:rsidRPr="00D2258D">
              <w:rPr>
                <w:sz w:val="20"/>
                <w:szCs w:val="20"/>
              </w:rPr>
              <w:t>5.</w:t>
            </w:r>
          </w:p>
        </w:tc>
        <w:tc>
          <w:tcPr>
            <w:tcW w:w="1350" w:type="dxa"/>
          </w:tcPr>
          <w:p w14:paraId="4AF214EC" w14:textId="77777777" w:rsidR="009B585B" w:rsidRPr="00D2258D" w:rsidRDefault="009B585B" w:rsidP="00CF32EB">
            <w:pPr>
              <w:rPr>
                <w:sz w:val="20"/>
                <w:szCs w:val="20"/>
              </w:rPr>
            </w:pPr>
            <w:r w:rsidRPr="00D2258D">
              <w:rPr>
                <w:sz w:val="20"/>
                <w:szCs w:val="20"/>
              </w:rPr>
              <w:t xml:space="preserve">Same invoice approver and supplier paid </w:t>
            </w:r>
          </w:p>
        </w:tc>
        <w:tc>
          <w:tcPr>
            <w:tcW w:w="2880" w:type="dxa"/>
          </w:tcPr>
          <w:p w14:paraId="441984B7" w14:textId="782ED1C7" w:rsidR="009B585B" w:rsidRPr="00D2258D" w:rsidRDefault="009B585B" w:rsidP="363CA695">
            <w:pPr>
              <w:rPr>
                <w:sz w:val="20"/>
                <w:szCs w:val="20"/>
              </w:rPr>
            </w:pPr>
            <w:r w:rsidRPr="00D2258D">
              <w:rPr>
                <w:sz w:val="20"/>
                <w:szCs w:val="20"/>
              </w:rPr>
              <w:t>Shows transactions in which the invoice approver in Quantum (Manager Level 1, Level 2 or Senior Manager) was also the supplier being paid (i.e., invoice approver = supplier paid). Approving a payment to oneself is a conflict of interest.</w:t>
            </w:r>
          </w:p>
          <w:p w14:paraId="2205384C" w14:textId="77777777" w:rsidR="009B585B" w:rsidRPr="00D2258D" w:rsidRDefault="009B585B" w:rsidP="00CF32EB">
            <w:pPr>
              <w:rPr>
                <w:sz w:val="20"/>
                <w:szCs w:val="20"/>
              </w:rPr>
            </w:pPr>
          </w:p>
        </w:tc>
        <w:tc>
          <w:tcPr>
            <w:tcW w:w="5490" w:type="dxa"/>
          </w:tcPr>
          <w:p w14:paraId="3D4D90F4" w14:textId="22A809F1" w:rsidR="009B585B" w:rsidRPr="00D2258D" w:rsidRDefault="009B585B" w:rsidP="363CA695">
            <w:pPr>
              <w:rPr>
                <w:sz w:val="20"/>
                <w:szCs w:val="20"/>
              </w:rPr>
            </w:pPr>
            <w:r w:rsidRPr="00D2258D">
              <w:rPr>
                <w:sz w:val="20"/>
                <w:szCs w:val="20"/>
              </w:rPr>
              <w:t>An immediate post-facto review of the transactions listed in the report should be performed by an independent staff member in your BU to ensure that the transactions were legitimate and accurate. If they were, the staff member should be reminded to observe the ICF requirements stated in sections 2.1 and 2.2 of this Guide when holding dual Project Manager and Approving Manager roles. If the payments were not legitimate and a potential fraud risk has been identified, the usual reporting channels should be followed, as described in section 2.7 of this Guide.</w:t>
            </w:r>
          </w:p>
        </w:tc>
      </w:tr>
    </w:tbl>
    <w:p w14:paraId="4876E515" w14:textId="302070D5" w:rsidR="009B585B" w:rsidRDefault="009B585B">
      <w:pPr>
        <w:rPr>
          <w:rFonts w:asciiTheme="majorHAnsi" w:eastAsiaTheme="majorEastAsia" w:hAnsiTheme="majorHAnsi" w:cstheme="majorBidi"/>
          <w:color w:val="2F5496" w:themeColor="accent1" w:themeShade="BF"/>
          <w:sz w:val="32"/>
          <w:szCs w:val="32"/>
        </w:rPr>
      </w:pPr>
    </w:p>
    <w:p w14:paraId="67957777" w14:textId="77777777" w:rsidR="009B585B" w:rsidRDefault="009B585B">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75388013" w14:textId="2E1E2F75" w:rsidR="002F02D8" w:rsidRPr="00CD689D" w:rsidRDefault="002F02D8" w:rsidP="004539AF">
      <w:pPr>
        <w:pStyle w:val="Heading1"/>
        <w:spacing w:after="240"/>
      </w:pPr>
      <w:bookmarkStart w:id="118" w:name="_Annex_2:_Overview"/>
      <w:bookmarkStart w:id="119" w:name="_Toc210052796"/>
      <w:bookmarkEnd w:id="118"/>
      <w:r w:rsidRPr="00CD689D">
        <w:lastRenderedPageBreak/>
        <w:t xml:space="preserve">Annex </w:t>
      </w:r>
      <w:r>
        <w:t>2</w:t>
      </w:r>
      <w:r w:rsidR="004539AF">
        <w:t xml:space="preserve">: </w:t>
      </w:r>
      <w:r w:rsidRPr="00CD689D">
        <w:t>Overview of IDAM HR Business Profiles and their purpose</w:t>
      </w:r>
      <w:bookmarkEnd w:id="119"/>
    </w:p>
    <w:p w14:paraId="139647F3" w14:textId="2CA95699" w:rsidR="002F02D8" w:rsidRPr="00D2258D" w:rsidRDefault="002F02D8" w:rsidP="363CA695">
      <w:pPr>
        <w:spacing w:line="240" w:lineRule="auto"/>
        <w:rPr>
          <w:rFonts w:ascii="Calibri" w:hAnsi="Calibri" w:cs="Calibri"/>
        </w:rPr>
      </w:pPr>
      <w:r w:rsidRPr="00D2258D">
        <w:rPr>
          <w:rFonts w:ascii="Calibri" w:hAnsi="Calibri" w:cs="Calibri"/>
        </w:rPr>
        <w:t>The table below provides an overview of the IDAM HR business profiles available to UNDP offices</w:t>
      </w:r>
      <w:r w:rsidR="00356A22" w:rsidRPr="00D2258D">
        <w:rPr>
          <w:rFonts w:ascii="Calibri" w:hAnsi="Calibri" w:cs="Calibri"/>
        </w:rPr>
        <w:t>/units</w:t>
      </w:r>
      <w:r w:rsidRPr="00D2258D">
        <w:rPr>
          <w:rFonts w:ascii="Calibri" w:hAnsi="Calibri" w:cs="Calibri"/>
        </w:rPr>
        <w:t xml:space="preserve"> and their purpose. In general, access to HR functions is divided into roles of Analyst, Manager, and Administrator to ensure secure and appropriate use of the system. </w:t>
      </w:r>
    </w:p>
    <w:p w14:paraId="0752F040" w14:textId="77777777"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 xml:space="preserve">Analysts are given view-only access limited to their respective areas, enabling them to review specific data, reports, and other relevant information without the ability to make changes. </w:t>
      </w:r>
    </w:p>
    <w:p w14:paraId="13D778DB" w14:textId="45AAC19A"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Managers handle day-to-day operations. The role has capability to perform transactions.</w:t>
      </w:r>
    </w:p>
    <w:p w14:paraId="4C44267A" w14:textId="27D54584" w:rsidR="002F02D8" w:rsidRPr="00D2258D" w:rsidRDefault="002F02D8">
      <w:pPr>
        <w:pStyle w:val="ListParagraph"/>
        <w:numPr>
          <w:ilvl w:val="0"/>
          <w:numId w:val="16"/>
        </w:numPr>
        <w:spacing w:line="240" w:lineRule="auto"/>
        <w:rPr>
          <w:rFonts w:ascii="Calibri" w:hAnsi="Calibri" w:cs="Calibri"/>
        </w:rPr>
      </w:pPr>
      <w:r w:rsidRPr="00D2258D">
        <w:rPr>
          <w:rFonts w:ascii="Calibri" w:hAnsi="Calibri" w:cs="Calibri"/>
        </w:rPr>
        <w:t xml:space="preserve">Administrators are responsible for configuration and maintenance. </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B27D72" w:rsidRPr="00A95453" w14:paraId="53810E09" w14:textId="77777777" w:rsidTr="363CA695">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hideMark/>
          </w:tcPr>
          <w:p w14:paraId="7DC9BD90" w14:textId="5495C769"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 xml:space="preserve">HR Business Profiles available for </w:t>
            </w:r>
            <w:r w:rsidR="00DD14E7" w:rsidRPr="00D2258D">
              <w:rPr>
                <w:rFonts w:eastAsia="Times New Roman" w:cstheme="minorHAnsi"/>
                <w:b/>
                <w:bCs/>
                <w:kern w:val="0"/>
                <w:sz w:val="20"/>
                <w:szCs w:val="20"/>
                <w14:ligatures w14:val="none"/>
              </w:rPr>
              <w:t>Country Offices</w:t>
            </w:r>
            <w:r w:rsidRPr="00D2258D">
              <w:rPr>
                <w:rFonts w:eastAsia="Times New Roman" w:cstheme="minorHAnsi"/>
                <w:b/>
                <w:bCs/>
                <w:kern w:val="0"/>
                <w:sz w:val="20"/>
                <w:szCs w:val="20"/>
                <w14:ligatures w14:val="none"/>
              </w:rPr>
              <w:t xml:space="preserve"> to assign in IDAM</w:t>
            </w:r>
          </w:p>
        </w:tc>
        <w:tc>
          <w:tcPr>
            <w:tcW w:w="4590" w:type="dxa"/>
            <w:tcBorders>
              <w:top w:val="single" w:sz="4" w:space="0" w:color="auto"/>
              <w:left w:val="nil"/>
              <w:bottom w:val="single" w:sz="4" w:space="0" w:color="auto"/>
              <w:right w:val="single" w:sz="4" w:space="0" w:color="auto"/>
            </w:tcBorders>
            <w:shd w:val="clear" w:color="auto" w:fill="0070C0"/>
            <w:hideMark/>
          </w:tcPr>
          <w:p w14:paraId="3F7A2A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Description</w:t>
            </w:r>
          </w:p>
        </w:tc>
        <w:tc>
          <w:tcPr>
            <w:tcW w:w="1170" w:type="dxa"/>
            <w:tcBorders>
              <w:top w:val="single" w:sz="4" w:space="0" w:color="auto"/>
              <w:left w:val="nil"/>
              <w:bottom w:val="single" w:sz="4" w:space="0" w:color="auto"/>
              <w:right w:val="single" w:sz="4" w:space="0" w:color="auto"/>
            </w:tcBorders>
            <w:shd w:val="clear" w:color="auto" w:fill="0070C0"/>
            <w:hideMark/>
          </w:tcPr>
          <w:p w14:paraId="4CB40403"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Payroll</w:t>
            </w:r>
          </w:p>
        </w:tc>
        <w:tc>
          <w:tcPr>
            <w:tcW w:w="872" w:type="dxa"/>
            <w:tcBorders>
              <w:top w:val="single" w:sz="4" w:space="0" w:color="auto"/>
              <w:left w:val="nil"/>
              <w:bottom w:val="single" w:sz="4" w:space="0" w:color="auto"/>
              <w:right w:val="single" w:sz="4" w:space="0" w:color="auto"/>
            </w:tcBorders>
            <w:shd w:val="clear" w:color="auto" w:fill="0070C0"/>
            <w:hideMark/>
          </w:tcPr>
          <w:p w14:paraId="310ABF5B"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PMD</w:t>
            </w:r>
          </w:p>
        </w:tc>
        <w:tc>
          <w:tcPr>
            <w:tcW w:w="1288" w:type="dxa"/>
            <w:tcBorders>
              <w:top w:val="single" w:sz="4" w:space="0" w:color="auto"/>
              <w:left w:val="nil"/>
              <w:bottom w:val="single" w:sz="4" w:space="0" w:color="auto"/>
              <w:right w:val="single" w:sz="4" w:space="0" w:color="auto"/>
            </w:tcBorders>
            <w:shd w:val="clear" w:color="auto" w:fill="0070C0"/>
          </w:tcPr>
          <w:p w14:paraId="045BDEDA" w14:textId="77777777" w:rsidR="00A95453" w:rsidRPr="00D2258D" w:rsidRDefault="00A95453">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IDAM allows assignment to non-staff</w:t>
            </w:r>
          </w:p>
        </w:tc>
      </w:tr>
      <w:tr w:rsidR="00B27D72" w:rsidRPr="00A95453" w14:paraId="3DB6106D"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9045BFE"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Benefits Administration</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5749E841"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495FDC4E"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7D937C3E"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1E12438C"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C9C84A8" w14:textId="77777777" w:rsidTr="363CA695">
        <w:trPr>
          <w:trHeight w:val="20"/>
        </w:trPr>
        <w:tc>
          <w:tcPr>
            <w:tcW w:w="2970" w:type="dxa"/>
            <w:tcBorders>
              <w:top w:val="nil"/>
              <w:left w:val="single" w:sz="4" w:space="0" w:color="auto"/>
              <w:bottom w:val="single" w:sz="4" w:space="0" w:color="auto"/>
              <w:right w:val="single" w:sz="4" w:space="0" w:color="auto"/>
            </w:tcBorders>
          </w:tcPr>
          <w:p w14:paraId="0CA0F2C7"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Benefits Manager - Operating Unit Level Data Access</w:t>
            </w:r>
          </w:p>
        </w:tc>
        <w:tc>
          <w:tcPr>
            <w:tcW w:w="4590" w:type="dxa"/>
            <w:tcBorders>
              <w:top w:val="nil"/>
              <w:left w:val="nil"/>
              <w:bottom w:val="single" w:sz="4" w:space="0" w:color="auto"/>
              <w:right w:val="single" w:sz="4" w:space="0" w:color="auto"/>
            </w:tcBorders>
          </w:tcPr>
          <w:p w14:paraId="158E7338"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This role will help to provide transactional access for medical health and dental benefit enrollment. This role is required to update enrollments.</w:t>
            </w:r>
          </w:p>
        </w:tc>
        <w:tc>
          <w:tcPr>
            <w:tcW w:w="1170" w:type="dxa"/>
            <w:tcBorders>
              <w:top w:val="nil"/>
              <w:left w:val="nil"/>
              <w:bottom w:val="single" w:sz="4" w:space="0" w:color="auto"/>
              <w:right w:val="single" w:sz="4" w:space="0" w:color="auto"/>
            </w:tcBorders>
          </w:tcPr>
          <w:p w14:paraId="14E6E44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78D0C68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C5CBBC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282D02F0" w14:textId="77777777" w:rsidTr="363CA695">
        <w:trPr>
          <w:trHeight w:val="20"/>
        </w:trPr>
        <w:tc>
          <w:tcPr>
            <w:tcW w:w="2970" w:type="dxa"/>
            <w:tcBorders>
              <w:top w:val="nil"/>
              <w:left w:val="single" w:sz="4" w:space="0" w:color="auto"/>
              <w:bottom w:val="single" w:sz="4" w:space="0" w:color="auto"/>
              <w:right w:val="single" w:sz="4" w:space="0" w:color="auto"/>
            </w:tcBorders>
          </w:tcPr>
          <w:p w14:paraId="6B99DFE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Manager - Service Contractor</w:t>
            </w:r>
          </w:p>
        </w:tc>
        <w:tc>
          <w:tcPr>
            <w:tcW w:w="4590" w:type="dxa"/>
            <w:tcBorders>
              <w:top w:val="nil"/>
              <w:left w:val="nil"/>
              <w:bottom w:val="single" w:sz="4" w:space="0" w:color="auto"/>
              <w:right w:val="single" w:sz="4" w:space="0" w:color="auto"/>
            </w:tcBorders>
          </w:tcPr>
          <w:p w14:paraId="092F3D3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allows the user to manage Service Contract as an HR Administrator. It provides HR transaction access to enter and update staff information for SC contracts only. It also provides read-only access to view all other users except SC in the operating unit.</w:t>
            </w:r>
          </w:p>
        </w:tc>
        <w:tc>
          <w:tcPr>
            <w:tcW w:w="1170" w:type="dxa"/>
            <w:tcBorders>
              <w:top w:val="nil"/>
              <w:left w:val="nil"/>
              <w:bottom w:val="single" w:sz="4" w:space="0" w:color="auto"/>
              <w:right w:val="single" w:sz="4" w:space="0" w:color="auto"/>
            </w:tcBorders>
          </w:tcPr>
          <w:p w14:paraId="744D40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Yes (partial) </w:t>
            </w:r>
          </w:p>
          <w:p w14:paraId="52AF50B3" w14:textId="77777777" w:rsidR="00A95453" w:rsidRPr="00D2258D" w:rsidRDefault="00A95453">
            <w:pPr>
              <w:spacing w:after="0" w:line="240" w:lineRule="auto"/>
              <w:jc w:val="center"/>
              <w:rPr>
                <w:rFonts w:eastAsia="Times New Roman" w:cstheme="minorHAnsi"/>
                <w:kern w:val="0"/>
                <w:sz w:val="20"/>
                <w:szCs w:val="20"/>
                <w14:ligatures w14:val="none"/>
              </w:rPr>
            </w:pPr>
          </w:p>
        </w:tc>
        <w:tc>
          <w:tcPr>
            <w:tcW w:w="872" w:type="dxa"/>
            <w:tcBorders>
              <w:top w:val="nil"/>
              <w:left w:val="nil"/>
              <w:bottom w:val="single" w:sz="4" w:space="0" w:color="auto"/>
              <w:right w:val="single" w:sz="4" w:space="0" w:color="auto"/>
            </w:tcBorders>
          </w:tcPr>
          <w:p w14:paraId="2AB7CED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8874348" w14:textId="67FCE11A"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w:t>
            </w:r>
            <w:r w:rsidR="008D446C">
              <w:rPr>
                <w:rFonts w:eastAsia="Times New Roman" w:cstheme="minorHAnsi"/>
                <w:kern w:val="0"/>
                <w:sz w:val="20"/>
                <w:szCs w:val="20"/>
                <w14:ligatures w14:val="none"/>
              </w:rPr>
              <w:t xml:space="preserve"> (effective 1 January 2026)</w:t>
            </w:r>
          </w:p>
        </w:tc>
      </w:tr>
      <w:tr w:rsidR="00B27D72" w:rsidRPr="00A95453" w14:paraId="11C8FF2D" w14:textId="77777777" w:rsidTr="363CA695">
        <w:trPr>
          <w:trHeight w:val="20"/>
        </w:trPr>
        <w:tc>
          <w:tcPr>
            <w:tcW w:w="2970" w:type="dxa"/>
            <w:tcBorders>
              <w:top w:val="nil"/>
              <w:left w:val="single" w:sz="4" w:space="0" w:color="auto"/>
              <w:bottom w:val="single" w:sz="4" w:space="0" w:color="auto"/>
              <w:right w:val="single" w:sz="4" w:space="0" w:color="auto"/>
            </w:tcBorders>
          </w:tcPr>
          <w:p w14:paraId="61D68C9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Compensation Manager - Operating Unit Level Data Access</w:t>
            </w:r>
          </w:p>
        </w:tc>
        <w:tc>
          <w:tcPr>
            <w:tcW w:w="4590" w:type="dxa"/>
            <w:tcBorders>
              <w:top w:val="nil"/>
              <w:left w:val="nil"/>
              <w:bottom w:val="single" w:sz="4" w:space="0" w:color="auto"/>
              <w:right w:val="single" w:sz="4" w:space="0" w:color="auto"/>
            </w:tcBorders>
          </w:tcPr>
          <w:p w14:paraId="7EDCBA7F"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This role will be required to enter in additional components like Language Allowance, Staff Association, Staff Advance Requests, and other optional enrollments.</w:t>
            </w:r>
          </w:p>
        </w:tc>
        <w:tc>
          <w:tcPr>
            <w:tcW w:w="1170" w:type="dxa"/>
            <w:tcBorders>
              <w:top w:val="nil"/>
              <w:left w:val="nil"/>
              <w:bottom w:val="single" w:sz="4" w:space="0" w:color="auto"/>
              <w:right w:val="single" w:sz="4" w:space="0" w:color="auto"/>
            </w:tcBorders>
          </w:tcPr>
          <w:p w14:paraId="74EB90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0C02FF2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A030AFA"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2438CE70" w14:textId="77777777" w:rsidTr="363CA695">
        <w:trPr>
          <w:trHeight w:val="20"/>
        </w:trPr>
        <w:tc>
          <w:tcPr>
            <w:tcW w:w="2970" w:type="dxa"/>
            <w:tcBorders>
              <w:top w:val="nil"/>
              <w:left w:val="single" w:sz="4" w:space="0" w:color="auto"/>
              <w:bottom w:val="single" w:sz="4" w:space="0" w:color="auto"/>
              <w:right w:val="single" w:sz="4" w:space="0" w:color="auto"/>
            </w:tcBorders>
          </w:tcPr>
          <w:p w14:paraId="66F21978"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Rental Subsidy Certifying Officer - Operating Unit Level Data Access</w:t>
            </w:r>
          </w:p>
        </w:tc>
        <w:tc>
          <w:tcPr>
            <w:tcW w:w="4590" w:type="dxa"/>
            <w:tcBorders>
              <w:top w:val="nil"/>
              <w:left w:val="nil"/>
              <w:bottom w:val="single" w:sz="4" w:space="0" w:color="auto"/>
              <w:right w:val="single" w:sz="4" w:space="0" w:color="auto"/>
            </w:tcBorders>
          </w:tcPr>
          <w:p w14:paraId="70C7EC4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Rental Subsidy Certifying Officer role by OU/Department Hierarchy</w:t>
            </w:r>
          </w:p>
        </w:tc>
        <w:tc>
          <w:tcPr>
            <w:tcW w:w="1170" w:type="dxa"/>
            <w:tcBorders>
              <w:top w:val="nil"/>
              <w:left w:val="nil"/>
              <w:bottom w:val="single" w:sz="4" w:space="0" w:color="auto"/>
              <w:right w:val="single" w:sz="4" w:space="0" w:color="auto"/>
            </w:tcBorders>
          </w:tcPr>
          <w:p w14:paraId="40C152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390E8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792F3CB4" w14:textId="4B5F7213"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No</w:t>
            </w:r>
          </w:p>
        </w:tc>
      </w:tr>
      <w:tr w:rsidR="00B27D72" w:rsidRPr="00A95453" w14:paraId="21D8A939" w14:textId="77777777" w:rsidTr="363CA695">
        <w:trPr>
          <w:trHeight w:val="20"/>
        </w:trPr>
        <w:tc>
          <w:tcPr>
            <w:tcW w:w="2970" w:type="dxa"/>
            <w:tcBorders>
              <w:top w:val="nil"/>
              <w:left w:val="single" w:sz="4" w:space="0" w:color="auto"/>
              <w:bottom w:val="single" w:sz="4" w:space="0" w:color="auto"/>
              <w:right w:val="single" w:sz="4" w:space="0" w:color="auto"/>
            </w:tcBorders>
          </w:tcPr>
          <w:p w14:paraId="32545AB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Staff Advance Reviewer - Operating Unit Level Data Access</w:t>
            </w:r>
          </w:p>
        </w:tc>
        <w:tc>
          <w:tcPr>
            <w:tcW w:w="4590" w:type="dxa"/>
            <w:tcBorders>
              <w:top w:val="nil"/>
              <w:left w:val="nil"/>
              <w:bottom w:val="single" w:sz="4" w:space="0" w:color="auto"/>
              <w:right w:val="single" w:sz="4" w:space="0" w:color="auto"/>
            </w:tcBorders>
          </w:tcPr>
          <w:p w14:paraId="6928982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Staff advance reviewer by OU/Dept hierarchy. For more information, refer to </w:t>
            </w:r>
            <w:hyperlink r:id="rId201" w:history="1">
              <w:r w:rsidRPr="00D2258D">
                <w:rPr>
                  <w:rStyle w:val="Hyperlink"/>
                  <w:rFonts w:eastAsia="Times New Roman" w:cstheme="minorHAnsi"/>
                  <w:color w:val="auto"/>
                  <w:kern w:val="0"/>
                  <w:sz w:val="20"/>
                  <w:szCs w:val="20"/>
                  <w14:ligatures w14:val="none"/>
                </w:rPr>
                <w:t>SOP on salary advances</w:t>
              </w:r>
            </w:hyperlink>
            <w:r w:rsidRPr="00D2258D">
              <w:rPr>
                <w:rFonts w:eastAsia="Times New Roman" w:cstheme="minorHAnsi"/>
                <w:kern w:val="0"/>
                <w:sz w:val="20"/>
                <w:szCs w:val="20"/>
                <w14:ligatures w14:val="none"/>
              </w:rPr>
              <w:t xml:space="preserve">. </w:t>
            </w:r>
          </w:p>
        </w:tc>
        <w:tc>
          <w:tcPr>
            <w:tcW w:w="1170" w:type="dxa"/>
            <w:tcBorders>
              <w:top w:val="nil"/>
              <w:left w:val="nil"/>
              <w:bottom w:val="single" w:sz="4" w:space="0" w:color="auto"/>
              <w:right w:val="single" w:sz="4" w:space="0" w:color="auto"/>
            </w:tcBorders>
          </w:tcPr>
          <w:p w14:paraId="5563396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A9D5D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21A310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7A7FE796" w14:textId="77777777" w:rsidTr="363CA695">
        <w:trPr>
          <w:trHeight w:val="20"/>
        </w:trPr>
        <w:tc>
          <w:tcPr>
            <w:tcW w:w="2970" w:type="dxa"/>
            <w:tcBorders>
              <w:top w:val="nil"/>
              <w:left w:val="single" w:sz="4" w:space="0" w:color="auto"/>
              <w:bottom w:val="single" w:sz="4" w:space="0" w:color="auto"/>
              <w:right w:val="single" w:sz="4" w:space="0" w:color="auto"/>
            </w:tcBorders>
          </w:tcPr>
          <w:p w14:paraId="0FE0BFF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Staff Advance Approver - Operating Unit Level Data Access</w:t>
            </w:r>
          </w:p>
        </w:tc>
        <w:tc>
          <w:tcPr>
            <w:tcW w:w="4590" w:type="dxa"/>
            <w:tcBorders>
              <w:top w:val="nil"/>
              <w:left w:val="nil"/>
              <w:bottom w:val="single" w:sz="4" w:space="0" w:color="auto"/>
              <w:right w:val="single" w:sz="4" w:space="0" w:color="auto"/>
            </w:tcBorders>
          </w:tcPr>
          <w:p w14:paraId="3C30E21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Staff Advance </w:t>
            </w:r>
            <w:proofErr w:type="gramStart"/>
            <w:r w:rsidRPr="00D2258D">
              <w:rPr>
                <w:rFonts w:eastAsia="Times New Roman" w:cstheme="minorHAnsi"/>
                <w:kern w:val="0"/>
                <w:sz w:val="20"/>
                <w:szCs w:val="20"/>
                <w14:ligatures w14:val="none"/>
              </w:rPr>
              <w:t>approver</w:t>
            </w:r>
            <w:proofErr w:type="gramEnd"/>
            <w:r w:rsidRPr="00D2258D">
              <w:rPr>
                <w:rFonts w:eastAsia="Times New Roman" w:cstheme="minorHAnsi"/>
                <w:kern w:val="0"/>
                <w:sz w:val="20"/>
                <w:szCs w:val="20"/>
                <w14:ligatures w14:val="none"/>
              </w:rPr>
              <w:t xml:space="preserve"> by OU/Dept hierarchy. For more information, refer to </w:t>
            </w:r>
            <w:hyperlink r:id="rId202" w:history="1">
              <w:r w:rsidRPr="00D2258D">
                <w:rPr>
                  <w:rStyle w:val="Hyperlink"/>
                  <w:rFonts w:eastAsia="Times New Roman" w:cstheme="minorHAnsi"/>
                  <w:color w:val="auto"/>
                  <w:kern w:val="0"/>
                  <w:sz w:val="20"/>
                  <w:szCs w:val="20"/>
                  <w14:ligatures w14:val="none"/>
                </w:rPr>
                <w:t>SOP on salary advances</w:t>
              </w:r>
            </w:hyperlink>
            <w:r w:rsidRPr="00D2258D">
              <w:rPr>
                <w:rFonts w:eastAsia="Times New Roman" w:cstheme="minorHAnsi"/>
                <w:kern w:val="0"/>
                <w:sz w:val="20"/>
                <w:szCs w:val="20"/>
                <w14:ligatures w14:val="none"/>
              </w:rPr>
              <w:t>.</w:t>
            </w:r>
          </w:p>
        </w:tc>
        <w:tc>
          <w:tcPr>
            <w:tcW w:w="1170" w:type="dxa"/>
            <w:tcBorders>
              <w:top w:val="nil"/>
              <w:left w:val="nil"/>
              <w:bottom w:val="single" w:sz="4" w:space="0" w:color="auto"/>
              <w:right w:val="single" w:sz="4" w:space="0" w:color="auto"/>
            </w:tcBorders>
          </w:tcPr>
          <w:p w14:paraId="3A5E35C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B42716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F047EC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7087A736" w14:textId="77777777" w:rsidTr="363CA695">
        <w:trPr>
          <w:trHeight w:val="20"/>
        </w:trPr>
        <w:tc>
          <w:tcPr>
            <w:tcW w:w="2970" w:type="dxa"/>
            <w:tcBorders>
              <w:top w:val="nil"/>
              <w:left w:val="single" w:sz="4" w:space="0" w:color="auto"/>
              <w:bottom w:val="single" w:sz="4" w:space="0" w:color="auto"/>
              <w:right w:val="single" w:sz="4" w:space="0" w:color="auto"/>
            </w:tcBorders>
          </w:tcPr>
          <w:p w14:paraId="17E4632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Leave Monitor - Operating Unit Level UNDP</w:t>
            </w:r>
          </w:p>
        </w:tc>
        <w:tc>
          <w:tcPr>
            <w:tcW w:w="4590" w:type="dxa"/>
            <w:tcBorders>
              <w:top w:val="nil"/>
              <w:left w:val="nil"/>
              <w:bottom w:val="single" w:sz="4" w:space="0" w:color="auto"/>
              <w:right w:val="single" w:sz="4" w:space="0" w:color="auto"/>
            </w:tcBorders>
          </w:tcPr>
          <w:p w14:paraId="2FBC73C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Access to updates </w:t>
            </w:r>
            <w:proofErr w:type="gramStart"/>
            <w:r w:rsidRPr="00D2258D">
              <w:rPr>
                <w:rFonts w:eastAsia="Times New Roman" w:cstheme="minorHAnsi"/>
                <w:kern w:val="0"/>
                <w:sz w:val="20"/>
                <w:szCs w:val="20"/>
                <w14:ligatures w14:val="none"/>
              </w:rPr>
              <w:t>leave</w:t>
            </w:r>
            <w:proofErr w:type="gramEnd"/>
            <w:r w:rsidRPr="00D2258D">
              <w:rPr>
                <w:rFonts w:eastAsia="Times New Roman" w:cstheme="minorHAnsi"/>
                <w:kern w:val="0"/>
                <w:sz w:val="20"/>
                <w:szCs w:val="20"/>
                <w14:ligatures w14:val="none"/>
              </w:rPr>
              <w:t xml:space="preserve"> balances within a particular Operating Unit.</w:t>
            </w:r>
          </w:p>
        </w:tc>
        <w:tc>
          <w:tcPr>
            <w:tcW w:w="1170" w:type="dxa"/>
            <w:tcBorders>
              <w:top w:val="nil"/>
              <w:left w:val="nil"/>
              <w:bottom w:val="single" w:sz="4" w:space="0" w:color="auto"/>
              <w:right w:val="single" w:sz="4" w:space="0" w:color="auto"/>
            </w:tcBorders>
          </w:tcPr>
          <w:p w14:paraId="6BB39F3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64F00B1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7E5A8BF"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65E92C96"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1F26BE2D"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Payroll Validation Tool User - Operating Unit Level </w:t>
            </w:r>
          </w:p>
        </w:tc>
        <w:tc>
          <w:tcPr>
            <w:tcW w:w="4590" w:type="dxa"/>
            <w:tcBorders>
              <w:top w:val="nil"/>
              <w:left w:val="nil"/>
              <w:bottom w:val="single" w:sz="4" w:space="0" w:color="auto"/>
              <w:right w:val="single" w:sz="4" w:space="0" w:color="auto"/>
            </w:tcBorders>
            <w:hideMark/>
          </w:tcPr>
          <w:p w14:paraId="2C5A8C0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Allow the user to access the payroll validation and workflow pages in Payroll Validation Tool. This role is available for BMS/GSSC and outposted HQ locations only.</w:t>
            </w:r>
          </w:p>
        </w:tc>
        <w:tc>
          <w:tcPr>
            <w:tcW w:w="1170" w:type="dxa"/>
            <w:tcBorders>
              <w:top w:val="nil"/>
              <w:left w:val="nil"/>
              <w:bottom w:val="single" w:sz="4" w:space="0" w:color="auto"/>
              <w:right w:val="single" w:sz="4" w:space="0" w:color="auto"/>
            </w:tcBorders>
            <w:hideMark/>
          </w:tcPr>
          <w:p w14:paraId="28BBC8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c>
          <w:tcPr>
            <w:tcW w:w="872" w:type="dxa"/>
            <w:tcBorders>
              <w:top w:val="nil"/>
              <w:left w:val="nil"/>
              <w:bottom w:val="single" w:sz="4" w:space="0" w:color="auto"/>
              <w:right w:val="single" w:sz="4" w:space="0" w:color="auto"/>
            </w:tcBorders>
            <w:hideMark/>
          </w:tcPr>
          <w:p w14:paraId="4704170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02F4017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32CDDF52" w14:textId="77777777" w:rsidTr="363CA695">
        <w:trPr>
          <w:trHeight w:val="20"/>
        </w:trPr>
        <w:tc>
          <w:tcPr>
            <w:tcW w:w="2970" w:type="dxa"/>
            <w:tcBorders>
              <w:top w:val="nil"/>
              <w:left w:val="single" w:sz="4" w:space="0" w:color="auto"/>
              <w:bottom w:val="single" w:sz="4" w:space="0" w:color="auto"/>
              <w:right w:val="single" w:sz="4" w:space="0" w:color="auto"/>
            </w:tcBorders>
          </w:tcPr>
          <w:p w14:paraId="3D60681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UFF Download Profile</w:t>
            </w:r>
          </w:p>
        </w:tc>
        <w:tc>
          <w:tcPr>
            <w:tcW w:w="4590" w:type="dxa"/>
            <w:tcBorders>
              <w:top w:val="nil"/>
              <w:left w:val="nil"/>
              <w:bottom w:val="single" w:sz="4" w:space="0" w:color="auto"/>
              <w:right w:val="single" w:sz="4" w:space="0" w:color="auto"/>
            </w:tcBorders>
          </w:tcPr>
          <w:p w14:paraId="3685EC8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UFF Files Download Access</w:t>
            </w:r>
          </w:p>
        </w:tc>
        <w:tc>
          <w:tcPr>
            <w:tcW w:w="1170" w:type="dxa"/>
            <w:tcBorders>
              <w:top w:val="nil"/>
              <w:left w:val="nil"/>
              <w:bottom w:val="single" w:sz="4" w:space="0" w:color="auto"/>
              <w:right w:val="single" w:sz="4" w:space="0" w:color="auto"/>
            </w:tcBorders>
          </w:tcPr>
          <w:p w14:paraId="4AD0F840"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D081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316F550" w14:textId="4CF18102"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 PSA only</w:t>
            </w:r>
          </w:p>
        </w:tc>
      </w:tr>
      <w:tr w:rsidR="00B27D72" w:rsidRPr="00A95453" w14:paraId="27A886FD"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1EFD1DCA" w14:textId="110FFB96"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Position Administration</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6F6C8F6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2C6EF30"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14D2CCE5"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60B3977"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61F38A2"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074F5C06"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Administrator - Operating Unit Level Data Access</w:t>
            </w:r>
          </w:p>
        </w:tc>
        <w:tc>
          <w:tcPr>
            <w:tcW w:w="4590" w:type="dxa"/>
            <w:tcBorders>
              <w:top w:val="nil"/>
              <w:left w:val="nil"/>
              <w:bottom w:val="single" w:sz="4" w:space="0" w:color="auto"/>
              <w:right w:val="single" w:sz="4" w:space="0" w:color="auto"/>
            </w:tcBorders>
            <w:hideMark/>
          </w:tcPr>
          <w:p w14:paraId="0A8A09E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Access to create and update positions by Operating Unit/Department Hierarchy</w:t>
            </w:r>
          </w:p>
        </w:tc>
        <w:tc>
          <w:tcPr>
            <w:tcW w:w="1170" w:type="dxa"/>
            <w:tcBorders>
              <w:top w:val="nil"/>
              <w:left w:val="nil"/>
              <w:bottom w:val="single" w:sz="4" w:space="0" w:color="auto"/>
              <w:right w:val="single" w:sz="4" w:space="0" w:color="auto"/>
            </w:tcBorders>
            <w:hideMark/>
          </w:tcPr>
          <w:p w14:paraId="6CABA854"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1065998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24C07397" w14:textId="5EA16A30" w:rsidR="00A95453" w:rsidRPr="00D2258D" w:rsidRDefault="00BF4471">
            <w:pPr>
              <w:spacing w:after="0" w:line="240" w:lineRule="auto"/>
              <w:jc w:val="center"/>
              <w:rPr>
                <w:rFonts w:eastAsia="Times New Roman" w:cstheme="minorHAnsi"/>
                <w:kern w:val="0"/>
                <w:sz w:val="20"/>
                <w:szCs w:val="20"/>
                <w14:ligatures w14:val="none"/>
              </w:rPr>
            </w:pPr>
            <w:r>
              <w:rPr>
                <w:rFonts w:eastAsia="Times New Roman" w:cstheme="minorHAnsi"/>
                <w:kern w:val="0"/>
                <w:sz w:val="20"/>
                <w:szCs w:val="20"/>
                <w14:ligatures w14:val="none"/>
              </w:rPr>
              <w:t>Yes</w:t>
            </w:r>
          </w:p>
        </w:tc>
      </w:tr>
      <w:tr w:rsidR="00B27D72" w:rsidRPr="00A95453" w14:paraId="76EC3FF0" w14:textId="77777777" w:rsidTr="363CA695">
        <w:trPr>
          <w:trHeight w:val="20"/>
        </w:trPr>
        <w:tc>
          <w:tcPr>
            <w:tcW w:w="2970" w:type="dxa"/>
            <w:tcBorders>
              <w:top w:val="nil"/>
              <w:left w:val="single" w:sz="4" w:space="0" w:color="auto"/>
              <w:bottom w:val="single" w:sz="4" w:space="0" w:color="auto"/>
              <w:right w:val="single" w:sz="4" w:space="0" w:color="auto"/>
            </w:tcBorders>
          </w:tcPr>
          <w:p w14:paraId="76CC4AF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HR Manager by Department</w:t>
            </w:r>
          </w:p>
        </w:tc>
        <w:tc>
          <w:tcPr>
            <w:tcW w:w="4590" w:type="dxa"/>
            <w:tcBorders>
              <w:top w:val="nil"/>
              <w:left w:val="nil"/>
              <w:bottom w:val="single" w:sz="4" w:space="0" w:color="auto"/>
              <w:right w:val="single" w:sz="4" w:space="0" w:color="auto"/>
            </w:tcBorders>
          </w:tcPr>
          <w:p w14:paraId="16657EDD"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For colleagues in departments/COs who act as the first line of reviewers for any position request. For more information, refer </w:t>
            </w:r>
            <w:hyperlink r:id="rId203" w:history="1">
              <w:r w:rsidRPr="00D2258D">
                <w:rPr>
                  <w:rStyle w:val="Hyperlink"/>
                  <w:rFonts w:eastAsia="Times New Roman" w:cstheme="minorHAnsi"/>
                  <w:color w:val="auto"/>
                  <w:kern w:val="0"/>
                  <w:sz w:val="20"/>
                  <w:szCs w:val="20"/>
                  <w14:ligatures w14:val="none"/>
                </w:rPr>
                <w:t>UNall knowledge article</w:t>
              </w:r>
            </w:hyperlink>
            <w:r w:rsidRPr="00D2258D">
              <w:rPr>
                <w:rFonts w:eastAsia="Times New Roman" w:cstheme="minorHAnsi"/>
                <w:kern w:val="0"/>
                <w:sz w:val="20"/>
                <w:szCs w:val="20"/>
                <w14:ligatures w14:val="none"/>
              </w:rPr>
              <w:t>.</w:t>
            </w:r>
          </w:p>
        </w:tc>
        <w:tc>
          <w:tcPr>
            <w:tcW w:w="1170" w:type="dxa"/>
            <w:tcBorders>
              <w:top w:val="nil"/>
              <w:left w:val="nil"/>
              <w:bottom w:val="single" w:sz="4" w:space="0" w:color="auto"/>
              <w:right w:val="single" w:sz="4" w:space="0" w:color="auto"/>
            </w:tcBorders>
          </w:tcPr>
          <w:p w14:paraId="4EC0AB8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5081C35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D30DF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18AEB9B"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605DC34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Budget Reviewer by Department</w:t>
            </w:r>
          </w:p>
        </w:tc>
        <w:tc>
          <w:tcPr>
            <w:tcW w:w="4590" w:type="dxa"/>
            <w:tcBorders>
              <w:top w:val="nil"/>
              <w:left w:val="nil"/>
              <w:bottom w:val="single" w:sz="4" w:space="0" w:color="auto"/>
              <w:right w:val="single" w:sz="4" w:space="0" w:color="auto"/>
            </w:tcBorders>
            <w:hideMark/>
          </w:tcPr>
          <w:p w14:paraId="081AA7E9"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For finance colleagues responsible for ascertaining there is proper funding available for the position request in a department or a country office. For more information, refer </w:t>
            </w:r>
            <w:hyperlink r:id="rId204" w:history="1">
              <w:r w:rsidRPr="00D2258D">
                <w:rPr>
                  <w:rStyle w:val="Hyperlink"/>
                  <w:rFonts w:eastAsia="Times New Roman"/>
                  <w:color w:val="auto"/>
                  <w:kern w:val="0"/>
                  <w:sz w:val="20"/>
                  <w:szCs w:val="20"/>
                  <w14:ligatures w14:val="none"/>
                </w:rPr>
                <w:t>UNall knowledge article</w:t>
              </w:r>
            </w:hyperlink>
            <w:r w:rsidRPr="00D2258D">
              <w:rPr>
                <w:rFonts w:eastAsia="Times New Roman"/>
                <w:kern w:val="0"/>
                <w:sz w:val="20"/>
                <w:szCs w:val="20"/>
                <w14:ligatures w14:val="none"/>
              </w:rPr>
              <w:t>.</w:t>
            </w:r>
          </w:p>
          <w:p w14:paraId="01A852F1" w14:textId="77777777" w:rsidR="00A95453" w:rsidRPr="00D2258D" w:rsidRDefault="00A95453">
            <w:pPr>
              <w:spacing w:after="0" w:line="240" w:lineRule="auto"/>
              <w:rPr>
                <w:rFonts w:eastAsia="Times New Roman" w:cstheme="minorHAnsi"/>
                <w:kern w:val="0"/>
                <w:sz w:val="20"/>
                <w:szCs w:val="20"/>
                <w14:ligatures w14:val="none"/>
              </w:rPr>
            </w:pPr>
          </w:p>
        </w:tc>
        <w:tc>
          <w:tcPr>
            <w:tcW w:w="1170" w:type="dxa"/>
            <w:tcBorders>
              <w:top w:val="nil"/>
              <w:left w:val="nil"/>
              <w:bottom w:val="single" w:sz="4" w:space="0" w:color="auto"/>
              <w:right w:val="single" w:sz="4" w:space="0" w:color="auto"/>
            </w:tcBorders>
            <w:hideMark/>
          </w:tcPr>
          <w:p w14:paraId="31828AF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781B08E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030F74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E36BBF"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397D757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lastRenderedPageBreak/>
              <w:t>Position Approver Head of Office</w:t>
            </w:r>
          </w:p>
        </w:tc>
        <w:tc>
          <w:tcPr>
            <w:tcW w:w="4590" w:type="dxa"/>
            <w:tcBorders>
              <w:top w:val="nil"/>
              <w:left w:val="nil"/>
              <w:bottom w:val="single" w:sz="4" w:space="0" w:color="auto"/>
              <w:right w:val="single" w:sz="4" w:space="0" w:color="auto"/>
            </w:tcBorders>
            <w:hideMark/>
          </w:tcPr>
          <w:p w14:paraId="1D106678" w14:textId="77777777" w:rsidR="00A95453" w:rsidRPr="00D2258D" w:rsidRDefault="00A95453"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For RRs/DRRS/ Head of office or Head of office delegates confirming the request for a position in their respective departments/</w:t>
            </w:r>
            <w:proofErr w:type="spellStart"/>
            <w:r w:rsidRPr="00D2258D">
              <w:rPr>
                <w:rFonts w:eastAsia="Times New Roman"/>
                <w:kern w:val="0"/>
                <w:sz w:val="20"/>
                <w:szCs w:val="20"/>
                <w14:ligatures w14:val="none"/>
              </w:rPr>
              <w:t>COs.</w:t>
            </w:r>
            <w:proofErr w:type="spellEnd"/>
            <w:r w:rsidRPr="00D2258D">
              <w:rPr>
                <w:rFonts w:eastAsia="Times New Roman"/>
                <w:kern w:val="0"/>
                <w:sz w:val="20"/>
                <w:szCs w:val="20"/>
                <w14:ligatures w14:val="none"/>
              </w:rPr>
              <w:t xml:space="preserve"> For more information, refer </w:t>
            </w:r>
            <w:hyperlink r:id="rId205" w:history="1">
              <w:r w:rsidRPr="00D2258D">
                <w:rPr>
                  <w:rStyle w:val="Hyperlink"/>
                  <w:rFonts w:eastAsia="Times New Roman"/>
                  <w:color w:val="auto"/>
                  <w:kern w:val="0"/>
                  <w:sz w:val="20"/>
                  <w:szCs w:val="20"/>
                  <w14:ligatures w14:val="none"/>
                </w:rPr>
                <w:t>UNall knowledge article</w:t>
              </w:r>
            </w:hyperlink>
            <w:r w:rsidRPr="00D2258D">
              <w:rPr>
                <w:rFonts w:eastAsia="Times New Roman"/>
                <w:kern w:val="0"/>
                <w:sz w:val="20"/>
                <w:szCs w:val="20"/>
                <w14:ligatures w14:val="none"/>
              </w:rPr>
              <w:t>.</w:t>
            </w:r>
          </w:p>
          <w:p w14:paraId="1937D653" w14:textId="77777777" w:rsidR="00A95453" w:rsidRPr="00D2258D" w:rsidRDefault="00A95453">
            <w:pPr>
              <w:spacing w:after="0" w:line="240" w:lineRule="auto"/>
              <w:rPr>
                <w:rFonts w:eastAsia="Times New Roman" w:cstheme="minorHAnsi"/>
                <w:kern w:val="0"/>
                <w:sz w:val="20"/>
                <w:szCs w:val="20"/>
                <w14:ligatures w14:val="none"/>
              </w:rPr>
            </w:pPr>
          </w:p>
        </w:tc>
        <w:tc>
          <w:tcPr>
            <w:tcW w:w="1170" w:type="dxa"/>
            <w:tcBorders>
              <w:top w:val="nil"/>
              <w:left w:val="nil"/>
              <w:bottom w:val="single" w:sz="4" w:space="0" w:color="auto"/>
              <w:right w:val="single" w:sz="4" w:space="0" w:color="auto"/>
            </w:tcBorders>
            <w:hideMark/>
          </w:tcPr>
          <w:p w14:paraId="0E25E1A2"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E4DAF2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6545914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B27D72" w:rsidRPr="00A95453" w14:paraId="5840184A" w14:textId="77777777" w:rsidTr="363CA695">
        <w:trPr>
          <w:trHeight w:val="20"/>
        </w:trPr>
        <w:tc>
          <w:tcPr>
            <w:tcW w:w="2970" w:type="dxa"/>
            <w:tcBorders>
              <w:top w:val="nil"/>
              <w:left w:val="single" w:sz="4" w:space="0" w:color="auto"/>
              <w:bottom w:val="single" w:sz="4" w:space="0" w:color="auto"/>
              <w:right w:val="single" w:sz="4" w:space="0" w:color="auto"/>
            </w:tcBorders>
          </w:tcPr>
          <w:p w14:paraId="07A94A2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Labor Schedule Administrator - Operating Unit Level UNDP</w:t>
            </w:r>
          </w:p>
        </w:tc>
        <w:tc>
          <w:tcPr>
            <w:tcW w:w="4590" w:type="dxa"/>
            <w:tcBorders>
              <w:top w:val="nil"/>
              <w:left w:val="nil"/>
              <w:bottom w:val="single" w:sz="4" w:space="0" w:color="auto"/>
              <w:right w:val="single" w:sz="4" w:space="0" w:color="auto"/>
            </w:tcBorders>
          </w:tcPr>
          <w:p w14:paraId="048E130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is a discretionary role provisioned to end-users on an as required basis for the purpose of managing labor schedules for the people belonging to designated departments. Labor schedules are defined to distribute the effort of a person into project and non-project work for a specified duration. This role will have access to UNDP dept Hierarchy.</w:t>
            </w:r>
          </w:p>
        </w:tc>
        <w:tc>
          <w:tcPr>
            <w:tcW w:w="1170" w:type="dxa"/>
            <w:tcBorders>
              <w:top w:val="nil"/>
              <w:left w:val="nil"/>
              <w:bottom w:val="single" w:sz="4" w:space="0" w:color="auto"/>
              <w:right w:val="single" w:sz="4" w:space="0" w:color="auto"/>
            </w:tcBorders>
          </w:tcPr>
          <w:p w14:paraId="597DE0F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4D2C5E9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3A3682A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58A049D4"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2DF0A8E0"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Recruitment</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048B52A0"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6FED6EE8"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02C4AF9F"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4E922B9F"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2086E0E4"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183D3D68" w14:textId="77777777" w:rsidR="00A95453" w:rsidRPr="00D2258D" w:rsidRDefault="00A95453">
            <w:pPr>
              <w:spacing w:after="0" w:line="240" w:lineRule="auto"/>
              <w:rPr>
                <w:rFonts w:eastAsia="Times New Roman"/>
                <w:kern w:val="0"/>
                <w:sz w:val="20"/>
                <w:szCs w:val="20"/>
                <w14:ligatures w14:val="none"/>
              </w:rPr>
            </w:pPr>
            <w:r w:rsidRPr="00D2258D">
              <w:rPr>
                <w:rFonts w:eastAsia="Times New Roman"/>
                <w:kern w:val="0"/>
                <w:sz w:val="20"/>
                <w:szCs w:val="20"/>
                <w14:ligatures w14:val="none"/>
              </w:rPr>
              <w:t>Recruiter UNDP</w:t>
            </w:r>
          </w:p>
        </w:tc>
        <w:tc>
          <w:tcPr>
            <w:tcW w:w="4590" w:type="dxa"/>
            <w:tcBorders>
              <w:top w:val="nil"/>
              <w:left w:val="nil"/>
              <w:bottom w:val="single" w:sz="4" w:space="0" w:color="auto"/>
              <w:right w:val="single" w:sz="4" w:space="0" w:color="auto"/>
            </w:tcBorders>
            <w:hideMark/>
          </w:tcPr>
          <w:p w14:paraId="00698E22"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Individual who supports the recruitment process by pursuing and evaluating potential candidates. Also manages recruiting sites and job postings for the data related to UNDP Organization</w:t>
            </w:r>
          </w:p>
        </w:tc>
        <w:tc>
          <w:tcPr>
            <w:tcW w:w="1170" w:type="dxa"/>
            <w:tcBorders>
              <w:top w:val="nil"/>
              <w:left w:val="nil"/>
              <w:bottom w:val="single" w:sz="4" w:space="0" w:color="auto"/>
              <w:right w:val="single" w:sz="4" w:space="0" w:color="auto"/>
            </w:tcBorders>
            <w:hideMark/>
          </w:tcPr>
          <w:p w14:paraId="6C7E6F8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4989DC0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48CAA0C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8F22C2"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tcPr>
          <w:p w14:paraId="716E4233"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Learning, Development, PMD</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tcPr>
          <w:p w14:paraId="2DEE8149"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tcPr>
          <w:p w14:paraId="31E29095"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tcPr>
          <w:p w14:paraId="5BD16D6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0C5F215A"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3A19DC13" w14:textId="77777777" w:rsidTr="363CA695">
        <w:trPr>
          <w:trHeight w:val="20"/>
        </w:trPr>
        <w:tc>
          <w:tcPr>
            <w:tcW w:w="2970" w:type="dxa"/>
            <w:tcBorders>
              <w:top w:val="nil"/>
              <w:left w:val="single" w:sz="4" w:space="0" w:color="auto"/>
              <w:bottom w:val="single" w:sz="4" w:space="0" w:color="auto"/>
              <w:right w:val="single" w:sz="4" w:space="0" w:color="auto"/>
            </w:tcBorders>
          </w:tcPr>
          <w:p w14:paraId="663534A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PMD Focal Point - Operating Unit Level Data Access</w:t>
            </w:r>
          </w:p>
        </w:tc>
        <w:tc>
          <w:tcPr>
            <w:tcW w:w="4590" w:type="dxa"/>
            <w:tcBorders>
              <w:top w:val="nil"/>
              <w:left w:val="nil"/>
              <w:bottom w:val="single" w:sz="4" w:space="0" w:color="auto"/>
              <w:right w:val="single" w:sz="4" w:space="0" w:color="auto"/>
            </w:tcBorders>
          </w:tcPr>
          <w:p w14:paraId="2231019F"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View performance document, create performance document (for TMRG), change performance document due dates, print performance document - Operating Unit Level</w:t>
            </w:r>
          </w:p>
        </w:tc>
        <w:tc>
          <w:tcPr>
            <w:tcW w:w="1170" w:type="dxa"/>
            <w:tcBorders>
              <w:top w:val="nil"/>
              <w:left w:val="nil"/>
              <w:bottom w:val="single" w:sz="4" w:space="0" w:color="auto"/>
              <w:right w:val="single" w:sz="4" w:space="0" w:color="auto"/>
            </w:tcBorders>
          </w:tcPr>
          <w:p w14:paraId="4D17F14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tcPr>
          <w:p w14:paraId="2A8FF3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c>
          <w:tcPr>
            <w:tcW w:w="1288" w:type="dxa"/>
            <w:tcBorders>
              <w:top w:val="nil"/>
              <w:left w:val="nil"/>
              <w:bottom w:val="single" w:sz="4" w:space="0" w:color="auto"/>
              <w:right w:val="single" w:sz="4" w:space="0" w:color="auto"/>
            </w:tcBorders>
          </w:tcPr>
          <w:p w14:paraId="6F76C2B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4426D40"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0D1C91D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Development Manager - Operating Unit Level UNDP</w:t>
            </w:r>
          </w:p>
        </w:tc>
        <w:tc>
          <w:tcPr>
            <w:tcW w:w="4590" w:type="dxa"/>
            <w:tcBorders>
              <w:top w:val="nil"/>
              <w:left w:val="nil"/>
              <w:bottom w:val="single" w:sz="4" w:space="0" w:color="auto"/>
              <w:right w:val="single" w:sz="4" w:space="0" w:color="auto"/>
            </w:tcBorders>
            <w:hideMark/>
          </w:tcPr>
          <w:p w14:paraId="1C1446F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Allows access to run multiple learning report ESS jobs by department:</w:t>
            </w:r>
          </w:p>
          <w:p w14:paraId="50F250DC"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Active Inactive Users Report</w:t>
            </w:r>
          </w:p>
          <w:p w14:paraId="7B14E26F"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Course Competency Report</w:t>
            </w:r>
          </w:p>
          <w:p w14:paraId="6B3FA658"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Course Utilization Report</w:t>
            </w:r>
          </w:p>
          <w:p w14:paraId="03DD7F13" w14:textId="77777777" w:rsidR="00A95453" w:rsidRPr="00D2258D" w:rsidRDefault="00A95453">
            <w:pPr>
              <w:pStyle w:val="ListParagraph"/>
              <w:numPr>
                <w:ilvl w:val="0"/>
                <w:numId w:val="31"/>
              </w:num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UN Mandatory Course Status Report</w:t>
            </w:r>
          </w:p>
        </w:tc>
        <w:tc>
          <w:tcPr>
            <w:tcW w:w="1170" w:type="dxa"/>
            <w:tcBorders>
              <w:top w:val="nil"/>
              <w:left w:val="nil"/>
              <w:bottom w:val="single" w:sz="4" w:space="0" w:color="auto"/>
              <w:right w:val="single" w:sz="4" w:space="0" w:color="auto"/>
            </w:tcBorders>
            <w:hideMark/>
          </w:tcPr>
          <w:p w14:paraId="6360AE2D"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0F06EFFC"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8313EC9"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103C67D7" w14:textId="77777777" w:rsidTr="363CA695">
        <w:trPr>
          <w:trHeight w:val="20"/>
        </w:trPr>
        <w:tc>
          <w:tcPr>
            <w:tcW w:w="2970" w:type="dxa"/>
            <w:tcBorders>
              <w:top w:val="nil"/>
              <w:left w:val="single" w:sz="4" w:space="0" w:color="auto"/>
              <w:bottom w:val="single" w:sz="4" w:space="0" w:color="auto"/>
              <w:right w:val="single" w:sz="4" w:space="0" w:color="auto"/>
            </w:tcBorders>
            <w:hideMark/>
          </w:tcPr>
          <w:p w14:paraId="73660DFC"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 Operating Unit Level UNDP</w:t>
            </w:r>
          </w:p>
        </w:tc>
        <w:tc>
          <w:tcPr>
            <w:tcW w:w="4590" w:type="dxa"/>
            <w:tcBorders>
              <w:top w:val="nil"/>
              <w:left w:val="nil"/>
              <w:bottom w:val="single" w:sz="4" w:space="0" w:color="auto"/>
              <w:right w:val="single" w:sz="4" w:space="0" w:color="auto"/>
            </w:tcBorders>
            <w:hideMark/>
          </w:tcPr>
          <w:p w14:paraId="2D335F4E"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profile with access to department and nodes below. Allows for setting up and executing Talent review meeting</w:t>
            </w:r>
          </w:p>
        </w:tc>
        <w:tc>
          <w:tcPr>
            <w:tcW w:w="1170" w:type="dxa"/>
            <w:tcBorders>
              <w:top w:val="nil"/>
              <w:left w:val="nil"/>
              <w:bottom w:val="single" w:sz="4" w:space="0" w:color="auto"/>
              <w:right w:val="single" w:sz="4" w:space="0" w:color="auto"/>
            </w:tcBorders>
            <w:hideMark/>
          </w:tcPr>
          <w:p w14:paraId="26DBF666"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nil"/>
              <w:left w:val="nil"/>
              <w:bottom w:val="single" w:sz="4" w:space="0" w:color="auto"/>
              <w:right w:val="single" w:sz="4" w:space="0" w:color="auto"/>
            </w:tcBorders>
            <w:hideMark/>
          </w:tcPr>
          <w:p w14:paraId="5F88705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04A5F73"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38A84B88" w14:textId="77777777" w:rsidTr="363CA695">
        <w:trPr>
          <w:trHeight w:val="20"/>
        </w:trPr>
        <w:tc>
          <w:tcPr>
            <w:tcW w:w="29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78686B42" w14:textId="77777777" w:rsidR="00A95453" w:rsidRPr="00D2258D" w:rsidRDefault="00A95453">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Read-only roles</w:t>
            </w:r>
          </w:p>
        </w:tc>
        <w:tc>
          <w:tcPr>
            <w:tcW w:w="459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58E7C01B" w14:textId="77777777" w:rsidR="00A95453" w:rsidRPr="00D2258D" w:rsidRDefault="00A95453">
            <w:pPr>
              <w:spacing w:after="0" w:line="240" w:lineRule="auto"/>
              <w:rPr>
                <w:rFonts w:eastAsia="Times New Roman" w:cstheme="minorHAnsi"/>
                <w:b/>
                <w:bCs/>
                <w:kern w:val="0"/>
                <w:sz w:val="20"/>
                <w:szCs w:val="20"/>
                <w14:ligatures w14:val="none"/>
              </w:rPr>
            </w:pPr>
          </w:p>
        </w:tc>
        <w:tc>
          <w:tcPr>
            <w:tcW w:w="1170"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4DC1B2D6" w14:textId="77777777" w:rsidR="00A95453" w:rsidRPr="00D2258D" w:rsidRDefault="00A95453">
            <w:pPr>
              <w:spacing w:after="0" w:line="240" w:lineRule="auto"/>
              <w:rPr>
                <w:rFonts w:eastAsia="Times New Roman" w:cstheme="minorHAnsi"/>
                <w:b/>
                <w:bCs/>
                <w:kern w:val="0"/>
                <w:sz w:val="20"/>
                <w:szCs w:val="20"/>
                <w14:ligatures w14:val="none"/>
              </w:rPr>
            </w:pPr>
          </w:p>
        </w:tc>
        <w:tc>
          <w:tcPr>
            <w:tcW w:w="872" w:type="dxa"/>
            <w:tcBorders>
              <w:top w:val="nil"/>
              <w:left w:val="single" w:sz="4" w:space="0" w:color="auto"/>
              <w:bottom w:val="single" w:sz="4" w:space="0" w:color="auto"/>
              <w:right w:val="single" w:sz="4" w:space="0" w:color="auto"/>
            </w:tcBorders>
            <w:shd w:val="clear" w:color="auto" w:fill="D0CECE" w:themeFill="background2" w:themeFillShade="E6"/>
            <w:vAlign w:val="bottom"/>
          </w:tcPr>
          <w:p w14:paraId="1AF68C38" w14:textId="77777777" w:rsidR="00A95453" w:rsidRPr="00D2258D" w:rsidRDefault="00A95453">
            <w:pPr>
              <w:spacing w:after="0" w:line="240" w:lineRule="auto"/>
              <w:rPr>
                <w:rFonts w:eastAsia="Times New Roman" w:cstheme="minorHAnsi"/>
                <w:b/>
                <w:bCs/>
                <w:kern w:val="0"/>
                <w:sz w:val="20"/>
                <w:szCs w:val="20"/>
                <w14:ligatures w14:val="none"/>
              </w:rPr>
            </w:pPr>
          </w:p>
        </w:tc>
        <w:tc>
          <w:tcPr>
            <w:tcW w:w="1288" w:type="dxa"/>
            <w:tcBorders>
              <w:top w:val="nil"/>
              <w:left w:val="single" w:sz="4" w:space="0" w:color="auto"/>
              <w:bottom w:val="single" w:sz="4" w:space="0" w:color="auto"/>
              <w:right w:val="single" w:sz="4" w:space="0" w:color="auto"/>
            </w:tcBorders>
            <w:shd w:val="clear" w:color="auto" w:fill="D0CECE" w:themeFill="background2" w:themeFillShade="E6"/>
          </w:tcPr>
          <w:p w14:paraId="7F6DF6F7" w14:textId="77777777" w:rsidR="00A95453" w:rsidRPr="00D2258D" w:rsidRDefault="00A95453">
            <w:pPr>
              <w:spacing w:after="0" w:line="240" w:lineRule="auto"/>
              <w:rPr>
                <w:rFonts w:eastAsia="Times New Roman" w:cstheme="minorHAnsi"/>
                <w:b/>
                <w:bCs/>
                <w:kern w:val="0"/>
                <w:sz w:val="20"/>
                <w:szCs w:val="20"/>
                <w14:ligatures w14:val="none"/>
              </w:rPr>
            </w:pPr>
          </w:p>
        </w:tc>
      </w:tr>
      <w:tr w:rsidR="00B27D72" w:rsidRPr="00A95453" w14:paraId="092A0A82" w14:textId="77777777" w:rsidTr="363CA695">
        <w:trPr>
          <w:trHeight w:val="20"/>
        </w:trPr>
        <w:tc>
          <w:tcPr>
            <w:tcW w:w="2970" w:type="dxa"/>
            <w:tcBorders>
              <w:top w:val="nil"/>
              <w:left w:val="single" w:sz="4" w:space="0" w:color="auto"/>
              <w:bottom w:val="single" w:sz="4" w:space="0" w:color="auto"/>
              <w:right w:val="single" w:sz="4" w:space="0" w:color="auto"/>
            </w:tcBorders>
          </w:tcPr>
          <w:p w14:paraId="2B66662B"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Analyst - Service Contractor</w:t>
            </w:r>
          </w:p>
        </w:tc>
        <w:tc>
          <w:tcPr>
            <w:tcW w:w="4590" w:type="dxa"/>
            <w:tcBorders>
              <w:top w:val="nil"/>
              <w:left w:val="nil"/>
              <w:bottom w:val="single" w:sz="4" w:space="0" w:color="auto"/>
              <w:right w:val="single" w:sz="4" w:space="0" w:color="auto"/>
            </w:tcBorders>
          </w:tcPr>
          <w:p w14:paraId="126A3739"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is a read-only role which will allow the user to review data that has been entered against a staff member's assignment record for the operating unit. The access includes the view only access to SC contract holders in UNFPA and UNW as well.</w:t>
            </w:r>
          </w:p>
        </w:tc>
        <w:tc>
          <w:tcPr>
            <w:tcW w:w="1170" w:type="dxa"/>
            <w:tcBorders>
              <w:top w:val="nil"/>
              <w:left w:val="nil"/>
              <w:bottom w:val="single" w:sz="4" w:space="0" w:color="auto"/>
              <w:right w:val="single" w:sz="4" w:space="0" w:color="auto"/>
            </w:tcBorders>
          </w:tcPr>
          <w:p w14:paraId="0FD530A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p w14:paraId="00B7E07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(read only)</w:t>
            </w:r>
          </w:p>
        </w:tc>
        <w:tc>
          <w:tcPr>
            <w:tcW w:w="872" w:type="dxa"/>
            <w:tcBorders>
              <w:top w:val="nil"/>
              <w:left w:val="nil"/>
              <w:bottom w:val="single" w:sz="4" w:space="0" w:color="auto"/>
              <w:right w:val="single" w:sz="4" w:space="0" w:color="auto"/>
            </w:tcBorders>
          </w:tcPr>
          <w:p w14:paraId="292BFE3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17C55A6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B27D72" w:rsidRPr="00A95453" w14:paraId="6E8D0583" w14:textId="77777777" w:rsidTr="363CA695">
        <w:trPr>
          <w:trHeight w:val="20"/>
        </w:trPr>
        <w:tc>
          <w:tcPr>
            <w:tcW w:w="2970" w:type="dxa"/>
            <w:tcBorders>
              <w:top w:val="nil"/>
              <w:left w:val="single" w:sz="4" w:space="0" w:color="auto"/>
              <w:bottom w:val="single" w:sz="4" w:space="0" w:color="auto"/>
              <w:right w:val="single" w:sz="4" w:space="0" w:color="auto"/>
            </w:tcBorders>
          </w:tcPr>
          <w:p w14:paraId="2CE1DA55"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Analyst (Read Only) - Operating Unit Level Data Access UNDP</w:t>
            </w:r>
          </w:p>
        </w:tc>
        <w:tc>
          <w:tcPr>
            <w:tcW w:w="4590" w:type="dxa"/>
            <w:tcBorders>
              <w:top w:val="nil"/>
              <w:left w:val="nil"/>
              <w:bottom w:val="single" w:sz="4" w:space="0" w:color="auto"/>
              <w:right w:val="single" w:sz="4" w:space="0" w:color="auto"/>
            </w:tcBorders>
          </w:tcPr>
          <w:p w14:paraId="6F81BA71"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is a read-only role which will allow the user to review data that has been entered against a staff member's assignment record for the operating unit.</w:t>
            </w:r>
          </w:p>
        </w:tc>
        <w:tc>
          <w:tcPr>
            <w:tcW w:w="1170" w:type="dxa"/>
            <w:tcBorders>
              <w:top w:val="nil"/>
              <w:left w:val="nil"/>
              <w:bottom w:val="single" w:sz="4" w:space="0" w:color="auto"/>
              <w:right w:val="single" w:sz="4" w:space="0" w:color="auto"/>
            </w:tcBorders>
          </w:tcPr>
          <w:p w14:paraId="5EDA752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p w14:paraId="7DCD3135"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(read only)</w:t>
            </w:r>
          </w:p>
        </w:tc>
        <w:tc>
          <w:tcPr>
            <w:tcW w:w="872" w:type="dxa"/>
            <w:tcBorders>
              <w:top w:val="nil"/>
              <w:left w:val="nil"/>
              <w:bottom w:val="single" w:sz="4" w:space="0" w:color="auto"/>
              <w:right w:val="single" w:sz="4" w:space="0" w:color="auto"/>
            </w:tcBorders>
          </w:tcPr>
          <w:p w14:paraId="43E5A881"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nil"/>
              <w:left w:val="nil"/>
              <w:bottom w:val="single" w:sz="4" w:space="0" w:color="auto"/>
              <w:right w:val="single" w:sz="4" w:space="0" w:color="auto"/>
            </w:tcBorders>
          </w:tcPr>
          <w:p w14:paraId="5C7E2637"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16547276"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33196442"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HCM Reports</w:t>
            </w:r>
          </w:p>
        </w:tc>
        <w:tc>
          <w:tcPr>
            <w:tcW w:w="4590" w:type="dxa"/>
            <w:tcBorders>
              <w:top w:val="single" w:sz="4" w:space="0" w:color="auto"/>
              <w:left w:val="nil"/>
              <w:bottom w:val="single" w:sz="4" w:space="0" w:color="auto"/>
              <w:right w:val="single" w:sz="4" w:space="0" w:color="auto"/>
            </w:tcBorders>
          </w:tcPr>
          <w:p w14:paraId="70280094" w14:textId="77777777" w:rsidR="00A95453" w:rsidRPr="00D2258D" w:rsidRDefault="00A95453">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HCM Report Access</w:t>
            </w:r>
          </w:p>
        </w:tc>
        <w:tc>
          <w:tcPr>
            <w:tcW w:w="1170" w:type="dxa"/>
            <w:tcBorders>
              <w:top w:val="single" w:sz="4" w:space="0" w:color="auto"/>
              <w:left w:val="nil"/>
              <w:bottom w:val="single" w:sz="4" w:space="0" w:color="auto"/>
              <w:right w:val="single" w:sz="4" w:space="0" w:color="auto"/>
            </w:tcBorders>
          </w:tcPr>
          <w:p w14:paraId="49AB2E58"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471DB41E"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5993CE0B" w14:textId="77777777" w:rsidR="00A95453" w:rsidRPr="00D2258D" w:rsidRDefault="00A95453">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bl>
    <w:p w14:paraId="1EBC330A" w14:textId="77777777" w:rsidR="00BF1DC4" w:rsidRDefault="00BF1DC4" w:rsidP="00BF1DC4">
      <w:pPr>
        <w:ind w:left="-450"/>
      </w:pPr>
    </w:p>
    <w:p w14:paraId="25284AEB" w14:textId="2CA2FC3B" w:rsidR="00DD14E7" w:rsidRDefault="00BF1DC4" w:rsidP="00BF1DC4">
      <w:pPr>
        <w:ind w:left="-450"/>
      </w:pPr>
      <w:r>
        <w:t>In addition to the above, HQ offices/units (including Representation Offices) may also be assigned:</w:t>
      </w:r>
    </w:p>
    <w:tbl>
      <w:tblPr>
        <w:tblW w:w="10890" w:type="dxa"/>
        <w:tblInd w:w="-455" w:type="dxa"/>
        <w:tblLayout w:type="fixed"/>
        <w:tblCellMar>
          <w:left w:w="72" w:type="dxa"/>
          <w:bottom w:w="43" w:type="dxa"/>
          <w:right w:w="72" w:type="dxa"/>
        </w:tblCellMar>
        <w:tblLook w:val="04A0" w:firstRow="1" w:lastRow="0" w:firstColumn="1" w:lastColumn="0" w:noHBand="0" w:noVBand="1"/>
      </w:tblPr>
      <w:tblGrid>
        <w:gridCol w:w="2970"/>
        <w:gridCol w:w="4590"/>
        <w:gridCol w:w="1170"/>
        <w:gridCol w:w="872"/>
        <w:gridCol w:w="1288"/>
      </w:tblGrid>
      <w:tr w:rsidR="00B27D72" w:rsidRPr="003B7454" w14:paraId="73881CAC" w14:textId="77777777" w:rsidTr="363CA695">
        <w:trPr>
          <w:trHeight w:val="20"/>
          <w:tblHeader/>
        </w:trPr>
        <w:tc>
          <w:tcPr>
            <w:tcW w:w="2970" w:type="dxa"/>
            <w:tcBorders>
              <w:top w:val="single" w:sz="4" w:space="0" w:color="auto"/>
              <w:left w:val="single" w:sz="4" w:space="0" w:color="auto"/>
              <w:bottom w:val="single" w:sz="4" w:space="0" w:color="auto"/>
              <w:right w:val="single" w:sz="4" w:space="0" w:color="auto"/>
            </w:tcBorders>
            <w:shd w:val="clear" w:color="auto" w:fill="0070C0"/>
          </w:tcPr>
          <w:p w14:paraId="51EFA727" w14:textId="4D83E1F3" w:rsidR="00DD14E7" w:rsidRPr="00D2258D" w:rsidRDefault="00DD14E7" w:rsidP="00DD14E7">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lastRenderedPageBreak/>
              <w:t>HR Business Profiles available for HQ offices/units to assign in IDAM</w:t>
            </w:r>
          </w:p>
        </w:tc>
        <w:tc>
          <w:tcPr>
            <w:tcW w:w="4590" w:type="dxa"/>
            <w:tcBorders>
              <w:top w:val="single" w:sz="4" w:space="0" w:color="auto"/>
              <w:left w:val="nil"/>
              <w:bottom w:val="single" w:sz="4" w:space="0" w:color="auto"/>
              <w:right w:val="single" w:sz="4" w:space="0" w:color="auto"/>
            </w:tcBorders>
            <w:shd w:val="clear" w:color="auto" w:fill="0070C0"/>
          </w:tcPr>
          <w:p w14:paraId="71EC68B1" w14:textId="686A925F" w:rsidR="00DD14E7" w:rsidRPr="00D2258D" w:rsidRDefault="00DD14E7" w:rsidP="00DD14E7">
            <w:pPr>
              <w:spacing w:after="0" w:line="240" w:lineRule="auto"/>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Description</w:t>
            </w:r>
          </w:p>
        </w:tc>
        <w:tc>
          <w:tcPr>
            <w:tcW w:w="1170" w:type="dxa"/>
            <w:tcBorders>
              <w:top w:val="single" w:sz="4" w:space="0" w:color="auto"/>
              <w:left w:val="nil"/>
              <w:bottom w:val="single" w:sz="4" w:space="0" w:color="auto"/>
              <w:right w:val="single" w:sz="4" w:space="0" w:color="auto"/>
            </w:tcBorders>
            <w:shd w:val="clear" w:color="auto" w:fill="0070C0"/>
          </w:tcPr>
          <w:p w14:paraId="1579533A" w14:textId="5B7E3E9F"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Payroll</w:t>
            </w:r>
          </w:p>
        </w:tc>
        <w:tc>
          <w:tcPr>
            <w:tcW w:w="872" w:type="dxa"/>
            <w:tcBorders>
              <w:top w:val="single" w:sz="4" w:space="0" w:color="auto"/>
              <w:left w:val="nil"/>
              <w:bottom w:val="single" w:sz="4" w:space="0" w:color="auto"/>
              <w:right w:val="single" w:sz="4" w:space="0" w:color="auto"/>
            </w:tcBorders>
            <w:shd w:val="clear" w:color="auto" w:fill="0070C0"/>
          </w:tcPr>
          <w:p w14:paraId="6A7A9489" w14:textId="15353A1F"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Access to PMD</w:t>
            </w:r>
          </w:p>
        </w:tc>
        <w:tc>
          <w:tcPr>
            <w:tcW w:w="1288" w:type="dxa"/>
            <w:tcBorders>
              <w:top w:val="single" w:sz="4" w:space="0" w:color="auto"/>
              <w:left w:val="nil"/>
              <w:bottom w:val="single" w:sz="4" w:space="0" w:color="auto"/>
              <w:right w:val="single" w:sz="4" w:space="0" w:color="auto"/>
            </w:tcBorders>
            <w:shd w:val="clear" w:color="auto" w:fill="0070C0"/>
          </w:tcPr>
          <w:p w14:paraId="7BA13C02" w14:textId="3603815E" w:rsidR="00DD14E7" w:rsidRPr="00D2258D" w:rsidRDefault="00DD14E7" w:rsidP="00DD14E7">
            <w:pPr>
              <w:spacing w:after="0" w:line="240" w:lineRule="auto"/>
              <w:jc w:val="center"/>
              <w:rPr>
                <w:rFonts w:eastAsia="Times New Roman" w:cstheme="minorHAnsi"/>
                <w:b/>
                <w:bCs/>
                <w:kern w:val="0"/>
                <w:sz w:val="20"/>
                <w:szCs w:val="20"/>
                <w14:ligatures w14:val="none"/>
              </w:rPr>
            </w:pPr>
            <w:r w:rsidRPr="00D2258D">
              <w:rPr>
                <w:rFonts w:eastAsia="Times New Roman" w:cstheme="minorHAnsi"/>
                <w:b/>
                <w:bCs/>
                <w:kern w:val="0"/>
                <w:sz w:val="20"/>
                <w:szCs w:val="20"/>
                <w14:ligatures w14:val="none"/>
              </w:rPr>
              <w:t>IDAM allows assignment to non-staff</w:t>
            </w:r>
          </w:p>
        </w:tc>
      </w:tr>
      <w:tr w:rsidR="00147C55" w:rsidRPr="00A95453" w14:paraId="04F1140D"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155E679F"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HR Manager - Operating Unit Level Data Access</w:t>
            </w:r>
          </w:p>
        </w:tc>
        <w:tc>
          <w:tcPr>
            <w:tcW w:w="4590" w:type="dxa"/>
            <w:tcBorders>
              <w:top w:val="single" w:sz="4" w:space="0" w:color="auto"/>
              <w:left w:val="nil"/>
              <w:bottom w:val="single" w:sz="4" w:space="0" w:color="auto"/>
              <w:right w:val="single" w:sz="4" w:space="0" w:color="auto"/>
            </w:tcBorders>
          </w:tcPr>
          <w:p w14:paraId="61B9FCE0" w14:textId="029815F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This role allows the user to manage users for the non</w:t>
            </w:r>
            <w:r w:rsidR="009B4AEE" w:rsidRPr="00D2258D">
              <w:rPr>
                <w:rFonts w:eastAsia="Times New Roman" w:cstheme="minorHAnsi"/>
                <w:kern w:val="0"/>
                <w:sz w:val="20"/>
                <w:szCs w:val="20"/>
                <w14:ligatures w14:val="none"/>
              </w:rPr>
              <w:t>-</w:t>
            </w:r>
            <w:r w:rsidRPr="00D2258D">
              <w:rPr>
                <w:rFonts w:eastAsia="Times New Roman" w:cstheme="minorHAnsi"/>
                <w:kern w:val="0"/>
                <w:sz w:val="20"/>
                <w:szCs w:val="20"/>
                <w14:ligatures w14:val="none"/>
              </w:rPr>
              <w:t>clustered unit. It provides HR transaction access to enter and update staff information for the department.</w:t>
            </w:r>
          </w:p>
        </w:tc>
        <w:tc>
          <w:tcPr>
            <w:tcW w:w="1170" w:type="dxa"/>
            <w:tcBorders>
              <w:top w:val="single" w:sz="4" w:space="0" w:color="auto"/>
              <w:left w:val="nil"/>
              <w:bottom w:val="single" w:sz="4" w:space="0" w:color="auto"/>
              <w:right w:val="single" w:sz="4" w:space="0" w:color="auto"/>
            </w:tcBorders>
          </w:tcPr>
          <w:p w14:paraId="37270D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 (view only)</w:t>
            </w:r>
          </w:p>
        </w:tc>
        <w:tc>
          <w:tcPr>
            <w:tcW w:w="872" w:type="dxa"/>
            <w:tcBorders>
              <w:top w:val="single" w:sz="4" w:space="0" w:color="auto"/>
              <w:left w:val="nil"/>
              <w:bottom w:val="single" w:sz="4" w:space="0" w:color="auto"/>
              <w:right w:val="single" w:sz="4" w:space="0" w:color="auto"/>
            </w:tcBorders>
          </w:tcPr>
          <w:p w14:paraId="703C843D"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 (view only)</w:t>
            </w:r>
          </w:p>
        </w:tc>
        <w:tc>
          <w:tcPr>
            <w:tcW w:w="1288" w:type="dxa"/>
            <w:tcBorders>
              <w:top w:val="single" w:sz="4" w:space="0" w:color="auto"/>
              <w:left w:val="nil"/>
              <w:bottom w:val="single" w:sz="4" w:space="0" w:color="auto"/>
              <w:right w:val="single" w:sz="4" w:space="0" w:color="auto"/>
            </w:tcBorders>
          </w:tcPr>
          <w:p w14:paraId="5CAA1B9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147C55" w:rsidRPr="00A95453" w14:paraId="16B46C31"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2F9ADFEF"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Labor Schedule Administrator - Bureau Level UNDP</w:t>
            </w:r>
          </w:p>
        </w:tc>
        <w:tc>
          <w:tcPr>
            <w:tcW w:w="4590" w:type="dxa"/>
            <w:tcBorders>
              <w:top w:val="single" w:sz="4" w:space="0" w:color="auto"/>
              <w:left w:val="nil"/>
              <w:bottom w:val="single" w:sz="4" w:space="0" w:color="auto"/>
              <w:right w:val="single" w:sz="4" w:space="0" w:color="auto"/>
            </w:tcBorders>
          </w:tcPr>
          <w:p w14:paraId="638DA9EA"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 xml:space="preserve">This is a discretionary role provisioned to end-users </w:t>
            </w:r>
            <w:proofErr w:type="gramStart"/>
            <w:r w:rsidRPr="00D2258D">
              <w:rPr>
                <w:rFonts w:eastAsia="Times New Roman" w:cstheme="minorHAnsi"/>
                <w:kern w:val="0"/>
                <w:sz w:val="20"/>
                <w:szCs w:val="20"/>
                <w14:ligatures w14:val="none"/>
              </w:rPr>
              <w:t>on an</w:t>
            </w:r>
            <w:proofErr w:type="gramEnd"/>
            <w:r w:rsidRPr="00D2258D">
              <w:rPr>
                <w:rFonts w:eastAsia="Times New Roman" w:cstheme="minorHAnsi"/>
                <w:kern w:val="0"/>
                <w:sz w:val="20"/>
                <w:szCs w:val="20"/>
                <w14:ligatures w14:val="none"/>
              </w:rPr>
              <w:t xml:space="preserve"> as required basis for the purpose of managing labor schedules for the people belonging to the bureau. Labor schedules are defined to distribute the effort of a person into project and non-project work for a specified duration.</w:t>
            </w:r>
          </w:p>
        </w:tc>
        <w:tc>
          <w:tcPr>
            <w:tcW w:w="1170" w:type="dxa"/>
            <w:tcBorders>
              <w:top w:val="single" w:sz="4" w:space="0" w:color="auto"/>
              <w:left w:val="nil"/>
              <w:bottom w:val="single" w:sz="4" w:space="0" w:color="auto"/>
              <w:right w:val="single" w:sz="4" w:space="0" w:color="auto"/>
            </w:tcBorders>
          </w:tcPr>
          <w:p w14:paraId="4CBC6AE5"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735DBAD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DD4C5C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67104478"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22A741E2"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Budget Reviewer Bureau Level</w:t>
            </w:r>
          </w:p>
        </w:tc>
        <w:tc>
          <w:tcPr>
            <w:tcW w:w="4590" w:type="dxa"/>
            <w:tcBorders>
              <w:top w:val="single" w:sz="4" w:space="0" w:color="auto"/>
              <w:left w:val="nil"/>
              <w:bottom w:val="single" w:sz="4" w:space="0" w:color="auto"/>
              <w:right w:val="single" w:sz="4" w:space="0" w:color="auto"/>
            </w:tcBorders>
          </w:tcPr>
          <w:p w14:paraId="059749C8"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Colleagues responsible for ascertaining there is proper funding available for the position request in a department or a country office from the regional bureau.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17F6267F"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92F896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0FB67E1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328B16C5"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761FA30E"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Bureau Reviewer</w:t>
            </w:r>
          </w:p>
        </w:tc>
        <w:tc>
          <w:tcPr>
            <w:tcW w:w="4590" w:type="dxa"/>
            <w:tcBorders>
              <w:top w:val="single" w:sz="4" w:space="0" w:color="auto"/>
              <w:left w:val="nil"/>
              <w:bottom w:val="single" w:sz="4" w:space="0" w:color="auto"/>
              <w:right w:val="single" w:sz="4" w:space="0" w:color="auto"/>
            </w:tcBorders>
          </w:tcPr>
          <w:p w14:paraId="36BF4CC4" w14:textId="12375895"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Bureau level delegates who will approve in case of core, </w:t>
            </w:r>
            <w:r w:rsidR="000C0C3C">
              <w:rPr>
                <w:rFonts w:eastAsia="Times New Roman"/>
                <w:kern w:val="0"/>
                <w:sz w:val="20"/>
                <w:szCs w:val="20"/>
                <w14:ligatures w14:val="none"/>
              </w:rPr>
              <w:t>non-core</w:t>
            </w:r>
            <w:r w:rsidRPr="00D2258D">
              <w:rPr>
                <w:rFonts w:eastAsia="Times New Roman"/>
                <w:kern w:val="0"/>
                <w:sz w:val="20"/>
                <w:szCs w:val="20"/>
                <w14:ligatures w14:val="none"/>
              </w:rPr>
              <w:t xml:space="preserve"> or change management positions.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63F0DEA2"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A99C81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689EE383"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49D41FE6"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1CF558EA"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Head of Office Bureau Level</w:t>
            </w:r>
          </w:p>
        </w:tc>
        <w:tc>
          <w:tcPr>
            <w:tcW w:w="4590" w:type="dxa"/>
            <w:tcBorders>
              <w:top w:val="single" w:sz="4" w:space="0" w:color="auto"/>
              <w:left w:val="nil"/>
              <w:bottom w:val="single" w:sz="4" w:space="0" w:color="auto"/>
              <w:right w:val="single" w:sz="4" w:space="0" w:color="auto"/>
            </w:tcBorders>
          </w:tcPr>
          <w:p w14:paraId="0B60B837"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For the regional bureau act as the RRs/DRRS/ Head of office/ or Head of office delegates confirming the request for a position in their respective departments/</w:t>
            </w:r>
            <w:proofErr w:type="spellStart"/>
            <w:r w:rsidRPr="00D2258D">
              <w:rPr>
                <w:rFonts w:eastAsia="Times New Roman"/>
                <w:kern w:val="0"/>
                <w:sz w:val="20"/>
                <w:szCs w:val="20"/>
                <w14:ligatures w14:val="none"/>
              </w:rPr>
              <w:t>COs.</w:t>
            </w:r>
            <w:proofErr w:type="spellEnd"/>
            <w:r w:rsidRPr="00D2258D">
              <w:rPr>
                <w:rFonts w:eastAsia="Times New Roman"/>
                <w:kern w:val="0"/>
                <w:sz w:val="20"/>
                <w:szCs w:val="20"/>
                <w14:ligatures w14:val="none"/>
              </w:rPr>
              <w:t xml:space="preserve">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1887DA1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2EC6827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087EE78"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r>
      <w:tr w:rsidR="00147C55" w:rsidRPr="00A95453" w14:paraId="2D6B7C59"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69D89E22"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Position Approver HR Manager Bureau Level</w:t>
            </w:r>
          </w:p>
        </w:tc>
        <w:tc>
          <w:tcPr>
            <w:tcW w:w="4590" w:type="dxa"/>
            <w:tcBorders>
              <w:top w:val="single" w:sz="4" w:space="0" w:color="auto"/>
              <w:left w:val="nil"/>
              <w:bottom w:val="single" w:sz="4" w:space="0" w:color="auto"/>
              <w:right w:val="single" w:sz="4" w:space="0" w:color="auto"/>
            </w:tcBorders>
          </w:tcPr>
          <w:p w14:paraId="3637678D" w14:textId="77777777" w:rsidR="00DD14E7" w:rsidRPr="00D2258D" w:rsidRDefault="00DD14E7" w:rsidP="363CA695">
            <w:pPr>
              <w:spacing w:after="0" w:line="240" w:lineRule="auto"/>
              <w:rPr>
                <w:rFonts w:eastAsia="Times New Roman"/>
                <w:kern w:val="0"/>
                <w:sz w:val="20"/>
                <w:szCs w:val="20"/>
                <w14:ligatures w14:val="none"/>
              </w:rPr>
            </w:pPr>
            <w:r w:rsidRPr="00D2258D">
              <w:rPr>
                <w:rFonts w:eastAsia="Times New Roman"/>
                <w:kern w:val="0"/>
                <w:sz w:val="20"/>
                <w:szCs w:val="20"/>
                <w14:ligatures w14:val="none"/>
              </w:rPr>
              <w:t xml:space="preserve">For colleagues from regional bureau act as the first line of reviewers for any position request. For more information, </w:t>
            </w:r>
            <w:proofErr w:type="gramStart"/>
            <w:r w:rsidRPr="00D2258D">
              <w:rPr>
                <w:rFonts w:eastAsia="Times New Roman"/>
                <w:kern w:val="0"/>
                <w:sz w:val="20"/>
                <w:szCs w:val="20"/>
                <w14:ligatures w14:val="none"/>
              </w:rPr>
              <w:t>refer</w:t>
            </w:r>
            <w:proofErr w:type="gramEnd"/>
            <w:r w:rsidRPr="00D2258D">
              <w:rPr>
                <w:rFonts w:eastAsia="Times New Roman"/>
                <w:kern w:val="0"/>
                <w:sz w:val="20"/>
                <w:szCs w:val="20"/>
                <w14:ligatures w14:val="none"/>
              </w:rPr>
              <w:t xml:space="preserve"> UNall knowledge article.</w:t>
            </w:r>
          </w:p>
        </w:tc>
        <w:tc>
          <w:tcPr>
            <w:tcW w:w="1170" w:type="dxa"/>
            <w:tcBorders>
              <w:top w:val="single" w:sz="4" w:space="0" w:color="auto"/>
              <w:left w:val="nil"/>
              <w:bottom w:val="single" w:sz="4" w:space="0" w:color="auto"/>
              <w:right w:val="single" w:sz="4" w:space="0" w:color="auto"/>
            </w:tcBorders>
          </w:tcPr>
          <w:p w14:paraId="068C66F7"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56C3EE"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42A7762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r w:rsidR="00147C55" w:rsidRPr="00A95453" w14:paraId="6A434031" w14:textId="77777777" w:rsidTr="363CA695">
        <w:trPr>
          <w:trHeight w:val="20"/>
        </w:trPr>
        <w:tc>
          <w:tcPr>
            <w:tcW w:w="2970" w:type="dxa"/>
            <w:tcBorders>
              <w:top w:val="single" w:sz="4" w:space="0" w:color="auto"/>
              <w:left w:val="single" w:sz="4" w:space="0" w:color="auto"/>
              <w:bottom w:val="single" w:sz="4" w:space="0" w:color="auto"/>
              <w:right w:val="single" w:sz="4" w:space="0" w:color="auto"/>
            </w:tcBorders>
          </w:tcPr>
          <w:p w14:paraId="0F8E2A31"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 Regional Bureau UNDP</w:t>
            </w:r>
          </w:p>
        </w:tc>
        <w:tc>
          <w:tcPr>
            <w:tcW w:w="4590" w:type="dxa"/>
            <w:tcBorders>
              <w:top w:val="single" w:sz="4" w:space="0" w:color="auto"/>
              <w:left w:val="nil"/>
              <w:bottom w:val="single" w:sz="4" w:space="0" w:color="auto"/>
              <w:right w:val="single" w:sz="4" w:space="0" w:color="auto"/>
            </w:tcBorders>
          </w:tcPr>
          <w:p w14:paraId="5BF554B1" w14:textId="77777777" w:rsidR="00DD14E7" w:rsidRPr="00D2258D" w:rsidRDefault="00DD14E7" w:rsidP="00DD14E7">
            <w:pPr>
              <w:spacing w:after="0" w:line="240" w:lineRule="auto"/>
              <w:rPr>
                <w:rFonts w:eastAsia="Times New Roman" w:cstheme="minorHAnsi"/>
                <w:kern w:val="0"/>
                <w:sz w:val="20"/>
                <w:szCs w:val="20"/>
                <w14:ligatures w14:val="none"/>
              </w:rPr>
            </w:pPr>
            <w:r w:rsidRPr="00D2258D">
              <w:rPr>
                <w:rFonts w:eastAsia="Times New Roman" w:cstheme="minorHAnsi"/>
                <w:kern w:val="0"/>
                <w:sz w:val="20"/>
                <w:szCs w:val="20"/>
                <w14:ligatures w14:val="none"/>
              </w:rPr>
              <w:t>Talent review admin profile with access to department and nodes below the bureau. Allows for setting up and executing Talent review meeting</w:t>
            </w:r>
          </w:p>
        </w:tc>
        <w:tc>
          <w:tcPr>
            <w:tcW w:w="1170" w:type="dxa"/>
            <w:tcBorders>
              <w:top w:val="single" w:sz="4" w:space="0" w:color="auto"/>
              <w:left w:val="nil"/>
              <w:bottom w:val="single" w:sz="4" w:space="0" w:color="auto"/>
              <w:right w:val="single" w:sz="4" w:space="0" w:color="auto"/>
            </w:tcBorders>
          </w:tcPr>
          <w:p w14:paraId="6DBF01A9"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872" w:type="dxa"/>
            <w:tcBorders>
              <w:top w:val="single" w:sz="4" w:space="0" w:color="auto"/>
              <w:left w:val="nil"/>
              <w:bottom w:val="single" w:sz="4" w:space="0" w:color="auto"/>
              <w:right w:val="single" w:sz="4" w:space="0" w:color="auto"/>
            </w:tcBorders>
          </w:tcPr>
          <w:p w14:paraId="53AF97CB"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No</w:t>
            </w:r>
          </w:p>
        </w:tc>
        <w:tc>
          <w:tcPr>
            <w:tcW w:w="1288" w:type="dxa"/>
            <w:tcBorders>
              <w:top w:val="single" w:sz="4" w:space="0" w:color="auto"/>
              <w:left w:val="nil"/>
              <w:bottom w:val="single" w:sz="4" w:space="0" w:color="auto"/>
              <w:right w:val="single" w:sz="4" w:space="0" w:color="auto"/>
            </w:tcBorders>
          </w:tcPr>
          <w:p w14:paraId="125F3A10" w14:textId="77777777" w:rsidR="00DD14E7" w:rsidRPr="00D2258D" w:rsidRDefault="00DD14E7" w:rsidP="00DD14E7">
            <w:pPr>
              <w:spacing w:after="0" w:line="240" w:lineRule="auto"/>
              <w:jc w:val="center"/>
              <w:rPr>
                <w:rFonts w:eastAsia="Times New Roman" w:cstheme="minorHAnsi"/>
                <w:kern w:val="0"/>
                <w:sz w:val="20"/>
                <w:szCs w:val="20"/>
                <w14:ligatures w14:val="none"/>
              </w:rPr>
            </w:pPr>
            <w:r w:rsidRPr="00D2258D">
              <w:rPr>
                <w:rFonts w:eastAsia="Times New Roman" w:cstheme="minorHAnsi"/>
                <w:kern w:val="0"/>
                <w:sz w:val="20"/>
                <w:szCs w:val="20"/>
                <w14:ligatures w14:val="none"/>
              </w:rPr>
              <w:t>Yes</w:t>
            </w:r>
          </w:p>
        </w:tc>
      </w:tr>
    </w:tbl>
    <w:p w14:paraId="20AFC58B" w14:textId="77777777" w:rsidR="00DD14E7" w:rsidRDefault="00DD14E7" w:rsidP="002F02D8">
      <w:pPr>
        <w:sectPr w:rsidR="00DD14E7" w:rsidSect="005A0F76">
          <w:headerReference w:type="default" r:id="rId206"/>
          <w:footerReference w:type="default" r:id="rId207"/>
          <w:pgSz w:w="12240" w:h="15840"/>
          <w:pgMar w:top="1152" w:right="1152" w:bottom="1152" w:left="1152" w:header="720" w:footer="720" w:gutter="0"/>
          <w:cols w:space="720"/>
          <w:docGrid w:linePitch="360"/>
        </w:sectPr>
      </w:pPr>
    </w:p>
    <w:p w14:paraId="5FF6F8B3" w14:textId="2425654D" w:rsidR="00EB1DDF" w:rsidRDefault="00EB1DDF" w:rsidP="004539AF">
      <w:pPr>
        <w:pStyle w:val="Heading1"/>
        <w:spacing w:after="240"/>
      </w:pPr>
      <w:bookmarkStart w:id="120" w:name="_Annex_3:_Overview"/>
      <w:bookmarkStart w:id="121" w:name="_Toc210052797"/>
      <w:bookmarkEnd w:id="120"/>
      <w:r>
        <w:lastRenderedPageBreak/>
        <w:t>Annex 3: Overview of Finance Business Profiles and Supplementary Roles and Quantum capabilities</w:t>
      </w:r>
      <w:bookmarkEnd w:id="121"/>
    </w:p>
    <w:p w14:paraId="0D17060F" w14:textId="60BDB3C8" w:rsidR="00EB1DDF" w:rsidRDefault="00F9541B" w:rsidP="00DD590A">
      <w:pPr>
        <w:ind w:hanging="450"/>
      </w:pPr>
      <w:r w:rsidRPr="00F9541B">
        <w:rPr>
          <w:noProof/>
        </w:rPr>
        <w:drawing>
          <wp:inline distT="0" distB="0" distL="0" distR="0" wp14:anchorId="68A6DBD1" wp14:editId="1F40ADAE">
            <wp:extent cx="8595360" cy="2030889"/>
            <wp:effectExtent l="0" t="0" r="0" b="7620"/>
            <wp:docPr id="1242563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8595360" cy="2030889"/>
                    </a:xfrm>
                    <a:prstGeom prst="rect">
                      <a:avLst/>
                    </a:prstGeom>
                    <a:noFill/>
                    <a:ln>
                      <a:noFill/>
                    </a:ln>
                  </pic:spPr>
                </pic:pic>
              </a:graphicData>
            </a:graphic>
          </wp:inline>
        </w:drawing>
      </w:r>
    </w:p>
    <w:p w14:paraId="0878DA06" w14:textId="36ABA34E" w:rsidR="00F9541B" w:rsidRDefault="00F9541B" w:rsidP="00DD590A">
      <w:pPr>
        <w:ind w:hanging="450"/>
      </w:pPr>
      <w:r w:rsidRPr="00F9541B">
        <w:rPr>
          <w:noProof/>
        </w:rPr>
        <w:drawing>
          <wp:inline distT="0" distB="0" distL="0" distR="0" wp14:anchorId="7DB6C3A7" wp14:editId="22E61663">
            <wp:extent cx="8595360" cy="3067050"/>
            <wp:effectExtent l="0" t="0" r="0" b="0"/>
            <wp:docPr id="502220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8595360" cy="3067050"/>
                    </a:xfrm>
                    <a:prstGeom prst="rect">
                      <a:avLst/>
                    </a:prstGeom>
                    <a:noFill/>
                    <a:ln>
                      <a:noFill/>
                    </a:ln>
                  </pic:spPr>
                </pic:pic>
              </a:graphicData>
            </a:graphic>
          </wp:inline>
        </w:drawing>
      </w:r>
    </w:p>
    <w:p w14:paraId="7193984B" w14:textId="704E14BB" w:rsidR="00590F19" w:rsidRPr="00D2258D" w:rsidRDefault="00590F19" w:rsidP="00590F19">
      <w:pPr>
        <w:spacing w:after="0"/>
        <w:rPr>
          <w:sz w:val="20"/>
          <w:szCs w:val="20"/>
        </w:rPr>
        <w:sectPr w:rsidR="00590F19" w:rsidRPr="00D2258D" w:rsidSect="00EB1DDF">
          <w:pgSz w:w="15840" w:h="12240" w:orient="landscape"/>
          <w:pgMar w:top="1152" w:right="1152" w:bottom="1152" w:left="1152" w:header="720" w:footer="720" w:gutter="0"/>
          <w:cols w:space="720"/>
          <w:docGrid w:linePitch="360"/>
        </w:sectPr>
      </w:pPr>
      <w:r w:rsidRPr="00D2258D">
        <w:rPr>
          <w:sz w:val="20"/>
          <w:szCs w:val="20"/>
        </w:rPr>
        <w:t xml:space="preserve">Note: </w:t>
      </w:r>
      <w:r w:rsidR="00A25694" w:rsidRPr="00A25694">
        <w:rPr>
          <w:sz w:val="20"/>
          <w:szCs w:val="20"/>
        </w:rPr>
        <w:t xml:space="preserve">It is possible that during FY2025, </w:t>
      </w:r>
      <w:r w:rsidRPr="00D2258D">
        <w:rPr>
          <w:sz w:val="20"/>
          <w:szCs w:val="20"/>
        </w:rPr>
        <w:t>GLJE Approver Supplementary Role may only be assigned to staff in BMS/GSSC, BMS/OF</w:t>
      </w:r>
      <w:r w:rsidR="00A40A72">
        <w:rPr>
          <w:sz w:val="20"/>
          <w:szCs w:val="20"/>
        </w:rPr>
        <w:t>R</w:t>
      </w:r>
      <w:r w:rsidRPr="00D2258D">
        <w:rPr>
          <w:sz w:val="20"/>
          <w:szCs w:val="20"/>
        </w:rPr>
        <w:t>M</w:t>
      </w:r>
      <w:r w:rsidR="00F156F5">
        <w:rPr>
          <w:sz w:val="20"/>
          <w:szCs w:val="20"/>
        </w:rPr>
        <w:t>,</w:t>
      </w:r>
      <w:r w:rsidRPr="00D2258D">
        <w:rPr>
          <w:sz w:val="20"/>
          <w:szCs w:val="20"/>
        </w:rPr>
        <w:t xml:space="preserve"> MPTFO</w:t>
      </w:r>
      <w:r w:rsidR="00F156F5">
        <w:rPr>
          <w:sz w:val="20"/>
          <w:szCs w:val="20"/>
        </w:rPr>
        <w:t xml:space="preserve"> and UNV</w:t>
      </w:r>
      <w:r w:rsidRPr="00D2258D">
        <w:rPr>
          <w:sz w:val="20"/>
          <w:szCs w:val="20"/>
        </w:rPr>
        <w:t>.</w:t>
      </w:r>
    </w:p>
    <w:p w14:paraId="53341D26" w14:textId="48446707" w:rsidR="007802E1" w:rsidRDefault="007802E1" w:rsidP="00A22E73">
      <w:pPr>
        <w:pStyle w:val="Heading1"/>
        <w:spacing w:after="240"/>
      </w:pPr>
      <w:bookmarkStart w:id="122" w:name="_Annex_4:_Overview"/>
      <w:bookmarkStart w:id="123" w:name="_Toc210052798"/>
      <w:bookmarkEnd w:id="122"/>
      <w:r>
        <w:lastRenderedPageBreak/>
        <w:t xml:space="preserve">Annex 4: </w:t>
      </w:r>
      <w:r w:rsidRPr="00E20FD9">
        <w:t xml:space="preserve">Overview </w:t>
      </w:r>
      <w:r>
        <w:t xml:space="preserve">of internal control roles </w:t>
      </w:r>
      <w:r w:rsidRPr="00E20FD9">
        <w:t>by functional area</w:t>
      </w:r>
      <w:bookmarkEnd w:id="123"/>
    </w:p>
    <w:p w14:paraId="114F19D1" w14:textId="2CD1E86F" w:rsidR="007802E1" w:rsidRPr="00D2258D" w:rsidRDefault="007802E1" w:rsidP="363CA695">
      <w:pPr>
        <w:spacing w:line="240" w:lineRule="auto"/>
      </w:pPr>
      <w:r w:rsidRPr="00D2258D">
        <w:t xml:space="preserve">Below is an overview of the </w:t>
      </w:r>
      <w:r w:rsidR="00A22E73" w:rsidRPr="00D2258D">
        <w:t xml:space="preserve">IDAM </w:t>
      </w:r>
      <w:r w:rsidRPr="00D2258D">
        <w:t>business profiles and supplementary roles for each functional area, as well as those roles that are designated outside the ERP.</w:t>
      </w:r>
      <w:r w:rsidR="004539AF" w:rsidRPr="00D2258D">
        <w:t xml:space="preserve"> The</w:t>
      </w:r>
      <w:r w:rsidR="001E7B69">
        <w:t xml:space="preserve"> </w:t>
      </w:r>
      <w:r w:rsidR="004539AF" w:rsidRPr="00D2258D">
        <w:t>table</w:t>
      </w:r>
      <w:r w:rsidR="001E7B69">
        <w:t xml:space="preserve"> below</w:t>
      </w:r>
      <w:r w:rsidR="004539AF" w:rsidRPr="00D2258D">
        <w:t xml:space="preserve"> reflects day-to-day operations and does not reflect exceptional </w:t>
      </w:r>
      <w:r w:rsidR="0010302A" w:rsidRPr="00D2258D">
        <w:t>role assignments</w:t>
      </w:r>
      <w:r w:rsidR="004539AF" w:rsidRPr="00D2258D">
        <w:t xml:space="preserve"> for processing emergency transactions, which are highlighted in relevant sections of this Guide.</w:t>
      </w:r>
    </w:p>
    <w:tbl>
      <w:tblPr>
        <w:tblStyle w:val="TableGrid"/>
        <w:tblpPr w:leftFromText="180" w:rightFromText="180" w:vertAnchor="text" w:tblpY="1"/>
        <w:tblOverlap w:val="never"/>
        <w:tblW w:w="10075" w:type="dxa"/>
        <w:tblCellMar>
          <w:bottom w:w="43" w:type="dxa"/>
        </w:tblCellMar>
        <w:tblLook w:val="04A0" w:firstRow="1" w:lastRow="0" w:firstColumn="1" w:lastColumn="0" w:noHBand="0" w:noVBand="1"/>
      </w:tblPr>
      <w:tblGrid>
        <w:gridCol w:w="3685"/>
        <w:gridCol w:w="2700"/>
        <w:gridCol w:w="3690"/>
      </w:tblGrid>
      <w:tr w:rsidR="007802E1" w:rsidRPr="00F133DC" w14:paraId="3BAC98DE" w14:textId="77777777" w:rsidTr="363CA695">
        <w:trPr>
          <w:trHeight w:val="20"/>
          <w:tblHeader/>
        </w:trPr>
        <w:tc>
          <w:tcPr>
            <w:tcW w:w="3685" w:type="dxa"/>
            <w:shd w:val="clear" w:color="auto" w:fill="002060"/>
          </w:tcPr>
          <w:p w14:paraId="229E26B1" w14:textId="65F5475A" w:rsidR="007802E1" w:rsidRPr="00F133DC" w:rsidRDefault="007802E1" w:rsidP="00491939">
            <w:pPr>
              <w:rPr>
                <w:rFonts w:cstheme="minorHAnsi"/>
                <w:b/>
                <w:bCs/>
                <w:sz w:val="20"/>
                <w:szCs w:val="20"/>
              </w:rPr>
            </w:pPr>
            <w:r w:rsidRPr="00F133DC">
              <w:rPr>
                <w:rFonts w:cstheme="minorHAnsi"/>
                <w:b/>
                <w:bCs/>
                <w:sz w:val="20"/>
                <w:szCs w:val="20"/>
              </w:rPr>
              <w:t>Role</w:t>
            </w:r>
            <w:r w:rsidR="00D71EBC">
              <w:rPr>
                <w:rFonts w:cstheme="minorHAnsi"/>
                <w:b/>
                <w:bCs/>
                <w:sz w:val="20"/>
                <w:szCs w:val="20"/>
              </w:rPr>
              <w:t xml:space="preserve"> described in this Guide</w:t>
            </w:r>
          </w:p>
        </w:tc>
        <w:tc>
          <w:tcPr>
            <w:tcW w:w="2700" w:type="dxa"/>
            <w:shd w:val="clear" w:color="auto" w:fill="002060"/>
          </w:tcPr>
          <w:p w14:paraId="283F1DE2" w14:textId="77777777" w:rsidR="007802E1" w:rsidRPr="00F133DC" w:rsidRDefault="007802E1" w:rsidP="00491939">
            <w:pPr>
              <w:rPr>
                <w:rFonts w:cstheme="minorHAnsi"/>
                <w:b/>
                <w:bCs/>
                <w:sz w:val="20"/>
                <w:szCs w:val="20"/>
              </w:rPr>
            </w:pPr>
            <w:r w:rsidRPr="00F133DC">
              <w:rPr>
                <w:rFonts w:cstheme="minorHAnsi"/>
                <w:b/>
                <w:bCs/>
                <w:sz w:val="20"/>
                <w:szCs w:val="20"/>
              </w:rPr>
              <w:t>IDAM Business Profile (BP) or Supplementary Role (SR)</w:t>
            </w:r>
          </w:p>
        </w:tc>
        <w:tc>
          <w:tcPr>
            <w:tcW w:w="3690" w:type="dxa"/>
            <w:shd w:val="clear" w:color="auto" w:fill="002060"/>
          </w:tcPr>
          <w:p w14:paraId="186A28D1" w14:textId="23E2A910" w:rsidR="007802E1" w:rsidRPr="00F133DC" w:rsidRDefault="00953D70" w:rsidP="00491939">
            <w:pPr>
              <w:rPr>
                <w:rFonts w:cstheme="minorHAnsi"/>
                <w:b/>
                <w:bCs/>
                <w:sz w:val="20"/>
                <w:szCs w:val="20"/>
              </w:rPr>
            </w:pPr>
            <w:r>
              <w:rPr>
                <w:rFonts w:cstheme="minorHAnsi"/>
                <w:b/>
                <w:bCs/>
                <w:sz w:val="20"/>
                <w:szCs w:val="20"/>
              </w:rPr>
              <w:t>BP or SR c</w:t>
            </w:r>
            <w:r w:rsidR="007802E1">
              <w:rPr>
                <w:rFonts w:cstheme="minorHAnsi"/>
                <w:b/>
                <w:bCs/>
                <w:sz w:val="20"/>
                <w:szCs w:val="20"/>
              </w:rPr>
              <w:t>an</w:t>
            </w:r>
            <w:r w:rsidR="007802E1" w:rsidRPr="00F133DC">
              <w:rPr>
                <w:rFonts w:cstheme="minorHAnsi"/>
                <w:b/>
                <w:bCs/>
                <w:sz w:val="20"/>
                <w:szCs w:val="20"/>
              </w:rPr>
              <w:t xml:space="preserve"> be assigned in IDAM within each office/unit</w:t>
            </w:r>
          </w:p>
        </w:tc>
      </w:tr>
      <w:tr w:rsidR="007802E1" w:rsidRPr="00F133DC" w14:paraId="7FA2E703" w14:textId="77777777" w:rsidTr="363CA695">
        <w:trPr>
          <w:trHeight w:val="20"/>
        </w:trPr>
        <w:tc>
          <w:tcPr>
            <w:tcW w:w="10075" w:type="dxa"/>
            <w:gridSpan w:val="3"/>
            <w:shd w:val="clear" w:color="auto" w:fill="00B0F0"/>
          </w:tcPr>
          <w:p w14:paraId="6771464D" w14:textId="2386EBF1" w:rsidR="007802E1" w:rsidRPr="00F133DC" w:rsidRDefault="007802E1" w:rsidP="363CA695">
            <w:pPr>
              <w:rPr>
                <w:sz w:val="20"/>
                <w:szCs w:val="20"/>
              </w:rPr>
            </w:pPr>
            <w:proofErr w:type="spellStart"/>
            <w:r w:rsidRPr="363CA695">
              <w:rPr>
                <w:b/>
                <w:bCs/>
                <w:sz w:val="20"/>
                <w:szCs w:val="20"/>
              </w:rPr>
              <w:t>Programme</w:t>
            </w:r>
            <w:proofErr w:type="spellEnd"/>
            <w:r w:rsidRPr="363CA695">
              <w:rPr>
                <w:b/>
                <w:bCs/>
                <w:sz w:val="20"/>
                <w:szCs w:val="20"/>
              </w:rPr>
              <w:t xml:space="preserve"> &amp; Project Management</w:t>
            </w:r>
          </w:p>
        </w:tc>
      </w:tr>
      <w:tr w:rsidR="007802E1" w:rsidRPr="00F133DC" w14:paraId="10E5394C" w14:textId="77777777" w:rsidTr="363CA695">
        <w:trPr>
          <w:trHeight w:val="20"/>
        </w:trPr>
        <w:tc>
          <w:tcPr>
            <w:tcW w:w="3685" w:type="dxa"/>
          </w:tcPr>
          <w:p w14:paraId="278565A3" w14:textId="77777777" w:rsidR="007802E1" w:rsidRPr="00D2258D" w:rsidRDefault="007802E1" w:rsidP="00491939">
            <w:pPr>
              <w:rPr>
                <w:rFonts w:cstheme="minorHAnsi"/>
                <w:sz w:val="20"/>
                <w:szCs w:val="20"/>
              </w:rPr>
            </w:pPr>
            <w:r w:rsidRPr="00D2258D">
              <w:rPr>
                <w:rFonts w:cstheme="minorHAnsi"/>
                <w:sz w:val="20"/>
                <w:szCs w:val="20"/>
              </w:rPr>
              <w:t xml:space="preserve">Project Manager </w:t>
            </w:r>
          </w:p>
          <w:p w14:paraId="4398E852" w14:textId="77777777" w:rsidR="007802E1" w:rsidRPr="00D2258D" w:rsidRDefault="007802E1" w:rsidP="00491939">
            <w:pPr>
              <w:rPr>
                <w:rFonts w:cstheme="minorHAnsi"/>
                <w:sz w:val="20"/>
                <w:szCs w:val="20"/>
              </w:rPr>
            </w:pPr>
            <w:r w:rsidRPr="00D2258D">
              <w:rPr>
                <w:rFonts w:cstheme="minorHAnsi"/>
                <w:i/>
                <w:iCs/>
                <w:sz w:val="20"/>
                <w:szCs w:val="20"/>
              </w:rPr>
              <w:t>(first authority, committing officer)</w:t>
            </w:r>
          </w:p>
        </w:tc>
        <w:tc>
          <w:tcPr>
            <w:tcW w:w="2700" w:type="dxa"/>
          </w:tcPr>
          <w:p w14:paraId="5C155DEA" w14:textId="77777777" w:rsidR="007802E1" w:rsidRPr="00D2258D" w:rsidRDefault="007802E1" w:rsidP="00491939">
            <w:pPr>
              <w:rPr>
                <w:rFonts w:cstheme="minorHAnsi"/>
                <w:sz w:val="20"/>
                <w:szCs w:val="20"/>
              </w:rPr>
            </w:pPr>
            <w:r w:rsidRPr="00D2258D">
              <w:rPr>
                <w:rFonts w:cstheme="minorHAnsi"/>
                <w:sz w:val="20"/>
                <w:szCs w:val="20"/>
              </w:rPr>
              <w:t>Project Manager (BP)</w:t>
            </w:r>
          </w:p>
        </w:tc>
        <w:tc>
          <w:tcPr>
            <w:tcW w:w="3690" w:type="dxa"/>
          </w:tcPr>
          <w:p w14:paraId="3AC0C8D4"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C2CFEB4" w14:textId="77777777" w:rsidTr="363CA695">
        <w:trPr>
          <w:trHeight w:val="20"/>
        </w:trPr>
        <w:tc>
          <w:tcPr>
            <w:tcW w:w="3685" w:type="dxa"/>
          </w:tcPr>
          <w:p w14:paraId="44D3C8A3" w14:textId="39CA521D" w:rsidR="007802E1" w:rsidRPr="00D2258D" w:rsidRDefault="007802E1" w:rsidP="363CA695">
            <w:pPr>
              <w:rPr>
                <w:sz w:val="20"/>
                <w:szCs w:val="20"/>
              </w:rPr>
            </w:pPr>
            <w:proofErr w:type="spellStart"/>
            <w:r w:rsidRPr="00D2258D">
              <w:rPr>
                <w:sz w:val="20"/>
                <w:szCs w:val="20"/>
              </w:rPr>
              <w:t>Programme</w:t>
            </w:r>
            <w:proofErr w:type="spellEnd"/>
            <w:r w:rsidRPr="00D2258D">
              <w:rPr>
                <w:sz w:val="20"/>
                <w:szCs w:val="20"/>
              </w:rPr>
              <w:t xml:space="preserve"> Officer</w:t>
            </w:r>
          </w:p>
        </w:tc>
        <w:tc>
          <w:tcPr>
            <w:tcW w:w="2700" w:type="dxa"/>
          </w:tcPr>
          <w:p w14:paraId="0BC4FF9E" w14:textId="77777777" w:rsidR="007802E1" w:rsidRPr="00D2258D" w:rsidRDefault="007802E1" w:rsidP="00491939">
            <w:pPr>
              <w:rPr>
                <w:rFonts w:cstheme="minorHAnsi"/>
                <w:sz w:val="20"/>
                <w:szCs w:val="20"/>
              </w:rPr>
            </w:pPr>
            <w:r w:rsidRPr="00D2258D">
              <w:rPr>
                <w:rFonts w:cstheme="minorHAnsi"/>
                <w:sz w:val="20"/>
                <w:szCs w:val="20"/>
              </w:rPr>
              <w:t>General User (BP)</w:t>
            </w:r>
          </w:p>
        </w:tc>
        <w:tc>
          <w:tcPr>
            <w:tcW w:w="3690" w:type="dxa"/>
          </w:tcPr>
          <w:p w14:paraId="1F8F012E"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6F79A2BF" w14:textId="77777777" w:rsidTr="363CA695">
        <w:trPr>
          <w:trHeight w:val="20"/>
        </w:trPr>
        <w:tc>
          <w:tcPr>
            <w:tcW w:w="3685" w:type="dxa"/>
          </w:tcPr>
          <w:p w14:paraId="753413AF" w14:textId="77777777" w:rsidR="007802E1" w:rsidRPr="00D2258D" w:rsidRDefault="007802E1" w:rsidP="00491939">
            <w:pPr>
              <w:rPr>
                <w:rFonts w:cstheme="minorHAnsi"/>
                <w:sz w:val="20"/>
                <w:szCs w:val="20"/>
              </w:rPr>
            </w:pPr>
            <w:r w:rsidRPr="00D2258D">
              <w:rPr>
                <w:rFonts w:cstheme="minorHAnsi"/>
                <w:sz w:val="20"/>
                <w:szCs w:val="20"/>
              </w:rPr>
              <w:t>Trust Fund Manager</w:t>
            </w:r>
          </w:p>
        </w:tc>
        <w:tc>
          <w:tcPr>
            <w:tcW w:w="2700" w:type="dxa"/>
          </w:tcPr>
          <w:p w14:paraId="69E407AC" w14:textId="77777777" w:rsidR="007802E1" w:rsidRPr="00D2258D" w:rsidRDefault="007802E1" w:rsidP="00491939">
            <w:pPr>
              <w:rPr>
                <w:rFonts w:cstheme="minorHAnsi"/>
                <w:sz w:val="20"/>
                <w:szCs w:val="20"/>
              </w:rPr>
            </w:pPr>
            <w:r w:rsidRPr="00D2258D">
              <w:rPr>
                <w:rFonts w:cstheme="minorHAnsi"/>
                <w:sz w:val="20"/>
                <w:szCs w:val="20"/>
              </w:rPr>
              <w:t>Fund Manager (SR)</w:t>
            </w:r>
          </w:p>
        </w:tc>
        <w:tc>
          <w:tcPr>
            <w:tcW w:w="3690" w:type="dxa"/>
          </w:tcPr>
          <w:p w14:paraId="6C074F49" w14:textId="31788A09" w:rsidR="007802E1" w:rsidRPr="00D2258D" w:rsidRDefault="007802E1" w:rsidP="00491939">
            <w:pPr>
              <w:rPr>
                <w:rFonts w:cstheme="minorHAnsi"/>
                <w:sz w:val="20"/>
                <w:szCs w:val="20"/>
              </w:rPr>
            </w:pPr>
            <w:r w:rsidRPr="00D2258D">
              <w:rPr>
                <w:rFonts w:cstheme="minorHAnsi"/>
                <w:sz w:val="20"/>
                <w:szCs w:val="20"/>
              </w:rPr>
              <w:t xml:space="preserve">Yes, but requires </w:t>
            </w:r>
            <w:r w:rsidR="00A22E73" w:rsidRPr="00D2258D">
              <w:rPr>
                <w:rFonts w:cstheme="minorHAnsi"/>
                <w:sz w:val="20"/>
                <w:szCs w:val="20"/>
              </w:rPr>
              <w:t>BMS/OF</w:t>
            </w:r>
            <w:r w:rsidR="00A40A72">
              <w:rPr>
                <w:rFonts w:cstheme="minorHAnsi"/>
                <w:sz w:val="20"/>
                <w:szCs w:val="20"/>
              </w:rPr>
              <w:t>R</w:t>
            </w:r>
            <w:r w:rsidR="00A22E73" w:rsidRPr="00D2258D">
              <w:rPr>
                <w:rFonts w:cstheme="minorHAnsi"/>
                <w:sz w:val="20"/>
                <w:szCs w:val="20"/>
              </w:rPr>
              <w:t xml:space="preserve">M </w:t>
            </w:r>
            <w:r w:rsidRPr="00D2258D">
              <w:rPr>
                <w:rFonts w:cstheme="minorHAnsi"/>
                <w:sz w:val="20"/>
                <w:szCs w:val="20"/>
              </w:rPr>
              <w:t>pre-approval, which is integrated within IDAM</w:t>
            </w:r>
            <w:r w:rsidR="00A22E73" w:rsidRPr="00D2258D">
              <w:rPr>
                <w:rFonts w:cstheme="minorHAnsi"/>
                <w:sz w:val="20"/>
                <w:szCs w:val="20"/>
              </w:rPr>
              <w:t xml:space="preserve"> </w:t>
            </w:r>
            <w:r w:rsidRPr="00D2258D">
              <w:rPr>
                <w:rFonts w:cstheme="minorHAnsi"/>
                <w:sz w:val="20"/>
                <w:szCs w:val="20"/>
              </w:rPr>
              <w:t>workflow</w:t>
            </w:r>
          </w:p>
        </w:tc>
      </w:tr>
      <w:tr w:rsidR="002876E5" w:rsidRPr="00F133DC" w14:paraId="3A318445" w14:textId="77777777" w:rsidTr="363CA695">
        <w:trPr>
          <w:trHeight w:val="20"/>
        </w:trPr>
        <w:tc>
          <w:tcPr>
            <w:tcW w:w="3685" w:type="dxa"/>
          </w:tcPr>
          <w:p w14:paraId="78A1CFAA" w14:textId="49CED597" w:rsidR="002876E5" w:rsidRPr="00D2258D" w:rsidRDefault="002876E5" w:rsidP="00491939">
            <w:pPr>
              <w:rPr>
                <w:rFonts w:cstheme="minorHAnsi"/>
                <w:sz w:val="20"/>
                <w:szCs w:val="20"/>
              </w:rPr>
            </w:pPr>
            <w:r>
              <w:rPr>
                <w:rFonts w:cstheme="minorHAnsi"/>
                <w:sz w:val="20"/>
                <w:szCs w:val="20"/>
              </w:rPr>
              <w:t xml:space="preserve">ARR - </w:t>
            </w:r>
            <w:proofErr w:type="spellStart"/>
            <w:r>
              <w:rPr>
                <w:rFonts w:cstheme="minorHAnsi"/>
                <w:sz w:val="20"/>
                <w:szCs w:val="20"/>
              </w:rPr>
              <w:t>Programmes</w:t>
            </w:r>
            <w:proofErr w:type="spellEnd"/>
          </w:p>
        </w:tc>
        <w:tc>
          <w:tcPr>
            <w:tcW w:w="2700" w:type="dxa"/>
          </w:tcPr>
          <w:p w14:paraId="72A89415" w14:textId="7CFA5416" w:rsidR="002876E5" w:rsidRPr="00D2258D" w:rsidRDefault="002876E5" w:rsidP="00491939">
            <w:pPr>
              <w:rPr>
                <w:rFonts w:cstheme="minorHAnsi"/>
                <w:sz w:val="20"/>
                <w:szCs w:val="20"/>
              </w:rPr>
            </w:pPr>
            <w:r>
              <w:rPr>
                <w:rFonts w:cstheme="minorHAnsi"/>
                <w:sz w:val="20"/>
                <w:szCs w:val="20"/>
              </w:rPr>
              <w:t>Typically, Senior Manager</w:t>
            </w:r>
          </w:p>
        </w:tc>
        <w:tc>
          <w:tcPr>
            <w:tcW w:w="3690" w:type="dxa"/>
          </w:tcPr>
          <w:p w14:paraId="4845D60D" w14:textId="6A781F6A" w:rsidR="002876E5" w:rsidRPr="00D2258D" w:rsidRDefault="002876E5" w:rsidP="00491939">
            <w:pPr>
              <w:rPr>
                <w:rFonts w:cstheme="minorHAnsi"/>
                <w:sz w:val="20"/>
                <w:szCs w:val="20"/>
              </w:rPr>
            </w:pPr>
            <w:r>
              <w:rPr>
                <w:rFonts w:cstheme="minorHAnsi"/>
                <w:sz w:val="20"/>
                <w:szCs w:val="20"/>
              </w:rPr>
              <w:t>Yes</w:t>
            </w:r>
          </w:p>
        </w:tc>
      </w:tr>
      <w:tr w:rsidR="007802E1" w:rsidRPr="00F133DC" w14:paraId="5DD6823B" w14:textId="77777777" w:rsidTr="363CA695">
        <w:trPr>
          <w:trHeight w:val="20"/>
        </w:trPr>
        <w:tc>
          <w:tcPr>
            <w:tcW w:w="3685" w:type="dxa"/>
            <w:shd w:val="clear" w:color="auto" w:fill="00B0F0"/>
          </w:tcPr>
          <w:p w14:paraId="286563B6" w14:textId="77777777" w:rsidR="007802E1" w:rsidRPr="00F133DC" w:rsidRDefault="007802E1" w:rsidP="00491939">
            <w:pPr>
              <w:rPr>
                <w:rFonts w:cstheme="minorHAnsi"/>
                <w:b/>
                <w:bCs/>
                <w:sz w:val="20"/>
                <w:szCs w:val="20"/>
              </w:rPr>
            </w:pPr>
            <w:r w:rsidRPr="00F133DC">
              <w:rPr>
                <w:rFonts w:cstheme="minorHAnsi"/>
                <w:b/>
                <w:bCs/>
                <w:sz w:val="20"/>
                <w:szCs w:val="20"/>
              </w:rPr>
              <w:t xml:space="preserve">Procure &amp; </w:t>
            </w:r>
            <w:proofErr w:type="gramStart"/>
            <w:r w:rsidRPr="00F133DC">
              <w:rPr>
                <w:rFonts w:cstheme="minorHAnsi"/>
                <w:b/>
                <w:bCs/>
                <w:sz w:val="20"/>
                <w:szCs w:val="20"/>
              </w:rPr>
              <w:t>Pay</w:t>
            </w:r>
            <w:proofErr w:type="gramEnd"/>
          </w:p>
        </w:tc>
        <w:tc>
          <w:tcPr>
            <w:tcW w:w="2700" w:type="dxa"/>
            <w:shd w:val="clear" w:color="auto" w:fill="00B0F0"/>
          </w:tcPr>
          <w:p w14:paraId="54AF0D5D" w14:textId="77777777" w:rsidR="007802E1" w:rsidRPr="00F133DC" w:rsidRDefault="007802E1" w:rsidP="00491939">
            <w:pPr>
              <w:rPr>
                <w:rFonts w:cstheme="minorHAnsi"/>
                <w:sz w:val="20"/>
                <w:szCs w:val="20"/>
              </w:rPr>
            </w:pPr>
          </w:p>
        </w:tc>
        <w:tc>
          <w:tcPr>
            <w:tcW w:w="3690" w:type="dxa"/>
            <w:shd w:val="clear" w:color="auto" w:fill="00B0F0"/>
          </w:tcPr>
          <w:p w14:paraId="5AA0973A" w14:textId="77777777" w:rsidR="007802E1" w:rsidRPr="00F133DC" w:rsidRDefault="007802E1" w:rsidP="00491939">
            <w:pPr>
              <w:rPr>
                <w:rFonts w:cstheme="minorHAnsi"/>
                <w:sz w:val="20"/>
                <w:szCs w:val="20"/>
              </w:rPr>
            </w:pPr>
          </w:p>
        </w:tc>
      </w:tr>
      <w:tr w:rsidR="007802E1" w:rsidRPr="00F133DC" w14:paraId="527C4266" w14:textId="77777777" w:rsidTr="363CA695">
        <w:trPr>
          <w:trHeight w:val="20"/>
        </w:trPr>
        <w:tc>
          <w:tcPr>
            <w:tcW w:w="3685" w:type="dxa"/>
          </w:tcPr>
          <w:p w14:paraId="094EFC6F" w14:textId="77777777" w:rsidR="007802E1" w:rsidRPr="00D2258D" w:rsidRDefault="007802E1" w:rsidP="00491939">
            <w:pPr>
              <w:rPr>
                <w:rFonts w:cstheme="minorHAnsi"/>
                <w:sz w:val="20"/>
                <w:szCs w:val="20"/>
              </w:rPr>
            </w:pPr>
            <w:r w:rsidRPr="00D2258D">
              <w:rPr>
                <w:rFonts w:cstheme="minorHAnsi"/>
                <w:sz w:val="20"/>
                <w:szCs w:val="20"/>
              </w:rPr>
              <w:t>Buyer</w:t>
            </w:r>
          </w:p>
        </w:tc>
        <w:tc>
          <w:tcPr>
            <w:tcW w:w="2700" w:type="dxa"/>
          </w:tcPr>
          <w:p w14:paraId="3636F07D" w14:textId="77777777" w:rsidR="007802E1" w:rsidRPr="00D2258D" w:rsidRDefault="007802E1" w:rsidP="00491939">
            <w:pPr>
              <w:rPr>
                <w:rFonts w:cstheme="minorHAnsi"/>
                <w:sz w:val="20"/>
                <w:szCs w:val="20"/>
              </w:rPr>
            </w:pPr>
            <w:r w:rsidRPr="00D2258D">
              <w:rPr>
                <w:rFonts w:cstheme="minorHAnsi"/>
                <w:sz w:val="20"/>
                <w:szCs w:val="20"/>
              </w:rPr>
              <w:t>Procurement Buyer (BP)</w:t>
            </w:r>
          </w:p>
        </w:tc>
        <w:tc>
          <w:tcPr>
            <w:tcW w:w="3690" w:type="dxa"/>
          </w:tcPr>
          <w:p w14:paraId="74B4ADCB"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795613BD" w14:textId="77777777" w:rsidTr="363CA695">
        <w:trPr>
          <w:trHeight w:val="20"/>
        </w:trPr>
        <w:tc>
          <w:tcPr>
            <w:tcW w:w="3685" w:type="dxa"/>
          </w:tcPr>
          <w:p w14:paraId="040C346D" w14:textId="77777777" w:rsidR="007802E1" w:rsidRPr="00D2258D" w:rsidRDefault="007802E1" w:rsidP="00491939">
            <w:pPr>
              <w:rPr>
                <w:rFonts w:cstheme="minorHAnsi"/>
                <w:sz w:val="20"/>
                <w:szCs w:val="20"/>
              </w:rPr>
            </w:pPr>
            <w:r w:rsidRPr="00D2258D">
              <w:rPr>
                <w:rFonts w:cstheme="minorHAnsi"/>
                <w:sz w:val="20"/>
                <w:szCs w:val="20"/>
              </w:rPr>
              <w:t>Supplier Maintenance (L1 approver)</w:t>
            </w:r>
          </w:p>
        </w:tc>
        <w:tc>
          <w:tcPr>
            <w:tcW w:w="2700" w:type="dxa"/>
          </w:tcPr>
          <w:p w14:paraId="6343E641" w14:textId="77777777" w:rsidR="007802E1" w:rsidRPr="00D2258D" w:rsidRDefault="007802E1" w:rsidP="00491939">
            <w:pPr>
              <w:rPr>
                <w:rFonts w:cstheme="minorHAnsi"/>
                <w:sz w:val="20"/>
                <w:szCs w:val="20"/>
              </w:rPr>
            </w:pPr>
            <w:r w:rsidRPr="00D2258D">
              <w:rPr>
                <w:rFonts w:cstheme="minorHAnsi"/>
                <w:sz w:val="20"/>
                <w:szCs w:val="20"/>
              </w:rPr>
              <w:t>Supplier Maintenance (SR)</w:t>
            </w:r>
          </w:p>
        </w:tc>
        <w:tc>
          <w:tcPr>
            <w:tcW w:w="3690" w:type="dxa"/>
          </w:tcPr>
          <w:p w14:paraId="3EE52F58"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0ADC9ACF" w14:textId="77777777" w:rsidTr="363CA695">
        <w:trPr>
          <w:trHeight w:val="20"/>
        </w:trPr>
        <w:tc>
          <w:tcPr>
            <w:tcW w:w="3685" w:type="dxa"/>
          </w:tcPr>
          <w:p w14:paraId="76403284" w14:textId="77777777" w:rsidR="007802E1" w:rsidRPr="00D2258D" w:rsidRDefault="007802E1" w:rsidP="00491939">
            <w:pPr>
              <w:rPr>
                <w:rFonts w:cstheme="minorHAnsi"/>
                <w:sz w:val="20"/>
                <w:szCs w:val="20"/>
              </w:rPr>
            </w:pPr>
            <w:r w:rsidRPr="00D2258D">
              <w:rPr>
                <w:rFonts w:cstheme="minorHAnsi"/>
                <w:sz w:val="20"/>
                <w:szCs w:val="20"/>
              </w:rPr>
              <w:t>Supplier Approver (L2 approver)</w:t>
            </w:r>
          </w:p>
        </w:tc>
        <w:tc>
          <w:tcPr>
            <w:tcW w:w="2700" w:type="dxa"/>
          </w:tcPr>
          <w:p w14:paraId="17DEF1B5" w14:textId="77777777" w:rsidR="007802E1" w:rsidRPr="00D2258D" w:rsidRDefault="007802E1" w:rsidP="00491939">
            <w:pPr>
              <w:rPr>
                <w:rFonts w:cstheme="minorHAnsi"/>
                <w:sz w:val="20"/>
                <w:szCs w:val="20"/>
              </w:rPr>
            </w:pPr>
            <w:r w:rsidRPr="00D2258D">
              <w:rPr>
                <w:rFonts w:cstheme="minorHAnsi"/>
                <w:sz w:val="20"/>
                <w:szCs w:val="20"/>
              </w:rPr>
              <w:t>Supplier Approver (SR)</w:t>
            </w:r>
          </w:p>
        </w:tc>
        <w:tc>
          <w:tcPr>
            <w:tcW w:w="3690" w:type="dxa"/>
          </w:tcPr>
          <w:p w14:paraId="5EEB7B0D" w14:textId="7D8198CC" w:rsidR="007802E1" w:rsidRPr="00D2258D" w:rsidRDefault="007802E1" w:rsidP="363CA695">
            <w:pPr>
              <w:rPr>
                <w:sz w:val="20"/>
                <w:szCs w:val="20"/>
              </w:rPr>
            </w:pPr>
            <w:r w:rsidRPr="00D2258D">
              <w:rPr>
                <w:sz w:val="20"/>
                <w:szCs w:val="20"/>
              </w:rPr>
              <w:t>No. Only BMS/GSSC, unless a justified exception for select HQ offices/</w:t>
            </w:r>
            <w:proofErr w:type="gramStart"/>
            <w:r w:rsidRPr="00D2258D">
              <w:rPr>
                <w:sz w:val="20"/>
                <w:szCs w:val="20"/>
              </w:rPr>
              <w:t>units</w:t>
            </w:r>
            <w:proofErr w:type="gramEnd"/>
            <w:r w:rsidRPr="00D2258D">
              <w:rPr>
                <w:sz w:val="20"/>
                <w:szCs w:val="20"/>
              </w:rPr>
              <w:t xml:space="preserve"> has been granted by BMS/OF</w:t>
            </w:r>
            <w:r w:rsidR="00A40A72">
              <w:rPr>
                <w:sz w:val="20"/>
                <w:szCs w:val="20"/>
              </w:rPr>
              <w:t>R</w:t>
            </w:r>
            <w:r w:rsidRPr="00D2258D">
              <w:rPr>
                <w:sz w:val="20"/>
                <w:szCs w:val="20"/>
              </w:rPr>
              <w:t>M.</w:t>
            </w:r>
          </w:p>
        </w:tc>
      </w:tr>
      <w:tr w:rsidR="007802E1" w:rsidRPr="00F133DC" w14:paraId="50AB154D" w14:textId="77777777" w:rsidTr="363CA695">
        <w:trPr>
          <w:trHeight w:val="20"/>
        </w:trPr>
        <w:tc>
          <w:tcPr>
            <w:tcW w:w="3685" w:type="dxa"/>
          </w:tcPr>
          <w:p w14:paraId="4C2BBF0E" w14:textId="77777777" w:rsidR="007802E1" w:rsidRPr="00D2258D" w:rsidRDefault="007802E1" w:rsidP="00491939">
            <w:pPr>
              <w:rPr>
                <w:rFonts w:cstheme="minorHAnsi"/>
                <w:sz w:val="20"/>
                <w:szCs w:val="20"/>
              </w:rPr>
            </w:pPr>
            <w:r w:rsidRPr="00D2258D">
              <w:rPr>
                <w:rFonts w:cstheme="minorHAnsi"/>
                <w:sz w:val="20"/>
                <w:szCs w:val="20"/>
              </w:rPr>
              <w:t xml:space="preserve">Approving Manager </w:t>
            </w:r>
          </w:p>
          <w:p w14:paraId="454D5D58" w14:textId="77777777" w:rsidR="007802E1" w:rsidRPr="00D2258D" w:rsidRDefault="007802E1" w:rsidP="00491939">
            <w:pPr>
              <w:rPr>
                <w:rFonts w:cstheme="minorHAnsi"/>
                <w:sz w:val="20"/>
                <w:szCs w:val="20"/>
              </w:rPr>
            </w:pPr>
            <w:r w:rsidRPr="00D2258D">
              <w:rPr>
                <w:rFonts w:cstheme="minorHAnsi"/>
                <w:i/>
                <w:iCs/>
                <w:sz w:val="20"/>
                <w:szCs w:val="20"/>
              </w:rPr>
              <w:t>(second authority, verifying officer)</w:t>
            </w:r>
          </w:p>
        </w:tc>
        <w:tc>
          <w:tcPr>
            <w:tcW w:w="2700" w:type="dxa"/>
          </w:tcPr>
          <w:p w14:paraId="4402C9F7" w14:textId="77777777" w:rsidR="007802E1" w:rsidRPr="00D2258D" w:rsidRDefault="007802E1" w:rsidP="00491939">
            <w:pPr>
              <w:rPr>
                <w:rFonts w:cstheme="minorHAnsi"/>
                <w:sz w:val="20"/>
                <w:szCs w:val="20"/>
              </w:rPr>
            </w:pPr>
            <w:r w:rsidRPr="00D2258D">
              <w:rPr>
                <w:rFonts w:cstheme="minorHAnsi"/>
                <w:sz w:val="20"/>
                <w:szCs w:val="20"/>
              </w:rPr>
              <w:t>Manager Level 1, Manager Level 2, Senior Manager (BP)</w:t>
            </w:r>
          </w:p>
        </w:tc>
        <w:tc>
          <w:tcPr>
            <w:tcW w:w="3690" w:type="dxa"/>
          </w:tcPr>
          <w:p w14:paraId="3A0AF022"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27FA476" w14:textId="77777777" w:rsidTr="363CA695">
        <w:trPr>
          <w:trHeight w:val="20"/>
        </w:trPr>
        <w:tc>
          <w:tcPr>
            <w:tcW w:w="3685" w:type="dxa"/>
          </w:tcPr>
          <w:p w14:paraId="4E5D19B7" w14:textId="77777777" w:rsidR="007802E1" w:rsidRPr="00D2258D" w:rsidRDefault="007802E1" w:rsidP="00491939">
            <w:pPr>
              <w:rPr>
                <w:rFonts w:cstheme="minorHAnsi"/>
                <w:sz w:val="20"/>
                <w:szCs w:val="20"/>
              </w:rPr>
            </w:pPr>
            <w:r w:rsidRPr="00D2258D">
              <w:rPr>
                <w:rFonts w:cstheme="minorHAnsi"/>
                <w:sz w:val="20"/>
                <w:szCs w:val="20"/>
              </w:rPr>
              <w:t xml:space="preserve">Disbursing Officer – Part A </w:t>
            </w:r>
          </w:p>
          <w:p w14:paraId="64B06D27" w14:textId="77777777" w:rsidR="007802E1" w:rsidRPr="00D2258D" w:rsidRDefault="007802E1" w:rsidP="00491939">
            <w:pPr>
              <w:rPr>
                <w:rFonts w:cstheme="minorHAnsi"/>
                <w:sz w:val="20"/>
                <w:szCs w:val="20"/>
              </w:rPr>
            </w:pPr>
            <w:r w:rsidRPr="00D2258D">
              <w:rPr>
                <w:rFonts w:cstheme="minorHAnsi"/>
                <w:i/>
                <w:iCs/>
                <w:sz w:val="20"/>
                <w:szCs w:val="20"/>
              </w:rPr>
              <w:t>(third authority, disbursing officer)</w:t>
            </w:r>
          </w:p>
        </w:tc>
        <w:tc>
          <w:tcPr>
            <w:tcW w:w="2700" w:type="dxa"/>
          </w:tcPr>
          <w:p w14:paraId="5F584BAE" w14:textId="3F95E257" w:rsidR="007802E1" w:rsidRPr="00D2258D" w:rsidRDefault="00791265" w:rsidP="363CA695">
            <w:pPr>
              <w:rPr>
                <w:sz w:val="20"/>
                <w:szCs w:val="20"/>
              </w:rPr>
            </w:pPr>
            <w:r w:rsidRPr="00D2258D">
              <w:rPr>
                <w:rStyle w:val="cf01"/>
                <w:rFonts w:asciiTheme="minorHAnsi" w:hAnsiTheme="minorHAnsi" w:cstheme="minorBidi"/>
                <w:sz w:val="20"/>
                <w:szCs w:val="20"/>
              </w:rPr>
              <w:t>Accounts Payable Payment Supervisor UNDP (</w:t>
            </w:r>
            <w:proofErr w:type="spellStart"/>
            <w:r w:rsidRPr="00D2258D">
              <w:rPr>
                <w:rStyle w:val="cf01"/>
                <w:rFonts w:asciiTheme="minorHAnsi" w:hAnsiTheme="minorHAnsi" w:cstheme="minorBidi"/>
                <w:sz w:val="20"/>
                <w:szCs w:val="20"/>
              </w:rPr>
              <w:t>adm</w:t>
            </w:r>
            <w:proofErr w:type="spellEnd"/>
            <w:r w:rsidRPr="00D2258D">
              <w:rPr>
                <w:rStyle w:val="cf01"/>
                <w:rFonts w:asciiTheme="minorHAnsi" w:hAnsiTheme="minorHAnsi" w:cstheme="minorBidi"/>
                <w:sz w:val="20"/>
                <w:szCs w:val="20"/>
              </w:rPr>
              <w:t>) or Accounts Payable Payment Supervisor GSSC (</w:t>
            </w:r>
            <w:proofErr w:type="spellStart"/>
            <w:r w:rsidRPr="00D2258D">
              <w:rPr>
                <w:rStyle w:val="cf01"/>
                <w:rFonts w:asciiTheme="minorHAnsi" w:hAnsiTheme="minorHAnsi" w:cstheme="minorBidi"/>
                <w:sz w:val="20"/>
                <w:szCs w:val="20"/>
              </w:rPr>
              <w:t>adm</w:t>
            </w:r>
            <w:proofErr w:type="spellEnd"/>
            <w:r w:rsidRPr="00D2258D">
              <w:rPr>
                <w:rStyle w:val="cf01"/>
                <w:rFonts w:asciiTheme="minorHAnsi" w:hAnsiTheme="minorHAnsi" w:cstheme="minorBidi"/>
                <w:sz w:val="20"/>
                <w:szCs w:val="20"/>
              </w:rPr>
              <w:t xml:space="preserve">) </w:t>
            </w:r>
          </w:p>
        </w:tc>
        <w:tc>
          <w:tcPr>
            <w:tcW w:w="3690" w:type="dxa"/>
          </w:tcPr>
          <w:p w14:paraId="595C3C3C" w14:textId="46B6ACAD" w:rsidR="007802E1" w:rsidRPr="00D2258D" w:rsidRDefault="007802E1" w:rsidP="00491939">
            <w:pPr>
              <w:rPr>
                <w:rFonts w:cstheme="minorHAnsi"/>
                <w:sz w:val="20"/>
                <w:szCs w:val="20"/>
              </w:rPr>
            </w:pPr>
            <w:r w:rsidRPr="00D2258D">
              <w:rPr>
                <w:rFonts w:cstheme="minorHAnsi"/>
                <w:sz w:val="20"/>
                <w:szCs w:val="20"/>
              </w:rPr>
              <w:t xml:space="preserve">No. </w:t>
            </w:r>
            <w:r w:rsidR="00A550C2">
              <w:rPr>
                <w:rFonts w:cstheme="minorHAnsi"/>
                <w:sz w:val="20"/>
                <w:szCs w:val="20"/>
              </w:rPr>
              <w:t xml:space="preserve">Only </w:t>
            </w:r>
            <w:r w:rsidRPr="00D2258D">
              <w:rPr>
                <w:rFonts w:cstheme="minorHAnsi"/>
                <w:sz w:val="20"/>
                <w:szCs w:val="20"/>
              </w:rPr>
              <w:t xml:space="preserve">BMS/GSSC </w:t>
            </w:r>
            <w:r w:rsidR="00A550C2">
              <w:rPr>
                <w:rFonts w:cstheme="minorHAnsi"/>
                <w:sz w:val="20"/>
                <w:szCs w:val="20"/>
              </w:rPr>
              <w:t xml:space="preserve">(for COs) </w:t>
            </w:r>
            <w:r w:rsidRPr="00D2258D">
              <w:rPr>
                <w:rFonts w:cstheme="minorHAnsi"/>
                <w:sz w:val="20"/>
                <w:szCs w:val="20"/>
              </w:rPr>
              <w:t>and BMS/OF</w:t>
            </w:r>
            <w:r w:rsidR="00A40A72">
              <w:rPr>
                <w:rFonts w:cstheme="minorHAnsi"/>
                <w:sz w:val="20"/>
                <w:szCs w:val="20"/>
              </w:rPr>
              <w:t>R</w:t>
            </w:r>
            <w:r w:rsidRPr="00D2258D">
              <w:rPr>
                <w:rFonts w:cstheme="minorHAnsi"/>
                <w:sz w:val="20"/>
                <w:szCs w:val="20"/>
              </w:rPr>
              <w:t xml:space="preserve">M/Treasury </w:t>
            </w:r>
            <w:r w:rsidR="00A550C2">
              <w:rPr>
                <w:rFonts w:cstheme="minorHAnsi"/>
                <w:sz w:val="20"/>
                <w:szCs w:val="20"/>
              </w:rPr>
              <w:t xml:space="preserve">(for HQ offices), and UNV. </w:t>
            </w:r>
          </w:p>
        </w:tc>
      </w:tr>
      <w:tr w:rsidR="007802E1" w:rsidRPr="00F133DC" w14:paraId="1C28BCD5" w14:textId="77777777" w:rsidTr="363CA695">
        <w:trPr>
          <w:trHeight w:val="20"/>
        </w:trPr>
        <w:tc>
          <w:tcPr>
            <w:tcW w:w="3685" w:type="dxa"/>
          </w:tcPr>
          <w:p w14:paraId="35D51477" w14:textId="77777777" w:rsidR="007802E1" w:rsidRPr="00D2258D" w:rsidRDefault="007802E1" w:rsidP="00491939">
            <w:pPr>
              <w:rPr>
                <w:rFonts w:cstheme="minorHAnsi"/>
                <w:sz w:val="20"/>
                <w:szCs w:val="20"/>
              </w:rPr>
            </w:pPr>
            <w:r w:rsidRPr="00D2258D">
              <w:rPr>
                <w:rFonts w:cstheme="minorHAnsi"/>
                <w:sz w:val="20"/>
                <w:szCs w:val="20"/>
              </w:rPr>
              <w:t xml:space="preserve">Disbursing Officer – Part B </w:t>
            </w:r>
            <w:r w:rsidRPr="00D2258D">
              <w:rPr>
                <w:rFonts w:cstheme="minorHAnsi"/>
                <w:i/>
                <w:iCs/>
                <w:sz w:val="20"/>
                <w:szCs w:val="20"/>
              </w:rPr>
              <w:t>(third authority, disbursing officer)</w:t>
            </w:r>
          </w:p>
        </w:tc>
        <w:tc>
          <w:tcPr>
            <w:tcW w:w="2700" w:type="dxa"/>
          </w:tcPr>
          <w:p w14:paraId="4A7EEBA7" w14:textId="12EFA6EA" w:rsidR="007802E1" w:rsidRPr="00D2258D" w:rsidRDefault="006D20AA" w:rsidP="00491939">
            <w:pPr>
              <w:rPr>
                <w:rFonts w:cstheme="minorHAnsi"/>
                <w:sz w:val="20"/>
                <w:szCs w:val="20"/>
              </w:rPr>
            </w:pPr>
            <w:r w:rsidRPr="00D2258D">
              <w:rPr>
                <w:rFonts w:cstheme="minorHAnsi"/>
                <w:sz w:val="20"/>
                <w:szCs w:val="20"/>
              </w:rPr>
              <w:t xml:space="preserve"> </w:t>
            </w:r>
            <w:r w:rsidRPr="00D2258D">
              <w:rPr>
                <w:sz w:val="20"/>
                <w:szCs w:val="20"/>
              </w:rPr>
              <w:t>UN UFF File download</w:t>
            </w:r>
          </w:p>
        </w:tc>
        <w:tc>
          <w:tcPr>
            <w:tcW w:w="3690" w:type="dxa"/>
          </w:tcPr>
          <w:p w14:paraId="02233805" w14:textId="2BC7EF2A" w:rsidR="007802E1" w:rsidRPr="00D2258D" w:rsidRDefault="006D20AA" w:rsidP="00491939">
            <w:pPr>
              <w:rPr>
                <w:rFonts w:cstheme="minorHAnsi"/>
                <w:sz w:val="20"/>
                <w:szCs w:val="20"/>
              </w:rPr>
            </w:pPr>
            <w:r w:rsidRPr="00D2258D">
              <w:rPr>
                <w:rFonts w:cstheme="minorHAnsi"/>
                <w:sz w:val="20"/>
                <w:szCs w:val="20"/>
              </w:rPr>
              <w:t>P</w:t>
            </w:r>
            <w:r w:rsidR="007802E1" w:rsidRPr="00D2258D">
              <w:rPr>
                <w:rFonts w:cstheme="minorHAnsi"/>
                <w:sz w:val="20"/>
                <w:szCs w:val="20"/>
              </w:rPr>
              <w:t>ayment file access is controlled through IDAM</w:t>
            </w:r>
            <w:r w:rsidRPr="00D2258D">
              <w:rPr>
                <w:rFonts w:cstheme="minorHAnsi"/>
                <w:sz w:val="20"/>
                <w:szCs w:val="20"/>
              </w:rPr>
              <w:t xml:space="preserve"> and may be assigned only to staff.</w:t>
            </w:r>
          </w:p>
        </w:tc>
      </w:tr>
      <w:tr w:rsidR="007802E1" w:rsidRPr="00F133DC" w14:paraId="5D7C1225" w14:textId="77777777" w:rsidTr="363CA695">
        <w:trPr>
          <w:trHeight w:val="20"/>
        </w:trPr>
        <w:tc>
          <w:tcPr>
            <w:tcW w:w="3685" w:type="dxa"/>
          </w:tcPr>
          <w:p w14:paraId="61E106E1" w14:textId="77777777" w:rsidR="007802E1" w:rsidRPr="00D2258D" w:rsidRDefault="007802E1" w:rsidP="00491939">
            <w:pPr>
              <w:rPr>
                <w:rFonts w:cstheme="minorHAnsi"/>
                <w:sz w:val="20"/>
                <w:szCs w:val="20"/>
              </w:rPr>
            </w:pPr>
            <w:r w:rsidRPr="00D2258D">
              <w:rPr>
                <w:rFonts w:cstheme="minorHAnsi"/>
                <w:sz w:val="20"/>
                <w:szCs w:val="20"/>
              </w:rPr>
              <w:t>Bank Account Signatory</w:t>
            </w:r>
          </w:p>
        </w:tc>
        <w:tc>
          <w:tcPr>
            <w:tcW w:w="2700" w:type="dxa"/>
          </w:tcPr>
          <w:p w14:paraId="10D1CBDE" w14:textId="77777777" w:rsidR="007802E1" w:rsidRPr="00D2258D" w:rsidRDefault="007802E1" w:rsidP="00491939">
            <w:pPr>
              <w:rPr>
                <w:rFonts w:cstheme="minorHAnsi"/>
                <w:sz w:val="20"/>
                <w:szCs w:val="20"/>
              </w:rPr>
            </w:pPr>
            <w:r w:rsidRPr="00D2258D">
              <w:rPr>
                <w:rFonts w:cstheme="minorHAnsi"/>
                <w:sz w:val="20"/>
                <w:szCs w:val="20"/>
              </w:rPr>
              <w:t>Bank Signatory (SR)</w:t>
            </w:r>
          </w:p>
        </w:tc>
        <w:tc>
          <w:tcPr>
            <w:tcW w:w="3690" w:type="dxa"/>
          </w:tcPr>
          <w:p w14:paraId="5B86CD3A" w14:textId="5880D37A" w:rsidR="007802E1" w:rsidRPr="00D2258D" w:rsidRDefault="0023701B" w:rsidP="00491939">
            <w:pPr>
              <w:rPr>
                <w:rFonts w:cstheme="minorHAnsi"/>
                <w:sz w:val="20"/>
                <w:szCs w:val="20"/>
              </w:rPr>
            </w:pPr>
            <w:r w:rsidRPr="00D2258D">
              <w:rPr>
                <w:rFonts w:cstheme="minorHAnsi"/>
                <w:sz w:val="20"/>
                <w:szCs w:val="20"/>
              </w:rPr>
              <w:t xml:space="preserve">Yes, </w:t>
            </w:r>
            <w:r w:rsidR="007802E1" w:rsidRPr="00D2258D">
              <w:rPr>
                <w:rFonts w:cstheme="minorHAnsi"/>
                <w:sz w:val="20"/>
                <w:szCs w:val="20"/>
              </w:rPr>
              <w:t>COs</w:t>
            </w:r>
            <w:r w:rsidRPr="00D2258D">
              <w:rPr>
                <w:rFonts w:cstheme="minorHAnsi"/>
                <w:sz w:val="20"/>
                <w:szCs w:val="20"/>
              </w:rPr>
              <w:t xml:space="preserve"> </w:t>
            </w:r>
            <w:r w:rsidR="00BC076E" w:rsidRPr="00D2258D">
              <w:rPr>
                <w:rFonts w:cstheme="minorHAnsi"/>
                <w:sz w:val="20"/>
                <w:szCs w:val="20"/>
              </w:rPr>
              <w:t xml:space="preserve">and outposted HQ locations </w:t>
            </w:r>
            <w:r w:rsidRPr="00D2258D">
              <w:rPr>
                <w:rFonts w:cstheme="minorHAnsi"/>
                <w:sz w:val="20"/>
                <w:szCs w:val="20"/>
              </w:rPr>
              <w:t>(for local bank accounts) and</w:t>
            </w:r>
            <w:r w:rsidR="00BC076E" w:rsidRPr="00D2258D">
              <w:rPr>
                <w:rFonts w:cstheme="minorHAnsi"/>
                <w:sz w:val="20"/>
                <w:szCs w:val="20"/>
              </w:rPr>
              <w:t xml:space="preserve"> </w:t>
            </w:r>
            <w:r w:rsidRPr="00D2258D">
              <w:rPr>
                <w:rFonts w:cstheme="minorHAnsi"/>
                <w:sz w:val="20"/>
                <w:szCs w:val="20"/>
              </w:rPr>
              <w:t>BMS/OF</w:t>
            </w:r>
            <w:r w:rsidR="00A40A72">
              <w:rPr>
                <w:rFonts w:cstheme="minorHAnsi"/>
                <w:sz w:val="20"/>
                <w:szCs w:val="20"/>
              </w:rPr>
              <w:t>R</w:t>
            </w:r>
            <w:r w:rsidRPr="00D2258D">
              <w:rPr>
                <w:rFonts w:cstheme="minorHAnsi"/>
                <w:sz w:val="20"/>
                <w:szCs w:val="20"/>
              </w:rPr>
              <w:t>M/</w:t>
            </w:r>
            <w:r w:rsidR="00BC076E" w:rsidRPr="00D2258D">
              <w:rPr>
                <w:rFonts w:cstheme="minorHAnsi"/>
                <w:sz w:val="20"/>
                <w:szCs w:val="20"/>
              </w:rPr>
              <w:t xml:space="preserve"> </w:t>
            </w:r>
            <w:r w:rsidRPr="00D2258D">
              <w:rPr>
                <w:rFonts w:cstheme="minorHAnsi"/>
                <w:sz w:val="20"/>
                <w:szCs w:val="20"/>
              </w:rPr>
              <w:t>Treasury (for HQ accounts)</w:t>
            </w:r>
          </w:p>
        </w:tc>
      </w:tr>
      <w:tr w:rsidR="007802E1" w:rsidRPr="00F133DC" w14:paraId="1B303B0B" w14:textId="77777777" w:rsidTr="363CA695">
        <w:trPr>
          <w:trHeight w:val="20"/>
        </w:trPr>
        <w:tc>
          <w:tcPr>
            <w:tcW w:w="10075" w:type="dxa"/>
            <w:gridSpan w:val="3"/>
            <w:shd w:val="clear" w:color="auto" w:fill="00B0F0"/>
          </w:tcPr>
          <w:p w14:paraId="7BD0FABE" w14:textId="77777777" w:rsidR="007802E1" w:rsidRPr="00F133DC" w:rsidRDefault="007802E1" w:rsidP="00491939">
            <w:pPr>
              <w:rPr>
                <w:rFonts w:cstheme="minorHAnsi"/>
                <w:sz w:val="20"/>
                <w:szCs w:val="20"/>
              </w:rPr>
            </w:pPr>
            <w:r w:rsidRPr="00F133DC">
              <w:rPr>
                <w:rFonts w:cstheme="minorHAnsi"/>
                <w:b/>
                <w:bCs/>
                <w:sz w:val="20"/>
                <w:szCs w:val="20"/>
              </w:rPr>
              <w:t>Human Resources</w:t>
            </w:r>
          </w:p>
        </w:tc>
      </w:tr>
      <w:tr w:rsidR="007802E1" w:rsidRPr="00F133DC" w14:paraId="20DCA78D" w14:textId="77777777" w:rsidTr="363CA695">
        <w:trPr>
          <w:trHeight w:val="20"/>
        </w:trPr>
        <w:tc>
          <w:tcPr>
            <w:tcW w:w="3685" w:type="dxa"/>
          </w:tcPr>
          <w:p w14:paraId="2455DDC1" w14:textId="77777777" w:rsidR="007802E1" w:rsidRPr="00D2258D" w:rsidRDefault="007802E1" w:rsidP="00491939">
            <w:pPr>
              <w:rPr>
                <w:rFonts w:cstheme="minorHAnsi"/>
                <w:sz w:val="20"/>
                <w:szCs w:val="20"/>
              </w:rPr>
            </w:pPr>
            <w:r w:rsidRPr="00D2258D">
              <w:rPr>
                <w:rFonts w:cstheme="minorHAnsi"/>
                <w:sz w:val="20"/>
                <w:szCs w:val="20"/>
              </w:rPr>
              <w:t xml:space="preserve">HR Local Focal Point </w:t>
            </w:r>
          </w:p>
        </w:tc>
        <w:tc>
          <w:tcPr>
            <w:tcW w:w="2700" w:type="dxa"/>
          </w:tcPr>
          <w:p w14:paraId="0D28F6E7" w14:textId="77777777" w:rsidR="007802E1" w:rsidRPr="00D2258D" w:rsidRDefault="007802E1" w:rsidP="00491939">
            <w:pPr>
              <w:rPr>
                <w:rFonts w:cstheme="minorHAnsi"/>
                <w:sz w:val="20"/>
                <w:szCs w:val="20"/>
              </w:rPr>
            </w:pPr>
            <w:r w:rsidRPr="00D2258D">
              <w:rPr>
                <w:rFonts w:cstheme="minorHAnsi"/>
                <w:sz w:val="20"/>
                <w:szCs w:val="20"/>
              </w:rPr>
              <w:t xml:space="preserve">Various HR BPs </w:t>
            </w:r>
          </w:p>
        </w:tc>
        <w:tc>
          <w:tcPr>
            <w:tcW w:w="3690" w:type="dxa"/>
          </w:tcPr>
          <w:p w14:paraId="7794C1D3" w14:textId="68DE09D6" w:rsidR="007802E1" w:rsidRPr="00D2258D" w:rsidRDefault="007802E1" w:rsidP="00491939">
            <w:pPr>
              <w:rPr>
                <w:rFonts w:cstheme="minorHAnsi"/>
                <w:sz w:val="20"/>
                <w:szCs w:val="20"/>
              </w:rPr>
            </w:pPr>
            <w:r w:rsidRPr="00D2258D">
              <w:rPr>
                <w:rFonts w:cstheme="minorHAnsi"/>
                <w:sz w:val="20"/>
                <w:szCs w:val="20"/>
              </w:rPr>
              <w:t>Yes. Refer Annex 2 for details of HR BPs.</w:t>
            </w:r>
          </w:p>
        </w:tc>
      </w:tr>
      <w:tr w:rsidR="007802E1" w:rsidRPr="00F133DC" w14:paraId="0943DF1C" w14:textId="77777777" w:rsidTr="363CA695">
        <w:trPr>
          <w:trHeight w:val="20"/>
        </w:trPr>
        <w:tc>
          <w:tcPr>
            <w:tcW w:w="3685" w:type="dxa"/>
          </w:tcPr>
          <w:p w14:paraId="4C149547" w14:textId="77777777" w:rsidR="007802E1" w:rsidRPr="00D2258D" w:rsidRDefault="007802E1" w:rsidP="00491939">
            <w:pPr>
              <w:rPr>
                <w:rFonts w:cstheme="minorHAnsi"/>
                <w:sz w:val="20"/>
                <w:szCs w:val="20"/>
              </w:rPr>
            </w:pPr>
            <w:r w:rsidRPr="00D2258D">
              <w:rPr>
                <w:rFonts w:cstheme="minorHAnsi"/>
                <w:sz w:val="20"/>
                <w:szCs w:val="20"/>
              </w:rPr>
              <w:t xml:space="preserve">Human Resources Administrator </w:t>
            </w:r>
          </w:p>
          <w:p w14:paraId="4CAFA274" w14:textId="77777777" w:rsidR="007802E1" w:rsidRPr="00D2258D" w:rsidRDefault="007802E1" w:rsidP="00491939">
            <w:pPr>
              <w:rPr>
                <w:rFonts w:cstheme="minorHAnsi"/>
                <w:sz w:val="20"/>
                <w:szCs w:val="20"/>
              </w:rPr>
            </w:pPr>
            <w:r w:rsidRPr="00D2258D">
              <w:rPr>
                <w:rFonts w:cstheme="minorHAnsi"/>
                <w:i/>
                <w:iCs/>
                <w:sz w:val="20"/>
                <w:szCs w:val="20"/>
              </w:rPr>
              <w:t>(first authority, committing officer)</w:t>
            </w:r>
          </w:p>
        </w:tc>
        <w:tc>
          <w:tcPr>
            <w:tcW w:w="2700" w:type="dxa"/>
          </w:tcPr>
          <w:p w14:paraId="08F817EE" w14:textId="77777777" w:rsidR="007802E1" w:rsidRPr="00D2258D" w:rsidRDefault="007802E1" w:rsidP="00491939">
            <w:pPr>
              <w:rPr>
                <w:rFonts w:cstheme="minorHAnsi"/>
                <w:sz w:val="20"/>
                <w:szCs w:val="20"/>
              </w:rPr>
            </w:pPr>
            <w:r w:rsidRPr="00D2258D">
              <w:rPr>
                <w:rFonts w:cstheme="minorHAnsi"/>
                <w:sz w:val="20"/>
                <w:szCs w:val="20"/>
              </w:rPr>
              <w:t>Human Resources Administrator</w:t>
            </w:r>
          </w:p>
        </w:tc>
        <w:tc>
          <w:tcPr>
            <w:tcW w:w="3690" w:type="dxa"/>
            <w:vMerge w:val="restart"/>
          </w:tcPr>
          <w:p w14:paraId="30BACC7F" w14:textId="053DDDA9" w:rsidR="007802E1" w:rsidRPr="00D2258D" w:rsidRDefault="007802E1" w:rsidP="00491939">
            <w:pPr>
              <w:rPr>
                <w:rFonts w:cstheme="minorHAnsi"/>
                <w:sz w:val="20"/>
                <w:szCs w:val="20"/>
              </w:rPr>
            </w:pPr>
            <w:r w:rsidRPr="00D2258D">
              <w:rPr>
                <w:rFonts w:cstheme="minorHAnsi"/>
                <w:sz w:val="20"/>
                <w:szCs w:val="20"/>
              </w:rPr>
              <w:t>No, these first, second and third authority roles are performed by BMS/GSSC for all offices</w:t>
            </w:r>
            <w:r w:rsidR="00356A22" w:rsidRPr="00D2258D">
              <w:rPr>
                <w:rFonts w:cstheme="minorHAnsi"/>
                <w:sz w:val="20"/>
                <w:szCs w:val="20"/>
              </w:rPr>
              <w:t>/units</w:t>
            </w:r>
            <w:r w:rsidRPr="00D2258D">
              <w:rPr>
                <w:rFonts w:cstheme="minorHAnsi"/>
                <w:sz w:val="20"/>
                <w:szCs w:val="20"/>
              </w:rPr>
              <w:t>, except for outposted HQ locations (who may assign these three roles</w:t>
            </w:r>
            <w:r w:rsidR="00356A22" w:rsidRPr="00D2258D">
              <w:rPr>
                <w:rFonts w:cstheme="minorHAnsi"/>
                <w:sz w:val="20"/>
                <w:szCs w:val="20"/>
              </w:rPr>
              <w:t xml:space="preserve"> for local payroll actions</w:t>
            </w:r>
            <w:r w:rsidRPr="00D2258D">
              <w:rPr>
                <w:rFonts w:cstheme="minorHAnsi"/>
                <w:sz w:val="20"/>
                <w:szCs w:val="20"/>
              </w:rPr>
              <w:t>).</w:t>
            </w:r>
          </w:p>
        </w:tc>
      </w:tr>
      <w:tr w:rsidR="007802E1" w:rsidRPr="00F133DC" w14:paraId="674EB605" w14:textId="77777777" w:rsidTr="363CA695">
        <w:trPr>
          <w:trHeight w:val="20"/>
        </w:trPr>
        <w:tc>
          <w:tcPr>
            <w:tcW w:w="3685" w:type="dxa"/>
          </w:tcPr>
          <w:p w14:paraId="0BD2E6C7" w14:textId="77777777" w:rsidR="007802E1" w:rsidRPr="00D2258D" w:rsidRDefault="007802E1" w:rsidP="00491939">
            <w:pPr>
              <w:rPr>
                <w:rFonts w:cstheme="minorHAnsi"/>
                <w:sz w:val="20"/>
                <w:szCs w:val="20"/>
              </w:rPr>
            </w:pPr>
            <w:r w:rsidRPr="00D2258D">
              <w:rPr>
                <w:rFonts w:cstheme="minorHAnsi"/>
                <w:sz w:val="20"/>
                <w:szCs w:val="20"/>
              </w:rPr>
              <w:t xml:space="preserve">Payroll Administrator </w:t>
            </w:r>
          </w:p>
          <w:p w14:paraId="34EC1D36" w14:textId="77777777" w:rsidR="007802E1" w:rsidRPr="00D2258D" w:rsidRDefault="007802E1" w:rsidP="00491939">
            <w:pPr>
              <w:rPr>
                <w:rFonts w:cstheme="minorHAnsi"/>
                <w:sz w:val="20"/>
                <w:szCs w:val="20"/>
              </w:rPr>
            </w:pPr>
            <w:r w:rsidRPr="00D2258D">
              <w:rPr>
                <w:rFonts w:cstheme="minorHAnsi"/>
                <w:i/>
                <w:iCs/>
                <w:sz w:val="20"/>
                <w:szCs w:val="20"/>
              </w:rPr>
              <w:t>(second authority, verifying officer)</w:t>
            </w:r>
          </w:p>
        </w:tc>
        <w:tc>
          <w:tcPr>
            <w:tcW w:w="2700" w:type="dxa"/>
          </w:tcPr>
          <w:p w14:paraId="61296DF1" w14:textId="77777777" w:rsidR="007802E1" w:rsidRPr="00D2258D" w:rsidRDefault="007802E1" w:rsidP="00491939">
            <w:pPr>
              <w:rPr>
                <w:rFonts w:cstheme="minorHAnsi"/>
                <w:sz w:val="20"/>
                <w:szCs w:val="20"/>
              </w:rPr>
            </w:pPr>
            <w:r w:rsidRPr="00D2258D">
              <w:rPr>
                <w:rFonts w:cstheme="minorHAnsi"/>
                <w:sz w:val="20"/>
                <w:szCs w:val="20"/>
              </w:rPr>
              <w:t>Payroll Administrator</w:t>
            </w:r>
          </w:p>
          <w:p w14:paraId="0D6BA1C7" w14:textId="77777777" w:rsidR="007802E1" w:rsidRPr="00D2258D" w:rsidRDefault="007802E1" w:rsidP="00491939">
            <w:pPr>
              <w:rPr>
                <w:rFonts w:cstheme="minorHAnsi"/>
                <w:sz w:val="20"/>
                <w:szCs w:val="20"/>
              </w:rPr>
            </w:pPr>
          </w:p>
        </w:tc>
        <w:tc>
          <w:tcPr>
            <w:tcW w:w="3690" w:type="dxa"/>
            <w:vMerge/>
          </w:tcPr>
          <w:p w14:paraId="7529FFFE" w14:textId="77777777" w:rsidR="007802E1" w:rsidRPr="00D2258D" w:rsidRDefault="007802E1" w:rsidP="00491939">
            <w:pPr>
              <w:rPr>
                <w:rFonts w:cstheme="minorHAnsi"/>
                <w:sz w:val="20"/>
                <w:szCs w:val="20"/>
              </w:rPr>
            </w:pPr>
          </w:p>
        </w:tc>
      </w:tr>
      <w:tr w:rsidR="007802E1" w:rsidRPr="00F133DC" w14:paraId="3A25E135" w14:textId="77777777" w:rsidTr="363CA695">
        <w:trPr>
          <w:trHeight w:val="20"/>
        </w:trPr>
        <w:tc>
          <w:tcPr>
            <w:tcW w:w="3685" w:type="dxa"/>
          </w:tcPr>
          <w:p w14:paraId="51A9DCAB" w14:textId="77777777" w:rsidR="007802E1" w:rsidRPr="00D2258D" w:rsidRDefault="007802E1" w:rsidP="00491939">
            <w:pPr>
              <w:rPr>
                <w:rFonts w:cstheme="minorHAnsi"/>
                <w:sz w:val="20"/>
                <w:szCs w:val="20"/>
              </w:rPr>
            </w:pPr>
            <w:r w:rsidRPr="00D2258D">
              <w:rPr>
                <w:rFonts w:cstheme="minorHAnsi"/>
                <w:sz w:val="20"/>
                <w:szCs w:val="20"/>
              </w:rPr>
              <w:t xml:space="preserve">Payroll Validation Tool User </w:t>
            </w:r>
          </w:p>
          <w:p w14:paraId="7C8379D0" w14:textId="77777777" w:rsidR="007802E1" w:rsidRPr="00D2258D" w:rsidRDefault="007802E1" w:rsidP="00491939">
            <w:pPr>
              <w:rPr>
                <w:rFonts w:cstheme="minorHAnsi"/>
                <w:sz w:val="20"/>
                <w:szCs w:val="20"/>
              </w:rPr>
            </w:pPr>
            <w:r w:rsidRPr="00D2258D">
              <w:rPr>
                <w:rFonts w:cstheme="minorHAnsi"/>
                <w:i/>
                <w:iCs/>
                <w:sz w:val="20"/>
                <w:szCs w:val="20"/>
              </w:rPr>
              <w:t>(third authority, disbursing officer)</w:t>
            </w:r>
          </w:p>
        </w:tc>
        <w:tc>
          <w:tcPr>
            <w:tcW w:w="2700" w:type="dxa"/>
          </w:tcPr>
          <w:p w14:paraId="5AE51DC4" w14:textId="77777777" w:rsidR="007802E1" w:rsidRPr="00D2258D" w:rsidRDefault="007802E1" w:rsidP="00491939">
            <w:pPr>
              <w:rPr>
                <w:rFonts w:cstheme="minorHAnsi"/>
                <w:sz w:val="20"/>
                <w:szCs w:val="20"/>
              </w:rPr>
            </w:pPr>
            <w:r w:rsidRPr="00D2258D">
              <w:rPr>
                <w:rFonts w:cstheme="minorHAnsi"/>
                <w:sz w:val="20"/>
                <w:szCs w:val="20"/>
              </w:rPr>
              <w:t>Payroll Validation Tool User</w:t>
            </w:r>
          </w:p>
          <w:p w14:paraId="22B3D620" w14:textId="77777777" w:rsidR="007802E1" w:rsidRPr="00D2258D" w:rsidRDefault="007802E1" w:rsidP="00491939">
            <w:pPr>
              <w:rPr>
                <w:rFonts w:cstheme="minorHAnsi"/>
                <w:sz w:val="20"/>
                <w:szCs w:val="20"/>
              </w:rPr>
            </w:pPr>
          </w:p>
        </w:tc>
        <w:tc>
          <w:tcPr>
            <w:tcW w:w="3690" w:type="dxa"/>
            <w:vMerge/>
          </w:tcPr>
          <w:p w14:paraId="682A4F02" w14:textId="77777777" w:rsidR="007802E1" w:rsidRPr="00D2258D" w:rsidRDefault="007802E1" w:rsidP="00491939">
            <w:pPr>
              <w:rPr>
                <w:rFonts w:cstheme="minorHAnsi"/>
                <w:sz w:val="20"/>
                <w:szCs w:val="20"/>
              </w:rPr>
            </w:pPr>
          </w:p>
        </w:tc>
      </w:tr>
      <w:tr w:rsidR="007802E1" w:rsidRPr="00F133DC" w14:paraId="0A7A14B8" w14:textId="77777777" w:rsidTr="363CA695">
        <w:trPr>
          <w:trHeight w:val="20"/>
        </w:trPr>
        <w:tc>
          <w:tcPr>
            <w:tcW w:w="3685" w:type="dxa"/>
          </w:tcPr>
          <w:p w14:paraId="5A3D9428" w14:textId="77777777" w:rsidR="007802E1" w:rsidRPr="00D2258D" w:rsidRDefault="007802E1" w:rsidP="00491939">
            <w:pPr>
              <w:rPr>
                <w:rFonts w:cstheme="minorHAnsi"/>
                <w:sz w:val="20"/>
                <w:szCs w:val="20"/>
              </w:rPr>
            </w:pPr>
            <w:r w:rsidRPr="00D2258D">
              <w:rPr>
                <w:rFonts w:cstheme="minorHAnsi"/>
                <w:sz w:val="20"/>
                <w:szCs w:val="20"/>
              </w:rPr>
              <w:t>Position Administrator</w:t>
            </w:r>
          </w:p>
        </w:tc>
        <w:tc>
          <w:tcPr>
            <w:tcW w:w="2700" w:type="dxa"/>
          </w:tcPr>
          <w:p w14:paraId="07699D93" w14:textId="70375B58" w:rsidR="007802E1" w:rsidRPr="00D2258D" w:rsidRDefault="007802E1" w:rsidP="363CA695">
            <w:pPr>
              <w:rPr>
                <w:sz w:val="20"/>
                <w:szCs w:val="20"/>
              </w:rPr>
            </w:pPr>
            <w:r w:rsidRPr="00D2258D">
              <w:rPr>
                <w:sz w:val="20"/>
                <w:szCs w:val="20"/>
              </w:rPr>
              <w:t>Various, to facilitate CO/</w:t>
            </w:r>
            <w:proofErr w:type="spellStart"/>
            <w:r w:rsidRPr="00D2258D">
              <w:rPr>
                <w:sz w:val="20"/>
                <w:szCs w:val="20"/>
              </w:rPr>
              <w:t>Rbx</w:t>
            </w:r>
            <w:proofErr w:type="spellEnd"/>
            <w:r w:rsidRPr="00D2258D">
              <w:rPr>
                <w:sz w:val="20"/>
                <w:szCs w:val="20"/>
              </w:rPr>
              <w:t>/</w:t>
            </w:r>
            <w:proofErr w:type="spellStart"/>
            <w:r w:rsidRPr="00D2258D">
              <w:rPr>
                <w:sz w:val="20"/>
                <w:szCs w:val="20"/>
              </w:rPr>
              <w:t>CBx</w:t>
            </w:r>
            <w:proofErr w:type="spellEnd"/>
            <w:r w:rsidRPr="00D2258D">
              <w:rPr>
                <w:sz w:val="20"/>
                <w:szCs w:val="20"/>
              </w:rPr>
              <w:t xml:space="preserve"> approvals. </w:t>
            </w:r>
          </w:p>
        </w:tc>
        <w:tc>
          <w:tcPr>
            <w:tcW w:w="3690" w:type="dxa"/>
          </w:tcPr>
          <w:p w14:paraId="79CEB81C" w14:textId="4DFD51BD" w:rsidR="007802E1" w:rsidRPr="00D2258D" w:rsidRDefault="007802E1" w:rsidP="00491939">
            <w:pPr>
              <w:rPr>
                <w:rFonts w:cstheme="minorHAnsi"/>
                <w:sz w:val="20"/>
                <w:szCs w:val="20"/>
              </w:rPr>
            </w:pPr>
            <w:r w:rsidRPr="00D2258D">
              <w:rPr>
                <w:rFonts w:cstheme="minorHAnsi"/>
                <w:sz w:val="20"/>
                <w:szCs w:val="20"/>
              </w:rPr>
              <w:t xml:space="preserve">Yes. Refer section </w:t>
            </w:r>
            <w:r w:rsidR="00532E13" w:rsidRPr="00D2258D">
              <w:rPr>
                <w:rFonts w:cstheme="minorHAnsi"/>
                <w:sz w:val="20"/>
                <w:szCs w:val="20"/>
              </w:rPr>
              <w:t>8.</w:t>
            </w:r>
            <w:r w:rsidR="00DD1EBD">
              <w:rPr>
                <w:rFonts w:cstheme="minorHAnsi"/>
                <w:sz w:val="20"/>
                <w:szCs w:val="20"/>
              </w:rPr>
              <w:t>5</w:t>
            </w:r>
            <w:r w:rsidR="00DD1EBD" w:rsidRPr="00D2258D">
              <w:rPr>
                <w:rFonts w:cstheme="minorHAnsi"/>
                <w:sz w:val="20"/>
                <w:szCs w:val="20"/>
              </w:rPr>
              <w:t xml:space="preserve"> </w:t>
            </w:r>
            <w:r w:rsidRPr="00D2258D">
              <w:rPr>
                <w:rFonts w:cstheme="minorHAnsi"/>
                <w:sz w:val="20"/>
                <w:szCs w:val="20"/>
              </w:rPr>
              <w:t>for details on P</w:t>
            </w:r>
            <w:r w:rsidR="00532E13" w:rsidRPr="00D2258D">
              <w:rPr>
                <w:rFonts w:cstheme="minorHAnsi"/>
                <w:sz w:val="20"/>
                <w:szCs w:val="20"/>
              </w:rPr>
              <w:t xml:space="preserve">osition Administration </w:t>
            </w:r>
            <w:r w:rsidRPr="00D2258D">
              <w:rPr>
                <w:rFonts w:cstheme="minorHAnsi"/>
                <w:sz w:val="20"/>
                <w:szCs w:val="20"/>
              </w:rPr>
              <w:t>roles.</w:t>
            </w:r>
          </w:p>
        </w:tc>
      </w:tr>
      <w:tr w:rsidR="007802E1" w:rsidRPr="00F133DC" w14:paraId="5FA1E3D7" w14:textId="77777777" w:rsidTr="363CA695">
        <w:trPr>
          <w:trHeight w:val="20"/>
        </w:trPr>
        <w:tc>
          <w:tcPr>
            <w:tcW w:w="10075" w:type="dxa"/>
            <w:gridSpan w:val="3"/>
            <w:shd w:val="clear" w:color="auto" w:fill="00B0F0"/>
          </w:tcPr>
          <w:p w14:paraId="2AF6F857" w14:textId="77777777" w:rsidR="007802E1" w:rsidRPr="00F133DC" w:rsidRDefault="007802E1" w:rsidP="00491939">
            <w:pPr>
              <w:rPr>
                <w:rFonts w:cstheme="minorHAnsi"/>
                <w:sz w:val="20"/>
                <w:szCs w:val="20"/>
              </w:rPr>
            </w:pPr>
            <w:r w:rsidRPr="00F133DC">
              <w:rPr>
                <w:rFonts w:cstheme="minorHAnsi"/>
                <w:b/>
                <w:bCs/>
                <w:sz w:val="20"/>
                <w:szCs w:val="20"/>
              </w:rPr>
              <w:t>Asset &amp; Inventory Management</w:t>
            </w:r>
          </w:p>
        </w:tc>
      </w:tr>
      <w:tr w:rsidR="007802E1" w:rsidRPr="00F133DC" w14:paraId="26A2C5BA" w14:textId="77777777" w:rsidTr="363CA695">
        <w:trPr>
          <w:trHeight w:val="20"/>
        </w:trPr>
        <w:tc>
          <w:tcPr>
            <w:tcW w:w="3685" w:type="dxa"/>
          </w:tcPr>
          <w:p w14:paraId="60AE9ED2" w14:textId="77777777" w:rsidR="007802E1" w:rsidRPr="00D2258D" w:rsidRDefault="007802E1" w:rsidP="00491939">
            <w:pPr>
              <w:rPr>
                <w:rFonts w:cstheme="minorHAnsi"/>
                <w:sz w:val="20"/>
                <w:szCs w:val="20"/>
              </w:rPr>
            </w:pPr>
            <w:r w:rsidRPr="00D2258D">
              <w:rPr>
                <w:rFonts w:cstheme="minorHAnsi"/>
                <w:sz w:val="20"/>
                <w:szCs w:val="20"/>
              </w:rPr>
              <w:t>Asset Manager</w:t>
            </w:r>
          </w:p>
        </w:tc>
        <w:tc>
          <w:tcPr>
            <w:tcW w:w="2700" w:type="dxa"/>
          </w:tcPr>
          <w:p w14:paraId="48D784F4" w14:textId="67F76CA5" w:rsidR="007802E1" w:rsidRPr="00D2258D" w:rsidRDefault="007802E1" w:rsidP="00491939">
            <w:pPr>
              <w:rPr>
                <w:rFonts w:cstheme="minorHAnsi"/>
                <w:sz w:val="20"/>
                <w:szCs w:val="20"/>
              </w:rPr>
            </w:pPr>
            <w:r w:rsidRPr="00D2258D">
              <w:rPr>
                <w:rFonts w:cstheme="minorHAnsi"/>
                <w:sz w:val="20"/>
                <w:szCs w:val="20"/>
              </w:rPr>
              <w:t>N/A</w:t>
            </w:r>
          </w:p>
        </w:tc>
        <w:tc>
          <w:tcPr>
            <w:tcW w:w="3690" w:type="dxa"/>
            <w:vMerge w:val="restart"/>
          </w:tcPr>
          <w:p w14:paraId="13180BA4" w14:textId="40ECD141" w:rsidR="007802E1" w:rsidRPr="00D2258D" w:rsidRDefault="007802E1" w:rsidP="363CA695">
            <w:pPr>
              <w:rPr>
                <w:sz w:val="20"/>
                <w:szCs w:val="20"/>
              </w:rPr>
            </w:pPr>
            <w:r w:rsidRPr="00D2258D">
              <w:rPr>
                <w:sz w:val="20"/>
                <w:szCs w:val="20"/>
              </w:rPr>
              <w:t>N/A – designated outside the ERP.</w:t>
            </w:r>
          </w:p>
          <w:p w14:paraId="0F14738A" w14:textId="77777777" w:rsidR="007802E1" w:rsidRPr="00F133DC" w:rsidRDefault="007802E1" w:rsidP="00491939">
            <w:pPr>
              <w:rPr>
                <w:rFonts w:cstheme="minorHAnsi"/>
                <w:sz w:val="20"/>
                <w:szCs w:val="20"/>
              </w:rPr>
            </w:pPr>
          </w:p>
          <w:p w14:paraId="1EA12204" w14:textId="77777777" w:rsidR="007802E1" w:rsidRPr="00F133DC" w:rsidRDefault="007802E1" w:rsidP="00491939">
            <w:pPr>
              <w:rPr>
                <w:rFonts w:cstheme="minorHAnsi"/>
                <w:sz w:val="20"/>
                <w:szCs w:val="20"/>
              </w:rPr>
            </w:pPr>
          </w:p>
        </w:tc>
      </w:tr>
      <w:tr w:rsidR="007802E1" w:rsidRPr="00F133DC" w14:paraId="65421DBC" w14:textId="77777777" w:rsidTr="363CA695">
        <w:trPr>
          <w:trHeight w:val="20"/>
        </w:trPr>
        <w:tc>
          <w:tcPr>
            <w:tcW w:w="3685" w:type="dxa"/>
          </w:tcPr>
          <w:p w14:paraId="4D8834FB" w14:textId="77777777" w:rsidR="007802E1" w:rsidRPr="00D2258D" w:rsidRDefault="007802E1" w:rsidP="00491939">
            <w:pPr>
              <w:rPr>
                <w:rFonts w:cstheme="minorHAnsi"/>
                <w:sz w:val="20"/>
                <w:szCs w:val="20"/>
              </w:rPr>
            </w:pPr>
            <w:r w:rsidRPr="00D2258D">
              <w:rPr>
                <w:rFonts w:cstheme="minorHAnsi"/>
                <w:sz w:val="20"/>
                <w:szCs w:val="20"/>
              </w:rPr>
              <w:t>Asset Focal Point</w:t>
            </w:r>
          </w:p>
        </w:tc>
        <w:tc>
          <w:tcPr>
            <w:tcW w:w="2700" w:type="dxa"/>
          </w:tcPr>
          <w:p w14:paraId="7D6554CD" w14:textId="6C49B5D3"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33733196" w14:textId="77777777" w:rsidR="007802E1" w:rsidRPr="00F133DC" w:rsidRDefault="007802E1" w:rsidP="00491939">
            <w:pPr>
              <w:rPr>
                <w:rFonts w:cstheme="minorHAnsi"/>
                <w:sz w:val="20"/>
                <w:szCs w:val="20"/>
              </w:rPr>
            </w:pPr>
          </w:p>
        </w:tc>
      </w:tr>
      <w:tr w:rsidR="007802E1" w:rsidRPr="00F133DC" w14:paraId="75B25661" w14:textId="77777777" w:rsidTr="363CA695">
        <w:trPr>
          <w:trHeight w:val="20"/>
        </w:trPr>
        <w:tc>
          <w:tcPr>
            <w:tcW w:w="3685" w:type="dxa"/>
          </w:tcPr>
          <w:p w14:paraId="347B91C2" w14:textId="77777777" w:rsidR="007802E1" w:rsidRPr="00D2258D" w:rsidRDefault="007802E1" w:rsidP="00491939">
            <w:pPr>
              <w:rPr>
                <w:rFonts w:cstheme="minorHAnsi"/>
                <w:sz w:val="20"/>
                <w:szCs w:val="20"/>
              </w:rPr>
            </w:pPr>
            <w:r w:rsidRPr="00D2258D">
              <w:rPr>
                <w:rFonts w:cstheme="minorHAnsi"/>
                <w:sz w:val="20"/>
                <w:szCs w:val="20"/>
              </w:rPr>
              <w:lastRenderedPageBreak/>
              <w:t>Fixed Asset Physical Verification Coordinator</w:t>
            </w:r>
          </w:p>
        </w:tc>
        <w:tc>
          <w:tcPr>
            <w:tcW w:w="2700" w:type="dxa"/>
          </w:tcPr>
          <w:p w14:paraId="03939EDD" w14:textId="62D1569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51424087" w14:textId="77777777" w:rsidR="007802E1" w:rsidRPr="00F133DC" w:rsidRDefault="007802E1" w:rsidP="00491939">
            <w:pPr>
              <w:rPr>
                <w:rFonts w:cstheme="minorHAnsi"/>
                <w:sz w:val="20"/>
                <w:szCs w:val="20"/>
              </w:rPr>
            </w:pPr>
          </w:p>
        </w:tc>
      </w:tr>
      <w:tr w:rsidR="007802E1" w:rsidRPr="00F133DC" w14:paraId="1570305F" w14:textId="77777777" w:rsidTr="363CA695">
        <w:trPr>
          <w:trHeight w:val="20"/>
        </w:trPr>
        <w:tc>
          <w:tcPr>
            <w:tcW w:w="3685" w:type="dxa"/>
          </w:tcPr>
          <w:p w14:paraId="55A8B130" w14:textId="77777777" w:rsidR="007802E1" w:rsidRPr="00D2258D" w:rsidRDefault="007802E1" w:rsidP="00491939">
            <w:pPr>
              <w:rPr>
                <w:rFonts w:cstheme="minorHAnsi"/>
                <w:sz w:val="20"/>
                <w:szCs w:val="20"/>
              </w:rPr>
            </w:pPr>
            <w:r w:rsidRPr="00D2258D">
              <w:rPr>
                <w:rFonts w:cstheme="minorHAnsi"/>
                <w:sz w:val="20"/>
                <w:szCs w:val="20"/>
              </w:rPr>
              <w:t>Inventory Manager</w:t>
            </w:r>
          </w:p>
        </w:tc>
        <w:tc>
          <w:tcPr>
            <w:tcW w:w="2700" w:type="dxa"/>
          </w:tcPr>
          <w:p w14:paraId="43A25248" w14:textId="13F2B658"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453B77D0" w14:textId="77777777" w:rsidR="007802E1" w:rsidRPr="00F133DC" w:rsidRDefault="007802E1" w:rsidP="00491939">
            <w:pPr>
              <w:rPr>
                <w:rFonts w:cstheme="minorHAnsi"/>
                <w:sz w:val="20"/>
                <w:szCs w:val="20"/>
              </w:rPr>
            </w:pPr>
          </w:p>
        </w:tc>
      </w:tr>
      <w:tr w:rsidR="007802E1" w:rsidRPr="00F133DC" w14:paraId="28CE4AF9" w14:textId="77777777" w:rsidTr="363CA695">
        <w:trPr>
          <w:trHeight w:val="20"/>
        </w:trPr>
        <w:tc>
          <w:tcPr>
            <w:tcW w:w="3685" w:type="dxa"/>
          </w:tcPr>
          <w:p w14:paraId="0BFC5CC5" w14:textId="77777777" w:rsidR="007802E1" w:rsidRPr="00D2258D" w:rsidRDefault="007802E1" w:rsidP="00491939">
            <w:pPr>
              <w:rPr>
                <w:rFonts w:cstheme="minorHAnsi"/>
                <w:sz w:val="20"/>
                <w:szCs w:val="20"/>
              </w:rPr>
            </w:pPr>
            <w:r w:rsidRPr="00D2258D">
              <w:rPr>
                <w:rFonts w:cstheme="minorHAnsi"/>
                <w:sz w:val="20"/>
                <w:szCs w:val="20"/>
              </w:rPr>
              <w:t>Inventory Focal Point</w:t>
            </w:r>
          </w:p>
        </w:tc>
        <w:tc>
          <w:tcPr>
            <w:tcW w:w="2700" w:type="dxa"/>
          </w:tcPr>
          <w:p w14:paraId="6B7FA424" w14:textId="614A1440"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1AC8EA39" w14:textId="77777777" w:rsidR="007802E1" w:rsidRPr="00F133DC" w:rsidRDefault="007802E1" w:rsidP="00491939">
            <w:pPr>
              <w:rPr>
                <w:rFonts w:cstheme="minorHAnsi"/>
                <w:sz w:val="20"/>
                <w:szCs w:val="20"/>
              </w:rPr>
            </w:pPr>
          </w:p>
        </w:tc>
      </w:tr>
      <w:tr w:rsidR="007802E1" w:rsidRPr="00F133DC" w14:paraId="2C62C335" w14:textId="77777777" w:rsidTr="363CA695">
        <w:trPr>
          <w:trHeight w:val="20"/>
        </w:trPr>
        <w:tc>
          <w:tcPr>
            <w:tcW w:w="3685" w:type="dxa"/>
          </w:tcPr>
          <w:p w14:paraId="0D1F0A20" w14:textId="77777777" w:rsidR="007802E1" w:rsidRPr="00D2258D" w:rsidRDefault="007802E1" w:rsidP="00491939">
            <w:pPr>
              <w:rPr>
                <w:rFonts w:cstheme="minorHAnsi"/>
                <w:sz w:val="20"/>
                <w:szCs w:val="20"/>
              </w:rPr>
            </w:pPr>
            <w:r w:rsidRPr="00D2258D">
              <w:rPr>
                <w:rFonts w:cstheme="minorHAnsi"/>
                <w:sz w:val="20"/>
                <w:szCs w:val="20"/>
              </w:rPr>
              <w:t>Inventory Physical Count Coordinator</w:t>
            </w:r>
          </w:p>
        </w:tc>
        <w:tc>
          <w:tcPr>
            <w:tcW w:w="2700" w:type="dxa"/>
          </w:tcPr>
          <w:p w14:paraId="7AD43507" w14:textId="71F7C39F" w:rsidR="007802E1" w:rsidRPr="00D2258D" w:rsidRDefault="007802E1" w:rsidP="00491939">
            <w:pPr>
              <w:rPr>
                <w:rFonts w:cstheme="minorHAnsi"/>
                <w:sz w:val="20"/>
                <w:szCs w:val="20"/>
              </w:rPr>
            </w:pPr>
            <w:r w:rsidRPr="00D2258D">
              <w:rPr>
                <w:rFonts w:cstheme="minorHAnsi"/>
                <w:sz w:val="20"/>
                <w:szCs w:val="20"/>
              </w:rPr>
              <w:t>N/A</w:t>
            </w:r>
          </w:p>
        </w:tc>
        <w:tc>
          <w:tcPr>
            <w:tcW w:w="3690" w:type="dxa"/>
            <w:vMerge/>
          </w:tcPr>
          <w:p w14:paraId="3A0351B8" w14:textId="77777777" w:rsidR="007802E1" w:rsidRPr="00F133DC" w:rsidRDefault="007802E1" w:rsidP="00491939">
            <w:pPr>
              <w:rPr>
                <w:rFonts w:cstheme="minorHAnsi"/>
                <w:sz w:val="20"/>
                <w:szCs w:val="20"/>
              </w:rPr>
            </w:pPr>
          </w:p>
        </w:tc>
      </w:tr>
      <w:tr w:rsidR="007802E1" w:rsidRPr="00F133DC" w14:paraId="44349314" w14:textId="77777777" w:rsidTr="363CA695">
        <w:trPr>
          <w:trHeight w:val="20"/>
        </w:trPr>
        <w:tc>
          <w:tcPr>
            <w:tcW w:w="10075" w:type="dxa"/>
            <w:gridSpan w:val="3"/>
            <w:shd w:val="clear" w:color="auto" w:fill="00B0F0"/>
          </w:tcPr>
          <w:p w14:paraId="63E7870B" w14:textId="77777777" w:rsidR="007802E1" w:rsidRPr="00F133DC" w:rsidRDefault="007802E1" w:rsidP="00491939">
            <w:pPr>
              <w:rPr>
                <w:rFonts w:cstheme="minorHAnsi"/>
                <w:sz w:val="20"/>
                <w:szCs w:val="20"/>
              </w:rPr>
            </w:pPr>
            <w:r w:rsidRPr="00F133DC">
              <w:rPr>
                <w:rFonts w:cstheme="minorHAnsi"/>
                <w:b/>
                <w:bCs/>
                <w:sz w:val="20"/>
                <w:szCs w:val="20"/>
              </w:rPr>
              <w:t>Travel</w:t>
            </w:r>
          </w:p>
        </w:tc>
      </w:tr>
      <w:tr w:rsidR="007802E1" w:rsidRPr="00F133DC" w14:paraId="21F24C00" w14:textId="77777777" w:rsidTr="363CA695">
        <w:trPr>
          <w:trHeight w:val="20"/>
        </w:trPr>
        <w:tc>
          <w:tcPr>
            <w:tcW w:w="3685" w:type="dxa"/>
          </w:tcPr>
          <w:p w14:paraId="2FFB3731" w14:textId="77777777" w:rsidR="007802E1" w:rsidRPr="00D2258D" w:rsidRDefault="007802E1" w:rsidP="00491939">
            <w:pPr>
              <w:rPr>
                <w:rFonts w:cstheme="minorHAnsi"/>
                <w:sz w:val="20"/>
                <w:szCs w:val="20"/>
              </w:rPr>
            </w:pPr>
            <w:r w:rsidRPr="00D2258D">
              <w:rPr>
                <w:rFonts w:cstheme="minorHAnsi"/>
                <w:sz w:val="20"/>
                <w:szCs w:val="20"/>
              </w:rPr>
              <w:t>Travel Arranger</w:t>
            </w:r>
          </w:p>
        </w:tc>
        <w:tc>
          <w:tcPr>
            <w:tcW w:w="2700" w:type="dxa"/>
          </w:tcPr>
          <w:p w14:paraId="53810CDF" w14:textId="77777777" w:rsidR="007802E1" w:rsidRPr="00D2258D" w:rsidRDefault="007802E1" w:rsidP="00491939">
            <w:pPr>
              <w:rPr>
                <w:rFonts w:cstheme="minorHAnsi"/>
                <w:sz w:val="20"/>
                <w:szCs w:val="20"/>
              </w:rPr>
            </w:pPr>
            <w:r w:rsidRPr="00D2258D">
              <w:rPr>
                <w:rFonts w:cstheme="minorHAnsi"/>
                <w:sz w:val="20"/>
                <w:szCs w:val="20"/>
              </w:rPr>
              <w:t>Travel Arranger</w:t>
            </w:r>
          </w:p>
        </w:tc>
        <w:tc>
          <w:tcPr>
            <w:tcW w:w="3690" w:type="dxa"/>
          </w:tcPr>
          <w:p w14:paraId="18D79816"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4E8B62C5" w14:textId="77777777" w:rsidTr="363CA695">
        <w:trPr>
          <w:trHeight w:val="20"/>
        </w:trPr>
        <w:tc>
          <w:tcPr>
            <w:tcW w:w="3685" w:type="dxa"/>
          </w:tcPr>
          <w:p w14:paraId="675A64D4" w14:textId="77777777" w:rsidR="007802E1" w:rsidRPr="00D2258D" w:rsidRDefault="007802E1" w:rsidP="00491939">
            <w:pPr>
              <w:rPr>
                <w:rFonts w:cstheme="minorHAnsi"/>
                <w:sz w:val="20"/>
                <w:szCs w:val="20"/>
              </w:rPr>
            </w:pPr>
            <w:r w:rsidRPr="00D2258D">
              <w:rPr>
                <w:rFonts w:cstheme="minorHAnsi"/>
                <w:sz w:val="20"/>
                <w:szCs w:val="20"/>
              </w:rPr>
              <w:t>Travel Processor</w:t>
            </w:r>
          </w:p>
        </w:tc>
        <w:tc>
          <w:tcPr>
            <w:tcW w:w="2700" w:type="dxa"/>
          </w:tcPr>
          <w:p w14:paraId="11DB0823" w14:textId="77777777" w:rsidR="007802E1" w:rsidRPr="00D2258D" w:rsidRDefault="007802E1" w:rsidP="00491939">
            <w:pPr>
              <w:rPr>
                <w:rFonts w:cstheme="minorHAnsi"/>
                <w:sz w:val="20"/>
                <w:szCs w:val="20"/>
              </w:rPr>
            </w:pPr>
            <w:r w:rsidRPr="00D2258D">
              <w:rPr>
                <w:rFonts w:cstheme="minorHAnsi"/>
                <w:sz w:val="20"/>
                <w:szCs w:val="20"/>
              </w:rPr>
              <w:t>Travel Processor</w:t>
            </w:r>
          </w:p>
        </w:tc>
        <w:tc>
          <w:tcPr>
            <w:tcW w:w="3690" w:type="dxa"/>
          </w:tcPr>
          <w:p w14:paraId="1AD3E881"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0A52DBA7" w14:textId="77777777" w:rsidTr="363CA695">
        <w:trPr>
          <w:trHeight w:val="20"/>
        </w:trPr>
        <w:tc>
          <w:tcPr>
            <w:tcW w:w="3685" w:type="dxa"/>
          </w:tcPr>
          <w:p w14:paraId="54590B76" w14:textId="77777777" w:rsidR="007802E1" w:rsidRPr="00D2258D" w:rsidRDefault="007802E1" w:rsidP="00491939">
            <w:pPr>
              <w:rPr>
                <w:rFonts w:cstheme="minorHAnsi"/>
                <w:sz w:val="20"/>
                <w:szCs w:val="20"/>
              </w:rPr>
            </w:pPr>
            <w:r w:rsidRPr="00D2258D">
              <w:rPr>
                <w:rFonts w:cstheme="minorHAnsi"/>
                <w:sz w:val="20"/>
                <w:szCs w:val="20"/>
              </w:rPr>
              <w:t>Travel Approver</w:t>
            </w:r>
          </w:p>
        </w:tc>
        <w:tc>
          <w:tcPr>
            <w:tcW w:w="2700" w:type="dxa"/>
          </w:tcPr>
          <w:p w14:paraId="77199D48" w14:textId="77777777" w:rsidR="007802E1" w:rsidRPr="00D2258D" w:rsidRDefault="007802E1" w:rsidP="00491939">
            <w:pPr>
              <w:rPr>
                <w:rFonts w:cstheme="minorHAnsi"/>
                <w:sz w:val="20"/>
                <w:szCs w:val="20"/>
              </w:rPr>
            </w:pPr>
            <w:r w:rsidRPr="00D2258D">
              <w:rPr>
                <w:rFonts w:cstheme="minorHAnsi"/>
                <w:sz w:val="20"/>
                <w:szCs w:val="20"/>
              </w:rPr>
              <w:t>Manager Level 1, Manager Level 2, Senior Manager (BP)</w:t>
            </w:r>
          </w:p>
        </w:tc>
        <w:tc>
          <w:tcPr>
            <w:tcW w:w="3690" w:type="dxa"/>
          </w:tcPr>
          <w:p w14:paraId="2CB3D72E"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3C650A85" w14:textId="77777777" w:rsidTr="363CA695">
        <w:trPr>
          <w:trHeight w:val="20"/>
        </w:trPr>
        <w:tc>
          <w:tcPr>
            <w:tcW w:w="10075" w:type="dxa"/>
            <w:gridSpan w:val="3"/>
            <w:shd w:val="clear" w:color="auto" w:fill="00B0F0"/>
          </w:tcPr>
          <w:p w14:paraId="27C14446" w14:textId="77777777" w:rsidR="007802E1" w:rsidRPr="00F133DC" w:rsidRDefault="007802E1" w:rsidP="00491939">
            <w:pPr>
              <w:rPr>
                <w:rFonts w:cstheme="minorHAnsi"/>
                <w:sz w:val="20"/>
                <w:szCs w:val="20"/>
              </w:rPr>
            </w:pPr>
            <w:r w:rsidRPr="00F133DC">
              <w:rPr>
                <w:rFonts w:cstheme="minorHAnsi"/>
                <w:b/>
                <w:bCs/>
                <w:sz w:val="20"/>
                <w:szCs w:val="20"/>
              </w:rPr>
              <w:t>General Financial Management</w:t>
            </w:r>
          </w:p>
        </w:tc>
      </w:tr>
      <w:tr w:rsidR="007802E1" w:rsidRPr="00F133DC" w14:paraId="5732DB57" w14:textId="77777777" w:rsidTr="363CA695">
        <w:trPr>
          <w:trHeight w:val="20"/>
        </w:trPr>
        <w:tc>
          <w:tcPr>
            <w:tcW w:w="3685" w:type="dxa"/>
          </w:tcPr>
          <w:p w14:paraId="0B516909" w14:textId="77777777" w:rsidR="007802E1" w:rsidRPr="00D2258D" w:rsidRDefault="007802E1" w:rsidP="00491939">
            <w:pPr>
              <w:rPr>
                <w:rFonts w:cstheme="minorHAnsi"/>
                <w:sz w:val="20"/>
                <w:szCs w:val="20"/>
              </w:rPr>
            </w:pPr>
            <w:r w:rsidRPr="00D2258D">
              <w:rPr>
                <w:rFonts w:cstheme="minorHAnsi"/>
                <w:sz w:val="20"/>
                <w:szCs w:val="20"/>
              </w:rPr>
              <w:t>DRR (Operations) (or HQ-equivalent)</w:t>
            </w:r>
          </w:p>
        </w:tc>
        <w:tc>
          <w:tcPr>
            <w:tcW w:w="2700" w:type="dxa"/>
          </w:tcPr>
          <w:p w14:paraId="4D373424" w14:textId="77777777" w:rsidR="007802E1" w:rsidRPr="00D2258D" w:rsidRDefault="007802E1" w:rsidP="00491939">
            <w:pPr>
              <w:rPr>
                <w:rFonts w:cstheme="minorHAnsi"/>
                <w:sz w:val="20"/>
                <w:szCs w:val="20"/>
              </w:rPr>
            </w:pPr>
            <w:r w:rsidRPr="00D2258D">
              <w:rPr>
                <w:rFonts w:cstheme="minorHAnsi"/>
                <w:sz w:val="20"/>
                <w:szCs w:val="20"/>
              </w:rPr>
              <w:t>Typically, Senior Manager</w:t>
            </w:r>
          </w:p>
        </w:tc>
        <w:tc>
          <w:tcPr>
            <w:tcW w:w="3690" w:type="dxa"/>
          </w:tcPr>
          <w:p w14:paraId="59D839EB"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7D7518D6" w14:textId="77777777" w:rsidTr="363CA695">
        <w:trPr>
          <w:trHeight w:val="20"/>
        </w:trPr>
        <w:tc>
          <w:tcPr>
            <w:tcW w:w="3685" w:type="dxa"/>
          </w:tcPr>
          <w:p w14:paraId="551572D1" w14:textId="77777777" w:rsidR="007802E1" w:rsidRPr="00D2258D" w:rsidRDefault="007802E1" w:rsidP="00491939">
            <w:pPr>
              <w:rPr>
                <w:rFonts w:cstheme="minorHAnsi"/>
                <w:sz w:val="20"/>
                <w:szCs w:val="20"/>
              </w:rPr>
            </w:pPr>
            <w:r w:rsidRPr="00D2258D">
              <w:rPr>
                <w:rFonts w:cstheme="minorHAnsi"/>
                <w:sz w:val="20"/>
                <w:szCs w:val="20"/>
              </w:rPr>
              <w:t>Operations Manager (or HQ-equivalent)</w:t>
            </w:r>
          </w:p>
        </w:tc>
        <w:tc>
          <w:tcPr>
            <w:tcW w:w="2700" w:type="dxa"/>
          </w:tcPr>
          <w:p w14:paraId="32E2B071" w14:textId="77777777" w:rsidR="007802E1" w:rsidRPr="00D2258D" w:rsidRDefault="007802E1" w:rsidP="00491939">
            <w:pPr>
              <w:rPr>
                <w:rFonts w:cstheme="minorHAnsi"/>
                <w:sz w:val="20"/>
                <w:szCs w:val="20"/>
              </w:rPr>
            </w:pPr>
            <w:r w:rsidRPr="00D2258D">
              <w:rPr>
                <w:rFonts w:cstheme="minorHAnsi"/>
                <w:sz w:val="20"/>
                <w:szCs w:val="20"/>
              </w:rPr>
              <w:t>Typically, Senior Manager or Manager Level 2</w:t>
            </w:r>
          </w:p>
        </w:tc>
        <w:tc>
          <w:tcPr>
            <w:tcW w:w="3690" w:type="dxa"/>
          </w:tcPr>
          <w:p w14:paraId="3D97A3D6"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65521F5F" w14:textId="77777777" w:rsidTr="363CA695">
        <w:trPr>
          <w:trHeight w:val="20"/>
        </w:trPr>
        <w:tc>
          <w:tcPr>
            <w:tcW w:w="3685" w:type="dxa"/>
          </w:tcPr>
          <w:p w14:paraId="1046D09E" w14:textId="77777777" w:rsidR="007802E1" w:rsidRPr="00D2258D" w:rsidRDefault="007802E1" w:rsidP="00491939">
            <w:pPr>
              <w:rPr>
                <w:rFonts w:cstheme="minorHAnsi"/>
                <w:sz w:val="20"/>
                <w:szCs w:val="20"/>
              </w:rPr>
            </w:pPr>
            <w:r w:rsidRPr="00D2258D">
              <w:rPr>
                <w:rFonts w:cstheme="minorHAnsi"/>
                <w:sz w:val="20"/>
                <w:szCs w:val="20"/>
              </w:rPr>
              <w:t>Finance Staff</w:t>
            </w:r>
          </w:p>
        </w:tc>
        <w:tc>
          <w:tcPr>
            <w:tcW w:w="2700" w:type="dxa"/>
          </w:tcPr>
          <w:p w14:paraId="07BDEF14" w14:textId="77777777" w:rsidR="007802E1" w:rsidRPr="00D2258D" w:rsidRDefault="007802E1" w:rsidP="00491939">
            <w:pPr>
              <w:rPr>
                <w:rFonts w:cstheme="minorHAnsi"/>
                <w:sz w:val="20"/>
                <w:szCs w:val="20"/>
              </w:rPr>
            </w:pPr>
            <w:r w:rsidRPr="00D2258D">
              <w:rPr>
                <w:rFonts w:cstheme="minorHAnsi"/>
                <w:sz w:val="20"/>
                <w:szCs w:val="20"/>
              </w:rPr>
              <w:t>Finance User</w:t>
            </w:r>
          </w:p>
        </w:tc>
        <w:tc>
          <w:tcPr>
            <w:tcW w:w="3690" w:type="dxa"/>
          </w:tcPr>
          <w:p w14:paraId="1C899627" w14:textId="77777777" w:rsidR="007802E1" w:rsidRPr="00D2258D" w:rsidRDefault="007802E1" w:rsidP="00491939">
            <w:pPr>
              <w:rPr>
                <w:rFonts w:cstheme="minorHAnsi"/>
                <w:sz w:val="20"/>
                <w:szCs w:val="20"/>
              </w:rPr>
            </w:pPr>
            <w:r w:rsidRPr="00D2258D">
              <w:rPr>
                <w:rFonts w:cstheme="minorHAnsi"/>
                <w:sz w:val="20"/>
                <w:szCs w:val="20"/>
              </w:rPr>
              <w:t>Yes</w:t>
            </w:r>
          </w:p>
        </w:tc>
      </w:tr>
      <w:tr w:rsidR="00953D70" w:rsidRPr="00F133DC" w14:paraId="057EC5F9" w14:textId="77777777" w:rsidTr="363CA695">
        <w:trPr>
          <w:trHeight w:val="20"/>
        </w:trPr>
        <w:tc>
          <w:tcPr>
            <w:tcW w:w="3685" w:type="dxa"/>
          </w:tcPr>
          <w:p w14:paraId="4CA8BE32" w14:textId="678DFC63" w:rsidR="00953D70" w:rsidRPr="00D2258D" w:rsidRDefault="00953D70" w:rsidP="00491939">
            <w:pPr>
              <w:rPr>
                <w:rFonts w:cstheme="minorHAnsi"/>
                <w:sz w:val="20"/>
                <w:szCs w:val="20"/>
              </w:rPr>
            </w:pPr>
            <w:r w:rsidRPr="00D2258D">
              <w:rPr>
                <w:rFonts w:cstheme="minorHAnsi"/>
                <w:sz w:val="20"/>
                <w:szCs w:val="20"/>
              </w:rPr>
              <w:t>BMS/GSSC finance team</w:t>
            </w:r>
          </w:p>
        </w:tc>
        <w:tc>
          <w:tcPr>
            <w:tcW w:w="2700" w:type="dxa"/>
          </w:tcPr>
          <w:p w14:paraId="00957469" w14:textId="1E054766" w:rsidR="00953D70" w:rsidRPr="00D2258D" w:rsidRDefault="00953D70" w:rsidP="00491939">
            <w:pPr>
              <w:rPr>
                <w:rFonts w:cstheme="minorHAnsi"/>
                <w:sz w:val="20"/>
                <w:szCs w:val="20"/>
              </w:rPr>
            </w:pPr>
            <w:r w:rsidRPr="00D2258D">
              <w:rPr>
                <w:rFonts w:cstheme="minorHAnsi"/>
                <w:sz w:val="20"/>
                <w:szCs w:val="20"/>
              </w:rPr>
              <w:t>Various</w:t>
            </w:r>
          </w:p>
        </w:tc>
        <w:tc>
          <w:tcPr>
            <w:tcW w:w="3690" w:type="dxa"/>
          </w:tcPr>
          <w:p w14:paraId="009F975F" w14:textId="6E96A365" w:rsidR="00953D70" w:rsidRPr="00D2258D" w:rsidRDefault="00953D70" w:rsidP="00491939">
            <w:pPr>
              <w:rPr>
                <w:rFonts w:cstheme="minorHAnsi"/>
                <w:sz w:val="20"/>
                <w:szCs w:val="20"/>
              </w:rPr>
            </w:pPr>
            <w:r w:rsidRPr="00D2258D">
              <w:rPr>
                <w:rFonts w:cstheme="minorHAnsi"/>
                <w:sz w:val="20"/>
                <w:szCs w:val="20"/>
              </w:rPr>
              <w:t>No, specific to BMS/GSSC service provision</w:t>
            </w:r>
          </w:p>
        </w:tc>
      </w:tr>
      <w:tr w:rsidR="007802E1" w:rsidRPr="00F133DC" w14:paraId="4B3BE4B7" w14:textId="77777777" w:rsidTr="363CA695">
        <w:trPr>
          <w:trHeight w:val="20"/>
        </w:trPr>
        <w:tc>
          <w:tcPr>
            <w:tcW w:w="10075" w:type="dxa"/>
            <w:gridSpan w:val="3"/>
            <w:shd w:val="clear" w:color="auto" w:fill="00B0F0"/>
          </w:tcPr>
          <w:p w14:paraId="1A8A6B1D" w14:textId="77777777" w:rsidR="007802E1" w:rsidRPr="00F133DC" w:rsidRDefault="007802E1" w:rsidP="00491939">
            <w:pPr>
              <w:rPr>
                <w:rFonts w:cstheme="minorHAnsi"/>
                <w:sz w:val="20"/>
                <w:szCs w:val="20"/>
              </w:rPr>
            </w:pPr>
            <w:r w:rsidRPr="00F133DC">
              <w:rPr>
                <w:rFonts w:cstheme="minorHAnsi"/>
                <w:b/>
                <w:bCs/>
                <w:sz w:val="20"/>
                <w:szCs w:val="20"/>
              </w:rPr>
              <w:t>Other</w:t>
            </w:r>
          </w:p>
        </w:tc>
      </w:tr>
      <w:tr w:rsidR="007802E1" w:rsidRPr="00F133DC" w14:paraId="24E6B627" w14:textId="77777777" w:rsidTr="363CA695">
        <w:trPr>
          <w:trHeight w:val="20"/>
        </w:trPr>
        <w:tc>
          <w:tcPr>
            <w:tcW w:w="3685" w:type="dxa"/>
          </w:tcPr>
          <w:p w14:paraId="53C22EA0" w14:textId="77777777" w:rsidR="007802E1" w:rsidRPr="00D2258D" w:rsidRDefault="007802E1" w:rsidP="00491939">
            <w:pPr>
              <w:rPr>
                <w:rFonts w:cstheme="minorHAnsi"/>
                <w:sz w:val="20"/>
                <w:szCs w:val="20"/>
              </w:rPr>
            </w:pPr>
            <w:r w:rsidRPr="00D2258D">
              <w:rPr>
                <w:rFonts w:cstheme="minorHAnsi"/>
                <w:sz w:val="20"/>
                <w:szCs w:val="20"/>
              </w:rPr>
              <w:t>IDAM Focal Point &amp; IDAM Approver</w:t>
            </w:r>
          </w:p>
        </w:tc>
        <w:tc>
          <w:tcPr>
            <w:tcW w:w="2700" w:type="dxa"/>
          </w:tcPr>
          <w:p w14:paraId="5B838A6A" w14:textId="77777777" w:rsidR="007802E1" w:rsidRPr="00D2258D" w:rsidRDefault="007802E1" w:rsidP="00491939">
            <w:pPr>
              <w:rPr>
                <w:rFonts w:cstheme="minorHAnsi"/>
                <w:sz w:val="20"/>
                <w:szCs w:val="20"/>
              </w:rPr>
            </w:pPr>
            <w:r w:rsidRPr="00D2258D">
              <w:rPr>
                <w:rFonts w:cstheme="minorHAnsi"/>
                <w:sz w:val="20"/>
                <w:szCs w:val="20"/>
              </w:rPr>
              <w:t>IDAM Requestor, IDAM Approver</w:t>
            </w:r>
          </w:p>
        </w:tc>
        <w:tc>
          <w:tcPr>
            <w:tcW w:w="3690" w:type="dxa"/>
          </w:tcPr>
          <w:p w14:paraId="6061D9A0" w14:textId="77777777" w:rsidR="007802E1" w:rsidRPr="00D2258D" w:rsidRDefault="007802E1" w:rsidP="00491939">
            <w:pPr>
              <w:rPr>
                <w:rFonts w:cstheme="minorHAnsi"/>
                <w:sz w:val="20"/>
                <w:szCs w:val="20"/>
              </w:rPr>
            </w:pPr>
            <w:r w:rsidRPr="00D2258D">
              <w:rPr>
                <w:rFonts w:cstheme="minorHAnsi"/>
                <w:sz w:val="20"/>
                <w:szCs w:val="20"/>
              </w:rPr>
              <w:t>Yes</w:t>
            </w:r>
          </w:p>
        </w:tc>
      </w:tr>
      <w:tr w:rsidR="007802E1" w:rsidRPr="00F133DC" w14:paraId="5F93B24B" w14:textId="77777777" w:rsidTr="363CA695">
        <w:trPr>
          <w:trHeight w:val="20"/>
        </w:trPr>
        <w:tc>
          <w:tcPr>
            <w:tcW w:w="3685" w:type="dxa"/>
          </w:tcPr>
          <w:p w14:paraId="41E6C6A4" w14:textId="36F64A5A" w:rsidR="007802E1" w:rsidRPr="00D2258D" w:rsidRDefault="007802E1" w:rsidP="363CA695">
            <w:pPr>
              <w:rPr>
                <w:sz w:val="20"/>
                <w:szCs w:val="20"/>
              </w:rPr>
            </w:pPr>
            <w:r w:rsidRPr="00D2258D">
              <w:rPr>
                <w:sz w:val="20"/>
                <w:szCs w:val="20"/>
              </w:rPr>
              <w:t>Designated officials to submit service requests to BMS/GSSC</w:t>
            </w:r>
          </w:p>
        </w:tc>
        <w:tc>
          <w:tcPr>
            <w:tcW w:w="2700" w:type="dxa"/>
          </w:tcPr>
          <w:p w14:paraId="4D5F5E90" w14:textId="7DD8683D" w:rsidR="007802E1" w:rsidRPr="00D2258D" w:rsidRDefault="007802E1" w:rsidP="00491939">
            <w:pPr>
              <w:rPr>
                <w:rFonts w:cstheme="minorHAnsi"/>
                <w:sz w:val="20"/>
                <w:szCs w:val="20"/>
              </w:rPr>
            </w:pPr>
            <w:r w:rsidRPr="00D2258D">
              <w:rPr>
                <w:rFonts w:cstheme="minorHAnsi"/>
                <w:sz w:val="20"/>
                <w:szCs w:val="20"/>
              </w:rPr>
              <w:t xml:space="preserve">N/A </w:t>
            </w:r>
          </w:p>
        </w:tc>
        <w:tc>
          <w:tcPr>
            <w:tcW w:w="3690" w:type="dxa"/>
          </w:tcPr>
          <w:p w14:paraId="5EBBA41C" w14:textId="59B4B222" w:rsidR="007802E1" w:rsidRPr="00D2258D" w:rsidRDefault="007802E1" w:rsidP="363CA695">
            <w:pPr>
              <w:rPr>
                <w:sz w:val="20"/>
                <w:szCs w:val="20"/>
              </w:rPr>
            </w:pPr>
            <w:r w:rsidRPr="00D2258D">
              <w:rPr>
                <w:sz w:val="20"/>
                <w:szCs w:val="20"/>
              </w:rPr>
              <w:t>N/A</w:t>
            </w:r>
            <w:r w:rsidR="00BC076E" w:rsidRPr="00D2258D">
              <w:rPr>
                <w:sz w:val="20"/>
                <w:szCs w:val="20"/>
              </w:rPr>
              <w:t xml:space="preserve"> – designated outside the ERP.</w:t>
            </w:r>
          </w:p>
        </w:tc>
      </w:tr>
      <w:tr w:rsidR="007802E1" w:rsidRPr="00F133DC" w14:paraId="6A39538D" w14:textId="77777777" w:rsidTr="363CA695">
        <w:trPr>
          <w:trHeight w:val="20"/>
        </w:trPr>
        <w:tc>
          <w:tcPr>
            <w:tcW w:w="10075" w:type="dxa"/>
            <w:gridSpan w:val="3"/>
            <w:shd w:val="clear" w:color="auto" w:fill="00B0F0"/>
          </w:tcPr>
          <w:p w14:paraId="402BC535" w14:textId="77777777" w:rsidR="007802E1" w:rsidRPr="00F133DC" w:rsidRDefault="007802E1" w:rsidP="00491939">
            <w:pPr>
              <w:rPr>
                <w:rFonts w:cstheme="minorHAnsi"/>
                <w:sz w:val="20"/>
                <w:szCs w:val="20"/>
              </w:rPr>
            </w:pPr>
            <w:r w:rsidRPr="00F133DC">
              <w:rPr>
                <w:rFonts w:cstheme="minorHAnsi"/>
                <w:b/>
                <w:bCs/>
                <w:sz w:val="20"/>
                <w:szCs w:val="20"/>
              </w:rPr>
              <w:t>Office Management</w:t>
            </w:r>
          </w:p>
        </w:tc>
      </w:tr>
      <w:tr w:rsidR="007802E1" w:rsidRPr="00F133DC" w14:paraId="48963E3A" w14:textId="77777777" w:rsidTr="363CA695">
        <w:trPr>
          <w:trHeight w:val="20"/>
        </w:trPr>
        <w:tc>
          <w:tcPr>
            <w:tcW w:w="3685" w:type="dxa"/>
          </w:tcPr>
          <w:p w14:paraId="34472523" w14:textId="77777777" w:rsidR="007802E1" w:rsidRPr="00D2258D" w:rsidRDefault="007802E1" w:rsidP="00491939">
            <w:pPr>
              <w:rPr>
                <w:rFonts w:cstheme="minorHAnsi"/>
                <w:sz w:val="20"/>
                <w:szCs w:val="20"/>
              </w:rPr>
            </w:pPr>
            <w:r w:rsidRPr="00D2258D">
              <w:rPr>
                <w:rFonts w:cstheme="minorHAnsi"/>
                <w:sz w:val="20"/>
                <w:szCs w:val="20"/>
              </w:rPr>
              <w:t>Head of Office</w:t>
            </w:r>
          </w:p>
        </w:tc>
        <w:tc>
          <w:tcPr>
            <w:tcW w:w="2700" w:type="dxa"/>
          </w:tcPr>
          <w:p w14:paraId="28686C2F" w14:textId="77777777" w:rsidR="007802E1" w:rsidRPr="00D2258D" w:rsidRDefault="007802E1" w:rsidP="00491939">
            <w:pPr>
              <w:rPr>
                <w:rFonts w:cstheme="minorHAnsi"/>
                <w:sz w:val="20"/>
                <w:szCs w:val="20"/>
              </w:rPr>
            </w:pPr>
            <w:r w:rsidRPr="00D2258D">
              <w:rPr>
                <w:rFonts w:cstheme="minorHAnsi"/>
                <w:sz w:val="20"/>
                <w:szCs w:val="20"/>
              </w:rPr>
              <w:t>Typically, Senior Manager</w:t>
            </w:r>
          </w:p>
        </w:tc>
        <w:tc>
          <w:tcPr>
            <w:tcW w:w="3690" w:type="dxa"/>
          </w:tcPr>
          <w:p w14:paraId="490B10F4" w14:textId="77777777" w:rsidR="007802E1" w:rsidRPr="00D2258D" w:rsidRDefault="007802E1" w:rsidP="00491939">
            <w:pPr>
              <w:rPr>
                <w:rFonts w:cstheme="minorHAnsi"/>
                <w:sz w:val="20"/>
                <w:szCs w:val="20"/>
              </w:rPr>
            </w:pPr>
            <w:r w:rsidRPr="00D2258D">
              <w:rPr>
                <w:rFonts w:cstheme="minorHAnsi"/>
                <w:sz w:val="20"/>
                <w:szCs w:val="20"/>
              </w:rPr>
              <w:t>Yes</w:t>
            </w:r>
          </w:p>
        </w:tc>
      </w:tr>
      <w:tr w:rsidR="00BC076E" w:rsidRPr="00F133DC" w14:paraId="50E7A02E" w14:textId="77777777" w:rsidTr="363CA695">
        <w:trPr>
          <w:trHeight w:val="20"/>
        </w:trPr>
        <w:tc>
          <w:tcPr>
            <w:tcW w:w="10075" w:type="dxa"/>
            <w:gridSpan w:val="3"/>
            <w:shd w:val="clear" w:color="auto" w:fill="00B0F0"/>
          </w:tcPr>
          <w:p w14:paraId="63947209" w14:textId="1B8D869E" w:rsidR="00BC076E" w:rsidRPr="00F133DC" w:rsidRDefault="00BC076E" w:rsidP="00491939">
            <w:pPr>
              <w:rPr>
                <w:rFonts w:cstheme="minorHAnsi"/>
                <w:sz w:val="20"/>
                <w:szCs w:val="20"/>
              </w:rPr>
            </w:pPr>
            <w:r w:rsidRPr="00BC076E">
              <w:rPr>
                <w:rFonts w:cstheme="minorHAnsi"/>
                <w:b/>
                <w:bCs/>
                <w:sz w:val="20"/>
                <w:szCs w:val="20"/>
              </w:rPr>
              <w:t>Other IDAM Supplementary Roles</w:t>
            </w:r>
          </w:p>
        </w:tc>
      </w:tr>
      <w:tr w:rsidR="00BC076E" w:rsidRPr="00F133DC" w14:paraId="05EE668E" w14:textId="77777777" w:rsidTr="363CA695">
        <w:trPr>
          <w:trHeight w:val="20"/>
        </w:trPr>
        <w:tc>
          <w:tcPr>
            <w:tcW w:w="3685" w:type="dxa"/>
          </w:tcPr>
          <w:p w14:paraId="3EE454B0" w14:textId="18A91752" w:rsidR="00BC076E" w:rsidRPr="00D2258D" w:rsidRDefault="00A22E73" w:rsidP="00491939">
            <w:pPr>
              <w:rPr>
                <w:rFonts w:cstheme="minorHAnsi"/>
                <w:sz w:val="20"/>
                <w:szCs w:val="20"/>
              </w:rPr>
            </w:pPr>
            <w:r w:rsidRPr="00D2258D">
              <w:rPr>
                <w:rFonts w:cstheme="minorHAnsi"/>
                <w:sz w:val="20"/>
                <w:szCs w:val="20"/>
              </w:rPr>
              <w:t xml:space="preserve">Execute </w:t>
            </w:r>
            <w:r w:rsidR="00BC076E" w:rsidRPr="00D2258D">
              <w:rPr>
                <w:rFonts w:cstheme="minorHAnsi"/>
                <w:sz w:val="20"/>
                <w:szCs w:val="20"/>
              </w:rPr>
              <w:t>Budget Override</w:t>
            </w:r>
            <w:r w:rsidRPr="00D2258D">
              <w:rPr>
                <w:rFonts w:cstheme="minorHAnsi"/>
                <w:sz w:val="20"/>
                <w:szCs w:val="20"/>
              </w:rPr>
              <w:t>s</w:t>
            </w:r>
          </w:p>
        </w:tc>
        <w:tc>
          <w:tcPr>
            <w:tcW w:w="2700" w:type="dxa"/>
          </w:tcPr>
          <w:p w14:paraId="5891AF17" w14:textId="164B2D11" w:rsidR="00BC076E" w:rsidRPr="00D2258D" w:rsidRDefault="00BC076E" w:rsidP="00491939">
            <w:pPr>
              <w:rPr>
                <w:rFonts w:cstheme="minorHAnsi"/>
                <w:sz w:val="20"/>
                <w:szCs w:val="20"/>
              </w:rPr>
            </w:pPr>
            <w:r w:rsidRPr="00D2258D">
              <w:rPr>
                <w:rFonts w:cstheme="minorHAnsi"/>
                <w:sz w:val="20"/>
                <w:szCs w:val="20"/>
              </w:rPr>
              <w:t>Budget Override (SR)</w:t>
            </w:r>
          </w:p>
        </w:tc>
        <w:tc>
          <w:tcPr>
            <w:tcW w:w="3690" w:type="dxa"/>
          </w:tcPr>
          <w:p w14:paraId="67F6E650" w14:textId="6B6DB621" w:rsidR="00BC076E" w:rsidRPr="00D2258D" w:rsidRDefault="00BC076E" w:rsidP="363CA695">
            <w:pPr>
              <w:rPr>
                <w:sz w:val="20"/>
                <w:szCs w:val="20"/>
              </w:rPr>
            </w:pPr>
            <w:r w:rsidRPr="00D2258D">
              <w:rPr>
                <w:sz w:val="20"/>
                <w:szCs w:val="20"/>
              </w:rPr>
              <w:t xml:space="preserve">No. Assigned to limited number of staff in </w:t>
            </w:r>
            <w:proofErr w:type="spellStart"/>
            <w:r w:rsidRPr="00D2258D">
              <w:rPr>
                <w:sz w:val="20"/>
                <w:szCs w:val="20"/>
              </w:rPr>
              <w:t>Rbx</w:t>
            </w:r>
            <w:proofErr w:type="spellEnd"/>
            <w:r w:rsidRPr="00D2258D">
              <w:rPr>
                <w:sz w:val="20"/>
                <w:szCs w:val="20"/>
              </w:rPr>
              <w:t>/</w:t>
            </w:r>
            <w:proofErr w:type="spellStart"/>
            <w:r w:rsidRPr="00D2258D">
              <w:rPr>
                <w:sz w:val="20"/>
                <w:szCs w:val="20"/>
              </w:rPr>
              <w:t>CBx</w:t>
            </w:r>
            <w:proofErr w:type="spellEnd"/>
            <w:r w:rsidRPr="00D2258D">
              <w:rPr>
                <w:sz w:val="20"/>
                <w:szCs w:val="20"/>
              </w:rPr>
              <w:t xml:space="preserve"> to execute overrides in Quantum on behalf of offices</w:t>
            </w:r>
            <w:r w:rsidR="00356A22" w:rsidRPr="00D2258D">
              <w:rPr>
                <w:sz w:val="20"/>
                <w:szCs w:val="20"/>
              </w:rPr>
              <w:t>/units</w:t>
            </w:r>
            <w:r w:rsidRPr="00D2258D">
              <w:rPr>
                <w:sz w:val="20"/>
                <w:szCs w:val="20"/>
              </w:rPr>
              <w:t xml:space="preserve"> within their management purview.</w:t>
            </w:r>
          </w:p>
        </w:tc>
      </w:tr>
      <w:tr w:rsidR="00BC076E" w:rsidRPr="00F133DC" w14:paraId="3BC1038E" w14:textId="77777777" w:rsidTr="363CA695">
        <w:trPr>
          <w:trHeight w:val="20"/>
        </w:trPr>
        <w:tc>
          <w:tcPr>
            <w:tcW w:w="3685" w:type="dxa"/>
          </w:tcPr>
          <w:p w14:paraId="2CC02268" w14:textId="40E450ED" w:rsidR="00BC076E" w:rsidRPr="00D2258D" w:rsidRDefault="00A22E73" w:rsidP="00491939">
            <w:pPr>
              <w:rPr>
                <w:rFonts w:cstheme="minorHAnsi"/>
                <w:sz w:val="20"/>
                <w:szCs w:val="20"/>
              </w:rPr>
            </w:pPr>
            <w:r w:rsidRPr="00D2258D">
              <w:rPr>
                <w:rFonts w:cstheme="minorHAnsi"/>
                <w:sz w:val="20"/>
                <w:szCs w:val="20"/>
              </w:rPr>
              <w:t>Approve GLJEs</w:t>
            </w:r>
          </w:p>
        </w:tc>
        <w:tc>
          <w:tcPr>
            <w:tcW w:w="2700" w:type="dxa"/>
          </w:tcPr>
          <w:p w14:paraId="61F4C2E0" w14:textId="20B54E04" w:rsidR="00BC076E" w:rsidRPr="00D2258D" w:rsidRDefault="00BC076E" w:rsidP="00491939">
            <w:pPr>
              <w:rPr>
                <w:rFonts w:cstheme="minorHAnsi"/>
                <w:sz w:val="20"/>
                <w:szCs w:val="20"/>
              </w:rPr>
            </w:pPr>
            <w:r w:rsidRPr="00D2258D">
              <w:rPr>
                <w:rFonts w:cstheme="minorHAnsi"/>
                <w:sz w:val="20"/>
                <w:szCs w:val="20"/>
              </w:rPr>
              <w:t>GLJE Approver</w:t>
            </w:r>
            <w:r w:rsidR="00A22E73" w:rsidRPr="00D2258D">
              <w:rPr>
                <w:rFonts w:cstheme="minorHAnsi"/>
                <w:sz w:val="20"/>
                <w:szCs w:val="20"/>
              </w:rPr>
              <w:t xml:space="preserve"> (SR)</w:t>
            </w:r>
          </w:p>
        </w:tc>
        <w:tc>
          <w:tcPr>
            <w:tcW w:w="3690" w:type="dxa"/>
          </w:tcPr>
          <w:p w14:paraId="05E4F614" w14:textId="0A35AAE3" w:rsidR="00BC076E" w:rsidRPr="00D2258D" w:rsidRDefault="00FD48A6" w:rsidP="00491939">
            <w:pPr>
              <w:rPr>
                <w:rFonts w:cstheme="minorHAnsi"/>
                <w:sz w:val="20"/>
                <w:szCs w:val="20"/>
              </w:rPr>
            </w:pPr>
            <w:r w:rsidRPr="00FD48A6">
              <w:rPr>
                <w:rFonts w:cstheme="minorHAnsi"/>
                <w:sz w:val="20"/>
                <w:szCs w:val="20"/>
              </w:rPr>
              <w:t>Yes, for now. It is possible that during FY2025, this may change, and the role may only be assigned to staff in BMS/GSSC, BMS/OF</w:t>
            </w:r>
            <w:r w:rsidR="00A40A72">
              <w:rPr>
                <w:rFonts w:cstheme="minorHAnsi"/>
                <w:sz w:val="20"/>
                <w:szCs w:val="20"/>
              </w:rPr>
              <w:t>R</w:t>
            </w:r>
            <w:r w:rsidRPr="00FD48A6">
              <w:rPr>
                <w:rFonts w:cstheme="minorHAnsi"/>
                <w:sz w:val="20"/>
                <w:szCs w:val="20"/>
              </w:rPr>
              <w:t>M</w:t>
            </w:r>
            <w:r w:rsidR="001A324B">
              <w:rPr>
                <w:rFonts w:cstheme="minorHAnsi"/>
                <w:sz w:val="20"/>
                <w:szCs w:val="20"/>
              </w:rPr>
              <w:t>,</w:t>
            </w:r>
            <w:r w:rsidRPr="00FD48A6">
              <w:rPr>
                <w:rFonts w:cstheme="minorHAnsi"/>
                <w:sz w:val="20"/>
                <w:szCs w:val="20"/>
              </w:rPr>
              <w:t xml:space="preserve"> MPTFO</w:t>
            </w:r>
            <w:r w:rsidR="001A324B">
              <w:rPr>
                <w:rFonts w:cstheme="minorHAnsi"/>
                <w:sz w:val="20"/>
                <w:szCs w:val="20"/>
              </w:rPr>
              <w:t xml:space="preserve"> and UNV</w:t>
            </w:r>
            <w:r w:rsidRPr="00FD48A6">
              <w:rPr>
                <w:rFonts w:cstheme="minorHAnsi"/>
                <w:sz w:val="20"/>
                <w:szCs w:val="20"/>
              </w:rPr>
              <w:t>.</w:t>
            </w:r>
          </w:p>
        </w:tc>
      </w:tr>
      <w:tr w:rsidR="00BC076E" w:rsidRPr="00F133DC" w14:paraId="0DCB23E6" w14:textId="77777777" w:rsidTr="363CA695">
        <w:trPr>
          <w:trHeight w:val="20"/>
        </w:trPr>
        <w:tc>
          <w:tcPr>
            <w:tcW w:w="3685" w:type="dxa"/>
          </w:tcPr>
          <w:p w14:paraId="4EDE3ABE" w14:textId="65C07ADB" w:rsidR="00BC076E" w:rsidRPr="00D2258D" w:rsidRDefault="00A22E73" w:rsidP="00491939">
            <w:pPr>
              <w:rPr>
                <w:rFonts w:cstheme="minorHAnsi"/>
                <w:sz w:val="20"/>
                <w:szCs w:val="20"/>
              </w:rPr>
            </w:pPr>
            <w:r w:rsidRPr="00D2258D">
              <w:rPr>
                <w:rFonts w:cstheme="minorHAnsi"/>
                <w:sz w:val="20"/>
                <w:szCs w:val="20"/>
              </w:rPr>
              <w:t>Receipt goods/services/works</w:t>
            </w:r>
          </w:p>
        </w:tc>
        <w:tc>
          <w:tcPr>
            <w:tcW w:w="2700" w:type="dxa"/>
          </w:tcPr>
          <w:p w14:paraId="3E806743" w14:textId="7C249DCA" w:rsidR="00BC076E" w:rsidRPr="00D2258D" w:rsidRDefault="00BC076E" w:rsidP="00491939">
            <w:pPr>
              <w:rPr>
                <w:rFonts w:cstheme="minorHAnsi"/>
                <w:sz w:val="20"/>
                <w:szCs w:val="20"/>
              </w:rPr>
            </w:pPr>
            <w:r w:rsidRPr="00D2258D">
              <w:rPr>
                <w:rFonts w:cstheme="minorHAnsi"/>
                <w:sz w:val="20"/>
                <w:szCs w:val="20"/>
              </w:rPr>
              <w:t>Expense Receiver</w:t>
            </w:r>
          </w:p>
        </w:tc>
        <w:tc>
          <w:tcPr>
            <w:tcW w:w="3690" w:type="dxa"/>
          </w:tcPr>
          <w:p w14:paraId="5F063FD1" w14:textId="7B3D994C" w:rsidR="00BC076E" w:rsidRPr="00D2258D" w:rsidRDefault="00BC076E" w:rsidP="00491939">
            <w:pPr>
              <w:rPr>
                <w:rFonts w:cstheme="minorHAnsi"/>
                <w:sz w:val="20"/>
                <w:szCs w:val="20"/>
              </w:rPr>
            </w:pPr>
            <w:r w:rsidRPr="00D2258D">
              <w:rPr>
                <w:rFonts w:cstheme="minorHAnsi"/>
                <w:sz w:val="20"/>
                <w:szCs w:val="20"/>
              </w:rPr>
              <w:t>Yes, except for Buyers.</w:t>
            </w:r>
          </w:p>
        </w:tc>
      </w:tr>
      <w:tr w:rsidR="00BC076E" w:rsidRPr="00F133DC" w14:paraId="1A6B5BCD" w14:textId="77777777" w:rsidTr="363CA695">
        <w:trPr>
          <w:trHeight w:val="20"/>
        </w:trPr>
        <w:tc>
          <w:tcPr>
            <w:tcW w:w="3685" w:type="dxa"/>
          </w:tcPr>
          <w:p w14:paraId="7DB976C4" w14:textId="4F52A65C" w:rsidR="00BC076E" w:rsidRPr="00D2258D" w:rsidRDefault="00A22E73" w:rsidP="00491939">
            <w:pPr>
              <w:rPr>
                <w:rFonts w:cstheme="minorHAnsi"/>
                <w:sz w:val="20"/>
                <w:szCs w:val="20"/>
              </w:rPr>
            </w:pPr>
            <w:r w:rsidRPr="00D2258D">
              <w:rPr>
                <w:rFonts w:cstheme="minorHAnsi"/>
                <w:sz w:val="20"/>
                <w:szCs w:val="20"/>
              </w:rPr>
              <w:t>Create vouchers</w:t>
            </w:r>
          </w:p>
        </w:tc>
        <w:tc>
          <w:tcPr>
            <w:tcW w:w="2700" w:type="dxa"/>
          </w:tcPr>
          <w:p w14:paraId="4F0E4413" w14:textId="23C63C4E" w:rsidR="00BC076E" w:rsidRPr="00D2258D" w:rsidRDefault="00BC076E" w:rsidP="00491939">
            <w:pPr>
              <w:rPr>
                <w:rFonts w:cstheme="minorHAnsi"/>
                <w:sz w:val="20"/>
                <w:szCs w:val="20"/>
              </w:rPr>
            </w:pPr>
            <w:r w:rsidRPr="00D2258D">
              <w:rPr>
                <w:rFonts w:cstheme="minorHAnsi"/>
                <w:sz w:val="20"/>
                <w:szCs w:val="20"/>
              </w:rPr>
              <w:t>Voucher Creation</w:t>
            </w:r>
          </w:p>
        </w:tc>
        <w:tc>
          <w:tcPr>
            <w:tcW w:w="3690" w:type="dxa"/>
          </w:tcPr>
          <w:p w14:paraId="715664F1" w14:textId="09C61BB7" w:rsidR="00BC076E" w:rsidRPr="00D2258D" w:rsidRDefault="00BC076E" w:rsidP="00491939">
            <w:pPr>
              <w:rPr>
                <w:rFonts w:cstheme="minorHAnsi"/>
                <w:sz w:val="20"/>
                <w:szCs w:val="20"/>
              </w:rPr>
            </w:pPr>
            <w:r w:rsidRPr="00D2258D">
              <w:rPr>
                <w:rFonts w:cstheme="minorHAnsi"/>
                <w:sz w:val="20"/>
                <w:szCs w:val="20"/>
              </w:rPr>
              <w:t>Yes, except for Project Managers &amp; Approving Managers.</w:t>
            </w:r>
          </w:p>
        </w:tc>
      </w:tr>
    </w:tbl>
    <w:p w14:paraId="46DE0BE4" w14:textId="77777777" w:rsidR="007802E1" w:rsidRDefault="007802E1" w:rsidP="007802E1"/>
    <w:p w14:paraId="4552458D" w14:textId="77777777" w:rsidR="004539AF" w:rsidRDefault="004539AF">
      <w:r>
        <w:br w:type="page"/>
      </w:r>
    </w:p>
    <w:p w14:paraId="799D3889" w14:textId="78615132" w:rsidR="0016462F" w:rsidRDefault="0016462F" w:rsidP="004539AF">
      <w:pPr>
        <w:pStyle w:val="Heading1"/>
        <w:spacing w:after="240"/>
      </w:pPr>
      <w:bookmarkStart w:id="124" w:name="_Annex_5:_Process"/>
      <w:bookmarkStart w:id="125" w:name="_Toc210052799"/>
      <w:bookmarkEnd w:id="124"/>
      <w:r w:rsidRPr="363CA695">
        <w:lastRenderedPageBreak/>
        <w:t xml:space="preserve">Annex </w:t>
      </w:r>
      <w:r w:rsidR="006723C5" w:rsidRPr="363CA695">
        <w:t>5</w:t>
      </w:r>
      <w:r w:rsidRPr="363CA695">
        <w:t>:</w:t>
      </w:r>
      <w:r w:rsidR="0066569B" w:rsidRPr="363CA695">
        <w:t xml:space="preserve"> </w:t>
      </w:r>
      <w:r w:rsidRPr="363CA695">
        <w:t>Process Overvie</w:t>
      </w:r>
      <w:r w:rsidR="0066569B" w:rsidRPr="363CA695">
        <w:t>w: Procure &amp; Pay</w:t>
      </w:r>
      <w:bookmarkEnd w:id="125"/>
      <w:r w:rsidR="0066569B" w:rsidRPr="363CA695">
        <w:t xml:space="preserve"> </w:t>
      </w:r>
    </w:p>
    <w:p w14:paraId="44C9CCD2" w14:textId="15E7F52E" w:rsidR="000B14E0" w:rsidRPr="00D2258D" w:rsidRDefault="0016462F" w:rsidP="0016462F">
      <w:pPr>
        <w:spacing w:line="240" w:lineRule="auto"/>
      </w:pPr>
      <w:r w:rsidRPr="00D2258D">
        <w:t>Below is a high-level overview of the Procure and Pay process steps and who performs them</w:t>
      </w:r>
      <w:r w:rsidR="0066569B" w:rsidRPr="00D2258D">
        <w:t xml:space="preserve"> for offices with clustered processes</w:t>
      </w:r>
      <w:r w:rsidR="00321B8D" w:rsidRPr="00D2258D">
        <w:rPr>
          <w:rStyle w:val="FootnoteReference"/>
        </w:rPr>
        <w:footnoteReference w:id="43"/>
      </w:r>
      <w:r w:rsidRPr="00D2258D">
        <w:t xml:space="preserve">. </w:t>
      </w:r>
      <w:r w:rsidR="000B14E0" w:rsidRPr="00D2258D">
        <w:t>The key responsibilities of those executing the steps below are further described in section 5 of this Guide</w:t>
      </w:r>
      <w:r w:rsidR="00020B28" w:rsidRPr="00D2258D">
        <w:t xml:space="preserve">. </w:t>
      </w:r>
      <w:r w:rsidRPr="00D2258D">
        <w:t>For more detailed</w:t>
      </w:r>
      <w:r w:rsidR="00020B28" w:rsidRPr="00D2258D">
        <w:t xml:space="preserve"> </w:t>
      </w:r>
      <w:r w:rsidRPr="00D2258D">
        <w:t>information on these action steps</w:t>
      </w:r>
      <w:r w:rsidR="00020B28" w:rsidRPr="00D2258D">
        <w:t xml:space="preserve">, </w:t>
      </w:r>
      <w:r w:rsidRPr="00D2258D">
        <w:t>refer to the following</w:t>
      </w:r>
      <w:r w:rsidR="000B14E0" w:rsidRPr="00D2258D">
        <w:t xml:space="preserve"> POPP sections, as well as functional </w:t>
      </w:r>
      <w:r w:rsidR="00020B28" w:rsidRPr="00D2258D">
        <w:t xml:space="preserve">UNall </w:t>
      </w:r>
      <w:r w:rsidR="000B14E0" w:rsidRPr="00D2258D">
        <w:t>knowledge guides and SOPs</w:t>
      </w:r>
      <w:r w:rsidRPr="00D2258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151"/>
      </w:tblGrid>
      <w:tr w:rsidR="00020B28" w14:paraId="5D41876D" w14:textId="77777777" w:rsidTr="000E34B7">
        <w:tc>
          <w:tcPr>
            <w:tcW w:w="3775" w:type="dxa"/>
          </w:tcPr>
          <w:p w14:paraId="5FE9707D" w14:textId="536D8DFE" w:rsidR="00020B28" w:rsidRPr="000E34B7" w:rsidRDefault="00020B28">
            <w:pPr>
              <w:pStyle w:val="ListParagraph"/>
              <w:keepNext/>
              <w:widowControl w:val="0"/>
              <w:numPr>
                <w:ilvl w:val="0"/>
                <w:numId w:val="94"/>
              </w:numPr>
              <w:autoSpaceDE w:val="0"/>
              <w:autoSpaceDN w:val="0"/>
              <w:ind w:right="20"/>
              <w:rPr>
                <w:rFonts w:cstheme="minorHAnsi"/>
              </w:rPr>
            </w:pPr>
            <w:r w:rsidRPr="000E34B7">
              <w:rPr>
                <w:rStyle w:val="Hyperlink"/>
                <w:color w:val="auto"/>
                <w:u w:val="none"/>
              </w:rPr>
              <w:t xml:space="preserve">POPP </w:t>
            </w:r>
            <w:hyperlink r:id="rId210" w:history="1">
              <w:r w:rsidRPr="000E34B7">
                <w:rPr>
                  <w:rStyle w:val="Hyperlink"/>
                </w:rPr>
                <w:t>Procurement</w:t>
              </w:r>
            </w:hyperlink>
          </w:p>
        </w:tc>
        <w:tc>
          <w:tcPr>
            <w:tcW w:w="6151" w:type="dxa"/>
          </w:tcPr>
          <w:p w14:paraId="198D4FF7" w14:textId="36115519" w:rsidR="00020B28" w:rsidRPr="00615908" w:rsidRDefault="00020B28">
            <w:pPr>
              <w:pStyle w:val="ListParagraph"/>
              <w:keepNext/>
              <w:widowControl w:val="0"/>
              <w:numPr>
                <w:ilvl w:val="0"/>
                <w:numId w:val="94"/>
              </w:numPr>
              <w:autoSpaceDE w:val="0"/>
              <w:autoSpaceDN w:val="0"/>
              <w:ind w:right="20"/>
              <w:rPr>
                <w:rFonts w:cstheme="minorHAnsi"/>
                <w:u w:val="single"/>
              </w:rPr>
            </w:pPr>
            <w:hyperlink r:id="rId211" w:history="1">
              <w:r w:rsidRPr="00615908">
                <w:rPr>
                  <w:rStyle w:val="Hyperlink"/>
                  <w:rFonts w:cstheme="minorHAnsi"/>
                </w:rPr>
                <w:t>BMS/GSSC Supplier Management site</w:t>
              </w:r>
            </w:hyperlink>
          </w:p>
        </w:tc>
      </w:tr>
      <w:tr w:rsidR="00020B28" w14:paraId="4F5EE5B7" w14:textId="77777777" w:rsidTr="000E34B7">
        <w:tc>
          <w:tcPr>
            <w:tcW w:w="3775" w:type="dxa"/>
          </w:tcPr>
          <w:p w14:paraId="35F5527D" w14:textId="57078765" w:rsidR="00020B28" w:rsidRPr="000E34B7" w:rsidRDefault="00020B28">
            <w:pPr>
              <w:pStyle w:val="ListParagraph"/>
              <w:keepNext/>
              <w:widowControl w:val="0"/>
              <w:numPr>
                <w:ilvl w:val="0"/>
                <w:numId w:val="94"/>
              </w:numPr>
              <w:autoSpaceDE w:val="0"/>
              <w:autoSpaceDN w:val="0"/>
              <w:ind w:right="20"/>
              <w:rPr>
                <w:rFonts w:cstheme="minorHAnsi"/>
              </w:rPr>
            </w:pPr>
            <w:r w:rsidRPr="000E34B7">
              <w:rPr>
                <w:rFonts w:cstheme="minorHAnsi"/>
              </w:rPr>
              <w:t xml:space="preserve">POPP </w:t>
            </w:r>
            <w:hyperlink r:id="rId212" w:history="1">
              <w:r w:rsidRPr="000E34B7">
                <w:rPr>
                  <w:rStyle w:val="Hyperlink"/>
                </w:rPr>
                <w:t>Expense Management</w:t>
              </w:r>
            </w:hyperlink>
          </w:p>
        </w:tc>
        <w:tc>
          <w:tcPr>
            <w:tcW w:w="6151" w:type="dxa"/>
          </w:tcPr>
          <w:p w14:paraId="1F6A62D9" w14:textId="1D038CED" w:rsidR="00020B28" w:rsidRPr="00615908" w:rsidRDefault="00020B28">
            <w:pPr>
              <w:pStyle w:val="ListParagraph"/>
              <w:keepNext/>
              <w:widowControl w:val="0"/>
              <w:numPr>
                <w:ilvl w:val="0"/>
                <w:numId w:val="94"/>
              </w:numPr>
              <w:autoSpaceDE w:val="0"/>
              <w:autoSpaceDN w:val="0"/>
              <w:ind w:right="20"/>
              <w:rPr>
                <w:rFonts w:cstheme="minorHAnsi"/>
                <w:u w:val="single"/>
              </w:rPr>
            </w:pPr>
            <w:hyperlink r:id="rId213" w:history="1">
              <w:r w:rsidRPr="00710A1E">
                <w:rPr>
                  <w:rStyle w:val="Hyperlink"/>
                </w:rPr>
                <w:t>BMS/GSSC Supplier Management Guide: Step-by-Step</w:t>
              </w:r>
            </w:hyperlink>
          </w:p>
        </w:tc>
      </w:tr>
      <w:tr w:rsidR="00020B28" w:rsidRPr="00D2258D" w14:paraId="58A733A9" w14:textId="77777777" w:rsidTr="000E34B7">
        <w:tc>
          <w:tcPr>
            <w:tcW w:w="3775" w:type="dxa"/>
          </w:tcPr>
          <w:p w14:paraId="069F70E1" w14:textId="2E182056" w:rsidR="00020B28" w:rsidRPr="00D2258D" w:rsidRDefault="00020B28">
            <w:pPr>
              <w:pStyle w:val="ListParagraph"/>
              <w:keepNext/>
              <w:widowControl w:val="0"/>
              <w:numPr>
                <w:ilvl w:val="0"/>
                <w:numId w:val="94"/>
              </w:numPr>
              <w:autoSpaceDE w:val="0"/>
              <w:autoSpaceDN w:val="0"/>
              <w:ind w:right="20"/>
              <w:rPr>
                <w:rFonts w:cstheme="minorHAnsi"/>
                <w:color w:val="4472C4" w:themeColor="accent1"/>
                <w:u w:val="single"/>
              </w:rPr>
            </w:pPr>
            <w:hyperlink r:id="rId214" w:history="1">
              <w:r w:rsidRPr="00D2258D">
                <w:rPr>
                  <w:rStyle w:val="Hyperlink"/>
                  <w:color w:val="4472C4" w:themeColor="accent1"/>
                </w:rPr>
                <w:t>BMS/OP UNall Consolidated Guide</w:t>
              </w:r>
            </w:hyperlink>
          </w:p>
        </w:tc>
        <w:tc>
          <w:tcPr>
            <w:tcW w:w="6151" w:type="dxa"/>
          </w:tcPr>
          <w:p w14:paraId="2DBA2196" w14:textId="3A47DEC4" w:rsidR="00020B28" w:rsidRPr="00D2258D" w:rsidRDefault="00020B28">
            <w:pPr>
              <w:pStyle w:val="ListParagraph"/>
              <w:keepNext/>
              <w:widowControl w:val="0"/>
              <w:numPr>
                <w:ilvl w:val="0"/>
                <w:numId w:val="94"/>
              </w:numPr>
              <w:autoSpaceDE w:val="0"/>
              <w:autoSpaceDN w:val="0"/>
              <w:ind w:right="20"/>
              <w:rPr>
                <w:rFonts w:cstheme="minorHAnsi"/>
                <w:color w:val="4472C4" w:themeColor="accent1"/>
                <w:u w:val="single"/>
              </w:rPr>
            </w:pPr>
            <w:hyperlink r:id="rId215" w:history="1">
              <w:r w:rsidRPr="00D2258D">
                <w:rPr>
                  <w:rStyle w:val="Hyperlink"/>
                  <w:color w:val="4472C4" w:themeColor="accent1"/>
                </w:rPr>
                <w:t>BMS/GSSC SOP for Invoice Processing</w:t>
              </w:r>
            </w:hyperlink>
          </w:p>
        </w:tc>
      </w:tr>
    </w:tbl>
    <w:p w14:paraId="73AD10B7" w14:textId="77777777" w:rsidR="000B14E0" w:rsidRPr="00D2258D" w:rsidRDefault="000B14E0" w:rsidP="0016462F">
      <w:pPr>
        <w:spacing w:line="240" w:lineRule="auto"/>
        <w:rPr>
          <w:color w:val="4472C4" w:themeColor="accent1"/>
          <w:sz w:val="8"/>
          <w:szCs w:val="8"/>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525"/>
        <w:gridCol w:w="2880"/>
        <w:gridCol w:w="4230"/>
      </w:tblGrid>
      <w:tr w:rsidR="00B27D72" w:rsidRPr="00EF3982" w14:paraId="70E1E174" w14:textId="77777777" w:rsidTr="363CA695">
        <w:trPr>
          <w:trHeight w:val="20"/>
          <w:tblHeader/>
        </w:trPr>
        <w:tc>
          <w:tcPr>
            <w:tcW w:w="355" w:type="dxa"/>
            <w:shd w:val="clear" w:color="auto" w:fill="002060"/>
          </w:tcPr>
          <w:p w14:paraId="48A5F472"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w:t>
            </w:r>
          </w:p>
        </w:tc>
        <w:tc>
          <w:tcPr>
            <w:tcW w:w="2525" w:type="dxa"/>
            <w:shd w:val="clear" w:color="auto" w:fill="002060"/>
            <w:tcMar>
              <w:top w:w="0" w:type="dxa"/>
              <w:left w:w="108" w:type="dxa"/>
              <w:bottom w:w="0" w:type="dxa"/>
              <w:right w:w="108" w:type="dxa"/>
            </w:tcMar>
          </w:tcPr>
          <w:p w14:paraId="219F9847"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Procure &amp; Pay Step</w:t>
            </w:r>
          </w:p>
        </w:tc>
        <w:tc>
          <w:tcPr>
            <w:tcW w:w="2880" w:type="dxa"/>
            <w:shd w:val="clear" w:color="auto" w:fill="002060"/>
            <w:tcMar>
              <w:top w:w="0" w:type="dxa"/>
              <w:left w:w="108" w:type="dxa"/>
              <w:bottom w:w="0" w:type="dxa"/>
              <w:right w:w="108" w:type="dxa"/>
            </w:tcMar>
          </w:tcPr>
          <w:p w14:paraId="02A18DA0" w14:textId="21670702" w:rsidR="0016462F" w:rsidRPr="00FD51EA" w:rsidRDefault="0016462F" w:rsidP="363CA695">
            <w:pPr>
              <w:spacing w:after="0" w:line="240" w:lineRule="auto"/>
              <w:rPr>
                <w:b/>
                <w:bCs/>
                <w:sz w:val="20"/>
                <w:szCs w:val="20"/>
              </w:rPr>
            </w:pPr>
            <w:r w:rsidRPr="363CA695">
              <w:rPr>
                <w:b/>
                <w:bCs/>
                <w:sz w:val="20"/>
                <w:szCs w:val="20"/>
              </w:rPr>
              <w:t>By whom (in each office</w:t>
            </w:r>
            <w:r w:rsidR="00356A22" w:rsidRPr="363CA695">
              <w:rPr>
                <w:b/>
                <w:bCs/>
                <w:sz w:val="20"/>
                <w:szCs w:val="20"/>
              </w:rPr>
              <w:t>/unit</w:t>
            </w:r>
            <w:r w:rsidRPr="363CA695">
              <w:rPr>
                <w:b/>
                <w:bCs/>
                <w:sz w:val="20"/>
                <w:szCs w:val="20"/>
              </w:rPr>
              <w:t>, unless indicated)</w:t>
            </w:r>
          </w:p>
        </w:tc>
        <w:tc>
          <w:tcPr>
            <w:tcW w:w="4230" w:type="dxa"/>
            <w:shd w:val="clear" w:color="auto" w:fill="002060"/>
          </w:tcPr>
          <w:p w14:paraId="0AC2DE96"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To note</w:t>
            </w:r>
          </w:p>
        </w:tc>
      </w:tr>
      <w:tr w:rsidR="003B102F" w:rsidRPr="00EF3982" w14:paraId="3B9EA346" w14:textId="77777777" w:rsidTr="363CA695">
        <w:trPr>
          <w:trHeight w:val="20"/>
          <w:tblHeader/>
        </w:trPr>
        <w:tc>
          <w:tcPr>
            <w:tcW w:w="9990" w:type="dxa"/>
            <w:gridSpan w:val="4"/>
            <w:shd w:val="clear" w:color="auto" w:fill="B4C6E7" w:themeFill="accent1" w:themeFillTint="66"/>
          </w:tcPr>
          <w:p w14:paraId="2493227C" w14:textId="77777777" w:rsidR="0016462F" w:rsidRPr="00FD51EA" w:rsidRDefault="0016462F" w:rsidP="00CF32EB">
            <w:pPr>
              <w:spacing w:after="0" w:line="240" w:lineRule="auto"/>
              <w:rPr>
                <w:rFonts w:cstheme="minorHAnsi"/>
                <w:b/>
                <w:bCs/>
                <w:sz w:val="20"/>
                <w:szCs w:val="20"/>
              </w:rPr>
            </w:pPr>
            <w:r w:rsidRPr="00FD51EA">
              <w:rPr>
                <w:rFonts w:cstheme="minorHAnsi"/>
                <w:b/>
                <w:bCs/>
                <w:sz w:val="20"/>
                <w:szCs w:val="20"/>
              </w:rPr>
              <w:t>PO-based invoices</w:t>
            </w:r>
          </w:p>
        </w:tc>
      </w:tr>
      <w:tr w:rsidR="00B27D72" w:rsidRPr="00EF3982" w14:paraId="5FAB2FDD" w14:textId="77777777" w:rsidTr="363CA695">
        <w:trPr>
          <w:trHeight w:val="20"/>
        </w:trPr>
        <w:tc>
          <w:tcPr>
            <w:tcW w:w="355" w:type="dxa"/>
            <w:shd w:val="clear" w:color="auto" w:fill="FFFFFF" w:themeFill="background1"/>
          </w:tcPr>
          <w:p w14:paraId="4FEA7F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525" w:type="dxa"/>
            <w:shd w:val="clear" w:color="auto" w:fill="FFFFFF" w:themeFill="background1"/>
            <w:tcMar>
              <w:top w:w="0" w:type="dxa"/>
              <w:left w:w="108" w:type="dxa"/>
              <w:bottom w:w="0" w:type="dxa"/>
              <w:right w:w="108" w:type="dxa"/>
            </w:tcMar>
            <w:hideMark/>
          </w:tcPr>
          <w:p w14:paraId="721938F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Requisition</w:t>
            </w:r>
          </w:p>
        </w:tc>
        <w:tc>
          <w:tcPr>
            <w:tcW w:w="2880" w:type="dxa"/>
            <w:shd w:val="clear" w:color="auto" w:fill="FFFFFF" w:themeFill="background1"/>
            <w:tcMar>
              <w:top w:w="0" w:type="dxa"/>
              <w:left w:w="108" w:type="dxa"/>
              <w:bottom w:w="0" w:type="dxa"/>
              <w:right w:w="108" w:type="dxa"/>
            </w:tcMar>
            <w:hideMark/>
          </w:tcPr>
          <w:p w14:paraId="4CAC3A3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Typically project staff</w:t>
            </w:r>
            <w:r w:rsidRPr="00D2258D">
              <w:rPr>
                <w:rStyle w:val="FootnoteReference"/>
                <w:rFonts w:cstheme="minorHAnsi"/>
                <w:sz w:val="20"/>
                <w:szCs w:val="20"/>
              </w:rPr>
              <w:footnoteReference w:id="44"/>
            </w:r>
            <w:r w:rsidRPr="00D2258D">
              <w:rPr>
                <w:rFonts w:cstheme="minorHAnsi"/>
                <w:sz w:val="20"/>
                <w:szCs w:val="20"/>
              </w:rPr>
              <w:t xml:space="preserve"> </w:t>
            </w:r>
          </w:p>
        </w:tc>
        <w:tc>
          <w:tcPr>
            <w:tcW w:w="4230" w:type="dxa"/>
            <w:shd w:val="clear" w:color="auto" w:fill="FFFFFF" w:themeFill="background1"/>
          </w:tcPr>
          <w:p w14:paraId="064351F1" w14:textId="77777777" w:rsidR="0016462F" w:rsidRPr="00D2258D" w:rsidRDefault="0016462F" w:rsidP="00CF32EB">
            <w:pPr>
              <w:spacing w:after="0" w:line="240" w:lineRule="auto"/>
              <w:rPr>
                <w:rFonts w:cstheme="minorHAnsi"/>
                <w:sz w:val="20"/>
                <w:szCs w:val="20"/>
              </w:rPr>
            </w:pPr>
          </w:p>
        </w:tc>
      </w:tr>
      <w:tr w:rsidR="00B27D72" w:rsidRPr="00EF3982" w14:paraId="2CB4202C" w14:textId="77777777" w:rsidTr="363CA695">
        <w:trPr>
          <w:trHeight w:val="20"/>
        </w:trPr>
        <w:tc>
          <w:tcPr>
            <w:tcW w:w="355" w:type="dxa"/>
            <w:shd w:val="clear" w:color="auto" w:fill="FFFFFF" w:themeFill="background1"/>
          </w:tcPr>
          <w:p w14:paraId="45581CA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525" w:type="dxa"/>
            <w:shd w:val="clear" w:color="auto" w:fill="FFFFFF" w:themeFill="background1"/>
            <w:tcMar>
              <w:top w:w="0" w:type="dxa"/>
              <w:left w:w="108" w:type="dxa"/>
              <w:bottom w:w="0" w:type="dxa"/>
              <w:right w:w="108" w:type="dxa"/>
            </w:tcMar>
            <w:hideMark/>
          </w:tcPr>
          <w:p w14:paraId="60503E0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requisition</w:t>
            </w:r>
          </w:p>
        </w:tc>
        <w:tc>
          <w:tcPr>
            <w:tcW w:w="2880" w:type="dxa"/>
            <w:shd w:val="clear" w:color="auto" w:fill="FFFFFF" w:themeFill="background1"/>
            <w:tcMar>
              <w:top w:w="0" w:type="dxa"/>
              <w:left w:w="108" w:type="dxa"/>
              <w:bottom w:w="0" w:type="dxa"/>
              <w:right w:w="108" w:type="dxa"/>
            </w:tcMar>
            <w:hideMark/>
          </w:tcPr>
          <w:p w14:paraId="0168B36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Project Manager</w:t>
            </w:r>
          </w:p>
        </w:tc>
        <w:tc>
          <w:tcPr>
            <w:tcW w:w="4230" w:type="dxa"/>
            <w:shd w:val="clear" w:color="auto" w:fill="FFFFFF" w:themeFill="background1"/>
          </w:tcPr>
          <w:p w14:paraId="28B7C2A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‘first authority Committing Officer’ functions</w:t>
            </w:r>
          </w:p>
        </w:tc>
      </w:tr>
      <w:tr w:rsidR="00B27D72" w:rsidRPr="00EF3982" w14:paraId="036F5DC2" w14:textId="77777777" w:rsidTr="363CA695">
        <w:trPr>
          <w:trHeight w:val="20"/>
        </w:trPr>
        <w:tc>
          <w:tcPr>
            <w:tcW w:w="355" w:type="dxa"/>
            <w:shd w:val="clear" w:color="auto" w:fill="FFFFFF" w:themeFill="background1"/>
          </w:tcPr>
          <w:p w14:paraId="1542F53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525" w:type="dxa"/>
            <w:shd w:val="clear" w:color="auto" w:fill="FFFFFF" w:themeFill="background1"/>
            <w:tcMar>
              <w:top w:w="0" w:type="dxa"/>
              <w:left w:w="108" w:type="dxa"/>
              <w:bottom w:w="0" w:type="dxa"/>
              <w:right w:w="108" w:type="dxa"/>
            </w:tcMar>
            <w:hideMark/>
          </w:tcPr>
          <w:p w14:paraId="44C6FEA9"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Conduct procurement process</w:t>
            </w:r>
          </w:p>
        </w:tc>
        <w:tc>
          <w:tcPr>
            <w:tcW w:w="2880" w:type="dxa"/>
            <w:shd w:val="clear" w:color="auto" w:fill="FFFFFF" w:themeFill="background1"/>
            <w:tcMar>
              <w:top w:w="0" w:type="dxa"/>
              <w:left w:w="108" w:type="dxa"/>
              <w:bottom w:w="0" w:type="dxa"/>
              <w:right w:w="108" w:type="dxa"/>
            </w:tcMar>
            <w:hideMark/>
          </w:tcPr>
          <w:p w14:paraId="2124854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p>
        </w:tc>
        <w:tc>
          <w:tcPr>
            <w:tcW w:w="4230" w:type="dxa"/>
            <w:shd w:val="clear" w:color="auto" w:fill="FFFFFF" w:themeFill="background1"/>
          </w:tcPr>
          <w:p w14:paraId="1118E755" w14:textId="77777777" w:rsidR="0016462F" w:rsidRPr="00D2258D" w:rsidRDefault="0016462F" w:rsidP="00CF32EB">
            <w:pPr>
              <w:spacing w:after="0" w:line="240" w:lineRule="auto"/>
              <w:rPr>
                <w:rFonts w:cstheme="minorHAnsi"/>
                <w:sz w:val="20"/>
                <w:szCs w:val="20"/>
              </w:rPr>
            </w:pPr>
          </w:p>
        </w:tc>
      </w:tr>
      <w:tr w:rsidR="00B27D72" w:rsidRPr="00EF3982" w14:paraId="58CBE913" w14:textId="77777777" w:rsidTr="363CA695">
        <w:trPr>
          <w:trHeight w:val="20"/>
        </w:trPr>
        <w:tc>
          <w:tcPr>
            <w:tcW w:w="355" w:type="dxa"/>
            <w:shd w:val="clear" w:color="auto" w:fill="FFFFFF" w:themeFill="background1"/>
          </w:tcPr>
          <w:p w14:paraId="626C7F9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525" w:type="dxa"/>
            <w:shd w:val="clear" w:color="auto" w:fill="FFFFFF" w:themeFill="background1"/>
            <w:tcMar>
              <w:top w:w="0" w:type="dxa"/>
              <w:left w:w="108" w:type="dxa"/>
              <w:bottom w:w="0" w:type="dxa"/>
              <w:right w:w="108" w:type="dxa"/>
            </w:tcMar>
            <w:hideMark/>
          </w:tcPr>
          <w:p w14:paraId="7767B2D2" w14:textId="77777777" w:rsidR="0016462F" w:rsidRPr="00D2258D" w:rsidRDefault="0016462F" w:rsidP="00CF32EB">
            <w:pPr>
              <w:spacing w:after="0" w:line="240" w:lineRule="auto"/>
              <w:rPr>
                <w:rFonts w:cstheme="minorHAnsi"/>
                <w:sz w:val="20"/>
                <w:szCs w:val="20"/>
              </w:rPr>
            </w:pPr>
            <w:proofErr w:type="gramStart"/>
            <w:r w:rsidRPr="00D2258D">
              <w:rPr>
                <w:rFonts w:cstheme="minorHAnsi"/>
                <w:sz w:val="20"/>
                <w:szCs w:val="20"/>
              </w:rPr>
              <w:t>Approve</w:t>
            </w:r>
            <w:proofErr w:type="gramEnd"/>
            <w:r w:rsidRPr="00D2258D">
              <w:rPr>
                <w:rFonts w:cstheme="minorHAnsi"/>
                <w:sz w:val="20"/>
                <w:szCs w:val="20"/>
              </w:rPr>
              <w:t xml:space="preserve"> award recommendation</w:t>
            </w:r>
          </w:p>
        </w:tc>
        <w:tc>
          <w:tcPr>
            <w:tcW w:w="2880" w:type="dxa"/>
            <w:shd w:val="clear" w:color="auto" w:fill="FFFFFF" w:themeFill="background1"/>
            <w:tcMar>
              <w:top w:w="0" w:type="dxa"/>
              <w:left w:w="108" w:type="dxa"/>
              <w:bottom w:w="0" w:type="dxa"/>
              <w:right w:w="108" w:type="dxa"/>
            </w:tcMar>
            <w:hideMark/>
          </w:tcPr>
          <w:p w14:paraId="30FA6CCD" w14:textId="4CD04F3C" w:rsidR="0016462F" w:rsidRPr="00D2258D" w:rsidRDefault="0016462F" w:rsidP="00BF4471">
            <w:pPr>
              <w:spacing w:after="0" w:line="240" w:lineRule="auto"/>
              <w:rPr>
                <w:rFonts w:cstheme="minorHAnsi"/>
                <w:sz w:val="20"/>
                <w:szCs w:val="20"/>
              </w:rPr>
            </w:pPr>
            <w:r w:rsidRPr="00D2258D">
              <w:rPr>
                <w:rFonts w:cstheme="minorHAnsi"/>
                <w:sz w:val="20"/>
                <w:szCs w:val="20"/>
              </w:rPr>
              <w:t>Approving Manager,</w:t>
            </w:r>
            <w:r w:rsidR="00BF4471">
              <w:rPr>
                <w:rFonts w:cstheme="minorHAnsi"/>
                <w:sz w:val="20"/>
                <w:szCs w:val="20"/>
              </w:rPr>
              <w:t xml:space="preserve"> </w:t>
            </w:r>
            <w:r w:rsidR="00BF4471" w:rsidRPr="005D2D12">
              <w:rPr>
                <w:rFonts w:cstheme="minorHAnsi"/>
                <w:sz w:val="20"/>
                <w:szCs w:val="20"/>
              </w:rPr>
              <w:t>Buyer, Project Manager</w:t>
            </w:r>
          </w:p>
        </w:tc>
        <w:tc>
          <w:tcPr>
            <w:tcW w:w="4230" w:type="dxa"/>
            <w:shd w:val="clear" w:color="auto" w:fill="FFFFFF" w:themeFill="background1"/>
          </w:tcPr>
          <w:p w14:paraId="122CB943" w14:textId="7173A075" w:rsidR="0016462F" w:rsidRPr="00D2258D" w:rsidRDefault="0016462F" w:rsidP="00CF32EB">
            <w:pPr>
              <w:spacing w:after="0" w:line="240" w:lineRule="auto"/>
              <w:rPr>
                <w:rFonts w:cstheme="minorHAnsi"/>
                <w:sz w:val="20"/>
                <w:szCs w:val="20"/>
              </w:rPr>
            </w:pPr>
          </w:p>
        </w:tc>
      </w:tr>
      <w:tr w:rsidR="00B27D72" w:rsidRPr="00EF3982" w14:paraId="0ACB12C4" w14:textId="77777777" w:rsidTr="363CA695">
        <w:trPr>
          <w:trHeight w:val="20"/>
        </w:trPr>
        <w:tc>
          <w:tcPr>
            <w:tcW w:w="355" w:type="dxa"/>
            <w:shd w:val="clear" w:color="auto" w:fill="FFFFFF" w:themeFill="background1"/>
          </w:tcPr>
          <w:p w14:paraId="21B95E6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525" w:type="dxa"/>
            <w:shd w:val="clear" w:color="auto" w:fill="FFFFFF" w:themeFill="background1"/>
            <w:tcMar>
              <w:top w:w="0" w:type="dxa"/>
              <w:left w:w="108" w:type="dxa"/>
              <w:bottom w:w="0" w:type="dxa"/>
              <w:right w:w="108" w:type="dxa"/>
            </w:tcMar>
          </w:tcPr>
          <w:p w14:paraId="5F67BA2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Initiate vendor registration and contract creation</w:t>
            </w:r>
          </w:p>
        </w:tc>
        <w:tc>
          <w:tcPr>
            <w:tcW w:w="2880" w:type="dxa"/>
            <w:shd w:val="clear" w:color="auto" w:fill="FFFFFF" w:themeFill="background1"/>
            <w:tcMar>
              <w:top w:w="0" w:type="dxa"/>
              <w:left w:w="108" w:type="dxa"/>
              <w:bottom w:w="0" w:type="dxa"/>
              <w:right w:w="108" w:type="dxa"/>
            </w:tcMar>
          </w:tcPr>
          <w:p w14:paraId="295E8753"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r w:rsidRPr="00D2258D">
              <w:rPr>
                <w:rStyle w:val="FootnoteReference"/>
                <w:rFonts w:cstheme="minorHAnsi"/>
                <w:sz w:val="20"/>
                <w:szCs w:val="20"/>
              </w:rPr>
              <w:footnoteReference w:id="45"/>
            </w:r>
          </w:p>
          <w:p w14:paraId="2A7A445C"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00FD26ED" w14:textId="4B26814C" w:rsidR="0016462F" w:rsidRPr="00D2258D" w:rsidRDefault="0016462F" w:rsidP="002E7C0C">
            <w:pPr>
              <w:keepNext/>
              <w:widowControl w:val="0"/>
              <w:autoSpaceDE w:val="0"/>
              <w:autoSpaceDN w:val="0"/>
              <w:spacing w:after="0" w:line="240" w:lineRule="auto"/>
              <w:ind w:right="20"/>
              <w:rPr>
                <w:sz w:val="20"/>
                <w:szCs w:val="20"/>
              </w:rPr>
            </w:pPr>
          </w:p>
        </w:tc>
      </w:tr>
      <w:tr w:rsidR="00B27D72" w:rsidRPr="00EF3982" w14:paraId="4F4691BB" w14:textId="77777777" w:rsidTr="363CA695">
        <w:trPr>
          <w:trHeight w:val="20"/>
        </w:trPr>
        <w:tc>
          <w:tcPr>
            <w:tcW w:w="355" w:type="dxa"/>
            <w:shd w:val="clear" w:color="auto" w:fill="FFFFFF" w:themeFill="background1"/>
          </w:tcPr>
          <w:p w14:paraId="2B9B935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525" w:type="dxa"/>
            <w:shd w:val="clear" w:color="auto" w:fill="FFFFFF" w:themeFill="background1"/>
            <w:tcMar>
              <w:top w:w="0" w:type="dxa"/>
              <w:left w:w="108" w:type="dxa"/>
              <w:bottom w:w="0" w:type="dxa"/>
              <w:right w:w="108" w:type="dxa"/>
            </w:tcMar>
            <w:hideMark/>
          </w:tcPr>
          <w:p w14:paraId="0A6F4C8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Level 1 approval of supplier registration request</w:t>
            </w:r>
          </w:p>
        </w:tc>
        <w:tc>
          <w:tcPr>
            <w:tcW w:w="2880" w:type="dxa"/>
            <w:shd w:val="clear" w:color="auto" w:fill="FFFFFF" w:themeFill="background1"/>
            <w:tcMar>
              <w:top w:w="0" w:type="dxa"/>
              <w:left w:w="108" w:type="dxa"/>
              <w:bottom w:w="0" w:type="dxa"/>
              <w:right w:w="108" w:type="dxa"/>
            </w:tcMar>
            <w:hideMark/>
          </w:tcPr>
          <w:p w14:paraId="6AD88F4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Supplier Maintenance level 1 </w:t>
            </w:r>
          </w:p>
          <w:p w14:paraId="10FE8FDF" w14:textId="77777777" w:rsidR="0016462F" w:rsidRPr="00D2258D" w:rsidRDefault="0016462F" w:rsidP="00CF32EB">
            <w:pPr>
              <w:spacing w:after="0" w:line="240" w:lineRule="auto"/>
              <w:rPr>
                <w:rFonts w:cstheme="minorHAnsi"/>
                <w:sz w:val="20"/>
                <w:szCs w:val="20"/>
              </w:rPr>
            </w:pPr>
          </w:p>
        </w:tc>
        <w:tc>
          <w:tcPr>
            <w:tcW w:w="4230" w:type="dxa"/>
            <w:shd w:val="clear" w:color="auto" w:fill="FFFFFF" w:themeFill="background1"/>
          </w:tcPr>
          <w:p w14:paraId="10E228DE" w14:textId="77777777" w:rsidR="0016462F" w:rsidRPr="00D2258D" w:rsidRDefault="0016462F" w:rsidP="00CF32EB">
            <w:pPr>
              <w:spacing w:after="0" w:line="240" w:lineRule="auto"/>
              <w:rPr>
                <w:rFonts w:cstheme="minorHAnsi"/>
                <w:sz w:val="20"/>
                <w:szCs w:val="20"/>
              </w:rPr>
            </w:pPr>
          </w:p>
        </w:tc>
      </w:tr>
      <w:tr w:rsidR="00B27D72" w:rsidRPr="00EF3982" w14:paraId="33577DA5" w14:textId="77777777" w:rsidTr="363CA695">
        <w:trPr>
          <w:trHeight w:val="20"/>
        </w:trPr>
        <w:tc>
          <w:tcPr>
            <w:tcW w:w="355" w:type="dxa"/>
            <w:shd w:val="clear" w:color="auto" w:fill="FFFFFF" w:themeFill="background1"/>
          </w:tcPr>
          <w:p w14:paraId="61519EE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525" w:type="dxa"/>
            <w:shd w:val="clear" w:color="auto" w:fill="FFFFFF" w:themeFill="background1"/>
            <w:tcMar>
              <w:top w:w="0" w:type="dxa"/>
              <w:left w:w="108" w:type="dxa"/>
              <w:bottom w:w="0" w:type="dxa"/>
              <w:right w:w="108" w:type="dxa"/>
            </w:tcMar>
            <w:hideMark/>
          </w:tcPr>
          <w:p w14:paraId="1349FA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Level 2 approval of supplier registration request</w:t>
            </w:r>
          </w:p>
        </w:tc>
        <w:tc>
          <w:tcPr>
            <w:tcW w:w="2880" w:type="dxa"/>
            <w:shd w:val="clear" w:color="auto" w:fill="FFFFFF" w:themeFill="background1"/>
            <w:tcMar>
              <w:top w:w="0" w:type="dxa"/>
              <w:left w:w="108" w:type="dxa"/>
              <w:bottom w:w="0" w:type="dxa"/>
              <w:right w:w="108" w:type="dxa"/>
            </w:tcMar>
            <w:hideMark/>
          </w:tcPr>
          <w:p w14:paraId="18145BE1" w14:textId="4E611C3C"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Supplier Approver level 2 </w:t>
            </w:r>
            <w:r w:rsidR="000E34B7" w:rsidRPr="00D2258D">
              <w:rPr>
                <w:rFonts w:cstheme="minorHAnsi"/>
                <w:sz w:val="20"/>
                <w:szCs w:val="20"/>
              </w:rPr>
              <w:t>(BMS/GSSC)</w:t>
            </w:r>
          </w:p>
        </w:tc>
        <w:tc>
          <w:tcPr>
            <w:tcW w:w="4230" w:type="dxa"/>
            <w:shd w:val="clear" w:color="auto" w:fill="FFFFFF" w:themeFill="background1"/>
          </w:tcPr>
          <w:p w14:paraId="60157C89" w14:textId="465B6680" w:rsidR="0016462F" w:rsidRPr="00D2258D" w:rsidRDefault="000E34B7" w:rsidP="00CF32EB">
            <w:pPr>
              <w:spacing w:after="0" w:line="240" w:lineRule="auto"/>
              <w:rPr>
                <w:rFonts w:cstheme="minorHAnsi"/>
                <w:sz w:val="20"/>
                <w:szCs w:val="20"/>
              </w:rPr>
            </w:pPr>
            <w:r w:rsidRPr="00D2258D">
              <w:rPr>
                <w:rFonts w:cstheme="minorHAnsi"/>
                <w:sz w:val="20"/>
                <w:szCs w:val="20"/>
              </w:rPr>
              <w:t xml:space="preserve">L2 approvals are </w:t>
            </w:r>
            <w:proofErr w:type="gramStart"/>
            <w:r w:rsidRPr="00D2258D">
              <w:rPr>
                <w:rFonts w:cstheme="minorHAnsi"/>
                <w:b/>
                <w:bCs/>
                <w:sz w:val="20"/>
                <w:szCs w:val="20"/>
              </w:rPr>
              <w:t>done</w:t>
            </w:r>
            <w:proofErr w:type="gramEnd"/>
            <w:r w:rsidRPr="00D2258D">
              <w:rPr>
                <w:rFonts w:cstheme="minorHAnsi"/>
                <w:b/>
                <w:bCs/>
                <w:sz w:val="20"/>
                <w:szCs w:val="20"/>
              </w:rPr>
              <w:t xml:space="preserve"> by BMS/GSSC for all offices</w:t>
            </w:r>
            <w:r w:rsidR="00356A22" w:rsidRPr="00D2258D">
              <w:rPr>
                <w:rFonts w:cstheme="minorHAnsi"/>
                <w:b/>
                <w:bCs/>
                <w:sz w:val="20"/>
                <w:szCs w:val="20"/>
              </w:rPr>
              <w:t>/units</w:t>
            </w:r>
            <w:r w:rsidRPr="00D2258D">
              <w:rPr>
                <w:rFonts w:cstheme="minorHAnsi"/>
                <w:sz w:val="20"/>
                <w:szCs w:val="20"/>
              </w:rPr>
              <w:t>, unless an exception has been granted by the Treasurer/CFO for select HQ offices</w:t>
            </w:r>
            <w:r w:rsidR="00356A22" w:rsidRPr="00D2258D">
              <w:rPr>
                <w:rFonts w:cstheme="minorHAnsi"/>
                <w:sz w:val="20"/>
                <w:szCs w:val="20"/>
              </w:rPr>
              <w:t>/units</w:t>
            </w:r>
          </w:p>
        </w:tc>
      </w:tr>
      <w:tr w:rsidR="00B27D72" w:rsidRPr="00EF3982" w14:paraId="3B4EEC68" w14:textId="77777777" w:rsidTr="363CA695">
        <w:trPr>
          <w:trHeight w:val="20"/>
        </w:trPr>
        <w:tc>
          <w:tcPr>
            <w:tcW w:w="355" w:type="dxa"/>
            <w:shd w:val="clear" w:color="auto" w:fill="FFFFFF" w:themeFill="background1"/>
          </w:tcPr>
          <w:p w14:paraId="3E7BEFA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525" w:type="dxa"/>
            <w:shd w:val="clear" w:color="auto" w:fill="FFFFFF" w:themeFill="background1"/>
            <w:tcMar>
              <w:top w:w="0" w:type="dxa"/>
              <w:left w:w="108" w:type="dxa"/>
              <w:bottom w:w="0" w:type="dxa"/>
              <w:right w:w="108" w:type="dxa"/>
            </w:tcMar>
            <w:hideMark/>
          </w:tcPr>
          <w:p w14:paraId="33A64C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PO and contract</w:t>
            </w:r>
          </w:p>
        </w:tc>
        <w:tc>
          <w:tcPr>
            <w:tcW w:w="2880" w:type="dxa"/>
            <w:shd w:val="clear" w:color="auto" w:fill="FFFFFF" w:themeFill="background1"/>
            <w:tcMar>
              <w:top w:w="0" w:type="dxa"/>
              <w:left w:w="108" w:type="dxa"/>
              <w:bottom w:w="0" w:type="dxa"/>
              <w:right w:w="108" w:type="dxa"/>
            </w:tcMar>
            <w:hideMark/>
          </w:tcPr>
          <w:p w14:paraId="0DE34B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Buyer</w:t>
            </w:r>
          </w:p>
        </w:tc>
        <w:tc>
          <w:tcPr>
            <w:tcW w:w="4230" w:type="dxa"/>
            <w:shd w:val="clear" w:color="auto" w:fill="FFFFFF" w:themeFill="background1"/>
          </w:tcPr>
          <w:p w14:paraId="63C29805" w14:textId="77777777" w:rsidR="0016462F" w:rsidRPr="00D2258D" w:rsidRDefault="0016462F" w:rsidP="00CF32EB">
            <w:pPr>
              <w:spacing w:after="0" w:line="240" w:lineRule="auto"/>
              <w:rPr>
                <w:rFonts w:cstheme="minorHAnsi"/>
                <w:sz w:val="20"/>
                <w:szCs w:val="20"/>
              </w:rPr>
            </w:pPr>
          </w:p>
        </w:tc>
      </w:tr>
      <w:tr w:rsidR="00B27D72" w:rsidRPr="00EF3982" w14:paraId="4616BB23" w14:textId="77777777" w:rsidTr="363CA695">
        <w:trPr>
          <w:trHeight w:val="20"/>
        </w:trPr>
        <w:tc>
          <w:tcPr>
            <w:tcW w:w="355" w:type="dxa"/>
            <w:shd w:val="clear" w:color="auto" w:fill="FFFFFF" w:themeFill="background1"/>
          </w:tcPr>
          <w:p w14:paraId="5DD01D8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525" w:type="dxa"/>
            <w:shd w:val="clear" w:color="auto" w:fill="FFFFFF" w:themeFill="background1"/>
            <w:tcMar>
              <w:top w:w="0" w:type="dxa"/>
              <w:left w:w="108" w:type="dxa"/>
              <w:bottom w:w="0" w:type="dxa"/>
              <w:right w:w="108" w:type="dxa"/>
            </w:tcMar>
            <w:hideMark/>
          </w:tcPr>
          <w:p w14:paraId="1409DCC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PO and contract</w:t>
            </w:r>
          </w:p>
        </w:tc>
        <w:tc>
          <w:tcPr>
            <w:tcW w:w="2880" w:type="dxa"/>
            <w:shd w:val="clear" w:color="auto" w:fill="FFFFFF" w:themeFill="background1"/>
            <w:tcMar>
              <w:top w:w="0" w:type="dxa"/>
              <w:left w:w="108" w:type="dxa"/>
              <w:bottom w:w="0" w:type="dxa"/>
              <w:right w:w="108" w:type="dxa"/>
            </w:tcMar>
            <w:hideMark/>
          </w:tcPr>
          <w:p w14:paraId="59666C45" w14:textId="38DE22CA"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Managers in each office</w:t>
            </w:r>
            <w:r w:rsidR="00356A22" w:rsidRPr="00D2258D">
              <w:rPr>
                <w:rFonts w:cstheme="minorHAnsi"/>
                <w:sz w:val="20"/>
                <w:szCs w:val="20"/>
              </w:rPr>
              <w:t>/unit</w:t>
            </w:r>
            <w:r w:rsidRPr="00D2258D">
              <w:rPr>
                <w:rFonts w:cstheme="minorHAnsi"/>
                <w:sz w:val="20"/>
                <w:szCs w:val="20"/>
              </w:rPr>
              <w:t>, as per ICF thresholds</w:t>
            </w:r>
          </w:p>
        </w:tc>
        <w:tc>
          <w:tcPr>
            <w:tcW w:w="4230" w:type="dxa"/>
            <w:shd w:val="clear" w:color="auto" w:fill="FFFFFF" w:themeFill="background1"/>
          </w:tcPr>
          <w:p w14:paraId="4954679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A’ functions.</w:t>
            </w:r>
          </w:p>
        </w:tc>
      </w:tr>
      <w:tr w:rsidR="00B27D72" w:rsidRPr="00EF3982" w14:paraId="731ED825" w14:textId="77777777" w:rsidTr="363CA695">
        <w:trPr>
          <w:trHeight w:val="20"/>
        </w:trPr>
        <w:tc>
          <w:tcPr>
            <w:tcW w:w="355" w:type="dxa"/>
            <w:shd w:val="clear" w:color="auto" w:fill="FFFFFF" w:themeFill="background1"/>
          </w:tcPr>
          <w:p w14:paraId="7115F8C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10</w:t>
            </w:r>
          </w:p>
        </w:tc>
        <w:tc>
          <w:tcPr>
            <w:tcW w:w="2525" w:type="dxa"/>
            <w:shd w:val="clear" w:color="auto" w:fill="FFFFFF" w:themeFill="background1"/>
            <w:tcMar>
              <w:top w:w="0" w:type="dxa"/>
              <w:left w:w="108" w:type="dxa"/>
              <w:bottom w:w="0" w:type="dxa"/>
              <w:right w:w="108" w:type="dxa"/>
            </w:tcMar>
            <w:hideMark/>
          </w:tcPr>
          <w:p w14:paraId="72F65DB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Record receipt of goods, services and works in Quantum</w:t>
            </w:r>
          </w:p>
        </w:tc>
        <w:tc>
          <w:tcPr>
            <w:tcW w:w="2880" w:type="dxa"/>
            <w:shd w:val="clear" w:color="auto" w:fill="FFFFFF" w:themeFill="background1"/>
            <w:tcMar>
              <w:top w:w="0" w:type="dxa"/>
              <w:left w:w="108" w:type="dxa"/>
              <w:bottom w:w="0" w:type="dxa"/>
              <w:right w:w="108" w:type="dxa"/>
            </w:tcMar>
            <w:hideMark/>
          </w:tcPr>
          <w:p w14:paraId="2D9E29C6" w14:textId="0AB7ADC4" w:rsidR="0016462F" w:rsidRPr="00D2258D" w:rsidRDefault="0016462F" w:rsidP="363CA695">
            <w:pPr>
              <w:spacing w:after="0" w:line="240" w:lineRule="auto"/>
              <w:rPr>
                <w:sz w:val="20"/>
                <w:szCs w:val="20"/>
              </w:rPr>
            </w:pPr>
            <w:r w:rsidRPr="00D2258D">
              <w:rPr>
                <w:sz w:val="20"/>
                <w:szCs w:val="20"/>
              </w:rPr>
              <w:t>Project Manager, or delegate holding Expense Receiver Supplementary Role</w:t>
            </w:r>
            <w:r w:rsidR="000E34B7" w:rsidRPr="00D2258D">
              <w:rPr>
                <w:sz w:val="20"/>
                <w:szCs w:val="20"/>
              </w:rPr>
              <w:t xml:space="preserve">. </w:t>
            </w:r>
            <w:r w:rsidRPr="00D2258D">
              <w:rPr>
                <w:sz w:val="20"/>
                <w:szCs w:val="20"/>
              </w:rPr>
              <w:t xml:space="preserve">Buyer </w:t>
            </w:r>
            <w:proofErr w:type="gramStart"/>
            <w:r w:rsidRPr="00D2258D">
              <w:rPr>
                <w:sz w:val="20"/>
                <w:szCs w:val="20"/>
              </w:rPr>
              <w:t>cannot</w:t>
            </w:r>
            <w:proofErr w:type="gramEnd"/>
            <w:r w:rsidRPr="00D2258D">
              <w:rPr>
                <w:sz w:val="20"/>
                <w:szCs w:val="20"/>
              </w:rPr>
              <w:t xml:space="preserve"> receipt.</w:t>
            </w:r>
          </w:p>
        </w:tc>
        <w:tc>
          <w:tcPr>
            <w:tcW w:w="4230" w:type="dxa"/>
            <w:shd w:val="clear" w:color="auto" w:fill="FFFFFF" w:themeFill="background1"/>
          </w:tcPr>
          <w:p w14:paraId="27B558DD" w14:textId="46C9808C" w:rsidR="0016462F" w:rsidRPr="00D2258D" w:rsidRDefault="0016462F" w:rsidP="363CA695">
            <w:pPr>
              <w:spacing w:after="0" w:line="240" w:lineRule="auto"/>
              <w:rPr>
                <w:sz w:val="20"/>
                <w:szCs w:val="20"/>
              </w:rPr>
            </w:pPr>
            <w:r w:rsidRPr="00D2258D">
              <w:rPr>
                <w:sz w:val="20"/>
                <w:szCs w:val="20"/>
              </w:rPr>
              <w:t>Project Manager may delegate receipting in Quantum but retains overall accountability for completeness &amp; accuracy.</w:t>
            </w:r>
          </w:p>
        </w:tc>
      </w:tr>
      <w:tr w:rsidR="00B27D72" w:rsidRPr="00EF3982" w14:paraId="1D18A9A0" w14:textId="77777777" w:rsidTr="363CA695">
        <w:trPr>
          <w:trHeight w:val="20"/>
        </w:trPr>
        <w:tc>
          <w:tcPr>
            <w:tcW w:w="355" w:type="dxa"/>
            <w:shd w:val="clear" w:color="auto" w:fill="FFFFFF" w:themeFill="background1"/>
          </w:tcPr>
          <w:p w14:paraId="0156F6A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11</w:t>
            </w:r>
          </w:p>
        </w:tc>
        <w:tc>
          <w:tcPr>
            <w:tcW w:w="2525" w:type="dxa"/>
            <w:shd w:val="clear" w:color="auto" w:fill="FFFFFF" w:themeFill="background1"/>
            <w:tcMar>
              <w:top w:w="0" w:type="dxa"/>
              <w:left w:w="108" w:type="dxa"/>
              <w:bottom w:w="0" w:type="dxa"/>
              <w:right w:w="108" w:type="dxa"/>
            </w:tcMar>
            <w:hideMark/>
          </w:tcPr>
          <w:p w14:paraId="0042592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invoice</w:t>
            </w:r>
          </w:p>
        </w:tc>
        <w:tc>
          <w:tcPr>
            <w:tcW w:w="2880" w:type="dxa"/>
            <w:shd w:val="clear" w:color="auto" w:fill="FFFFFF" w:themeFill="background1"/>
            <w:tcMar>
              <w:top w:w="0" w:type="dxa"/>
              <w:left w:w="108" w:type="dxa"/>
              <w:bottom w:w="0" w:type="dxa"/>
              <w:right w:w="108" w:type="dxa"/>
            </w:tcMar>
            <w:hideMark/>
          </w:tcPr>
          <w:p w14:paraId="0C626B16" w14:textId="77777777" w:rsidR="0016462F" w:rsidRPr="00D2258D" w:rsidRDefault="0016462F">
            <w:pPr>
              <w:pStyle w:val="ListParagraph"/>
              <w:numPr>
                <w:ilvl w:val="0"/>
                <w:numId w:val="28"/>
              </w:numPr>
              <w:spacing w:after="0" w:line="240" w:lineRule="auto"/>
              <w:rPr>
                <w:rFonts w:cstheme="minorHAnsi"/>
                <w:sz w:val="20"/>
                <w:szCs w:val="20"/>
              </w:rPr>
            </w:pPr>
            <w:r w:rsidRPr="00D2258D">
              <w:rPr>
                <w:rFonts w:cstheme="minorHAnsi"/>
                <w:sz w:val="20"/>
                <w:szCs w:val="20"/>
              </w:rPr>
              <w:t xml:space="preserve">Supplier in Supplier Portal </w:t>
            </w:r>
            <w:r w:rsidRPr="00D2258D">
              <w:rPr>
                <w:rFonts w:cstheme="minorHAnsi"/>
                <w:b/>
                <w:bCs/>
                <w:sz w:val="20"/>
                <w:szCs w:val="20"/>
              </w:rPr>
              <w:t>(recommended)</w:t>
            </w:r>
          </w:p>
          <w:p w14:paraId="36B2E207" w14:textId="77777777" w:rsidR="0016462F" w:rsidRPr="00D2258D" w:rsidRDefault="0016462F">
            <w:pPr>
              <w:pStyle w:val="ListParagraph"/>
              <w:numPr>
                <w:ilvl w:val="0"/>
                <w:numId w:val="28"/>
              </w:numPr>
              <w:spacing w:after="0" w:line="240" w:lineRule="auto"/>
              <w:rPr>
                <w:rFonts w:cstheme="minorHAnsi"/>
                <w:sz w:val="20"/>
                <w:szCs w:val="20"/>
              </w:rPr>
            </w:pPr>
            <w:r w:rsidRPr="00D2258D">
              <w:rPr>
                <w:rFonts w:cstheme="minorHAnsi"/>
                <w:sz w:val="20"/>
                <w:szCs w:val="20"/>
              </w:rPr>
              <w:t xml:space="preserve">Only if a supplier cannot create an invoice in the Supplier Portal: Finance User </w:t>
            </w:r>
          </w:p>
        </w:tc>
        <w:tc>
          <w:tcPr>
            <w:tcW w:w="4230" w:type="dxa"/>
            <w:shd w:val="clear" w:color="auto" w:fill="FFFFFF" w:themeFill="background1"/>
          </w:tcPr>
          <w:p w14:paraId="0795E902" w14:textId="7C13F1F0" w:rsidR="0016462F" w:rsidRPr="00D2258D" w:rsidRDefault="0016462F" w:rsidP="00CF32EB">
            <w:pPr>
              <w:spacing w:after="0" w:line="240" w:lineRule="auto"/>
              <w:rPr>
                <w:rFonts w:cstheme="minorHAnsi"/>
                <w:sz w:val="20"/>
                <w:szCs w:val="20"/>
              </w:rPr>
            </w:pPr>
            <w:r w:rsidRPr="00D2258D">
              <w:rPr>
                <w:rFonts w:cstheme="minorHAnsi"/>
                <w:sz w:val="20"/>
                <w:szCs w:val="20"/>
              </w:rPr>
              <w:t>For smaller offices</w:t>
            </w:r>
            <w:r w:rsidR="00356A22" w:rsidRPr="00D2258D">
              <w:rPr>
                <w:rFonts w:cstheme="minorHAnsi"/>
                <w:sz w:val="20"/>
                <w:szCs w:val="20"/>
              </w:rPr>
              <w:t>/units</w:t>
            </w:r>
            <w:r w:rsidRPr="00D2258D">
              <w:rPr>
                <w:rFonts w:cstheme="minorHAnsi"/>
                <w:sz w:val="20"/>
                <w:szCs w:val="20"/>
              </w:rPr>
              <w:t xml:space="preserve"> or in peak processing periods, Finance Users may seek support from General Users (who can be assigned an “Invoice Creation” supplementary role), or as a last resort, Buyers.</w:t>
            </w:r>
          </w:p>
        </w:tc>
      </w:tr>
      <w:tr w:rsidR="00B27D72" w:rsidRPr="009B4AEE" w14:paraId="02E5C3E6" w14:textId="77777777" w:rsidTr="363CA695">
        <w:trPr>
          <w:trHeight w:val="20"/>
        </w:trPr>
        <w:tc>
          <w:tcPr>
            <w:tcW w:w="355" w:type="dxa"/>
            <w:shd w:val="clear" w:color="auto" w:fill="FFFFFF" w:themeFill="background1"/>
          </w:tcPr>
          <w:p w14:paraId="2B41B383" w14:textId="5EE38D27" w:rsidR="0016462F" w:rsidRPr="00D2258D" w:rsidRDefault="00B44BB3" w:rsidP="00CF32EB">
            <w:pPr>
              <w:spacing w:after="0" w:line="240" w:lineRule="auto"/>
              <w:rPr>
                <w:rFonts w:cstheme="minorHAnsi"/>
                <w:sz w:val="20"/>
                <w:szCs w:val="20"/>
              </w:rPr>
            </w:pPr>
            <w:r w:rsidRPr="00D2258D">
              <w:rPr>
                <w:rFonts w:cstheme="minorHAnsi"/>
                <w:sz w:val="20"/>
                <w:szCs w:val="20"/>
              </w:rPr>
              <w:lastRenderedPageBreak/>
              <w:t>12</w:t>
            </w:r>
          </w:p>
        </w:tc>
        <w:tc>
          <w:tcPr>
            <w:tcW w:w="2525" w:type="dxa"/>
            <w:shd w:val="clear" w:color="auto" w:fill="FFFFFF" w:themeFill="background1"/>
            <w:tcMar>
              <w:top w:w="0" w:type="dxa"/>
              <w:left w:w="108" w:type="dxa"/>
              <w:bottom w:w="0" w:type="dxa"/>
              <w:right w:w="108" w:type="dxa"/>
            </w:tcMar>
          </w:tcPr>
          <w:p w14:paraId="12908102" w14:textId="2CE5CA60" w:rsidR="0016462F" w:rsidRPr="00D2258D" w:rsidRDefault="00B44BB3" w:rsidP="00CF32EB">
            <w:pPr>
              <w:spacing w:after="0" w:line="240" w:lineRule="auto"/>
              <w:rPr>
                <w:rFonts w:cstheme="minorHAnsi"/>
                <w:sz w:val="20"/>
                <w:szCs w:val="20"/>
              </w:rPr>
            </w:pPr>
            <w:r w:rsidRPr="00D2258D">
              <w:rPr>
                <w:rFonts w:cstheme="minorHAnsi"/>
                <w:sz w:val="20"/>
                <w:szCs w:val="20"/>
              </w:rPr>
              <w:t xml:space="preserve">Validate funds check &amp; </w:t>
            </w:r>
            <w:r w:rsidR="0016462F" w:rsidRPr="00D2258D">
              <w:rPr>
                <w:rFonts w:cstheme="minorHAnsi"/>
                <w:sz w:val="20"/>
                <w:szCs w:val="20"/>
              </w:rPr>
              <w:t>Initiate invoice approval</w:t>
            </w:r>
          </w:p>
        </w:tc>
        <w:tc>
          <w:tcPr>
            <w:tcW w:w="2880" w:type="dxa"/>
            <w:shd w:val="clear" w:color="auto" w:fill="FFFFFF" w:themeFill="background1"/>
            <w:tcMar>
              <w:top w:w="0" w:type="dxa"/>
              <w:left w:w="108" w:type="dxa"/>
              <w:bottom w:w="0" w:type="dxa"/>
              <w:right w:w="108" w:type="dxa"/>
            </w:tcMar>
          </w:tcPr>
          <w:p w14:paraId="4CB1EA17" w14:textId="6D4817E4" w:rsidR="0016462F" w:rsidRPr="00D2258D" w:rsidRDefault="00B44BB3" w:rsidP="00CF32EB">
            <w:pPr>
              <w:spacing w:after="0" w:line="240" w:lineRule="auto"/>
              <w:rPr>
                <w:rFonts w:cstheme="minorHAnsi"/>
                <w:sz w:val="20"/>
                <w:szCs w:val="20"/>
              </w:rPr>
            </w:pPr>
            <w:r w:rsidRPr="00D2258D">
              <w:rPr>
                <w:rFonts w:cstheme="minorHAnsi"/>
                <w:sz w:val="20"/>
                <w:szCs w:val="20"/>
              </w:rPr>
              <w:t xml:space="preserve">Quantum automated process  </w:t>
            </w:r>
          </w:p>
        </w:tc>
        <w:tc>
          <w:tcPr>
            <w:tcW w:w="4230" w:type="dxa"/>
            <w:shd w:val="clear" w:color="auto" w:fill="FFFFFF" w:themeFill="background1"/>
          </w:tcPr>
          <w:p w14:paraId="60E0DAB9" w14:textId="5749D480" w:rsidR="00B44BB3" w:rsidRPr="00D2258D" w:rsidRDefault="00B44BB3" w:rsidP="363CA695">
            <w:pPr>
              <w:spacing w:after="0" w:line="240" w:lineRule="auto"/>
              <w:rPr>
                <w:rStyle w:val="cf01"/>
                <w:rFonts w:asciiTheme="minorHAnsi" w:hAnsiTheme="minorHAnsi" w:cstheme="minorBidi"/>
                <w:sz w:val="20"/>
                <w:szCs w:val="20"/>
              </w:rPr>
            </w:pPr>
            <w:r w:rsidRPr="00D2258D">
              <w:rPr>
                <w:rStyle w:val="cf01"/>
                <w:rFonts w:asciiTheme="minorHAnsi" w:hAnsiTheme="minorHAnsi" w:cstheme="minorBidi"/>
                <w:sz w:val="20"/>
                <w:szCs w:val="20"/>
              </w:rPr>
              <w:t>For PO based invoice, both validate funds check and initiate approval are done automatically either when the supplier submits the invoice through the portal or the CO user/external access user submits the invoice in Quantum.</w:t>
            </w:r>
          </w:p>
          <w:p w14:paraId="606E4F51" w14:textId="01C97FBE" w:rsidR="0016462F" w:rsidRPr="00D2258D" w:rsidRDefault="0016462F" w:rsidP="00CF32EB">
            <w:pPr>
              <w:spacing w:after="0" w:line="240" w:lineRule="auto"/>
              <w:rPr>
                <w:rFonts w:cstheme="minorHAnsi"/>
                <w:sz w:val="20"/>
                <w:szCs w:val="20"/>
              </w:rPr>
            </w:pPr>
          </w:p>
        </w:tc>
      </w:tr>
      <w:tr w:rsidR="00B27D72" w:rsidRPr="009B4AEE" w14:paraId="22C389E2" w14:textId="77777777" w:rsidTr="363CA695">
        <w:trPr>
          <w:trHeight w:val="20"/>
        </w:trPr>
        <w:tc>
          <w:tcPr>
            <w:tcW w:w="355" w:type="dxa"/>
            <w:shd w:val="clear" w:color="auto" w:fill="FFFFFF" w:themeFill="background1"/>
          </w:tcPr>
          <w:p w14:paraId="4399107E" w14:textId="2A1C76A3" w:rsidR="0016462F" w:rsidRPr="00D2258D" w:rsidRDefault="00B44BB3" w:rsidP="00CF32EB">
            <w:pPr>
              <w:spacing w:after="0" w:line="240" w:lineRule="auto"/>
              <w:rPr>
                <w:rFonts w:cstheme="minorHAnsi"/>
                <w:sz w:val="20"/>
                <w:szCs w:val="20"/>
              </w:rPr>
            </w:pPr>
            <w:r w:rsidRPr="00D2258D">
              <w:rPr>
                <w:rFonts w:cstheme="minorHAnsi"/>
                <w:sz w:val="20"/>
                <w:szCs w:val="20"/>
              </w:rPr>
              <w:t>13</w:t>
            </w:r>
          </w:p>
        </w:tc>
        <w:tc>
          <w:tcPr>
            <w:tcW w:w="2525" w:type="dxa"/>
            <w:shd w:val="clear" w:color="auto" w:fill="FFFFFF" w:themeFill="background1"/>
            <w:tcMar>
              <w:top w:w="0" w:type="dxa"/>
              <w:left w:w="108" w:type="dxa"/>
              <w:bottom w:w="0" w:type="dxa"/>
              <w:right w:w="108" w:type="dxa"/>
            </w:tcMar>
          </w:tcPr>
          <w:p w14:paraId="621A859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Perform 3-way match</w:t>
            </w:r>
          </w:p>
        </w:tc>
        <w:tc>
          <w:tcPr>
            <w:tcW w:w="2880" w:type="dxa"/>
            <w:shd w:val="clear" w:color="auto" w:fill="FFFFFF" w:themeFill="background1"/>
            <w:tcMar>
              <w:top w:w="0" w:type="dxa"/>
              <w:left w:w="108" w:type="dxa"/>
              <w:bottom w:w="0" w:type="dxa"/>
              <w:right w:w="108" w:type="dxa"/>
            </w:tcMar>
          </w:tcPr>
          <w:p w14:paraId="2E84F90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3E53753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matches PO-receipt-invoice</w:t>
            </w:r>
            <w:r w:rsidRPr="00D2258D">
              <w:rPr>
                <w:rStyle w:val="FootnoteReference"/>
                <w:rFonts w:cstheme="minorHAnsi"/>
                <w:sz w:val="20"/>
                <w:szCs w:val="20"/>
              </w:rPr>
              <w:footnoteReference w:id="46"/>
            </w:r>
            <w:r w:rsidRPr="00D2258D">
              <w:rPr>
                <w:rFonts w:cstheme="minorHAnsi"/>
                <w:sz w:val="20"/>
                <w:szCs w:val="20"/>
              </w:rPr>
              <w:t>.</w:t>
            </w:r>
          </w:p>
        </w:tc>
      </w:tr>
      <w:tr w:rsidR="00B27D72" w:rsidRPr="009B4AEE" w14:paraId="0530663E" w14:textId="77777777" w:rsidTr="363CA695">
        <w:trPr>
          <w:trHeight w:val="20"/>
        </w:trPr>
        <w:tc>
          <w:tcPr>
            <w:tcW w:w="355" w:type="dxa"/>
            <w:shd w:val="clear" w:color="auto" w:fill="FFFFFF" w:themeFill="background1"/>
          </w:tcPr>
          <w:p w14:paraId="428D559A" w14:textId="752A0A51" w:rsidR="0016462F" w:rsidRPr="00D2258D" w:rsidRDefault="00B44BB3" w:rsidP="00CF32EB">
            <w:pPr>
              <w:spacing w:after="0" w:line="240" w:lineRule="auto"/>
              <w:rPr>
                <w:rFonts w:cstheme="minorHAnsi"/>
                <w:sz w:val="20"/>
                <w:szCs w:val="20"/>
              </w:rPr>
            </w:pPr>
            <w:r w:rsidRPr="00D2258D">
              <w:rPr>
                <w:rFonts w:cstheme="minorHAnsi"/>
                <w:sz w:val="20"/>
                <w:szCs w:val="20"/>
              </w:rPr>
              <w:t>14</w:t>
            </w:r>
          </w:p>
        </w:tc>
        <w:tc>
          <w:tcPr>
            <w:tcW w:w="2525" w:type="dxa"/>
            <w:shd w:val="clear" w:color="auto" w:fill="FFFFFF" w:themeFill="background1"/>
            <w:tcMar>
              <w:top w:w="0" w:type="dxa"/>
              <w:left w:w="108" w:type="dxa"/>
              <w:bottom w:w="0" w:type="dxa"/>
              <w:right w:w="108" w:type="dxa"/>
            </w:tcMar>
          </w:tcPr>
          <w:p w14:paraId="4319DF1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Resolve 3-way match validation errors </w:t>
            </w:r>
          </w:p>
        </w:tc>
        <w:tc>
          <w:tcPr>
            <w:tcW w:w="2880" w:type="dxa"/>
            <w:shd w:val="clear" w:color="auto" w:fill="FFFFFF" w:themeFill="background1"/>
            <w:tcMar>
              <w:top w:w="0" w:type="dxa"/>
              <w:left w:w="108" w:type="dxa"/>
              <w:bottom w:w="0" w:type="dxa"/>
              <w:right w:w="108" w:type="dxa"/>
            </w:tcMar>
          </w:tcPr>
          <w:p w14:paraId="2FAF79DB" w14:textId="197B77C4"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Project Manager </w:t>
            </w:r>
            <w:r w:rsidR="000E34B7" w:rsidRPr="00D2258D">
              <w:rPr>
                <w:rFonts w:cstheme="minorHAnsi"/>
                <w:sz w:val="20"/>
                <w:szCs w:val="20"/>
              </w:rPr>
              <w:t xml:space="preserve">or </w:t>
            </w:r>
            <w:r w:rsidRPr="00D2258D">
              <w:rPr>
                <w:rFonts w:cstheme="minorHAnsi"/>
                <w:sz w:val="20"/>
                <w:szCs w:val="20"/>
              </w:rPr>
              <w:t>Finance User</w:t>
            </w:r>
            <w:r w:rsidR="00491939" w:rsidRPr="00D2258D">
              <w:rPr>
                <w:rFonts w:cstheme="minorHAnsi"/>
                <w:sz w:val="20"/>
                <w:szCs w:val="20"/>
              </w:rPr>
              <w:t xml:space="preserve"> </w:t>
            </w:r>
          </w:p>
        </w:tc>
        <w:tc>
          <w:tcPr>
            <w:tcW w:w="4230" w:type="dxa"/>
            <w:shd w:val="clear" w:color="auto" w:fill="FFFFFF" w:themeFill="background1"/>
          </w:tcPr>
          <w:p w14:paraId="79E299BA" w14:textId="2167E187" w:rsidR="0016462F" w:rsidRPr="00D2258D" w:rsidRDefault="000E34B7" w:rsidP="00CF32EB">
            <w:pPr>
              <w:spacing w:after="0" w:line="240" w:lineRule="auto"/>
              <w:rPr>
                <w:rFonts w:cstheme="minorHAnsi"/>
                <w:sz w:val="20"/>
                <w:szCs w:val="20"/>
              </w:rPr>
            </w:pPr>
            <w:r w:rsidRPr="00D2258D">
              <w:rPr>
                <w:rFonts w:cstheme="minorHAnsi"/>
                <w:sz w:val="20"/>
                <w:szCs w:val="20"/>
              </w:rPr>
              <w:t>To correct receipting (PM) or invoice details by returning to supplier (FU)</w:t>
            </w:r>
          </w:p>
        </w:tc>
      </w:tr>
      <w:tr w:rsidR="00B27D72" w:rsidRPr="009B4AEE" w14:paraId="0EAF9BD5" w14:textId="77777777" w:rsidTr="363CA695">
        <w:trPr>
          <w:trHeight w:val="20"/>
        </w:trPr>
        <w:tc>
          <w:tcPr>
            <w:tcW w:w="355" w:type="dxa"/>
            <w:shd w:val="clear" w:color="auto" w:fill="FFFFFF" w:themeFill="background1"/>
          </w:tcPr>
          <w:p w14:paraId="2CCEFAC4" w14:textId="68DABFB5" w:rsidR="0016462F" w:rsidRPr="00D2258D" w:rsidRDefault="00B44BB3" w:rsidP="00CF32EB">
            <w:pPr>
              <w:spacing w:after="0" w:line="240" w:lineRule="auto"/>
              <w:rPr>
                <w:rFonts w:cstheme="minorHAnsi"/>
                <w:sz w:val="20"/>
                <w:szCs w:val="20"/>
              </w:rPr>
            </w:pPr>
            <w:r w:rsidRPr="00D2258D">
              <w:rPr>
                <w:rFonts w:cstheme="minorHAnsi"/>
                <w:sz w:val="20"/>
                <w:szCs w:val="20"/>
              </w:rPr>
              <w:t>15</w:t>
            </w:r>
          </w:p>
        </w:tc>
        <w:tc>
          <w:tcPr>
            <w:tcW w:w="2525" w:type="dxa"/>
            <w:shd w:val="clear" w:color="auto" w:fill="FFFFFF" w:themeFill="background1"/>
            <w:tcMar>
              <w:top w:w="0" w:type="dxa"/>
              <w:left w:w="108" w:type="dxa"/>
              <w:bottom w:w="0" w:type="dxa"/>
              <w:right w:w="108" w:type="dxa"/>
            </w:tcMar>
          </w:tcPr>
          <w:p w14:paraId="1B770B6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Approve 3-way match overrides</w:t>
            </w:r>
          </w:p>
        </w:tc>
        <w:tc>
          <w:tcPr>
            <w:tcW w:w="2880" w:type="dxa"/>
            <w:shd w:val="clear" w:color="auto" w:fill="FFFFFF" w:themeFill="background1"/>
            <w:tcMar>
              <w:top w:w="0" w:type="dxa"/>
              <w:left w:w="108" w:type="dxa"/>
              <w:bottom w:w="0" w:type="dxa"/>
              <w:right w:w="108" w:type="dxa"/>
            </w:tcMar>
          </w:tcPr>
          <w:p w14:paraId="40FDD606" w14:textId="294553A3"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Managers in each office</w:t>
            </w:r>
            <w:r w:rsidR="00356A22" w:rsidRPr="00D2258D">
              <w:rPr>
                <w:rFonts w:cstheme="minorHAnsi"/>
                <w:sz w:val="20"/>
                <w:szCs w:val="20"/>
              </w:rPr>
              <w:t>/unit</w:t>
            </w:r>
            <w:r w:rsidRPr="00D2258D">
              <w:rPr>
                <w:rFonts w:cstheme="minorHAnsi"/>
                <w:sz w:val="20"/>
                <w:szCs w:val="20"/>
              </w:rPr>
              <w:t>, as per ICF thresholds</w:t>
            </w:r>
          </w:p>
        </w:tc>
        <w:tc>
          <w:tcPr>
            <w:tcW w:w="4230" w:type="dxa"/>
            <w:shd w:val="clear" w:color="auto" w:fill="FFFFFF" w:themeFill="background1"/>
          </w:tcPr>
          <w:p w14:paraId="650868F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A’ functions.</w:t>
            </w:r>
          </w:p>
        </w:tc>
      </w:tr>
      <w:tr w:rsidR="00B27D72" w:rsidRPr="009B4AEE" w14:paraId="4E52D393" w14:textId="77777777" w:rsidTr="363CA695">
        <w:trPr>
          <w:trHeight w:val="20"/>
        </w:trPr>
        <w:tc>
          <w:tcPr>
            <w:tcW w:w="355" w:type="dxa"/>
            <w:shd w:val="clear" w:color="auto" w:fill="FFFFFF" w:themeFill="background1"/>
          </w:tcPr>
          <w:p w14:paraId="01F9F487" w14:textId="3DE5E7EC" w:rsidR="0016462F" w:rsidRPr="00D2258D" w:rsidRDefault="00B44BB3" w:rsidP="00CF32EB">
            <w:pPr>
              <w:spacing w:after="0" w:line="240" w:lineRule="auto"/>
              <w:rPr>
                <w:rFonts w:cstheme="minorHAnsi"/>
                <w:sz w:val="20"/>
                <w:szCs w:val="20"/>
              </w:rPr>
            </w:pPr>
            <w:r w:rsidRPr="00D2258D">
              <w:rPr>
                <w:rFonts w:cstheme="minorHAnsi"/>
                <w:sz w:val="20"/>
                <w:szCs w:val="20"/>
              </w:rPr>
              <w:t>16</w:t>
            </w:r>
          </w:p>
        </w:tc>
        <w:tc>
          <w:tcPr>
            <w:tcW w:w="2525" w:type="dxa"/>
            <w:shd w:val="clear" w:color="auto" w:fill="FFFFFF" w:themeFill="background1"/>
            <w:tcMar>
              <w:top w:w="0" w:type="dxa"/>
              <w:left w:w="108" w:type="dxa"/>
              <w:bottom w:w="0" w:type="dxa"/>
              <w:right w:w="108" w:type="dxa"/>
            </w:tcMar>
          </w:tcPr>
          <w:p w14:paraId="6D2690B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Auto-approve invoice &amp; post to GL</w:t>
            </w:r>
          </w:p>
        </w:tc>
        <w:tc>
          <w:tcPr>
            <w:tcW w:w="2880" w:type="dxa"/>
            <w:shd w:val="clear" w:color="auto" w:fill="FFFFFF" w:themeFill="background1"/>
            <w:tcMar>
              <w:top w:w="0" w:type="dxa"/>
              <w:left w:w="108" w:type="dxa"/>
              <w:bottom w:w="0" w:type="dxa"/>
              <w:right w:w="108" w:type="dxa"/>
            </w:tcMar>
          </w:tcPr>
          <w:p w14:paraId="7B8ACD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16EAF201" w14:textId="77777777" w:rsidR="0016462F" w:rsidRPr="00D2258D" w:rsidRDefault="0016462F" w:rsidP="00CF32EB">
            <w:pPr>
              <w:spacing w:after="0" w:line="240" w:lineRule="auto"/>
              <w:rPr>
                <w:rFonts w:cstheme="minorHAnsi"/>
                <w:sz w:val="20"/>
                <w:szCs w:val="20"/>
              </w:rPr>
            </w:pPr>
          </w:p>
        </w:tc>
      </w:tr>
      <w:tr w:rsidR="00B27D72" w:rsidRPr="009B4AEE" w14:paraId="3ED20967" w14:textId="77777777" w:rsidTr="363CA695">
        <w:trPr>
          <w:trHeight w:val="20"/>
        </w:trPr>
        <w:tc>
          <w:tcPr>
            <w:tcW w:w="355" w:type="dxa"/>
            <w:shd w:val="clear" w:color="auto" w:fill="FFFFFF" w:themeFill="background1"/>
          </w:tcPr>
          <w:p w14:paraId="5A8B859E" w14:textId="5170F7FD" w:rsidR="0016462F" w:rsidRPr="00D2258D" w:rsidRDefault="00B44BB3" w:rsidP="00CF32EB">
            <w:pPr>
              <w:spacing w:after="0" w:line="240" w:lineRule="auto"/>
              <w:rPr>
                <w:rFonts w:cstheme="minorHAnsi"/>
                <w:sz w:val="20"/>
                <w:szCs w:val="20"/>
              </w:rPr>
            </w:pPr>
            <w:r w:rsidRPr="00D2258D">
              <w:rPr>
                <w:rFonts w:cstheme="minorHAnsi"/>
                <w:sz w:val="20"/>
                <w:szCs w:val="20"/>
              </w:rPr>
              <w:t>17</w:t>
            </w:r>
          </w:p>
        </w:tc>
        <w:tc>
          <w:tcPr>
            <w:tcW w:w="2525" w:type="dxa"/>
            <w:shd w:val="clear" w:color="auto" w:fill="FFFFFF" w:themeFill="background1"/>
            <w:tcMar>
              <w:top w:w="0" w:type="dxa"/>
              <w:left w:w="108" w:type="dxa"/>
              <w:bottom w:w="0" w:type="dxa"/>
              <w:right w:w="108" w:type="dxa"/>
            </w:tcMar>
          </w:tcPr>
          <w:p w14:paraId="3591E8B9"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Review &amp; approve high-value invoices</w:t>
            </w:r>
          </w:p>
        </w:tc>
        <w:tc>
          <w:tcPr>
            <w:tcW w:w="2880" w:type="dxa"/>
            <w:shd w:val="clear" w:color="auto" w:fill="FFFFFF" w:themeFill="background1"/>
            <w:tcMar>
              <w:top w:w="0" w:type="dxa"/>
              <w:left w:w="108" w:type="dxa"/>
              <w:bottom w:w="0" w:type="dxa"/>
              <w:right w:w="108" w:type="dxa"/>
            </w:tcMar>
          </w:tcPr>
          <w:p w14:paraId="3999D162"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auto-approved invoices routed to BMS/GSSC Level 2 and 3 approvers</w:t>
            </w:r>
          </w:p>
        </w:tc>
        <w:tc>
          <w:tcPr>
            <w:tcW w:w="4230" w:type="dxa"/>
            <w:shd w:val="clear" w:color="auto" w:fill="FFFFFF" w:themeFill="background1"/>
          </w:tcPr>
          <w:p w14:paraId="5D025DB6"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Fulfilling ‘Approving Manager – Part B’ functions.</w:t>
            </w:r>
          </w:p>
        </w:tc>
      </w:tr>
      <w:tr w:rsidR="00B27D72" w:rsidRPr="009B4AEE" w14:paraId="4CFBDB0D" w14:textId="77777777" w:rsidTr="363CA695">
        <w:trPr>
          <w:trHeight w:val="20"/>
        </w:trPr>
        <w:tc>
          <w:tcPr>
            <w:tcW w:w="355" w:type="dxa"/>
            <w:shd w:val="clear" w:color="auto" w:fill="FFFFFF" w:themeFill="background1"/>
          </w:tcPr>
          <w:p w14:paraId="1ABF78AE" w14:textId="75E68172" w:rsidR="0016462F" w:rsidRPr="00D2258D" w:rsidRDefault="00B44BB3" w:rsidP="00CF32EB">
            <w:pPr>
              <w:spacing w:after="0" w:line="240" w:lineRule="auto"/>
              <w:rPr>
                <w:rFonts w:cstheme="minorHAnsi"/>
                <w:sz w:val="20"/>
                <w:szCs w:val="20"/>
              </w:rPr>
            </w:pPr>
            <w:r w:rsidRPr="00D2258D">
              <w:rPr>
                <w:rFonts w:cstheme="minorHAnsi"/>
                <w:sz w:val="20"/>
                <w:szCs w:val="20"/>
              </w:rPr>
              <w:t>18</w:t>
            </w:r>
          </w:p>
        </w:tc>
        <w:tc>
          <w:tcPr>
            <w:tcW w:w="2525" w:type="dxa"/>
            <w:shd w:val="clear" w:color="auto" w:fill="FFFFFF" w:themeFill="background1"/>
            <w:tcMar>
              <w:top w:w="0" w:type="dxa"/>
              <w:left w:w="108" w:type="dxa"/>
              <w:bottom w:w="0" w:type="dxa"/>
              <w:right w:w="108" w:type="dxa"/>
            </w:tcMar>
          </w:tcPr>
          <w:p w14:paraId="3E8570E5" w14:textId="63A65241" w:rsidR="0016462F" w:rsidRPr="00D2258D" w:rsidRDefault="0016462F" w:rsidP="00CF32EB">
            <w:pPr>
              <w:spacing w:after="0" w:line="240" w:lineRule="auto"/>
              <w:rPr>
                <w:rFonts w:cstheme="minorHAnsi"/>
                <w:sz w:val="20"/>
                <w:szCs w:val="20"/>
                <w:highlight w:val="yellow"/>
              </w:rPr>
            </w:pPr>
            <w:r w:rsidRPr="00D2258D">
              <w:rPr>
                <w:rFonts w:cstheme="minorHAnsi"/>
                <w:sz w:val="20"/>
                <w:szCs w:val="20"/>
              </w:rPr>
              <w:t>Send to pay</w:t>
            </w:r>
            <w:r w:rsidR="00356A22" w:rsidRPr="00D2258D">
              <w:rPr>
                <w:rFonts w:cstheme="minorHAnsi"/>
                <w:sz w:val="20"/>
                <w:szCs w:val="20"/>
              </w:rPr>
              <w:t>-</w:t>
            </w:r>
            <w:r w:rsidRPr="00D2258D">
              <w:rPr>
                <w:rFonts w:cstheme="minorHAnsi"/>
                <w:sz w:val="20"/>
                <w:szCs w:val="20"/>
              </w:rPr>
              <w:t>cycle</w:t>
            </w:r>
          </w:p>
        </w:tc>
        <w:tc>
          <w:tcPr>
            <w:tcW w:w="2880" w:type="dxa"/>
            <w:shd w:val="clear" w:color="auto" w:fill="FFFFFF" w:themeFill="background1"/>
            <w:tcMar>
              <w:top w:w="0" w:type="dxa"/>
              <w:left w:w="108" w:type="dxa"/>
              <w:bottom w:w="0" w:type="dxa"/>
              <w:right w:w="108" w:type="dxa"/>
            </w:tcMar>
          </w:tcPr>
          <w:p w14:paraId="4A39C864" w14:textId="77777777" w:rsidR="00B44BB3" w:rsidRPr="00D2258D" w:rsidRDefault="00B44BB3" w:rsidP="00CF32EB">
            <w:pPr>
              <w:spacing w:after="0" w:line="240" w:lineRule="auto"/>
              <w:rPr>
                <w:rFonts w:cstheme="minorHAnsi"/>
                <w:sz w:val="20"/>
                <w:szCs w:val="20"/>
              </w:rPr>
            </w:pPr>
            <w:r w:rsidRPr="00D2258D">
              <w:rPr>
                <w:rFonts w:cstheme="minorHAnsi"/>
                <w:sz w:val="20"/>
                <w:szCs w:val="20"/>
              </w:rPr>
              <w:t>Agreed scheduled frequency in Quantum</w:t>
            </w:r>
            <w:r w:rsidRPr="00D2258D" w:rsidDel="00B44BB3">
              <w:rPr>
                <w:rFonts w:cstheme="minorHAnsi"/>
                <w:sz w:val="20"/>
                <w:szCs w:val="20"/>
              </w:rPr>
              <w:t xml:space="preserve"> </w:t>
            </w:r>
          </w:p>
          <w:p w14:paraId="259A587F" w14:textId="6688B5D6" w:rsidR="0016462F" w:rsidRPr="00D2258D" w:rsidRDefault="0016462F" w:rsidP="00CF32EB">
            <w:pPr>
              <w:spacing w:after="0" w:line="240" w:lineRule="auto"/>
              <w:rPr>
                <w:rFonts w:cstheme="minorHAnsi"/>
                <w:sz w:val="20"/>
                <w:szCs w:val="20"/>
                <w:highlight w:val="yellow"/>
              </w:rPr>
            </w:pPr>
          </w:p>
        </w:tc>
        <w:tc>
          <w:tcPr>
            <w:tcW w:w="4230" w:type="dxa"/>
            <w:shd w:val="clear" w:color="auto" w:fill="FFFFFF" w:themeFill="background1"/>
          </w:tcPr>
          <w:p w14:paraId="2D41B650" w14:textId="1620D168" w:rsidR="0016462F" w:rsidRPr="00D2258D" w:rsidRDefault="00B44BB3" w:rsidP="00CF32EB">
            <w:pPr>
              <w:spacing w:after="0" w:line="240" w:lineRule="auto"/>
              <w:rPr>
                <w:rFonts w:cstheme="minorHAnsi"/>
                <w:sz w:val="20"/>
                <w:szCs w:val="20"/>
                <w:highlight w:val="yellow"/>
              </w:rPr>
            </w:pPr>
            <w:r w:rsidRPr="00D2258D">
              <w:rPr>
                <w:rStyle w:val="cf01"/>
                <w:rFonts w:asciiTheme="minorHAnsi" w:hAnsiTheme="minorHAnsi" w:cstheme="minorHAnsi"/>
                <w:sz w:val="20"/>
                <w:szCs w:val="20"/>
              </w:rPr>
              <w:t>Pay-cycle is scheduled to run daily or on specific days as agreed between BMS/GSSC and the relevant office/unit. It picks up all approved invoices with a valid Pay-group and no manual holds.</w:t>
            </w:r>
          </w:p>
        </w:tc>
      </w:tr>
      <w:tr w:rsidR="00B27D72" w:rsidRPr="00EF3982" w14:paraId="34A9284A" w14:textId="77777777" w:rsidTr="363CA695">
        <w:trPr>
          <w:trHeight w:val="20"/>
        </w:trPr>
        <w:tc>
          <w:tcPr>
            <w:tcW w:w="355" w:type="dxa"/>
            <w:shd w:val="clear" w:color="auto" w:fill="FFFFFF" w:themeFill="background1"/>
          </w:tcPr>
          <w:p w14:paraId="750F6034" w14:textId="62FA7AA8" w:rsidR="0016462F" w:rsidRPr="00D2258D" w:rsidRDefault="00B44BB3" w:rsidP="00CF32EB">
            <w:pPr>
              <w:spacing w:after="0" w:line="240" w:lineRule="auto"/>
              <w:rPr>
                <w:rFonts w:cstheme="minorHAnsi"/>
                <w:sz w:val="20"/>
                <w:szCs w:val="20"/>
              </w:rPr>
            </w:pPr>
            <w:r w:rsidRPr="00D2258D">
              <w:rPr>
                <w:rFonts w:cstheme="minorHAnsi"/>
                <w:sz w:val="20"/>
                <w:szCs w:val="20"/>
              </w:rPr>
              <w:t>19</w:t>
            </w:r>
          </w:p>
        </w:tc>
        <w:tc>
          <w:tcPr>
            <w:tcW w:w="2525" w:type="dxa"/>
            <w:shd w:val="clear" w:color="auto" w:fill="FFFFFF" w:themeFill="background1"/>
            <w:tcMar>
              <w:top w:w="0" w:type="dxa"/>
              <w:left w:w="108" w:type="dxa"/>
              <w:bottom w:w="0" w:type="dxa"/>
              <w:right w:w="108" w:type="dxa"/>
            </w:tcMar>
          </w:tcPr>
          <w:p w14:paraId="69EAACF7" w14:textId="0AD36E44" w:rsidR="0016462F" w:rsidRPr="00D2258D" w:rsidRDefault="0016462F" w:rsidP="00CF32EB">
            <w:pPr>
              <w:spacing w:after="0" w:line="240" w:lineRule="auto"/>
              <w:rPr>
                <w:rFonts w:cstheme="minorHAnsi"/>
                <w:sz w:val="20"/>
                <w:szCs w:val="20"/>
                <w:highlight w:val="yellow"/>
              </w:rPr>
            </w:pPr>
            <w:r w:rsidRPr="00D2258D">
              <w:rPr>
                <w:sz w:val="20"/>
                <w:szCs w:val="20"/>
              </w:rPr>
              <w:t>Authorize pending disbursements</w:t>
            </w:r>
            <w:r w:rsidR="00C06ED7" w:rsidRPr="00D2258D">
              <w:rPr>
                <w:sz w:val="20"/>
                <w:szCs w:val="20"/>
              </w:rPr>
              <w:t xml:space="preserve"> after ensuring completeness and accuracy.</w:t>
            </w:r>
          </w:p>
        </w:tc>
        <w:tc>
          <w:tcPr>
            <w:tcW w:w="2880" w:type="dxa"/>
            <w:shd w:val="clear" w:color="auto" w:fill="FFFFFF" w:themeFill="background1"/>
            <w:tcMar>
              <w:top w:w="0" w:type="dxa"/>
              <w:left w:w="108" w:type="dxa"/>
              <w:bottom w:w="0" w:type="dxa"/>
              <w:right w:w="108" w:type="dxa"/>
            </w:tcMar>
          </w:tcPr>
          <w:p w14:paraId="1CCFD0C7" w14:textId="6DF641C2"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BMS/GSSC </w:t>
            </w:r>
            <w:r w:rsidR="00CD60E6" w:rsidRPr="00D2258D">
              <w:rPr>
                <w:rFonts w:cstheme="minorHAnsi"/>
                <w:sz w:val="20"/>
                <w:szCs w:val="20"/>
              </w:rPr>
              <w:t xml:space="preserve">(for </w:t>
            </w:r>
            <w:r w:rsidR="00AD4A16" w:rsidRPr="00D2258D">
              <w:rPr>
                <w:rFonts w:cstheme="minorHAnsi"/>
                <w:sz w:val="20"/>
                <w:szCs w:val="20"/>
              </w:rPr>
              <w:t xml:space="preserve">offices with </w:t>
            </w:r>
            <w:r w:rsidR="00CD60E6" w:rsidRPr="00D2258D">
              <w:rPr>
                <w:rFonts w:cstheme="minorHAnsi"/>
                <w:sz w:val="20"/>
                <w:szCs w:val="20"/>
              </w:rPr>
              <w:t xml:space="preserve">clustered processes) </w:t>
            </w:r>
            <w:r w:rsidRPr="00D2258D">
              <w:rPr>
                <w:rFonts w:cstheme="minorHAnsi"/>
                <w:sz w:val="20"/>
                <w:szCs w:val="20"/>
              </w:rPr>
              <w:t>or BMS/OF</w:t>
            </w:r>
            <w:r w:rsidR="00A40A72">
              <w:rPr>
                <w:rFonts w:cstheme="minorHAnsi"/>
                <w:sz w:val="20"/>
                <w:szCs w:val="20"/>
              </w:rPr>
              <w:t>R</w:t>
            </w:r>
            <w:r w:rsidRPr="00D2258D">
              <w:rPr>
                <w:rFonts w:cstheme="minorHAnsi"/>
                <w:sz w:val="20"/>
                <w:szCs w:val="20"/>
              </w:rPr>
              <w:t>M/Treasury</w:t>
            </w:r>
            <w:r w:rsidR="00CD60E6" w:rsidRPr="00D2258D">
              <w:rPr>
                <w:rFonts w:cstheme="minorHAnsi"/>
                <w:sz w:val="20"/>
                <w:szCs w:val="20"/>
              </w:rPr>
              <w:t xml:space="preserve"> (for HQ offices/units</w:t>
            </w:r>
            <w:r w:rsidR="00491939" w:rsidRPr="00D2258D">
              <w:rPr>
                <w:rFonts w:cstheme="minorHAnsi"/>
                <w:sz w:val="20"/>
                <w:szCs w:val="20"/>
              </w:rPr>
              <w:t xml:space="preserve"> and outposted HQ locations</w:t>
            </w:r>
            <w:r w:rsidR="00CD60E6" w:rsidRPr="00D2258D">
              <w:rPr>
                <w:rFonts w:cstheme="minorHAnsi"/>
                <w:sz w:val="20"/>
                <w:szCs w:val="20"/>
              </w:rPr>
              <w:t>)</w:t>
            </w:r>
            <w:r w:rsidR="00AF3252">
              <w:rPr>
                <w:rFonts w:cstheme="minorHAnsi"/>
                <w:sz w:val="20"/>
                <w:szCs w:val="20"/>
              </w:rPr>
              <w:t xml:space="preserve">, </w:t>
            </w:r>
            <w:r w:rsidR="007531A6">
              <w:rPr>
                <w:rFonts w:cstheme="minorHAnsi"/>
                <w:sz w:val="20"/>
                <w:szCs w:val="20"/>
              </w:rPr>
              <w:t>and UNV.</w:t>
            </w:r>
          </w:p>
          <w:p w14:paraId="6AFA6628" w14:textId="77777777" w:rsidR="00C06ED7" w:rsidRPr="00D2258D" w:rsidRDefault="00C06ED7" w:rsidP="00C06ED7">
            <w:pPr>
              <w:rPr>
                <w:rFonts w:cstheme="minorHAnsi"/>
                <w:sz w:val="20"/>
                <w:szCs w:val="20"/>
                <w:highlight w:val="yellow"/>
              </w:rPr>
            </w:pPr>
          </w:p>
        </w:tc>
        <w:tc>
          <w:tcPr>
            <w:tcW w:w="4230" w:type="dxa"/>
            <w:shd w:val="clear" w:color="auto" w:fill="FFFFFF" w:themeFill="background1"/>
          </w:tcPr>
          <w:p w14:paraId="232DF1FC" w14:textId="5D5DB96C" w:rsidR="0016462F" w:rsidRPr="00D2258D" w:rsidRDefault="0016462F" w:rsidP="00CF32EB">
            <w:pPr>
              <w:spacing w:after="0" w:line="240" w:lineRule="auto"/>
              <w:rPr>
                <w:rFonts w:cstheme="minorHAnsi"/>
                <w:sz w:val="20"/>
                <w:szCs w:val="20"/>
                <w:highlight w:val="yellow"/>
              </w:rPr>
            </w:pPr>
            <w:r w:rsidRPr="00D2258D">
              <w:rPr>
                <w:sz w:val="20"/>
                <w:szCs w:val="20"/>
              </w:rPr>
              <w:t>Fulfilling ‘Disbursing Officer – Part A’ functions</w:t>
            </w:r>
            <w:r w:rsidR="001A1098" w:rsidRPr="00D2258D">
              <w:rPr>
                <w:sz w:val="20"/>
                <w:szCs w:val="20"/>
              </w:rPr>
              <w:t>. BMS/GSSC reviews payments against supporting documents</w:t>
            </w:r>
            <w:r w:rsidR="00C06ED7" w:rsidRPr="00D2258D">
              <w:rPr>
                <w:sz w:val="20"/>
                <w:szCs w:val="20"/>
              </w:rPr>
              <w:t xml:space="preserve"> and Quantum information (payee, bank information, amount)</w:t>
            </w:r>
            <w:r w:rsidR="001A1098" w:rsidRPr="00D2258D">
              <w:rPr>
                <w:sz w:val="20"/>
                <w:szCs w:val="20"/>
              </w:rPr>
              <w:t xml:space="preserve">; runs PPR; checks </w:t>
            </w:r>
            <w:r w:rsidR="00120472" w:rsidRPr="00D2258D">
              <w:rPr>
                <w:sz w:val="20"/>
                <w:szCs w:val="20"/>
              </w:rPr>
              <w:t xml:space="preserve">funds </w:t>
            </w:r>
            <w:r w:rsidR="001A1098" w:rsidRPr="00D2258D">
              <w:rPr>
                <w:sz w:val="20"/>
                <w:szCs w:val="20"/>
              </w:rPr>
              <w:t>availability; approves PPR</w:t>
            </w:r>
            <w:r w:rsidR="00503BB9" w:rsidRPr="00D2258D">
              <w:rPr>
                <w:sz w:val="20"/>
                <w:szCs w:val="20"/>
              </w:rPr>
              <w:t xml:space="preserve">; </w:t>
            </w:r>
            <w:r w:rsidR="001A1098" w:rsidRPr="00D2258D">
              <w:rPr>
                <w:sz w:val="20"/>
                <w:szCs w:val="20"/>
              </w:rPr>
              <w:t xml:space="preserve">uploads payment files onto banks’ online portal, dependent on </w:t>
            </w:r>
            <w:r w:rsidR="00120472" w:rsidRPr="00D2258D">
              <w:rPr>
                <w:sz w:val="20"/>
                <w:szCs w:val="20"/>
              </w:rPr>
              <w:t xml:space="preserve">country’s </w:t>
            </w:r>
            <w:r w:rsidR="001A1098" w:rsidRPr="00D2258D">
              <w:rPr>
                <w:sz w:val="20"/>
                <w:szCs w:val="20"/>
              </w:rPr>
              <w:t>online banking regulations</w:t>
            </w:r>
            <w:r w:rsidR="00120472" w:rsidRPr="00D2258D">
              <w:rPr>
                <w:sz w:val="20"/>
                <w:szCs w:val="20"/>
              </w:rPr>
              <w:t>.</w:t>
            </w:r>
          </w:p>
        </w:tc>
      </w:tr>
      <w:tr w:rsidR="00B27D72" w:rsidRPr="00EF3982" w14:paraId="60339546" w14:textId="77777777" w:rsidTr="363CA695">
        <w:trPr>
          <w:trHeight w:val="20"/>
        </w:trPr>
        <w:tc>
          <w:tcPr>
            <w:tcW w:w="355" w:type="dxa"/>
            <w:shd w:val="clear" w:color="auto" w:fill="FFFFFF" w:themeFill="background1"/>
          </w:tcPr>
          <w:p w14:paraId="587B6D42" w14:textId="1AC218B0" w:rsidR="0016462F" w:rsidRPr="00D2258D" w:rsidRDefault="00B44BB3" w:rsidP="00491939">
            <w:pPr>
              <w:spacing w:after="0" w:line="240" w:lineRule="auto"/>
              <w:rPr>
                <w:rFonts w:cstheme="minorHAnsi"/>
                <w:sz w:val="20"/>
                <w:szCs w:val="20"/>
              </w:rPr>
            </w:pPr>
            <w:r w:rsidRPr="00D2258D">
              <w:rPr>
                <w:rFonts w:cstheme="minorHAnsi"/>
                <w:sz w:val="20"/>
                <w:szCs w:val="20"/>
              </w:rPr>
              <w:t>20</w:t>
            </w:r>
          </w:p>
        </w:tc>
        <w:tc>
          <w:tcPr>
            <w:tcW w:w="2525" w:type="dxa"/>
            <w:shd w:val="clear" w:color="auto" w:fill="FFFFFF" w:themeFill="background1"/>
            <w:tcMar>
              <w:top w:w="0" w:type="dxa"/>
              <w:left w:w="108" w:type="dxa"/>
              <w:bottom w:w="0" w:type="dxa"/>
              <w:right w:w="108" w:type="dxa"/>
            </w:tcMar>
          </w:tcPr>
          <w:p w14:paraId="121B56AB" w14:textId="4AD7B698" w:rsidR="0016462F" w:rsidRPr="00D2258D" w:rsidRDefault="0016462F" w:rsidP="00491939">
            <w:pPr>
              <w:spacing w:after="0"/>
              <w:rPr>
                <w:sz w:val="20"/>
                <w:szCs w:val="20"/>
              </w:rPr>
            </w:pPr>
            <w:r w:rsidRPr="00D2258D">
              <w:rPr>
                <w:sz w:val="20"/>
                <w:szCs w:val="20"/>
              </w:rPr>
              <w:t>Perform bank signatory role for loca</w:t>
            </w:r>
            <w:r w:rsidR="00CF5117" w:rsidRPr="00D2258D">
              <w:rPr>
                <w:sz w:val="20"/>
                <w:szCs w:val="20"/>
              </w:rPr>
              <w:t>l</w:t>
            </w:r>
            <w:r w:rsidRPr="00D2258D">
              <w:rPr>
                <w:sz w:val="20"/>
                <w:szCs w:val="20"/>
              </w:rPr>
              <w:t xml:space="preserve"> bank</w:t>
            </w:r>
            <w:r w:rsidR="00CF5117" w:rsidRPr="00D2258D">
              <w:rPr>
                <w:sz w:val="20"/>
                <w:szCs w:val="20"/>
              </w:rPr>
              <w:t xml:space="preserve"> accounts</w:t>
            </w:r>
            <w:r w:rsidRPr="00D2258D">
              <w:rPr>
                <w:sz w:val="20"/>
                <w:szCs w:val="20"/>
              </w:rPr>
              <w:t xml:space="preserve"> based on payment files</w:t>
            </w:r>
            <w:r w:rsidR="003E21F0" w:rsidRPr="00D2258D">
              <w:rPr>
                <w:rStyle w:val="FootnoteReference"/>
                <w:sz w:val="20"/>
                <w:szCs w:val="20"/>
              </w:rPr>
              <w:footnoteReference w:id="47"/>
            </w:r>
            <w:r w:rsidRPr="00D2258D">
              <w:rPr>
                <w:sz w:val="20"/>
                <w:szCs w:val="20"/>
              </w:rPr>
              <w:t xml:space="preserve"> prepared </w:t>
            </w:r>
            <w:r w:rsidR="00491939" w:rsidRPr="00D2258D">
              <w:rPr>
                <w:sz w:val="20"/>
                <w:szCs w:val="20"/>
              </w:rPr>
              <w:t>and</w:t>
            </w:r>
            <w:r w:rsidRPr="00D2258D">
              <w:rPr>
                <w:sz w:val="20"/>
                <w:szCs w:val="20"/>
              </w:rPr>
              <w:t xml:space="preserve"> uploaded by BMS/GSSC</w:t>
            </w:r>
          </w:p>
        </w:tc>
        <w:tc>
          <w:tcPr>
            <w:tcW w:w="2880" w:type="dxa"/>
            <w:shd w:val="clear" w:color="auto" w:fill="FFFFFF" w:themeFill="background1"/>
            <w:tcMar>
              <w:top w:w="0" w:type="dxa"/>
              <w:left w:w="108" w:type="dxa"/>
              <w:bottom w:w="0" w:type="dxa"/>
              <w:right w:w="108" w:type="dxa"/>
            </w:tcMar>
          </w:tcPr>
          <w:p w14:paraId="3DD8A1DB" w14:textId="720D931F" w:rsidR="0016462F" w:rsidRPr="00D2258D" w:rsidRDefault="00321B8D" w:rsidP="00491939">
            <w:pPr>
              <w:spacing w:after="0" w:line="240" w:lineRule="auto"/>
              <w:rPr>
                <w:rFonts w:cstheme="minorHAnsi"/>
                <w:sz w:val="20"/>
                <w:szCs w:val="20"/>
                <w:highlight w:val="yellow"/>
              </w:rPr>
            </w:pPr>
            <w:r w:rsidRPr="00D2258D">
              <w:rPr>
                <w:rFonts w:cstheme="minorHAnsi"/>
                <w:sz w:val="20"/>
                <w:szCs w:val="20"/>
              </w:rPr>
              <w:t xml:space="preserve">Bank signatories in </w:t>
            </w:r>
            <w:r w:rsidR="0016462F" w:rsidRPr="00D2258D">
              <w:rPr>
                <w:rFonts w:cstheme="minorHAnsi"/>
                <w:sz w:val="20"/>
                <w:szCs w:val="20"/>
              </w:rPr>
              <w:t>CO</w:t>
            </w:r>
            <w:r w:rsidRPr="00D2258D">
              <w:rPr>
                <w:rFonts w:cstheme="minorHAnsi"/>
                <w:sz w:val="20"/>
                <w:szCs w:val="20"/>
              </w:rPr>
              <w:t>s and outposted HQ locations</w:t>
            </w:r>
          </w:p>
        </w:tc>
        <w:tc>
          <w:tcPr>
            <w:tcW w:w="4230" w:type="dxa"/>
            <w:shd w:val="clear" w:color="auto" w:fill="FFFFFF" w:themeFill="background1"/>
          </w:tcPr>
          <w:p w14:paraId="3AC63031" w14:textId="6F9F3AED" w:rsidR="0016462F" w:rsidRPr="00D2258D" w:rsidRDefault="0016462F" w:rsidP="00491939">
            <w:pPr>
              <w:spacing w:after="0" w:line="240" w:lineRule="auto"/>
              <w:rPr>
                <w:rFonts w:cstheme="minorHAnsi"/>
                <w:sz w:val="20"/>
                <w:szCs w:val="20"/>
                <w:highlight w:val="yellow"/>
              </w:rPr>
            </w:pPr>
            <w:r w:rsidRPr="00D2258D">
              <w:rPr>
                <w:sz w:val="20"/>
                <w:szCs w:val="20"/>
              </w:rPr>
              <w:t>Fulfilling ‘Disbursing Officer – Part B’ functions</w:t>
            </w:r>
            <w:r w:rsidR="001A1098" w:rsidRPr="00D2258D">
              <w:rPr>
                <w:sz w:val="20"/>
                <w:szCs w:val="20"/>
              </w:rPr>
              <w:t>. CO reviews and sig</w:t>
            </w:r>
            <w:r w:rsidR="00120472" w:rsidRPr="00D2258D">
              <w:rPr>
                <w:sz w:val="20"/>
                <w:szCs w:val="20"/>
              </w:rPr>
              <w:t>n</w:t>
            </w:r>
            <w:r w:rsidR="001A1098" w:rsidRPr="00D2258D">
              <w:rPr>
                <w:sz w:val="20"/>
                <w:szCs w:val="20"/>
              </w:rPr>
              <w:t>s cheques; reviews and signs transmittal letter to the bank for local EFT interfaces; and/or electronically approves payment via the local bank’s software.</w:t>
            </w:r>
          </w:p>
        </w:tc>
      </w:tr>
    </w:tbl>
    <w:p w14:paraId="35F29797" w14:textId="77777777" w:rsidR="0016462F" w:rsidRPr="00120472" w:rsidRDefault="0016462F" w:rsidP="0016462F">
      <w:pPr>
        <w:rPr>
          <w:sz w:val="8"/>
          <w:szCs w:val="8"/>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2" w:type="dxa"/>
          <w:bottom w:w="43" w:type="dxa"/>
          <w:right w:w="72" w:type="dxa"/>
        </w:tblCellMar>
        <w:tblLook w:val="04A0" w:firstRow="1" w:lastRow="0" w:firstColumn="1" w:lastColumn="0" w:noHBand="0" w:noVBand="1"/>
      </w:tblPr>
      <w:tblGrid>
        <w:gridCol w:w="355"/>
        <w:gridCol w:w="2075"/>
        <w:gridCol w:w="3330"/>
        <w:gridCol w:w="4230"/>
      </w:tblGrid>
      <w:tr w:rsidR="00B27D72" w:rsidRPr="00EF3982" w14:paraId="5A0737C6" w14:textId="77777777" w:rsidTr="363CA695">
        <w:trPr>
          <w:trHeight w:val="20"/>
          <w:tblHeader/>
        </w:trPr>
        <w:tc>
          <w:tcPr>
            <w:tcW w:w="355" w:type="dxa"/>
            <w:shd w:val="clear" w:color="auto" w:fill="002060"/>
          </w:tcPr>
          <w:p w14:paraId="36AE4AAE"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lastRenderedPageBreak/>
              <w:t>#</w:t>
            </w:r>
          </w:p>
        </w:tc>
        <w:tc>
          <w:tcPr>
            <w:tcW w:w="2075" w:type="dxa"/>
            <w:shd w:val="clear" w:color="auto" w:fill="002060"/>
            <w:tcMar>
              <w:top w:w="0" w:type="dxa"/>
              <w:left w:w="108" w:type="dxa"/>
              <w:bottom w:w="0" w:type="dxa"/>
              <w:right w:w="108" w:type="dxa"/>
            </w:tcMar>
          </w:tcPr>
          <w:p w14:paraId="5773D258"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Procure &amp; Pay Step</w:t>
            </w:r>
          </w:p>
        </w:tc>
        <w:tc>
          <w:tcPr>
            <w:tcW w:w="3330" w:type="dxa"/>
            <w:shd w:val="clear" w:color="auto" w:fill="002060"/>
            <w:tcMar>
              <w:top w:w="0" w:type="dxa"/>
              <w:left w:w="108" w:type="dxa"/>
              <w:bottom w:w="0" w:type="dxa"/>
              <w:right w:w="108" w:type="dxa"/>
            </w:tcMar>
          </w:tcPr>
          <w:p w14:paraId="115971B5" w14:textId="751CE77E" w:rsidR="0016462F" w:rsidRPr="001A1098" w:rsidRDefault="0016462F" w:rsidP="363CA695">
            <w:pPr>
              <w:spacing w:after="0" w:line="240" w:lineRule="auto"/>
              <w:rPr>
                <w:b/>
                <w:bCs/>
                <w:sz w:val="20"/>
                <w:szCs w:val="20"/>
              </w:rPr>
            </w:pPr>
            <w:r w:rsidRPr="363CA695">
              <w:rPr>
                <w:b/>
                <w:bCs/>
                <w:sz w:val="20"/>
                <w:szCs w:val="20"/>
              </w:rPr>
              <w:t>By whom (in each office</w:t>
            </w:r>
            <w:r w:rsidR="00356A22" w:rsidRPr="363CA695">
              <w:rPr>
                <w:b/>
                <w:bCs/>
                <w:sz w:val="20"/>
                <w:szCs w:val="20"/>
              </w:rPr>
              <w:t>/unit</w:t>
            </w:r>
            <w:r w:rsidRPr="363CA695">
              <w:rPr>
                <w:b/>
                <w:bCs/>
                <w:sz w:val="20"/>
                <w:szCs w:val="20"/>
              </w:rPr>
              <w:t>, unless indicated)</w:t>
            </w:r>
          </w:p>
        </w:tc>
        <w:tc>
          <w:tcPr>
            <w:tcW w:w="4230" w:type="dxa"/>
            <w:shd w:val="clear" w:color="auto" w:fill="002060"/>
          </w:tcPr>
          <w:p w14:paraId="2F6BEA45"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To note</w:t>
            </w:r>
          </w:p>
        </w:tc>
      </w:tr>
      <w:tr w:rsidR="003B102F" w:rsidRPr="00EF3982" w14:paraId="5909AFEC" w14:textId="77777777" w:rsidTr="363CA695">
        <w:trPr>
          <w:trHeight w:val="20"/>
          <w:tblHeader/>
        </w:trPr>
        <w:tc>
          <w:tcPr>
            <w:tcW w:w="9990" w:type="dxa"/>
            <w:gridSpan w:val="4"/>
            <w:shd w:val="clear" w:color="auto" w:fill="B4C6E7" w:themeFill="accent1" w:themeFillTint="66"/>
          </w:tcPr>
          <w:p w14:paraId="61F3978C" w14:textId="77777777" w:rsidR="0016462F" w:rsidRPr="001A1098" w:rsidRDefault="0016462F" w:rsidP="00CF32EB">
            <w:pPr>
              <w:spacing w:after="0" w:line="240" w:lineRule="auto"/>
              <w:rPr>
                <w:rFonts w:cstheme="minorHAnsi"/>
                <w:b/>
                <w:bCs/>
                <w:sz w:val="20"/>
                <w:szCs w:val="20"/>
              </w:rPr>
            </w:pPr>
            <w:r w:rsidRPr="001A1098">
              <w:rPr>
                <w:rFonts w:cstheme="minorHAnsi"/>
                <w:b/>
                <w:bCs/>
                <w:sz w:val="20"/>
                <w:szCs w:val="20"/>
              </w:rPr>
              <w:t>Non-PO-based invoices</w:t>
            </w:r>
          </w:p>
        </w:tc>
      </w:tr>
      <w:tr w:rsidR="00B27D72" w:rsidRPr="00EF3982" w14:paraId="19C3E131" w14:textId="77777777" w:rsidTr="363CA695">
        <w:trPr>
          <w:trHeight w:val="20"/>
        </w:trPr>
        <w:tc>
          <w:tcPr>
            <w:tcW w:w="355" w:type="dxa"/>
            <w:shd w:val="clear" w:color="auto" w:fill="FFFFFF" w:themeFill="background1"/>
          </w:tcPr>
          <w:p w14:paraId="63AED7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1</w:t>
            </w:r>
          </w:p>
        </w:tc>
        <w:tc>
          <w:tcPr>
            <w:tcW w:w="2075" w:type="dxa"/>
            <w:shd w:val="clear" w:color="auto" w:fill="FFFFFF" w:themeFill="background1"/>
            <w:tcMar>
              <w:top w:w="0" w:type="dxa"/>
              <w:left w:w="108" w:type="dxa"/>
              <w:bottom w:w="0" w:type="dxa"/>
              <w:right w:w="108" w:type="dxa"/>
            </w:tcMar>
            <w:hideMark/>
          </w:tcPr>
          <w:p w14:paraId="4586E517"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Create invoice</w:t>
            </w:r>
          </w:p>
        </w:tc>
        <w:tc>
          <w:tcPr>
            <w:tcW w:w="3330" w:type="dxa"/>
            <w:shd w:val="clear" w:color="auto" w:fill="FFFFFF" w:themeFill="background1"/>
            <w:tcMar>
              <w:top w:w="0" w:type="dxa"/>
              <w:left w:w="108" w:type="dxa"/>
              <w:bottom w:w="0" w:type="dxa"/>
              <w:right w:w="108" w:type="dxa"/>
            </w:tcMar>
            <w:hideMark/>
          </w:tcPr>
          <w:p w14:paraId="630F72B4" w14:textId="77777777" w:rsidR="0016462F" w:rsidRPr="00D2258D" w:rsidRDefault="0016462F">
            <w:pPr>
              <w:pStyle w:val="ListParagraph"/>
              <w:numPr>
                <w:ilvl w:val="0"/>
                <w:numId w:val="29"/>
              </w:numPr>
              <w:spacing w:after="0" w:line="240" w:lineRule="auto"/>
              <w:rPr>
                <w:rFonts w:cstheme="minorHAnsi"/>
                <w:sz w:val="20"/>
                <w:szCs w:val="20"/>
              </w:rPr>
            </w:pPr>
            <w:r w:rsidRPr="00D2258D">
              <w:rPr>
                <w:rFonts w:cstheme="minorHAnsi"/>
                <w:sz w:val="20"/>
                <w:szCs w:val="20"/>
              </w:rPr>
              <w:t xml:space="preserve">Supplier in Supplier Portal </w:t>
            </w:r>
            <w:r w:rsidRPr="00D2258D">
              <w:rPr>
                <w:rFonts w:cstheme="minorHAnsi"/>
                <w:b/>
                <w:bCs/>
                <w:sz w:val="20"/>
                <w:szCs w:val="20"/>
              </w:rPr>
              <w:t>(recommended)</w:t>
            </w:r>
          </w:p>
          <w:p w14:paraId="62B04AF1" w14:textId="77777777" w:rsidR="0016462F" w:rsidRPr="00D2258D" w:rsidRDefault="0016462F">
            <w:pPr>
              <w:pStyle w:val="ListParagraph"/>
              <w:numPr>
                <w:ilvl w:val="0"/>
                <w:numId w:val="29"/>
              </w:numPr>
              <w:spacing w:after="0" w:line="240" w:lineRule="auto"/>
              <w:rPr>
                <w:rFonts w:cstheme="minorHAnsi"/>
                <w:sz w:val="20"/>
                <w:szCs w:val="20"/>
              </w:rPr>
            </w:pPr>
            <w:r w:rsidRPr="00D2258D">
              <w:rPr>
                <w:rFonts w:cstheme="minorHAnsi"/>
                <w:sz w:val="20"/>
                <w:szCs w:val="20"/>
              </w:rPr>
              <w:t xml:space="preserve">Only if a supplier cannot create an invoice in the Supplier Portal: Finance User </w:t>
            </w:r>
          </w:p>
        </w:tc>
        <w:tc>
          <w:tcPr>
            <w:tcW w:w="4230" w:type="dxa"/>
            <w:shd w:val="clear" w:color="auto" w:fill="FFFFFF" w:themeFill="background1"/>
          </w:tcPr>
          <w:p w14:paraId="2037DA71" w14:textId="77777777" w:rsidR="0016462F" w:rsidRPr="00D2258D" w:rsidRDefault="0016462F" w:rsidP="00CF32EB">
            <w:pPr>
              <w:spacing w:after="0" w:line="240" w:lineRule="auto"/>
              <w:ind w:right="20"/>
              <w:rPr>
                <w:sz w:val="20"/>
                <w:szCs w:val="20"/>
              </w:rPr>
            </w:pPr>
            <w:r w:rsidRPr="00D2258D">
              <w:rPr>
                <w:sz w:val="20"/>
                <w:szCs w:val="20"/>
              </w:rPr>
              <w:t>Where large numbers of invoices need to be paid for the same activity with the same supporting documents, BMS/GSSC can create invoices for COs using bulk payment tools.</w:t>
            </w:r>
          </w:p>
        </w:tc>
      </w:tr>
      <w:tr w:rsidR="00B27D72" w:rsidRPr="00EF3982" w14:paraId="0DFF052E" w14:textId="77777777" w:rsidTr="363CA695">
        <w:trPr>
          <w:trHeight w:val="20"/>
        </w:trPr>
        <w:tc>
          <w:tcPr>
            <w:tcW w:w="355" w:type="dxa"/>
            <w:shd w:val="clear" w:color="auto" w:fill="FFFFFF" w:themeFill="background1"/>
          </w:tcPr>
          <w:p w14:paraId="0AA2DADD"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2</w:t>
            </w:r>
          </w:p>
        </w:tc>
        <w:tc>
          <w:tcPr>
            <w:tcW w:w="2075" w:type="dxa"/>
            <w:shd w:val="clear" w:color="auto" w:fill="FFFFFF" w:themeFill="background1"/>
            <w:tcMar>
              <w:top w:w="0" w:type="dxa"/>
              <w:left w:w="108" w:type="dxa"/>
              <w:bottom w:w="0" w:type="dxa"/>
              <w:right w:w="108" w:type="dxa"/>
            </w:tcMar>
          </w:tcPr>
          <w:p w14:paraId="24B2FD65"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 xml:space="preserve">Review/sign invoice </w:t>
            </w:r>
          </w:p>
        </w:tc>
        <w:tc>
          <w:tcPr>
            <w:tcW w:w="3330" w:type="dxa"/>
            <w:shd w:val="clear" w:color="auto" w:fill="FFFFFF" w:themeFill="background1"/>
            <w:tcMar>
              <w:top w:w="0" w:type="dxa"/>
              <w:left w:w="108" w:type="dxa"/>
              <w:bottom w:w="0" w:type="dxa"/>
              <w:right w:w="108" w:type="dxa"/>
            </w:tcMar>
          </w:tcPr>
          <w:p w14:paraId="01AFCC82" w14:textId="3AE3DB98" w:rsidR="0016462F" w:rsidRPr="00D2258D" w:rsidRDefault="0016462F" w:rsidP="00CF32EB">
            <w:pPr>
              <w:spacing w:after="0" w:line="240" w:lineRule="auto"/>
              <w:rPr>
                <w:rFonts w:cstheme="minorHAnsi"/>
                <w:sz w:val="20"/>
                <w:szCs w:val="20"/>
              </w:rPr>
            </w:pPr>
            <w:r w:rsidRPr="00D2258D">
              <w:rPr>
                <w:rFonts w:cstheme="minorHAnsi"/>
                <w:sz w:val="20"/>
                <w:szCs w:val="20"/>
              </w:rPr>
              <w:t>Project Manager (as first authority)</w:t>
            </w:r>
            <w:r w:rsidR="00120472" w:rsidRPr="00D2258D">
              <w:rPr>
                <w:rFonts w:cstheme="minorHAnsi"/>
                <w:sz w:val="20"/>
                <w:szCs w:val="20"/>
              </w:rPr>
              <w:t xml:space="preserve"> in each office/unit</w:t>
            </w:r>
          </w:p>
        </w:tc>
        <w:tc>
          <w:tcPr>
            <w:tcW w:w="4230" w:type="dxa"/>
            <w:shd w:val="clear" w:color="auto" w:fill="FFFFFF" w:themeFill="background1"/>
          </w:tcPr>
          <w:p w14:paraId="50454F46" w14:textId="1934FE8F" w:rsidR="0016462F" w:rsidRPr="00D2258D" w:rsidRDefault="0016462F" w:rsidP="00CF32EB">
            <w:pPr>
              <w:spacing w:after="0" w:line="240" w:lineRule="auto"/>
              <w:ind w:right="20"/>
              <w:rPr>
                <w:rFonts w:cstheme="minorHAnsi"/>
                <w:sz w:val="20"/>
                <w:szCs w:val="20"/>
              </w:rPr>
            </w:pPr>
            <w:r w:rsidRPr="00D2258D">
              <w:rPr>
                <w:rFonts w:cstheme="minorHAnsi"/>
                <w:sz w:val="20"/>
                <w:szCs w:val="20"/>
              </w:rPr>
              <w:t xml:space="preserve">The Project Manager must confirm the commitment is valid and that goods and/or services were received before the Approving </w:t>
            </w:r>
            <w:r w:rsidR="000B14E0" w:rsidRPr="00D2258D">
              <w:rPr>
                <w:rFonts w:cstheme="minorHAnsi"/>
                <w:sz w:val="20"/>
                <w:szCs w:val="20"/>
              </w:rPr>
              <w:t>M</w:t>
            </w:r>
            <w:r w:rsidRPr="00D2258D">
              <w:rPr>
                <w:rFonts w:cstheme="minorHAnsi"/>
                <w:sz w:val="20"/>
                <w:szCs w:val="20"/>
              </w:rPr>
              <w:t>anager</w:t>
            </w:r>
            <w:r w:rsidR="000B14E0" w:rsidRPr="00D2258D">
              <w:rPr>
                <w:rFonts w:cstheme="minorHAnsi"/>
                <w:sz w:val="20"/>
                <w:szCs w:val="20"/>
              </w:rPr>
              <w:t xml:space="preserve"> </w:t>
            </w:r>
            <w:r w:rsidRPr="00D2258D">
              <w:rPr>
                <w:rFonts w:cstheme="minorHAnsi"/>
                <w:sz w:val="20"/>
                <w:szCs w:val="20"/>
              </w:rPr>
              <w:t>can approve the invoice for payment.</w:t>
            </w:r>
          </w:p>
        </w:tc>
      </w:tr>
      <w:tr w:rsidR="00B27D72" w:rsidRPr="00EF3982" w14:paraId="55A1A3AD" w14:textId="77777777" w:rsidTr="363CA695">
        <w:trPr>
          <w:trHeight w:val="20"/>
        </w:trPr>
        <w:tc>
          <w:tcPr>
            <w:tcW w:w="355" w:type="dxa"/>
            <w:shd w:val="clear" w:color="auto" w:fill="FFFFFF" w:themeFill="background1"/>
          </w:tcPr>
          <w:p w14:paraId="0B766A8A"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3</w:t>
            </w:r>
          </w:p>
        </w:tc>
        <w:tc>
          <w:tcPr>
            <w:tcW w:w="2075" w:type="dxa"/>
            <w:shd w:val="clear" w:color="auto" w:fill="FFFFFF" w:themeFill="background1"/>
            <w:tcMar>
              <w:top w:w="0" w:type="dxa"/>
              <w:left w:w="108" w:type="dxa"/>
              <w:bottom w:w="0" w:type="dxa"/>
              <w:right w:w="108" w:type="dxa"/>
            </w:tcMar>
          </w:tcPr>
          <w:p w14:paraId="58E1E5C8" w14:textId="77777777" w:rsidR="0016462F" w:rsidRPr="00D2258D" w:rsidRDefault="0016462F" w:rsidP="00CF32EB">
            <w:pPr>
              <w:spacing w:after="0" w:line="240" w:lineRule="auto"/>
              <w:rPr>
                <w:sz w:val="20"/>
                <w:szCs w:val="20"/>
              </w:rPr>
            </w:pPr>
            <w:r w:rsidRPr="00D2258D">
              <w:rPr>
                <w:sz w:val="20"/>
                <w:szCs w:val="20"/>
              </w:rPr>
              <w:t>Verify invoice, complete COA</w:t>
            </w:r>
          </w:p>
        </w:tc>
        <w:tc>
          <w:tcPr>
            <w:tcW w:w="3330" w:type="dxa"/>
            <w:shd w:val="clear" w:color="auto" w:fill="FFFFFF" w:themeFill="background1"/>
            <w:tcMar>
              <w:top w:w="0" w:type="dxa"/>
              <w:left w:w="108" w:type="dxa"/>
              <w:bottom w:w="0" w:type="dxa"/>
              <w:right w:w="108" w:type="dxa"/>
            </w:tcMar>
          </w:tcPr>
          <w:p w14:paraId="6D390597" w14:textId="52D6D04C" w:rsidR="0016462F" w:rsidRPr="00D2258D" w:rsidRDefault="0016462F" w:rsidP="00CF32EB">
            <w:pPr>
              <w:spacing w:after="0" w:line="240" w:lineRule="auto"/>
              <w:rPr>
                <w:rFonts w:cstheme="minorHAnsi"/>
                <w:sz w:val="20"/>
                <w:szCs w:val="20"/>
              </w:rPr>
            </w:pPr>
            <w:r w:rsidRPr="00D2258D">
              <w:rPr>
                <w:rFonts w:cstheme="minorHAnsi"/>
                <w:sz w:val="20"/>
                <w:szCs w:val="20"/>
              </w:rPr>
              <w:t>Finance User</w:t>
            </w:r>
            <w:r w:rsidR="00120472" w:rsidRPr="00D2258D">
              <w:rPr>
                <w:rFonts w:cstheme="minorHAnsi"/>
                <w:sz w:val="20"/>
                <w:szCs w:val="20"/>
              </w:rPr>
              <w:t xml:space="preserve"> in each office/unit</w:t>
            </w:r>
          </w:p>
        </w:tc>
        <w:tc>
          <w:tcPr>
            <w:tcW w:w="4230" w:type="dxa"/>
            <w:shd w:val="clear" w:color="auto" w:fill="FFFFFF" w:themeFill="background1"/>
          </w:tcPr>
          <w:p w14:paraId="3F986D30" w14:textId="527EE639" w:rsidR="0016462F" w:rsidRPr="00D2258D" w:rsidRDefault="0016462F" w:rsidP="363CA695">
            <w:pPr>
              <w:spacing w:after="0" w:line="240" w:lineRule="auto"/>
              <w:ind w:right="20"/>
              <w:rPr>
                <w:sz w:val="20"/>
                <w:szCs w:val="20"/>
              </w:rPr>
            </w:pPr>
            <w:r w:rsidRPr="00D2258D">
              <w:rPr>
                <w:sz w:val="20"/>
                <w:szCs w:val="20"/>
              </w:rPr>
              <w:t xml:space="preserve">This step is performed </w:t>
            </w:r>
            <w:r w:rsidR="00B44BB3" w:rsidRPr="00D2258D">
              <w:rPr>
                <w:sz w:val="20"/>
                <w:szCs w:val="20"/>
              </w:rPr>
              <w:t>automatically</w:t>
            </w:r>
            <w:r w:rsidR="00B44BB3" w:rsidRPr="00D2258D">
              <w:t xml:space="preserve"> </w:t>
            </w:r>
            <w:r w:rsidRPr="00D2258D">
              <w:rPr>
                <w:sz w:val="20"/>
                <w:szCs w:val="20"/>
              </w:rPr>
              <w:t>if supplier submitted invoice through Supplier Portal.</w:t>
            </w:r>
          </w:p>
        </w:tc>
      </w:tr>
      <w:tr w:rsidR="00B27D72" w:rsidRPr="00EF3982" w14:paraId="44B5178F" w14:textId="77777777" w:rsidTr="363CA695">
        <w:trPr>
          <w:trHeight w:val="20"/>
        </w:trPr>
        <w:tc>
          <w:tcPr>
            <w:tcW w:w="355" w:type="dxa"/>
            <w:shd w:val="clear" w:color="auto" w:fill="FFFFFF" w:themeFill="background1"/>
          </w:tcPr>
          <w:p w14:paraId="35110A8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4</w:t>
            </w:r>
          </w:p>
        </w:tc>
        <w:tc>
          <w:tcPr>
            <w:tcW w:w="2075" w:type="dxa"/>
            <w:shd w:val="clear" w:color="auto" w:fill="FFFFFF" w:themeFill="background1"/>
            <w:tcMar>
              <w:top w:w="0" w:type="dxa"/>
              <w:left w:w="108" w:type="dxa"/>
              <w:bottom w:w="0" w:type="dxa"/>
              <w:right w:w="108" w:type="dxa"/>
            </w:tcMar>
          </w:tcPr>
          <w:p w14:paraId="69CCA47E"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Validate funds check</w:t>
            </w:r>
          </w:p>
        </w:tc>
        <w:tc>
          <w:tcPr>
            <w:tcW w:w="3330" w:type="dxa"/>
            <w:shd w:val="clear" w:color="auto" w:fill="FFFFFF" w:themeFill="background1"/>
            <w:tcMar>
              <w:top w:w="0" w:type="dxa"/>
              <w:left w:w="108" w:type="dxa"/>
              <w:bottom w:w="0" w:type="dxa"/>
              <w:right w:w="108" w:type="dxa"/>
            </w:tcMar>
          </w:tcPr>
          <w:p w14:paraId="6ACF675D" w14:textId="26E079C3" w:rsidR="0016462F" w:rsidRPr="00D2258D" w:rsidRDefault="0016462F" w:rsidP="00CF32EB">
            <w:pPr>
              <w:spacing w:after="0" w:line="240" w:lineRule="auto"/>
              <w:rPr>
                <w:rFonts w:cstheme="minorHAnsi"/>
                <w:sz w:val="20"/>
                <w:szCs w:val="20"/>
              </w:rPr>
            </w:pPr>
            <w:r w:rsidRPr="00D2258D">
              <w:rPr>
                <w:rFonts w:cstheme="minorHAnsi"/>
                <w:sz w:val="20"/>
                <w:szCs w:val="20"/>
              </w:rPr>
              <w:t>Finance User</w:t>
            </w:r>
            <w:r w:rsidR="00120472" w:rsidRPr="00D2258D">
              <w:rPr>
                <w:rFonts w:cstheme="minorHAnsi"/>
                <w:sz w:val="20"/>
                <w:szCs w:val="20"/>
              </w:rPr>
              <w:t xml:space="preserve"> in each office/unit</w:t>
            </w:r>
          </w:p>
        </w:tc>
        <w:tc>
          <w:tcPr>
            <w:tcW w:w="4230" w:type="dxa"/>
            <w:shd w:val="clear" w:color="auto" w:fill="FFFFFF" w:themeFill="background1"/>
          </w:tcPr>
          <w:p w14:paraId="31BD42B6" w14:textId="1C4FF4E9" w:rsidR="0016462F" w:rsidRPr="00D2258D" w:rsidRDefault="0016462F" w:rsidP="00CF32EB">
            <w:pPr>
              <w:spacing w:after="0" w:line="240" w:lineRule="auto"/>
              <w:ind w:right="20"/>
              <w:rPr>
                <w:rFonts w:cstheme="minorHAnsi"/>
                <w:sz w:val="20"/>
                <w:szCs w:val="20"/>
              </w:rPr>
            </w:pPr>
            <w:r w:rsidRPr="00D2258D">
              <w:rPr>
                <w:rFonts w:cstheme="minorHAnsi"/>
                <w:sz w:val="20"/>
                <w:szCs w:val="20"/>
              </w:rPr>
              <w:t xml:space="preserve">If bulk payment tool is used, </w:t>
            </w:r>
            <w:r w:rsidR="00B44BB3" w:rsidRPr="00D2258D">
              <w:rPr>
                <w:rFonts w:cstheme="minorHAnsi"/>
                <w:sz w:val="20"/>
                <w:szCs w:val="20"/>
              </w:rPr>
              <w:t>Q</w:t>
            </w:r>
            <w:r w:rsidR="00B44BB3" w:rsidRPr="00D2258D">
              <w:rPr>
                <w:sz w:val="20"/>
                <w:szCs w:val="20"/>
              </w:rPr>
              <w:t xml:space="preserve">uantum performs this step automatically when </w:t>
            </w:r>
            <w:r w:rsidRPr="00D2258D">
              <w:rPr>
                <w:rFonts w:cstheme="minorHAnsi"/>
                <w:sz w:val="20"/>
                <w:szCs w:val="20"/>
              </w:rPr>
              <w:t>BMS/GSSC upload</w:t>
            </w:r>
            <w:r w:rsidR="00B44BB3" w:rsidRPr="00D2258D">
              <w:rPr>
                <w:rFonts w:cstheme="minorHAnsi"/>
                <w:sz w:val="20"/>
                <w:szCs w:val="20"/>
              </w:rPr>
              <w:t>s</w:t>
            </w:r>
            <w:r w:rsidRPr="00D2258D">
              <w:rPr>
                <w:rFonts w:cstheme="minorHAnsi"/>
                <w:sz w:val="20"/>
                <w:szCs w:val="20"/>
              </w:rPr>
              <w:t xml:space="preserve"> the bulk payment template to Quantum. </w:t>
            </w:r>
          </w:p>
        </w:tc>
      </w:tr>
      <w:tr w:rsidR="00B27D72" w:rsidRPr="00EF3982" w14:paraId="3318F5B5" w14:textId="77777777" w:rsidTr="363CA695">
        <w:trPr>
          <w:trHeight w:val="20"/>
        </w:trPr>
        <w:tc>
          <w:tcPr>
            <w:tcW w:w="355" w:type="dxa"/>
            <w:shd w:val="clear" w:color="auto" w:fill="FFFFFF" w:themeFill="background1"/>
          </w:tcPr>
          <w:p w14:paraId="7255A1D0"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5</w:t>
            </w:r>
          </w:p>
        </w:tc>
        <w:tc>
          <w:tcPr>
            <w:tcW w:w="2075" w:type="dxa"/>
            <w:shd w:val="clear" w:color="auto" w:fill="FFFFFF" w:themeFill="background1"/>
            <w:tcMar>
              <w:top w:w="0" w:type="dxa"/>
              <w:left w:w="108" w:type="dxa"/>
              <w:bottom w:w="0" w:type="dxa"/>
              <w:right w:w="108" w:type="dxa"/>
            </w:tcMar>
          </w:tcPr>
          <w:p w14:paraId="5A2D92BC" w14:textId="77777777" w:rsidR="0016462F" w:rsidRPr="00D2258D" w:rsidRDefault="0016462F" w:rsidP="00CF32EB">
            <w:pPr>
              <w:spacing w:after="0" w:line="240" w:lineRule="auto"/>
              <w:rPr>
                <w:sz w:val="20"/>
                <w:szCs w:val="20"/>
              </w:rPr>
            </w:pPr>
            <w:r w:rsidRPr="00D2258D">
              <w:rPr>
                <w:sz w:val="20"/>
                <w:szCs w:val="20"/>
              </w:rPr>
              <w:t>Resolve validation errors</w:t>
            </w:r>
          </w:p>
        </w:tc>
        <w:tc>
          <w:tcPr>
            <w:tcW w:w="3330" w:type="dxa"/>
            <w:shd w:val="clear" w:color="auto" w:fill="FFFFFF" w:themeFill="background1"/>
            <w:tcMar>
              <w:top w:w="0" w:type="dxa"/>
              <w:left w:w="108" w:type="dxa"/>
              <w:bottom w:w="0" w:type="dxa"/>
              <w:right w:w="108" w:type="dxa"/>
            </w:tcMar>
          </w:tcPr>
          <w:p w14:paraId="21631EF9" w14:textId="1D316D77" w:rsidR="0016462F" w:rsidRPr="00D2258D" w:rsidRDefault="0016462F" w:rsidP="00CF32EB">
            <w:pPr>
              <w:spacing w:after="0" w:line="240" w:lineRule="auto"/>
              <w:rPr>
                <w:rFonts w:cstheme="minorHAnsi"/>
                <w:sz w:val="20"/>
                <w:szCs w:val="20"/>
              </w:rPr>
            </w:pPr>
            <w:r w:rsidRPr="00D2258D">
              <w:rPr>
                <w:rFonts w:cstheme="minorHAnsi"/>
                <w:sz w:val="20"/>
                <w:szCs w:val="20"/>
              </w:rPr>
              <w:t>Finance User, with Project Manager, as needed</w:t>
            </w:r>
            <w:r w:rsidR="00120472" w:rsidRPr="00D2258D">
              <w:rPr>
                <w:rFonts w:cstheme="minorHAnsi"/>
                <w:sz w:val="20"/>
                <w:szCs w:val="20"/>
              </w:rPr>
              <w:t xml:space="preserve"> in each office/unit</w:t>
            </w:r>
          </w:p>
        </w:tc>
        <w:tc>
          <w:tcPr>
            <w:tcW w:w="4230" w:type="dxa"/>
            <w:shd w:val="clear" w:color="auto" w:fill="FFFFFF" w:themeFill="background1"/>
          </w:tcPr>
          <w:p w14:paraId="72A806C7" w14:textId="77777777" w:rsidR="0016462F" w:rsidRPr="00D2258D" w:rsidRDefault="0016462F" w:rsidP="00CF32EB">
            <w:pPr>
              <w:spacing w:after="0" w:line="240" w:lineRule="auto"/>
              <w:ind w:right="20"/>
              <w:rPr>
                <w:rFonts w:cstheme="minorHAnsi"/>
                <w:sz w:val="20"/>
                <w:szCs w:val="20"/>
              </w:rPr>
            </w:pPr>
            <w:r w:rsidRPr="00D2258D">
              <w:rPr>
                <w:sz w:val="20"/>
                <w:szCs w:val="20"/>
              </w:rPr>
              <w:t>Correct entry and budget, as needed.</w:t>
            </w:r>
          </w:p>
        </w:tc>
      </w:tr>
      <w:tr w:rsidR="00B27D72" w:rsidRPr="00EF3982" w14:paraId="6A4BE36B" w14:textId="77777777" w:rsidTr="363CA695">
        <w:trPr>
          <w:trHeight w:val="20"/>
        </w:trPr>
        <w:tc>
          <w:tcPr>
            <w:tcW w:w="355" w:type="dxa"/>
            <w:shd w:val="clear" w:color="auto" w:fill="FFFFFF" w:themeFill="background1"/>
          </w:tcPr>
          <w:p w14:paraId="5F96EC81"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6</w:t>
            </w:r>
          </w:p>
        </w:tc>
        <w:tc>
          <w:tcPr>
            <w:tcW w:w="2075" w:type="dxa"/>
            <w:shd w:val="clear" w:color="auto" w:fill="FFFFFF" w:themeFill="background1"/>
            <w:tcMar>
              <w:top w:w="0" w:type="dxa"/>
              <w:left w:w="108" w:type="dxa"/>
              <w:bottom w:w="0" w:type="dxa"/>
              <w:right w:w="108" w:type="dxa"/>
            </w:tcMar>
          </w:tcPr>
          <w:p w14:paraId="3BFC0334" w14:textId="77777777" w:rsidR="0016462F" w:rsidRPr="00D2258D" w:rsidRDefault="0016462F" w:rsidP="00CF32EB">
            <w:pPr>
              <w:spacing w:after="0" w:line="240" w:lineRule="auto"/>
              <w:rPr>
                <w:sz w:val="20"/>
                <w:szCs w:val="20"/>
              </w:rPr>
            </w:pPr>
            <w:r w:rsidRPr="00D2258D">
              <w:rPr>
                <w:sz w:val="20"/>
                <w:szCs w:val="20"/>
              </w:rPr>
              <w:t>Clear non-PO invoice</w:t>
            </w:r>
          </w:p>
        </w:tc>
        <w:tc>
          <w:tcPr>
            <w:tcW w:w="3330" w:type="dxa"/>
            <w:shd w:val="clear" w:color="auto" w:fill="FFFFFF" w:themeFill="background1"/>
            <w:tcMar>
              <w:top w:w="0" w:type="dxa"/>
              <w:left w:w="108" w:type="dxa"/>
              <w:bottom w:w="0" w:type="dxa"/>
              <w:right w:w="108" w:type="dxa"/>
            </w:tcMar>
          </w:tcPr>
          <w:p w14:paraId="4E13C2C6" w14:textId="3D8282B7" w:rsidR="0016462F" w:rsidRPr="00D2258D" w:rsidRDefault="0016462F" w:rsidP="00CF32EB">
            <w:pPr>
              <w:spacing w:after="0" w:line="240" w:lineRule="auto"/>
              <w:rPr>
                <w:rFonts w:cstheme="minorHAnsi"/>
                <w:sz w:val="20"/>
                <w:szCs w:val="20"/>
              </w:rPr>
            </w:pPr>
            <w:r w:rsidRPr="00D2258D">
              <w:rPr>
                <w:rFonts w:cstheme="minorHAnsi"/>
                <w:sz w:val="20"/>
                <w:szCs w:val="20"/>
              </w:rPr>
              <w:t>Approving Manager</w:t>
            </w:r>
            <w:r w:rsidR="00120472" w:rsidRPr="00D2258D">
              <w:rPr>
                <w:rFonts w:cstheme="minorHAnsi"/>
                <w:sz w:val="20"/>
                <w:szCs w:val="20"/>
              </w:rPr>
              <w:t xml:space="preserve"> in each office/unit</w:t>
            </w:r>
            <w:r w:rsidRPr="00D2258D">
              <w:rPr>
                <w:rFonts w:cstheme="minorHAnsi"/>
                <w:sz w:val="20"/>
                <w:szCs w:val="20"/>
              </w:rPr>
              <w:t>, as per ICF thresholds</w:t>
            </w:r>
          </w:p>
        </w:tc>
        <w:tc>
          <w:tcPr>
            <w:tcW w:w="4230" w:type="dxa"/>
            <w:shd w:val="clear" w:color="auto" w:fill="FFFFFF" w:themeFill="background1"/>
          </w:tcPr>
          <w:p w14:paraId="6723FA72" w14:textId="42781A13" w:rsidR="0016462F" w:rsidRPr="00D2258D" w:rsidRDefault="0016462F" w:rsidP="363CA695">
            <w:pPr>
              <w:spacing w:after="0" w:line="240" w:lineRule="auto"/>
              <w:rPr>
                <w:sz w:val="20"/>
                <w:szCs w:val="20"/>
              </w:rPr>
            </w:pPr>
            <w:r w:rsidRPr="00D2258D">
              <w:rPr>
                <w:sz w:val="20"/>
                <w:szCs w:val="20"/>
              </w:rPr>
              <w:t xml:space="preserve">Below established thresholds, non-PO invoices flow to pay-cycle as soon as the Approving Manager in the </w:t>
            </w:r>
            <w:r w:rsidR="00356A22" w:rsidRPr="00D2258D">
              <w:rPr>
                <w:sz w:val="20"/>
                <w:szCs w:val="20"/>
              </w:rPr>
              <w:t>office/unit</w:t>
            </w:r>
            <w:r w:rsidRPr="00D2258D">
              <w:rPr>
                <w:sz w:val="20"/>
                <w:szCs w:val="20"/>
              </w:rPr>
              <w:t xml:space="preserve"> has approved.</w:t>
            </w:r>
          </w:p>
        </w:tc>
      </w:tr>
      <w:tr w:rsidR="00B27D72" w:rsidRPr="00EF3982" w14:paraId="27053169" w14:textId="77777777" w:rsidTr="363CA695">
        <w:trPr>
          <w:trHeight w:val="20"/>
        </w:trPr>
        <w:tc>
          <w:tcPr>
            <w:tcW w:w="355" w:type="dxa"/>
            <w:shd w:val="clear" w:color="auto" w:fill="FFFFFF" w:themeFill="background1"/>
          </w:tcPr>
          <w:p w14:paraId="7C60714F"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7</w:t>
            </w:r>
          </w:p>
        </w:tc>
        <w:tc>
          <w:tcPr>
            <w:tcW w:w="2075" w:type="dxa"/>
            <w:shd w:val="clear" w:color="auto" w:fill="FFFFFF" w:themeFill="background1"/>
            <w:tcMar>
              <w:top w:w="0" w:type="dxa"/>
              <w:left w:w="108" w:type="dxa"/>
              <w:bottom w:w="0" w:type="dxa"/>
              <w:right w:w="108" w:type="dxa"/>
            </w:tcMar>
          </w:tcPr>
          <w:p w14:paraId="1AE7E40E" w14:textId="77777777" w:rsidR="0016462F" w:rsidRPr="00D2258D" w:rsidRDefault="0016462F" w:rsidP="00CF32EB">
            <w:pPr>
              <w:spacing w:after="0" w:line="240" w:lineRule="auto"/>
              <w:rPr>
                <w:rFonts w:cstheme="minorHAnsi"/>
                <w:sz w:val="20"/>
                <w:szCs w:val="20"/>
              </w:rPr>
            </w:pPr>
            <w:proofErr w:type="gramStart"/>
            <w:r w:rsidRPr="00D2258D">
              <w:rPr>
                <w:rFonts w:cstheme="minorHAnsi"/>
                <w:sz w:val="20"/>
                <w:szCs w:val="20"/>
              </w:rPr>
              <w:t>Approve</w:t>
            </w:r>
            <w:proofErr w:type="gramEnd"/>
            <w:r w:rsidRPr="00D2258D">
              <w:rPr>
                <w:rFonts w:cstheme="minorHAnsi"/>
                <w:sz w:val="20"/>
                <w:szCs w:val="20"/>
              </w:rPr>
              <w:t xml:space="preserve"> invoice in Quantum</w:t>
            </w:r>
          </w:p>
        </w:tc>
        <w:tc>
          <w:tcPr>
            <w:tcW w:w="3330" w:type="dxa"/>
            <w:shd w:val="clear" w:color="auto" w:fill="FFFFFF" w:themeFill="background1"/>
            <w:tcMar>
              <w:top w:w="0" w:type="dxa"/>
              <w:left w:w="108" w:type="dxa"/>
              <w:bottom w:w="0" w:type="dxa"/>
              <w:right w:w="108" w:type="dxa"/>
            </w:tcMar>
          </w:tcPr>
          <w:p w14:paraId="4D24A66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 Level 1-3 approvers</w:t>
            </w:r>
          </w:p>
        </w:tc>
        <w:tc>
          <w:tcPr>
            <w:tcW w:w="4230" w:type="dxa"/>
            <w:shd w:val="clear" w:color="auto" w:fill="FFFFFF" w:themeFill="background1"/>
          </w:tcPr>
          <w:p w14:paraId="14B930AC" w14:textId="77777777" w:rsidR="0016462F" w:rsidRPr="00D2258D" w:rsidRDefault="0016462F" w:rsidP="00CF32EB">
            <w:pPr>
              <w:spacing w:after="0" w:line="240" w:lineRule="auto"/>
              <w:ind w:right="20"/>
              <w:rPr>
                <w:rFonts w:cstheme="minorHAnsi"/>
                <w:sz w:val="20"/>
                <w:szCs w:val="20"/>
              </w:rPr>
            </w:pPr>
            <w:r w:rsidRPr="00D2258D">
              <w:rPr>
                <w:rFonts w:cstheme="minorHAnsi"/>
                <w:sz w:val="20"/>
                <w:szCs w:val="20"/>
              </w:rPr>
              <w:t>Fulfilling ‘Approving Manager – Part B’ function in Quantum.</w:t>
            </w:r>
          </w:p>
          <w:p w14:paraId="3E403C41" w14:textId="77777777" w:rsidR="00120472" w:rsidRPr="00D2258D" w:rsidRDefault="00120472" w:rsidP="00CF32EB">
            <w:pPr>
              <w:spacing w:after="0" w:line="240" w:lineRule="auto"/>
              <w:ind w:right="20"/>
              <w:rPr>
                <w:rFonts w:cstheme="minorHAnsi"/>
                <w:sz w:val="20"/>
                <w:szCs w:val="20"/>
              </w:rPr>
            </w:pPr>
          </w:p>
          <w:p w14:paraId="1210BBE6" w14:textId="6AEE1CD4" w:rsidR="00120472" w:rsidRPr="00D2258D" w:rsidRDefault="00120472" w:rsidP="00CF32EB">
            <w:pPr>
              <w:spacing w:after="0" w:line="240" w:lineRule="auto"/>
              <w:ind w:right="20"/>
              <w:rPr>
                <w:rFonts w:cstheme="minorHAnsi"/>
                <w:sz w:val="20"/>
                <w:szCs w:val="20"/>
              </w:rPr>
            </w:pPr>
            <w:r w:rsidRPr="00D2258D">
              <w:rPr>
                <w:rFonts w:cstheme="minorHAnsi"/>
                <w:sz w:val="20"/>
                <w:szCs w:val="20"/>
              </w:rPr>
              <w:t>For offices/units with non-clustered AP process, this role is performed by Approving Managers within the office/unit</w:t>
            </w:r>
          </w:p>
        </w:tc>
      </w:tr>
      <w:tr w:rsidR="00B27D72" w:rsidRPr="00EF3982" w14:paraId="3244794C" w14:textId="77777777" w:rsidTr="363CA695">
        <w:trPr>
          <w:trHeight w:val="20"/>
        </w:trPr>
        <w:tc>
          <w:tcPr>
            <w:tcW w:w="355" w:type="dxa"/>
            <w:shd w:val="clear" w:color="auto" w:fill="FFFFFF" w:themeFill="background1"/>
          </w:tcPr>
          <w:p w14:paraId="0D454E3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8</w:t>
            </w:r>
          </w:p>
        </w:tc>
        <w:tc>
          <w:tcPr>
            <w:tcW w:w="2075" w:type="dxa"/>
            <w:shd w:val="clear" w:color="auto" w:fill="FFFFFF" w:themeFill="background1"/>
            <w:tcMar>
              <w:top w:w="0" w:type="dxa"/>
              <w:left w:w="108" w:type="dxa"/>
              <w:bottom w:w="0" w:type="dxa"/>
              <w:right w:w="108" w:type="dxa"/>
            </w:tcMar>
          </w:tcPr>
          <w:p w14:paraId="36D6F30B"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Invoice posted to GL</w:t>
            </w:r>
          </w:p>
        </w:tc>
        <w:tc>
          <w:tcPr>
            <w:tcW w:w="3330" w:type="dxa"/>
            <w:shd w:val="clear" w:color="auto" w:fill="FFFFFF" w:themeFill="background1"/>
            <w:tcMar>
              <w:top w:w="0" w:type="dxa"/>
              <w:left w:w="108" w:type="dxa"/>
              <w:bottom w:w="0" w:type="dxa"/>
              <w:right w:w="108" w:type="dxa"/>
            </w:tcMar>
          </w:tcPr>
          <w:p w14:paraId="6F36BD0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Quantum automated process</w:t>
            </w:r>
          </w:p>
        </w:tc>
        <w:tc>
          <w:tcPr>
            <w:tcW w:w="4230" w:type="dxa"/>
            <w:shd w:val="clear" w:color="auto" w:fill="FFFFFF" w:themeFill="background1"/>
          </w:tcPr>
          <w:p w14:paraId="21FE425C" w14:textId="1C74127A" w:rsidR="0016462F" w:rsidRPr="00D2258D" w:rsidRDefault="00B44BB3" w:rsidP="363CA695">
            <w:pPr>
              <w:spacing w:after="0" w:line="240" w:lineRule="auto"/>
              <w:rPr>
                <w:sz w:val="20"/>
                <w:szCs w:val="20"/>
              </w:rPr>
            </w:pPr>
            <w:r w:rsidRPr="00D2258D">
              <w:rPr>
                <w:rStyle w:val="cf01"/>
                <w:rFonts w:asciiTheme="minorHAnsi" w:hAnsiTheme="minorHAnsi" w:cstheme="minorBidi"/>
                <w:sz w:val="20"/>
                <w:szCs w:val="20"/>
              </w:rPr>
              <w:t>If the Quantum process should fail, action is required to be taken by offices/units (for budget errors), by BMS/ITM (for Oracle technical errors), or by BMS/OF</w:t>
            </w:r>
            <w:r w:rsidR="00A40A72">
              <w:rPr>
                <w:rStyle w:val="cf01"/>
                <w:rFonts w:asciiTheme="minorHAnsi" w:hAnsiTheme="minorHAnsi" w:cstheme="minorBidi"/>
                <w:sz w:val="20"/>
                <w:szCs w:val="20"/>
              </w:rPr>
              <w:t>R</w:t>
            </w:r>
            <w:r w:rsidRPr="00D2258D">
              <w:rPr>
                <w:rStyle w:val="cf01"/>
                <w:rFonts w:asciiTheme="minorHAnsi" w:hAnsiTheme="minorHAnsi" w:cstheme="minorBidi"/>
                <w:sz w:val="20"/>
                <w:szCs w:val="20"/>
              </w:rPr>
              <w:t>M (if cross validation rules need modifying).</w:t>
            </w:r>
          </w:p>
        </w:tc>
      </w:tr>
      <w:tr w:rsidR="00B27D72" w:rsidRPr="00EF3982" w14:paraId="712B4D03" w14:textId="77777777" w:rsidTr="363CA695">
        <w:trPr>
          <w:trHeight w:val="20"/>
        </w:trPr>
        <w:tc>
          <w:tcPr>
            <w:tcW w:w="355" w:type="dxa"/>
            <w:shd w:val="clear" w:color="auto" w:fill="FFFFFF" w:themeFill="background1"/>
          </w:tcPr>
          <w:p w14:paraId="07EE2318"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9</w:t>
            </w:r>
          </w:p>
        </w:tc>
        <w:tc>
          <w:tcPr>
            <w:tcW w:w="2075" w:type="dxa"/>
            <w:shd w:val="clear" w:color="auto" w:fill="FFFFFF" w:themeFill="background1"/>
            <w:tcMar>
              <w:top w:w="0" w:type="dxa"/>
              <w:left w:w="108" w:type="dxa"/>
              <w:bottom w:w="0" w:type="dxa"/>
              <w:right w:w="108" w:type="dxa"/>
            </w:tcMar>
          </w:tcPr>
          <w:p w14:paraId="55C4F1F6" w14:textId="44DEE7DB" w:rsidR="0016462F" w:rsidRPr="00D2258D" w:rsidRDefault="0016462F" w:rsidP="00CF32EB">
            <w:pPr>
              <w:spacing w:after="0" w:line="240" w:lineRule="auto"/>
              <w:rPr>
                <w:rFonts w:cstheme="minorHAnsi"/>
                <w:sz w:val="20"/>
                <w:szCs w:val="20"/>
              </w:rPr>
            </w:pPr>
            <w:r w:rsidRPr="00D2258D">
              <w:rPr>
                <w:rFonts w:cstheme="minorHAnsi"/>
                <w:sz w:val="20"/>
                <w:szCs w:val="20"/>
              </w:rPr>
              <w:t>Perform sample checks</w:t>
            </w:r>
            <w:r w:rsidR="00FE2EF2" w:rsidRPr="00D2258D">
              <w:rPr>
                <w:rFonts w:cstheme="minorHAnsi"/>
                <w:sz w:val="20"/>
                <w:szCs w:val="20"/>
              </w:rPr>
              <w:t xml:space="preserve"> at pay-cycle stage</w:t>
            </w:r>
          </w:p>
        </w:tc>
        <w:tc>
          <w:tcPr>
            <w:tcW w:w="3330" w:type="dxa"/>
            <w:shd w:val="clear" w:color="auto" w:fill="FFFFFF" w:themeFill="background1"/>
            <w:tcMar>
              <w:top w:w="0" w:type="dxa"/>
              <w:left w:w="108" w:type="dxa"/>
              <w:bottom w:w="0" w:type="dxa"/>
              <w:right w:w="108" w:type="dxa"/>
            </w:tcMar>
          </w:tcPr>
          <w:p w14:paraId="7F834494" w14:textId="77777777" w:rsidR="0016462F" w:rsidRPr="00D2258D" w:rsidRDefault="0016462F" w:rsidP="00CF32EB">
            <w:pPr>
              <w:spacing w:after="0" w:line="240" w:lineRule="auto"/>
              <w:rPr>
                <w:rFonts w:cstheme="minorHAnsi"/>
                <w:sz w:val="20"/>
                <w:szCs w:val="20"/>
              </w:rPr>
            </w:pPr>
            <w:r w:rsidRPr="00D2258D">
              <w:rPr>
                <w:rFonts w:cstheme="minorHAnsi"/>
                <w:sz w:val="20"/>
                <w:szCs w:val="20"/>
              </w:rPr>
              <w:t>BMS/GSSC</w:t>
            </w:r>
          </w:p>
        </w:tc>
        <w:tc>
          <w:tcPr>
            <w:tcW w:w="4230" w:type="dxa"/>
            <w:shd w:val="clear" w:color="auto" w:fill="FFFFFF" w:themeFill="background1"/>
          </w:tcPr>
          <w:p w14:paraId="69EAD647" w14:textId="26DF0FAB" w:rsidR="0016462F" w:rsidRPr="00D2258D" w:rsidRDefault="0016462F" w:rsidP="00CF32EB">
            <w:pPr>
              <w:spacing w:after="0" w:line="240" w:lineRule="auto"/>
              <w:rPr>
                <w:sz w:val="20"/>
                <w:szCs w:val="20"/>
              </w:rPr>
            </w:pPr>
            <w:r w:rsidRPr="00D2258D">
              <w:rPr>
                <w:sz w:val="20"/>
                <w:szCs w:val="20"/>
              </w:rPr>
              <w:t>BMS/GSSC performs sample checks at the pay</w:t>
            </w:r>
            <w:r w:rsidR="00FD51EA" w:rsidRPr="00D2258D">
              <w:rPr>
                <w:sz w:val="20"/>
                <w:szCs w:val="20"/>
              </w:rPr>
              <w:t>-</w:t>
            </w:r>
            <w:r w:rsidRPr="00D2258D">
              <w:rPr>
                <w:sz w:val="20"/>
                <w:szCs w:val="20"/>
              </w:rPr>
              <w:t>cycle stage, including for lower value non-PO transactions.</w:t>
            </w:r>
          </w:p>
        </w:tc>
      </w:tr>
      <w:tr w:rsidR="00147C55" w:rsidRPr="00EF3982" w14:paraId="2F8E64AF" w14:textId="77777777" w:rsidTr="363CA695">
        <w:trPr>
          <w:trHeight w:val="20"/>
        </w:trPr>
        <w:tc>
          <w:tcPr>
            <w:tcW w:w="355" w:type="dxa"/>
            <w:shd w:val="clear" w:color="auto" w:fill="FFFFFF" w:themeFill="background1"/>
          </w:tcPr>
          <w:p w14:paraId="25366986" w14:textId="77777777" w:rsidR="001A1098" w:rsidRPr="00D2258D" w:rsidRDefault="001A1098" w:rsidP="00CF32EB">
            <w:pPr>
              <w:spacing w:after="0" w:line="240" w:lineRule="auto"/>
              <w:rPr>
                <w:rFonts w:cstheme="minorHAnsi"/>
                <w:sz w:val="20"/>
                <w:szCs w:val="20"/>
              </w:rPr>
            </w:pPr>
            <w:r w:rsidRPr="00D2258D">
              <w:rPr>
                <w:rFonts w:cstheme="minorHAnsi"/>
                <w:sz w:val="20"/>
                <w:szCs w:val="20"/>
              </w:rPr>
              <w:t>10</w:t>
            </w:r>
          </w:p>
        </w:tc>
        <w:tc>
          <w:tcPr>
            <w:tcW w:w="9635" w:type="dxa"/>
            <w:gridSpan w:val="3"/>
            <w:shd w:val="clear" w:color="auto" w:fill="FFFFFF" w:themeFill="background1"/>
            <w:tcMar>
              <w:top w:w="0" w:type="dxa"/>
              <w:left w:w="108" w:type="dxa"/>
              <w:bottom w:w="0" w:type="dxa"/>
              <w:right w:w="108" w:type="dxa"/>
            </w:tcMar>
          </w:tcPr>
          <w:p w14:paraId="3D2E2D58" w14:textId="3DDDAC9C" w:rsidR="001A1098" w:rsidRPr="00D2258D" w:rsidRDefault="001A1098" w:rsidP="00CF32EB">
            <w:pPr>
              <w:spacing w:after="0" w:line="240" w:lineRule="auto"/>
              <w:rPr>
                <w:sz w:val="20"/>
                <w:szCs w:val="20"/>
              </w:rPr>
            </w:pPr>
            <w:r w:rsidRPr="00D2258D">
              <w:rPr>
                <w:rFonts w:cstheme="minorHAnsi"/>
                <w:sz w:val="20"/>
                <w:szCs w:val="20"/>
              </w:rPr>
              <w:t>Same as for steps 19-</w:t>
            </w:r>
            <w:r w:rsidR="009075C6" w:rsidRPr="00D2258D">
              <w:rPr>
                <w:rFonts w:cstheme="minorHAnsi"/>
                <w:sz w:val="20"/>
                <w:szCs w:val="20"/>
              </w:rPr>
              <w:t xml:space="preserve">20 </w:t>
            </w:r>
            <w:r w:rsidRPr="00D2258D">
              <w:rPr>
                <w:rFonts w:cstheme="minorHAnsi"/>
                <w:sz w:val="20"/>
                <w:szCs w:val="20"/>
              </w:rPr>
              <w:t>above</w:t>
            </w:r>
          </w:p>
        </w:tc>
      </w:tr>
    </w:tbl>
    <w:p w14:paraId="671B8F31" w14:textId="77777777" w:rsidR="009075C6" w:rsidRDefault="009075C6" w:rsidP="009075C6"/>
    <w:p w14:paraId="7089E724" w14:textId="77777777" w:rsidR="009075C6" w:rsidRDefault="009075C6">
      <w:pPr>
        <w:rPr>
          <w:rFonts w:asciiTheme="majorHAnsi" w:eastAsiaTheme="majorEastAsia" w:hAnsiTheme="majorHAnsi" w:cstheme="majorBidi"/>
          <w:color w:val="2F5496" w:themeColor="accent1" w:themeShade="BF"/>
          <w:sz w:val="32"/>
          <w:szCs w:val="32"/>
        </w:rPr>
      </w:pPr>
      <w:r>
        <w:br w:type="page"/>
      </w:r>
    </w:p>
    <w:p w14:paraId="5CF63355" w14:textId="27512F22" w:rsidR="00071643" w:rsidRDefault="00071643" w:rsidP="00397C9D">
      <w:pPr>
        <w:pStyle w:val="Heading1"/>
        <w:spacing w:after="240"/>
      </w:pPr>
      <w:bookmarkStart w:id="126" w:name="_Annex_6:_Overview"/>
      <w:bookmarkStart w:id="127" w:name="_Toc210052800"/>
      <w:bookmarkEnd w:id="126"/>
      <w:r>
        <w:lastRenderedPageBreak/>
        <w:t xml:space="preserve">Annex </w:t>
      </w:r>
      <w:r w:rsidR="006723C5">
        <w:t>6</w:t>
      </w:r>
      <w:r>
        <w:t xml:space="preserve">: Overview of </w:t>
      </w:r>
      <w:r w:rsidR="00A10604">
        <w:t>segregation of duties &amp; other</w:t>
      </w:r>
      <w:r w:rsidR="00E526B2">
        <w:t xml:space="preserve"> controls </w:t>
      </w:r>
      <w:r w:rsidR="00A10604">
        <w:t>&amp;</w:t>
      </w:r>
      <w:r w:rsidR="00E526B2">
        <w:t xml:space="preserve"> how enforced</w:t>
      </w:r>
      <w:bookmarkEnd w:id="127"/>
    </w:p>
    <w:tbl>
      <w:tblPr>
        <w:tblW w:w="1035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2" w:type="dxa"/>
          <w:bottom w:w="43" w:type="dxa"/>
          <w:right w:w="72" w:type="dxa"/>
        </w:tblCellMar>
        <w:tblLook w:val="01E0" w:firstRow="1" w:lastRow="1" w:firstColumn="1" w:lastColumn="1" w:noHBand="0" w:noVBand="0"/>
      </w:tblPr>
      <w:tblGrid>
        <w:gridCol w:w="2160"/>
        <w:gridCol w:w="4950"/>
        <w:gridCol w:w="3240"/>
      </w:tblGrid>
      <w:tr w:rsidR="003B102F" w:rsidRPr="00963907" w14:paraId="411FFA22" w14:textId="13300CE4" w:rsidTr="363CA695">
        <w:trPr>
          <w:trHeight w:val="20"/>
          <w:tblHeader/>
        </w:trPr>
        <w:tc>
          <w:tcPr>
            <w:tcW w:w="10350" w:type="dxa"/>
            <w:gridSpan w:val="3"/>
            <w:shd w:val="clear" w:color="auto" w:fill="1F4E79" w:themeFill="accent5" w:themeFillShade="80"/>
          </w:tcPr>
          <w:p w14:paraId="356B4DB6" w14:textId="72F5F5B9" w:rsidR="00532E13" w:rsidRPr="00963907" w:rsidRDefault="00532E13" w:rsidP="00C26CCF">
            <w:pPr>
              <w:spacing w:after="0" w:line="240" w:lineRule="auto"/>
              <w:rPr>
                <w:rFonts w:cstheme="minorHAnsi"/>
                <w:b/>
                <w:bCs/>
                <w:color w:val="FFFFFF" w:themeColor="background1"/>
                <w:sz w:val="20"/>
                <w:szCs w:val="20"/>
              </w:rPr>
            </w:pPr>
            <w:r w:rsidRPr="00963907">
              <w:rPr>
                <w:rFonts w:cstheme="minorHAnsi"/>
                <w:b/>
                <w:bCs/>
                <w:color w:val="FFFFFF" w:themeColor="background1"/>
                <w:sz w:val="20"/>
                <w:szCs w:val="20"/>
              </w:rPr>
              <w:t>Finance Business Profiles &amp; Supplementary Roles</w:t>
            </w:r>
          </w:p>
        </w:tc>
      </w:tr>
      <w:tr w:rsidR="0082782F" w:rsidRPr="00963907" w14:paraId="1A8E779F" w14:textId="08800BCD" w:rsidTr="363CA695">
        <w:trPr>
          <w:trHeight w:val="20"/>
          <w:tblHeader/>
        </w:trPr>
        <w:tc>
          <w:tcPr>
            <w:tcW w:w="2160" w:type="dxa"/>
            <w:shd w:val="clear" w:color="auto" w:fill="D5DCE4" w:themeFill="text2" w:themeFillTint="33"/>
          </w:tcPr>
          <w:p w14:paraId="02CBAEC4"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Role</w:t>
            </w:r>
          </w:p>
        </w:tc>
        <w:tc>
          <w:tcPr>
            <w:tcW w:w="4950" w:type="dxa"/>
            <w:shd w:val="clear" w:color="auto" w:fill="D5DCE4" w:themeFill="text2" w:themeFillTint="33"/>
          </w:tcPr>
          <w:p w14:paraId="5AFC4275" w14:textId="77777777" w:rsidR="00532E13" w:rsidRPr="00963907" w:rsidRDefault="00532E13" w:rsidP="00C26CCF">
            <w:pPr>
              <w:spacing w:after="0" w:line="240" w:lineRule="auto"/>
              <w:rPr>
                <w:rFonts w:cstheme="minorHAnsi"/>
                <w:b/>
                <w:bCs/>
                <w:sz w:val="20"/>
                <w:szCs w:val="20"/>
              </w:rPr>
            </w:pPr>
            <w:r w:rsidRPr="00963907">
              <w:rPr>
                <w:rFonts w:cstheme="minorHAnsi"/>
                <w:b/>
                <w:bCs/>
                <w:sz w:val="20"/>
                <w:szCs w:val="20"/>
              </w:rPr>
              <w:t>Provisions (functions this Role CANNOT perform …)</w:t>
            </w:r>
          </w:p>
        </w:tc>
        <w:tc>
          <w:tcPr>
            <w:tcW w:w="3240" w:type="dxa"/>
            <w:shd w:val="clear" w:color="auto" w:fill="D5DCE4" w:themeFill="text2" w:themeFillTint="33"/>
          </w:tcPr>
          <w:p w14:paraId="335173A4" w14:textId="6730EAB7" w:rsidR="00532E13" w:rsidRPr="00963907" w:rsidRDefault="00963907" w:rsidP="00C26CCF">
            <w:pPr>
              <w:spacing w:after="0" w:line="240" w:lineRule="auto"/>
              <w:rPr>
                <w:rFonts w:cstheme="minorHAnsi"/>
                <w:b/>
                <w:bCs/>
                <w:sz w:val="20"/>
                <w:szCs w:val="20"/>
              </w:rPr>
            </w:pPr>
            <w:r>
              <w:rPr>
                <w:rFonts w:cstheme="minorHAnsi"/>
                <w:b/>
                <w:bCs/>
                <w:sz w:val="20"/>
                <w:szCs w:val="20"/>
              </w:rPr>
              <w:t>ERP Enforced</w:t>
            </w:r>
          </w:p>
        </w:tc>
      </w:tr>
      <w:tr w:rsidR="007B1BE3" w:rsidRPr="00963907" w14:paraId="7F117AB2" w14:textId="3EEBE7FC" w:rsidTr="363CA695">
        <w:trPr>
          <w:trHeight w:val="20"/>
        </w:trPr>
        <w:tc>
          <w:tcPr>
            <w:tcW w:w="2160" w:type="dxa"/>
            <w:vMerge w:val="restart"/>
          </w:tcPr>
          <w:p w14:paraId="37010E77" w14:textId="727ED664" w:rsidR="008D7832" w:rsidRPr="00963907" w:rsidRDefault="008D7832" w:rsidP="00C26CCF">
            <w:pPr>
              <w:spacing w:after="0" w:line="240" w:lineRule="auto"/>
              <w:rPr>
                <w:rFonts w:cstheme="minorHAnsi"/>
                <w:sz w:val="20"/>
                <w:szCs w:val="20"/>
              </w:rPr>
            </w:pPr>
            <w:r w:rsidRPr="00963907">
              <w:rPr>
                <w:rFonts w:cstheme="minorHAnsi"/>
                <w:sz w:val="20"/>
                <w:szCs w:val="20"/>
              </w:rPr>
              <w:t>Project manager</w:t>
            </w:r>
            <w:r>
              <w:rPr>
                <w:rFonts w:cstheme="minorHAnsi"/>
                <w:sz w:val="20"/>
                <w:szCs w:val="20"/>
              </w:rPr>
              <w:t xml:space="preserve"> </w:t>
            </w:r>
            <w:r w:rsidRPr="00963907">
              <w:rPr>
                <w:rFonts w:cstheme="minorHAnsi"/>
                <w:i/>
                <w:iCs/>
                <w:sz w:val="20"/>
                <w:szCs w:val="20"/>
              </w:rPr>
              <w:t>(1</w:t>
            </w:r>
            <w:r w:rsidR="00602A61" w:rsidRPr="00602A61">
              <w:rPr>
                <w:rFonts w:cstheme="minorHAnsi"/>
                <w:i/>
                <w:iCs/>
                <w:sz w:val="20"/>
                <w:szCs w:val="20"/>
                <w:vertAlign w:val="superscript"/>
              </w:rPr>
              <w:t>st</w:t>
            </w:r>
            <w:r w:rsidR="00602A61">
              <w:rPr>
                <w:rFonts w:cstheme="minorHAnsi"/>
                <w:i/>
                <w:iCs/>
                <w:sz w:val="20"/>
                <w:szCs w:val="20"/>
              </w:rPr>
              <w:t xml:space="preserve"> </w:t>
            </w:r>
            <w:r w:rsidRPr="00963907">
              <w:rPr>
                <w:rFonts w:cstheme="minorHAnsi"/>
                <w:i/>
                <w:iCs/>
                <w:sz w:val="20"/>
                <w:szCs w:val="20"/>
              </w:rPr>
              <w:t>Authority)</w:t>
            </w:r>
          </w:p>
        </w:tc>
        <w:tc>
          <w:tcPr>
            <w:tcW w:w="4950" w:type="dxa"/>
          </w:tcPr>
          <w:p w14:paraId="6DEB831A" w14:textId="467FB8FD"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Approving Manager (2</w:t>
            </w:r>
            <w:r w:rsidRPr="00D2258D">
              <w:rPr>
                <w:rFonts w:cstheme="minorHAnsi"/>
                <w:sz w:val="20"/>
                <w:szCs w:val="20"/>
                <w:vertAlign w:val="superscript"/>
              </w:rPr>
              <w:t>nd</w:t>
            </w:r>
            <w:r w:rsidRPr="00D2258D">
              <w:rPr>
                <w:rFonts w:cstheme="minorHAnsi"/>
                <w:sz w:val="20"/>
                <w:szCs w:val="20"/>
              </w:rPr>
              <w:t xml:space="preserve"> authority) profile, with exceptions allowed for RR/DRR/OM (or HQ-equivalent)</w:t>
            </w:r>
          </w:p>
        </w:tc>
        <w:tc>
          <w:tcPr>
            <w:tcW w:w="3240" w:type="dxa"/>
          </w:tcPr>
          <w:p w14:paraId="7B2F81DD" w14:textId="36D917FB" w:rsidR="008D7832" w:rsidRPr="00D2258D" w:rsidRDefault="008D7832" w:rsidP="363CA695">
            <w:pPr>
              <w:widowControl w:val="0"/>
              <w:autoSpaceDE w:val="0"/>
              <w:autoSpaceDN w:val="0"/>
              <w:spacing w:after="0" w:line="240" w:lineRule="auto"/>
              <w:rPr>
                <w:sz w:val="20"/>
                <w:szCs w:val="20"/>
              </w:rPr>
            </w:pPr>
            <w:r w:rsidRPr="00D2258D">
              <w:rPr>
                <w:sz w:val="20"/>
                <w:szCs w:val="20"/>
              </w:rPr>
              <w:t xml:space="preserve">Partially. </w:t>
            </w:r>
            <w:r w:rsidR="00602A61" w:rsidRPr="00D2258D">
              <w:rPr>
                <w:sz w:val="20"/>
                <w:szCs w:val="20"/>
              </w:rPr>
              <w:t>Violations monitored through ICF Monitoring Reports. Refer Annex 1.</w:t>
            </w:r>
          </w:p>
        </w:tc>
      </w:tr>
      <w:tr w:rsidR="007B1BE3" w:rsidRPr="00963907" w14:paraId="32A143F8" w14:textId="77777777" w:rsidTr="363CA695">
        <w:trPr>
          <w:trHeight w:val="20"/>
        </w:trPr>
        <w:tc>
          <w:tcPr>
            <w:tcW w:w="2160" w:type="dxa"/>
            <w:vMerge/>
          </w:tcPr>
          <w:p w14:paraId="162BD2D6" w14:textId="77777777" w:rsidR="008D7832" w:rsidRPr="00963907" w:rsidRDefault="008D7832" w:rsidP="00C26CCF">
            <w:pPr>
              <w:spacing w:after="0" w:line="240" w:lineRule="auto"/>
              <w:rPr>
                <w:rFonts w:cstheme="minorHAnsi"/>
                <w:sz w:val="20"/>
                <w:szCs w:val="20"/>
              </w:rPr>
            </w:pPr>
          </w:p>
        </w:tc>
        <w:tc>
          <w:tcPr>
            <w:tcW w:w="4950" w:type="dxa"/>
          </w:tcPr>
          <w:p w14:paraId="2A442BEB" w14:textId="0F383E55"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Perform 1</w:t>
            </w:r>
            <w:r w:rsidRPr="00D2258D">
              <w:rPr>
                <w:rFonts w:cstheme="minorHAnsi"/>
                <w:sz w:val="20"/>
                <w:szCs w:val="20"/>
                <w:vertAlign w:val="superscript"/>
              </w:rPr>
              <w:t xml:space="preserve">st </w:t>
            </w:r>
            <w:r w:rsidRPr="00D2258D">
              <w:rPr>
                <w:rFonts w:cstheme="minorHAnsi"/>
                <w:sz w:val="20"/>
                <w:szCs w:val="20"/>
              </w:rPr>
              <w:t>and 2</w:t>
            </w:r>
            <w:r w:rsidRPr="00D2258D">
              <w:rPr>
                <w:rFonts w:cstheme="minorHAnsi"/>
                <w:sz w:val="20"/>
                <w:szCs w:val="20"/>
                <w:vertAlign w:val="superscript"/>
              </w:rPr>
              <w:t>nd</w:t>
            </w:r>
            <w:r w:rsidRPr="00D2258D">
              <w:rPr>
                <w:rFonts w:cstheme="minorHAnsi"/>
                <w:sz w:val="20"/>
                <w:szCs w:val="20"/>
              </w:rPr>
              <w:t xml:space="preserve"> authority on the same transaction</w:t>
            </w:r>
          </w:p>
        </w:tc>
        <w:tc>
          <w:tcPr>
            <w:tcW w:w="3240" w:type="dxa"/>
          </w:tcPr>
          <w:p w14:paraId="1455977D" w14:textId="6647D685" w:rsidR="008D7832" w:rsidRPr="00D2258D" w:rsidRDefault="008D7832" w:rsidP="00532E13">
            <w:pPr>
              <w:widowControl w:val="0"/>
              <w:autoSpaceDE w:val="0"/>
              <w:autoSpaceDN w:val="0"/>
              <w:spacing w:after="0" w:line="240" w:lineRule="auto"/>
              <w:rPr>
                <w:rFonts w:cstheme="minorHAnsi"/>
                <w:sz w:val="20"/>
                <w:szCs w:val="20"/>
              </w:rPr>
            </w:pPr>
            <w:r w:rsidRPr="00D2258D">
              <w:rPr>
                <w:rFonts w:cstheme="minorHAnsi"/>
                <w:sz w:val="20"/>
                <w:szCs w:val="20"/>
              </w:rPr>
              <w:t xml:space="preserve">Partially. </w:t>
            </w:r>
            <w:r w:rsidR="00602A61" w:rsidRPr="00D2258D">
              <w:rPr>
                <w:rFonts w:cstheme="minorHAnsi"/>
                <w:sz w:val="20"/>
                <w:szCs w:val="20"/>
              </w:rPr>
              <w:t xml:space="preserve">Cannot approve requisition and related PO. </w:t>
            </w:r>
          </w:p>
        </w:tc>
      </w:tr>
      <w:tr w:rsidR="007B1BE3" w:rsidRPr="00963907" w14:paraId="586EDD87" w14:textId="77777777" w:rsidTr="363CA695">
        <w:trPr>
          <w:trHeight w:val="20"/>
        </w:trPr>
        <w:tc>
          <w:tcPr>
            <w:tcW w:w="2160" w:type="dxa"/>
            <w:vMerge/>
          </w:tcPr>
          <w:p w14:paraId="6B8B4291" w14:textId="77777777" w:rsidR="008D7832" w:rsidRPr="00963907" w:rsidRDefault="008D7832" w:rsidP="00C26CCF">
            <w:pPr>
              <w:spacing w:after="0" w:line="240" w:lineRule="auto"/>
              <w:rPr>
                <w:rFonts w:cstheme="minorHAnsi"/>
                <w:sz w:val="20"/>
                <w:szCs w:val="20"/>
              </w:rPr>
            </w:pPr>
          </w:p>
        </w:tc>
        <w:tc>
          <w:tcPr>
            <w:tcW w:w="4950" w:type="dxa"/>
          </w:tcPr>
          <w:p w14:paraId="5885B57A" w14:textId="30CA6084" w:rsidR="008D7832" w:rsidRPr="00D2258D" w:rsidRDefault="008D7832">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a Disbursing Officer (3</w:t>
            </w:r>
            <w:r w:rsidRPr="00D2258D">
              <w:rPr>
                <w:rFonts w:cstheme="minorHAnsi"/>
                <w:sz w:val="20"/>
                <w:szCs w:val="20"/>
                <w:vertAlign w:val="superscript"/>
              </w:rPr>
              <w:t>rd</w:t>
            </w:r>
            <w:r w:rsidRPr="00D2258D">
              <w:rPr>
                <w:rFonts w:cstheme="minorHAnsi"/>
                <w:sz w:val="20"/>
                <w:szCs w:val="20"/>
              </w:rPr>
              <w:t xml:space="preserve"> authority) profile</w:t>
            </w:r>
          </w:p>
        </w:tc>
        <w:tc>
          <w:tcPr>
            <w:tcW w:w="3240" w:type="dxa"/>
          </w:tcPr>
          <w:p w14:paraId="1C8FEC74" w14:textId="51D3D543" w:rsidR="008D7832" w:rsidRPr="00D2258D" w:rsidRDefault="008D7832"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2F8AAB8" w14:textId="5CC6BD31" w:rsidTr="363CA695">
        <w:trPr>
          <w:trHeight w:val="20"/>
        </w:trPr>
        <w:tc>
          <w:tcPr>
            <w:tcW w:w="2160" w:type="dxa"/>
            <w:vMerge w:val="restart"/>
          </w:tcPr>
          <w:p w14:paraId="0E4C1800" w14:textId="72E68D7A" w:rsidR="00602A61" w:rsidRPr="00963907" w:rsidRDefault="00602A61" w:rsidP="00C26CCF">
            <w:pPr>
              <w:spacing w:after="0" w:line="240" w:lineRule="auto"/>
              <w:rPr>
                <w:rFonts w:cstheme="minorHAnsi"/>
                <w:sz w:val="20"/>
                <w:szCs w:val="20"/>
              </w:rPr>
            </w:pPr>
            <w:r w:rsidRPr="00963907">
              <w:rPr>
                <w:rFonts w:cstheme="minorHAnsi"/>
                <w:sz w:val="20"/>
                <w:szCs w:val="20"/>
              </w:rPr>
              <w:t xml:space="preserve">Approving manager (Manager L1-2, SM) </w:t>
            </w:r>
            <w:r w:rsidRPr="00963907">
              <w:rPr>
                <w:rFonts w:cstheme="minorHAnsi"/>
                <w:i/>
                <w:iCs/>
                <w:sz w:val="20"/>
                <w:szCs w:val="20"/>
              </w:rPr>
              <w:t>(2</w:t>
            </w:r>
            <w:r w:rsidRPr="00602A61">
              <w:rPr>
                <w:rFonts w:cstheme="minorHAnsi"/>
                <w:i/>
                <w:iCs/>
                <w:sz w:val="20"/>
                <w:szCs w:val="20"/>
                <w:vertAlign w:val="superscript"/>
              </w:rPr>
              <w:t>nd</w:t>
            </w:r>
            <w:r>
              <w:rPr>
                <w:rFonts w:cstheme="minorHAnsi"/>
                <w:i/>
                <w:iCs/>
                <w:sz w:val="20"/>
                <w:szCs w:val="20"/>
              </w:rPr>
              <w:t xml:space="preserve"> </w:t>
            </w:r>
            <w:r w:rsidRPr="00963907">
              <w:rPr>
                <w:rFonts w:cstheme="minorHAnsi"/>
                <w:i/>
                <w:iCs/>
                <w:sz w:val="20"/>
                <w:szCs w:val="20"/>
              </w:rPr>
              <w:t>Authority)</w:t>
            </w:r>
          </w:p>
        </w:tc>
        <w:tc>
          <w:tcPr>
            <w:tcW w:w="4950" w:type="dxa"/>
          </w:tcPr>
          <w:p w14:paraId="66749EB0" w14:textId="76F912CD"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Hold Project Manager (1</w:t>
            </w:r>
            <w:r w:rsidRPr="00D2258D">
              <w:rPr>
                <w:rFonts w:cstheme="minorHAnsi"/>
                <w:sz w:val="20"/>
                <w:szCs w:val="20"/>
                <w:vertAlign w:val="superscript"/>
              </w:rPr>
              <w:t>st</w:t>
            </w:r>
            <w:r w:rsidRPr="00D2258D">
              <w:rPr>
                <w:rFonts w:cstheme="minorHAnsi"/>
                <w:sz w:val="20"/>
                <w:szCs w:val="20"/>
              </w:rPr>
              <w:t xml:space="preserve"> authority) profile, with exceptions allowed for RR/DRR/OM (or HQ-equivalent)</w:t>
            </w:r>
          </w:p>
        </w:tc>
        <w:tc>
          <w:tcPr>
            <w:tcW w:w="3240" w:type="dxa"/>
          </w:tcPr>
          <w:p w14:paraId="4F54DBC3" w14:textId="28E054DE" w:rsidR="00602A61" w:rsidRPr="00D2258D" w:rsidRDefault="00602A61" w:rsidP="363CA695">
            <w:pPr>
              <w:widowControl w:val="0"/>
              <w:autoSpaceDE w:val="0"/>
              <w:autoSpaceDN w:val="0"/>
              <w:spacing w:after="0" w:line="240" w:lineRule="auto"/>
              <w:rPr>
                <w:sz w:val="20"/>
                <w:szCs w:val="20"/>
              </w:rPr>
            </w:pPr>
            <w:r w:rsidRPr="00D2258D">
              <w:rPr>
                <w:sz w:val="20"/>
                <w:szCs w:val="20"/>
              </w:rPr>
              <w:t>Partially. Violations monitored through ICF Monitoring Reports. Refer Annex 1.</w:t>
            </w:r>
          </w:p>
        </w:tc>
      </w:tr>
      <w:tr w:rsidR="007B1BE3" w:rsidRPr="00963907" w14:paraId="17A4A3A1" w14:textId="77777777" w:rsidTr="363CA695">
        <w:trPr>
          <w:trHeight w:val="20"/>
        </w:trPr>
        <w:tc>
          <w:tcPr>
            <w:tcW w:w="2160" w:type="dxa"/>
            <w:vMerge/>
          </w:tcPr>
          <w:p w14:paraId="4C94501F" w14:textId="77777777" w:rsidR="00602A61" w:rsidRPr="00963907" w:rsidRDefault="00602A61" w:rsidP="00C26CCF">
            <w:pPr>
              <w:spacing w:after="0" w:line="240" w:lineRule="auto"/>
              <w:rPr>
                <w:rFonts w:cstheme="minorHAnsi"/>
                <w:sz w:val="20"/>
                <w:szCs w:val="20"/>
              </w:rPr>
            </w:pPr>
          </w:p>
        </w:tc>
        <w:tc>
          <w:tcPr>
            <w:tcW w:w="4950" w:type="dxa"/>
          </w:tcPr>
          <w:p w14:paraId="70D285F5" w14:textId="07BA2E8A"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Be a 3</w:t>
            </w:r>
            <w:r w:rsidRPr="00D2258D">
              <w:rPr>
                <w:rFonts w:cstheme="minorHAnsi"/>
                <w:sz w:val="20"/>
                <w:szCs w:val="20"/>
                <w:vertAlign w:val="superscript"/>
              </w:rPr>
              <w:t>rd</w:t>
            </w:r>
            <w:r w:rsidRPr="00D2258D">
              <w:rPr>
                <w:rFonts w:cstheme="minorHAnsi"/>
                <w:sz w:val="20"/>
                <w:szCs w:val="20"/>
              </w:rPr>
              <w:t xml:space="preserve"> Authority</w:t>
            </w:r>
          </w:p>
        </w:tc>
        <w:tc>
          <w:tcPr>
            <w:tcW w:w="3240" w:type="dxa"/>
          </w:tcPr>
          <w:p w14:paraId="5769F9E5" w14:textId="15199B92" w:rsidR="00602A61" w:rsidRPr="00D2258D" w:rsidRDefault="00602A6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6C4325E" w14:textId="77777777" w:rsidTr="363CA695">
        <w:trPr>
          <w:trHeight w:val="20"/>
        </w:trPr>
        <w:tc>
          <w:tcPr>
            <w:tcW w:w="2160" w:type="dxa"/>
            <w:vMerge/>
          </w:tcPr>
          <w:p w14:paraId="2D468EF1" w14:textId="77777777" w:rsidR="00602A61" w:rsidRPr="00963907" w:rsidRDefault="00602A61" w:rsidP="00C26CCF">
            <w:pPr>
              <w:spacing w:after="0" w:line="240" w:lineRule="auto"/>
              <w:rPr>
                <w:rFonts w:cstheme="minorHAnsi"/>
                <w:sz w:val="20"/>
                <w:szCs w:val="20"/>
              </w:rPr>
            </w:pPr>
          </w:p>
        </w:tc>
        <w:tc>
          <w:tcPr>
            <w:tcW w:w="4950" w:type="dxa"/>
          </w:tcPr>
          <w:p w14:paraId="06E687ED" w14:textId="60CBB9D5" w:rsidR="00602A61" w:rsidRPr="00D2258D" w:rsidRDefault="00602A61">
            <w:pPr>
              <w:pStyle w:val="ListParagraph"/>
              <w:widowControl w:val="0"/>
              <w:numPr>
                <w:ilvl w:val="0"/>
                <w:numId w:val="88"/>
              </w:numPr>
              <w:autoSpaceDE w:val="0"/>
              <w:autoSpaceDN w:val="0"/>
              <w:spacing w:after="0" w:line="240" w:lineRule="auto"/>
              <w:ind w:left="265" w:hanging="265"/>
              <w:rPr>
                <w:rFonts w:cstheme="minorHAnsi"/>
                <w:sz w:val="20"/>
                <w:szCs w:val="20"/>
              </w:rPr>
            </w:pPr>
            <w:r w:rsidRPr="00D2258D">
              <w:rPr>
                <w:rFonts w:cstheme="minorHAnsi"/>
                <w:sz w:val="20"/>
                <w:szCs w:val="20"/>
              </w:rPr>
              <w:t>Act as Approving Manager on own projects</w:t>
            </w:r>
            <w:r w:rsidR="001C1A5E">
              <w:rPr>
                <w:rFonts w:cstheme="minorHAnsi"/>
                <w:sz w:val="20"/>
                <w:szCs w:val="20"/>
              </w:rPr>
              <w:t xml:space="preserve"> (development or management)</w:t>
            </w:r>
            <w:r w:rsidRPr="00D2258D">
              <w:rPr>
                <w:rFonts w:cstheme="minorHAnsi"/>
                <w:sz w:val="20"/>
                <w:szCs w:val="20"/>
              </w:rPr>
              <w:t>, as it is a conflict of interest</w:t>
            </w:r>
          </w:p>
        </w:tc>
        <w:tc>
          <w:tcPr>
            <w:tcW w:w="3240" w:type="dxa"/>
          </w:tcPr>
          <w:p w14:paraId="54F93071" w14:textId="1F96F2B9" w:rsidR="00602A61" w:rsidRPr="00D2258D" w:rsidRDefault="00602A61" w:rsidP="363CA695">
            <w:pPr>
              <w:widowControl w:val="0"/>
              <w:autoSpaceDE w:val="0"/>
              <w:autoSpaceDN w:val="0"/>
              <w:spacing w:after="0" w:line="240" w:lineRule="auto"/>
              <w:rPr>
                <w:sz w:val="20"/>
                <w:szCs w:val="20"/>
              </w:rPr>
            </w:pPr>
            <w:r w:rsidRPr="00D2258D">
              <w:rPr>
                <w:sz w:val="20"/>
                <w:szCs w:val="20"/>
              </w:rPr>
              <w:t>No. Violations monitored through ICF Monitoring Reports. Refer Annex 1.</w:t>
            </w:r>
          </w:p>
        </w:tc>
      </w:tr>
      <w:tr w:rsidR="007B1BE3" w:rsidRPr="00963907" w14:paraId="3D722C93" w14:textId="0F5B8001" w:rsidTr="363CA695">
        <w:trPr>
          <w:trHeight w:val="20"/>
        </w:trPr>
        <w:tc>
          <w:tcPr>
            <w:tcW w:w="2160" w:type="dxa"/>
          </w:tcPr>
          <w:p w14:paraId="55A14F28" w14:textId="7AF3A8C7" w:rsidR="00532E13" w:rsidRPr="00963907" w:rsidRDefault="00532E13" w:rsidP="00C26CCF">
            <w:pPr>
              <w:spacing w:after="0" w:line="240" w:lineRule="auto"/>
              <w:rPr>
                <w:rFonts w:cstheme="minorHAnsi"/>
                <w:sz w:val="20"/>
                <w:szCs w:val="20"/>
              </w:rPr>
            </w:pPr>
            <w:r w:rsidRPr="00963907">
              <w:rPr>
                <w:rFonts w:cstheme="minorHAnsi"/>
                <w:sz w:val="20"/>
                <w:szCs w:val="20"/>
              </w:rPr>
              <w:t>Disbursing officer</w:t>
            </w:r>
            <w:r w:rsidR="00963907">
              <w:rPr>
                <w:rFonts w:cstheme="minorHAnsi"/>
                <w:sz w:val="20"/>
                <w:szCs w:val="20"/>
              </w:rPr>
              <w:t xml:space="preserve"> </w:t>
            </w:r>
            <w:r w:rsidRPr="00963907">
              <w:rPr>
                <w:rFonts w:cstheme="minorHAnsi"/>
                <w:i/>
                <w:iCs/>
                <w:sz w:val="20"/>
                <w:szCs w:val="20"/>
              </w:rPr>
              <w:t>(3</w:t>
            </w:r>
            <w:r w:rsidR="00602A61" w:rsidRPr="00602A61">
              <w:rPr>
                <w:rFonts w:cstheme="minorHAnsi"/>
                <w:i/>
                <w:iCs/>
                <w:sz w:val="20"/>
                <w:szCs w:val="20"/>
                <w:vertAlign w:val="superscript"/>
              </w:rPr>
              <w:t>rd</w:t>
            </w:r>
            <w:r w:rsidR="00602A61">
              <w:rPr>
                <w:rFonts w:cstheme="minorHAnsi"/>
                <w:i/>
                <w:iCs/>
                <w:sz w:val="20"/>
                <w:szCs w:val="20"/>
              </w:rPr>
              <w:t xml:space="preserve"> </w:t>
            </w:r>
            <w:r w:rsidRPr="00963907">
              <w:rPr>
                <w:rFonts w:cstheme="minorHAnsi"/>
                <w:i/>
                <w:iCs/>
                <w:sz w:val="20"/>
                <w:szCs w:val="20"/>
              </w:rPr>
              <w:t>Authority)</w:t>
            </w:r>
          </w:p>
        </w:tc>
        <w:tc>
          <w:tcPr>
            <w:tcW w:w="4950" w:type="dxa"/>
          </w:tcPr>
          <w:p w14:paraId="28669018" w14:textId="38BE0904"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a 1</w:t>
            </w:r>
            <w:r w:rsidR="00602A61" w:rsidRPr="00D2258D">
              <w:rPr>
                <w:rFonts w:cstheme="minorHAnsi"/>
                <w:sz w:val="20"/>
                <w:szCs w:val="20"/>
                <w:vertAlign w:val="superscript"/>
              </w:rPr>
              <w:t>st</w:t>
            </w:r>
            <w:r w:rsidR="00602A61" w:rsidRPr="00D2258D">
              <w:rPr>
                <w:rFonts w:cstheme="minorHAnsi"/>
                <w:sz w:val="20"/>
                <w:szCs w:val="20"/>
              </w:rPr>
              <w:t xml:space="preserve"> </w:t>
            </w:r>
            <w:r w:rsidRPr="00D2258D">
              <w:rPr>
                <w:rFonts w:cstheme="minorHAnsi"/>
                <w:sz w:val="20"/>
                <w:szCs w:val="20"/>
              </w:rPr>
              <w:t>Authority</w:t>
            </w:r>
          </w:p>
          <w:p w14:paraId="01B2A50A" w14:textId="1004A0FF"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a 2</w:t>
            </w:r>
            <w:r w:rsidR="00602A61" w:rsidRPr="00D2258D">
              <w:rPr>
                <w:rFonts w:cstheme="minorHAnsi"/>
                <w:sz w:val="20"/>
                <w:szCs w:val="20"/>
                <w:vertAlign w:val="superscript"/>
              </w:rPr>
              <w:t>nd</w:t>
            </w:r>
            <w:r w:rsidRPr="00D2258D">
              <w:rPr>
                <w:rFonts w:cstheme="minorHAnsi"/>
                <w:sz w:val="20"/>
                <w:szCs w:val="20"/>
              </w:rPr>
              <w:t xml:space="preserve"> Authority</w:t>
            </w:r>
          </w:p>
        </w:tc>
        <w:tc>
          <w:tcPr>
            <w:tcW w:w="3240" w:type="dxa"/>
          </w:tcPr>
          <w:p w14:paraId="444A53D8" w14:textId="20D7816E"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33BC09C" w14:textId="1CF0BA6F" w:rsidTr="363CA695">
        <w:trPr>
          <w:trHeight w:val="20"/>
        </w:trPr>
        <w:tc>
          <w:tcPr>
            <w:tcW w:w="2160" w:type="dxa"/>
          </w:tcPr>
          <w:p w14:paraId="6024E93B" w14:textId="70E65966" w:rsidR="00532E13" w:rsidRPr="00963907" w:rsidRDefault="00532E13" w:rsidP="00C26CCF">
            <w:pPr>
              <w:spacing w:after="0" w:line="240" w:lineRule="auto"/>
              <w:rPr>
                <w:rFonts w:cstheme="minorHAnsi"/>
                <w:sz w:val="20"/>
                <w:szCs w:val="20"/>
              </w:rPr>
            </w:pPr>
            <w:r w:rsidRPr="00963907">
              <w:rPr>
                <w:rFonts w:cstheme="minorHAnsi"/>
                <w:sz w:val="20"/>
                <w:szCs w:val="20"/>
              </w:rPr>
              <w:t>Head of Office/Unit</w:t>
            </w:r>
          </w:p>
          <w:p w14:paraId="03146783" w14:textId="77777777" w:rsidR="00532E13" w:rsidRPr="00963907" w:rsidRDefault="00532E13" w:rsidP="00C26CCF">
            <w:pPr>
              <w:spacing w:after="0" w:line="240" w:lineRule="auto"/>
              <w:rPr>
                <w:rFonts w:cstheme="minorHAnsi"/>
                <w:sz w:val="20"/>
                <w:szCs w:val="20"/>
              </w:rPr>
            </w:pPr>
          </w:p>
        </w:tc>
        <w:tc>
          <w:tcPr>
            <w:tcW w:w="4950" w:type="dxa"/>
          </w:tcPr>
          <w:p w14:paraId="40D3AF5B" w14:textId="192BFFEE"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Sign trust fund agreements unless authorized by Associate Administrator</w:t>
            </w:r>
          </w:p>
          <w:p w14:paraId="40E37E39" w14:textId="77777777"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Open/close bank accounts</w:t>
            </w:r>
          </w:p>
          <w:p w14:paraId="13FB1AB1" w14:textId="3F287D24" w:rsidR="00397C9D"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w:t>
            </w:r>
            <w:r w:rsidR="00397C9D" w:rsidRPr="00D2258D">
              <w:rPr>
                <w:rFonts w:cstheme="minorHAnsi"/>
                <w:sz w:val="20"/>
                <w:szCs w:val="20"/>
              </w:rPr>
              <w:t xml:space="preserve">pprove more than 5 manual payments </w:t>
            </w:r>
          </w:p>
        </w:tc>
        <w:tc>
          <w:tcPr>
            <w:tcW w:w="3240" w:type="dxa"/>
          </w:tcPr>
          <w:p w14:paraId="5A2CE4A7" w14:textId="6B0870BA" w:rsidR="00532E13" w:rsidRPr="00D2258D" w:rsidRDefault="00532E13"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6D5D765A" w14:textId="259E866D" w:rsidTr="363CA695">
        <w:trPr>
          <w:trHeight w:val="20"/>
        </w:trPr>
        <w:tc>
          <w:tcPr>
            <w:tcW w:w="2160" w:type="dxa"/>
            <w:vMerge w:val="restart"/>
          </w:tcPr>
          <w:p w14:paraId="4658DF03" w14:textId="77777777" w:rsidR="004A44F6" w:rsidRPr="00963907" w:rsidRDefault="004A44F6" w:rsidP="00C26CCF">
            <w:pPr>
              <w:spacing w:after="0" w:line="240" w:lineRule="auto"/>
              <w:rPr>
                <w:rFonts w:cstheme="minorHAnsi"/>
                <w:sz w:val="20"/>
                <w:szCs w:val="20"/>
              </w:rPr>
            </w:pPr>
            <w:r w:rsidRPr="00963907">
              <w:rPr>
                <w:rFonts w:cstheme="minorHAnsi"/>
                <w:sz w:val="20"/>
                <w:szCs w:val="20"/>
              </w:rPr>
              <w:t>Buyer</w:t>
            </w:r>
          </w:p>
        </w:tc>
        <w:tc>
          <w:tcPr>
            <w:tcW w:w="4950" w:type="dxa"/>
          </w:tcPr>
          <w:p w14:paraId="1324299F" w14:textId="2E6B5D7C"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Hold Supplier Maintenance </w:t>
            </w:r>
          </w:p>
        </w:tc>
        <w:tc>
          <w:tcPr>
            <w:tcW w:w="3240" w:type="dxa"/>
          </w:tcPr>
          <w:p w14:paraId="4D97C216" w14:textId="66A303AA" w:rsidR="004A44F6" w:rsidRPr="00D2258D" w:rsidRDefault="004A44F6" w:rsidP="004A44F6">
            <w:pPr>
              <w:widowControl w:val="0"/>
              <w:autoSpaceDE w:val="0"/>
              <w:autoSpaceDN w:val="0"/>
              <w:spacing w:after="0" w:line="240" w:lineRule="auto"/>
              <w:rPr>
                <w:rFonts w:cstheme="minorHAnsi"/>
                <w:sz w:val="20"/>
                <w:szCs w:val="20"/>
              </w:rPr>
            </w:pPr>
            <w:r w:rsidRPr="00D2258D">
              <w:rPr>
                <w:rFonts w:cstheme="minorHAnsi"/>
                <w:sz w:val="20"/>
                <w:szCs w:val="20"/>
              </w:rPr>
              <w:t>Partially. See interim measures in section 2.1.</w:t>
            </w:r>
          </w:p>
        </w:tc>
      </w:tr>
      <w:tr w:rsidR="007B1BE3" w:rsidRPr="00963907" w14:paraId="50DE77E9" w14:textId="77777777" w:rsidTr="363CA695">
        <w:trPr>
          <w:trHeight w:val="20"/>
        </w:trPr>
        <w:tc>
          <w:tcPr>
            <w:tcW w:w="2160" w:type="dxa"/>
            <w:vMerge/>
          </w:tcPr>
          <w:p w14:paraId="08DA8A7A" w14:textId="77777777" w:rsidR="004A44F6" w:rsidRPr="00963907" w:rsidRDefault="004A44F6" w:rsidP="00C26CCF">
            <w:pPr>
              <w:spacing w:after="0" w:line="240" w:lineRule="auto"/>
              <w:rPr>
                <w:rFonts w:cstheme="minorHAnsi"/>
                <w:sz w:val="20"/>
                <w:szCs w:val="20"/>
              </w:rPr>
            </w:pPr>
          </w:p>
        </w:tc>
        <w:tc>
          <w:tcPr>
            <w:tcW w:w="4950" w:type="dxa"/>
          </w:tcPr>
          <w:p w14:paraId="42FF261D" w14:textId="235E8E58"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Hold Supplier Approver</w:t>
            </w:r>
          </w:p>
        </w:tc>
        <w:tc>
          <w:tcPr>
            <w:tcW w:w="3240" w:type="dxa"/>
          </w:tcPr>
          <w:p w14:paraId="5165FE6D" w14:textId="1E3EAC32" w:rsidR="004A44F6" w:rsidRPr="00D2258D" w:rsidRDefault="004A44F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Yes</w:t>
            </w:r>
          </w:p>
        </w:tc>
      </w:tr>
      <w:tr w:rsidR="007B1BE3" w:rsidRPr="00963907" w14:paraId="0A72DC09" w14:textId="77777777" w:rsidTr="363CA695">
        <w:trPr>
          <w:trHeight w:val="20"/>
        </w:trPr>
        <w:tc>
          <w:tcPr>
            <w:tcW w:w="2160" w:type="dxa"/>
            <w:vMerge/>
          </w:tcPr>
          <w:p w14:paraId="788EE286" w14:textId="77777777" w:rsidR="004A44F6" w:rsidRPr="00963907" w:rsidRDefault="004A44F6" w:rsidP="00C26CCF">
            <w:pPr>
              <w:spacing w:after="0" w:line="240" w:lineRule="auto"/>
              <w:rPr>
                <w:rFonts w:cstheme="minorHAnsi"/>
                <w:sz w:val="20"/>
                <w:szCs w:val="20"/>
              </w:rPr>
            </w:pPr>
          </w:p>
        </w:tc>
        <w:tc>
          <w:tcPr>
            <w:tcW w:w="4950" w:type="dxa"/>
          </w:tcPr>
          <w:p w14:paraId="071E389B" w14:textId="77777777"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Approve POs</w:t>
            </w:r>
          </w:p>
          <w:p w14:paraId="2D6E3680" w14:textId="77777777"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Receive goods/services/works</w:t>
            </w:r>
          </w:p>
          <w:p w14:paraId="1C952824" w14:textId="782D9C12" w:rsidR="004A44F6" w:rsidRPr="00D2258D" w:rsidRDefault="004A44F6">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Approve invoices or payments</w:t>
            </w:r>
          </w:p>
        </w:tc>
        <w:tc>
          <w:tcPr>
            <w:tcW w:w="3240" w:type="dxa"/>
          </w:tcPr>
          <w:p w14:paraId="2131B17D" w14:textId="29CC4424" w:rsidR="004A44F6" w:rsidRPr="00D2258D" w:rsidRDefault="004A44F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Yes</w:t>
            </w:r>
          </w:p>
        </w:tc>
      </w:tr>
      <w:tr w:rsidR="00B27D72" w:rsidRPr="00963907" w14:paraId="682B5502" w14:textId="0CB81FB9" w:rsidTr="363CA695">
        <w:trPr>
          <w:trHeight w:val="20"/>
        </w:trPr>
        <w:tc>
          <w:tcPr>
            <w:tcW w:w="2160" w:type="dxa"/>
            <w:vMerge w:val="restart"/>
          </w:tcPr>
          <w:p w14:paraId="35924060"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Bank Account Signatory</w:t>
            </w:r>
          </w:p>
        </w:tc>
        <w:tc>
          <w:tcPr>
            <w:tcW w:w="4950" w:type="dxa"/>
            <w:tcBorders>
              <w:bottom w:val="nil"/>
            </w:tcBorders>
          </w:tcPr>
          <w:p w14:paraId="0827566D" w14:textId="002D7D76"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Perform bank reconciliations</w:t>
            </w:r>
          </w:p>
        </w:tc>
        <w:tc>
          <w:tcPr>
            <w:tcW w:w="3240" w:type="dxa"/>
            <w:vMerge w:val="restart"/>
          </w:tcPr>
          <w:p w14:paraId="0EA5B4C8" w14:textId="0237D638"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3B102F" w:rsidRPr="00963907" w14:paraId="0C02DAE2" w14:textId="77777777" w:rsidTr="363CA695">
        <w:trPr>
          <w:trHeight w:val="20"/>
        </w:trPr>
        <w:tc>
          <w:tcPr>
            <w:tcW w:w="2160" w:type="dxa"/>
            <w:vMerge/>
          </w:tcPr>
          <w:p w14:paraId="46771F28" w14:textId="77777777" w:rsidR="00532E13" w:rsidRPr="00963907" w:rsidRDefault="00532E13" w:rsidP="00C26CCF">
            <w:pPr>
              <w:spacing w:after="0" w:line="240" w:lineRule="auto"/>
              <w:rPr>
                <w:rFonts w:cstheme="minorHAnsi"/>
                <w:sz w:val="20"/>
                <w:szCs w:val="20"/>
              </w:rPr>
            </w:pPr>
          </w:p>
        </w:tc>
        <w:tc>
          <w:tcPr>
            <w:tcW w:w="4950" w:type="dxa"/>
            <w:tcBorders>
              <w:top w:val="nil"/>
              <w:left w:val="single" w:sz="4" w:space="0" w:color="auto"/>
              <w:bottom w:val="nil"/>
              <w:right w:val="single" w:sz="4" w:space="0" w:color="auto"/>
            </w:tcBorders>
          </w:tcPr>
          <w:p w14:paraId="62F310CE" w14:textId="089E60AC"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payment invoices</w:t>
            </w:r>
          </w:p>
        </w:tc>
        <w:tc>
          <w:tcPr>
            <w:tcW w:w="3240" w:type="dxa"/>
            <w:vMerge/>
          </w:tcPr>
          <w:p w14:paraId="21D88F6C" w14:textId="77777777" w:rsidR="00532E13" w:rsidRPr="00D2258D"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rPr>
            </w:pPr>
          </w:p>
        </w:tc>
      </w:tr>
      <w:tr w:rsidR="00B27D72" w:rsidRPr="00963907" w14:paraId="6137F29A" w14:textId="77777777" w:rsidTr="363CA695">
        <w:trPr>
          <w:trHeight w:val="20"/>
        </w:trPr>
        <w:tc>
          <w:tcPr>
            <w:tcW w:w="2160" w:type="dxa"/>
            <w:vMerge/>
          </w:tcPr>
          <w:p w14:paraId="2C83AA96" w14:textId="77777777" w:rsidR="00532E13" w:rsidRPr="00963907" w:rsidRDefault="00532E13" w:rsidP="00C26CCF">
            <w:pPr>
              <w:spacing w:after="0" w:line="240" w:lineRule="auto"/>
              <w:rPr>
                <w:rFonts w:cstheme="minorHAnsi"/>
                <w:sz w:val="20"/>
                <w:szCs w:val="20"/>
              </w:rPr>
            </w:pPr>
          </w:p>
        </w:tc>
        <w:tc>
          <w:tcPr>
            <w:tcW w:w="4950" w:type="dxa"/>
            <w:tcBorders>
              <w:top w:val="nil"/>
            </w:tcBorders>
          </w:tcPr>
          <w:p w14:paraId="52340326" w14:textId="7C73C7ED"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deposits</w:t>
            </w:r>
          </w:p>
        </w:tc>
        <w:tc>
          <w:tcPr>
            <w:tcW w:w="3240" w:type="dxa"/>
            <w:vMerge/>
          </w:tcPr>
          <w:p w14:paraId="3069ADA9" w14:textId="77777777" w:rsidR="00532E13" w:rsidRPr="00D2258D" w:rsidRDefault="00532E13">
            <w:pPr>
              <w:pStyle w:val="ListParagraph"/>
              <w:widowControl w:val="0"/>
              <w:numPr>
                <w:ilvl w:val="0"/>
                <w:numId w:val="89"/>
              </w:numPr>
              <w:autoSpaceDE w:val="0"/>
              <w:autoSpaceDN w:val="0"/>
              <w:spacing w:after="0" w:line="240" w:lineRule="auto"/>
              <w:ind w:left="265" w:hanging="265"/>
              <w:jc w:val="both"/>
              <w:rPr>
                <w:rFonts w:cstheme="minorHAnsi"/>
                <w:sz w:val="20"/>
                <w:szCs w:val="20"/>
              </w:rPr>
            </w:pPr>
          </w:p>
        </w:tc>
      </w:tr>
      <w:tr w:rsidR="007B1BE3" w:rsidRPr="00963907" w14:paraId="17C4E63B" w14:textId="77777777" w:rsidTr="363CA695">
        <w:trPr>
          <w:trHeight w:val="20"/>
        </w:trPr>
        <w:tc>
          <w:tcPr>
            <w:tcW w:w="2160" w:type="dxa"/>
            <w:vMerge/>
          </w:tcPr>
          <w:p w14:paraId="63711C3D" w14:textId="77777777" w:rsidR="00532E13" w:rsidRPr="00963907" w:rsidRDefault="00532E13" w:rsidP="00C26CCF">
            <w:pPr>
              <w:spacing w:after="0" w:line="240" w:lineRule="auto"/>
              <w:rPr>
                <w:rFonts w:cstheme="minorHAnsi"/>
                <w:sz w:val="20"/>
                <w:szCs w:val="20"/>
              </w:rPr>
            </w:pPr>
          </w:p>
        </w:tc>
        <w:tc>
          <w:tcPr>
            <w:tcW w:w="4950" w:type="dxa"/>
          </w:tcPr>
          <w:p w14:paraId="05553DA2" w14:textId="49CEC150"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Approve suppliers if authorized by Treasurer to be single signatory for bank account</w:t>
            </w:r>
          </w:p>
        </w:tc>
        <w:tc>
          <w:tcPr>
            <w:tcW w:w="3240" w:type="dxa"/>
          </w:tcPr>
          <w:p w14:paraId="322A31CA" w14:textId="1866636E" w:rsidR="00532E13" w:rsidRPr="00D2258D" w:rsidRDefault="004862D6"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 – requires manual monitoring</w:t>
            </w:r>
          </w:p>
        </w:tc>
      </w:tr>
      <w:tr w:rsidR="007B1BE3" w:rsidRPr="00963907" w14:paraId="5C8C66CC" w14:textId="77777777" w:rsidTr="363CA695">
        <w:trPr>
          <w:trHeight w:val="20"/>
        </w:trPr>
        <w:tc>
          <w:tcPr>
            <w:tcW w:w="2160" w:type="dxa"/>
            <w:vMerge/>
          </w:tcPr>
          <w:p w14:paraId="7850726F" w14:textId="77777777" w:rsidR="00532E13" w:rsidRPr="00963907" w:rsidRDefault="00532E13" w:rsidP="00C26CCF">
            <w:pPr>
              <w:spacing w:after="0" w:line="240" w:lineRule="auto"/>
              <w:rPr>
                <w:rFonts w:cstheme="minorHAnsi"/>
                <w:sz w:val="20"/>
                <w:szCs w:val="20"/>
              </w:rPr>
            </w:pPr>
          </w:p>
        </w:tc>
        <w:tc>
          <w:tcPr>
            <w:tcW w:w="4950" w:type="dxa"/>
          </w:tcPr>
          <w:p w14:paraId="414300D7" w14:textId="301D57E4"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Serve as signatories on NEX/NIM bank accounts opened by IPs</w:t>
            </w:r>
          </w:p>
        </w:tc>
        <w:tc>
          <w:tcPr>
            <w:tcW w:w="3240" w:type="dxa"/>
          </w:tcPr>
          <w:p w14:paraId="4283FCF7" w14:textId="045C6BF7" w:rsidR="00532E13" w:rsidRPr="00D2258D" w:rsidRDefault="00532E13" w:rsidP="00532E13">
            <w:pPr>
              <w:widowControl w:val="0"/>
              <w:autoSpaceDE w:val="0"/>
              <w:autoSpaceDN w:val="0"/>
              <w:spacing w:after="0" w:line="240" w:lineRule="auto"/>
              <w:jc w:val="both"/>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075C6" w14:paraId="55E69254" w14:textId="77777777" w:rsidTr="363CA695">
        <w:trPr>
          <w:trHeight w:val="20"/>
        </w:trPr>
        <w:tc>
          <w:tcPr>
            <w:tcW w:w="2160" w:type="dxa"/>
          </w:tcPr>
          <w:p w14:paraId="2D3E9068" w14:textId="23A5E0A6" w:rsidR="00F6424E" w:rsidRPr="00D2258D" w:rsidRDefault="00F6424E" w:rsidP="00532E13">
            <w:pPr>
              <w:spacing w:after="0" w:line="240" w:lineRule="auto"/>
              <w:rPr>
                <w:rFonts w:cstheme="minorHAnsi"/>
                <w:sz w:val="20"/>
                <w:szCs w:val="20"/>
              </w:rPr>
            </w:pPr>
            <w:r w:rsidRPr="00D2258D">
              <w:rPr>
                <w:rFonts w:cstheme="minorHAnsi"/>
                <w:sz w:val="20"/>
                <w:szCs w:val="20"/>
              </w:rPr>
              <w:t>Asset Manager</w:t>
            </w:r>
          </w:p>
        </w:tc>
        <w:tc>
          <w:tcPr>
            <w:tcW w:w="4950" w:type="dxa"/>
          </w:tcPr>
          <w:p w14:paraId="5436AAA4" w14:textId="55486568" w:rsidR="00F6424E" w:rsidRPr="00D2258D" w:rsidRDefault="00F6424E">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the Asset Focal Point or Fixed Assets Physical Verification Coordinator</w:t>
            </w:r>
          </w:p>
        </w:tc>
        <w:tc>
          <w:tcPr>
            <w:tcW w:w="3240" w:type="dxa"/>
          </w:tcPr>
          <w:p w14:paraId="503D2CA5" w14:textId="3F19A4D5" w:rsidR="00F6424E" w:rsidRPr="00D2258D" w:rsidRDefault="00F6424E" w:rsidP="00532E13">
            <w:pPr>
              <w:widowControl w:val="0"/>
              <w:autoSpaceDE w:val="0"/>
              <w:autoSpaceDN w:val="0"/>
              <w:spacing w:after="0" w:line="240" w:lineRule="auto"/>
              <w:rPr>
                <w:rFonts w:cstheme="minorHAnsi"/>
                <w:sz w:val="20"/>
                <w:szCs w:val="20"/>
              </w:rPr>
            </w:pPr>
            <w:r w:rsidRPr="00D2258D">
              <w:rPr>
                <w:rFonts w:cstheme="minorHAnsi"/>
                <w:sz w:val="20"/>
                <w:szCs w:val="20"/>
              </w:rPr>
              <w:t>No – outside the ERP</w:t>
            </w:r>
          </w:p>
        </w:tc>
      </w:tr>
      <w:tr w:rsidR="007B1BE3" w:rsidRPr="00963907" w14:paraId="0CA7BCB0" w14:textId="71E4D0D7" w:rsidTr="363CA695">
        <w:trPr>
          <w:trHeight w:val="20"/>
        </w:trPr>
        <w:tc>
          <w:tcPr>
            <w:tcW w:w="2160" w:type="dxa"/>
          </w:tcPr>
          <w:p w14:paraId="61691D85"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Asset Focal Point</w:t>
            </w:r>
          </w:p>
        </w:tc>
        <w:tc>
          <w:tcPr>
            <w:tcW w:w="4950" w:type="dxa"/>
          </w:tcPr>
          <w:p w14:paraId="189E5175" w14:textId="0B7D3490"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Be </w:t>
            </w:r>
            <w:r w:rsidR="00F6424E" w:rsidRPr="00D2258D">
              <w:rPr>
                <w:rFonts w:cstheme="minorHAnsi"/>
                <w:sz w:val="20"/>
                <w:szCs w:val="20"/>
              </w:rPr>
              <w:t>the Asset Manager or the</w:t>
            </w:r>
            <w:r w:rsidRPr="00D2258D">
              <w:rPr>
                <w:rFonts w:cstheme="minorHAnsi"/>
                <w:sz w:val="20"/>
                <w:szCs w:val="20"/>
              </w:rPr>
              <w:t xml:space="preserve"> Fixed Assets Physical Verification Coordinator</w:t>
            </w:r>
          </w:p>
        </w:tc>
        <w:tc>
          <w:tcPr>
            <w:tcW w:w="3240" w:type="dxa"/>
          </w:tcPr>
          <w:p w14:paraId="722CAFCE" w14:textId="200EB37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7FBF05D4" w14:textId="2CDFE3BB" w:rsidTr="363CA695">
        <w:trPr>
          <w:trHeight w:val="20"/>
        </w:trPr>
        <w:tc>
          <w:tcPr>
            <w:tcW w:w="2160" w:type="dxa"/>
          </w:tcPr>
          <w:p w14:paraId="19FE74D8"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Fixed Asset Coordinator</w:t>
            </w:r>
          </w:p>
        </w:tc>
        <w:tc>
          <w:tcPr>
            <w:tcW w:w="4950" w:type="dxa"/>
          </w:tcPr>
          <w:p w14:paraId="51D55231" w14:textId="40358559"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Be the Asset Focal Point</w:t>
            </w:r>
            <w:r w:rsidR="00F6424E" w:rsidRPr="00D2258D">
              <w:rPr>
                <w:rFonts w:cstheme="minorHAnsi"/>
                <w:sz w:val="20"/>
                <w:szCs w:val="20"/>
              </w:rPr>
              <w:t xml:space="preserve"> or Asset Manager</w:t>
            </w:r>
          </w:p>
        </w:tc>
        <w:tc>
          <w:tcPr>
            <w:tcW w:w="3240" w:type="dxa"/>
          </w:tcPr>
          <w:p w14:paraId="24304AB6" w14:textId="23060F7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4AFDF98E" w14:textId="314A43F0" w:rsidTr="363CA695">
        <w:trPr>
          <w:trHeight w:val="20"/>
        </w:trPr>
        <w:tc>
          <w:tcPr>
            <w:tcW w:w="2160" w:type="dxa"/>
          </w:tcPr>
          <w:p w14:paraId="5E4F82A9"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Manager</w:t>
            </w:r>
          </w:p>
        </w:tc>
        <w:tc>
          <w:tcPr>
            <w:tcW w:w="4950" w:type="dxa"/>
          </w:tcPr>
          <w:p w14:paraId="623CA11E" w14:textId="28A9544D"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Inventory Focal Point or Inventory Physical Count Coordinator</w:t>
            </w:r>
          </w:p>
        </w:tc>
        <w:tc>
          <w:tcPr>
            <w:tcW w:w="3240" w:type="dxa"/>
          </w:tcPr>
          <w:p w14:paraId="091D2CD3" w14:textId="18A2E4F9"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4B62D137" w14:textId="16199E60" w:rsidTr="363CA695">
        <w:trPr>
          <w:trHeight w:val="20"/>
        </w:trPr>
        <w:tc>
          <w:tcPr>
            <w:tcW w:w="2160" w:type="dxa"/>
          </w:tcPr>
          <w:p w14:paraId="0C5B8785"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Focal Point</w:t>
            </w:r>
          </w:p>
        </w:tc>
        <w:tc>
          <w:tcPr>
            <w:tcW w:w="4950" w:type="dxa"/>
          </w:tcPr>
          <w:p w14:paraId="2E6A9F02" w14:textId="189B3D8C" w:rsidR="00532E13" w:rsidRPr="00D2258D"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Be an </w:t>
            </w:r>
            <w:r w:rsidR="00F6424E" w:rsidRPr="00D2258D">
              <w:rPr>
                <w:rFonts w:cstheme="minorHAnsi"/>
                <w:sz w:val="20"/>
                <w:szCs w:val="20"/>
              </w:rPr>
              <w:t xml:space="preserve">Inventory Manager or the </w:t>
            </w:r>
            <w:r w:rsidRPr="00D2258D">
              <w:rPr>
                <w:rFonts w:cstheme="minorHAnsi"/>
                <w:sz w:val="20"/>
                <w:szCs w:val="20"/>
              </w:rPr>
              <w:t>Inventory Physical Count Coordinator</w:t>
            </w:r>
          </w:p>
        </w:tc>
        <w:tc>
          <w:tcPr>
            <w:tcW w:w="3240" w:type="dxa"/>
          </w:tcPr>
          <w:p w14:paraId="6FDD88B6" w14:textId="15E5225B"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207CEA28" w14:textId="4C11E192" w:rsidTr="363CA695">
        <w:trPr>
          <w:trHeight w:val="20"/>
        </w:trPr>
        <w:tc>
          <w:tcPr>
            <w:tcW w:w="2160" w:type="dxa"/>
          </w:tcPr>
          <w:p w14:paraId="2900FB61" w14:textId="77777777" w:rsidR="00532E13" w:rsidRPr="00D2258D" w:rsidRDefault="00532E13" w:rsidP="00532E13">
            <w:pPr>
              <w:spacing w:after="0" w:line="240" w:lineRule="auto"/>
              <w:rPr>
                <w:rFonts w:cstheme="minorHAnsi"/>
                <w:sz w:val="20"/>
                <w:szCs w:val="20"/>
              </w:rPr>
            </w:pPr>
            <w:r w:rsidRPr="00D2258D">
              <w:rPr>
                <w:rFonts w:cstheme="minorHAnsi"/>
                <w:sz w:val="20"/>
                <w:szCs w:val="20"/>
              </w:rPr>
              <w:t>Inventory Physical Count Coordinator</w:t>
            </w:r>
          </w:p>
        </w:tc>
        <w:tc>
          <w:tcPr>
            <w:tcW w:w="4950" w:type="dxa"/>
          </w:tcPr>
          <w:p w14:paraId="34364189" w14:textId="362B71FF" w:rsidR="00532E13" w:rsidRPr="00D2258D" w:rsidRDefault="00532E13">
            <w:pPr>
              <w:pStyle w:val="ListParagraph"/>
              <w:widowControl w:val="0"/>
              <w:numPr>
                <w:ilvl w:val="0"/>
                <w:numId w:val="89"/>
              </w:numPr>
              <w:autoSpaceDE w:val="0"/>
              <w:autoSpaceDN w:val="0"/>
              <w:spacing w:after="0" w:line="240" w:lineRule="auto"/>
              <w:ind w:left="265" w:hanging="265"/>
              <w:rPr>
                <w:sz w:val="20"/>
                <w:szCs w:val="20"/>
              </w:rPr>
            </w:pPr>
            <w:r w:rsidRPr="00D2258D">
              <w:rPr>
                <w:sz w:val="20"/>
                <w:szCs w:val="20"/>
              </w:rPr>
              <w:t xml:space="preserve">Maintain inventory records </w:t>
            </w:r>
            <w:r w:rsidR="00602A61" w:rsidRPr="00D2258D">
              <w:rPr>
                <w:sz w:val="20"/>
                <w:szCs w:val="20"/>
              </w:rPr>
              <w:t>or b</w:t>
            </w:r>
            <w:r w:rsidRPr="00D2258D">
              <w:rPr>
                <w:sz w:val="20"/>
                <w:szCs w:val="20"/>
              </w:rPr>
              <w:t>e responsible for safeguarding and accounting for inventory</w:t>
            </w:r>
          </w:p>
        </w:tc>
        <w:tc>
          <w:tcPr>
            <w:tcW w:w="3240" w:type="dxa"/>
          </w:tcPr>
          <w:p w14:paraId="65078AAF" w14:textId="37F7997F"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147C55" w:rsidRPr="00963907" w14:paraId="50B77C48" w14:textId="211B9C18" w:rsidTr="363CA695">
        <w:trPr>
          <w:trHeight w:val="20"/>
        </w:trPr>
        <w:tc>
          <w:tcPr>
            <w:tcW w:w="2160" w:type="dxa"/>
            <w:vMerge w:val="restart"/>
            <w:tcBorders>
              <w:top w:val="single" w:sz="4" w:space="0" w:color="000000" w:themeColor="text1"/>
              <w:left w:val="single" w:sz="4" w:space="0" w:color="000000" w:themeColor="text1"/>
              <w:right w:val="single" w:sz="4" w:space="0" w:color="000000" w:themeColor="text1"/>
            </w:tcBorders>
          </w:tcPr>
          <w:p w14:paraId="732FBBA6" w14:textId="77777777" w:rsidR="00963907" w:rsidRPr="00D2258D" w:rsidRDefault="00963907" w:rsidP="00C26CCF">
            <w:pPr>
              <w:spacing w:after="0" w:line="240" w:lineRule="auto"/>
              <w:rPr>
                <w:rFonts w:cstheme="minorHAnsi"/>
                <w:sz w:val="20"/>
                <w:szCs w:val="20"/>
                <w:lang w:val="fr-FR"/>
              </w:rPr>
            </w:pPr>
            <w:r w:rsidRPr="00D2258D">
              <w:rPr>
                <w:rFonts w:cstheme="minorHAnsi"/>
                <w:sz w:val="20"/>
                <w:szCs w:val="20"/>
                <w:lang w:val="fr-FR"/>
              </w:rPr>
              <w:t>Supplier Maintenance (L1)</w:t>
            </w:r>
          </w:p>
          <w:p w14:paraId="093EB536" w14:textId="77777777" w:rsidR="00963907" w:rsidRPr="00D2258D" w:rsidRDefault="00963907" w:rsidP="00C26CCF">
            <w:pPr>
              <w:spacing w:after="0" w:line="240" w:lineRule="auto"/>
              <w:rPr>
                <w:rFonts w:cstheme="minorHAnsi"/>
                <w:sz w:val="20"/>
                <w:szCs w:val="20"/>
                <w:lang w:val="fr-FR"/>
              </w:rPr>
            </w:pPr>
          </w:p>
          <w:p w14:paraId="45BA8D4B" w14:textId="77777777" w:rsidR="00963907" w:rsidRPr="00D2258D" w:rsidRDefault="00963907" w:rsidP="00C26CCF">
            <w:pPr>
              <w:spacing w:after="0" w:line="240" w:lineRule="auto"/>
              <w:rPr>
                <w:rFonts w:cstheme="minorHAnsi"/>
                <w:sz w:val="20"/>
                <w:szCs w:val="20"/>
                <w:lang w:val="fr-FR"/>
              </w:rPr>
            </w:pPr>
            <w:r w:rsidRPr="00D2258D">
              <w:rPr>
                <w:rFonts w:cstheme="minorHAnsi"/>
                <w:sz w:val="20"/>
                <w:szCs w:val="20"/>
                <w:lang w:val="fr-FR"/>
              </w:rPr>
              <w:t xml:space="preserve">Supplier </w:t>
            </w:r>
            <w:proofErr w:type="spellStart"/>
            <w:r w:rsidRPr="00D2258D">
              <w:rPr>
                <w:rFonts w:cstheme="minorHAnsi"/>
                <w:sz w:val="20"/>
                <w:szCs w:val="20"/>
                <w:lang w:val="fr-FR"/>
              </w:rPr>
              <w:t>Approver</w:t>
            </w:r>
            <w:proofErr w:type="spellEnd"/>
            <w:r w:rsidRPr="00D2258D">
              <w:rPr>
                <w:rFonts w:cstheme="minorHAnsi"/>
                <w:sz w:val="20"/>
                <w:szCs w:val="20"/>
                <w:lang w:val="fr-FR"/>
              </w:rPr>
              <w:t xml:space="preserve"> (L2)</w:t>
            </w:r>
            <w:r w:rsidRPr="00D2258D">
              <w:rPr>
                <w:rFonts w:cstheme="minorHAnsi"/>
                <w:sz w:val="20"/>
                <w:szCs w:val="20"/>
                <w:lang w:val="fr-FR"/>
              </w:rPr>
              <w:br/>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E225" w14:textId="175D3FFD" w:rsidR="00963907" w:rsidRPr="00D2258D"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D2258D">
              <w:rPr>
                <w:rFonts w:cstheme="minorHAnsi"/>
                <w:sz w:val="20"/>
                <w:szCs w:val="20"/>
              </w:rPr>
              <w:t xml:space="preserve">Assign L1 to more than 2 staff unless prior year delivery </w:t>
            </w:r>
            <w:r w:rsidRPr="00D2258D">
              <w:rPr>
                <w:rFonts w:cstheme="minorHAnsi"/>
                <w:sz w:val="20"/>
                <w:szCs w:val="20"/>
              </w:rPr>
              <w:lastRenderedPageBreak/>
              <w:t>is &gt;$50m, then may assign 3. HQ offices/units must not assign more than two L1s.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FDE4" w14:textId="433D4029" w:rsidR="00963907" w:rsidRPr="00D2258D" w:rsidRDefault="00963907" w:rsidP="363CA695">
            <w:pPr>
              <w:widowControl w:val="0"/>
              <w:autoSpaceDE w:val="0"/>
              <w:autoSpaceDN w:val="0"/>
              <w:spacing w:after="0" w:line="240" w:lineRule="auto"/>
              <w:rPr>
                <w:sz w:val="20"/>
                <w:szCs w:val="20"/>
              </w:rPr>
            </w:pPr>
            <w:r w:rsidRPr="00D2258D">
              <w:rPr>
                <w:sz w:val="20"/>
                <w:szCs w:val="20"/>
              </w:rPr>
              <w:lastRenderedPageBreak/>
              <w:t>No</w:t>
            </w:r>
            <w:r w:rsidR="00602A61" w:rsidRPr="00D2258D">
              <w:rPr>
                <w:sz w:val="20"/>
                <w:szCs w:val="20"/>
              </w:rPr>
              <w:t xml:space="preserve">. Violations monitored through ICF </w:t>
            </w:r>
            <w:r w:rsidR="00602A61" w:rsidRPr="00D2258D">
              <w:rPr>
                <w:sz w:val="20"/>
                <w:szCs w:val="20"/>
              </w:rPr>
              <w:lastRenderedPageBreak/>
              <w:t>Monitoring Reports. Refer Annex 1.</w:t>
            </w:r>
          </w:p>
        </w:tc>
      </w:tr>
      <w:tr w:rsidR="00B27D72" w:rsidRPr="00963907" w14:paraId="39DF4360" w14:textId="77777777" w:rsidTr="363CA695">
        <w:trPr>
          <w:trHeight w:val="20"/>
        </w:trPr>
        <w:tc>
          <w:tcPr>
            <w:tcW w:w="2160" w:type="dxa"/>
            <w:vMerge/>
          </w:tcPr>
          <w:p w14:paraId="4C153283"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9851" w14:textId="26DB3B58" w:rsidR="00963907" w:rsidRPr="00963907" w:rsidRDefault="00963907">
            <w:pPr>
              <w:pStyle w:val="ListParagraph"/>
              <w:widowControl w:val="0"/>
              <w:numPr>
                <w:ilvl w:val="0"/>
                <w:numId w:val="89"/>
              </w:numPr>
              <w:autoSpaceDE w:val="0"/>
              <w:autoSpaceDN w:val="0"/>
              <w:spacing w:after="0" w:line="240" w:lineRule="auto"/>
              <w:ind w:left="265" w:hanging="265"/>
              <w:rPr>
                <w:sz w:val="20"/>
                <w:szCs w:val="20"/>
              </w:rPr>
            </w:pPr>
            <w:r w:rsidRPr="363CA695">
              <w:rPr>
                <w:sz w:val="20"/>
                <w:szCs w:val="20"/>
              </w:rPr>
              <w:t>Assign L2 unless approved by Treasurer/CFO. Only BMS/GSSC may assign.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33543" w14:textId="6ABC3ABF"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0A8E2481" w14:textId="77777777" w:rsidTr="363CA695">
        <w:trPr>
          <w:trHeight w:val="20"/>
        </w:trPr>
        <w:tc>
          <w:tcPr>
            <w:tcW w:w="2160" w:type="dxa"/>
            <w:vMerge/>
          </w:tcPr>
          <w:p w14:paraId="2A02D55D"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02AA0" w14:textId="3492ABFB"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suppliers (see interim measures described in section 2.1)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0DCB" w14:textId="0B1BF72E"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3236E4F5" w14:textId="77777777" w:rsidTr="363CA695">
        <w:trPr>
          <w:trHeight w:val="20"/>
        </w:trPr>
        <w:tc>
          <w:tcPr>
            <w:tcW w:w="2160" w:type="dxa"/>
            <w:vMerge/>
          </w:tcPr>
          <w:p w14:paraId="2AA58213"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E3E7" w14:textId="674B5F92"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POs or create invoices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D5F4" w14:textId="1A001910"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0AE1EC3F" w14:textId="77777777" w:rsidTr="363CA695">
        <w:trPr>
          <w:trHeight w:val="20"/>
        </w:trPr>
        <w:tc>
          <w:tcPr>
            <w:tcW w:w="2160" w:type="dxa"/>
            <w:vMerge/>
          </w:tcPr>
          <w:p w14:paraId="30BF0485"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3138" w14:textId="27E2330B"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Prepare bank reconciliations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5EF16" w14:textId="0C0170AD" w:rsidR="00963907" w:rsidRPr="00D2258D" w:rsidRDefault="00963907" w:rsidP="00963907">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B27D72" w:rsidRPr="00963907" w14:paraId="413312F2" w14:textId="77777777" w:rsidTr="363CA695">
        <w:trPr>
          <w:trHeight w:val="20"/>
        </w:trPr>
        <w:tc>
          <w:tcPr>
            <w:tcW w:w="2160" w:type="dxa"/>
            <w:vMerge/>
          </w:tcPr>
          <w:p w14:paraId="1180D19B" w14:textId="77777777" w:rsidR="00963907" w:rsidRPr="00963907" w:rsidRDefault="00963907" w:rsidP="00C26CCF">
            <w:pPr>
              <w:spacing w:after="0" w:line="240" w:lineRule="auto"/>
              <w:rPr>
                <w:rFonts w:cstheme="minorHAnsi"/>
                <w:sz w:val="20"/>
                <w:szCs w:val="20"/>
              </w:rPr>
            </w:pP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5D5EB" w14:textId="5E29BBF7" w:rsidR="00963907" w:rsidRPr="00963907" w:rsidRDefault="00963907">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Be a Single Bank Account Signatory if authorized as the single signatory for the bank.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569A" w14:textId="7D0694D4" w:rsidR="00963907" w:rsidRPr="00D2258D" w:rsidRDefault="004862D6" w:rsidP="00963907">
            <w:pPr>
              <w:widowControl w:val="0"/>
              <w:autoSpaceDE w:val="0"/>
              <w:autoSpaceDN w:val="0"/>
              <w:spacing w:after="0" w:line="240" w:lineRule="auto"/>
              <w:rPr>
                <w:rFonts w:cstheme="minorHAnsi"/>
                <w:sz w:val="20"/>
                <w:szCs w:val="20"/>
              </w:rPr>
            </w:pPr>
            <w:r w:rsidRPr="00D2258D">
              <w:rPr>
                <w:rFonts w:cstheme="minorHAnsi"/>
                <w:sz w:val="20"/>
                <w:szCs w:val="20"/>
              </w:rPr>
              <w:t>No – requires manual monitoring</w:t>
            </w:r>
          </w:p>
        </w:tc>
      </w:tr>
      <w:tr w:rsidR="007B1BE3" w:rsidRPr="00963907" w14:paraId="6A52F019" w14:textId="7980C5D2" w:rsidTr="363CA695">
        <w:trPr>
          <w:trHeight w:val="20"/>
        </w:trPr>
        <w:tc>
          <w:tcPr>
            <w:tcW w:w="2160" w:type="dxa"/>
          </w:tcPr>
          <w:p w14:paraId="2A27C401"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Bank Reconciliation Preparer</w:t>
            </w:r>
          </w:p>
        </w:tc>
        <w:tc>
          <w:tcPr>
            <w:tcW w:w="4950" w:type="dxa"/>
          </w:tcPr>
          <w:p w14:paraId="529718C7" w14:textId="77777777"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a Bank Account Signatory</w:t>
            </w:r>
          </w:p>
          <w:p w14:paraId="099E6FE6" w14:textId="4F6DD632"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or approve invoices</w:t>
            </w:r>
          </w:p>
          <w:p w14:paraId="53AB3667" w14:textId="148B183D" w:rsidR="00532E13" w:rsidRPr="00963907" w:rsidRDefault="00532E13">
            <w:pPr>
              <w:pStyle w:val="ListParagraph"/>
              <w:widowControl w:val="0"/>
              <w:numPr>
                <w:ilvl w:val="0"/>
                <w:numId w:val="89"/>
              </w:numPr>
              <w:autoSpaceDE w:val="0"/>
              <w:autoSpaceDN w:val="0"/>
              <w:spacing w:after="0" w:line="240" w:lineRule="auto"/>
              <w:ind w:left="265" w:hanging="265"/>
              <w:rPr>
                <w:rFonts w:cstheme="minorHAnsi"/>
                <w:sz w:val="20"/>
                <w:szCs w:val="20"/>
              </w:rPr>
            </w:pPr>
            <w:r w:rsidRPr="00963907">
              <w:rPr>
                <w:rFonts w:cstheme="minorHAnsi"/>
                <w:sz w:val="20"/>
                <w:szCs w:val="20"/>
              </w:rPr>
              <w:t>Create deposits</w:t>
            </w:r>
          </w:p>
        </w:tc>
        <w:tc>
          <w:tcPr>
            <w:tcW w:w="3240" w:type="dxa"/>
          </w:tcPr>
          <w:p w14:paraId="5C31F3FC" w14:textId="78370E63"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670A47D0" w14:textId="14315030" w:rsidTr="363CA695">
        <w:trPr>
          <w:trHeight w:val="20"/>
        </w:trPr>
        <w:tc>
          <w:tcPr>
            <w:tcW w:w="2160" w:type="dxa"/>
          </w:tcPr>
          <w:p w14:paraId="0AD1D164"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Safe Custodian</w:t>
            </w:r>
          </w:p>
        </w:tc>
        <w:tc>
          <w:tcPr>
            <w:tcW w:w="4950" w:type="dxa"/>
          </w:tcPr>
          <w:p w14:paraId="2E5AA8CB" w14:textId="2C4B21AA" w:rsidR="00532E13" w:rsidRPr="00963907" w:rsidRDefault="00602A61">
            <w:pPr>
              <w:pStyle w:val="ListParagraph"/>
              <w:widowControl w:val="0"/>
              <w:numPr>
                <w:ilvl w:val="0"/>
                <w:numId w:val="89"/>
              </w:numPr>
              <w:autoSpaceDE w:val="0"/>
              <w:autoSpaceDN w:val="0"/>
              <w:spacing w:after="0" w:line="240" w:lineRule="auto"/>
              <w:ind w:left="265" w:hanging="265"/>
              <w:rPr>
                <w:sz w:val="20"/>
                <w:szCs w:val="20"/>
              </w:rPr>
            </w:pPr>
            <w:r w:rsidRPr="363CA695">
              <w:rPr>
                <w:sz w:val="20"/>
                <w:szCs w:val="20"/>
              </w:rPr>
              <w:t>Be the only</w:t>
            </w:r>
            <w:r w:rsidR="00532E13" w:rsidRPr="363CA695">
              <w:rPr>
                <w:sz w:val="20"/>
                <w:szCs w:val="20"/>
              </w:rPr>
              <w:t xml:space="preserve"> staff per office/unit with access to the safe. </w:t>
            </w:r>
            <w:r w:rsidR="00A10604" w:rsidRPr="363CA695">
              <w:rPr>
                <w:sz w:val="20"/>
                <w:szCs w:val="20"/>
              </w:rPr>
              <w:t xml:space="preserve">The </w:t>
            </w:r>
            <w:r w:rsidR="00532E13" w:rsidRPr="363CA695">
              <w:rPr>
                <w:sz w:val="20"/>
                <w:szCs w:val="20"/>
              </w:rPr>
              <w:t xml:space="preserve">Head of Office/Unit must designate </w:t>
            </w:r>
            <w:r w:rsidR="00E526B2" w:rsidRPr="363CA695">
              <w:rPr>
                <w:sz w:val="20"/>
                <w:szCs w:val="20"/>
              </w:rPr>
              <w:t xml:space="preserve">primary and </w:t>
            </w:r>
            <w:r w:rsidR="00532E13" w:rsidRPr="363CA695">
              <w:rPr>
                <w:sz w:val="20"/>
                <w:szCs w:val="20"/>
              </w:rPr>
              <w:t>alternate safe custodians</w:t>
            </w:r>
            <w:r w:rsidR="00A10604" w:rsidRPr="363CA695">
              <w:rPr>
                <w:sz w:val="20"/>
                <w:szCs w:val="20"/>
              </w:rPr>
              <w:t>.</w:t>
            </w:r>
          </w:p>
        </w:tc>
        <w:tc>
          <w:tcPr>
            <w:tcW w:w="3240" w:type="dxa"/>
          </w:tcPr>
          <w:p w14:paraId="42DDF0DE" w14:textId="6411E085"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745438D1" w14:textId="3DA64481" w:rsidTr="363CA695">
        <w:trPr>
          <w:trHeight w:val="20"/>
        </w:trPr>
        <w:tc>
          <w:tcPr>
            <w:tcW w:w="2160" w:type="dxa"/>
          </w:tcPr>
          <w:p w14:paraId="1071EF20" w14:textId="77777777" w:rsidR="00532E13" w:rsidRPr="00963907" w:rsidRDefault="00532E13" w:rsidP="00C26CCF">
            <w:pPr>
              <w:spacing w:after="0" w:line="240" w:lineRule="auto"/>
              <w:rPr>
                <w:rFonts w:cstheme="minorHAnsi"/>
                <w:sz w:val="20"/>
                <w:szCs w:val="20"/>
              </w:rPr>
            </w:pPr>
            <w:r w:rsidRPr="00963907">
              <w:rPr>
                <w:rFonts w:cstheme="minorHAnsi"/>
                <w:sz w:val="20"/>
                <w:szCs w:val="20"/>
              </w:rPr>
              <w:t>Budget Override Approver</w:t>
            </w:r>
          </w:p>
        </w:tc>
        <w:tc>
          <w:tcPr>
            <w:tcW w:w="4950" w:type="dxa"/>
          </w:tcPr>
          <w:p w14:paraId="7DEF5C10" w14:textId="4CCE590C" w:rsidR="00532E13" w:rsidRPr="00D2258D"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 xml:space="preserve">Approve budget overrides without </w:t>
            </w:r>
            <w:proofErr w:type="gramStart"/>
            <w:r w:rsidRPr="00D2258D">
              <w:rPr>
                <w:rFonts w:cstheme="minorHAnsi"/>
                <w:sz w:val="20"/>
                <w:szCs w:val="20"/>
              </w:rPr>
              <w:t>a CFO</w:t>
            </w:r>
            <w:proofErr w:type="gramEnd"/>
            <w:r w:rsidRPr="00D2258D">
              <w:rPr>
                <w:rFonts w:cstheme="minorHAnsi"/>
                <w:sz w:val="20"/>
                <w:szCs w:val="20"/>
              </w:rPr>
              <w:t xml:space="preserve">-approved budget override </w:t>
            </w:r>
            <w:r w:rsidR="00A34AA2" w:rsidRPr="00D2258D">
              <w:rPr>
                <w:rFonts w:cstheme="minorHAnsi"/>
                <w:sz w:val="20"/>
                <w:szCs w:val="20"/>
              </w:rPr>
              <w:t>guidance</w:t>
            </w:r>
            <w:r w:rsidRPr="00D2258D">
              <w:rPr>
                <w:rFonts w:cstheme="minorHAnsi"/>
                <w:sz w:val="20"/>
                <w:szCs w:val="20"/>
              </w:rPr>
              <w:t>.</w:t>
            </w:r>
          </w:p>
          <w:p w14:paraId="62ABCFEA" w14:textId="3D7CA8CB" w:rsidR="00532E13" w:rsidRPr="00D2258D"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Approve budget overrides not aligned with Budget Override Guidance.</w:t>
            </w:r>
          </w:p>
        </w:tc>
        <w:tc>
          <w:tcPr>
            <w:tcW w:w="3240" w:type="dxa"/>
          </w:tcPr>
          <w:p w14:paraId="2E9EE939" w14:textId="25BAFD73"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No</w:t>
            </w:r>
            <w:r w:rsidR="00397C9D" w:rsidRPr="00D2258D">
              <w:rPr>
                <w:rFonts w:cstheme="minorHAnsi"/>
                <w:sz w:val="20"/>
                <w:szCs w:val="20"/>
              </w:rPr>
              <w:t xml:space="preserve"> – outside the ERP</w:t>
            </w:r>
          </w:p>
        </w:tc>
      </w:tr>
      <w:tr w:rsidR="007B1BE3" w:rsidRPr="00963907" w14:paraId="1F5EAC7B" w14:textId="602D6CB0" w:rsidTr="363CA695">
        <w:trPr>
          <w:trHeight w:val="20"/>
        </w:trPr>
        <w:tc>
          <w:tcPr>
            <w:tcW w:w="2160" w:type="dxa"/>
            <w:vMerge w:val="restart"/>
          </w:tcPr>
          <w:p w14:paraId="5AD51A0A" w14:textId="2F99382E" w:rsidR="00602A61" w:rsidRPr="006365E2" w:rsidRDefault="00602A61" w:rsidP="00C26CCF">
            <w:pPr>
              <w:spacing w:after="0" w:line="240" w:lineRule="auto"/>
              <w:rPr>
                <w:rFonts w:cstheme="minorHAnsi"/>
                <w:sz w:val="20"/>
                <w:szCs w:val="20"/>
              </w:rPr>
            </w:pPr>
            <w:r w:rsidRPr="006365E2">
              <w:rPr>
                <w:rFonts w:cstheme="minorHAnsi"/>
                <w:sz w:val="20"/>
                <w:szCs w:val="20"/>
              </w:rPr>
              <w:t>Travel Processor</w:t>
            </w:r>
          </w:p>
        </w:tc>
        <w:tc>
          <w:tcPr>
            <w:tcW w:w="4950" w:type="dxa"/>
          </w:tcPr>
          <w:p w14:paraId="3C54E194" w14:textId="481D1AE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Process or authorize own travel or requests having a conflict of interest</w:t>
            </w:r>
          </w:p>
        </w:tc>
        <w:tc>
          <w:tcPr>
            <w:tcW w:w="3240" w:type="dxa"/>
          </w:tcPr>
          <w:p w14:paraId="49AF8AC2" w14:textId="6BF38DA6" w:rsidR="00602A61" w:rsidRPr="00D2258D" w:rsidRDefault="006365E2"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06FA86E9" w14:textId="77777777" w:rsidTr="363CA695">
        <w:trPr>
          <w:trHeight w:val="20"/>
        </w:trPr>
        <w:tc>
          <w:tcPr>
            <w:tcW w:w="2160" w:type="dxa"/>
            <w:vMerge/>
          </w:tcPr>
          <w:p w14:paraId="77EA8F54" w14:textId="77777777" w:rsidR="00602A61" w:rsidRDefault="00602A61" w:rsidP="00C26CCF">
            <w:pPr>
              <w:spacing w:after="0" w:line="240" w:lineRule="auto"/>
              <w:rPr>
                <w:rFonts w:cstheme="minorHAnsi"/>
                <w:sz w:val="20"/>
                <w:szCs w:val="20"/>
                <w:highlight w:val="yellow"/>
              </w:rPr>
            </w:pPr>
          </w:p>
        </w:tc>
        <w:tc>
          <w:tcPr>
            <w:tcW w:w="4950" w:type="dxa"/>
          </w:tcPr>
          <w:p w14:paraId="7C897E53" w14:textId="7C73FE0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D2258D">
              <w:rPr>
                <w:rFonts w:cstheme="minorHAnsi"/>
                <w:sz w:val="20"/>
                <w:szCs w:val="20"/>
              </w:rPr>
              <w:t>Be</w:t>
            </w:r>
            <w:proofErr w:type="gramEnd"/>
            <w:r w:rsidRPr="00D2258D">
              <w:rPr>
                <w:rFonts w:cstheme="minorHAnsi"/>
                <w:sz w:val="20"/>
                <w:szCs w:val="20"/>
              </w:rPr>
              <w:t xml:space="preserve"> a Travel Approver</w:t>
            </w:r>
          </w:p>
        </w:tc>
        <w:tc>
          <w:tcPr>
            <w:tcW w:w="3240" w:type="dxa"/>
          </w:tcPr>
          <w:p w14:paraId="41C03D40" w14:textId="10C9598C" w:rsidR="00602A61" w:rsidRPr="00D2258D" w:rsidRDefault="0075610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D6DB0E4" w14:textId="77777777" w:rsidTr="363CA695">
        <w:trPr>
          <w:trHeight w:val="20"/>
        </w:trPr>
        <w:tc>
          <w:tcPr>
            <w:tcW w:w="2160" w:type="dxa"/>
            <w:vMerge w:val="restart"/>
          </w:tcPr>
          <w:p w14:paraId="3B5CC5AD" w14:textId="0D9B65C4" w:rsidR="00602A61" w:rsidRPr="00602A61" w:rsidRDefault="00602A61" w:rsidP="00C26CCF">
            <w:pPr>
              <w:spacing w:after="0" w:line="240" w:lineRule="auto"/>
              <w:rPr>
                <w:rFonts w:cstheme="minorHAnsi"/>
                <w:sz w:val="20"/>
                <w:szCs w:val="20"/>
              </w:rPr>
            </w:pPr>
            <w:r w:rsidRPr="00602A61">
              <w:rPr>
                <w:rFonts w:cstheme="minorHAnsi"/>
                <w:sz w:val="20"/>
                <w:szCs w:val="20"/>
              </w:rPr>
              <w:t>Travel Approver</w:t>
            </w:r>
            <w:r w:rsidR="00756101">
              <w:rPr>
                <w:rFonts w:cstheme="minorHAnsi"/>
                <w:sz w:val="20"/>
                <w:szCs w:val="20"/>
              </w:rPr>
              <w:t xml:space="preserve"> (role is fulfilled by Approving Manager in Quantum) (2</w:t>
            </w:r>
            <w:r w:rsidR="00756101" w:rsidRPr="00756101">
              <w:rPr>
                <w:rFonts w:cstheme="minorHAnsi"/>
                <w:sz w:val="20"/>
                <w:szCs w:val="20"/>
                <w:vertAlign w:val="superscript"/>
              </w:rPr>
              <w:t>nd</w:t>
            </w:r>
            <w:r w:rsidR="00756101">
              <w:rPr>
                <w:rFonts w:cstheme="minorHAnsi"/>
                <w:sz w:val="20"/>
                <w:szCs w:val="20"/>
              </w:rPr>
              <w:t xml:space="preserve"> authority, as per above)</w:t>
            </w:r>
          </w:p>
        </w:tc>
        <w:tc>
          <w:tcPr>
            <w:tcW w:w="4950" w:type="dxa"/>
          </w:tcPr>
          <w:p w14:paraId="7118428E" w14:textId="6C3ECDE2"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r w:rsidRPr="00D2258D">
              <w:rPr>
                <w:rFonts w:cstheme="minorHAnsi"/>
                <w:sz w:val="20"/>
                <w:szCs w:val="20"/>
              </w:rPr>
              <w:t>Process or authorize own travel or requests having a conflict of interest</w:t>
            </w:r>
          </w:p>
        </w:tc>
        <w:tc>
          <w:tcPr>
            <w:tcW w:w="3240" w:type="dxa"/>
          </w:tcPr>
          <w:p w14:paraId="4ABE3114" w14:textId="52085B58" w:rsidR="00602A61" w:rsidRPr="00D2258D" w:rsidRDefault="00756101" w:rsidP="363CA695">
            <w:pPr>
              <w:widowControl w:val="0"/>
              <w:autoSpaceDE w:val="0"/>
              <w:autoSpaceDN w:val="0"/>
              <w:spacing w:after="0" w:line="240" w:lineRule="auto"/>
              <w:rPr>
                <w:sz w:val="20"/>
                <w:szCs w:val="20"/>
              </w:rPr>
            </w:pPr>
            <w:r w:rsidRPr="00D2258D">
              <w:rPr>
                <w:sz w:val="20"/>
                <w:szCs w:val="20"/>
              </w:rPr>
              <w:t>Partially</w:t>
            </w:r>
            <w:r w:rsidR="00602A61" w:rsidRPr="00D2258D">
              <w:rPr>
                <w:sz w:val="20"/>
                <w:szCs w:val="20"/>
              </w:rPr>
              <w:t xml:space="preserve">. </w:t>
            </w:r>
            <w:r w:rsidRPr="00D2258D">
              <w:rPr>
                <w:sz w:val="20"/>
                <w:szCs w:val="20"/>
              </w:rPr>
              <w:t xml:space="preserve">Travel Approver cannot be a Travel Processor but can approve a TR or TC related invoice in Quantum that is payable to themselves. </w:t>
            </w:r>
            <w:r w:rsidR="00602A61" w:rsidRPr="00D2258D">
              <w:rPr>
                <w:sz w:val="20"/>
                <w:szCs w:val="20"/>
              </w:rPr>
              <w:t xml:space="preserve">Violations </w:t>
            </w:r>
            <w:r w:rsidRPr="00D2258D">
              <w:rPr>
                <w:sz w:val="20"/>
                <w:szCs w:val="20"/>
              </w:rPr>
              <w:t xml:space="preserve">of the latter are </w:t>
            </w:r>
            <w:r w:rsidR="00602A61" w:rsidRPr="00D2258D">
              <w:rPr>
                <w:sz w:val="20"/>
                <w:szCs w:val="20"/>
              </w:rPr>
              <w:t>monitored through ICF Monitoring Reports. Refer Annex 1.</w:t>
            </w:r>
          </w:p>
        </w:tc>
      </w:tr>
      <w:tr w:rsidR="007B1BE3" w:rsidRPr="00963907" w14:paraId="5904CEFD" w14:textId="77777777" w:rsidTr="363CA695">
        <w:trPr>
          <w:trHeight w:val="20"/>
        </w:trPr>
        <w:tc>
          <w:tcPr>
            <w:tcW w:w="2160" w:type="dxa"/>
            <w:vMerge/>
          </w:tcPr>
          <w:p w14:paraId="34555E7A" w14:textId="77777777" w:rsidR="00602A61" w:rsidRDefault="00602A61" w:rsidP="00C26CCF">
            <w:pPr>
              <w:spacing w:after="0" w:line="240" w:lineRule="auto"/>
              <w:rPr>
                <w:rFonts w:cstheme="minorHAnsi"/>
                <w:sz w:val="20"/>
                <w:szCs w:val="20"/>
                <w:highlight w:val="yellow"/>
              </w:rPr>
            </w:pPr>
          </w:p>
        </w:tc>
        <w:tc>
          <w:tcPr>
            <w:tcW w:w="4950" w:type="dxa"/>
          </w:tcPr>
          <w:p w14:paraId="4A164E61" w14:textId="13A8B113" w:rsidR="00602A61" w:rsidRPr="00D2258D" w:rsidRDefault="00602A61">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D2258D">
              <w:rPr>
                <w:rFonts w:cstheme="minorHAnsi"/>
                <w:sz w:val="20"/>
                <w:szCs w:val="20"/>
              </w:rPr>
              <w:t>Be</w:t>
            </w:r>
            <w:proofErr w:type="gramEnd"/>
            <w:r w:rsidRPr="00D2258D">
              <w:rPr>
                <w:rFonts w:cstheme="minorHAnsi"/>
                <w:sz w:val="20"/>
                <w:szCs w:val="20"/>
              </w:rPr>
              <w:t xml:space="preserve"> a Travel Processor</w:t>
            </w:r>
          </w:p>
        </w:tc>
        <w:tc>
          <w:tcPr>
            <w:tcW w:w="3240" w:type="dxa"/>
          </w:tcPr>
          <w:p w14:paraId="54C9B3D5" w14:textId="3B9A9CA6" w:rsidR="00602A61" w:rsidRPr="00D2258D" w:rsidRDefault="00756101"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147C55" w:rsidRPr="00963907" w14:paraId="707728C7" w14:textId="1A08C282" w:rsidTr="363CA695">
        <w:trPr>
          <w:trHeight w:val="20"/>
        </w:trPr>
        <w:tc>
          <w:tcPr>
            <w:tcW w:w="7110" w:type="dxa"/>
            <w:gridSpan w:val="2"/>
            <w:shd w:val="clear" w:color="auto" w:fill="1F4E79" w:themeFill="accent5" w:themeFillShade="80"/>
          </w:tcPr>
          <w:p w14:paraId="0E0BA9A0" w14:textId="227E6407" w:rsidR="00532E13" w:rsidRPr="00963907" w:rsidRDefault="00532E13" w:rsidP="00C26CCF">
            <w:pPr>
              <w:spacing w:after="0" w:line="240" w:lineRule="auto"/>
              <w:rPr>
                <w:rFonts w:cstheme="minorHAnsi"/>
                <w:b/>
                <w:bCs/>
                <w:sz w:val="20"/>
                <w:szCs w:val="20"/>
              </w:rPr>
            </w:pPr>
            <w:r w:rsidRPr="00963907">
              <w:rPr>
                <w:rFonts w:cstheme="minorHAnsi"/>
                <w:b/>
                <w:bCs/>
                <w:color w:val="FFFFFF" w:themeColor="background1"/>
                <w:sz w:val="20"/>
                <w:szCs w:val="20"/>
              </w:rPr>
              <w:t>Human Resources Business Profiles</w:t>
            </w:r>
          </w:p>
        </w:tc>
        <w:tc>
          <w:tcPr>
            <w:tcW w:w="3240" w:type="dxa"/>
            <w:shd w:val="clear" w:color="auto" w:fill="1F4E79" w:themeFill="accent5" w:themeFillShade="80"/>
          </w:tcPr>
          <w:p w14:paraId="5D1AB956" w14:textId="77777777" w:rsidR="00532E13" w:rsidRPr="00963907" w:rsidRDefault="00532E13" w:rsidP="00C26CCF">
            <w:pPr>
              <w:spacing w:after="0" w:line="240" w:lineRule="auto"/>
              <w:rPr>
                <w:rFonts w:cstheme="minorHAnsi"/>
                <w:b/>
                <w:bCs/>
                <w:color w:val="FFFFFF" w:themeColor="background1"/>
                <w:sz w:val="20"/>
                <w:szCs w:val="20"/>
              </w:rPr>
            </w:pPr>
          </w:p>
        </w:tc>
      </w:tr>
      <w:tr w:rsidR="007B1BE3" w:rsidRPr="00963907" w14:paraId="68C9021A" w14:textId="21ABB9EE" w:rsidTr="363CA695">
        <w:trPr>
          <w:trHeight w:val="20"/>
        </w:trPr>
        <w:tc>
          <w:tcPr>
            <w:tcW w:w="2160" w:type="dxa"/>
          </w:tcPr>
          <w:p w14:paraId="26644957" w14:textId="1F16CD8E" w:rsidR="00532E13" w:rsidRPr="00963907" w:rsidRDefault="00532E13" w:rsidP="00C26CCF">
            <w:pPr>
              <w:spacing w:after="0" w:line="240" w:lineRule="auto"/>
              <w:rPr>
                <w:rFonts w:cstheme="minorHAnsi"/>
                <w:sz w:val="20"/>
                <w:szCs w:val="20"/>
              </w:rPr>
            </w:pPr>
            <w:r w:rsidRPr="00963907">
              <w:rPr>
                <w:rFonts w:cstheme="minorHAnsi"/>
                <w:sz w:val="20"/>
                <w:szCs w:val="20"/>
              </w:rPr>
              <w:t>HR Administrator</w:t>
            </w:r>
          </w:p>
          <w:p w14:paraId="705E4992" w14:textId="5994180E" w:rsidR="00532E13" w:rsidRPr="00963907" w:rsidRDefault="00532E13" w:rsidP="00C26CCF">
            <w:pPr>
              <w:spacing w:after="0" w:line="240" w:lineRule="auto"/>
              <w:rPr>
                <w:rFonts w:cstheme="minorHAnsi"/>
                <w:i/>
                <w:iCs/>
                <w:sz w:val="20"/>
                <w:szCs w:val="20"/>
              </w:rPr>
            </w:pPr>
            <w:r w:rsidRPr="00963907">
              <w:rPr>
                <w:rFonts w:cstheme="minorHAnsi"/>
                <w:i/>
                <w:iCs/>
                <w:sz w:val="20"/>
                <w:szCs w:val="20"/>
              </w:rPr>
              <w:t>(1</w:t>
            </w:r>
            <w:r w:rsidR="004E60B7" w:rsidRPr="004E60B7">
              <w:rPr>
                <w:rFonts w:cstheme="minorHAnsi"/>
                <w:i/>
                <w:iCs/>
                <w:sz w:val="20"/>
                <w:szCs w:val="20"/>
                <w:vertAlign w:val="superscript"/>
              </w:rPr>
              <w:t>st</w:t>
            </w:r>
            <w:r w:rsidRPr="00963907">
              <w:rPr>
                <w:rFonts w:cstheme="minorHAnsi"/>
                <w:i/>
                <w:iCs/>
                <w:sz w:val="20"/>
                <w:szCs w:val="20"/>
              </w:rPr>
              <w:t xml:space="preserve"> Authority)</w:t>
            </w:r>
          </w:p>
        </w:tc>
        <w:tc>
          <w:tcPr>
            <w:tcW w:w="4950" w:type="dxa"/>
          </w:tcPr>
          <w:p w14:paraId="6C39645E" w14:textId="1A68E649"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GP Administrator</w:t>
            </w:r>
          </w:p>
          <w:p w14:paraId="70CC4D9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Be Disbursing Officer</w:t>
            </w:r>
          </w:p>
        </w:tc>
        <w:tc>
          <w:tcPr>
            <w:tcW w:w="3240" w:type="dxa"/>
          </w:tcPr>
          <w:p w14:paraId="5408B421" w14:textId="5A2A6440"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724DE24B" w14:textId="49F458E0" w:rsidTr="363CA695">
        <w:trPr>
          <w:trHeight w:val="20"/>
        </w:trPr>
        <w:tc>
          <w:tcPr>
            <w:tcW w:w="2160" w:type="dxa"/>
          </w:tcPr>
          <w:p w14:paraId="02628979" w14:textId="52BC0B6A" w:rsidR="00532E13" w:rsidRPr="00963907" w:rsidRDefault="00532E13" w:rsidP="00C26CCF">
            <w:pPr>
              <w:spacing w:after="0" w:line="240" w:lineRule="auto"/>
              <w:rPr>
                <w:rFonts w:cstheme="minorHAnsi"/>
                <w:sz w:val="20"/>
                <w:szCs w:val="20"/>
              </w:rPr>
            </w:pPr>
            <w:r w:rsidRPr="00963907">
              <w:rPr>
                <w:rFonts w:cstheme="minorHAnsi"/>
                <w:sz w:val="20"/>
                <w:szCs w:val="20"/>
              </w:rPr>
              <w:t>GP Administrator</w:t>
            </w:r>
          </w:p>
          <w:p w14:paraId="19409B42" w14:textId="2B0C605C" w:rsidR="00532E13" w:rsidRPr="00963907" w:rsidRDefault="00532E13" w:rsidP="00C26CCF">
            <w:pPr>
              <w:spacing w:after="0" w:line="240" w:lineRule="auto"/>
              <w:rPr>
                <w:rFonts w:cstheme="minorHAnsi"/>
                <w:i/>
                <w:iCs/>
                <w:sz w:val="20"/>
                <w:szCs w:val="20"/>
              </w:rPr>
            </w:pPr>
            <w:r w:rsidRPr="00963907">
              <w:rPr>
                <w:rFonts w:cstheme="minorHAnsi"/>
                <w:i/>
                <w:iCs/>
                <w:sz w:val="20"/>
                <w:szCs w:val="20"/>
              </w:rPr>
              <w:t>(2</w:t>
            </w:r>
            <w:r w:rsidR="004E60B7" w:rsidRPr="004E60B7">
              <w:rPr>
                <w:rFonts w:cstheme="minorHAnsi"/>
                <w:i/>
                <w:iCs/>
                <w:sz w:val="20"/>
                <w:szCs w:val="20"/>
                <w:vertAlign w:val="superscript"/>
              </w:rPr>
              <w:t>nd</w:t>
            </w:r>
            <w:r w:rsidRPr="00963907">
              <w:rPr>
                <w:rFonts w:cstheme="minorHAnsi"/>
                <w:i/>
                <w:iCs/>
                <w:sz w:val="20"/>
                <w:szCs w:val="20"/>
              </w:rPr>
              <w:t xml:space="preserve"> Authority)</w:t>
            </w:r>
          </w:p>
        </w:tc>
        <w:tc>
          <w:tcPr>
            <w:tcW w:w="4950" w:type="dxa"/>
          </w:tcPr>
          <w:p w14:paraId="5E910493" w14:textId="79252B52"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HR Administrator</w:t>
            </w:r>
          </w:p>
          <w:p w14:paraId="7C6964D3" w14:textId="77777777"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r w:rsidRPr="00963907">
              <w:rPr>
                <w:rFonts w:cstheme="minorHAnsi"/>
                <w:sz w:val="20"/>
                <w:szCs w:val="20"/>
              </w:rPr>
              <w:t>Be Disbursing Officer</w:t>
            </w:r>
          </w:p>
        </w:tc>
        <w:tc>
          <w:tcPr>
            <w:tcW w:w="3240" w:type="dxa"/>
          </w:tcPr>
          <w:p w14:paraId="3E02641D" w14:textId="75C47C3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r w:rsidR="007B1BE3" w:rsidRPr="00963907" w14:paraId="29FEDA5F" w14:textId="0D4A04C0" w:rsidTr="363CA695">
        <w:trPr>
          <w:trHeight w:val="20"/>
        </w:trPr>
        <w:tc>
          <w:tcPr>
            <w:tcW w:w="2160" w:type="dxa"/>
          </w:tcPr>
          <w:p w14:paraId="66F53FCD" w14:textId="572657FB" w:rsidR="00532E13" w:rsidRPr="00963907" w:rsidRDefault="00532E13" w:rsidP="00C26CCF">
            <w:pPr>
              <w:spacing w:after="0" w:line="240" w:lineRule="auto"/>
              <w:rPr>
                <w:rFonts w:cstheme="minorHAnsi"/>
                <w:sz w:val="20"/>
                <w:szCs w:val="20"/>
              </w:rPr>
            </w:pPr>
            <w:r w:rsidRPr="00963907">
              <w:rPr>
                <w:rFonts w:cstheme="minorHAnsi"/>
                <w:sz w:val="20"/>
                <w:szCs w:val="20"/>
              </w:rPr>
              <w:t>Disbursing Officer – Payroll Validation Tool User</w:t>
            </w:r>
            <w:r w:rsidR="00963907">
              <w:rPr>
                <w:rFonts w:cstheme="minorHAnsi"/>
                <w:sz w:val="20"/>
                <w:szCs w:val="20"/>
              </w:rPr>
              <w:t xml:space="preserve"> </w:t>
            </w:r>
            <w:r w:rsidRPr="00963907">
              <w:rPr>
                <w:rFonts w:cstheme="minorHAnsi"/>
                <w:i/>
                <w:iCs/>
                <w:sz w:val="20"/>
                <w:szCs w:val="20"/>
              </w:rPr>
              <w:t>(3</w:t>
            </w:r>
            <w:r w:rsidR="004E60B7" w:rsidRPr="004E60B7">
              <w:rPr>
                <w:rFonts w:cstheme="minorHAnsi"/>
                <w:i/>
                <w:iCs/>
                <w:sz w:val="20"/>
                <w:szCs w:val="20"/>
                <w:vertAlign w:val="superscript"/>
              </w:rPr>
              <w:t>rd</w:t>
            </w:r>
            <w:r w:rsidRPr="00963907">
              <w:rPr>
                <w:rFonts w:cstheme="minorHAnsi"/>
                <w:i/>
                <w:iCs/>
                <w:sz w:val="20"/>
                <w:szCs w:val="20"/>
              </w:rPr>
              <w:t xml:space="preserve"> Authority)</w:t>
            </w:r>
          </w:p>
        </w:tc>
        <w:tc>
          <w:tcPr>
            <w:tcW w:w="4950" w:type="dxa"/>
          </w:tcPr>
          <w:p w14:paraId="699D88B7" w14:textId="2D4DB390"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GP Administrator</w:t>
            </w:r>
          </w:p>
          <w:p w14:paraId="5B92CE3D" w14:textId="3208CF3D" w:rsidR="00532E13" w:rsidRPr="00963907" w:rsidRDefault="00532E13">
            <w:pPr>
              <w:pStyle w:val="ListParagraph"/>
              <w:widowControl w:val="0"/>
              <w:numPr>
                <w:ilvl w:val="0"/>
                <w:numId w:val="90"/>
              </w:numPr>
              <w:autoSpaceDE w:val="0"/>
              <w:autoSpaceDN w:val="0"/>
              <w:spacing w:after="0" w:line="240" w:lineRule="auto"/>
              <w:ind w:left="290" w:hanging="290"/>
              <w:rPr>
                <w:rFonts w:cstheme="minorHAnsi"/>
                <w:sz w:val="20"/>
                <w:szCs w:val="20"/>
              </w:rPr>
            </w:pPr>
            <w:proofErr w:type="gramStart"/>
            <w:r w:rsidRPr="00963907">
              <w:rPr>
                <w:rFonts w:cstheme="minorHAnsi"/>
                <w:sz w:val="20"/>
                <w:szCs w:val="20"/>
              </w:rPr>
              <w:t>Be</w:t>
            </w:r>
            <w:proofErr w:type="gramEnd"/>
            <w:r w:rsidRPr="00963907">
              <w:rPr>
                <w:rFonts w:cstheme="minorHAnsi"/>
                <w:sz w:val="20"/>
                <w:szCs w:val="20"/>
              </w:rPr>
              <w:t xml:space="preserve"> HR Administrator</w:t>
            </w:r>
          </w:p>
        </w:tc>
        <w:tc>
          <w:tcPr>
            <w:tcW w:w="3240" w:type="dxa"/>
          </w:tcPr>
          <w:p w14:paraId="6BA4E62E" w14:textId="2CC8E0B6" w:rsidR="00532E13" w:rsidRPr="00D2258D" w:rsidRDefault="00532E13" w:rsidP="00532E13">
            <w:pPr>
              <w:widowControl w:val="0"/>
              <w:autoSpaceDE w:val="0"/>
              <w:autoSpaceDN w:val="0"/>
              <w:spacing w:after="0" w:line="240" w:lineRule="auto"/>
              <w:rPr>
                <w:rFonts w:cstheme="minorHAnsi"/>
                <w:sz w:val="20"/>
                <w:szCs w:val="20"/>
              </w:rPr>
            </w:pPr>
            <w:r w:rsidRPr="00D2258D">
              <w:rPr>
                <w:rFonts w:cstheme="minorHAnsi"/>
                <w:sz w:val="20"/>
                <w:szCs w:val="20"/>
              </w:rPr>
              <w:t>Yes</w:t>
            </w:r>
          </w:p>
        </w:tc>
      </w:tr>
    </w:tbl>
    <w:p w14:paraId="3B184291" w14:textId="4BD355BE" w:rsidR="00C20415" w:rsidRDefault="00C20415" w:rsidP="006E6EB2"/>
    <w:p w14:paraId="35B0A5D8" w14:textId="12A98A98" w:rsidR="00A53A59" w:rsidRDefault="00A53A59">
      <w:r>
        <w:br w:type="page"/>
      </w:r>
    </w:p>
    <w:p w14:paraId="0D36B054" w14:textId="7234C44A" w:rsidR="00CE749B" w:rsidRDefault="00A53A59" w:rsidP="006B79D0">
      <w:pPr>
        <w:pStyle w:val="Heading1"/>
        <w:spacing w:after="240"/>
      </w:pPr>
      <w:bookmarkStart w:id="128" w:name="_Annex_7:_Overview"/>
      <w:bookmarkStart w:id="129" w:name="_Toc210052801"/>
      <w:bookmarkEnd w:id="128"/>
      <w:r>
        <w:lastRenderedPageBreak/>
        <w:t xml:space="preserve">Annex 7: Overview of where key </w:t>
      </w:r>
      <w:r w:rsidR="006B79D0">
        <w:t>actions are performed</w:t>
      </w:r>
      <w:bookmarkEnd w:id="129"/>
    </w:p>
    <w:p w14:paraId="41CCA487" w14:textId="33E4F61B" w:rsidR="00F511BE" w:rsidRPr="00D2258D" w:rsidRDefault="00032C5C" w:rsidP="000A2DF8">
      <w:pPr>
        <w:rPr>
          <w:rFonts w:eastAsia="Times New Roman" w:cstheme="minorHAnsi"/>
          <w:sz w:val="20"/>
          <w:szCs w:val="20"/>
          <w:lang w:val="en-MY"/>
          <w14:ligatures w14:val="none"/>
        </w:rPr>
      </w:pPr>
      <w:r w:rsidRPr="00D2258D">
        <w:rPr>
          <w:rFonts w:eastAsia="Times New Roman" w:cstheme="minorHAnsi"/>
          <w:sz w:val="20"/>
          <w:szCs w:val="20"/>
          <w:lang w:val="en-MY"/>
          <w14:ligatures w14:val="none"/>
        </w:rPr>
        <w:t xml:space="preserve">Annex 7 summarizes who performs key process control actions, depending on whether a process is clustered in the BMS/GSSC or not. </w:t>
      </w:r>
      <w:r w:rsidR="00562E5F" w:rsidRPr="00D2258D">
        <w:rPr>
          <w:sz w:val="20"/>
          <w:szCs w:val="20"/>
        </w:rPr>
        <w:t>Refer to the relevant section of this Guide for more information.</w:t>
      </w:r>
      <w:r w:rsidR="00562E5F" w:rsidRPr="00D2258D">
        <w:t xml:space="preserve"> </w:t>
      </w:r>
      <w:r w:rsidRPr="00D2258D">
        <w:rPr>
          <w:rFonts w:eastAsia="Times New Roman" w:cstheme="minorHAnsi"/>
          <w:sz w:val="20"/>
          <w:szCs w:val="20"/>
          <w:lang w:val="en-MY"/>
          <w14:ligatures w14:val="none"/>
        </w:rPr>
        <w:t>The level of clustering differs for COs</w:t>
      </w:r>
      <w:r w:rsidR="00C4736E" w:rsidRPr="00D2258D">
        <w:rPr>
          <w:rFonts w:eastAsia="Times New Roman" w:cstheme="minorHAnsi"/>
          <w:sz w:val="20"/>
          <w:szCs w:val="20"/>
          <w:lang w:val="en-MY"/>
          <w14:ligatures w14:val="none"/>
        </w:rPr>
        <w:t xml:space="preserve">, </w:t>
      </w:r>
      <w:r w:rsidRPr="00D2258D">
        <w:rPr>
          <w:rFonts w:eastAsia="Times New Roman" w:cstheme="minorHAnsi"/>
          <w:sz w:val="20"/>
          <w:szCs w:val="20"/>
          <w:lang w:val="en-MY"/>
          <w14:ligatures w14:val="none"/>
        </w:rPr>
        <w:t>HQ offices</w:t>
      </w:r>
      <w:r w:rsidR="00C4736E" w:rsidRPr="00D2258D">
        <w:rPr>
          <w:rFonts w:eastAsia="Times New Roman" w:cstheme="minorHAnsi"/>
          <w:sz w:val="20"/>
          <w:szCs w:val="20"/>
          <w:lang w:val="en-MY"/>
          <w14:ligatures w14:val="none"/>
        </w:rPr>
        <w:t xml:space="preserve">/units, </w:t>
      </w:r>
      <w:r w:rsidRPr="00D2258D">
        <w:rPr>
          <w:rFonts w:eastAsia="Times New Roman" w:cstheme="minorHAnsi"/>
          <w:sz w:val="20"/>
          <w:szCs w:val="20"/>
          <w:lang w:val="en-MY"/>
          <w14:ligatures w14:val="none"/>
        </w:rPr>
        <w:t>and outposted HQ locations (e.g. BERA Representation Offices</w:t>
      </w:r>
      <w:r w:rsidR="00C4736E" w:rsidRPr="00D2258D">
        <w:rPr>
          <w:rFonts w:eastAsia="Times New Roman" w:cstheme="minorHAnsi"/>
          <w:sz w:val="20"/>
          <w:szCs w:val="20"/>
          <w:lang w:val="en-MY"/>
          <w14:ligatures w14:val="none"/>
        </w:rPr>
        <w:t xml:space="preserve">). </w:t>
      </w:r>
    </w:p>
    <w:p w14:paraId="42C42B23" w14:textId="77777777" w:rsidR="00F511BE" w:rsidRPr="00D2258D" w:rsidRDefault="0056779D" w:rsidP="000A2DF8">
      <w:pPr>
        <w:rPr>
          <w:rFonts w:eastAsia="Times New Roman" w:cstheme="minorHAnsi"/>
          <w:sz w:val="20"/>
          <w:szCs w:val="20"/>
          <w:lang w:val="en-MY"/>
          <w14:ligatures w14:val="none"/>
        </w:rPr>
      </w:pPr>
      <w:r w:rsidRPr="00D2258D">
        <w:rPr>
          <w:rFonts w:eastAsia="Times New Roman" w:cstheme="minorHAnsi"/>
          <w:sz w:val="20"/>
          <w:szCs w:val="20"/>
          <w:lang w:val="en-MY"/>
          <w14:ligatures w14:val="none"/>
        </w:rPr>
        <w:t xml:space="preserve">COs are shown in column B and BMS/GSSC in column </w:t>
      </w:r>
      <w:r w:rsidR="00F511BE" w:rsidRPr="00D2258D">
        <w:rPr>
          <w:rFonts w:eastAsia="Times New Roman" w:cstheme="minorHAnsi"/>
          <w:sz w:val="20"/>
          <w:szCs w:val="20"/>
          <w:lang w:val="en-MY"/>
          <w14:ligatures w14:val="none"/>
        </w:rPr>
        <w:t>C</w:t>
      </w:r>
      <w:r w:rsidRPr="00D2258D">
        <w:rPr>
          <w:rFonts w:eastAsia="Times New Roman" w:cstheme="minorHAnsi"/>
          <w:sz w:val="20"/>
          <w:szCs w:val="20"/>
          <w:lang w:val="en-MY"/>
          <w14:ligatures w14:val="none"/>
        </w:rPr>
        <w:t>. Of the 68 actions in the table</w:t>
      </w:r>
      <w:r w:rsidR="00F511BE" w:rsidRPr="00D2258D">
        <w:rPr>
          <w:rFonts w:eastAsia="Times New Roman" w:cstheme="minorHAnsi"/>
          <w:sz w:val="20"/>
          <w:szCs w:val="20"/>
          <w:lang w:val="en-MY"/>
          <w14:ligatures w14:val="none"/>
        </w:rPr>
        <w:t xml:space="preserve"> for columns B and C</w:t>
      </w:r>
      <w:r w:rsidRPr="00D2258D">
        <w:rPr>
          <w:rFonts w:eastAsia="Times New Roman" w:cstheme="minorHAnsi"/>
          <w:sz w:val="20"/>
          <w:szCs w:val="20"/>
          <w:lang w:val="en-MY"/>
          <w14:ligatures w14:val="none"/>
        </w:rPr>
        <w:t>, there are 6 areas where there is a “Yes” in both column B and C</w:t>
      </w:r>
      <w:r w:rsidR="00F511BE" w:rsidRPr="00D2258D">
        <w:rPr>
          <w:rFonts w:eastAsia="Times New Roman" w:cstheme="minorHAnsi"/>
          <w:sz w:val="20"/>
          <w:szCs w:val="20"/>
          <w:lang w:val="en-MY"/>
          <w14:ligatures w14:val="none"/>
        </w:rPr>
        <w:t>:</w:t>
      </w:r>
    </w:p>
    <w:p w14:paraId="08F3FB7D" w14:textId="0244B1FE"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Create invoices,</w:t>
      </w:r>
      <w:r w:rsidR="0056779D" w:rsidRPr="00D2258D">
        <w:rPr>
          <w:rFonts w:eastAsia="Times New Roman" w:cstheme="minorHAnsi"/>
          <w:sz w:val="20"/>
          <w:szCs w:val="20"/>
          <w:lang w:val="en-MY"/>
          <w14:ligatures w14:val="none"/>
        </w:rPr>
        <w:t xml:space="preserve"> </w:t>
      </w:r>
      <w:r w:rsidRPr="00D2258D">
        <w:rPr>
          <w:rFonts w:eastAsia="Times New Roman" w:cstheme="minorHAnsi"/>
          <w:sz w:val="20"/>
          <w:szCs w:val="20"/>
          <w:lang w:val="en-MY"/>
          <w14:ligatures w14:val="none"/>
        </w:rPr>
        <w:t xml:space="preserve">since BMS/GSSC can assist </w:t>
      </w:r>
      <w:r w:rsidR="00987C43" w:rsidRPr="00D2258D">
        <w:rPr>
          <w:rFonts w:eastAsia="Times New Roman" w:cstheme="minorHAnsi"/>
          <w:sz w:val="20"/>
          <w:szCs w:val="20"/>
          <w:lang w:val="en-MY"/>
          <w14:ligatures w14:val="none"/>
        </w:rPr>
        <w:t>offices/units</w:t>
      </w:r>
      <w:r w:rsidRPr="00D2258D">
        <w:rPr>
          <w:rFonts w:eastAsia="Times New Roman" w:cstheme="minorHAnsi"/>
          <w:sz w:val="20"/>
          <w:szCs w:val="20"/>
          <w:lang w:val="en-MY"/>
          <w14:ligatures w14:val="none"/>
        </w:rPr>
        <w:t xml:space="preserve"> with bulk transactions.</w:t>
      </w:r>
    </w:p>
    <w:p w14:paraId="348CCCD5" w14:textId="4A57F489" w:rsidR="00F511BE" w:rsidRPr="00D2258D" w:rsidRDefault="00562E5F">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A</w:t>
      </w:r>
      <w:r w:rsidR="00F511BE" w:rsidRPr="00D2258D">
        <w:rPr>
          <w:rFonts w:eastAsia="Times New Roman" w:cstheme="minorHAnsi"/>
          <w:sz w:val="20"/>
          <w:szCs w:val="20"/>
          <w:lang w:val="en-MY"/>
          <w14:ligatures w14:val="none"/>
        </w:rPr>
        <w:t xml:space="preserve">pproving ZDIs, which is based on business need.  </w:t>
      </w:r>
    </w:p>
    <w:p w14:paraId="51B06AEC" w14:textId="5BE1920C"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Perform ticket reconciliation, based on method of supplier interaction.</w:t>
      </w:r>
    </w:p>
    <w:p w14:paraId="6A8E37B9" w14:textId="490205E2"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 xml:space="preserve">Position </w:t>
      </w:r>
      <w:r w:rsidR="00987C43" w:rsidRPr="00D2258D">
        <w:rPr>
          <w:rFonts w:eastAsia="Times New Roman" w:cstheme="minorHAnsi"/>
          <w:sz w:val="20"/>
          <w:szCs w:val="20"/>
          <w:lang w:val="en-MY"/>
          <w14:ligatures w14:val="none"/>
        </w:rPr>
        <w:t>management since</w:t>
      </w:r>
      <w:r w:rsidRPr="00D2258D">
        <w:rPr>
          <w:rFonts w:eastAsia="Times New Roman" w:cstheme="minorHAnsi"/>
          <w:sz w:val="20"/>
          <w:szCs w:val="20"/>
          <w:lang w:val="en-MY"/>
          <w14:ligatures w14:val="none"/>
        </w:rPr>
        <w:t xml:space="preserve"> </w:t>
      </w:r>
      <w:r w:rsidR="00987C43" w:rsidRPr="00D2258D">
        <w:rPr>
          <w:rFonts w:eastAsia="Times New Roman" w:cstheme="minorHAnsi"/>
          <w:sz w:val="20"/>
          <w:szCs w:val="20"/>
          <w:lang w:val="en-MY"/>
          <w14:ligatures w14:val="none"/>
        </w:rPr>
        <w:t>offices/units</w:t>
      </w:r>
      <w:r w:rsidRPr="00D2258D">
        <w:rPr>
          <w:rFonts w:eastAsia="Times New Roman" w:cstheme="minorHAnsi"/>
          <w:sz w:val="20"/>
          <w:szCs w:val="20"/>
          <w:lang w:val="en-MY"/>
          <w14:ligatures w14:val="none"/>
        </w:rPr>
        <w:t xml:space="preserve"> approve the business need and BMS/GSSC performs a compliance-based verifying review before entering the position in Quantum.</w:t>
      </w:r>
    </w:p>
    <w:p w14:paraId="716B85D7" w14:textId="26B3EFAF"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 xml:space="preserve">Monitoring timely completion of transactions, as this is required by both the </w:t>
      </w:r>
      <w:r w:rsidR="00987C43" w:rsidRPr="00D2258D">
        <w:rPr>
          <w:rFonts w:eastAsia="Times New Roman" w:cstheme="minorHAnsi"/>
          <w:sz w:val="20"/>
          <w:szCs w:val="20"/>
          <w:lang w:val="en-MY"/>
          <w14:ligatures w14:val="none"/>
        </w:rPr>
        <w:t>office/unit</w:t>
      </w:r>
      <w:r w:rsidRPr="00D2258D">
        <w:rPr>
          <w:rFonts w:eastAsia="Times New Roman" w:cstheme="minorHAnsi"/>
          <w:sz w:val="20"/>
          <w:szCs w:val="20"/>
          <w:lang w:val="en-MY"/>
          <w14:ligatures w14:val="none"/>
        </w:rPr>
        <w:t xml:space="preserve"> and BMS/GSSC.</w:t>
      </w:r>
    </w:p>
    <w:p w14:paraId="65C1DEBC" w14:textId="092AEFC6" w:rsidR="00F511BE" w:rsidRPr="00D2258D" w:rsidRDefault="00F511BE">
      <w:pPr>
        <w:pStyle w:val="ListParagraph"/>
        <w:numPr>
          <w:ilvl w:val="1"/>
          <w:numId w:val="107"/>
        </w:numPr>
        <w:rPr>
          <w:rFonts w:cstheme="minorHAnsi"/>
          <w:sz w:val="20"/>
          <w:szCs w:val="20"/>
        </w:rPr>
      </w:pPr>
      <w:r w:rsidRPr="00D2258D">
        <w:rPr>
          <w:rFonts w:eastAsia="Times New Roman" w:cstheme="minorHAnsi"/>
          <w:sz w:val="20"/>
          <w:szCs w:val="20"/>
          <w:lang w:val="en-MY"/>
          <w14:ligatures w14:val="none"/>
        </w:rPr>
        <w:t>Ensuring adequate document management for actions performed.</w:t>
      </w:r>
    </w:p>
    <w:p w14:paraId="16C7FD47" w14:textId="505790A0" w:rsidR="00A53A59" w:rsidRPr="00D2258D" w:rsidRDefault="00032C5C" w:rsidP="000A2DF8">
      <w:pPr>
        <w:rPr>
          <w:rFonts w:cstheme="minorHAnsi"/>
          <w:sz w:val="20"/>
          <w:szCs w:val="20"/>
        </w:rPr>
      </w:pPr>
      <w:r w:rsidRPr="00D2258D">
        <w:rPr>
          <w:rFonts w:eastAsia="Times New Roman" w:cstheme="minorHAnsi"/>
          <w:sz w:val="20"/>
          <w:szCs w:val="20"/>
          <w:lang w:val="en-MY"/>
          <w14:ligatures w14:val="none"/>
        </w:rPr>
        <w:t>HQ offices</w:t>
      </w:r>
      <w:r w:rsidR="00C4736E" w:rsidRPr="00D2258D">
        <w:rPr>
          <w:rFonts w:eastAsia="Times New Roman" w:cstheme="minorHAnsi"/>
          <w:sz w:val="20"/>
          <w:szCs w:val="20"/>
          <w:lang w:val="en-MY"/>
          <w14:ligatures w14:val="none"/>
        </w:rPr>
        <w:t xml:space="preserve">/units are shown in column D. They </w:t>
      </w:r>
      <w:r w:rsidRPr="00D2258D">
        <w:rPr>
          <w:rFonts w:eastAsia="Times New Roman" w:cstheme="minorHAnsi"/>
          <w:sz w:val="20"/>
          <w:szCs w:val="20"/>
          <w:lang w:val="en-MY"/>
          <w14:ligatures w14:val="none"/>
        </w:rPr>
        <w:t>have fewer clustered processes</w:t>
      </w:r>
      <w:r w:rsidR="00C4736E" w:rsidRPr="00D2258D">
        <w:rPr>
          <w:rFonts w:eastAsia="Times New Roman" w:cstheme="minorHAnsi"/>
          <w:sz w:val="20"/>
          <w:szCs w:val="20"/>
          <w:lang w:val="en-MY"/>
          <w14:ligatures w14:val="none"/>
        </w:rPr>
        <w:t xml:space="preserve"> than COs</w:t>
      </w:r>
      <w:r w:rsidRPr="00D2258D">
        <w:rPr>
          <w:rFonts w:eastAsia="Times New Roman" w:cstheme="minorHAnsi"/>
          <w:sz w:val="20"/>
          <w:szCs w:val="20"/>
          <w:lang w:val="en-MY"/>
          <w14:ligatures w14:val="none"/>
        </w:rPr>
        <w:t xml:space="preserve"> (e.g. mainly assets, inventory, revenue accounting)</w:t>
      </w:r>
      <w:r w:rsidR="00C4736E" w:rsidRPr="00D2258D">
        <w:rPr>
          <w:rFonts w:eastAsia="Times New Roman" w:cstheme="minorHAnsi"/>
          <w:sz w:val="20"/>
          <w:szCs w:val="20"/>
          <w:lang w:val="en-MY"/>
          <w14:ligatures w14:val="none"/>
        </w:rPr>
        <w:t xml:space="preserve"> and therefore </w:t>
      </w:r>
      <w:r w:rsidRPr="00D2258D">
        <w:rPr>
          <w:rFonts w:eastAsia="Times New Roman" w:cstheme="minorHAnsi"/>
          <w:sz w:val="20"/>
          <w:szCs w:val="20"/>
          <w:lang w:val="en-MY"/>
          <w14:ligatures w14:val="none"/>
        </w:rPr>
        <w:t xml:space="preserve">do many of the actions that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GSSC does for COs, hence the</w:t>
      </w:r>
      <w:r w:rsidR="00562E5F" w:rsidRPr="00D2258D">
        <w:rPr>
          <w:rFonts w:eastAsia="Times New Roman" w:cstheme="minorHAnsi"/>
          <w:sz w:val="20"/>
          <w:szCs w:val="20"/>
          <w:lang w:val="en-MY"/>
          <w14:ligatures w14:val="none"/>
        </w:rPr>
        <w:t>re is a larger</w:t>
      </w:r>
      <w:r w:rsidRPr="00D2258D">
        <w:rPr>
          <w:rFonts w:eastAsia="Times New Roman" w:cstheme="minorHAnsi"/>
          <w:sz w:val="20"/>
          <w:szCs w:val="20"/>
          <w:lang w:val="en-MY"/>
          <w14:ligatures w14:val="none"/>
        </w:rPr>
        <w:t xml:space="preserve"> number of “Yes” in column</w:t>
      </w:r>
      <w:r w:rsidR="00C4736E" w:rsidRPr="00D2258D">
        <w:rPr>
          <w:rFonts w:eastAsia="Times New Roman" w:cstheme="minorHAnsi"/>
          <w:sz w:val="20"/>
          <w:szCs w:val="20"/>
          <w:lang w:val="en-MY"/>
          <w14:ligatures w14:val="none"/>
        </w:rPr>
        <w:t xml:space="preserve"> D</w:t>
      </w:r>
      <w:r w:rsidRPr="00D2258D">
        <w:rPr>
          <w:rFonts w:eastAsia="Times New Roman" w:cstheme="minorHAnsi"/>
          <w:sz w:val="20"/>
          <w:szCs w:val="20"/>
          <w:lang w:val="en-MY"/>
          <w14:ligatures w14:val="none"/>
        </w:rPr>
        <w:t xml:space="preserve"> that mirror</w:t>
      </w:r>
      <w:r w:rsidR="00562E5F" w:rsidRPr="00D2258D">
        <w:rPr>
          <w:rFonts w:eastAsia="Times New Roman" w:cstheme="minorHAnsi"/>
          <w:sz w:val="20"/>
          <w:szCs w:val="20"/>
          <w:lang w:val="en-MY"/>
          <w14:ligatures w14:val="none"/>
        </w:rPr>
        <w:t>s</w:t>
      </w:r>
      <w:r w:rsidRPr="00D2258D">
        <w:rPr>
          <w:rFonts w:eastAsia="Times New Roman" w:cstheme="minorHAnsi"/>
          <w:sz w:val="20"/>
          <w:szCs w:val="20"/>
          <w:lang w:val="en-MY"/>
          <w14:ligatures w14:val="none"/>
        </w:rPr>
        <w:t xml:space="preserve">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GSSC column</w:t>
      </w:r>
      <w:r w:rsidR="00C4736E" w:rsidRPr="00D2258D">
        <w:rPr>
          <w:rFonts w:eastAsia="Times New Roman" w:cstheme="minorHAnsi"/>
          <w:sz w:val="20"/>
          <w:szCs w:val="20"/>
          <w:lang w:val="en-MY"/>
          <w14:ligatures w14:val="none"/>
        </w:rPr>
        <w:t xml:space="preserve"> C</w:t>
      </w:r>
      <w:r w:rsidRPr="00D2258D">
        <w:rPr>
          <w:rFonts w:eastAsia="Times New Roman" w:cstheme="minorHAnsi"/>
          <w:sz w:val="20"/>
          <w:szCs w:val="20"/>
          <w:lang w:val="en-MY"/>
          <w14:ligatures w14:val="none"/>
        </w:rPr>
        <w:t xml:space="preserve">. Column </w:t>
      </w:r>
      <w:r w:rsidR="00C4736E" w:rsidRPr="00D2258D">
        <w:rPr>
          <w:rFonts w:eastAsia="Times New Roman" w:cstheme="minorHAnsi"/>
          <w:sz w:val="20"/>
          <w:szCs w:val="20"/>
          <w:lang w:val="en-MY"/>
          <w14:ligatures w14:val="none"/>
        </w:rPr>
        <w:t>E</w:t>
      </w:r>
      <w:r w:rsidRPr="00D2258D">
        <w:rPr>
          <w:rFonts w:eastAsia="Times New Roman" w:cstheme="minorHAnsi"/>
          <w:sz w:val="20"/>
          <w:szCs w:val="20"/>
          <w:lang w:val="en-MY"/>
          <w14:ligatures w14:val="none"/>
        </w:rPr>
        <w:t xml:space="preserve"> is for outposted HQ locations who perform all the same actions as HQ offices, as well as HR and </w:t>
      </w:r>
      <w:r w:rsidR="00987C43" w:rsidRPr="00D2258D">
        <w:rPr>
          <w:rFonts w:eastAsia="Times New Roman" w:cstheme="minorHAnsi"/>
          <w:sz w:val="20"/>
          <w:szCs w:val="20"/>
          <w:lang w:val="en-MY"/>
          <w14:ligatures w14:val="none"/>
        </w:rPr>
        <w:t>p</w:t>
      </w:r>
      <w:r w:rsidRPr="00D2258D">
        <w:rPr>
          <w:rFonts w:eastAsia="Times New Roman" w:cstheme="minorHAnsi"/>
          <w:sz w:val="20"/>
          <w:szCs w:val="20"/>
          <w:lang w:val="en-MY"/>
          <w14:ligatures w14:val="none"/>
        </w:rPr>
        <w:t xml:space="preserve">ayroll administration for local staff in their offices. Hence, </w:t>
      </w:r>
      <w:r w:rsidR="00562E5F" w:rsidRPr="00D2258D">
        <w:rPr>
          <w:rFonts w:eastAsia="Times New Roman" w:cstheme="minorHAnsi"/>
          <w:sz w:val="20"/>
          <w:szCs w:val="20"/>
          <w:lang w:val="en-MY"/>
          <w14:ligatures w14:val="none"/>
        </w:rPr>
        <w:t xml:space="preserve">Column E has </w:t>
      </w:r>
      <w:r w:rsidRPr="00D2258D">
        <w:rPr>
          <w:rFonts w:eastAsia="Times New Roman" w:cstheme="minorHAnsi"/>
          <w:sz w:val="20"/>
          <w:szCs w:val="20"/>
          <w:lang w:val="en-MY"/>
          <w14:ligatures w14:val="none"/>
        </w:rPr>
        <w:t>a lot of “Yes” that mirror</w:t>
      </w:r>
      <w:r w:rsidR="00562E5F" w:rsidRPr="00D2258D">
        <w:rPr>
          <w:rFonts w:eastAsia="Times New Roman" w:cstheme="minorHAnsi"/>
          <w:sz w:val="20"/>
          <w:szCs w:val="20"/>
          <w:lang w:val="en-MY"/>
          <w14:ligatures w14:val="none"/>
        </w:rPr>
        <w:t>s</w:t>
      </w:r>
      <w:r w:rsidRPr="00D2258D">
        <w:rPr>
          <w:rFonts w:eastAsia="Times New Roman" w:cstheme="minorHAnsi"/>
          <w:sz w:val="20"/>
          <w:szCs w:val="20"/>
          <w:lang w:val="en-MY"/>
          <w14:ligatures w14:val="none"/>
        </w:rPr>
        <w:t xml:space="preserve"> the </w:t>
      </w:r>
      <w:r w:rsidR="00C4736E" w:rsidRPr="00D2258D">
        <w:rPr>
          <w:rFonts w:eastAsia="Times New Roman" w:cstheme="minorHAnsi"/>
          <w:sz w:val="20"/>
          <w:szCs w:val="20"/>
          <w:lang w:val="en-MY"/>
          <w14:ligatures w14:val="none"/>
        </w:rPr>
        <w:t>BMS/</w:t>
      </w:r>
      <w:r w:rsidRPr="00D2258D">
        <w:rPr>
          <w:rFonts w:eastAsia="Times New Roman" w:cstheme="minorHAnsi"/>
          <w:sz w:val="20"/>
          <w:szCs w:val="20"/>
          <w:lang w:val="en-MY"/>
          <w14:ligatures w14:val="none"/>
        </w:rPr>
        <w:t xml:space="preserve">GSSC column because </w:t>
      </w:r>
      <w:r w:rsidR="00987C43" w:rsidRPr="00D2258D">
        <w:rPr>
          <w:rFonts w:eastAsia="Times New Roman" w:cstheme="minorHAnsi"/>
          <w:sz w:val="20"/>
          <w:szCs w:val="20"/>
          <w:lang w:val="en-MY"/>
          <w14:ligatures w14:val="none"/>
        </w:rPr>
        <w:t>outposted HQ locations</w:t>
      </w:r>
      <w:r w:rsidRPr="00D2258D">
        <w:rPr>
          <w:rFonts w:eastAsia="Times New Roman" w:cstheme="minorHAnsi"/>
          <w:sz w:val="20"/>
          <w:szCs w:val="20"/>
          <w:lang w:val="en-MY"/>
          <w14:ligatures w14:val="none"/>
        </w:rPr>
        <w:t xml:space="preserve"> have even fewer clustered processes than HQ offices.</w:t>
      </w:r>
    </w:p>
    <w:tbl>
      <w:tblPr>
        <w:tblStyle w:val="TableGrid"/>
        <w:tblW w:w="10890" w:type="dxa"/>
        <w:tblInd w:w="-185" w:type="dxa"/>
        <w:tblLayout w:type="fixed"/>
        <w:tblLook w:val="04A0" w:firstRow="1" w:lastRow="0" w:firstColumn="1" w:lastColumn="0" w:noHBand="0" w:noVBand="1"/>
      </w:tblPr>
      <w:tblGrid>
        <w:gridCol w:w="3360"/>
        <w:gridCol w:w="1590"/>
        <w:gridCol w:w="2070"/>
        <w:gridCol w:w="2160"/>
        <w:gridCol w:w="1710"/>
      </w:tblGrid>
      <w:tr w:rsidR="00147C55" w:rsidRPr="006B79D0" w14:paraId="128FF5CF" w14:textId="77777777" w:rsidTr="00B03B30">
        <w:trPr>
          <w:tblHeader/>
        </w:trPr>
        <w:tc>
          <w:tcPr>
            <w:tcW w:w="3360" w:type="dxa"/>
            <w:shd w:val="clear" w:color="auto" w:fill="002060"/>
          </w:tcPr>
          <w:p w14:paraId="52DA1866" w14:textId="77777777" w:rsidR="00A53A59" w:rsidRPr="00D2258D" w:rsidRDefault="00A53A59" w:rsidP="00CF32EB">
            <w:pPr>
              <w:rPr>
                <w:rFonts w:cstheme="minorHAnsi"/>
                <w:b/>
                <w:bCs/>
                <w:sz w:val="20"/>
                <w:szCs w:val="20"/>
              </w:rPr>
            </w:pPr>
            <w:r w:rsidRPr="00D2258D">
              <w:rPr>
                <w:rFonts w:cstheme="minorHAnsi"/>
                <w:b/>
                <w:bCs/>
                <w:sz w:val="20"/>
                <w:szCs w:val="20"/>
              </w:rPr>
              <w:t>Functional Area/Key Actions</w:t>
            </w:r>
          </w:p>
          <w:p w14:paraId="26D54B37" w14:textId="5B7C27D4" w:rsidR="00032C5C" w:rsidRPr="00D2258D" w:rsidRDefault="00032C5C" w:rsidP="00CF32EB">
            <w:pPr>
              <w:rPr>
                <w:rFonts w:cstheme="minorHAnsi"/>
                <w:b/>
                <w:bCs/>
                <w:sz w:val="20"/>
                <w:szCs w:val="20"/>
              </w:rPr>
            </w:pPr>
            <w:r w:rsidRPr="00D2258D">
              <w:rPr>
                <w:rFonts w:cstheme="minorHAnsi"/>
                <w:b/>
                <w:bCs/>
                <w:sz w:val="20"/>
                <w:szCs w:val="20"/>
              </w:rPr>
              <w:t>(A)</w:t>
            </w:r>
          </w:p>
        </w:tc>
        <w:tc>
          <w:tcPr>
            <w:tcW w:w="1590" w:type="dxa"/>
            <w:shd w:val="clear" w:color="auto" w:fill="002060"/>
          </w:tcPr>
          <w:p w14:paraId="5FB331CE" w14:textId="1D0EAB73" w:rsidR="00A53A59" w:rsidRPr="00D2258D" w:rsidRDefault="00A53A59" w:rsidP="00CF32EB">
            <w:pPr>
              <w:jc w:val="center"/>
              <w:rPr>
                <w:rFonts w:cstheme="minorHAnsi"/>
                <w:b/>
                <w:bCs/>
                <w:sz w:val="20"/>
                <w:szCs w:val="20"/>
              </w:rPr>
            </w:pPr>
            <w:r w:rsidRPr="00D2258D">
              <w:rPr>
                <w:rFonts w:cstheme="minorHAnsi"/>
                <w:b/>
                <w:bCs/>
                <w:sz w:val="20"/>
                <w:szCs w:val="20"/>
              </w:rPr>
              <w:t>Within CO office/unit with clustered processes</w:t>
            </w:r>
            <w:r w:rsidR="00032C5C" w:rsidRPr="00D2258D">
              <w:rPr>
                <w:rFonts w:cstheme="minorHAnsi"/>
                <w:b/>
                <w:bCs/>
                <w:sz w:val="20"/>
                <w:szCs w:val="20"/>
              </w:rPr>
              <w:t xml:space="preserve"> (B)</w:t>
            </w:r>
          </w:p>
        </w:tc>
        <w:tc>
          <w:tcPr>
            <w:tcW w:w="2070" w:type="dxa"/>
            <w:shd w:val="clear" w:color="auto" w:fill="002060"/>
          </w:tcPr>
          <w:p w14:paraId="788A87D8" w14:textId="722FC8DB" w:rsidR="00A53A59" w:rsidRPr="00D2258D" w:rsidRDefault="00A53A59" w:rsidP="00CF32EB">
            <w:pPr>
              <w:jc w:val="center"/>
              <w:rPr>
                <w:rFonts w:cstheme="minorHAnsi"/>
                <w:b/>
                <w:bCs/>
                <w:sz w:val="20"/>
                <w:szCs w:val="20"/>
              </w:rPr>
            </w:pPr>
            <w:r w:rsidRPr="00D2258D">
              <w:rPr>
                <w:rFonts w:cstheme="minorHAnsi"/>
                <w:b/>
                <w:bCs/>
                <w:sz w:val="20"/>
                <w:szCs w:val="20"/>
              </w:rPr>
              <w:t>Within BMS/GSSC (fulfilling services</w:t>
            </w:r>
            <w:r w:rsidR="001D3BF5" w:rsidRPr="00D2258D">
              <w:rPr>
                <w:rFonts w:cstheme="minorHAnsi"/>
                <w:b/>
                <w:bCs/>
                <w:sz w:val="20"/>
                <w:szCs w:val="20"/>
              </w:rPr>
              <w:t xml:space="preserve"> to offices/units</w:t>
            </w:r>
            <w:r w:rsidRPr="00D2258D">
              <w:rPr>
                <w:rFonts w:cstheme="minorHAnsi"/>
                <w:b/>
                <w:bCs/>
                <w:sz w:val="20"/>
                <w:szCs w:val="20"/>
              </w:rPr>
              <w:t>)</w:t>
            </w:r>
            <w:r w:rsidR="00032C5C" w:rsidRPr="00D2258D">
              <w:rPr>
                <w:rFonts w:cstheme="minorHAnsi"/>
                <w:b/>
                <w:bCs/>
                <w:sz w:val="20"/>
                <w:szCs w:val="20"/>
              </w:rPr>
              <w:t xml:space="preserve"> (C)</w:t>
            </w:r>
          </w:p>
        </w:tc>
        <w:tc>
          <w:tcPr>
            <w:tcW w:w="2160" w:type="dxa"/>
            <w:shd w:val="clear" w:color="auto" w:fill="002060"/>
          </w:tcPr>
          <w:p w14:paraId="758A6BC4" w14:textId="29E35B06" w:rsidR="00A53A59" w:rsidRPr="00D2258D" w:rsidRDefault="00A53A59" w:rsidP="00CF32EB">
            <w:pPr>
              <w:jc w:val="center"/>
              <w:rPr>
                <w:rFonts w:cstheme="minorHAnsi"/>
                <w:b/>
                <w:bCs/>
                <w:sz w:val="20"/>
                <w:szCs w:val="20"/>
              </w:rPr>
            </w:pPr>
            <w:r w:rsidRPr="00D2258D">
              <w:rPr>
                <w:rFonts w:cstheme="minorHAnsi"/>
                <w:b/>
                <w:bCs/>
                <w:sz w:val="20"/>
                <w:szCs w:val="20"/>
              </w:rPr>
              <w:t xml:space="preserve">Within HQ unit/office </w:t>
            </w:r>
            <w:r w:rsidR="00032C5C" w:rsidRPr="00D2258D">
              <w:rPr>
                <w:rFonts w:cstheme="minorHAnsi"/>
                <w:b/>
                <w:bCs/>
                <w:sz w:val="20"/>
                <w:szCs w:val="20"/>
              </w:rPr>
              <w:t>(D)</w:t>
            </w:r>
          </w:p>
        </w:tc>
        <w:tc>
          <w:tcPr>
            <w:tcW w:w="1710" w:type="dxa"/>
            <w:shd w:val="clear" w:color="auto" w:fill="002060"/>
          </w:tcPr>
          <w:p w14:paraId="5A55399C" w14:textId="04AA954A" w:rsidR="00A53A59" w:rsidRPr="00D2258D" w:rsidRDefault="00A53A59" w:rsidP="00CF32EB">
            <w:pPr>
              <w:jc w:val="center"/>
              <w:rPr>
                <w:rFonts w:cstheme="minorHAnsi"/>
                <w:b/>
                <w:bCs/>
                <w:sz w:val="20"/>
                <w:szCs w:val="20"/>
              </w:rPr>
            </w:pPr>
            <w:r w:rsidRPr="00D2258D">
              <w:rPr>
                <w:rFonts w:cstheme="minorHAnsi"/>
                <w:b/>
                <w:bCs/>
                <w:sz w:val="20"/>
                <w:szCs w:val="20"/>
              </w:rPr>
              <w:t>Within outposted HQ locations</w:t>
            </w:r>
            <w:r w:rsidR="00032C5C" w:rsidRPr="00D2258D">
              <w:rPr>
                <w:rFonts w:cstheme="minorHAnsi"/>
                <w:b/>
                <w:bCs/>
                <w:sz w:val="20"/>
                <w:szCs w:val="20"/>
              </w:rPr>
              <w:t xml:space="preserve"> (E)</w:t>
            </w:r>
          </w:p>
        </w:tc>
      </w:tr>
      <w:tr w:rsidR="006B79D0" w:rsidRPr="006B79D0" w14:paraId="1D83108C" w14:textId="77777777" w:rsidTr="00B03B30">
        <w:tc>
          <w:tcPr>
            <w:tcW w:w="10890" w:type="dxa"/>
            <w:gridSpan w:val="5"/>
            <w:shd w:val="clear" w:color="auto" w:fill="B4C6E7" w:themeFill="accent1" w:themeFillTint="66"/>
          </w:tcPr>
          <w:p w14:paraId="37D5BB66" w14:textId="3120DE47" w:rsidR="00A53A59" w:rsidRPr="00D2258D" w:rsidRDefault="00A53A59" w:rsidP="363CA695">
            <w:pPr>
              <w:rPr>
                <w:b/>
                <w:bCs/>
                <w:sz w:val="20"/>
                <w:szCs w:val="20"/>
              </w:rPr>
            </w:pPr>
            <w:proofErr w:type="spellStart"/>
            <w:r w:rsidRPr="00D2258D">
              <w:rPr>
                <w:b/>
                <w:bCs/>
                <w:sz w:val="20"/>
                <w:szCs w:val="20"/>
              </w:rPr>
              <w:t>Programme</w:t>
            </w:r>
            <w:proofErr w:type="spellEnd"/>
            <w:r w:rsidRPr="00D2258D">
              <w:rPr>
                <w:b/>
                <w:bCs/>
                <w:sz w:val="20"/>
                <w:szCs w:val="20"/>
              </w:rPr>
              <w:t xml:space="preserve"> &amp; Project Management</w:t>
            </w:r>
          </w:p>
        </w:tc>
      </w:tr>
      <w:tr w:rsidR="00E85340" w:rsidRPr="006B79D0" w14:paraId="2CAD54D5" w14:textId="77777777" w:rsidTr="00B03B30">
        <w:tc>
          <w:tcPr>
            <w:tcW w:w="3360" w:type="dxa"/>
          </w:tcPr>
          <w:p w14:paraId="481E9231" w14:textId="77777777" w:rsidR="000B5C6A" w:rsidRPr="00D2258D" w:rsidRDefault="000B5C6A" w:rsidP="000B5C6A">
            <w:pPr>
              <w:rPr>
                <w:rFonts w:cstheme="minorHAnsi"/>
                <w:sz w:val="20"/>
                <w:szCs w:val="20"/>
              </w:rPr>
            </w:pPr>
            <w:r w:rsidRPr="00D2258D">
              <w:rPr>
                <w:rFonts w:cstheme="minorHAnsi"/>
                <w:sz w:val="20"/>
                <w:szCs w:val="20"/>
              </w:rPr>
              <w:t>Day-to-day project management</w:t>
            </w:r>
          </w:p>
        </w:tc>
        <w:tc>
          <w:tcPr>
            <w:tcW w:w="1590" w:type="dxa"/>
          </w:tcPr>
          <w:p w14:paraId="57DB38A4" w14:textId="6DD5C7E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018D96D" w14:textId="77777777" w:rsidR="000B5C6A" w:rsidRPr="00D2258D" w:rsidRDefault="000B5C6A" w:rsidP="000B5C6A">
            <w:pPr>
              <w:jc w:val="center"/>
              <w:rPr>
                <w:rFonts w:cstheme="minorHAnsi"/>
                <w:sz w:val="20"/>
                <w:szCs w:val="20"/>
              </w:rPr>
            </w:pPr>
          </w:p>
        </w:tc>
        <w:tc>
          <w:tcPr>
            <w:tcW w:w="2160" w:type="dxa"/>
          </w:tcPr>
          <w:p w14:paraId="2459E904" w14:textId="4AA6E8F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84CFDB2" w14:textId="4330C72E"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4858503" w14:textId="77777777" w:rsidTr="00B03B30">
        <w:tc>
          <w:tcPr>
            <w:tcW w:w="3360" w:type="dxa"/>
          </w:tcPr>
          <w:p w14:paraId="109C2794" w14:textId="77777777" w:rsidR="000B5C6A" w:rsidRPr="00D2258D" w:rsidRDefault="000B5C6A" w:rsidP="000B5C6A">
            <w:pPr>
              <w:rPr>
                <w:rFonts w:cstheme="minorHAnsi"/>
                <w:sz w:val="20"/>
                <w:szCs w:val="20"/>
              </w:rPr>
            </w:pPr>
            <w:r w:rsidRPr="00D2258D">
              <w:rPr>
                <w:rFonts w:cstheme="minorHAnsi"/>
                <w:sz w:val="20"/>
                <w:szCs w:val="20"/>
              </w:rPr>
              <w:t>Project operational closure</w:t>
            </w:r>
          </w:p>
        </w:tc>
        <w:tc>
          <w:tcPr>
            <w:tcW w:w="1590" w:type="dxa"/>
          </w:tcPr>
          <w:p w14:paraId="51A71515" w14:textId="4843D0D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1E0A8F0" w14:textId="77777777" w:rsidR="000B5C6A" w:rsidRPr="00D2258D" w:rsidRDefault="000B5C6A" w:rsidP="000B5C6A">
            <w:pPr>
              <w:jc w:val="center"/>
              <w:rPr>
                <w:rFonts w:cstheme="minorHAnsi"/>
                <w:sz w:val="20"/>
                <w:szCs w:val="20"/>
              </w:rPr>
            </w:pPr>
          </w:p>
        </w:tc>
        <w:tc>
          <w:tcPr>
            <w:tcW w:w="2160" w:type="dxa"/>
          </w:tcPr>
          <w:p w14:paraId="72BDBEA6" w14:textId="6D5B0880"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447E0BC" w14:textId="430E4B98"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51D0F435" w14:textId="77777777" w:rsidTr="00B03B30">
        <w:tc>
          <w:tcPr>
            <w:tcW w:w="3360" w:type="dxa"/>
          </w:tcPr>
          <w:p w14:paraId="114C692F" w14:textId="335C58A5" w:rsidR="000B5C6A" w:rsidRPr="00D2258D" w:rsidRDefault="000B5C6A" w:rsidP="000B5C6A">
            <w:pPr>
              <w:rPr>
                <w:rFonts w:cstheme="minorHAnsi"/>
                <w:sz w:val="20"/>
                <w:szCs w:val="20"/>
              </w:rPr>
            </w:pPr>
            <w:r w:rsidRPr="00D2258D">
              <w:rPr>
                <w:rFonts w:cstheme="minorHAnsi"/>
                <w:sz w:val="20"/>
                <w:szCs w:val="20"/>
              </w:rPr>
              <w:t>Project financial closure</w:t>
            </w:r>
            <w:r w:rsidR="00F6424E" w:rsidRPr="00D2258D">
              <w:rPr>
                <w:rFonts w:cstheme="minorHAnsi"/>
                <w:sz w:val="20"/>
                <w:szCs w:val="20"/>
              </w:rPr>
              <w:t xml:space="preserve"> for clustered development projects</w:t>
            </w:r>
          </w:p>
        </w:tc>
        <w:tc>
          <w:tcPr>
            <w:tcW w:w="1590" w:type="dxa"/>
          </w:tcPr>
          <w:p w14:paraId="3B6BE02E" w14:textId="77777777" w:rsidR="000B5C6A" w:rsidRPr="00D2258D" w:rsidRDefault="000B5C6A" w:rsidP="000B5C6A">
            <w:pPr>
              <w:jc w:val="center"/>
              <w:rPr>
                <w:rFonts w:cstheme="minorHAnsi"/>
                <w:sz w:val="20"/>
                <w:szCs w:val="20"/>
              </w:rPr>
            </w:pPr>
          </w:p>
        </w:tc>
        <w:tc>
          <w:tcPr>
            <w:tcW w:w="2070" w:type="dxa"/>
          </w:tcPr>
          <w:p w14:paraId="34840FB7" w14:textId="4E1C7D24"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95BB280" w14:textId="43A43BB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5DDBBC3A" w14:textId="41FC07A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5682535" w14:textId="77777777" w:rsidTr="00B03B30">
        <w:tc>
          <w:tcPr>
            <w:tcW w:w="3360" w:type="dxa"/>
          </w:tcPr>
          <w:p w14:paraId="19FC28DF" w14:textId="07E8D2B9" w:rsidR="00F6424E" w:rsidRPr="00D2258D" w:rsidRDefault="00F6424E" w:rsidP="000B5C6A">
            <w:pPr>
              <w:rPr>
                <w:rFonts w:cstheme="minorHAnsi"/>
                <w:sz w:val="20"/>
                <w:szCs w:val="20"/>
              </w:rPr>
            </w:pPr>
            <w:r w:rsidRPr="00D2258D">
              <w:rPr>
                <w:rFonts w:cstheme="minorHAnsi"/>
                <w:sz w:val="20"/>
                <w:szCs w:val="20"/>
              </w:rPr>
              <w:t>Project financial closure for management projects</w:t>
            </w:r>
          </w:p>
        </w:tc>
        <w:tc>
          <w:tcPr>
            <w:tcW w:w="1590" w:type="dxa"/>
          </w:tcPr>
          <w:p w14:paraId="79B8B612" w14:textId="01E92CAE" w:rsidR="00F6424E" w:rsidRPr="00D2258D" w:rsidRDefault="00F6424E" w:rsidP="000B5C6A">
            <w:pPr>
              <w:jc w:val="center"/>
              <w:rPr>
                <w:rFonts w:cstheme="minorHAnsi"/>
                <w:sz w:val="20"/>
                <w:szCs w:val="20"/>
              </w:rPr>
            </w:pPr>
            <w:r w:rsidRPr="00D2258D">
              <w:rPr>
                <w:rFonts w:cstheme="minorHAnsi"/>
                <w:sz w:val="20"/>
                <w:szCs w:val="20"/>
              </w:rPr>
              <w:t>Yes</w:t>
            </w:r>
          </w:p>
        </w:tc>
        <w:tc>
          <w:tcPr>
            <w:tcW w:w="2070" w:type="dxa"/>
          </w:tcPr>
          <w:p w14:paraId="3E2DC02F" w14:textId="77777777" w:rsidR="00F6424E" w:rsidRPr="00D2258D" w:rsidRDefault="00F6424E" w:rsidP="000B5C6A">
            <w:pPr>
              <w:jc w:val="center"/>
              <w:rPr>
                <w:rFonts w:cstheme="minorHAnsi"/>
                <w:sz w:val="20"/>
                <w:szCs w:val="20"/>
              </w:rPr>
            </w:pPr>
          </w:p>
        </w:tc>
        <w:tc>
          <w:tcPr>
            <w:tcW w:w="2160" w:type="dxa"/>
          </w:tcPr>
          <w:p w14:paraId="7C32976C" w14:textId="08117D01" w:rsidR="00F6424E" w:rsidRPr="00D2258D" w:rsidRDefault="00F6424E" w:rsidP="000B5C6A">
            <w:pPr>
              <w:jc w:val="center"/>
              <w:rPr>
                <w:rFonts w:cstheme="minorHAnsi"/>
                <w:sz w:val="20"/>
                <w:szCs w:val="20"/>
              </w:rPr>
            </w:pPr>
            <w:r w:rsidRPr="00D2258D">
              <w:rPr>
                <w:rFonts w:cstheme="minorHAnsi"/>
                <w:sz w:val="20"/>
                <w:szCs w:val="20"/>
              </w:rPr>
              <w:t>Yes</w:t>
            </w:r>
          </w:p>
        </w:tc>
        <w:tc>
          <w:tcPr>
            <w:tcW w:w="1710" w:type="dxa"/>
          </w:tcPr>
          <w:p w14:paraId="3BE80DF5" w14:textId="33F5A96C" w:rsidR="00F6424E" w:rsidRPr="00D2258D" w:rsidRDefault="00F6424E" w:rsidP="000B5C6A">
            <w:pPr>
              <w:jc w:val="center"/>
              <w:rPr>
                <w:rFonts w:cstheme="minorHAnsi"/>
                <w:sz w:val="20"/>
                <w:szCs w:val="20"/>
              </w:rPr>
            </w:pPr>
            <w:r w:rsidRPr="00D2258D">
              <w:rPr>
                <w:rFonts w:cstheme="minorHAnsi"/>
                <w:sz w:val="20"/>
                <w:szCs w:val="20"/>
              </w:rPr>
              <w:t>Yes</w:t>
            </w:r>
          </w:p>
        </w:tc>
      </w:tr>
      <w:tr w:rsidR="000B5C6A" w:rsidRPr="006B79D0" w14:paraId="13DA0A11" w14:textId="77777777" w:rsidTr="00B03B30">
        <w:tc>
          <w:tcPr>
            <w:tcW w:w="10890" w:type="dxa"/>
            <w:gridSpan w:val="5"/>
            <w:shd w:val="clear" w:color="auto" w:fill="B4C6E7" w:themeFill="accent1" w:themeFillTint="66"/>
          </w:tcPr>
          <w:p w14:paraId="583567C0" w14:textId="77777777" w:rsidR="000B5C6A" w:rsidRPr="00D2258D" w:rsidRDefault="000B5C6A" w:rsidP="000B5C6A">
            <w:pPr>
              <w:rPr>
                <w:rFonts w:cstheme="minorHAnsi"/>
                <w:b/>
                <w:bCs/>
                <w:sz w:val="20"/>
                <w:szCs w:val="20"/>
              </w:rPr>
            </w:pPr>
            <w:r w:rsidRPr="00D2258D">
              <w:rPr>
                <w:rFonts w:cstheme="minorHAnsi"/>
                <w:b/>
                <w:bCs/>
                <w:sz w:val="20"/>
                <w:szCs w:val="20"/>
              </w:rPr>
              <w:t xml:space="preserve">Procure &amp; </w:t>
            </w:r>
            <w:proofErr w:type="gramStart"/>
            <w:r w:rsidRPr="00D2258D">
              <w:rPr>
                <w:rFonts w:cstheme="minorHAnsi"/>
                <w:b/>
                <w:bCs/>
                <w:sz w:val="20"/>
                <w:szCs w:val="20"/>
              </w:rPr>
              <w:t>Pay</w:t>
            </w:r>
            <w:proofErr w:type="gramEnd"/>
          </w:p>
        </w:tc>
      </w:tr>
      <w:tr w:rsidR="00E85340" w:rsidRPr="006B79D0" w14:paraId="3B9A7FE9" w14:textId="77777777" w:rsidTr="00B03B30">
        <w:tc>
          <w:tcPr>
            <w:tcW w:w="3360" w:type="dxa"/>
          </w:tcPr>
          <w:p w14:paraId="2EC0F56F" w14:textId="77777777" w:rsidR="000B5C6A" w:rsidRPr="00D2258D" w:rsidRDefault="000B5C6A" w:rsidP="000B5C6A">
            <w:pPr>
              <w:rPr>
                <w:rFonts w:cstheme="minorHAnsi"/>
                <w:sz w:val="20"/>
                <w:szCs w:val="20"/>
              </w:rPr>
            </w:pPr>
            <w:r w:rsidRPr="00D2258D">
              <w:rPr>
                <w:rFonts w:cstheme="minorHAnsi"/>
                <w:sz w:val="20"/>
                <w:szCs w:val="20"/>
              </w:rPr>
              <w:t>Procure</w:t>
            </w:r>
          </w:p>
        </w:tc>
        <w:tc>
          <w:tcPr>
            <w:tcW w:w="1590" w:type="dxa"/>
          </w:tcPr>
          <w:p w14:paraId="3B947333" w14:textId="683C7970"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9143721" w14:textId="77777777" w:rsidR="000B5C6A" w:rsidRPr="00D2258D" w:rsidRDefault="000B5C6A" w:rsidP="000B5C6A">
            <w:pPr>
              <w:jc w:val="center"/>
              <w:rPr>
                <w:rFonts w:cstheme="minorHAnsi"/>
                <w:sz w:val="20"/>
                <w:szCs w:val="20"/>
              </w:rPr>
            </w:pPr>
          </w:p>
        </w:tc>
        <w:tc>
          <w:tcPr>
            <w:tcW w:w="2160" w:type="dxa"/>
          </w:tcPr>
          <w:p w14:paraId="2793D165" w14:textId="4FCA5FE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CD4D273" w14:textId="1285586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968C70F" w14:textId="77777777" w:rsidTr="00B03B30">
        <w:tc>
          <w:tcPr>
            <w:tcW w:w="3360" w:type="dxa"/>
          </w:tcPr>
          <w:p w14:paraId="3129EA7B" w14:textId="77777777" w:rsidR="000B5C6A" w:rsidRPr="00D2258D" w:rsidRDefault="000B5C6A" w:rsidP="000B5C6A">
            <w:pPr>
              <w:rPr>
                <w:rFonts w:cstheme="minorHAnsi"/>
                <w:sz w:val="20"/>
                <w:szCs w:val="20"/>
              </w:rPr>
            </w:pPr>
            <w:r w:rsidRPr="00D2258D">
              <w:rPr>
                <w:rFonts w:cstheme="minorHAnsi"/>
                <w:sz w:val="20"/>
                <w:szCs w:val="20"/>
              </w:rPr>
              <w:t>Register supplier (only if supplier cannot self-register)</w:t>
            </w:r>
          </w:p>
        </w:tc>
        <w:tc>
          <w:tcPr>
            <w:tcW w:w="1590" w:type="dxa"/>
          </w:tcPr>
          <w:p w14:paraId="30154C8C" w14:textId="218407E7"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3C2664DC" w14:textId="77777777" w:rsidR="000B5C6A" w:rsidRPr="00D2258D" w:rsidRDefault="000B5C6A" w:rsidP="000B5C6A">
            <w:pPr>
              <w:jc w:val="center"/>
              <w:rPr>
                <w:rFonts w:cstheme="minorHAnsi"/>
                <w:sz w:val="20"/>
                <w:szCs w:val="20"/>
              </w:rPr>
            </w:pPr>
          </w:p>
        </w:tc>
        <w:tc>
          <w:tcPr>
            <w:tcW w:w="2160" w:type="dxa"/>
          </w:tcPr>
          <w:p w14:paraId="27F82922" w14:textId="73D2306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64ED5B0" w14:textId="2B0B2CAB"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7E2F6C8" w14:textId="77777777" w:rsidTr="00B03B30">
        <w:tc>
          <w:tcPr>
            <w:tcW w:w="3360" w:type="dxa"/>
          </w:tcPr>
          <w:p w14:paraId="53A969AF" w14:textId="77777777" w:rsidR="000B5C6A" w:rsidRPr="00D2258D" w:rsidRDefault="000B5C6A" w:rsidP="000B5C6A">
            <w:pPr>
              <w:rPr>
                <w:rFonts w:cstheme="minorHAnsi"/>
                <w:sz w:val="20"/>
                <w:szCs w:val="20"/>
              </w:rPr>
            </w:pPr>
            <w:r w:rsidRPr="00D2258D">
              <w:rPr>
                <w:rFonts w:cstheme="minorHAnsi"/>
                <w:sz w:val="20"/>
                <w:szCs w:val="20"/>
              </w:rPr>
              <w:t>Perform L1 approval of supplier</w:t>
            </w:r>
          </w:p>
        </w:tc>
        <w:tc>
          <w:tcPr>
            <w:tcW w:w="1590" w:type="dxa"/>
          </w:tcPr>
          <w:p w14:paraId="2548333F" w14:textId="0762BB1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5DE2B51A" w14:textId="77777777" w:rsidR="000B5C6A" w:rsidRPr="00D2258D" w:rsidRDefault="000B5C6A" w:rsidP="000B5C6A">
            <w:pPr>
              <w:jc w:val="center"/>
              <w:rPr>
                <w:rFonts w:cstheme="minorHAnsi"/>
                <w:sz w:val="20"/>
                <w:szCs w:val="20"/>
              </w:rPr>
            </w:pPr>
          </w:p>
        </w:tc>
        <w:tc>
          <w:tcPr>
            <w:tcW w:w="2160" w:type="dxa"/>
          </w:tcPr>
          <w:p w14:paraId="5D4A8FA5" w14:textId="137D1861"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07587AF" w14:textId="0D495135"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8E80EE3" w14:textId="77777777" w:rsidTr="00B03B30">
        <w:tc>
          <w:tcPr>
            <w:tcW w:w="3360" w:type="dxa"/>
          </w:tcPr>
          <w:p w14:paraId="2921FE98" w14:textId="77777777" w:rsidR="000B5C6A" w:rsidRPr="00D2258D" w:rsidRDefault="000B5C6A" w:rsidP="000B5C6A">
            <w:pPr>
              <w:rPr>
                <w:rFonts w:cstheme="minorHAnsi"/>
                <w:sz w:val="20"/>
                <w:szCs w:val="20"/>
              </w:rPr>
            </w:pPr>
            <w:r w:rsidRPr="00D2258D">
              <w:rPr>
                <w:rFonts w:cstheme="minorHAnsi"/>
                <w:sz w:val="20"/>
                <w:szCs w:val="20"/>
              </w:rPr>
              <w:t>Perform supplier sanctions check upon creation or update of supplier</w:t>
            </w:r>
          </w:p>
        </w:tc>
        <w:tc>
          <w:tcPr>
            <w:tcW w:w="1590" w:type="dxa"/>
          </w:tcPr>
          <w:p w14:paraId="1830DFF1" w14:textId="5E3BEBDE" w:rsidR="000B5C6A" w:rsidRPr="00D2258D" w:rsidRDefault="004358D0" w:rsidP="132FD4C0">
            <w:pPr>
              <w:jc w:val="center"/>
              <w:rPr>
                <w:rFonts w:cstheme="minorHAnsi"/>
                <w:sz w:val="20"/>
                <w:szCs w:val="20"/>
              </w:rPr>
            </w:pPr>
            <w:r w:rsidRPr="00D2258D">
              <w:rPr>
                <w:rFonts w:cstheme="minorHAnsi"/>
                <w:sz w:val="20"/>
                <w:szCs w:val="20"/>
              </w:rPr>
              <w:t>Yes</w:t>
            </w:r>
          </w:p>
        </w:tc>
        <w:tc>
          <w:tcPr>
            <w:tcW w:w="2070" w:type="dxa"/>
          </w:tcPr>
          <w:p w14:paraId="260BE869" w14:textId="5BDB7712" w:rsidR="000B5C6A" w:rsidRPr="00D2258D" w:rsidRDefault="000B5C6A" w:rsidP="000B5C6A">
            <w:pPr>
              <w:jc w:val="center"/>
              <w:rPr>
                <w:rFonts w:cstheme="minorHAnsi"/>
                <w:sz w:val="20"/>
                <w:szCs w:val="20"/>
              </w:rPr>
            </w:pPr>
          </w:p>
        </w:tc>
        <w:tc>
          <w:tcPr>
            <w:tcW w:w="2160" w:type="dxa"/>
          </w:tcPr>
          <w:p w14:paraId="31DFBF0A" w14:textId="690CFA73" w:rsidR="000B5C6A" w:rsidRPr="00D2258D" w:rsidRDefault="004358D0" w:rsidP="000B5C6A">
            <w:pPr>
              <w:jc w:val="center"/>
              <w:rPr>
                <w:rFonts w:cstheme="minorHAnsi"/>
                <w:sz w:val="20"/>
                <w:szCs w:val="20"/>
              </w:rPr>
            </w:pPr>
            <w:r w:rsidRPr="00D2258D">
              <w:rPr>
                <w:rFonts w:cstheme="minorHAnsi"/>
                <w:sz w:val="20"/>
                <w:szCs w:val="20"/>
              </w:rPr>
              <w:t>Yes</w:t>
            </w:r>
          </w:p>
        </w:tc>
        <w:tc>
          <w:tcPr>
            <w:tcW w:w="1710" w:type="dxa"/>
          </w:tcPr>
          <w:p w14:paraId="6FB0B3A1" w14:textId="2E70BC04" w:rsidR="000B5C6A" w:rsidRPr="00D2258D" w:rsidRDefault="004358D0" w:rsidP="132FD4C0">
            <w:pPr>
              <w:jc w:val="center"/>
              <w:rPr>
                <w:rFonts w:cstheme="minorHAnsi"/>
                <w:sz w:val="20"/>
                <w:szCs w:val="20"/>
              </w:rPr>
            </w:pPr>
            <w:r w:rsidRPr="00D2258D">
              <w:rPr>
                <w:rFonts w:cstheme="minorHAnsi"/>
                <w:sz w:val="20"/>
                <w:szCs w:val="20"/>
              </w:rPr>
              <w:t>Yes</w:t>
            </w:r>
          </w:p>
        </w:tc>
      </w:tr>
      <w:tr w:rsidR="00E85340" w:rsidRPr="006B79D0" w14:paraId="11DF50E8" w14:textId="77777777" w:rsidTr="00B03B30">
        <w:tc>
          <w:tcPr>
            <w:tcW w:w="3360" w:type="dxa"/>
          </w:tcPr>
          <w:p w14:paraId="29900DC8" w14:textId="77777777" w:rsidR="000B5C6A" w:rsidRPr="00D2258D" w:rsidRDefault="000B5C6A" w:rsidP="000B5C6A">
            <w:pPr>
              <w:rPr>
                <w:rFonts w:cstheme="minorHAnsi"/>
                <w:sz w:val="20"/>
                <w:szCs w:val="20"/>
              </w:rPr>
            </w:pPr>
            <w:r w:rsidRPr="00D2258D">
              <w:rPr>
                <w:rFonts w:cstheme="minorHAnsi"/>
                <w:sz w:val="20"/>
                <w:szCs w:val="20"/>
              </w:rPr>
              <w:t>Perform L2 approval of supplier</w:t>
            </w:r>
          </w:p>
        </w:tc>
        <w:tc>
          <w:tcPr>
            <w:tcW w:w="1590" w:type="dxa"/>
          </w:tcPr>
          <w:p w14:paraId="166D7A0A" w14:textId="77777777" w:rsidR="000B5C6A" w:rsidRPr="00D2258D" w:rsidRDefault="000B5C6A" w:rsidP="000B5C6A">
            <w:pPr>
              <w:jc w:val="center"/>
              <w:rPr>
                <w:rFonts w:cstheme="minorHAnsi"/>
                <w:sz w:val="20"/>
                <w:szCs w:val="20"/>
              </w:rPr>
            </w:pPr>
          </w:p>
        </w:tc>
        <w:tc>
          <w:tcPr>
            <w:tcW w:w="2070" w:type="dxa"/>
          </w:tcPr>
          <w:p w14:paraId="00EF96F2" w14:textId="2DC4A9F0"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027E7611" w14:textId="77777777" w:rsidR="000B5C6A" w:rsidRPr="00D2258D" w:rsidRDefault="000B5C6A" w:rsidP="000B5C6A">
            <w:pPr>
              <w:jc w:val="center"/>
              <w:rPr>
                <w:rFonts w:cstheme="minorHAnsi"/>
                <w:sz w:val="20"/>
                <w:szCs w:val="20"/>
              </w:rPr>
            </w:pPr>
          </w:p>
        </w:tc>
        <w:tc>
          <w:tcPr>
            <w:tcW w:w="1710" w:type="dxa"/>
          </w:tcPr>
          <w:p w14:paraId="48842DD6" w14:textId="77777777" w:rsidR="000B5C6A" w:rsidRPr="00D2258D" w:rsidRDefault="000B5C6A" w:rsidP="000B5C6A">
            <w:pPr>
              <w:jc w:val="center"/>
              <w:rPr>
                <w:rFonts w:cstheme="minorHAnsi"/>
                <w:sz w:val="20"/>
                <w:szCs w:val="20"/>
              </w:rPr>
            </w:pPr>
          </w:p>
        </w:tc>
      </w:tr>
      <w:tr w:rsidR="00E85340" w:rsidRPr="006B79D0" w14:paraId="182C0954" w14:textId="77777777" w:rsidTr="00B03B30">
        <w:tc>
          <w:tcPr>
            <w:tcW w:w="3360" w:type="dxa"/>
          </w:tcPr>
          <w:p w14:paraId="3F2F9D90" w14:textId="77777777" w:rsidR="000B5C6A" w:rsidRPr="00D2258D" w:rsidRDefault="000B5C6A" w:rsidP="000B5C6A">
            <w:pPr>
              <w:rPr>
                <w:rFonts w:cstheme="minorHAnsi"/>
                <w:sz w:val="20"/>
                <w:szCs w:val="20"/>
              </w:rPr>
            </w:pPr>
            <w:r w:rsidRPr="00D2258D">
              <w:rPr>
                <w:rFonts w:cstheme="minorHAnsi"/>
                <w:sz w:val="20"/>
                <w:szCs w:val="20"/>
              </w:rPr>
              <w:t>Perform supplier sanctions check when raising PO or invoice</w:t>
            </w:r>
          </w:p>
        </w:tc>
        <w:tc>
          <w:tcPr>
            <w:tcW w:w="1590" w:type="dxa"/>
          </w:tcPr>
          <w:p w14:paraId="20BC6984" w14:textId="6902F68B"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7728BC60" w14:textId="77777777" w:rsidR="000B5C6A" w:rsidRPr="00D2258D" w:rsidRDefault="000B5C6A" w:rsidP="000B5C6A">
            <w:pPr>
              <w:jc w:val="center"/>
              <w:rPr>
                <w:rFonts w:cstheme="minorHAnsi"/>
                <w:sz w:val="20"/>
                <w:szCs w:val="20"/>
              </w:rPr>
            </w:pPr>
          </w:p>
        </w:tc>
        <w:tc>
          <w:tcPr>
            <w:tcW w:w="2160" w:type="dxa"/>
          </w:tcPr>
          <w:p w14:paraId="70CF9D64" w14:textId="7E7C9772"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7D60288" w14:textId="5D3EF498"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8680EE3" w14:textId="77777777" w:rsidTr="00B03B30">
        <w:tc>
          <w:tcPr>
            <w:tcW w:w="3360" w:type="dxa"/>
          </w:tcPr>
          <w:p w14:paraId="6C6EA0E6" w14:textId="217AAE7B" w:rsidR="000B5C6A" w:rsidRPr="00D2258D" w:rsidRDefault="000B5C6A" w:rsidP="000B5C6A">
            <w:pPr>
              <w:rPr>
                <w:rFonts w:cstheme="minorHAnsi"/>
                <w:sz w:val="20"/>
                <w:szCs w:val="20"/>
              </w:rPr>
            </w:pPr>
            <w:r w:rsidRPr="00D2258D">
              <w:rPr>
                <w:rFonts w:cstheme="minorHAnsi"/>
                <w:sz w:val="20"/>
                <w:szCs w:val="20"/>
              </w:rPr>
              <w:t xml:space="preserve">Perform monthly supplier sanctions screening </w:t>
            </w:r>
            <w:r w:rsidR="00F6424E" w:rsidRPr="00D2258D">
              <w:rPr>
                <w:rFonts w:cstheme="minorHAnsi"/>
                <w:sz w:val="20"/>
                <w:szCs w:val="20"/>
              </w:rPr>
              <w:t>on supplier database</w:t>
            </w:r>
          </w:p>
        </w:tc>
        <w:tc>
          <w:tcPr>
            <w:tcW w:w="1590" w:type="dxa"/>
          </w:tcPr>
          <w:p w14:paraId="6B1F7909" w14:textId="77777777" w:rsidR="000B5C6A" w:rsidRPr="00D2258D" w:rsidRDefault="000B5C6A" w:rsidP="000B5C6A">
            <w:pPr>
              <w:jc w:val="center"/>
              <w:rPr>
                <w:rFonts w:cstheme="minorHAnsi"/>
                <w:sz w:val="20"/>
                <w:szCs w:val="20"/>
              </w:rPr>
            </w:pPr>
          </w:p>
        </w:tc>
        <w:tc>
          <w:tcPr>
            <w:tcW w:w="2070" w:type="dxa"/>
          </w:tcPr>
          <w:p w14:paraId="31733440" w14:textId="5C94FDC5"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2BA836F8" w14:textId="77777777" w:rsidR="000B5C6A" w:rsidRPr="00D2258D" w:rsidRDefault="000B5C6A" w:rsidP="000B5C6A">
            <w:pPr>
              <w:jc w:val="center"/>
              <w:rPr>
                <w:rFonts w:cstheme="minorHAnsi"/>
                <w:sz w:val="20"/>
                <w:szCs w:val="20"/>
              </w:rPr>
            </w:pPr>
          </w:p>
        </w:tc>
        <w:tc>
          <w:tcPr>
            <w:tcW w:w="1710" w:type="dxa"/>
          </w:tcPr>
          <w:p w14:paraId="6F519904" w14:textId="77777777" w:rsidR="000B5C6A" w:rsidRPr="00D2258D" w:rsidRDefault="000B5C6A" w:rsidP="000B5C6A">
            <w:pPr>
              <w:jc w:val="center"/>
              <w:rPr>
                <w:rFonts w:cstheme="minorHAnsi"/>
                <w:sz w:val="20"/>
                <w:szCs w:val="20"/>
              </w:rPr>
            </w:pPr>
          </w:p>
        </w:tc>
      </w:tr>
      <w:tr w:rsidR="00E85340" w:rsidRPr="006B79D0" w14:paraId="3D7E81F6" w14:textId="77777777" w:rsidTr="00B03B30">
        <w:tc>
          <w:tcPr>
            <w:tcW w:w="3360" w:type="dxa"/>
          </w:tcPr>
          <w:p w14:paraId="3B0FEB9D" w14:textId="77777777" w:rsidR="000B5C6A" w:rsidRPr="00D2258D" w:rsidRDefault="000B5C6A" w:rsidP="000B5C6A">
            <w:pPr>
              <w:rPr>
                <w:rFonts w:cstheme="minorHAnsi"/>
                <w:sz w:val="20"/>
                <w:szCs w:val="20"/>
              </w:rPr>
            </w:pPr>
            <w:r w:rsidRPr="00D2258D">
              <w:rPr>
                <w:rFonts w:cstheme="minorHAnsi"/>
                <w:sz w:val="20"/>
                <w:szCs w:val="20"/>
              </w:rPr>
              <w:t>Create PO</w:t>
            </w:r>
          </w:p>
        </w:tc>
        <w:tc>
          <w:tcPr>
            <w:tcW w:w="1590" w:type="dxa"/>
          </w:tcPr>
          <w:p w14:paraId="6CCEB502" w14:textId="187DB1C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5102F8CC" w14:textId="77777777" w:rsidR="000B5C6A" w:rsidRPr="00D2258D" w:rsidRDefault="000B5C6A" w:rsidP="000B5C6A">
            <w:pPr>
              <w:jc w:val="center"/>
              <w:rPr>
                <w:rFonts w:cstheme="minorHAnsi"/>
                <w:sz w:val="20"/>
                <w:szCs w:val="20"/>
              </w:rPr>
            </w:pPr>
          </w:p>
        </w:tc>
        <w:tc>
          <w:tcPr>
            <w:tcW w:w="2160" w:type="dxa"/>
          </w:tcPr>
          <w:p w14:paraId="7A0F99AD" w14:textId="5D50D5C5"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3876D72" w14:textId="5B5DDFFF"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ED9199F" w14:textId="77777777" w:rsidTr="00B03B30">
        <w:tc>
          <w:tcPr>
            <w:tcW w:w="3360" w:type="dxa"/>
          </w:tcPr>
          <w:p w14:paraId="394C8226" w14:textId="77777777" w:rsidR="000B5C6A" w:rsidRPr="00D2258D" w:rsidRDefault="000B5C6A" w:rsidP="000B5C6A">
            <w:pPr>
              <w:rPr>
                <w:rFonts w:cstheme="minorHAnsi"/>
                <w:sz w:val="20"/>
                <w:szCs w:val="20"/>
              </w:rPr>
            </w:pPr>
            <w:r w:rsidRPr="00D2258D">
              <w:rPr>
                <w:rFonts w:cstheme="minorHAnsi"/>
                <w:sz w:val="20"/>
                <w:szCs w:val="20"/>
              </w:rPr>
              <w:t>Perform Approving Manager – Part A functions to approve PO</w:t>
            </w:r>
          </w:p>
        </w:tc>
        <w:tc>
          <w:tcPr>
            <w:tcW w:w="1590" w:type="dxa"/>
          </w:tcPr>
          <w:p w14:paraId="4729C618" w14:textId="4FB74E0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8A15BD7" w14:textId="77777777" w:rsidR="000B5C6A" w:rsidRPr="00D2258D" w:rsidRDefault="000B5C6A" w:rsidP="000B5C6A">
            <w:pPr>
              <w:jc w:val="center"/>
              <w:rPr>
                <w:rFonts w:cstheme="minorHAnsi"/>
                <w:sz w:val="20"/>
                <w:szCs w:val="20"/>
              </w:rPr>
            </w:pPr>
          </w:p>
        </w:tc>
        <w:tc>
          <w:tcPr>
            <w:tcW w:w="2160" w:type="dxa"/>
          </w:tcPr>
          <w:p w14:paraId="514D07C5" w14:textId="2041E83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32FE10B" w14:textId="7F8D9C85"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B8D108C" w14:textId="77777777" w:rsidTr="00B03B30">
        <w:tc>
          <w:tcPr>
            <w:tcW w:w="3360" w:type="dxa"/>
          </w:tcPr>
          <w:p w14:paraId="59B8AC32" w14:textId="77777777" w:rsidR="000B5C6A" w:rsidRPr="00D2258D" w:rsidRDefault="000B5C6A" w:rsidP="000B5C6A">
            <w:pPr>
              <w:rPr>
                <w:rFonts w:cstheme="minorHAnsi"/>
                <w:sz w:val="20"/>
                <w:szCs w:val="20"/>
              </w:rPr>
            </w:pPr>
            <w:r w:rsidRPr="00D2258D">
              <w:rPr>
                <w:rFonts w:cstheme="minorHAnsi"/>
                <w:sz w:val="20"/>
                <w:szCs w:val="20"/>
              </w:rPr>
              <w:t>Receipt goods and services</w:t>
            </w:r>
          </w:p>
        </w:tc>
        <w:tc>
          <w:tcPr>
            <w:tcW w:w="1590" w:type="dxa"/>
          </w:tcPr>
          <w:p w14:paraId="1CB2E64A" w14:textId="0E74B28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6395C7C" w14:textId="77777777" w:rsidR="000B5C6A" w:rsidRPr="00D2258D" w:rsidRDefault="000B5C6A" w:rsidP="000B5C6A">
            <w:pPr>
              <w:jc w:val="center"/>
              <w:rPr>
                <w:rFonts w:cstheme="minorHAnsi"/>
                <w:sz w:val="20"/>
                <w:szCs w:val="20"/>
              </w:rPr>
            </w:pPr>
          </w:p>
        </w:tc>
        <w:tc>
          <w:tcPr>
            <w:tcW w:w="2160" w:type="dxa"/>
          </w:tcPr>
          <w:p w14:paraId="319DABFB" w14:textId="3C2967E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08DB9919" w14:textId="6E06463C"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6303B67B" w14:textId="77777777" w:rsidTr="00B03B30">
        <w:tc>
          <w:tcPr>
            <w:tcW w:w="3360" w:type="dxa"/>
          </w:tcPr>
          <w:p w14:paraId="1DC0BB1B" w14:textId="77777777" w:rsidR="000B5C6A" w:rsidRPr="00D2258D" w:rsidRDefault="000B5C6A" w:rsidP="000B5C6A">
            <w:pPr>
              <w:rPr>
                <w:rFonts w:cstheme="minorHAnsi"/>
                <w:sz w:val="20"/>
                <w:szCs w:val="20"/>
              </w:rPr>
            </w:pPr>
            <w:r w:rsidRPr="00D2258D">
              <w:rPr>
                <w:rFonts w:cstheme="minorHAnsi"/>
                <w:sz w:val="20"/>
                <w:szCs w:val="20"/>
              </w:rPr>
              <w:t>Create invoices in Quantum (only when supplier cannot do so)</w:t>
            </w:r>
          </w:p>
        </w:tc>
        <w:tc>
          <w:tcPr>
            <w:tcW w:w="1590" w:type="dxa"/>
          </w:tcPr>
          <w:p w14:paraId="05D6B22F" w14:textId="52459661"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87E7178" w14:textId="0BA7768D" w:rsidR="000B5C6A" w:rsidRPr="00D2258D" w:rsidRDefault="000B5C6A"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(upon request from CO, for bulk situations</w:t>
            </w:r>
            <w:r w:rsidR="006B57B1" w:rsidRPr="00D2258D">
              <w:rPr>
                <w:rFonts w:cstheme="minorHAnsi"/>
                <w:sz w:val="18"/>
                <w:szCs w:val="18"/>
              </w:rPr>
              <w:t>)</w:t>
            </w:r>
          </w:p>
        </w:tc>
        <w:tc>
          <w:tcPr>
            <w:tcW w:w="2160" w:type="dxa"/>
          </w:tcPr>
          <w:p w14:paraId="45D3CB81" w14:textId="421E621A"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932F591" w14:textId="73F19266"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9E62619" w14:textId="77777777" w:rsidTr="00B03B30">
        <w:tc>
          <w:tcPr>
            <w:tcW w:w="3360" w:type="dxa"/>
          </w:tcPr>
          <w:p w14:paraId="207C81B9" w14:textId="77777777" w:rsidR="000B5C6A" w:rsidRPr="00D2258D" w:rsidRDefault="000B5C6A" w:rsidP="000B5C6A">
            <w:pPr>
              <w:rPr>
                <w:rFonts w:cstheme="minorHAnsi"/>
                <w:sz w:val="20"/>
                <w:szCs w:val="20"/>
              </w:rPr>
            </w:pPr>
            <w:r w:rsidRPr="00D2258D">
              <w:rPr>
                <w:rFonts w:cstheme="minorHAnsi"/>
                <w:sz w:val="20"/>
                <w:szCs w:val="20"/>
              </w:rPr>
              <w:lastRenderedPageBreak/>
              <w:t>Perform Approving Manager – Part A functions to approve PO approve non-PO based invoices and prepayments</w:t>
            </w:r>
          </w:p>
        </w:tc>
        <w:tc>
          <w:tcPr>
            <w:tcW w:w="1590" w:type="dxa"/>
          </w:tcPr>
          <w:p w14:paraId="63896568" w14:textId="3636773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9042066" w14:textId="77777777" w:rsidR="000B5C6A" w:rsidRPr="00D2258D" w:rsidRDefault="000B5C6A" w:rsidP="000B5C6A">
            <w:pPr>
              <w:jc w:val="center"/>
              <w:rPr>
                <w:rFonts w:cstheme="minorHAnsi"/>
                <w:sz w:val="20"/>
                <w:szCs w:val="20"/>
              </w:rPr>
            </w:pPr>
          </w:p>
        </w:tc>
        <w:tc>
          <w:tcPr>
            <w:tcW w:w="2160" w:type="dxa"/>
          </w:tcPr>
          <w:p w14:paraId="1E5BA5D3" w14:textId="629F587C"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3CF54F0B" w14:textId="76DF9144"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54E9518" w14:textId="77777777" w:rsidTr="00B03B30">
        <w:tc>
          <w:tcPr>
            <w:tcW w:w="3360" w:type="dxa"/>
          </w:tcPr>
          <w:p w14:paraId="7D506365" w14:textId="77777777" w:rsidR="000B5C6A" w:rsidRPr="00D2258D" w:rsidRDefault="000B5C6A" w:rsidP="000B5C6A">
            <w:pPr>
              <w:rPr>
                <w:rFonts w:cstheme="minorHAnsi"/>
                <w:sz w:val="20"/>
                <w:szCs w:val="20"/>
              </w:rPr>
            </w:pPr>
            <w:r w:rsidRPr="00D2258D">
              <w:rPr>
                <w:rFonts w:cstheme="minorHAnsi"/>
                <w:sz w:val="20"/>
                <w:szCs w:val="20"/>
              </w:rPr>
              <w:t>Perform Approving Manager – Part B functions to verify payment should be made and approve invoice in Quantum</w:t>
            </w:r>
          </w:p>
        </w:tc>
        <w:tc>
          <w:tcPr>
            <w:tcW w:w="1590" w:type="dxa"/>
          </w:tcPr>
          <w:p w14:paraId="1002237D" w14:textId="77777777" w:rsidR="000B5C6A" w:rsidRPr="00D2258D" w:rsidRDefault="000B5C6A" w:rsidP="000B5C6A">
            <w:pPr>
              <w:rPr>
                <w:rFonts w:cstheme="minorHAnsi"/>
                <w:sz w:val="20"/>
                <w:szCs w:val="20"/>
              </w:rPr>
            </w:pPr>
          </w:p>
        </w:tc>
        <w:tc>
          <w:tcPr>
            <w:tcW w:w="2070" w:type="dxa"/>
          </w:tcPr>
          <w:p w14:paraId="3D182763" w14:textId="4B0B053C"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62ABC48C" w14:textId="33E8E700"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2A028EA" w14:textId="64E9389A"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3C949619" w14:textId="77777777" w:rsidTr="00B03B30">
        <w:tc>
          <w:tcPr>
            <w:tcW w:w="3360" w:type="dxa"/>
          </w:tcPr>
          <w:p w14:paraId="32BA6567" w14:textId="77777777" w:rsidR="000B5C6A" w:rsidRPr="00D2258D" w:rsidRDefault="000B5C6A" w:rsidP="000B5C6A">
            <w:pPr>
              <w:rPr>
                <w:rFonts w:cstheme="minorHAnsi"/>
                <w:sz w:val="20"/>
                <w:szCs w:val="20"/>
              </w:rPr>
            </w:pPr>
            <w:r w:rsidRPr="00D2258D">
              <w:rPr>
                <w:rFonts w:cstheme="minorHAnsi"/>
                <w:sz w:val="20"/>
                <w:szCs w:val="20"/>
              </w:rPr>
              <w:t xml:space="preserve">Performs 3-way match </w:t>
            </w:r>
            <w:proofErr w:type="gramStart"/>
            <w:r w:rsidRPr="00D2258D">
              <w:rPr>
                <w:rFonts w:cstheme="minorHAnsi"/>
                <w:sz w:val="20"/>
                <w:szCs w:val="20"/>
              </w:rPr>
              <w:t>exception</w:t>
            </w:r>
            <w:proofErr w:type="gramEnd"/>
            <w:r w:rsidRPr="00D2258D">
              <w:rPr>
                <w:rFonts w:cstheme="minorHAnsi"/>
                <w:sz w:val="20"/>
                <w:szCs w:val="20"/>
              </w:rPr>
              <w:t xml:space="preserve"> overrides (PO/receipt/invoice)</w:t>
            </w:r>
          </w:p>
        </w:tc>
        <w:tc>
          <w:tcPr>
            <w:tcW w:w="1590" w:type="dxa"/>
          </w:tcPr>
          <w:p w14:paraId="33D0F649" w14:textId="52780997" w:rsidR="000B5C6A" w:rsidRPr="00D2258D" w:rsidRDefault="000B5C6A" w:rsidP="50E85438">
            <w:pPr>
              <w:jc w:val="center"/>
              <w:rPr>
                <w:sz w:val="20"/>
                <w:szCs w:val="20"/>
              </w:rPr>
            </w:pPr>
            <w:r w:rsidRPr="00D2258D">
              <w:rPr>
                <w:sz w:val="20"/>
                <w:szCs w:val="20"/>
              </w:rPr>
              <w:t>Yes</w:t>
            </w:r>
          </w:p>
        </w:tc>
        <w:tc>
          <w:tcPr>
            <w:tcW w:w="2070" w:type="dxa"/>
          </w:tcPr>
          <w:p w14:paraId="72852E80" w14:textId="77777777" w:rsidR="000B5C6A" w:rsidRPr="00D2258D" w:rsidRDefault="000B5C6A" w:rsidP="000B5C6A">
            <w:pPr>
              <w:jc w:val="center"/>
              <w:rPr>
                <w:rFonts w:cstheme="minorHAnsi"/>
                <w:sz w:val="20"/>
                <w:szCs w:val="20"/>
              </w:rPr>
            </w:pPr>
          </w:p>
        </w:tc>
        <w:tc>
          <w:tcPr>
            <w:tcW w:w="2160" w:type="dxa"/>
          </w:tcPr>
          <w:p w14:paraId="7A55D87C" w14:textId="32AE0BF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A5F1424" w14:textId="22BA0D5E" w:rsidR="000B5C6A" w:rsidRPr="00D2258D" w:rsidRDefault="000B5C6A" w:rsidP="50E85438">
            <w:pPr>
              <w:jc w:val="center"/>
              <w:rPr>
                <w:sz w:val="20"/>
                <w:szCs w:val="20"/>
              </w:rPr>
            </w:pPr>
            <w:r w:rsidRPr="00D2258D">
              <w:rPr>
                <w:sz w:val="20"/>
                <w:szCs w:val="20"/>
              </w:rPr>
              <w:t>Yes</w:t>
            </w:r>
          </w:p>
        </w:tc>
      </w:tr>
      <w:tr w:rsidR="00E85340" w:rsidRPr="006B79D0" w14:paraId="1D89E8BD" w14:textId="77777777" w:rsidTr="00B03B30">
        <w:tc>
          <w:tcPr>
            <w:tcW w:w="3360" w:type="dxa"/>
          </w:tcPr>
          <w:p w14:paraId="2B4F21F0" w14:textId="707B6134" w:rsidR="000B5C6A" w:rsidRPr="00D2258D" w:rsidRDefault="000B5C6A" w:rsidP="000B5C6A">
            <w:pPr>
              <w:rPr>
                <w:rFonts w:cstheme="minorHAnsi"/>
                <w:sz w:val="20"/>
                <w:szCs w:val="20"/>
              </w:rPr>
            </w:pPr>
            <w:r w:rsidRPr="00D2258D">
              <w:rPr>
                <w:rFonts w:cstheme="minorHAnsi"/>
                <w:sz w:val="20"/>
                <w:szCs w:val="20"/>
              </w:rPr>
              <w:t>Approves ZDIs</w:t>
            </w:r>
          </w:p>
        </w:tc>
        <w:tc>
          <w:tcPr>
            <w:tcW w:w="1590" w:type="dxa"/>
          </w:tcPr>
          <w:p w14:paraId="15D5BA66" w14:textId="51CE588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35C9619" w14:textId="2E5357DE"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51F71C04" w14:textId="5AC92449"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0FFAA49E" w14:textId="4085843F" w:rsidR="000B5C6A" w:rsidRPr="00D2258D" w:rsidRDefault="000B5C6A" w:rsidP="000B5C6A">
            <w:pPr>
              <w:jc w:val="center"/>
              <w:rPr>
                <w:rFonts w:cstheme="minorHAnsi"/>
                <w:sz w:val="20"/>
                <w:szCs w:val="20"/>
              </w:rPr>
            </w:pPr>
            <w:r w:rsidRPr="00D2258D">
              <w:rPr>
                <w:rFonts w:cstheme="minorHAnsi"/>
                <w:sz w:val="20"/>
                <w:szCs w:val="20"/>
              </w:rPr>
              <w:t>Yes</w:t>
            </w:r>
          </w:p>
        </w:tc>
      </w:tr>
      <w:tr w:rsidR="00FD48A6" w:rsidRPr="006B79D0" w14:paraId="65F0734E" w14:textId="77777777" w:rsidTr="00B03B30">
        <w:tc>
          <w:tcPr>
            <w:tcW w:w="3360" w:type="dxa"/>
          </w:tcPr>
          <w:p w14:paraId="2BF9BD4C" w14:textId="583EC92B" w:rsidR="00FD48A6" w:rsidRPr="00D2258D" w:rsidRDefault="00FD48A6" w:rsidP="00FD48A6">
            <w:pPr>
              <w:rPr>
                <w:rFonts w:cstheme="minorHAnsi"/>
                <w:sz w:val="20"/>
                <w:szCs w:val="20"/>
              </w:rPr>
            </w:pPr>
            <w:r w:rsidRPr="00D2258D">
              <w:rPr>
                <w:rFonts w:cstheme="minorHAnsi"/>
                <w:sz w:val="20"/>
                <w:szCs w:val="20"/>
              </w:rPr>
              <w:t xml:space="preserve">Approves GLJEs </w:t>
            </w:r>
          </w:p>
        </w:tc>
        <w:tc>
          <w:tcPr>
            <w:tcW w:w="1590" w:type="dxa"/>
          </w:tcPr>
          <w:p w14:paraId="26DFEA0C" w14:textId="134EC4E5" w:rsidR="00FD48A6" w:rsidRPr="00FD48A6" w:rsidRDefault="00FD48A6" w:rsidP="00FD48A6">
            <w:pPr>
              <w:jc w:val="center"/>
              <w:rPr>
                <w:rFonts w:cstheme="minorHAnsi"/>
                <w:sz w:val="20"/>
                <w:szCs w:val="20"/>
              </w:rPr>
            </w:pPr>
            <w:r w:rsidRPr="00FD48A6">
              <w:rPr>
                <w:rFonts w:cstheme="minorHAnsi"/>
                <w:sz w:val="20"/>
                <w:szCs w:val="20"/>
              </w:rPr>
              <w:t xml:space="preserve">Yes, for </w:t>
            </w:r>
            <w:proofErr w:type="gramStart"/>
            <w:r w:rsidRPr="00FD48A6">
              <w:rPr>
                <w:rFonts w:cstheme="minorHAnsi"/>
                <w:sz w:val="20"/>
                <w:szCs w:val="20"/>
              </w:rPr>
              <w:t>now</w:t>
            </w:r>
            <w:proofErr w:type="gramEnd"/>
          </w:p>
        </w:tc>
        <w:tc>
          <w:tcPr>
            <w:tcW w:w="2070" w:type="dxa"/>
          </w:tcPr>
          <w:p w14:paraId="7722953D" w14:textId="020E21E8" w:rsidR="00FD48A6" w:rsidRPr="00FD48A6" w:rsidRDefault="00FD48A6" w:rsidP="00FD48A6">
            <w:pPr>
              <w:jc w:val="center"/>
              <w:rPr>
                <w:rFonts w:cstheme="minorHAnsi"/>
                <w:sz w:val="20"/>
                <w:szCs w:val="20"/>
              </w:rPr>
            </w:pPr>
            <w:r w:rsidRPr="00FD48A6">
              <w:rPr>
                <w:rFonts w:cstheme="minorHAnsi"/>
                <w:sz w:val="20"/>
                <w:szCs w:val="20"/>
              </w:rPr>
              <w:t>Yes</w:t>
            </w:r>
          </w:p>
        </w:tc>
        <w:tc>
          <w:tcPr>
            <w:tcW w:w="2160" w:type="dxa"/>
          </w:tcPr>
          <w:p w14:paraId="04C43EEC" w14:textId="47E9772B" w:rsidR="00FD48A6" w:rsidRPr="00FD48A6" w:rsidRDefault="00FD48A6" w:rsidP="00FD48A6">
            <w:pPr>
              <w:jc w:val="center"/>
              <w:rPr>
                <w:rFonts w:cstheme="minorHAnsi"/>
                <w:sz w:val="20"/>
                <w:szCs w:val="20"/>
              </w:rPr>
            </w:pPr>
            <w:r w:rsidRPr="00FD48A6">
              <w:rPr>
                <w:rFonts w:cstheme="minorHAnsi"/>
                <w:sz w:val="20"/>
                <w:szCs w:val="20"/>
              </w:rPr>
              <w:t xml:space="preserve">Yes, for now </w:t>
            </w:r>
            <w:r w:rsidRPr="00FD48A6">
              <w:rPr>
                <w:rFonts w:cstheme="minorHAnsi"/>
                <w:sz w:val="18"/>
                <w:szCs w:val="18"/>
              </w:rPr>
              <w:t>(but may change during FY2025 and only be available in BMS/OF</w:t>
            </w:r>
            <w:r w:rsidR="00A40A72">
              <w:rPr>
                <w:rFonts w:cstheme="minorHAnsi"/>
                <w:sz w:val="18"/>
                <w:szCs w:val="18"/>
              </w:rPr>
              <w:t>R</w:t>
            </w:r>
            <w:r w:rsidRPr="00FD48A6">
              <w:rPr>
                <w:rFonts w:cstheme="minorHAnsi"/>
                <w:sz w:val="18"/>
                <w:szCs w:val="18"/>
              </w:rPr>
              <w:t>M</w:t>
            </w:r>
            <w:r w:rsidR="001A324B">
              <w:rPr>
                <w:rFonts w:cstheme="minorHAnsi"/>
                <w:sz w:val="18"/>
                <w:szCs w:val="18"/>
              </w:rPr>
              <w:t>,</w:t>
            </w:r>
            <w:r w:rsidRPr="00FD48A6">
              <w:rPr>
                <w:rFonts w:cstheme="minorHAnsi"/>
                <w:sz w:val="18"/>
                <w:szCs w:val="18"/>
              </w:rPr>
              <w:t xml:space="preserve"> MPTFO</w:t>
            </w:r>
            <w:r w:rsidR="001A324B">
              <w:rPr>
                <w:rFonts w:cstheme="minorHAnsi"/>
                <w:sz w:val="18"/>
                <w:szCs w:val="18"/>
              </w:rPr>
              <w:t xml:space="preserve"> &amp; UNV</w:t>
            </w:r>
            <w:r w:rsidRPr="00FD48A6">
              <w:rPr>
                <w:rFonts w:cstheme="minorHAnsi"/>
                <w:sz w:val="18"/>
                <w:szCs w:val="18"/>
              </w:rPr>
              <w:t>)</w:t>
            </w:r>
          </w:p>
        </w:tc>
        <w:tc>
          <w:tcPr>
            <w:tcW w:w="1710" w:type="dxa"/>
          </w:tcPr>
          <w:p w14:paraId="77AE9DA7" w14:textId="33A6C7D1" w:rsidR="00FD48A6" w:rsidRPr="00FD48A6" w:rsidRDefault="00FD48A6" w:rsidP="00FD48A6">
            <w:pPr>
              <w:jc w:val="center"/>
              <w:rPr>
                <w:rFonts w:cstheme="minorHAnsi"/>
                <w:sz w:val="20"/>
                <w:szCs w:val="20"/>
              </w:rPr>
            </w:pPr>
            <w:r w:rsidRPr="00FD48A6">
              <w:rPr>
                <w:rFonts w:cstheme="minorHAnsi"/>
                <w:sz w:val="20"/>
                <w:szCs w:val="20"/>
              </w:rPr>
              <w:t xml:space="preserve">Yes, for </w:t>
            </w:r>
            <w:proofErr w:type="gramStart"/>
            <w:r w:rsidRPr="00FD48A6">
              <w:rPr>
                <w:rFonts w:cstheme="minorHAnsi"/>
                <w:sz w:val="20"/>
                <w:szCs w:val="20"/>
              </w:rPr>
              <w:t>now</w:t>
            </w:r>
            <w:proofErr w:type="gramEnd"/>
          </w:p>
        </w:tc>
      </w:tr>
      <w:tr w:rsidR="00E85340" w:rsidRPr="006B79D0" w14:paraId="7A8338F7" w14:textId="77777777" w:rsidTr="00B03B30">
        <w:tc>
          <w:tcPr>
            <w:tcW w:w="3360" w:type="dxa"/>
          </w:tcPr>
          <w:p w14:paraId="4EB25BFF" w14:textId="77777777" w:rsidR="000B5C6A" w:rsidRPr="00D2258D" w:rsidRDefault="000B5C6A" w:rsidP="000B5C6A">
            <w:pPr>
              <w:rPr>
                <w:rFonts w:cstheme="minorHAnsi"/>
                <w:sz w:val="20"/>
                <w:szCs w:val="20"/>
              </w:rPr>
            </w:pPr>
            <w:r w:rsidRPr="00D2258D">
              <w:rPr>
                <w:rFonts w:cstheme="minorHAnsi"/>
                <w:sz w:val="20"/>
                <w:szCs w:val="20"/>
              </w:rPr>
              <w:t>Performs Disbursing Officer – Part A functions</w:t>
            </w:r>
          </w:p>
        </w:tc>
        <w:tc>
          <w:tcPr>
            <w:tcW w:w="1590" w:type="dxa"/>
          </w:tcPr>
          <w:p w14:paraId="2B802E77" w14:textId="77777777" w:rsidR="000B5C6A" w:rsidRPr="00D2258D" w:rsidRDefault="000B5C6A" w:rsidP="000B5C6A">
            <w:pPr>
              <w:jc w:val="center"/>
              <w:rPr>
                <w:rFonts w:cstheme="minorHAnsi"/>
                <w:sz w:val="20"/>
                <w:szCs w:val="20"/>
              </w:rPr>
            </w:pPr>
          </w:p>
        </w:tc>
        <w:tc>
          <w:tcPr>
            <w:tcW w:w="2070" w:type="dxa"/>
          </w:tcPr>
          <w:p w14:paraId="6F834320" w14:textId="51DE8C1C" w:rsidR="000B5C6A" w:rsidRPr="00D2258D" w:rsidRDefault="000B5C6A" w:rsidP="000B5C6A">
            <w:pPr>
              <w:jc w:val="center"/>
              <w:rPr>
                <w:rFonts w:cstheme="minorHAnsi"/>
                <w:sz w:val="20"/>
                <w:szCs w:val="20"/>
              </w:rPr>
            </w:pPr>
            <w:r w:rsidRPr="00D2258D">
              <w:rPr>
                <w:rFonts w:cstheme="minorHAnsi"/>
                <w:sz w:val="20"/>
                <w:szCs w:val="20"/>
              </w:rPr>
              <w:t xml:space="preserve">Yes </w:t>
            </w:r>
          </w:p>
        </w:tc>
        <w:tc>
          <w:tcPr>
            <w:tcW w:w="2160" w:type="dxa"/>
          </w:tcPr>
          <w:p w14:paraId="19B30FCC" w14:textId="4EED133C" w:rsidR="000B5C6A" w:rsidRPr="00D2258D" w:rsidRDefault="00F82F61"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(but only in BMS/OF</w:t>
            </w:r>
            <w:r w:rsidR="00A40A72">
              <w:rPr>
                <w:rFonts w:cstheme="minorHAnsi"/>
                <w:sz w:val="18"/>
                <w:szCs w:val="18"/>
              </w:rPr>
              <w:t>R</w:t>
            </w:r>
            <w:r w:rsidRPr="00D2258D">
              <w:rPr>
                <w:rFonts w:cstheme="minorHAnsi"/>
                <w:sz w:val="18"/>
                <w:szCs w:val="18"/>
              </w:rPr>
              <w:t>M for HQ offices/units)</w:t>
            </w:r>
            <w:r w:rsidR="00670DAF">
              <w:rPr>
                <w:rFonts w:cstheme="minorHAnsi"/>
                <w:sz w:val="18"/>
                <w:szCs w:val="18"/>
              </w:rPr>
              <w:t>, and in UNV</w:t>
            </w:r>
            <w:r w:rsidR="007531A6">
              <w:rPr>
                <w:rFonts w:cstheme="minorHAnsi"/>
                <w:sz w:val="18"/>
                <w:szCs w:val="18"/>
              </w:rPr>
              <w:t>.</w:t>
            </w:r>
          </w:p>
        </w:tc>
        <w:tc>
          <w:tcPr>
            <w:tcW w:w="1710" w:type="dxa"/>
          </w:tcPr>
          <w:p w14:paraId="0571D19D" w14:textId="77777777" w:rsidR="000B5C6A" w:rsidRPr="00D2258D" w:rsidRDefault="000B5C6A" w:rsidP="000B5C6A">
            <w:pPr>
              <w:jc w:val="center"/>
              <w:rPr>
                <w:rFonts w:cstheme="minorHAnsi"/>
                <w:sz w:val="20"/>
                <w:szCs w:val="20"/>
              </w:rPr>
            </w:pPr>
          </w:p>
        </w:tc>
      </w:tr>
      <w:tr w:rsidR="00E85340" w:rsidRPr="006B79D0" w14:paraId="2A4F0F66" w14:textId="77777777" w:rsidTr="00B03B30">
        <w:tc>
          <w:tcPr>
            <w:tcW w:w="3360" w:type="dxa"/>
          </w:tcPr>
          <w:p w14:paraId="172D6022" w14:textId="77777777" w:rsidR="000B5C6A" w:rsidRPr="00D2258D" w:rsidRDefault="000B5C6A" w:rsidP="000B5C6A">
            <w:pPr>
              <w:rPr>
                <w:rFonts w:cstheme="minorHAnsi"/>
                <w:sz w:val="20"/>
                <w:szCs w:val="20"/>
              </w:rPr>
            </w:pPr>
            <w:r w:rsidRPr="00D2258D">
              <w:rPr>
                <w:rFonts w:cstheme="minorHAnsi"/>
                <w:sz w:val="20"/>
                <w:szCs w:val="20"/>
              </w:rPr>
              <w:t>Performs Disbursing Officer – Part B functions (including bank signatory)</w:t>
            </w:r>
          </w:p>
        </w:tc>
        <w:tc>
          <w:tcPr>
            <w:tcW w:w="1590" w:type="dxa"/>
          </w:tcPr>
          <w:p w14:paraId="42CDAA54" w14:textId="4A648D9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670C3846" w14:textId="77777777" w:rsidR="000B5C6A" w:rsidRPr="00D2258D" w:rsidRDefault="000B5C6A" w:rsidP="000B5C6A">
            <w:pPr>
              <w:jc w:val="center"/>
              <w:rPr>
                <w:rFonts w:cstheme="minorHAnsi"/>
                <w:sz w:val="20"/>
                <w:szCs w:val="20"/>
              </w:rPr>
            </w:pPr>
          </w:p>
        </w:tc>
        <w:tc>
          <w:tcPr>
            <w:tcW w:w="2160" w:type="dxa"/>
          </w:tcPr>
          <w:p w14:paraId="5AD7B483" w14:textId="77777777" w:rsidR="000B5C6A" w:rsidRPr="00D2258D" w:rsidRDefault="000B5C6A" w:rsidP="000B5C6A">
            <w:pPr>
              <w:jc w:val="center"/>
              <w:rPr>
                <w:rFonts w:cstheme="minorHAnsi"/>
                <w:sz w:val="20"/>
                <w:szCs w:val="20"/>
              </w:rPr>
            </w:pPr>
          </w:p>
        </w:tc>
        <w:tc>
          <w:tcPr>
            <w:tcW w:w="1710" w:type="dxa"/>
          </w:tcPr>
          <w:p w14:paraId="2034F2B0" w14:textId="426F8543" w:rsidR="000B5C6A" w:rsidRPr="00D2258D" w:rsidRDefault="000B5C6A" w:rsidP="000B5C6A">
            <w:pPr>
              <w:jc w:val="center"/>
              <w:rPr>
                <w:rFonts w:cstheme="minorHAnsi"/>
                <w:sz w:val="20"/>
                <w:szCs w:val="20"/>
              </w:rPr>
            </w:pPr>
            <w:r w:rsidRPr="00D2258D">
              <w:rPr>
                <w:rFonts w:cstheme="minorHAnsi"/>
                <w:sz w:val="20"/>
                <w:szCs w:val="20"/>
              </w:rPr>
              <w:t>Yes</w:t>
            </w:r>
          </w:p>
        </w:tc>
      </w:tr>
      <w:tr w:rsidR="000B5C6A" w:rsidRPr="006B79D0" w14:paraId="650A0CDC" w14:textId="77777777" w:rsidTr="00B03B30">
        <w:tc>
          <w:tcPr>
            <w:tcW w:w="10890" w:type="dxa"/>
            <w:gridSpan w:val="5"/>
            <w:shd w:val="clear" w:color="auto" w:fill="B4C6E7" w:themeFill="accent1" w:themeFillTint="66"/>
          </w:tcPr>
          <w:p w14:paraId="360E7E24"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Travel</w:t>
            </w:r>
          </w:p>
        </w:tc>
      </w:tr>
      <w:tr w:rsidR="00E85340" w:rsidRPr="006B79D0" w14:paraId="5307D77F" w14:textId="77777777" w:rsidTr="00B03B30">
        <w:tc>
          <w:tcPr>
            <w:tcW w:w="3360" w:type="dxa"/>
          </w:tcPr>
          <w:p w14:paraId="4D9C2F55" w14:textId="77777777" w:rsidR="000B5C6A" w:rsidRPr="00D2258D" w:rsidRDefault="000B5C6A" w:rsidP="000B5C6A">
            <w:pPr>
              <w:rPr>
                <w:rFonts w:cstheme="minorHAnsi"/>
                <w:sz w:val="20"/>
                <w:szCs w:val="20"/>
              </w:rPr>
            </w:pPr>
            <w:r w:rsidRPr="00D2258D">
              <w:rPr>
                <w:rFonts w:cstheme="minorHAnsi"/>
                <w:sz w:val="20"/>
                <w:szCs w:val="20"/>
              </w:rPr>
              <w:t>Performs Travel Processor functions</w:t>
            </w:r>
          </w:p>
        </w:tc>
        <w:tc>
          <w:tcPr>
            <w:tcW w:w="1590" w:type="dxa"/>
          </w:tcPr>
          <w:p w14:paraId="7BD0C0CB" w14:textId="0CFBD9D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128121B0" w14:textId="77777777" w:rsidR="000B5C6A" w:rsidRPr="00D2258D" w:rsidRDefault="000B5C6A" w:rsidP="000B5C6A">
            <w:pPr>
              <w:jc w:val="center"/>
              <w:rPr>
                <w:rFonts w:cstheme="minorHAnsi"/>
                <w:sz w:val="20"/>
                <w:szCs w:val="20"/>
              </w:rPr>
            </w:pPr>
          </w:p>
        </w:tc>
        <w:tc>
          <w:tcPr>
            <w:tcW w:w="2160" w:type="dxa"/>
          </w:tcPr>
          <w:p w14:paraId="7EF60CD0" w14:textId="6A33F840"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0568A63" w14:textId="5891080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57894161" w14:textId="77777777" w:rsidTr="00B03B30">
        <w:tc>
          <w:tcPr>
            <w:tcW w:w="3360" w:type="dxa"/>
          </w:tcPr>
          <w:p w14:paraId="6EE313AD" w14:textId="77777777" w:rsidR="000B5C6A" w:rsidRPr="00D2258D" w:rsidRDefault="000B5C6A" w:rsidP="000B5C6A">
            <w:pPr>
              <w:rPr>
                <w:rFonts w:cstheme="minorHAnsi"/>
                <w:sz w:val="20"/>
                <w:szCs w:val="20"/>
              </w:rPr>
            </w:pPr>
            <w:r w:rsidRPr="00D2258D">
              <w:rPr>
                <w:rFonts w:cstheme="minorHAnsi"/>
                <w:sz w:val="20"/>
                <w:szCs w:val="20"/>
              </w:rPr>
              <w:t>Performs Travel Approver functions</w:t>
            </w:r>
          </w:p>
        </w:tc>
        <w:tc>
          <w:tcPr>
            <w:tcW w:w="1590" w:type="dxa"/>
          </w:tcPr>
          <w:p w14:paraId="1876CD4F" w14:textId="53BB2AFD"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20AF141C" w14:textId="77777777" w:rsidR="000B5C6A" w:rsidRPr="00D2258D" w:rsidRDefault="000B5C6A" w:rsidP="000B5C6A">
            <w:pPr>
              <w:jc w:val="center"/>
              <w:rPr>
                <w:rFonts w:cstheme="minorHAnsi"/>
                <w:sz w:val="20"/>
                <w:szCs w:val="20"/>
              </w:rPr>
            </w:pPr>
          </w:p>
        </w:tc>
        <w:tc>
          <w:tcPr>
            <w:tcW w:w="2160" w:type="dxa"/>
          </w:tcPr>
          <w:p w14:paraId="77A349CA" w14:textId="1597475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E52BF7F" w14:textId="3C5187C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3A43DD3F" w14:textId="77777777" w:rsidTr="00B03B30">
        <w:tc>
          <w:tcPr>
            <w:tcW w:w="3360" w:type="dxa"/>
          </w:tcPr>
          <w:p w14:paraId="479E02B3" w14:textId="1D38C7A2" w:rsidR="00966C3D" w:rsidRPr="00D2258D" w:rsidRDefault="000B5C6A" w:rsidP="000B5C6A">
            <w:pPr>
              <w:rPr>
                <w:rFonts w:cstheme="minorHAnsi"/>
                <w:sz w:val="20"/>
                <w:szCs w:val="20"/>
              </w:rPr>
            </w:pPr>
            <w:r w:rsidRPr="00D2258D">
              <w:rPr>
                <w:rFonts w:cstheme="minorHAnsi"/>
                <w:sz w:val="20"/>
                <w:szCs w:val="20"/>
              </w:rPr>
              <w:t>Performs ticket reconciliation and payment functions</w:t>
            </w:r>
            <w:r w:rsidR="00417798" w:rsidRPr="00D2258D">
              <w:rPr>
                <w:rFonts w:cstheme="minorHAnsi"/>
                <w:sz w:val="20"/>
                <w:szCs w:val="20"/>
              </w:rPr>
              <w:t xml:space="preserve"> (</w:t>
            </w:r>
            <w:r w:rsidR="00A548EE" w:rsidRPr="00D2258D">
              <w:rPr>
                <w:rFonts w:cstheme="minorHAnsi"/>
                <w:sz w:val="20"/>
                <w:szCs w:val="20"/>
              </w:rPr>
              <w:t>i</w:t>
            </w:r>
            <w:r w:rsidR="00966C3D" w:rsidRPr="00D2258D">
              <w:rPr>
                <w:rFonts w:cstheme="minorHAnsi"/>
                <w:sz w:val="20"/>
                <w:szCs w:val="20"/>
              </w:rPr>
              <w:t xml:space="preserve">deally only approval, since travel </w:t>
            </w:r>
            <w:proofErr w:type="gramStart"/>
            <w:r w:rsidR="00966C3D" w:rsidRPr="00D2258D">
              <w:rPr>
                <w:rFonts w:cstheme="minorHAnsi"/>
                <w:sz w:val="20"/>
                <w:szCs w:val="20"/>
              </w:rPr>
              <w:t>agent</w:t>
            </w:r>
            <w:proofErr w:type="gramEnd"/>
            <w:r w:rsidR="00966C3D" w:rsidRPr="00D2258D">
              <w:rPr>
                <w:rFonts w:cstheme="minorHAnsi"/>
                <w:sz w:val="20"/>
                <w:szCs w:val="20"/>
              </w:rPr>
              <w:t xml:space="preserve"> should create invoices in supplier portal)</w:t>
            </w:r>
          </w:p>
        </w:tc>
        <w:tc>
          <w:tcPr>
            <w:tcW w:w="1590" w:type="dxa"/>
          </w:tcPr>
          <w:p w14:paraId="13DA6C6A" w14:textId="025CD055" w:rsidR="000B5C6A" w:rsidRPr="00D2258D" w:rsidRDefault="0047651E" w:rsidP="000B5C6A">
            <w:pPr>
              <w:jc w:val="center"/>
              <w:rPr>
                <w:rFonts w:cstheme="minorHAnsi"/>
                <w:sz w:val="20"/>
                <w:szCs w:val="20"/>
              </w:rPr>
            </w:pPr>
            <w:r w:rsidRPr="00D2258D">
              <w:rPr>
                <w:rFonts w:cstheme="minorHAnsi"/>
                <w:sz w:val="20"/>
                <w:szCs w:val="20"/>
              </w:rPr>
              <w:t>Yes</w:t>
            </w:r>
          </w:p>
        </w:tc>
        <w:tc>
          <w:tcPr>
            <w:tcW w:w="2070" w:type="dxa"/>
          </w:tcPr>
          <w:p w14:paraId="3D7DDAC0" w14:textId="4EB803E8"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p>
        </w:tc>
        <w:tc>
          <w:tcPr>
            <w:tcW w:w="2160" w:type="dxa"/>
          </w:tcPr>
          <w:p w14:paraId="203DD317" w14:textId="096D23AA" w:rsidR="000B5C6A" w:rsidRPr="00D2258D" w:rsidRDefault="00F82F61" w:rsidP="000B5C6A">
            <w:pPr>
              <w:jc w:val="center"/>
              <w:rPr>
                <w:rFonts w:cstheme="minorHAnsi"/>
                <w:sz w:val="20"/>
                <w:szCs w:val="20"/>
              </w:rPr>
            </w:pPr>
            <w:r w:rsidRPr="00D2258D">
              <w:rPr>
                <w:rFonts w:cstheme="minorHAnsi"/>
                <w:sz w:val="20"/>
                <w:szCs w:val="20"/>
              </w:rPr>
              <w:t>Yes</w:t>
            </w:r>
            <w:r w:rsidRPr="00D2258D">
              <w:rPr>
                <w:rFonts w:cstheme="minorHAnsi"/>
                <w:sz w:val="18"/>
                <w:szCs w:val="18"/>
              </w:rPr>
              <w:t xml:space="preserve"> (but only in BMS/GO for HQ offices/units)</w:t>
            </w:r>
            <w:r w:rsidR="00DE454A">
              <w:rPr>
                <w:rFonts w:cstheme="minorHAnsi"/>
                <w:sz w:val="18"/>
                <w:szCs w:val="18"/>
              </w:rPr>
              <w:br/>
            </w:r>
          </w:p>
        </w:tc>
        <w:tc>
          <w:tcPr>
            <w:tcW w:w="1710" w:type="dxa"/>
          </w:tcPr>
          <w:p w14:paraId="7ED7DCF0" w14:textId="577567FC" w:rsidR="000B5C6A" w:rsidRPr="00D2258D" w:rsidRDefault="00EE1285" w:rsidP="000B5C6A">
            <w:pPr>
              <w:jc w:val="center"/>
              <w:rPr>
                <w:rFonts w:cstheme="minorHAnsi"/>
                <w:sz w:val="20"/>
                <w:szCs w:val="20"/>
              </w:rPr>
            </w:pPr>
            <w:r w:rsidRPr="00EE1285">
              <w:rPr>
                <w:rFonts w:cstheme="minorHAnsi"/>
                <w:sz w:val="20"/>
                <w:szCs w:val="20"/>
              </w:rPr>
              <w:t>Yes</w:t>
            </w:r>
            <w:r>
              <w:rPr>
                <w:rFonts w:cstheme="minorHAnsi"/>
                <w:sz w:val="20"/>
                <w:szCs w:val="20"/>
              </w:rPr>
              <w:t xml:space="preserve"> </w:t>
            </w:r>
            <w:r w:rsidRPr="00EE1285">
              <w:rPr>
                <w:rFonts w:ascii="Calibri" w:hAnsi="Calibri" w:cs="Calibri"/>
                <w:sz w:val="18"/>
                <w:szCs w:val="18"/>
              </w:rPr>
              <w:t>(</w:t>
            </w:r>
            <w:r>
              <w:rPr>
                <w:rFonts w:ascii="Calibri" w:hAnsi="Calibri" w:cs="Calibri"/>
                <w:sz w:val="18"/>
                <w:szCs w:val="18"/>
              </w:rPr>
              <w:t xml:space="preserve">but </w:t>
            </w:r>
            <w:r w:rsidRPr="00EE1285">
              <w:rPr>
                <w:rFonts w:ascii="Calibri" w:hAnsi="Calibri" w:cs="Calibri"/>
                <w:sz w:val="18"/>
                <w:szCs w:val="18"/>
              </w:rPr>
              <w:t xml:space="preserve">for UNV only, ticket reconciliation and approval </w:t>
            </w:r>
            <w:proofErr w:type="gramStart"/>
            <w:r w:rsidRPr="00EE1285">
              <w:rPr>
                <w:rFonts w:ascii="Calibri" w:hAnsi="Calibri" w:cs="Calibri"/>
                <w:sz w:val="18"/>
                <w:szCs w:val="18"/>
              </w:rPr>
              <w:t>is</w:t>
            </w:r>
            <w:proofErr w:type="gramEnd"/>
            <w:r w:rsidRPr="00EE1285">
              <w:rPr>
                <w:rFonts w:ascii="Calibri" w:hAnsi="Calibri" w:cs="Calibri"/>
                <w:sz w:val="18"/>
                <w:szCs w:val="18"/>
              </w:rPr>
              <w:t xml:space="preserve"> performed by UNV HQ for Bonn-based payments)</w:t>
            </w:r>
          </w:p>
        </w:tc>
      </w:tr>
      <w:tr w:rsidR="000B5C6A" w:rsidRPr="006B79D0" w14:paraId="7D13DF39" w14:textId="77777777" w:rsidTr="00B03B30">
        <w:tc>
          <w:tcPr>
            <w:tcW w:w="10890" w:type="dxa"/>
            <w:gridSpan w:val="5"/>
            <w:shd w:val="clear" w:color="auto" w:fill="B4C6E7" w:themeFill="accent1" w:themeFillTint="66"/>
          </w:tcPr>
          <w:p w14:paraId="588B8FAE"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Asset &amp; Inventory Management</w:t>
            </w:r>
          </w:p>
        </w:tc>
      </w:tr>
      <w:tr w:rsidR="00E85340" w:rsidRPr="006B79D0" w14:paraId="0B9E1F22" w14:textId="77777777" w:rsidTr="00B03B30">
        <w:tc>
          <w:tcPr>
            <w:tcW w:w="3360" w:type="dxa"/>
          </w:tcPr>
          <w:p w14:paraId="7E6785D0" w14:textId="77777777" w:rsidR="000B5C6A" w:rsidRPr="00D2258D" w:rsidRDefault="000B5C6A" w:rsidP="000B5C6A">
            <w:pPr>
              <w:rPr>
                <w:rFonts w:cstheme="minorHAnsi"/>
                <w:sz w:val="20"/>
                <w:szCs w:val="20"/>
              </w:rPr>
            </w:pPr>
            <w:r w:rsidRPr="00D2258D">
              <w:rPr>
                <w:rFonts w:cstheme="minorHAnsi"/>
                <w:sz w:val="20"/>
                <w:szCs w:val="20"/>
              </w:rPr>
              <w:t>Performs day-to-day asset and inventory management</w:t>
            </w:r>
          </w:p>
        </w:tc>
        <w:tc>
          <w:tcPr>
            <w:tcW w:w="1590" w:type="dxa"/>
          </w:tcPr>
          <w:p w14:paraId="6485835B" w14:textId="0C27F965"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c>
          <w:tcPr>
            <w:tcW w:w="2070" w:type="dxa"/>
          </w:tcPr>
          <w:p w14:paraId="710D3191" w14:textId="77777777" w:rsidR="000B5C6A" w:rsidRPr="00D2258D" w:rsidRDefault="000B5C6A" w:rsidP="000B5C6A">
            <w:pPr>
              <w:jc w:val="center"/>
              <w:rPr>
                <w:rFonts w:cstheme="minorHAnsi"/>
                <w:sz w:val="20"/>
                <w:szCs w:val="20"/>
              </w:rPr>
            </w:pPr>
          </w:p>
        </w:tc>
        <w:tc>
          <w:tcPr>
            <w:tcW w:w="2160" w:type="dxa"/>
          </w:tcPr>
          <w:p w14:paraId="22337D04" w14:textId="6A6A85A1"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c>
          <w:tcPr>
            <w:tcW w:w="1710" w:type="dxa"/>
          </w:tcPr>
          <w:p w14:paraId="2C4FC750" w14:textId="656CE990" w:rsidR="000B5C6A" w:rsidRPr="00D2258D" w:rsidRDefault="000B5C6A" w:rsidP="000B5C6A">
            <w:pPr>
              <w:jc w:val="center"/>
              <w:rPr>
                <w:rFonts w:ascii="Webdings" w:hAnsi="Webdings" w:cstheme="minorHAnsi"/>
                <w:sz w:val="28"/>
                <w:szCs w:val="28"/>
              </w:rPr>
            </w:pPr>
            <w:r w:rsidRPr="00D2258D">
              <w:rPr>
                <w:rFonts w:cstheme="minorHAnsi"/>
                <w:sz w:val="20"/>
                <w:szCs w:val="20"/>
              </w:rPr>
              <w:t>Yes</w:t>
            </w:r>
          </w:p>
        </w:tc>
      </w:tr>
      <w:tr w:rsidR="00E85340" w:rsidRPr="006B79D0" w14:paraId="30D34217" w14:textId="77777777" w:rsidTr="00B03B30">
        <w:tc>
          <w:tcPr>
            <w:tcW w:w="3360" w:type="dxa"/>
          </w:tcPr>
          <w:p w14:paraId="4C1D1160" w14:textId="77777777" w:rsidR="000B5C6A" w:rsidRPr="00D2258D" w:rsidRDefault="000B5C6A" w:rsidP="000B5C6A">
            <w:pPr>
              <w:rPr>
                <w:rFonts w:cstheme="minorHAnsi"/>
                <w:sz w:val="20"/>
                <w:szCs w:val="20"/>
              </w:rPr>
            </w:pPr>
            <w:r w:rsidRPr="00D2258D">
              <w:rPr>
                <w:rFonts w:cstheme="minorHAnsi"/>
                <w:sz w:val="20"/>
                <w:szCs w:val="20"/>
              </w:rPr>
              <w:t xml:space="preserve">Submits asset &amp; </w:t>
            </w:r>
            <w:proofErr w:type="gramStart"/>
            <w:r w:rsidRPr="00D2258D">
              <w:rPr>
                <w:rFonts w:cstheme="minorHAnsi"/>
                <w:sz w:val="20"/>
                <w:szCs w:val="20"/>
              </w:rPr>
              <w:t>inventory transaction</w:t>
            </w:r>
            <w:proofErr w:type="gramEnd"/>
            <w:r w:rsidRPr="00D2258D">
              <w:rPr>
                <w:rFonts w:cstheme="minorHAnsi"/>
                <w:sz w:val="20"/>
                <w:szCs w:val="20"/>
              </w:rPr>
              <w:t xml:space="preserve"> information to BMS/GSSC</w:t>
            </w:r>
          </w:p>
        </w:tc>
        <w:tc>
          <w:tcPr>
            <w:tcW w:w="1590" w:type="dxa"/>
          </w:tcPr>
          <w:p w14:paraId="1230684B" w14:textId="749E8EC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661DC59C" w14:textId="77777777" w:rsidR="000B5C6A" w:rsidRPr="00D2258D" w:rsidRDefault="000B5C6A" w:rsidP="000B5C6A">
            <w:pPr>
              <w:jc w:val="center"/>
              <w:rPr>
                <w:rFonts w:cstheme="minorHAnsi"/>
                <w:sz w:val="20"/>
                <w:szCs w:val="20"/>
              </w:rPr>
            </w:pPr>
          </w:p>
        </w:tc>
        <w:tc>
          <w:tcPr>
            <w:tcW w:w="2160" w:type="dxa"/>
          </w:tcPr>
          <w:p w14:paraId="1F32CCA3" w14:textId="467365BE"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r w:rsidRPr="00D2258D">
              <w:rPr>
                <w:rFonts w:cstheme="minorHAnsi"/>
                <w:sz w:val="18"/>
                <w:szCs w:val="18"/>
              </w:rPr>
              <w:t>(BMS/GO for HQ offices/units)</w:t>
            </w:r>
          </w:p>
        </w:tc>
        <w:tc>
          <w:tcPr>
            <w:tcW w:w="1710" w:type="dxa"/>
          </w:tcPr>
          <w:p w14:paraId="7AE15052" w14:textId="71400381"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73AFC0C7" w14:textId="77777777" w:rsidTr="00B03B30">
        <w:tc>
          <w:tcPr>
            <w:tcW w:w="3360" w:type="dxa"/>
          </w:tcPr>
          <w:p w14:paraId="339B4034" w14:textId="4367DFF1" w:rsidR="000B5C6A" w:rsidRPr="00D2258D" w:rsidRDefault="000B5C6A" w:rsidP="000B5C6A">
            <w:pPr>
              <w:rPr>
                <w:rFonts w:cstheme="minorHAnsi"/>
                <w:sz w:val="20"/>
                <w:szCs w:val="20"/>
              </w:rPr>
            </w:pPr>
            <w:r w:rsidRPr="00D2258D">
              <w:rPr>
                <w:rFonts w:cstheme="minorHAnsi"/>
                <w:sz w:val="20"/>
                <w:szCs w:val="20"/>
              </w:rPr>
              <w:t xml:space="preserve">Records asset and inventory </w:t>
            </w:r>
            <w:r w:rsidR="00DB72A9" w:rsidRPr="00D2258D">
              <w:rPr>
                <w:rFonts w:cstheme="minorHAnsi"/>
                <w:sz w:val="20"/>
                <w:szCs w:val="20"/>
              </w:rPr>
              <w:t xml:space="preserve">accounting </w:t>
            </w:r>
            <w:r w:rsidRPr="00D2258D">
              <w:rPr>
                <w:rFonts w:cstheme="minorHAnsi"/>
                <w:sz w:val="20"/>
                <w:szCs w:val="20"/>
              </w:rPr>
              <w:t>transactions in Quantum</w:t>
            </w:r>
          </w:p>
        </w:tc>
        <w:tc>
          <w:tcPr>
            <w:tcW w:w="1590" w:type="dxa"/>
          </w:tcPr>
          <w:p w14:paraId="65FAC82E" w14:textId="77777777" w:rsidR="000B5C6A" w:rsidRPr="00D2258D" w:rsidRDefault="000B5C6A" w:rsidP="000B5C6A">
            <w:pPr>
              <w:jc w:val="center"/>
              <w:rPr>
                <w:rFonts w:cstheme="minorHAnsi"/>
                <w:sz w:val="20"/>
                <w:szCs w:val="20"/>
              </w:rPr>
            </w:pPr>
          </w:p>
        </w:tc>
        <w:tc>
          <w:tcPr>
            <w:tcW w:w="2070" w:type="dxa"/>
          </w:tcPr>
          <w:p w14:paraId="60DE7CE0" w14:textId="567B16AE"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52699A5B" w14:textId="77777777" w:rsidR="000B5C6A" w:rsidRPr="00D2258D" w:rsidRDefault="000B5C6A" w:rsidP="000B5C6A">
            <w:pPr>
              <w:jc w:val="center"/>
              <w:rPr>
                <w:rFonts w:cstheme="minorHAnsi"/>
                <w:sz w:val="20"/>
                <w:szCs w:val="20"/>
              </w:rPr>
            </w:pPr>
          </w:p>
        </w:tc>
        <w:tc>
          <w:tcPr>
            <w:tcW w:w="1710" w:type="dxa"/>
          </w:tcPr>
          <w:p w14:paraId="38536E00" w14:textId="77777777" w:rsidR="000B5C6A" w:rsidRPr="00D2258D" w:rsidRDefault="000B5C6A" w:rsidP="000B5C6A">
            <w:pPr>
              <w:jc w:val="center"/>
              <w:rPr>
                <w:rFonts w:cstheme="minorHAnsi"/>
                <w:sz w:val="20"/>
                <w:szCs w:val="20"/>
              </w:rPr>
            </w:pPr>
          </w:p>
        </w:tc>
      </w:tr>
      <w:tr w:rsidR="000B5C6A" w:rsidRPr="006B79D0" w14:paraId="267053BC" w14:textId="77777777" w:rsidTr="00B03B30">
        <w:tc>
          <w:tcPr>
            <w:tcW w:w="10890" w:type="dxa"/>
            <w:gridSpan w:val="5"/>
            <w:shd w:val="clear" w:color="auto" w:fill="B4C6E7" w:themeFill="accent1" w:themeFillTint="66"/>
          </w:tcPr>
          <w:p w14:paraId="388376C6"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Human Resources</w:t>
            </w:r>
          </w:p>
        </w:tc>
      </w:tr>
      <w:tr w:rsidR="00E85340" w:rsidRPr="006B79D0" w14:paraId="2BDD356F" w14:textId="77777777" w:rsidTr="00B03B30">
        <w:tc>
          <w:tcPr>
            <w:tcW w:w="3360" w:type="dxa"/>
          </w:tcPr>
          <w:p w14:paraId="3E4929EA" w14:textId="77777777" w:rsidR="000B5C6A" w:rsidRPr="00D2258D" w:rsidRDefault="000B5C6A" w:rsidP="000B5C6A">
            <w:pPr>
              <w:rPr>
                <w:rFonts w:cstheme="minorHAnsi"/>
                <w:sz w:val="20"/>
                <w:szCs w:val="20"/>
              </w:rPr>
            </w:pPr>
            <w:r w:rsidRPr="00D2258D">
              <w:rPr>
                <w:rFonts w:cstheme="minorHAnsi"/>
                <w:sz w:val="20"/>
                <w:szCs w:val="20"/>
              </w:rPr>
              <w:t>Performs HR local focal point functions</w:t>
            </w:r>
          </w:p>
        </w:tc>
        <w:tc>
          <w:tcPr>
            <w:tcW w:w="1590" w:type="dxa"/>
          </w:tcPr>
          <w:p w14:paraId="17D9CEF3" w14:textId="7A25F45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19E50B0F" w14:textId="77777777" w:rsidR="000B5C6A" w:rsidRPr="00D2258D" w:rsidRDefault="000B5C6A" w:rsidP="000B5C6A">
            <w:pPr>
              <w:jc w:val="center"/>
              <w:rPr>
                <w:rFonts w:cstheme="minorHAnsi"/>
                <w:sz w:val="20"/>
                <w:szCs w:val="20"/>
              </w:rPr>
            </w:pPr>
          </w:p>
        </w:tc>
        <w:tc>
          <w:tcPr>
            <w:tcW w:w="2160" w:type="dxa"/>
          </w:tcPr>
          <w:p w14:paraId="02E5FC92" w14:textId="35DFFC5F"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4C171068" w14:textId="258BBA7A"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695C55C8" w14:textId="77777777" w:rsidTr="00B03B30">
        <w:tc>
          <w:tcPr>
            <w:tcW w:w="3360" w:type="dxa"/>
          </w:tcPr>
          <w:p w14:paraId="6057B106" w14:textId="77777777" w:rsidR="000B5C6A" w:rsidRPr="00D2258D" w:rsidRDefault="000B5C6A" w:rsidP="000B5C6A">
            <w:pPr>
              <w:rPr>
                <w:rFonts w:cstheme="minorHAnsi"/>
                <w:sz w:val="20"/>
                <w:szCs w:val="20"/>
              </w:rPr>
            </w:pPr>
            <w:r w:rsidRPr="00D2258D">
              <w:rPr>
                <w:rFonts w:cstheme="minorHAnsi"/>
                <w:sz w:val="20"/>
                <w:szCs w:val="20"/>
              </w:rPr>
              <w:t>Performs HR Administrator functions</w:t>
            </w:r>
          </w:p>
        </w:tc>
        <w:tc>
          <w:tcPr>
            <w:tcW w:w="1590" w:type="dxa"/>
          </w:tcPr>
          <w:p w14:paraId="1F2F1AE2" w14:textId="77777777" w:rsidR="000B5C6A" w:rsidRPr="00D2258D" w:rsidRDefault="000B5C6A" w:rsidP="7F61F61C">
            <w:pPr>
              <w:jc w:val="center"/>
              <w:rPr>
                <w:rFonts w:eastAsiaTheme="minorEastAsia"/>
                <w:sz w:val="20"/>
                <w:szCs w:val="20"/>
              </w:rPr>
            </w:pPr>
          </w:p>
        </w:tc>
        <w:tc>
          <w:tcPr>
            <w:tcW w:w="2070" w:type="dxa"/>
          </w:tcPr>
          <w:p w14:paraId="6D27128F" w14:textId="57784558"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0EFFFC93" w14:textId="77777777" w:rsidR="000B5C6A" w:rsidRPr="00D2258D" w:rsidRDefault="000B5C6A" w:rsidP="7F61F61C">
            <w:pPr>
              <w:jc w:val="center"/>
              <w:rPr>
                <w:rFonts w:eastAsiaTheme="minorEastAsia"/>
                <w:sz w:val="20"/>
                <w:szCs w:val="20"/>
              </w:rPr>
            </w:pPr>
          </w:p>
        </w:tc>
        <w:tc>
          <w:tcPr>
            <w:tcW w:w="1710" w:type="dxa"/>
          </w:tcPr>
          <w:p w14:paraId="0D895A5D" w14:textId="77E39AB5"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87E0CE0" w14:textId="77777777" w:rsidTr="00B03B30">
        <w:tc>
          <w:tcPr>
            <w:tcW w:w="3360" w:type="dxa"/>
          </w:tcPr>
          <w:p w14:paraId="1653DC1C" w14:textId="77777777" w:rsidR="000B5C6A" w:rsidRPr="00D2258D" w:rsidRDefault="000B5C6A" w:rsidP="363CA695">
            <w:pPr>
              <w:rPr>
                <w:sz w:val="20"/>
                <w:szCs w:val="20"/>
              </w:rPr>
            </w:pPr>
            <w:r w:rsidRPr="00D2258D">
              <w:rPr>
                <w:sz w:val="20"/>
                <w:szCs w:val="20"/>
              </w:rPr>
              <w:t>Approves and submits recurring and manual earnings and deductions information to BMS/GSSC</w:t>
            </w:r>
          </w:p>
        </w:tc>
        <w:tc>
          <w:tcPr>
            <w:tcW w:w="1590" w:type="dxa"/>
          </w:tcPr>
          <w:p w14:paraId="2A2FDAB7" w14:textId="47F99EF8"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08E66F55" w14:textId="77777777" w:rsidR="000B5C6A" w:rsidRPr="00D2258D" w:rsidRDefault="000B5C6A" w:rsidP="000B5C6A">
            <w:pPr>
              <w:jc w:val="center"/>
              <w:rPr>
                <w:rFonts w:ascii="Calibri" w:hAnsi="Calibri" w:cs="Calibri"/>
                <w:sz w:val="20"/>
                <w:szCs w:val="20"/>
              </w:rPr>
            </w:pPr>
          </w:p>
        </w:tc>
        <w:tc>
          <w:tcPr>
            <w:tcW w:w="2160" w:type="dxa"/>
          </w:tcPr>
          <w:p w14:paraId="0B49C2FC" w14:textId="77777777" w:rsidR="000B5C6A" w:rsidRPr="00D2258D" w:rsidRDefault="000B5C6A" w:rsidP="000B5C6A">
            <w:pPr>
              <w:jc w:val="center"/>
              <w:rPr>
                <w:rFonts w:ascii="Calibri" w:hAnsi="Calibri" w:cs="Calibri"/>
                <w:sz w:val="20"/>
                <w:szCs w:val="20"/>
              </w:rPr>
            </w:pPr>
          </w:p>
        </w:tc>
        <w:tc>
          <w:tcPr>
            <w:tcW w:w="1710" w:type="dxa"/>
          </w:tcPr>
          <w:p w14:paraId="27C9EC61" w14:textId="77777777" w:rsidR="000B5C6A" w:rsidRPr="00D2258D" w:rsidRDefault="000B5C6A" w:rsidP="000B5C6A">
            <w:pPr>
              <w:jc w:val="center"/>
              <w:rPr>
                <w:rFonts w:ascii="Calibri" w:hAnsi="Calibri" w:cs="Calibri"/>
                <w:sz w:val="20"/>
                <w:szCs w:val="20"/>
              </w:rPr>
            </w:pPr>
          </w:p>
        </w:tc>
      </w:tr>
      <w:tr w:rsidR="00E85340" w:rsidRPr="006B79D0" w14:paraId="3A15EBAB" w14:textId="77777777" w:rsidTr="00B03B30">
        <w:tc>
          <w:tcPr>
            <w:tcW w:w="3360" w:type="dxa"/>
          </w:tcPr>
          <w:p w14:paraId="66C0935D" w14:textId="77777777" w:rsidR="000B5C6A" w:rsidRPr="00D2258D" w:rsidRDefault="000B5C6A" w:rsidP="000B5C6A">
            <w:pPr>
              <w:rPr>
                <w:rFonts w:cstheme="minorHAnsi"/>
                <w:sz w:val="20"/>
                <w:szCs w:val="20"/>
              </w:rPr>
            </w:pPr>
            <w:r w:rsidRPr="00D2258D">
              <w:rPr>
                <w:rFonts w:cstheme="minorHAnsi"/>
                <w:sz w:val="20"/>
                <w:szCs w:val="20"/>
              </w:rPr>
              <w:t>Performs GP Administrator functions</w:t>
            </w:r>
          </w:p>
        </w:tc>
        <w:tc>
          <w:tcPr>
            <w:tcW w:w="1590" w:type="dxa"/>
          </w:tcPr>
          <w:p w14:paraId="04E23426" w14:textId="77777777" w:rsidR="000B5C6A" w:rsidRPr="00D2258D" w:rsidRDefault="000B5C6A" w:rsidP="000B5C6A">
            <w:pPr>
              <w:jc w:val="center"/>
              <w:rPr>
                <w:rFonts w:cstheme="minorHAnsi"/>
                <w:sz w:val="20"/>
                <w:szCs w:val="20"/>
              </w:rPr>
            </w:pPr>
          </w:p>
        </w:tc>
        <w:tc>
          <w:tcPr>
            <w:tcW w:w="2070" w:type="dxa"/>
          </w:tcPr>
          <w:p w14:paraId="74F755B7" w14:textId="51C52944"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4FA04B5C" w14:textId="77777777" w:rsidR="000B5C6A" w:rsidRPr="00D2258D" w:rsidRDefault="000B5C6A" w:rsidP="7F61F61C">
            <w:pPr>
              <w:jc w:val="center"/>
              <w:rPr>
                <w:rFonts w:eastAsiaTheme="minorEastAsia"/>
                <w:sz w:val="20"/>
                <w:szCs w:val="20"/>
              </w:rPr>
            </w:pPr>
          </w:p>
        </w:tc>
        <w:tc>
          <w:tcPr>
            <w:tcW w:w="1710" w:type="dxa"/>
          </w:tcPr>
          <w:p w14:paraId="5377E841" w14:textId="3F3B5477"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2FE73C1" w14:textId="77777777" w:rsidTr="00B03B30">
        <w:tc>
          <w:tcPr>
            <w:tcW w:w="3360" w:type="dxa"/>
          </w:tcPr>
          <w:p w14:paraId="75FEC1BB" w14:textId="77777777" w:rsidR="000B5C6A" w:rsidRPr="00D2258D" w:rsidRDefault="000B5C6A" w:rsidP="000B5C6A">
            <w:pPr>
              <w:rPr>
                <w:rFonts w:cstheme="minorHAnsi"/>
                <w:sz w:val="20"/>
                <w:szCs w:val="20"/>
              </w:rPr>
            </w:pPr>
            <w:r w:rsidRPr="00D2258D">
              <w:rPr>
                <w:rFonts w:cstheme="minorHAnsi"/>
                <w:sz w:val="20"/>
                <w:szCs w:val="20"/>
              </w:rPr>
              <w:t>Performs Payroll Validation Tool User functions</w:t>
            </w:r>
          </w:p>
        </w:tc>
        <w:tc>
          <w:tcPr>
            <w:tcW w:w="1590" w:type="dxa"/>
          </w:tcPr>
          <w:p w14:paraId="495B0F21" w14:textId="77777777" w:rsidR="000B5C6A" w:rsidRPr="00D2258D" w:rsidRDefault="000B5C6A" w:rsidP="000B5C6A">
            <w:pPr>
              <w:jc w:val="center"/>
              <w:rPr>
                <w:rFonts w:cstheme="minorHAnsi"/>
                <w:sz w:val="20"/>
                <w:szCs w:val="20"/>
              </w:rPr>
            </w:pPr>
          </w:p>
        </w:tc>
        <w:tc>
          <w:tcPr>
            <w:tcW w:w="2070" w:type="dxa"/>
          </w:tcPr>
          <w:p w14:paraId="456049EB" w14:textId="38679529"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1A00898D" w14:textId="77777777" w:rsidR="000B5C6A" w:rsidRPr="00D2258D" w:rsidRDefault="000B5C6A" w:rsidP="7F61F61C">
            <w:pPr>
              <w:jc w:val="center"/>
              <w:rPr>
                <w:rFonts w:eastAsiaTheme="minorEastAsia"/>
                <w:sz w:val="20"/>
                <w:szCs w:val="20"/>
              </w:rPr>
            </w:pPr>
          </w:p>
        </w:tc>
        <w:tc>
          <w:tcPr>
            <w:tcW w:w="1710" w:type="dxa"/>
          </w:tcPr>
          <w:p w14:paraId="21A99D26" w14:textId="1EE82C52"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6C699700" w14:textId="77777777" w:rsidTr="00B03B30">
        <w:tc>
          <w:tcPr>
            <w:tcW w:w="3360" w:type="dxa"/>
          </w:tcPr>
          <w:p w14:paraId="76AB6862" w14:textId="77777777" w:rsidR="000B5C6A" w:rsidRPr="00D2258D" w:rsidRDefault="000B5C6A" w:rsidP="000B5C6A">
            <w:pPr>
              <w:rPr>
                <w:rFonts w:cstheme="minorHAnsi"/>
                <w:sz w:val="20"/>
                <w:szCs w:val="20"/>
              </w:rPr>
            </w:pPr>
            <w:r w:rsidRPr="00D2258D">
              <w:rPr>
                <w:rFonts w:cstheme="minorHAnsi"/>
                <w:sz w:val="20"/>
                <w:szCs w:val="20"/>
              </w:rPr>
              <w:t>Performs Disbursing Officer – Part B functions for local payroll (bank signatory)</w:t>
            </w:r>
          </w:p>
        </w:tc>
        <w:tc>
          <w:tcPr>
            <w:tcW w:w="1590" w:type="dxa"/>
          </w:tcPr>
          <w:p w14:paraId="28D07D6D" w14:textId="45D70022"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616898E2" w14:textId="77777777" w:rsidR="000B5C6A" w:rsidRPr="00D2258D" w:rsidRDefault="000B5C6A" w:rsidP="000B5C6A">
            <w:pPr>
              <w:jc w:val="center"/>
              <w:rPr>
                <w:rFonts w:cstheme="minorHAnsi"/>
                <w:sz w:val="20"/>
                <w:szCs w:val="20"/>
              </w:rPr>
            </w:pPr>
          </w:p>
        </w:tc>
        <w:tc>
          <w:tcPr>
            <w:tcW w:w="2160" w:type="dxa"/>
          </w:tcPr>
          <w:p w14:paraId="04BE1196" w14:textId="77777777" w:rsidR="000B5C6A" w:rsidRPr="00D2258D" w:rsidRDefault="000B5C6A" w:rsidP="7F61F61C">
            <w:pPr>
              <w:jc w:val="center"/>
              <w:rPr>
                <w:rFonts w:eastAsiaTheme="minorEastAsia"/>
                <w:sz w:val="20"/>
                <w:szCs w:val="20"/>
              </w:rPr>
            </w:pPr>
          </w:p>
        </w:tc>
        <w:tc>
          <w:tcPr>
            <w:tcW w:w="1710" w:type="dxa"/>
          </w:tcPr>
          <w:p w14:paraId="0AB56829" w14:textId="16114F9D"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74DC589" w14:textId="77777777" w:rsidTr="00B03B30">
        <w:tc>
          <w:tcPr>
            <w:tcW w:w="3360" w:type="dxa"/>
          </w:tcPr>
          <w:p w14:paraId="29D2DE5A" w14:textId="77777777" w:rsidR="000B5C6A" w:rsidRPr="00D2258D" w:rsidRDefault="000B5C6A" w:rsidP="000B5C6A">
            <w:pPr>
              <w:rPr>
                <w:rFonts w:cstheme="minorHAnsi"/>
                <w:sz w:val="20"/>
                <w:szCs w:val="20"/>
              </w:rPr>
            </w:pPr>
            <w:r w:rsidRPr="00D2258D">
              <w:rPr>
                <w:rFonts w:cstheme="minorHAnsi"/>
                <w:sz w:val="20"/>
                <w:szCs w:val="20"/>
              </w:rPr>
              <w:t>Performs payroll staff functions</w:t>
            </w:r>
          </w:p>
        </w:tc>
        <w:tc>
          <w:tcPr>
            <w:tcW w:w="1590" w:type="dxa"/>
          </w:tcPr>
          <w:p w14:paraId="19A8E635" w14:textId="77777777" w:rsidR="000B5C6A" w:rsidRPr="00D2258D" w:rsidRDefault="000B5C6A" w:rsidP="000B5C6A">
            <w:pPr>
              <w:jc w:val="center"/>
              <w:rPr>
                <w:rFonts w:cstheme="minorHAnsi"/>
                <w:sz w:val="20"/>
                <w:szCs w:val="20"/>
              </w:rPr>
            </w:pPr>
          </w:p>
        </w:tc>
        <w:tc>
          <w:tcPr>
            <w:tcW w:w="2070" w:type="dxa"/>
          </w:tcPr>
          <w:p w14:paraId="7F944BFA" w14:textId="1EB964EE"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7733B605" w14:textId="77777777" w:rsidR="000B5C6A" w:rsidRPr="00D2258D" w:rsidRDefault="000B5C6A" w:rsidP="7F61F61C">
            <w:pPr>
              <w:jc w:val="center"/>
              <w:rPr>
                <w:rFonts w:eastAsiaTheme="minorEastAsia"/>
                <w:sz w:val="20"/>
                <w:szCs w:val="20"/>
              </w:rPr>
            </w:pPr>
          </w:p>
        </w:tc>
        <w:tc>
          <w:tcPr>
            <w:tcW w:w="1710" w:type="dxa"/>
          </w:tcPr>
          <w:p w14:paraId="15DAD5EE" w14:textId="66536F4A"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4F629B38" w14:textId="77777777" w:rsidTr="00B03B30">
        <w:tc>
          <w:tcPr>
            <w:tcW w:w="3360" w:type="dxa"/>
          </w:tcPr>
          <w:p w14:paraId="4D9FC37A" w14:textId="77777777" w:rsidR="000B5C6A" w:rsidRPr="00D2258D" w:rsidRDefault="000B5C6A" w:rsidP="000B5C6A">
            <w:pPr>
              <w:rPr>
                <w:rFonts w:cstheme="minorHAnsi"/>
                <w:sz w:val="20"/>
                <w:szCs w:val="20"/>
              </w:rPr>
            </w:pPr>
            <w:r w:rsidRPr="00D2258D">
              <w:rPr>
                <w:rFonts w:cstheme="minorHAnsi"/>
                <w:sz w:val="20"/>
                <w:szCs w:val="20"/>
              </w:rPr>
              <w:lastRenderedPageBreak/>
              <w:t>Performs Position Administration approvals</w:t>
            </w:r>
          </w:p>
        </w:tc>
        <w:tc>
          <w:tcPr>
            <w:tcW w:w="1590" w:type="dxa"/>
          </w:tcPr>
          <w:p w14:paraId="051B0DB2" w14:textId="2AFDD75B"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070" w:type="dxa"/>
          </w:tcPr>
          <w:p w14:paraId="79E90821" w14:textId="6FB5D879" w:rsidR="000B5C6A" w:rsidRPr="00D2258D" w:rsidRDefault="000B5C6A" w:rsidP="000B5C6A">
            <w:pPr>
              <w:jc w:val="center"/>
              <w:rPr>
                <w:rFonts w:ascii="Webdings" w:hAnsi="Webdings" w:cstheme="minorHAnsi"/>
                <w:sz w:val="20"/>
                <w:szCs w:val="20"/>
              </w:rPr>
            </w:pPr>
            <w:r w:rsidRPr="00D2258D">
              <w:rPr>
                <w:rFonts w:cstheme="minorHAnsi"/>
                <w:sz w:val="20"/>
                <w:szCs w:val="20"/>
              </w:rPr>
              <w:t xml:space="preserve">Yes </w:t>
            </w:r>
            <w:r w:rsidRPr="00D2258D">
              <w:rPr>
                <w:rFonts w:cstheme="minorHAnsi"/>
                <w:sz w:val="18"/>
                <w:szCs w:val="18"/>
              </w:rPr>
              <w:t>(verifying review)</w:t>
            </w:r>
          </w:p>
        </w:tc>
        <w:tc>
          <w:tcPr>
            <w:tcW w:w="2160" w:type="dxa"/>
          </w:tcPr>
          <w:p w14:paraId="7BE9C91B" w14:textId="3D439653"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1710" w:type="dxa"/>
          </w:tcPr>
          <w:p w14:paraId="52D4F908" w14:textId="47426494"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r>
      <w:tr w:rsidR="00E85340" w:rsidRPr="006B79D0" w14:paraId="09A7186B" w14:textId="77777777" w:rsidTr="00B03B30">
        <w:tc>
          <w:tcPr>
            <w:tcW w:w="3360" w:type="dxa"/>
          </w:tcPr>
          <w:p w14:paraId="14E9A217" w14:textId="77777777" w:rsidR="000B5C6A" w:rsidRPr="00D2258D" w:rsidRDefault="000B5C6A" w:rsidP="000B5C6A">
            <w:pPr>
              <w:rPr>
                <w:rFonts w:cstheme="minorHAnsi"/>
                <w:sz w:val="20"/>
                <w:szCs w:val="20"/>
              </w:rPr>
            </w:pPr>
            <w:r w:rsidRPr="00D2258D">
              <w:rPr>
                <w:rFonts w:cstheme="minorHAnsi"/>
                <w:sz w:val="20"/>
                <w:szCs w:val="20"/>
              </w:rPr>
              <w:t>Processes Position Administration transactions in Quantum</w:t>
            </w:r>
          </w:p>
        </w:tc>
        <w:tc>
          <w:tcPr>
            <w:tcW w:w="1590" w:type="dxa"/>
          </w:tcPr>
          <w:p w14:paraId="61FC11AA" w14:textId="77777777" w:rsidR="000B5C6A" w:rsidRPr="00D2258D" w:rsidRDefault="000B5C6A" w:rsidP="000B5C6A">
            <w:pPr>
              <w:jc w:val="center"/>
              <w:rPr>
                <w:rFonts w:cstheme="minorHAnsi"/>
                <w:sz w:val="20"/>
                <w:szCs w:val="20"/>
              </w:rPr>
            </w:pPr>
          </w:p>
        </w:tc>
        <w:tc>
          <w:tcPr>
            <w:tcW w:w="2070" w:type="dxa"/>
          </w:tcPr>
          <w:p w14:paraId="1E3E8146" w14:textId="2F265140" w:rsidR="000B5C6A" w:rsidRPr="00D2258D" w:rsidRDefault="000B5C6A" w:rsidP="000B5C6A">
            <w:pPr>
              <w:jc w:val="center"/>
              <w:rPr>
                <w:rFonts w:ascii="Webdings" w:hAnsi="Webdings" w:cstheme="minorHAnsi"/>
                <w:sz w:val="20"/>
                <w:szCs w:val="20"/>
              </w:rPr>
            </w:pPr>
            <w:r w:rsidRPr="00D2258D">
              <w:rPr>
                <w:rFonts w:cstheme="minorHAnsi"/>
                <w:sz w:val="20"/>
                <w:szCs w:val="20"/>
              </w:rPr>
              <w:t>Yes</w:t>
            </w:r>
          </w:p>
        </w:tc>
        <w:tc>
          <w:tcPr>
            <w:tcW w:w="2160" w:type="dxa"/>
          </w:tcPr>
          <w:p w14:paraId="5EF21E17" w14:textId="77777777" w:rsidR="000B5C6A" w:rsidRPr="00D2258D" w:rsidRDefault="000B5C6A" w:rsidP="000B5C6A">
            <w:pPr>
              <w:jc w:val="center"/>
              <w:rPr>
                <w:rFonts w:cstheme="minorHAnsi"/>
                <w:sz w:val="20"/>
                <w:szCs w:val="20"/>
              </w:rPr>
            </w:pPr>
          </w:p>
        </w:tc>
        <w:tc>
          <w:tcPr>
            <w:tcW w:w="1710" w:type="dxa"/>
          </w:tcPr>
          <w:p w14:paraId="09793306" w14:textId="77777777" w:rsidR="000B5C6A" w:rsidRPr="00D2258D" w:rsidRDefault="000B5C6A" w:rsidP="000B5C6A">
            <w:pPr>
              <w:jc w:val="center"/>
              <w:rPr>
                <w:rFonts w:cstheme="minorHAnsi"/>
                <w:sz w:val="20"/>
                <w:szCs w:val="20"/>
              </w:rPr>
            </w:pPr>
          </w:p>
        </w:tc>
      </w:tr>
      <w:tr w:rsidR="000B5C6A" w:rsidRPr="006B79D0" w14:paraId="103FB8CF" w14:textId="77777777" w:rsidTr="00B03B30">
        <w:tc>
          <w:tcPr>
            <w:tcW w:w="10890" w:type="dxa"/>
            <w:gridSpan w:val="5"/>
            <w:shd w:val="clear" w:color="auto" w:fill="B4C6E7" w:themeFill="accent1" w:themeFillTint="66"/>
          </w:tcPr>
          <w:p w14:paraId="6A606CED" w14:textId="77777777" w:rsidR="000B5C6A" w:rsidRPr="00D2258D" w:rsidRDefault="000B5C6A" w:rsidP="000B5C6A">
            <w:pPr>
              <w:rPr>
                <w:rFonts w:ascii="Webdings" w:hAnsi="Webdings" w:cstheme="minorHAnsi"/>
                <w:b/>
                <w:bCs/>
                <w:sz w:val="28"/>
                <w:szCs w:val="28"/>
              </w:rPr>
            </w:pPr>
            <w:r w:rsidRPr="00D2258D">
              <w:rPr>
                <w:rFonts w:cstheme="minorHAnsi"/>
                <w:b/>
                <w:bCs/>
                <w:sz w:val="20"/>
                <w:szCs w:val="20"/>
              </w:rPr>
              <w:t>General Financial Management</w:t>
            </w:r>
          </w:p>
        </w:tc>
      </w:tr>
      <w:tr w:rsidR="00E85340" w:rsidRPr="006B79D0" w14:paraId="417DA086" w14:textId="77777777" w:rsidTr="00B03B30">
        <w:tc>
          <w:tcPr>
            <w:tcW w:w="3360" w:type="dxa"/>
          </w:tcPr>
          <w:p w14:paraId="77A1A893" w14:textId="77777777" w:rsidR="000B5C6A" w:rsidRPr="00D2258D" w:rsidRDefault="000B5C6A" w:rsidP="000B5C6A">
            <w:pPr>
              <w:rPr>
                <w:rFonts w:cstheme="minorHAnsi"/>
                <w:sz w:val="20"/>
                <w:szCs w:val="20"/>
              </w:rPr>
            </w:pPr>
            <w:r w:rsidRPr="00D2258D">
              <w:rPr>
                <w:rFonts w:cstheme="minorHAnsi"/>
                <w:sz w:val="20"/>
                <w:szCs w:val="20"/>
              </w:rPr>
              <w:t>Creates and updates projects</w:t>
            </w:r>
          </w:p>
        </w:tc>
        <w:tc>
          <w:tcPr>
            <w:tcW w:w="1590" w:type="dxa"/>
          </w:tcPr>
          <w:p w14:paraId="0FCD0545" w14:textId="6A5A5C69"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474FD0E7" w14:textId="0857A8B1" w:rsidR="000B5C6A" w:rsidRPr="00D2258D" w:rsidRDefault="000B5C6A" w:rsidP="000B5C6A">
            <w:pPr>
              <w:jc w:val="center"/>
              <w:rPr>
                <w:rFonts w:cstheme="minorHAnsi"/>
                <w:sz w:val="20"/>
                <w:szCs w:val="20"/>
              </w:rPr>
            </w:pPr>
          </w:p>
        </w:tc>
        <w:tc>
          <w:tcPr>
            <w:tcW w:w="2160" w:type="dxa"/>
          </w:tcPr>
          <w:p w14:paraId="5C0E0788" w14:textId="085F0A24"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143CF8A" w14:textId="55F2445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0C4A40B" w14:textId="77777777" w:rsidTr="00B03B30">
        <w:tc>
          <w:tcPr>
            <w:tcW w:w="3360" w:type="dxa"/>
          </w:tcPr>
          <w:p w14:paraId="0B8401C9" w14:textId="77777777" w:rsidR="000B5C6A" w:rsidRPr="00D2258D" w:rsidRDefault="000B5C6A" w:rsidP="000B5C6A">
            <w:pPr>
              <w:rPr>
                <w:rFonts w:cstheme="minorHAnsi"/>
                <w:sz w:val="20"/>
                <w:szCs w:val="20"/>
              </w:rPr>
            </w:pPr>
            <w:r w:rsidRPr="00D2258D">
              <w:rPr>
                <w:rFonts w:cstheme="minorHAnsi"/>
                <w:sz w:val="20"/>
                <w:szCs w:val="20"/>
              </w:rPr>
              <w:t>Establishes and manages budgets</w:t>
            </w:r>
          </w:p>
        </w:tc>
        <w:tc>
          <w:tcPr>
            <w:tcW w:w="1590" w:type="dxa"/>
          </w:tcPr>
          <w:p w14:paraId="62452BF9" w14:textId="12B576FE"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2B4D2E4" w14:textId="77777777" w:rsidR="000B5C6A" w:rsidRPr="00D2258D" w:rsidRDefault="000B5C6A" w:rsidP="000B5C6A">
            <w:pPr>
              <w:jc w:val="center"/>
              <w:rPr>
                <w:rFonts w:cstheme="minorHAnsi"/>
                <w:sz w:val="20"/>
                <w:szCs w:val="20"/>
              </w:rPr>
            </w:pPr>
          </w:p>
        </w:tc>
        <w:tc>
          <w:tcPr>
            <w:tcW w:w="2160" w:type="dxa"/>
          </w:tcPr>
          <w:p w14:paraId="3E0B29BA" w14:textId="519C3E6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4D4CA78D" w14:textId="3625547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113FBA4" w14:textId="77777777" w:rsidTr="00B03B30">
        <w:tc>
          <w:tcPr>
            <w:tcW w:w="3360" w:type="dxa"/>
          </w:tcPr>
          <w:p w14:paraId="62D5E8F9" w14:textId="77777777" w:rsidR="000B5C6A" w:rsidRPr="00D2258D" w:rsidRDefault="000B5C6A" w:rsidP="000B5C6A">
            <w:pPr>
              <w:rPr>
                <w:rFonts w:cstheme="minorHAnsi"/>
                <w:sz w:val="20"/>
                <w:szCs w:val="20"/>
              </w:rPr>
            </w:pPr>
            <w:r w:rsidRPr="00D2258D">
              <w:rPr>
                <w:rFonts w:cstheme="minorHAnsi"/>
                <w:sz w:val="20"/>
                <w:szCs w:val="20"/>
              </w:rPr>
              <w:t>Submits contribution agreements, miscellaneous receipt information &amp; deposit identification information to BMS/GSSC</w:t>
            </w:r>
          </w:p>
        </w:tc>
        <w:tc>
          <w:tcPr>
            <w:tcW w:w="1590" w:type="dxa"/>
          </w:tcPr>
          <w:p w14:paraId="43579463" w14:textId="36EDA264"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11E48471" w14:textId="77777777" w:rsidR="000B5C6A" w:rsidRPr="00D2258D" w:rsidRDefault="000B5C6A" w:rsidP="000B5C6A">
            <w:pPr>
              <w:jc w:val="center"/>
              <w:rPr>
                <w:rFonts w:cstheme="minorHAnsi"/>
                <w:sz w:val="20"/>
                <w:szCs w:val="20"/>
              </w:rPr>
            </w:pPr>
          </w:p>
        </w:tc>
        <w:tc>
          <w:tcPr>
            <w:tcW w:w="2160" w:type="dxa"/>
          </w:tcPr>
          <w:p w14:paraId="06B99ACD" w14:textId="503F725D"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9746359" w14:textId="158985A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8A8EBB1" w14:textId="77777777" w:rsidTr="00B03B30">
        <w:tc>
          <w:tcPr>
            <w:tcW w:w="3360" w:type="dxa"/>
          </w:tcPr>
          <w:p w14:paraId="16A97FCC" w14:textId="77777777" w:rsidR="000B5C6A" w:rsidRPr="00D2258D" w:rsidRDefault="000B5C6A" w:rsidP="000B5C6A">
            <w:pPr>
              <w:rPr>
                <w:rFonts w:cstheme="minorHAnsi"/>
                <w:sz w:val="20"/>
                <w:szCs w:val="20"/>
              </w:rPr>
            </w:pPr>
            <w:r w:rsidRPr="00D2258D">
              <w:rPr>
                <w:rFonts w:cstheme="minorHAnsi"/>
                <w:sz w:val="20"/>
                <w:szCs w:val="20"/>
              </w:rPr>
              <w:t>Creates/approves contracts in Quantum and sets up GMS</w:t>
            </w:r>
          </w:p>
        </w:tc>
        <w:tc>
          <w:tcPr>
            <w:tcW w:w="1590" w:type="dxa"/>
          </w:tcPr>
          <w:p w14:paraId="7F9877F1" w14:textId="77777777" w:rsidR="000B5C6A" w:rsidRPr="00D2258D" w:rsidRDefault="000B5C6A" w:rsidP="000B5C6A">
            <w:pPr>
              <w:jc w:val="center"/>
              <w:rPr>
                <w:rFonts w:cstheme="minorHAnsi"/>
                <w:sz w:val="20"/>
                <w:szCs w:val="20"/>
              </w:rPr>
            </w:pPr>
          </w:p>
        </w:tc>
        <w:tc>
          <w:tcPr>
            <w:tcW w:w="2070" w:type="dxa"/>
          </w:tcPr>
          <w:p w14:paraId="173E59A8" w14:textId="1A3DFF27"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E02344F" w14:textId="77777777" w:rsidR="000B5C6A" w:rsidRPr="00D2258D" w:rsidRDefault="000B5C6A" w:rsidP="000B5C6A">
            <w:pPr>
              <w:jc w:val="center"/>
              <w:rPr>
                <w:rFonts w:cstheme="minorHAnsi"/>
                <w:sz w:val="20"/>
                <w:szCs w:val="20"/>
              </w:rPr>
            </w:pPr>
          </w:p>
        </w:tc>
        <w:tc>
          <w:tcPr>
            <w:tcW w:w="1710" w:type="dxa"/>
          </w:tcPr>
          <w:p w14:paraId="459D8FF8" w14:textId="77777777" w:rsidR="000B5C6A" w:rsidRPr="00D2258D" w:rsidRDefault="000B5C6A" w:rsidP="000B5C6A">
            <w:pPr>
              <w:jc w:val="center"/>
              <w:rPr>
                <w:rFonts w:cstheme="minorHAnsi"/>
                <w:sz w:val="20"/>
                <w:szCs w:val="20"/>
              </w:rPr>
            </w:pPr>
          </w:p>
        </w:tc>
      </w:tr>
      <w:tr w:rsidR="00E85340" w:rsidRPr="006B79D0" w14:paraId="09849234" w14:textId="77777777" w:rsidTr="00B03B30">
        <w:tc>
          <w:tcPr>
            <w:tcW w:w="3360" w:type="dxa"/>
          </w:tcPr>
          <w:p w14:paraId="1366D3E6" w14:textId="77777777" w:rsidR="000B5C6A" w:rsidRPr="00D2258D" w:rsidRDefault="000B5C6A" w:rsidP="000B5C6A">
            <w:pPr>
              <w:rPr>
                <w:rFonts w:cstheme="minorHAnsi"/>
                <w:sz w:val="20"/>
                <w:szCs w:val="20"/>
              </w:rPr>
            </w:pPr>
            <w:r w:rsidRPr="00D2258D">
              <w:rPr>
                <w:rFonts w:cstheme="minorHAnsi"/>
                <w:sz w:val="20"/>
                <w:szCs w:val="20"/>
              </w:rPr>
              <w:t>Records contributions, contribution receipts, and miscellaneous receipts in Quantum</w:t>
            </w:r>
          </w:p>
        </w:tc>
        <w:tc>
          <w:tcPr>
            <w:tcW w:w="1590" w:type="dxa"/>
          </w:tcPr>
          <w:p w14:paraId="6ADBD5ED" w14:textId="77777777" w:rsidR="000B5C6A" w:rsidRPr="00D2258D" w:rsidRDefault="000B5C6A" w:rsidP="000B5C6A">
            <w:pPr>
              <w:jc w:val="center"/>
              <w:rPr>
                <w:rFonts w:cstheme="minorHAnsi"/>
                <w:sz w:val="20"/>
                <w:szCs w:val="20"/>
              </w:rPr>
            </w:pPr>
          </w:p>
        </w:tc>
        <w:tc>
          <w:tcPr>
            <w:tcW w:w="2070" w:type="dxa"/>
          </w:tcPr>
          <w:p w14:paraId="0EAAC7DB" w14:textId="53CD4919"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48C1DF9F" w14:textId="77777777" w:rsidR="000B5C6A" w:rsidRPr="00D2258D" w:rsidRDefault="000B5C6A" w:rsidP="000B5C6A">
            <w:pPr>
              <w:jc w:val="center"/>
              <w:rPr>
                <w:rFonts w:cstheme="minorHAnsi"/>
                <w:sz w:val="20"/>
                <w:szCs w:val="20"/>
              </w:rPr>
            </w:pPr>
          </w:p>
        </w:tc>
        <w:tc>
          <w:tcPr>
            <w:tcW w:w="1710" w:type="dxa"/>
          </w:tcPr>
          <w:p w14:paraId="50ACA00A" w14:textId="77777777" w:rsidR="000B5C6A" w:rsidRPr="00D2258D" w:rsidRDefault="000B5C6A" w:rsidP="000B5C6A">
            <w:pPr>
              <w:jc w:val="center"/>
              <w:rPr>
                <w:rFonts w:cstheme="minorHAnsi"/>
                <w:sz w:val="20"/>
                <w:szCs w:val="20"/>
              </w:rPr>
            </w:pPr>
          </w:p>
        </w:tc>
      </w:tr>
      <w:tr w:rsidR="00E85340" w:rsidRPr="006B79D0" w14:paraId="6D11E808" w14:textId="77777777" w:rsidTr="00B03B30">
        <w:tc>
          <w:tcPr>
            <w:tcW w:w="3360" w:type="dxa"/>
          </w:tcPr>
          <w:p w14:paraId="3DE97DF4" w14:textId="77777777" w:rsidR="000B5C6A" w:rsidRPr="00D2258D" w:rsidRDefault="000B5C6A" w:rsidP="000B5C6A">
            <w:pPr>
              <w:rPr>
                <w:rFonts w:cstheme="minorHAnsi"/>
                <w:sz w:val="20"/>
                <w:szCs w:val="20"/>
              </w:rPr>
            </w:pPr>
            <w:r w:rsidRPr="00D2258D">
              <w:rPr>
                <w:rFonts w:cstheme="minorHAnsi"/>
                <w:sz w:val="20"/>
                <w:szCs w:val="20"/>
              </w:rPr>
              <w:t xml:space="preserve">Monitors and reconciles donor and staff receivables </w:t>
            </w:r>
          </w:p>
        </w:tc>
        <w:tc>
          <w:tcPr>
            <w:tcW w:w="1590" w:type="dxa"/>
          </w:tcPr>
          <w:p w14:paraId="4191C1CC" w14:textId="77777777" w:rsidR="000B5C6A" w:rsidRPr="00D2258D" w:rsidRDefault="000B5C6A" w:rsidP="000B5C6A">
            <w:pPr>
              <w:jc w:val="center"/>
              <w:rPr>
                <w:rFonts w:cstheme="minorHAnsi"/>
                <w:sz w:val="20"/>
                <w:szCs w:val="20"/>
              </w:rPr>
            </w:pPr>
          </w:p>
        </w:tc>
        <w:tc>
          <w:tcPr>
            <w:tcW w:w="2070" w:type="dxa"/>
          </w:tcPr>
          <w:p w14:paraId="0FC485E1" w14:textId="380EA197"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0150C941" w14:textId="4D1F9CEF"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3458527" w14:textId="7DA5E292"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748445A8" w14:textId="77777777" w:rsidTr="00B03B30">
        <w:tc>
          <w:tcPr>
            <w:tcW w:w="3360" w:type="dxa"/>
          </w:tcPr>
          <w:p w14:paraId="62FF6F75" w14:textId="77777777" w:rsidR="000B5C6A" w:rsidRPr="00D2258D" w:rsidRDefault="000B5C6A" w:rsidP="000B5C6A">
            <w:pPr>
              <w:rPr>
                <w:rFonts w:cstheme="minorHAnsi"/>
                <w:sz w:val="20"/>
                <w:szCs w:val="20"/>
              </w:rPr>
            </w:pPr>
            <w:r w:rsidRPr="00D2258D">
              <w:rPr>
                <w:rFonts w:cstheme="minorHAnsi"/>
                <w:sz w:val="20"/>
                <w:szCs w:val="20"/>
              </w:rPr>
              <w:t>Process donor refunds</w:t>
            </w:r>
          </w:p>
        </w:tc>
        <w:tc>
          <w:tcPr>
            <w:tcW w:w="1590" w:type="dxa"/>
          </w:tcPr>
          <w:p w14:paraId="7C63B6FD" w14:textId="77777777" w:rsidR="000B5C6A" w:rsidRPr="00D2258D" w:rsidRDefault="000B5C6A" w:rsidP="000B5C6A">
            <w:pPr>
              <w:jc w:val="center"/>
              <w:rPr>
                <w:rFonts w:cstheme="minorHAnsi"/>
                <w:sz w:val="20"/>
                <w:szCs w:val="20"/>
              </w:rPr>
            </w:pPr>
          </w:p>
        </w:tc>
        <w:tc>
          <w:tcPr>
            <w:tcW w:w="2070" w:type="dxa"/>
          </w:tcPr>
          <w:p w14:paraId="186FFFCC" w14:textId="2849F2D1"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1BB50091" w14:textId="3EC414BB" w:rsidR="000B5C6A" w:rsidRPr="00D2258D" w:rsidRDefault="000B5C6A" w:rsidP="000B5C6A">
            <w:pPr>
              <w:jc w:val="center"/>
              <w:rPr>
                <w:rFonts w:cstheme="minorHAnsi"/>
                <w:sz w:val="20"/>
                <w:szCs w:val="20"/>
              </w:rPr>
            </w:pPr>
          </w:p>
        </w:tc>
        <w:tc>
          <w:tcPr>
            <w:tcW w:w="1710" w:type="dxa"/>
          </w:tcPr>
          <w:p w14:paraId="09E36AC9" w14:textId="34E8132D" w:rsidR="000B5C6A"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954DA10" w14:textId="77777777" w:rsidTr="00B03B30">
        <w:tc>
          <w:tcPr>
            <w:tcW w:w="3360" w:type="dxa"/>
          </w:tcPr>
          <w:p w14:paraId="1171376B" w14:textId="77777777" w:rsidR="000B5C6A" w:rsidRPr="00D2258D" w:rsidRDefault="000B5C6A" w:rsidP="000B5C6A">
            <w:pPr>
              <w:rPr>
                <w:rFonts w:cstheme="minorHAnsi"/>
                <w:sz w:val="20"/>
                <w:szCs w:val="20"/>
              </w:rPr>
            </w:pPr>
            <w:r w:rsidRPr="00D2258D">
              <w:rPr>
                <w:rFonts w:cstheme="minorHAnsi"/>
                <w:sz w:val="20"/>
                <w:szCs w:val="20"/>
              </w:rPr>
              <w:t xml:space="preserve">Records revenue from agency services </w:t>
            </w:r>
          </w:p>
        </w:tc>
        <w:tc>
          <w:tcPr>
            <w:tcW w:w="1590" w:type="dxa"/>
          </w:tcPr>
          <w:p w14:paraId="3F67C13D" w14:textId="77777777" w:rsidR="000B5C6A" w:rsidRPr="00D2258D" w:rsidRDefault="000B5C6A" w:rsidP="000B5C6A">
            <w:pPr>
              <w:jc w:val="center"/>
              <w:rPr>
                <w:rFonts w:cstheme="minorHAnsi"/>
                <w:sz w:val="20"/>
                <w:szCs w:val="20"/>
              </w:rPr>
            </w:pPr>
          </w:p>
        </w:tc>
        <w:tc>
          <w:tcPr>
            <w:tcW w:w="2070" w:type="dxa"/>
          </w:tcPr>
          <w:p w14:paraId="0A6D11F0" w14:textId="4B6E6A22"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1555D053" w14:textId="5C4FC70B"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1825B31B" w14:textId="5C6EB0B6"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0CA8CE4" w14:textId="77777777" w:rsidTr="00B03B30">
        <w:tc>
          <w:tcPr>
            <w:tcW w:w="3360" w:type="dxa"/>
          </w:tcPr>
          <w:p w14:paraId="473E8E0D" w14:textId="1804776F" w:rsidR="000B5C6A" w:rsidRPr="00D2258D" w:rsidRDefault="000B5C6A" w:rsidP="000B5C6A">
            <w:pPr>
              <w:rPr>
                <w:rFonts w:cstheme="minorHAnsi"/>
                <w:sz w:val="20"/>
                <w:szCs w:val="20"/>
              </w:rPr>
            </w:pPr>
            <w:r w:rsidRPr="00D2258D">
              <w:rPr>
                <w:rFonts w:cstheme="minorHAnsi"/>
                <w:sz w:val="20"/>
                <w:szCs w:val="20"/>
              </w:rPr>
              <w:t>Performs agency services billing</w:t>
            </w:r>
            <w:r w:rsidR="006D2425" w:rsidRPr="00D2258D">
              <w:rPr>
                <w:rFonts w:cstheme="minorHAnsi"/>
                <w:sz w:val="20"/>
                <w:szCs w:val="20"/>
              </w:rPr>
              <w:t xml:space="preserve"> from Agency Service Portal</w:t>
            </w:r>
            <w:r w:rsidR="00E77444" w:rsidRPr="00D2258D">
              <w:rPr>
                <w:rFonts w:cstheme="minorHAnsi"/>
                <w:sz w:val="20"/>
                <w:szCs w:val="20"/>
              </w:rPr>
              <w:t>.</w:t>
            </w:r>
          </w:p>
        </w:tc>
        <w:tc>
          <w:tcPr>
            <w:tcW w:w="1590" w:type="dxa"/>
          </w:tcPr>
          <w:p w14:paraId="45DC547A" w14:textId="77777777" w:rsidR="000B5C6A" w:rsidRPr="00D2258D" w:rsidRDefault="000B5C6A" w:rsidP="000B5C6A">
            <w:pPr>
              <w:jc w:val="center"/>
              <w:rPr>
                <w:rFonts w:cstheme="minorHAnsi"/>
                <w:sz w:val="20"/>
                <w:szCs w:val="20"/>
              </w:rPr>
            </w:pPr>
          </w:p>
        </w:tc>
        <w:tc>
          <w:tcPr>
            <w:tcW w:w="2070" w:type="dxa"/>
          </w:tcPr>
          <w:p w14:paraId="30A1984D" w14:textId="0B2A3BFC" w:rsidR="000B5C6A" w:rsidRPr="00D2258D" w:rsidRDefault="000B5C6A" w:rsidP="000B5C6A">
            <w:pPr>
              <w:jc w:val="center"/>
              <w:rPr>
                <w:rFonts w:cstheme="minorHAnsi"/>
                <w:sz w:val="20"/>
                <w:szCs w:val="20"/>
              </w:rPr>
            </w:pPr>
            <w:r w:rsidRPr="00D2258D">
              <w:rPr>
                <w:rFonts w:cstheme="minorHAnsi"/>
                <w:sz w:val="20"/>
                <w:szCs w:val="20"/>
              </w:rPr>
              <w:t>Yes</w:t>
            </w:r>
            <w:r w:rsidR="007431E8" w:rsidRPr="00D2258D">
              <w:rPr>
                <w:rFonts w:cstheme="minorHAnsi"/>
                <w:sz w:val="20"/>
                <w:szCs w:val="20"/>
              </w:rPr>
              <w:t xml:space="preserve"> </w:t>
            </w:r>
            <w:r w:rsidR="007431E8" w:rsidRPr="00D2258D">
              <w:rPr>
                <w:rFonts w:cstheme="minorHAnsi"/>
                <w:sz w:val="18"/>
                <w:szCs w:val="18"/>
              </w:rPr>
              <w:t>(for OPCW)</w:t>
            </w:r>
          </w:p>
        </w:tc>
        <w:tc>
          <w:tcPr>
            <w:tcW w:w="2160" w:type="dxa"/>
          </w:tcPr>
          <w:p w14:paraId="425C7C7E" w14:textId="7942F971"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120C24A" w14:textId="092B50B0"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9C74DA7" w14:textId="77777777" w:rsidTr="00B03B30">
        <w:tc>
          <w:tcPr>
            <w:tcW w:w="3360" w:type="dxa"/>
          </w:tcPr>
          <w:p w14:paraId="458BD1FB" w14:textId="77777777" w:rsidR="000B5C6A" w:rsidRPr="00D2258D" w:rsidRDefault="000B5C6A" w:rsidP="000B5C6A">
            <w:pPr>
              <w:rPr>
                <w:rFonts w:cstheme="minorHAnsi"/>
                <w:sz w:val="20"/>
                <w:szCs w:val="20"/>
              </w:rPr>
            </w:pPr>
            <w:r w:rsidRPr="00D2258D">
              <w:rPr>
                <w:rFonts w:cstheme="minorHAnsi"/>
                <w:sz w:val="20"/>
                <w:szCs w:val="20"/>
              </w:rPr>
              <w:t>Reconciles Service Clearing Account</w:t>
            </w:r>
          </w:p>
        </w:tc>
        <w:tc>
          <w:tcPr>
            <w:tcW w:w="1590" w:type="dxa"/>
          </w:tcPr>
          <w:p w14:paraId="20036B25" w14:textId="77777777" w:rsidR="000B5C6A" w:rsidRPr="00D2258D" w:rsidRDefault="000B5C6A" w:rsidP="000B5C6A">
            <w:pPr>
              <w:jc w:val="center"/>
              <w:rPr>
                <w:rFonts w:cstheme="minorHAnsi"/>
                <w:sz w:val="20"/>
                <w:szCs w:val="20"/>
              </w:rPr>
            </w:pPr>
          </w:p>
        </w:tc>
        <w:tc>
          <w:tcPr>
            <w:tcW w:w="2070" w:type="dxa"/>
          </w:tcPr>
          <w:p w14:paraId="3E321F91" w14:textId="30B15B28" w:rsidR="000B5C6A" w:rsidRPr="00D2258D" w:rsidRDefault="000B5C6A" w:rsidP="000B5C6A">
            <w:pPr>
              <w:jc w:val="center"/>
              <w:rPr>
                <w:rFonts w:cstheme="minorHAnsi"/>
                <w:sz w:val="20"/>
                <w:szCs w:val="20"/>
              </w:rPr>
            </w:pPr>
            <w:r w:rsidRPr="00D2258D">
              <w:rPr>
                <w:rFonts w:cstheme="minorHAnsi"/>
                <w:sz w:val="20"/>
                <w:szCs w:val="20"/>
              </w:rPr>
              <w:t>Yes</w:t>
            </w:r>
          </w:p>
        </w:tc>
        <w:tc>
          <w:tcPr>
            <w:tcW w:w="2160" w:type="dxa"/>
          </w:tcPr>
          <w:p w14:paraId="23F1CF33" w14:textId="77777777" w:rsidR="000B5C6A" w:rsidRPr="00D2258D" w:rsidRDefault="000B5C6A" w:rsidP="000B5C6A">
            <w:pPr>
              <w:jc w:val="center"/>
              <w:rPr>
                <w:rFonts w:cstheme="minorHAnsi"/>
                <w:sz w:val="20"/>
                <w:szCs w:val="20"/>
              </w:rPr>
            </w:pPr>
          </w:p>
        </w:tc>
        <w:tc>
          <w:tcPr>
            <w:tcW w:w="1710" w:type="dxa"/>
          </w:tcPr>
          <w:p w14:paraId="0EA6A2FC" w14:textId="77777777" w:rsidR="000B5C6A" w:rsidRPr="00D2258D" w:rsidRDefault="000B5C6A" w:rsidP="000B5C6A">
            <w:pPr>
              <w:jc w:val="center"/>
              <w:rPr>
                <w:rFonts w:cstheme="minorHAnsi"/>
                <w:sz w:val="20"/>
                <w:szCs w:val="20"/>
              </w:rPr>
            </w:pPr>
          </w:p>
        </w:tc>
      </w:tr>
      <w:tr w:rsidR="00E85340" w:rsidRPr="006B79D0" w14:paraId="5DDD74EC" w14:textId="77777777" w:rsidTr="00B03B30">
        <w:tc>
          <w:tcPr>
            <w:tcW w:w="3360" w:type="dxa"/>
          </w:tcPr>
          <w:p w14:paraId="5DFACAAB" w14:textId="77777777" w:rsidR="000B5C6A" w:rsidRPr="00D2258D" w:rsidRDefault="000B5C6A" w:rsidP="000B5C6A">
            <w:pPr>
              <w:rPr>
                <w:rFonts w:cstheme="minorHAnsi"/>
                <w:sz w:val="20"/>
                <w:szCs w:val="20"/>
              </w:rPr>
            </w:pPr>
            <w:r w:rsidRPr="00D2258D">
              <w:rPr>
                <w:rFonts w:cstheme="minorHAnsi"/>
                <w:sz w:val="20"/>
                <w:szCs w:val="20"/>
              </w:rPr>
              <w:t>Prepares bank reconciliations</w:t>
            </w:r>
          </w:p>
        </w:tc>
        <w:tc>
          <w:tcPr>
            <w:tcW w:w="1590" w:type="dxa"/>
          </w:tcPr>
          <w:p w14:paraId="793DFB80" w14:textId="77777777" w:rsidR="000B5C6A" w:rsidRPr="00D2258D" w:rsidRDefault="000B5C6A" w:rsidP="000B5C6A">
            <w:pPr>
              <w:jc w:val="center"/>
              <w:rPr>
                <w:rFonts w:cstheme="minorHAnsi"/>
                <w:sz w:val="20"/>
                <w:szCs w:val="20"/>
              </w:rPr>
            </w:pPr>
          </w:p>
        </w:tc>
        <w:tc>
          <w:tcPr>
            <w:tcW w:w="2070" w:type="dxa"/>
          </w:tcPr>
          <w:p w14:paraId="59E66797" w14:textId="74396793" w:rsidR="000B5C6A" w:rsidRPr="00D2258D" w:rsidRDefault="00A03BF5" w:rsidP="000B5C6A">
            <w:pPr>
              <w:jc w:val="center"/>
              <w:rPr>
                <w:rFonts w:cstheme="minorHAnsi"/>
                <w:sz w:val="20"/>
                <w:szCs w:val="20"/>
              </w:rPr>
            </w:pPr>
            <w:r w:rsidRPr="00D2258D">
              <w:rPr>
                <w:rFonts w:cstheme="minorHAnsi"/>
                <w:sz w:val="20"/>
                <w:szCs w:val="20"/>
              </w:rPr>
              <w:t>Yes</w:t>
            </w:r>
          </w:p>
        </w:tc>
        <w:tc>
          <w:tcPr>
            <w:tcW w:w="2160" w:type="dxa"/>
          </w:tcPr>
          <w:p w14:paraId="77210310" w14:textId="77777777" w:rsidR="000B5C6A" w:rsidRPr="00D2258D" w:rsidRDefault="000B5C6A" w:rsidP="000B5C6A">
            <w:pPr>
              <w:jc w:val="center"/>
              <w:rPr>
                <w:rFonts w:cstheme="minorHAnsi"/>
                <w:sz w:val="20"/>
                <w:szCs w:val="20"/>
              </w:rPr>
            </w:pPr>
          </w:p>
        </w:tc>
        <w:tc>
          <w:tcPr>
            <w:tcW w:w="1710" w:type="dxa"/>
          </w:tcPr>
          <w:p w14:paraId="487F7CA4" w14:textId="77777777" w:rsidR="000B5C6A" w:rsidRPr="00D2258D" w:rsidRDefault="000B5C6A" w:rsidP="000B5C6A">
            <w:pPr>
              <w:jc w:val="center"/>
              <w:rPr>
                <w:rFonts w:cstheme="minorHAnsi"/>
                <w:sz w:val="20"/>
                <w:szCs w:val="20"/>
              </w:rPr>
            </w:pPr>
          </w:p>
        </w:tc>
      </w:tr>
      <w:tr w:rsidR="00E85340" w:rsidRPr="006B79D0" w14:paraId="48D4CA6D" w14:textId="77777777" w:rsidTr="00B03B30">
        <w:tc>
          <w:tcPr>
            <w:tcW w:w="3360" w:type="dxa"/>
          </w:tcPr>
          <w:p w14:paraId="13DB574E" w14:textId="77777777" w:rsidR="000B5C6A" w:rsidRPr="00D2258D" w:rsidRDefault="000B5C6A" w:rsidP="000B5C6A">
            <w:pPr>
              <w:rPr>
                <w:rFonts w:cstheme="minorHAnsi"/>
                <w:sz w:val="20"/>
                <w:szCs w:val="20"/>
              </w:rPr>
            </w:pPr>
            <w:r w:rsidRPr="00D2258D">
              <w:rPr>
                <w:rFonts w:cstheme="minorHAnsi"/>
                <w:sz w:val="20"/>
                <w:szCs w:val="20"/>
              </w:rPr>
              <w:t>Manages VAT claims &amp; reimbursements</w:t>
            </w:r>
          </w:p>
        </w:tc>
        <w:tc>
          <w:tcPr>
            <w:tcW w:w="1590" w:type="dxa"/>
          </w:tcPr>
          <w:p w14:paraId="60B10F72" w14:textId="2160949F"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03AA6687" w14:textId="77777777" w:rsidR="000B5C6A" w:rsidRPr="00D2258D" w:rsidRDefault="000B5C6A" w:rsidP="000B5C6A">
            <w:pPr>
              <w:jc w:val="center"/>
              <w:rPr>
                <w:rFonts w:cstheme="minorHAnsi"/>
                <w:sz w:val="20"/>
                <w:szCs w:val="20"/>
              </w:rPr>
            </w:pPr>
          </w:p>
        </w:tc>
        <w:tc>
          <w:tcPr>
            <w:tcW w:w="2160" w:type="dxa"/>
          </w:tcPr>
          <w:p w14:paraId="3B2C01EA" w14:textId="5642DDDE"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225242AE" w14:textId="4FE881F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1226D84" w14:textId="77777777" w:rsidTr="00B03B30">
        <w:tc>
          <w:tcPr>
            <w:tcW w:w="3360" w:type="dxa"/>
          </w:tcPr>
          <w:p w14:paraId="2666A0CD" w14:textId="0103D9BF" w:rsidR="000B5C6A" w:rsidRPr="00D2258D" w:rsidRDefault="000B5C6A" w:rsidP="363CA695">
            <w:pPr>
              <w:rPr>
                <w:sz w:val="20"/>
                <w:szCs w:val="20"/>
              </w:rPr>
            </w:pPr>
            <w:r w:rsidRPr="00D2258D">
              <w:rPr>
                <w:sz w:val="20"/>
                <w:szCs w:val="20"/>
              </w:rPr>
              <w:t>Performs UN agency common service management, administration and reporting, including billing, recording transactions, monitoring and tracking projects and budget spending; and preparing periodic reports</w:t>
            </w:r>
          </w:p>
        </w:tc>
        <w:tc>
          <w:tcPr>
            <w:tcW w:w="1590" w:type="dxa"/>
          </w:tcPr>
          <w:p w14:paraId="4A338CD9" w14:textId="05E7C881" w:rsidR="000B5C6A" w:rsidRPr="00D2258D" w:rsidRDefault="00F2100B" w:rsidP="000B5C6A">
            <w:pPr>
              <w:jc w:val="center"/>
              <w:rPr>
                <w:rFonts w:cstheme="minorHAnsi"/>
                <w:sz w:val="20"/>
                <w:szCs w:val="20"/>
              </w:rPr>
            </w:pPr>
            <w:r w:rsidRPr="00D2258D">
              <w:rPr>
                <w:rFonts w:cstheme="minorHAnsi"/>
                <w:sz w:val="20"/>
                <w:szCs w:val="20"/>
              </w:rPr>
              <w:t>Yes</w:t>
            </w:r>
          </w:p>
        </w:tc>
        <w:tc>
          <w:tcPr>
            <w:tcW w:w="2070" w:type="dxa"/>
          </w:tcPr>
          <w:p w14:paraId="36AF3966" w14:textId="719A3C28" w:rsidR="000B5C6A" w:rsidRPr="00D2258D" w:rsidRDefault="000B5C6A" w:rsidP="000B5C6A">
            <w:pPr>
              <w:jc w:val="center"/>
              <w:rPr>
                <w:rFonts w:cstheme="minorHAnsi"/>
                <w:sz w:val="20"/>
                <w:szCs w:val="20"/>
              </w:rPr>
            </w:pPr>
          </w:p>
        </w:tc>
        <w:tc>
          <w:tcPr>
            <w:tcW w:w="2160" w:type="dxa"/>
          </w:tcPr>
          <w:p w14:paraId="7B39CC5A" w14:textId="14F6EABE"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736191C7" w14:textId="6BF4D96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05617F73" w14:textId="77777777" w:rsidTr="00B03B30">
        <w:tc>
          <w:tcPr>
            <w:tcW w:w="3360" w:type="dxa"/>
          </w:tcPr>
          <w:p w14:paraId="20D01BED" w14:textId="77777777" w:rsidR="000B5C6A" w:rsidRPr="00D2258D" w:rsidRDefault="000B5C6A" w:rsidP="000B5C6A">
            <w:pPr>
              <w:rPr>
                <w:rFonts w:cstheme="minorHAnsi"/>
                <w:sz w:val="20"/>
                <w:szCs w:val="20"/>
              </w:rPr>
            </w:pPr>
            <w:r w:rsidRPr="00D2258D">
              <w:rPr>
                <w:sz w:val="20"/>
                <w:szCs w:val="20"/>
              </w:rPr>
              <w:t>Ensures payment request is per the approved Annual Work Plan and budget and meets the 3 criteria for releasing advances</w:t>
            </w:r>
          </w:p>
        </w:tc>
        <w:tc>
          <w:tcPr>
            <w:tcW w:w="1590" w:type="dxa"/>
          </w:tcPr>
          <w:p w14:paraId="6ACC04B3" w14:textId="19864F09"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FDD35CF" w14:textId="77777777" w:rsidR="000B5C6A" w:rsidRPr="00D2258D" w:rsidRDefault="000B5C6A" w:rsidP="000B5C6A">
            <w:pPr>
              <w:jc w:val="center"/>
              <w:rPr>
                <w:rFonts w:cstheme="minorHAnsi"/>
                <w:sz w:val="20"/>
                <w:szCs w:val="20"/>
              </w:rPr>
            </w:pPr>
          </w:p>
        </w:tc>
        <w:tc>
          <w:tcPr>
            <w:tcW w:w="2160" w:type="dxa"/>
          </w:tcPr>
          <w:p w14:paraId="54662249" w14:textId="18E67456" w:rsidR="000B5C6A" w:rsidRPr="00D2258D" w:rsidRDefault="000B5C6A" w:rsidP="000B5C6A">
            <w:pPr>
              <w:jc w:val="center"/>
              <w:rPr>
                <w:rFonts w:cstheme="minorHAnsi"/>
                <w:sz w:val="20"/>
                <w:szCs w:val="20"/>
              </w:rPr>
            </w:pPr>
            <w:r w:rsidRPr="00D2258D">
              <w:rPr>
                <w:rFonts w:cstheme="minorHAnsi"/>
                <w:sz w:val="20"/>
                <w:szCs w:val="20"/>
              </w:rPr>
              <w:t>Yes</w:t>
            </w:r>
          </w:p>
        </w:tc>
        <w:tc>
          <w:tcPr>
            <w:tcW w:w="1710" w:type="dxa"/>
          </w:tcPr>
          <w:p w14:paraId="6D3E2D6C" w14:textId="7F6C128F"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2A108BA2" w14:textId="77777777" w:rsidTr="00B03B30">
        <w:tc>
          <w:tcPr>
            <w:tcW w:w="3360" w:type="dxa"/>
          </w:tcPr>
          <w:p w14:paraId="086311F5" w14:textId="77777777" w:rsidR="000B5C6A" w:rsidRPr="00D2258D" w:rsidRDefault="000B5C6A" w:rsidP="000B5C6A">
            <w:pPr>
              <w:rPr>
                <w:rFonts w:cstheme="minorHAnsi"/>
                <w:sz w:val="20"/>
                <w:szCs w:val="20"/>
              </w:rPr>
            </w:pPr>
            <w:r w:rsidRPr="00D2258D">
              <w:rPr>
                <w:rFonts w:cstheme="minorHAnsi"/>
                <w:sz w:val="20"/>
                <w:szCs w:val="20"/>
              </w:rPr>
              <w:t>Produces manual payments (exceptional)</w:t>
            </w:r>
          </w:p>
        </w:tc>
        <w:tc>
          <w:tcPr>
            <w:tcW w:w="1590" w:type="dxa"/>
          </w:tcPr>
          <w:p w14:paraId="5BB499CD" w14:textId="3F07DC38"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3A7D3759" w14:textId="77777777" w:rsidR="000B5C6A" w:rsidRPr="00D2258D" w:rsidRDefault="000B5C6A" w:rsidP="000B5C6A">
            <w:pPr>
              <w:jc w:val="center"/>
              <w:rPr>
                <w:rFonts w:cstheme="minorHAnsi"/>
                <w:sz w:val="20"/>
                <w:szCs w:val="20"/>
              </w:rPr>
            </w:pPr>
          </w:p>
        </w:tc>
        <w:tc>
          <w:tcPr>
            <w:tcW w:w="2160" w:type="dxa"/>
          </w:tcPr>
          <w:p w14:paraId="70C11E0E" w14:textId="77777777" w:rsidR="000B5C6A" w:rsidRPr="00D2258D" w:rsidRDefault="000B5C6A" w:rsidP="000B5C6A">
            <w:pPr>
              <w:jc w:val="center"/>
              <w:rPr>
                <w:rFonts w:cstheme="minorHAnsi"/>
                <w:sz w:val="20"/>
                <w:szCs w:val="20"/>
              </w:rPr>
            </w:pPr>
          </w:p>
        </w:tc>
        <w:tc>
          <w:tcPr>
            <w:tcW w:w="1710" w:type="dxa"/>
          </w:tcPr>
          <w:p w14:paraId="3BAAFF4A" w14:textId="48ACEF8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12EE05A5" w14:textId="77777777" w:rsidTr="00B03B30">
        <w:tc>
          <w:tcPr>
            <w:tcW w:w="3360" w:type="dxa"/>
          </w:tcPr>
          <w:p w14:paraId="1E83249F" w14:textId="6D9628B3" w:rsidR="007431E8" w:rsidRPr="00D2258D" w:rsidRDefault="007431E8" w:rsidP="000B5C6A">
            <w:pPr>
              <w:rPr>
                <w:rFonts w:cstheme="minorHAnsi"/>
                <w:sz w:val="20"/>
                <w:szCs w:val="20"/>
              </w:rPr>
            </w:pPr>
            <w:r w:rsidRPr="00D2258D">
              <w:rPr>
                <w:rStyle w:val="cf01"/>
                <w:rFonts w:asciiTheme="minorHAnsi" w:hAnsiTheme="minorHAnsi" w:cstheme="minorHAnsi"/>
                <w:sz w:val="20"/>
                <w:szCs w:val="20"/>
              </w:rPr>
              <w:t>Manages cancellation for rejected and returned payments</w:t>
            </w:r>
          </w:p>
        </w:tc>
        <w:tc>
          <w:tcPr>
            <w:tcW w:w="1590" w:type="dxa"/>
          </w:tcPr>
          <w:p w14:paraId="2820BC82" w14:textId="77777777" w:rsidR="007431E8" w:rsidRPr="00D2258D" w:rsidRDefault="007431E8" w:rsidP="000B5C6A">
            <w:pPr>
              <w:jc w:val="center"/>
              <w:rPr>
                <w:rFonts w:cstheme="minorHAnsi"/>
                <w:sz w:val="20"/>
                <w:szCs w:val="20"/>
              </w:rPr>
            </w:pPr>
          </w:p>
        </w:tc>
        <w:tc>
          <w:tcPr>
            <w:tcW w:w="2070" w:type="dxa"/>
          </w:tcPr>
          <w:p w14:paraId="0AEC8B6A" w14:textId="05785BA5" w:rsidR="007431E8" w:rsidRPr="00D2258D" w:rsidRDefault="007431E8" w:rsidP="000B5C6A">
            <w:pPr>
              <w:jc w:val="center"/>
              <w:rPr>
                <w:rFonts w:cstheme="minorHAnsi"/>
                <w:sz w:val="20"/>
                <w:szCs w:val="20"/>
              </w:rPr>
            </w:pPr>
            <w:r w:rsidRPr="00D2258D">
              <w:rPr>
                <w:rFonts w:cstheme="minorHAnsi"/>
                <w:sz w:val="20"/>
                <w:szCs w:val="20"/>
              </w:rPr>
              <w:t>Yes</w:t>
            </w:r>
          </w:p>
        </w:tc>
        <w:tc>
          <w:tcPr>
            <w:tcW w:w="2160" w:type="dxa"/>
          </w:tcPr>
          <w:p w14:paraId="2FAD2039" w14:textId="77777777" w:rsidR="007431E8" w:rsidRPr="00D2258D" w:rsidRDefault="007431E8" w:rsidP="000B5C6A">
            <w:pPr>
              <w:jc w:val="center"/>
              <w:rPr>
                <w:rFonts w:cstheme="minorHAnsi"/>
                <w:sz w:val="20"/>
                <w:szCs w:val="20"/>
              </w:rPr>
            </w:pPr>
          </w:p>
        </w:tc>
        <w:tc>
          <w:tcPr>
            <w:tcW w:w="1710" w:type="dxa"/>
          </w:tcPr>
          <w:p w14:paraId="1FBA05D2" w14:textId="33F89E49"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0D56C33E" w14:textId="77777777" w:rsidTr="00B03B30">
        <w:tc>
          <w:tcPr>
            <w:tcW w:w="3360" w:type="dxa"/>
          </w:tcPr>
          <w:p w14:paraId="253791C9" w14:textId="05B50DDF" w:rsidR="007431E8" w:rsidRPr="00D2258D" w:rsidRDefault="007431E8" w:rsidP="000B5C6A">
            <w:pPr>
              <w:rPr>
                <w:rStyle w:val="cf01"/>
                <w:rFonts w:asciiTheme="minorHAnsi" w:hAnsiTheme="minorHAnsi" w:cstheme="minorHAnsi"/>
                <w:sz w:val="20"/>
                <w:szCs w:val="20"/>
              </w:rPr>
            </w:pPr>
            <w:r w:rsidRPr="00D2258D">
              <w:rPr>
                <w:rStyle w:val="cf01"/>
                <w:rFonts w:asciiTheme="minorHAnsi" w:hAnsiTheme="minorHAnsi" w:cstheme="minorHAnsi"/>
                <w:sz w:val="20"/>
                <w:szCs w:val="20"/>
              </w:rPr>
              <w:t>Creates credit memos and amends invoices to trigger repayment</w:t>
            </w:r>
          </w:p>
        </w:tc>
        <w:tc>
          <w:tcPr>
            <w:tcW w:w="1590" w:type="dxa"/>
          </w:tcPr>
          <w:p w14:paraId="5FE09419" w14:textId="319054DB" w:rsidR="007431E8" w:rsidRPr="00D2258D" w:rsidRDefault="007431E8" w:rsidP="000B5C6A">
            <w:pPr>
              <w:jc w:val="center"/>
              <w:rPr>
                <w:rFonts w:cstheme="minorHAnsi"/>
                <w:sz w:val="20"/>
                <w:szCs w:val="20"/>
              </w:rPr>
            </w:pPr>
            <w:r w:rsidRPr="00D2258D">
              <w:rPr>
                <w:rFonts w:cstheme="minorHAnsi"/>
                <w:sz w:val="20"/>
                <w:szCs w:val="20"/>
              </w:rPr>
              <w:t>Yes</w:t>
            </w:r>
          </w:p>
        </w:tc>
        <w:tc>
          <w:tcPr>
            <w:tcW w:w="2070" w:type="dxa"/>
          </w:tcPr>
          <w:p w14:paraId="459E793E" w14:textId="77777777" w:rsidR="007431E8" w:rsidRPr="00D2258D" w:rsidRDefault="007431E8" w:rsidP="000B5C6A">
            <w:pPr>
              <w:jc w:val="center"/>
              <w:rPr>
                <w:rFonts w:cstheme="minorHAnsi"/>
                <w:sz w:val="20"/>
                <w:szCs w:val="20"/>
              </w:rPr>
            </w:pPr>
          </w:p>
        </w:tc>
        <w:tc>
          <w:tcPr>
            <w:tcW w:w="2160" w:type="dxa"/>
          </w:tcPr>
          <w:p w14:paraId="6B9E2A85" w14:textId="77777777" w:rsidR="007431E8" w:rsidRPr="00D2258D" w:rsidRDefault="007431E8" w:rsidP="000B5C6A">
            <w:pPr>
              <w:jc w:val="center"/>
              <w:rPr>
                <w:rFonts w:cstheme="minorHAnsi"/>
                <w:sz w:val="20"/>
                <w:szCs w:val="20"/>
              </w:rPr>
            </w:pPr>
          </w:p>
        </w:tc>
        <w:tc>
          <w:tcPr>
            <w:tcW w:w="1710" w:type="dxa"/>
          </w:tcPr>
          <w:p w14:paraId="2DD218D8" w14:textId="09B9DAD2"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8A3FA5E" w14:textId="77777777" w:rsidTr="00B03B30">
        <w:tc>
          <w:tcPr>
            <w:tcW w:w="3360" w:type="dxa"/>
          </w:tcPr>
          <w:p w14:paraId="37D19801" w14:textId="5E774523" w:rsidR="007431E8" w:rsidRPr="00D2258D" w:rsidRDefault="007431E8" w:rsidP="000B5C6A">
            <w:pPr>
              <w:rPr>
                <w:rStyle w:val="cf01"/>
                <w:rFonts w:asciiTheme="minorHAnsi" w:hAnsiTheme="minorHAnsi" w:cstheme="minorHAnsi"/>
                <w:sz w:val="20"/>
                <w:szCs w:val="20"/>
              </w:rPr>
            </w:pPr>
            <w:r w:rsidRPr="00D2258D">
              <w:rPr>
                <w:rStyle w:val="cf01"/>
                <w:rFonts w:asciiTheme="minorHAnsi" w:hAnsiTheme="minorHAnsi" w:cstheme="minorHAnsi"/>
                <w:sz w:val="20"/>
                <w:szCs w:val="20"/>
              </w:rPr>
              <w:t>Applies credit memos</w:t>
            </w:r>
          </w:p>
        </w:tc>
        <w:tc>
          <w:tcPr>
            <w:tcW w:w="1590" w:type="dxa"/>
          </w:tcPr>
          <w:p w14:paraId="7EC13786" w14:textId="77777777" w:rsidR="007431E8" w:rsidRPr="00D2258D" w:rsidRDefault="007431E8" w:rsidP="000B5C6A">
            <w:pPr>
              <w:jc w:val="center"/>
              <w:rPr>
                <w:rFonts w:cstheme="minorHAnsi"/>
                <w:sz w:val="20"/>
                <w:szCs w:val="20"/>
              </w:rPr>
            </w:pPr>
          </w:p>
        </w:tc>
        <w:tc>
          <w:tcPr>
            <w:tcW w:w="2070" w:type="dxa"/>
          </w:tcPr>
          <w:p w14:paraId="557C15BA" w14:textId="61F39192" w:rsidR="007431E8" w:rsidRPr="00D2258D" w:rsidRDefault="007431E8" w:rsidP="000B5C6A">
            <w:pPr>
              <w:jc w:val="center"/>
              <w:rPr>
                <w:rFonts w:cstheme="minorHAnsi"/>
                <w:sz w:val="20"/>
                <w:szCs w:val="20"/>
              </w:rPr>
            </w:pPr>
            <w:r w:rsidRPr="00D2258D">
              <w:rPr>
                <w:rFonts w:cstheme="minorHAnsi"/>
                <w:sz w:val="20"/>
                <w:szCs w:val="20"/>
              </w:rPr>
              <w:t>Yes</w:t>
            </w:r>
          </w:p>
        </w:tc>
        <w:tc>
          <w:tcPr>
            <w:tcW w:w="2160" w:type="dxa"/>
          </w:tcPr>
          <w:p w14:paraId="145A58C4" w14:textId="77777777" w:rsidR="007431E8" w:rsidRPr="00D2258D" w:rsidRDefault="007431E8" w:rsidP="000B5C6A">
            <w:pPr>
              <w:jc w:val="center"/>
              <w:rPr>
                <w:rFonts w:cstheme="minorHAnsi"/>
                <w:sz w:val="20"/>
                <w:szCs w:val="20"/>
              </w:rPr>
            </w:pPr>
          </w:p>
        </w:tc>
        <w:tc>
          <w:tcPr>
            <w:tcW w:w="1710" w:type="dxa"/>
          </w:tcPr>
          <w:p w14:paraId="690C02A9" w14:textId="167D712F"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7DD3B4A1" w14:textId="77777777" w:rsidTr="00B03B30">
        <w:tc>
          <w:tcPr>
            <w:tcW w:w="3360" w:type="dxa"/>
          </w:tcPr>
          <w:p w14:paraId="57C97FD8" w14:textId="77777777" w:rsidR="000B5C6A" w:rsidRPr="00D2258D" w:rsidRDefault="000B5C6A" w:rsidP="000B5C6A">
            <w:pPr>
              <w:rPr>
                <w:rFonts w:cstheme="minorHAnsi"/>
                <w:sz w:val="20"/>
                <w:szCs w:val="20"/>
              </w:rPr>
            </w:pPr>
            <w:r w:rsidRPr="00D2258D">
              <w:rPr>
                <w:rFonts w:cstheme="minorHAnsi"/>
                <w:sz w:val="20"/>
                <w:szCs w:val="20"/>
              </w:rPr>
              <w:t>Performs cash management functions, including forecasting, monitoring, and safeguarding (safes, petty cash etc.)</w:t>
            </w:r>
          </w:p>
        </w:tc>
        <w:tc>
          <w:tcPr>
            <w:tcW w:w="1590" w:type="dxa"/>
          </w:tcPr>
          <w:p w14:paraId="683A71EF" w14:textId="084C369A"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2531D051" w14:textId="77777777" w:rsidR="000B5C6A" w:rsidRPr="00D2258D" w:rsidRDefault="000B5C6A" w:rsidP="000B5C6A">
            <w:pPr>
              <w:jc w:val="center"/>
              <w:rPr>
                <w:rFonts w:cstheme="minorHAnsi"/>
                <w:sz w:val="20"/>
                <w:szCs w:val="20"/>
              </w:rPr>
            </w:pPr>
          </w:p>
        </w:tc>
        <w:tc>
          <w:tcPr>
            <w:tcW w:w="2160" w:type="dxa"/>
          </w:tcPr>
          <w:p w14:paraId="03117BE3" w14:textId="77777777" w:rsidR="000B5C6A" w:rsidRPr="00D2258D" w:rsidRDefault="000B5C6A" w:rsidP="000B5C6A">
            <w:pPr>
              <w:jc w:val="center"/>
              <w:rPr>
                <w:rFonts w:cstheme="minorHAnsi"/>
                <w:sz w:val="20"/>
                <w:szCs w:val="20"/>
              </w:rPr>
            </w:pPr>
          </w:p>
        </w:tc>
        <w:tc>
          <w:tcPr>
            <w:tcW w:w="1710" w:type="dxa"/>
          </w:tcPr>
          <w:p w14:paraId="50CA5961" w14:textId="6B3D8817" w:rsidR="000B5C6A" w:rsidRPr="00D2258D" w:rsidRDefault="000B5C6A" w:rsidP="000B5C6A">
            <w:pPr>
              <w:jc w:val="center"/>
              <w:rPr>
                <w:rFonts w:cstheme="minorHAnsi"/>
                <w:sz w:val="20"/>
                <w:szCs w:val="20"/>
              </w:rPr>
            </w:pPr>
            <w:r w:rsidRPr="00D2258D">
              <w:rPr>
                <w:rFonts w:cstheme="minorHAnsi"/>
                <w:sz w:val="20"/>
                <w:szCs w:val="20"/>
              </w:rPr>
              <w:t>Yes</w:t>
            </w:r>
          </w:p>
        </w:tc>
      </w:tr>
      <w:tr w:rsidR="00E85340" w:rsidRPr="006B79D0" w14:paraId="48FCE5BE" w14:textId="77777777" w:rsidTr="00B03B30">
        <w:tc>
          <w:tcPr>
            <w:tcW w:w="3360" w:type="dxa"/>
          </w:tcPr>
          <w:p w14:paraId="3DC585E4" w14:textId="77777777" w:rsidR="000B5C6A" w:rsidRPr="00D2258D" w:rsidRDefault="000B5C6A" w:rsidP="000B5C6A">
            <w:pPr>
              <w:rPr>
                <w:rFonts w:cstheme="minorHAnsi"/>
                <w:sz w:val="20"/>
                <w:szCs w:val="20"/>
              </w:rPr>
            </w:pPr>
            <w:r w:rsidRPr="00D2258D">
              <w:rPr>
                <w:rFonts w:cstheme="minorHAnsi"/>
                <w:sz w:val="20"/>
                <w:szCs w:val="20"/>
              </w:rPr>
              <w:t>Performs petty cash reconciliations</w:t>
            </w:r>
          </w:p>
        </w:tc>
        <w:tc>
          <w:tcPr>
            <w:tcW w:w="1590" w:type="dxa"/>
          </w:tcPr>
          <w:p w14:paraId="5DAE49FA" w14:textId="599F834B" w:rsidR="000B5C6A" w:rsidRPr="00D2258D" w:rsidRDefault="000B5C6A" w:rsidP="000B5C6A">
            <w:pPr>
              <w:jc w:val="center"/>
              <w:rPr>
                <w:rFonts w:cstheme="minorHAnsi"/>
                <w:sz w:val="20"/>
                <w:szCs w:val="20"/>
              </w:rPr>
            </w:pPr>
            <w:r w:rsidRPr="00D2258D">
              <w:rPr>
                <w:rFonts w:cstheme="minorHAnsi"/>
                <w:sz w:val="20"/>
                <w:szCs w:val="20"/>
              </w:rPr>
              <w:t>Yes</w:t>
            </w:r>
          </w:p>
        </w:tc>
        <w:tc>
          <w:tcPr>
            <w:tcW w:w="2070" w:type="dxa"/>
          </w:tcPr>
          <w:p w14:paraId="0258E6F9" w14:textId="77777777" w:rsidR="000B5C6A" w:rsidRPr="00D2258D" w:rsidRDefault="000B5C6A" w:rsidP="000B5C6A">
            <w:pPr>
              <w:jc w:val="center"/>
              <w:rPr>
                <w:rFonts w:cstheme="minorHAnsi"/>
                <w:sz w:val="20"/>
                <w:szCs w:val="20"/>
              </w:rPr>
            </w:pPr>
          </w:p>
        </w:tc>
        <w:tc>
          <w:tcPr>
            <w:tcW w:w="2160" w:type="dxa"/>
          </w:tcPr>
          <w:p w14:paraId="27A18832" w14:textId="77777777" w:rsidR="000B5C6A" w:rsidRPr="00D2258D" w:rsidRDefault="000B5C6A" w:rsidP="000B5C6A">
            <w:pPr>
              <w:jc w:val="center"/>
              <w:rPr>
                <w:rFonts w:cstheme="minorHAnsi"/>
                <w:sz w:val="20"/>
                <w:szCs w:val="20"/>
              </w:rPr>
            </w:pPr>
          </w:p>
        </w:tc>
        <w:tc>
          <w:tcPr>
            <w:tcW w:w="1710" w:type="dxa"/>
          </w:tcPr>
          <w:p w14:paraId="7AF2A04F" w14:textId="7A0D0E47" w:rsidR="000B5C6A" w:rsidRPr="00D2258D" w:rsidRDefault="000B5C6A" w:rsidP="000B5C6A">
            <w:pPr>
              <w:jc w:val="center"/>
              <w:rPr>
                <w:rFonts w:cstheme="minorHAnsi"/>
                <w:sz w:val="20"/>
                <w:szCs w:val="20"/>
              </w:rPr>
            </w:pPr>
            <w:r w:rsidRPr="00D2258D">
              <w:rPr>
                <w:rFonts w:cstheme="minorHAnsi"/>
                <w:sz w:val="20"/>
                <w:szCs w:val="20"/>
              </w:rPr>
              <w:t>Yes</w:t>
            </w:r>
          </w:p>
        </w:tc>
      </w:tr>
      <w:tr w:rsidR="007431E8" w:rsidRPr="006B79D0" w14:paraId="3BCD68CD" w14:textId="77777777" w:rsidTr="00B03B30">
        <w:tc>
          <w:tcPr>
            <w:tcW w:w="3360" w:type="dxa"/>
          </w:tcPr>
          <w:p w14:paraId="2A68A551" w14:textId="3C78238E" w:rsidR="007431E8" w:rsidRPr="00D2258D" w:rsidRDefault="007431E8" w:rsidP="000B5C6A">
            <w:pPr>
              <w:rPr>
                <w:rFonts w:cstheme="minorHAnsi"/>
                <w:sz w:val="20"/>
                <w:szCs w:val="20"/>
              </w:rPr>
            </w:pPr>
            <w:r w:rsidRPr="00D2258D">
              <w:rPr>
                <w:rFonts w:cstheme="minorHAnsi"/>
                <w:sz w:val="20"/>
                <w:szCs w:val="20"/>
              </w:rPr>
              <w:t xml:space="preserve">Performs petty cash </w:t>
            </w:r>
            <w:r w:rsidR="00E85340" w:rsidRPr="00D2258D">
              <w:rPr>
                <w:rFonts w:cstheme="minorHAnsi"/>
                <w:sz w:val="20"/>
                <w:szCs w:val="20"/>
              </w:rPr>
              <w:t>monitoring</w:t>
            </w:r>
          </w:p>
        </w:tc>
        <w:tc>
          <w:tcPr>
            <w:tcW w:w="1590" w:type="dxa"/>
          </w:tcPr>
          <w:p w14:paraId="0B9AE880" w14:textId="77777777" w:rsidR="007431E8" w:rsidRPr="00D2258D" w:rsidDel="000A6265" w:rsidRDefault="007431E8" w:rsidP="000B5C6A">
            <w:pPr>
              <w:jc w:val="center"/>
              <w:rPr>
                <w:rFonts w:cstheme="minorHAnsi"/>
                <w:sz w:val="20"/>
                <w:szCs w:val="20"/>
              </w:rPr>
            </w:pPr>
          </w:p>
        </w:tc>
        <w:tc>
          <w:tcPr>
            <w:tcW w:w="2070" w:type="dxa"/>
          </w:tcPr>
          <w:p w14:paraId="50D62255" w14:textId="1C30F65A" w:rsidR="007431E8" w:rsidRPr="00D2258D" w:rsidRDefault="00E85340" w:rsidP="000B5C6A">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(on behalf of BMS/OF</w:t>
            </w:r>
            <w:r w:rsidR="00A40A72">
              <w:rPr>
                <w:rFonts w:cstheme="minorHAnsi"/>
                <w:sz w:val="18"/>
                <w:szCs w:val="18"/>
              </w:rPr>
              <w:t>R</w:t>
            </w:r>
            <w:r w:rsidRPr="00D2258D">
              <w:rPr>
                <w:rFonts w:cstheme="minorHAnsi"/>
                <w:sz w:val="18"/>
                <w:szCs w:val="18"/>
              </w:rPr>
              <w:t>M)</w:t>
            </w:r>
          </w:p>
        </w:tc>
        <w:tc>
          <w:tcPr>
            <w:tcW w:w="2160" w:type="dxa"/>
          </w:tcPr>
          <w:p w14:paraId="41EFFAAF" w14:textId="77777777" w:rsidR="007431E8" w:rsidRPr="00D2258D" w:rsidDel="000A6265" w:rsidRDefault="007431E8" w:rsidP="000B5C6A">
            <w:pPr>
              <w:jc w:val="center"/>
              <w:rPr>
                <w:rFonts w:cstheme="minorHAnsi"/>
                <w:sz w:val="20"/>
                <w:szCs w:val="20"/>
              </w:rPr>
            </w:pPr>
          </w:p>
        </w:tc>
        <w:tc>
          <w:tcPr>
            <w:tcW w:w="1710" w:type="dxa"/>
          </w:tcPr>
          <w:p w14:paraId="2E70E351" w14:textId="64920ED3" w:rsidR="007431E8" w:rsidRPr="00D2258D" w:rsidRDefault="00EE1285" w:rsidP="000B5C6A">
            <w:pPr>
              <w:jc w:val="center"/>
              <w:rPr>
                <w:rFonts w:cstheme="minorHAnsi"/>
                <w:sz w:val="20"/>
                <w:szCs w:val="20"/>
              </w:rPr>
            </w:pPr>
            <w:r>
              <w:rPr>
                <w:rFonts w:cstheme="minorHAnsi"/>
                <w:sz w:val="20"/>
                <w:szCs w:val="20"/>
              </w:rPr>
              <w:t xml:space="preserve">Yes </w:t>
            </w:r>
            <w:r w:rsidRPr="00EE1285">
              <w:rPr>
                <w:rFonts w:cstheme="minorHAnsi"/>
                <w:sz w:val="18"/>
                <w:szCs w:val="18"/>
              </w:rPr>
              <w:t>(for UNV)</w:t>
            </w:r>
          </w:p>
        </w:tc>
      </w:tr>
      <w:tr w:rsidR="00E85340" w:rsidRPr="006B79D0" w14:paraId="195BFFE1" w14:textId="77777777" w:rsidTr="00B03B30">
        <w:tc>
          <w:tcPr>
            <w:tcW w:w="3360" w:type="dxa"/>
          </w:tcPr>
          <w:p w14:paraId="4140A0CA" w14:textId="3EA391E9" w:rsidR="00E85340" w:rsidRPr="00D2258D" w:rsidRDefault="00E85340" w:rsidP="00E85340">
            <w:pPr>
              <w:rPr>
                <w:rFonts w:cstheme="minorHAnsi"/>
                <w:sz w:val="20"/>
                <w:szCs w:val="20"/>
              </w:rPr>
            </w:pPr>
            <w:r w:rsidRPr="00D2258D">
              <w:rPr>
                <w:rFonts w:cstheme="minorHAnsi"/>
                <w:sz w:val="20"/>
                <w:szCs w:val="20"/>
              </w:rPr>
              <w:lastRenderedPageBreak/>
              <w:t>Investment management</w:t>
            </w:r>
          </w:p>
        </w:tc>
        <w:tc>
          <w:tcPr>
            <w:tcW w:w="1590" w:type="dxa"/>
          </w:tcPr>
          <w:p w14:paraId="67654092" w14:textId="77777777" w:rsidR="00E85340" w:rsidRPr="00D2258D" w:rsidDel="000A6265" w:rsidRDefault="00E85340" w:rsidP="00E85340">
            <w:pPr>
              <w:jc w:val="center"/>
              <w:rPr>
                <w:rFonts w:cstheme="minorHAnsi"/>
                <w:sz w:val="20"/>
                <w:szCs w:val="20"/>
              </w:rPr>
            </w:pPr>
          </w:p>
        </w:tc>
        <w:tc>
          <w:tcPr>
            <w:tcW w:w="2070" w:type="dxa"/>
          </w:tcPr>
          <w:p w14:paraId="326AFD0D" w14:textId="77777777" w:rsidR="00E85340" w:rsidRPr="00D2258D" w:rsidRDefault="00E85340" w:rsidP="00E85340">
            <w:pPr>
              <w:jc w:val="center"/>
              <w:rPr>
                <w:rFonts w:cstheme="minorHAnsi"/>
                <w:sz w:val="20"/>
                <w:szCs w:val="20"/>
              </w:rPr>
            </w:pPr>
          </w:p>
        </w:tc>
        <w:tc>
          <w:tcPr>
            <w:tcW w:w="2160" w:type="dxa"/>
          </w:tcPr>
          <w:p w14:paraId="4D7AB7A9" w14:textId="72A361FF" w:rsidR="00E85340" w:rsidRPr="00D2258D" w:rsidDel="000A6265" w:rsidRDefault="00E85340" w:rsidP="00E85340">
            <w:pPr>
              <w:jc w:val="center"/>
              <w:rPr>
                <w:rFonts w:cstheme="minorHAnsi"/>
                <w:sz w:val="20"/>
                <w:szCs w:val="20"/>
              </w:rPr>
            </w:pPr>
            <w:r w:rsidRPr="00D2258D">
              <w:rPr>
                <w:rFonts w:cstheme="minorHAnsi"/>
                <w:sz w:val="20"/>
                <w:szCs w:val="20"/>
              </w:rPr>
              <w:t xml:space="preserve">Yes </w:t>
            </w:r>
            <w:r w:rsidRPr="00D2258D">
              <w:rPr>
                <w:rFonts w:cstheme="minorHAnsi"/>
                <w:sz w:val="18"/>
                <w:szCs w:val="18"/>
              </w:rPr>
              <w:t>(BMS/OF</w:t>
            </w:r>
            <w:r w:rsidR="00A40A72">
              <w:rPr>
                <w:rFonts w:cstheme="minorHAnsi"/>
                <w:sz w:val="18"/>
                <w:szCs w:val="18"/>
              </w:rPr>
              <w:t>R</w:t>
            </w:r>
            <w:r w:rsidRPr="00D2258D">
              <w:rPr>
                <w:rFonts w:cstheme="minorHAnsi"/>
                <w:sz w:val="18"/>
                <w:szCs w:val="18"/>
              </w:rPr>
              <w:t>M only)</w:t>
            </w:r>
          </w:p>
        </w:tc>
        <w:tc>
          <w:tcPr>
            <w:tcW w:w="1710" w:type="dxa"/>
          </w:tcPr>
          <w:p w14:paraId="77E4A35C" w14:textId="77777777" w:rsidR="00E85340" w:rsidRPr="00D2258D" w:rsidRDefault="00E85340" w:rsidP="00E85340">
            <w:pPr>
              <w:jc w:val="center"/>
              <w:rPr>
                <w:rFonts w:cstheme="minorHAnsi"/>
                <w:sz w:val="20"/>
                <w:szCs w:val="20"/>
              </w:rPr>
            </w:pPr>
          </w:p>
        </w:tc>
      </w:tr>
      <w:tr w:rsidR="00E85340" w:rsidRPr="006B79D0" w14:paraId="46C6F926" w14:textId="77777777" w:rsidTr="00B03B30">
        <w:tc>
          <w:tcPr>
            <w:tcW w:w="3360" w:type="dxa"/>
          </w:tcPr>
          <w:p w14:paraId="4E0053FD" w14:textId="0BA9AE40" w:rsidR="00E85340" w:rsidRPr="00D2258D" w:rsidRDefault="00E85340" w:rsidP="00E85340">
            <w:pPr>
              <w:rPr>
                <w:rFonts w:cstheme="minorHAnsi"/>
                <w:sz w:val="20"/>
                <w:szCs w:val="20"/>
              </w:rPr>
            </w:pPr>
            <w:r w:rsidRPr="00D2258D">
              <w:rPr>
                <w:rFonts w:cstheme="minorHAnsi"/>
                <w:sz w:val="20"/>
                <w:szCs w:val="20"/>
              </w:rPr>
              <w:t>Investment accounting</w:t>
            </w:r>
          </w:p>
        </w:tc>
        <w:tc>
          <w:tcPr>
            <w:tcW w:w="1590" w:type="dxa"/>
          </w:tcPr>
          <w:p w14:paraId="7DA2EFFE" w14:textId="77777777" w:rsidR="00E85340" w:rsidRPr="00D2258D" w:rsidDel="000A6265" w:rsidRDefault="00E85340" w:rsidP="00E85340">
            <w:pPr>
              <w:jc w:val="center"/>
              <w:rPr>
                <w:rFonts w:cstheme="minorHAnsi"/>
                <w:sz w:val="20"/>
                <w:szCs w:val="20"/>
              </w:rPr>
            </w:pPr>
          </w:p>
        </w:tc>
        <w:tc>
          <w:tcPr>
            <w:tcW w:w="2070" w:type="dxa"/>
          </w:tcPr>
          <w:p w14:paraId="6EDDD05E" w14:textId="519BCCBC"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4E8F91F8" w14:textId="77777777" w:rsidR="00E85340" w:rsidRPr="00D2258D" w:rsidDel="000A6265" w:rsidRDefault="00E85340" w:rsidP="00E85340">
            <w:pPr>
              <w:jc w:val="center"/>
              <w:rPr>
                <w:rFonts w:cstheme="minorHAnsi"/>
                <w:sz w:val="20"/>
                <w:szCs w:val="20"/>
              </w:rPr>
            </w:pPr>
          </w:p>
        </w:tc>
        <w:tc>
          <w:tcPr>
            <w:tcW w:w="1710" w:type="dxa"/>
          </w:tcPr>
          <w:p w14:paraId="74DFBF9E" w14:textId="77777777" w:rsidR="00E85340" w:rsidRPr="00D2258D" w:rsidRDefault="00E85340" w:rsidP="00E85340">
            <w:pPr>
              <w:jc w:val="center"/>
              <w:rPr>
                <w:rFonts w:cstheme="minorHAnsi"/>
                <w:sz w:val="20"/>
                <w:szCs w:val="20"/>
              </w:rPr>
            </w:pPr>
          </w:p>
        </w:tc>
      </w:tr>
      <w:tr w:rsidR="00E85340" w:rsidRPr="006B79D0" w14:paraId="14A8E124" w14:textId="77777777" w:rsidTr="00B03B30">
        <w:tc>
          <w:tcPr>
            <w:tcW w:w="3360" w:type="dxa"/>
          </w:tcPr>
          <w:p w14:paraId="29068B5B" w14:textId="77777777" w:rsidR="00E85340" w:rsidRPr="00D2258D" w:rsidRDefault="00E85340" w:rsidP="00E85340">
            <w:pPr>
              <w:rPr>
                <w:rFonts w:cstheme="minorHAnsi"/>
                <w:sz w:val="20"/>
                <w:szCs w:val="20"/>
              </w:rPr>
            </w:pPr>
            <w:r w:rsidRPr="00D2258D">
              <w:rPr>
                <w:rFonts w:cstheme="minorHAnsi"/>
                <w:sz w:val="20"/>
                <w:szCs w:val="20"/>
              </w:rPr>
              <w:t>Create GLJEs</w:t>
            </w:r>
          </w:p>
        </w:tc>
        <w:tc>
          <w:tcPr>
            <w:tcW w:w="1590" w:type="dxa"/>
          </w:tcPr>
          <w:p w14:paraId="7B1CFA05" w14:textId="08E12FA2" w:rsidR="00E85340" w:rsidRPr="00D2258D" w:rsidRDefault="00E85340" w:rsidP="00E85340">
            <w:pPr>
              <w:jc w:val="center"/>
              <w:rPr>
                <w:rFonts w:cstheme="minorHAnsi"/>
                <w:sz w:val="20"/>
                <w:szCs w:val="20"/>
              </w:rPr>
            </w:pPr>
          </w:p>
        </w:tc>
        <w:tc>
          <w:tcPr>
            <w:tcW w:w="2070" w:type="dxa"/>
          </w:tcPr>
          <w:p w14:paraId="21B09B76" w14:textId="5A4737C3" w:rsidR="00E85340" w:rsidRPr="00D2258D" w:rsidRDefault="00E85340" w:rsidP="00E85340">
            <w:pPr>
              <w:jc w:val="center"/>
              <w:rPr>
                <w:rFonts w:cstheme="minorHAnsi"/>
                <w:sz w:val="20"/>
                <w:szCs w:val="20"/>
              </w:rPr>
            </w:pPr>
            <w:r w:rsidRPr="00D2258D">
              <w:rPr>
                <w:rFonts w:cstheme="minorHAnsi"/>
                <w:sz w:val="20"/>
                <w:szCs w:val="20"/>
              </w:rPr>
              <w:t xml:space="preserve">Yes </w:t>
            </w:r>
          </w:p>
        </w:tc>
        <w:tc>
          <w:tcPr>
            <w:tcW w:w="2160" w:type="dxa"/>
          </w:tcPr>
          <w:p w14:paraId="0F48CB45" w14:textId="3A432C10" w:rsidR="00E85340" w:rsidRPr="00D2258D" w:rsidRDefault="00E85340" w:rsidP="00E85340">
            <w:pPr>
              <w:jc w:val="center"/>
              <w:rPr>
                <w:rFonts w:cstheme="minorHAnsi"/>
                <w:sz w:val="20"/>
                <w:szCs w:val="20"/>
              </w:rPr>
            </w:pPr>
            <w:r w:rsidRPr="00D2258D">
              <w:rPr>
                <w:rFonts w:cstheme="minorHAnsi"/>
                <w:sz w:val="20"/>
                <w:szCs w:val="20"/>
              </w:rPr>
              <w:t>Yes</w:t>
            </w:r>
            <w:r w:rsidRPr="00D2258D">
              <w:rPr>
                <w:rFonts w:cstheme="minorHAnsi"/>
                <w:sz w:val="18"/>
                <w:szCs w:val="18"/>
              </w:rPr>
              <w:t xml:space="preserve"> (</w:t>
            </w:r>
            <w:r w:rsidR="001A324B">
              <w:rPr>
                <w:rFonts w:cstheme="minorHAnsi"/>
                <w:sz w:val="18"/>
                <w:szCs w:val="18"/>
              </w:rPr>
              <w:t xml:space="preserve">may become restricted to </w:t>
            </w:r>
            <w:r w:rsidRPr="00D2258D">
              <w:rPr>
                <w:rFonts w:cstheme="minorHAnsi"/>
                <w:sz w:val="18"/>
                <w:szCs w:val="18"/>
              </w:rPr>
              <w:t>BMS/OF</w:t>
            </w:r>
            <w:r w:rsidR="00A40A72">
              <w:rPr>
                <w:rFonts w:cstheme="minorHAnsi"/>
                <w:sz w:val="18"/>
                <w:szCs w:val="18"/>
              </w:rPr>
              <w:t>R</w:t>
            </w:r>
            <w:r w:rsidRPr="00D2258D">
              <w:rPr>
                <w:rFonts w:cstheme="minorHAnsi"/>
                <w:sz w:val="18"/>
                <w:szCs w:val="18"/>
              </w:rPr>
              <w:t>M</w:t>
            </w:r>
            <w:r w:rsidR="001A324B">
              <w:rPr>
                <w:rFonts w:cstheme="minorHAnsi"/>
                <w:sz w:val="18"/>
                <w:szCs w:val="18"/>
              </w:rPr>
              <w:t>, BMS/GSSC,</w:t>
            </w:r>
            <w:r w:rsidRPr="00D2258D">
              <w:rPr>
                <w:rFonts w:cstheme="minorHAnsi"/>
                <w:sz w:val="18"/>
                <w:szCs w:val="18"/>
              </w:rPr>
              <w:t xml:space="preserve"> MPTFO</w:t>
            </w:r>
            <w:r w:rsidR="001A324B">
              <w:rPr>
                <w:rFonts w:cstheme="minorHAnsi"/>
                <w:sz w:val="18"/>
                <w:szCs w:val="18"/>
              </w:rPr>
              <w:t xml:space="preserve"> and UNV</w:t>
            </w:r>
            <w:r w:rsidRPr="00D2258D">
              <w:rPr>
                <w:rFonts w:cstheme="minorHAnsi"/>
                <w:sz w:val="18"/>
                <w:szCs w:val="18"/>
              </w:rPr>
              <w:t>)</w:t>
            </w:r>
          </w:p>
        </w:tc>
        <w:tc>
          <w:tcPr>
            <w:tcW w:w="1710" w:type="dxa"/>
          </w:tcPr>
          <w:p w14:paraId="76AAE1E4" w14:textId="76FF2602"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5F165B9" w14:textId="77777777" w:rsidTr="00B03B30">
        <w:tc>
          <w:tcPr>
            <w:tcW w:w="3360" w:type="dxa"/>
          </w:tcPr>
          <w:p w14:paraId="2DD1D88D" w14:textId="77777777" w:rsidR="00E85340" w:rsidRPr="00D2258D" w:rsidRDefault="00E85340" w:rsidP="00E85340">
            <w:pPr>
              <w:rPr>
                <w:rFonts w:cstheme="minorHAnsi"/>
                <w:sz w:val="20"/>
                <w:szCs w:val="20"/>
              </w:rPr>
            </w:pPr>
            <w:r w:rsidRPr="00D2258D">
              <w:rPr>
                <w:rFonts w:cstheme="minorHAnsi"/>
                <w:sz w:val="20"/>
                <w:szCs w:val="20"/>
              </w:rPr>
              <w:t>Maintain office/unit GL</w:t>
            </w:r>
          </w:p>
        </w:tc>
        <w:tc>
          <w:tcPr>
            <w:tcW w:w="1590" w:type="dxa"/>
          </w:tcPr>
          <w:p w14:paraId="666D7515" w14:textId="1C580E33"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10319AFF" w14:textId="77777777" w:rsidR="00E85340" w:rsidRPr="00D2258D" w:rsidRDefault="00E85340" w:rsidP="00E85340">
            <w:pPr>
              <w:jc w:val="center"/>
              <w:rPr>
                <w:rFonts w:cstheme="minorHAnsi"/>
                <w:sz w:val="20"/>
                <w:szCs w:val="20"/>
              </w:rPr>
            </w:pPr>
          </w:p>
        </w:tc>
        <w:tc>
          <w:tcPr>
            <w:tcW w:w="2160" w:type="dxa"/>
          </w:tcPr>
          <w:p w14:paraId="5A13DF7C" w14:textId="7FFB6C96"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7717063" w14:textId="0D90A6BB"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27AA0F91" w14:textId="77777777" w:rsidTr="00B03B30">
        <w:tc>
          <w:tcPr>
            <w:tcW w:w="3360" w:type="dxa"/>
          </w:tcPr>
          <w:p w14:paraId="78D8494A" w14:textId="6C24BD2C" w:rsidR="00E85340" w:rsidRPr="00D2258D" w:rsidRDefault="00E85340" w:rsidP="363CA695">
            <w:pPr>
              <w:rPr>
                <w:sz w:val="20"/>
                <w:szCs w:val="20"/>
              </w:rPr>
            </w:pPr>
            <w:r w:rsidRPr="00D2258D">
              <w:rPr>
                <w:sz w:val="20"/>
                <w:szCs w:val="20"/>
              </w:rPr>
              <w:t>Monitor timely completion of transactions</w:t>
            </w:r>
          </w:p>
        </w:tc>
        <w:tc>
          <w:tcPr>
            <w:tcW w:w="1590" w:type="dxa"/>
          </w:tcPr>
          <w:p w14:paraId="1C8088FB" w14:textId="2EA32F63"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0A13CAA5" w14:textId="24918441"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3451DE07" w14:textId="6A4A9C69"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3BF9453" w14:textId="4D814FB5"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ABCF32F" w14:textId="77777777" w:rsidTr="00B03B30">
        <w:tc>
          <w:tcPr>
            <w:tcW w:w="3360" w:type="dxa"/>
          </w:tcPr>
          <w:p w14:paraId="4223F83B" w14:textId="77777777" w:rsidR="00E85340" w:rsidRPr="00D2258D" w:rsidRDefault="00E85340" w:rsidP="00E85340">
            <w:pPr>
              <w:rPr>
                <w:rFonts w:cstheme="minorHAnsi"/>
                <w:sz w:val="20"/>
                <w:szCs w:val="20"/>
              </w:rPr>
            </w:pPr>
            <w:r w:rsidRPr="00D2258D">
              <w:rPr>
                <w:rFonts w:cstheme="minorHAnsi"/>
                <w:sz w:val="20"/>
                <w:szCs w:val="20"/>
              </w:rPr>
              <w:t>Monitor office/unit financial status &amp; management indicators</w:t>
            </w:r>
          </w:p>
        </w:tc>
        <w:tc>
          <w:tcPr>
            <w:tcW w:w="1590" w:type="dxa"/>
          </w:tcPr>
          <w:p w14:paraId="78F6BF01" w14:textId="3655498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2D0A85D2" w14:textId="77777777" w:rsidR="00E85340" w:rsidRPr="00D2258D" w:rsidRDefault="00E85340" w:rsidP="00E85340">
            <w:pPr>
              <w:jc w:val="center"/>
              <w:rPr>
                <w:rFonts w:cstheme="minorHAnsi"/>
                <w:sz w:val="20"/>
                <w:szCs w:val="20"/>
              </w:rPr>
            </w:pPr>
          </w:p>
        </w:tc>
        <w:tc>
          <w:tcPr>
            <w:tcW w:w="2160" w:type="dxa"/>
          </w:tcPr>
          <w:p w14:paraId="07BC97E5" w14:textId="217026D7"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691BCE0F" w14:textId="2A7C003A"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695FAAEB" w14:textId="77777777" w:rsidTr="00B03B30">
        <w:tc>
          <w:tcPr>
            <w:tcW w:w="3360" w:type="dxa"/>
          </w:tcPr>
          <w:p w14:paraId="6DCA34D4" w14:textId="261D121C" w:rsidR="00E85340" w:rsidRPr="00D2258D" w:rsidRDefault="00E85340" w:rsidP="363CA695">
            <w:pPr>
              <w:rPr>
                <w:sz w:val="20"/>
                <w:szCs w:val="20"/>
              </w:rPr>
            </w:pPr>
            <w:r w:rsidRPr="00D2258D">
              <w:rPr>
                <w:sz w:val="20"/>
                <w:szCs w:val="20"/>
              </w:rPr>
              <w:t>Ensure timely certifications</w:t>
            </w:r>
          </w:p>
        </w:tc>
        <w:tc>
          <w:tcPr>
            <w:tcW w:w="1590" w:type="dxa"/>
          </w:tcPr>
          <w:p w14:paraId="0159924B" w14:textId="1171C8F6"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644E02AA" w14:textId="77777777" w:rsidR="00E85340" w:rsidRPr="00D2258D" w:rsidRDefault="00E85340" w:rsidP="00E85340">
            <w:pPr>
              <w:jc w:val="center"/>
              <w:rPr>
                <w:rFonts w:cstheme="minorHAnsi"/>
                <w:sz w:val="20"/>
                <w:szCs w:val="20"/>
              </w:rPr>
            </w:pPr>
          </w:p>
        </w:tc>
        <w:tc>
          <w:tcPr>
            <w:tcW w:w="2160" w:type="dxa"/>
          </w:tcPr>
          <w:p w14:paraId="1FC90F2C" w14:textId="0F85F75E"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7F57E100" w14:textId="09F7F40C"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7489DF9D" w14:textId="77777777" w:rsidTr="00B03B30">
        <w:tc>
          <w:tcPr>
            <w:tcW w:w="3360" w:type="dxa"/>
          </w:tcPr>
          <w:p w14:paraId="162CE532" w14:textId="77777777" w:rsidR="00E85340" w:rsidRPr="00D2258D" w:rsidRDefault="00E85340" w:rsidP="00E85340">
            <w:pPr>
              <w:rPr>
                <w:rFonts w:cstheme="minorHAnsi"/>
                <w:sz w:val="20"/>
                <w:szCs w:val="20"/>
              </w:rPr>
            </w:pPr>
            <w:r w:rsidRPr="00D2258D">
              <w:rPr>
                <w:rFonts w:cstheme="minorHAnsi"/>
                <w:sz w:val="20"/>
                <w:szCs w:val="20"/>
              </w:rPr>
              <w:t>Document management in line with POPP</w:t>
            </w:r>
          </w:p>
        </w:tc>
        <w:tc>
          <w:tcPr>
            <w:tcW w:w="1590" w:type="dxa"/>
          </w:tcPr>
          <w:p w14:paraId="53617140" w14:textId="465DE7A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5C428608" w14:textId="689DAA6C" w:rsidR="00E85340" w:rsidRPr="00D2258D" w:rsidRDefault="00E85340" w:rsidP="00E85340">
            <w:pPr>
              <w:jc w:val="center"/>
              <w:rPr>
                <w:rFonts w:cstheme="minorHAnsi"/>
                <w:sz w:val="20"/>
                <w:szCs w:val="20"/>
              </w:rPr>
            </w:pPr>
            <w:r w:rsidRPr="00D2258D">
              <w:rPr>
                <w:rFonts w:cstheme="minorHAnsi"/>
                <w:sz w:val="20"/>
                <w:szCs w:val="20"/>
              </w:rPr>
              <w:t>Yes</w:t>
            </w:r>
          </w:p>
        </w:tc>
        <w:tc>
          <w:tcPr>
            <w:tcW w:w="2160" w:type="dxa"/>
          </w:tcPr>
          <w:p w14:paraId="7F1CBC51" w14:textId="51701B11"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0C716059" w14:textId="055717D5"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0EC3B26D" w14:textId="77777777" w:rsidTr="00B03B30">
        <w:tc>
          <w:tcPr>
            <w:tcW w:w="10890" w:type="dxa"/>
            <w:gridSpan w:val="5"/>
            <w:shd w:val="clear" w:color="auto" w:fill="B4C6E7" w:themeFill="accent1" w:themeFillTint="66"/>
          </w:tcPr>
          <w:p w14:paraId="68548D75"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Office management</w:t>
            </w:r>
          </w:p>
        </w:tc>
      </w:tr>
      <w:tr w:rsidR="00E85340" w:rsidRPr="006B79D0" w14:paraId="74D3E369" w14:textId="77777777" w:rsidTr="00B03B30">
        <w:tc>
          <w:tcPr>
            <w:tcW w:w="3360" w:type="dxa"/>
          </w:tcPr>
          <w:p w14:paraId="04A0A8D0" w14:textId="77777777" w:rsidR="00E85340" w:rsidRPr="00D2258D" w:rsidRDefault="00E85340" w:rsidP="00E85340">
            <w:pPr>
              <w:rPr>
                <w:rFonts w:cstheme="minorHAnsi"/>
                <w:sz w:val="20"/>
                <w:szCs w:val="20"/>
              </w:rPr>
            </w:pPr>
            <w:r w:rsidRPr="00D2258D">
              <w:rPr>
                <w:rFonts w:cstheme="minorHAnsi"/>
                <w:sz w:val="20"/>
                <w:szCs w:val="20"/>
              </w:rPr>
              <w:t>Perform Head of Office/Unit functions</w:t>
            </w:r>
          </w:p>
        </w:tc>
        <w:tc>
          <w:tcPr>
            <w:tcW w:w="1590" w:type="dxa"/>
          </w:tcPr>
          <w:p w14:paraId="2278E34B" w14:textId="2546DDAE"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12B482C6" w14:textId="77777777" w:rsidR="00E85340" w:rsidRPr="00D2258D" w:rsidRDefault="00E85340" w:rsidP="00E85340">
            <w:pPr>
              <w:jc w:val="center"/>
              <w:rPr>
                <w:rFonts w:cstheme="minorHAnsi"/>
                <w:sz w:val="20"/>
                <w:szCs w:val="20"/>
              </w:rPr>
            </w:pPr>
          </w:p>
        </w:tc>
        <w:tc>
          <w:tcPr>
            <w:tcW w:w="2160" w:type="dxa"/>
          </w:tcPr>
          <w:p w14:paraId="3209A732" w14:textId="4E047E4C"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375FE4A8" w14:textId="1F2E33F8"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3B7E3080" w14:textId="77777777" w:rsidTr="00B03B30">
        <w:tc>
          <w:tcPr>
            <w:tcW w:w="10890" w:type="dxa"/>
            <w:gridSpan w:val="5"/>
            <w:shd w:val="clear" w:color="auto" w:fill="B4C6E7" w:themeFill="accent1" w:themeFillTint="66"/>
          </w:tcPr>
          <w:p w14:paraId="7FC81FF0" w14:textId="77777777" w:rsidR="00E85340" w:rsidRPr="00D2258D" w:rsidRDefault="00E85340" w:rsidP="00E85340">
            <w:pPr>
              <w:rPr>
                <w:rFonts w:ascii="Webdings" w:hAnsi="Webdings" w:cstheme="minorHAnsi"/>
                <w:b/>
                <w:bCs/>
                <w:sz w:val="28"/>
                <w:szCs w:val="28"/>
              </w:rPr>
            </w:pPr>
            <w:r w:rsidRPr="00D2258D">
              <w:rPr>
                <w:rFonts w:cstheme="minorHAnsi"/>
                <w:b/>
                <w:bCs/>
                <w:sz w:val="20"/>
                <w:szCs w:val="20"/>
              </w:rPr>
              <w:t>Other</w:t>
            </w:r>
          </w:p>
        </w:tc>
      </w:tr>
      <w:tr w:rsidR="00E85340" w:rsidRPr="006B79D0" w14:paraId="68D7CB02" w14:textId="77777777" w:rsidTr="00B03B30">
        <w:tc>
          <w:tcPr>
            <w:tcW w:w="3360" w:type="dxa"/>
          </w:tcPr>
          <w:p w14:paraId="73177125" w14:textId="3282110E" w:rsidR="00E85340" w:rsidRPr="00D2258D" w:rsidRDefault="00E85340" w:rsidP="363CA695">
            <w:pPr>
              <w:rPr>
                <w:sz w:val="20"/>
                <w:szCs w:val="20"/>
              </w:rPr>
            </w:pPr>
            <w:r w:rsidRPr="00D2258D">
              <w:rPr>
                <w:sz w:val="20"/>
                <w:szCs w:val="20"/>
              </w:rPr>
              <w:t>Designated officials to submit service requests to BMS/GSSC</w:t>
            </w:r>
          </w:p>
        </w:tc>
        <w:tc>
          <w:tcPr>
            <w:tcW w:w="1590" w:type="dxa"/>
          </w:tcPr>
          <w:p w14:paraId="655C7FB1" w14:textId="1C8835AC"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289B8ED5" w14:textId="77777777" w:rsidR="00E85340" w:rsidRPr="00D2258D" w:rsidRDefault="00E85340" w:rsidP="00E85340">
            <w:pPr>
              <w:jc w:val="center"/>
              <w:rPr>
                <w:rFonts w:cstheme="minorHAnsi"/>
                <w:sz w:val="20"/>
                <w:szCs w:val="20"/>
              </w:rPr>
            </w:pPr>
          </w:p>
        </w:tc>
        <w:tc>
          <w:tcPr>
            <w:tcW w:w="2160" w:type="dxa"/>
          </w:tcPr>
          <w:p w14:paraId="72C33993" w14:textId="41D06BD1"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6849F15" w14:textId="32347118" w:rsidR="00E85340" w:rsidRPr="00D2258D" w:rsidRDefault="00E85340" w:rsidP="00E85340">
            <w:pPr>
              <w:jc w:val="center"/>
              <w:rPr>
                <w:rFonts w:cstheme="minorHAnsi"/>
                <w:sz w:val="20"/>
                <w:szCs w:val="20"/>
              </w:rPr>
            </w:pPr>
            <w:r w:rsidRPr="00D2258D">
              <w:rPr>
                <w:rFonts w:cstheme="minorHAnsi"/>
                <w:sz w:val="20"/>
                <w:szCs w:val="20"/>
              </w:rPr>
              <w:t>Yes</w:t>
            </w:r>
          </w:p>
        </w:tc>
      </w:tr>
      <w:tr w:rsidR="00E85340" w:rsidRPr="006B79D0" w14:paraId="0B08EB5B" w14:textId="77777777" w:rsidTr="00B03B30">
        <w:tc>
          <w:tcPr>
            <w:tcW w:w="3360" w:type="dxa"/>
          </w:tcPr>
          <w:p w14:paraId="3993F886" w14:textId="77777777" w:rsidR="00E85340" w:rsidRPr="00D2258D" w:rsidRDefault="00E85340" w:rsidP="00E85340">
            <w:pPr>
              <w:rPr>
                <w:rFonts w:cstheme="minorHAnsi"/>
                <w:sz w:val="20"/>
                <w:szCs w:val="20"/>
              </w:rPr>
            </w:pPr>
            <w:r w:rsidRPr="00D2258D">
              <w:rPr>
                <w:rFonts w:cstheme="minorHAnsi"/>
                <w:sz w:val="20"/>
                <w:szCs w:val="20"/>
              </w:rPr>
              <w:t>IDAM Focal Points &amp; IDAM Approvers</w:t>
            </w:r>
          </w:p>
        </w:tc>
        <w:tc>
          <w:tcPr>
            <w:tcW w:w="1590" w:type="dxa"/>
          </w:tcPr>
          <w:p w14:paraId="7CB1FCA0" w14:textId="32B238D2" w:rsidR="00E85340" w:rsidRPr="00D2258D" w:rsidRDefault="00E85340" w:rsidP="00E85340">
            <w:pPr>
              <w:jc w:val="center"/>
              <w:rPr>
                <w:rFonts w:cstheme="minorHAnsi"/>
                <w:sz w:val="20"/>
                <w:szCs w:val="20"/>
              </w:rPr>
            </w:pPr>
            <w:r w:rsidRPr="00D2258D">
              <w:rPr>
                <w:rFonts w:cstheme="minorHAnsi"/>
                <w:sz w:val="20"/>
                <w:szCs w:val="20"/>
              </w:rPr>
              <w:t>Yes</w:t>
            </w:r>
          </w:p>
        </w:tc>
        <w:tc>
          <w:tcPr>
            <w:tcW w:w="2070" w:type="dxa"/>
          </w:tcPr>
          <w:p w14:paraId="53357F0F" w14:textId="77777777" w:rsidR="00E85340" w:rsidRPr="00D2258D" w:rsidRDefault="00E85340" w:rsidP="00E85340">
            <w:pPr>
              <w:jc w:val="center"/>
              <w:rPr>
                <w:rFonts w:cstheme="minorHAnsi"/>
                <w:sz w:val="20"/>
                <w:szCs w:val="20"/>
              </w:rPr>
            </w:pPr>
          </w:p>
        </w:tc>
        <w:tc>
          <w:tcPr>
            <w:tcW w:w="2160" w:type="dxa"/>
          </w:tcPr>
          <w:p w14:paraId="465842E2" w14:textId="67D3830A" w:rsidR="00E85340" w:rsidRPr="00D2258D" w:rsidRDefault="00E85340" w:rsidP="00E85340">
            <w:pPr>
              <w:jc w:val="center"/>
              <w:rPr>
                <w:rFonts w:cstheme="minorHAnsi"/>
                <w:sz w:val="20"/>
                <w:szCs w:val="20"/>
              </w:rPr>
            </w:pPr>
            <w:r w:rsidRPr="00D2258D">
              <w:rPr>
                <w:rFonts w:cstheme="minorHAnsi"/>
                <w:sz w:val="20"/>
                <w:szCs w:val="20"/>
              </w:rPr>
              <w:t>Yes</w:t>
            </w:r>
          </w:p>
        </w:tc>
        <w:tc>
          <w:tcPr>
            <w:tcW w:w="1710" w:type="dxa"/>
          </w:tcPr>
          <w:p w14:paraId="430AA92D" w14:textId="4FCD0336" w:rsidR="00E85340" w:rsidRPr="00D2258D" w:rsidRDefault="00E85340" w:rsidP="00E85340">
            <w:pPr>
              <w:jc w:val="center"/>
              <w:rPr>
                <w:rFonts w:cstheme="minorHAnsi"/>
                <w:sz w:val="20"/>
                <w:szCs w:val="20"/>
              </w:rPr>
            </w:pPr>
            <w:r w:rsidRPr="00D2258D">
              <w:rPr>
                <w:rFonts w:cstheme="minorHAnsi"/>
                <w:sz w:val="20"/>
                <w:szCs w:val="20"/>
              </w:rPr>
              <w:t>Yes</w:t>
            </w:r>
          </w:p>
        </w:tc>
      </w:tr>
    </w:tbl>
    <w:p w14:paraId="3401097A" w14:textId="77777777" w:rsidR="00A53A59" w:rsidRDefault="00A53A59" w:rsidP="000A2DF8"/>
    <w:p w14:paraId="521EC0F2" w14:textId="472C2AEB" w:rsidR="005D2D12" w:rsidRDefault="005D2D12">
      <w:r>
        <w:br w:type="page"/>
      </w:r>
    </w:p>
    <w:p w14:paraId="27AD8835" w14:textId="55A08E46" w:rsidR="005D2D12" w:rsidRDefault="005D2D12" w:rsidP="005D2D12">
      <w:pPr>
        <w:pStyle w:val="Heading1"/>
        <w:spacing w:after="240"/>
      </w:pPr>
      <w:bookmarkStart w:id="130" w:name="_Toc210052802"/>
      <w:r>
        <w:lastRenderedPageBreak/>
        <w:t>Annex 8: Glossary</w:t>
      </w:r>
      <w:bookmarkEnd w:id="130"/>
    </w:p>
    <w:tbl>
      <w:tblPr>
        <w:tblStyle w:val="TableGrid"/>
        <w:tblW w:w="0" w:type="auto"/>
        <w:tblLook w:val="04A0" w:firstRow="1" w:lastRow="0" w:firstColumn="1" w:lastColumn="0" w:noHBand="0" w:noVBand="1"/>
      </w:tblPr>
      <w:tblGrid>
        <w:gridCol w:w="1638"/>
        <w:gridCol w:w="6367"/>
      </w:tblGrid>
      <w:tr w:rsidR="002B019C" w:rsidRPr="00D10337" w14:paraId="2453E342" w14:textId="77777777" w:rsidTr="002B019C">
        <w:trPr>
          <w:tblHeader/>
        </w:trPr>
        <w:tc>
          <w:tcPr>
            <w:tcW w:w="1638" w:type="dxa"/>
            <w:shd w:val="clear" w:color="auto" w:fill="002060"/>
          </w:tcPr>
          <w:p w14:paraId="26F178F2" w14:textId="77777777" w:rsidR="002B019C" w:rsidRPr="00447617" w:rsidRDefault="002B019C" w:rsidP="00A70B5C">
            <w:pPr>
              <w:rPr>
                <w:rFonts w:ascii="Calibri" w:hAnsi="Calibri" w:cs="Calibri"/>
                <w:b/>
                <w:bCs/>
                <w:sz w:val="18"/>
                <w:szCs w:val="18"/>
              </w:rPr>
            </w:pPr>
            <w:r w:rsidRPr="00447617">
              <w:rPr>
                <w:rFonts w:ascii="Calibri" w:hAnsi="Calibri" w:cs="Calibri"/>
                <w:b/>
                <w:bCs/>
                <w:sz w:val="18"/>
                <w:szCs w:val="18"/>
              </w:rPr>
              <w:t>Acronym</w:t>
            </w:r>
          </w:p>
        </w:tc>
        <w:tc>
          <w:tcPr>
            <w:tcW w:w="6367" w:type="dxa"/>
            <w:shd w:val="clear" w:color="auto" w:fill="002060"/>
          </w:tcPr>
          <w:p w14:paraId="18B9A0A0" w14:textId="77777777" w:rsidR="002B019C" w:rsidRPr="00447617" w:rsidRDefault="002B019C" w:rsidP="00A70B5C">
            <w:pPr>
              <w:rPr>
                <w:rFonts w:ascii="Calibri" w:hAnsi="Calibri" w:cs="Calibri"/>
                <w:b/>
                <w:bCs/>
                <w:sz w:val="18"/>
                <w:szCs w:val="18"/>
              </w:rPr>
            </w:pPr>
            <w:r w:rsidRPr="00447617">
              <w:rPr>
                <w:rFonts w:ascii="Calibri" w:hAnsi="Calibri" w:cs="Calibri"/>
                <w:b/>
                <w:bCs/>
                <w:sz w:val="18"/>
                <w:szCs w:val="18"/>
              </w:rPr>
              <w:t>Definition</w:t>
            </w:r>
          </w:p>
        </w:tc>
      </w:tr>
      <w:tr w:rsidR="002B019C" w:rsidRPr="00D10337" w14:paraId="6B851A35" w14:textId="77777777" w:rsidTr="002B019C">
        <w:tc>
          <w:tcPr>
            <w:tcW w:w="1638" w:type="dxa"/>
          </w:tcPr>
          <w:p w14:paraId="4142193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AML/CFT</w:t>
            </w:r>
          </w:p>
        </w:tc>
        <w:tc>
          <w:tcPr>
            <w:tcW w:w="6367" w:type="dxa"/>
          </w:tcPr>
          <w:p w14:paraId="1FCF373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Anti-Money Laundering &amp; Countering Financing of Terrorists</w:t>
            </w:r>
          </w:p>
        </w:tc>
      </w:tr>
      <w:tr w:rsidR="002B019C" w:rsidRPr="00D10337" w14:paraId="4A7E28FF" w14:textId="77777777" w:rsidTr="002B019C">
        <w:tc>
          <w:tcPr>
            <w:tcW w:w="1638" w:type="dxa"/>
          </w:tcPr>
          <w:p w14:paraId="6C4B411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ARR</w:t>
            </w:r>
          </w:p>
        </w:tc>
        <w:tc>
          <w:tcPr>
            <w:tcW w:w="6367" w:type="dxa"/>
          </w:tcPr>
          <w:p w14:paraId="1E0BEC8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Assistant Resident Representative</w:t>
            </w:r>
          </w:p>
        </w:tc>
      </w:tr>
      <w:tr w:rsidR="002B019C" w:rsidRPr="00D10337" w14:paraId="7EA94E77" w14:textId="77777777" w:rsidTr="002B019C">
        <w:tc>
          <w:tcPr>
            <w:tcW w:w="1638" w:type="dxa"/>
          </w:tcPr>
          <w:p w14:paraId="64F7A7A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ARR-P</w:t>
            </w:r>
          </w:p>
        </w:tc>
        <w:tc>
          <w:tcPr>
            <w:tcW w:w="6367" w:type="dxa"/>
          </w:tcPr>
          <w:p w14:paraId="0BE8D7B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Assistant Resident Representative – </w:t>
            </w:r>
            <w:proofErr w:type="spellStart"/>
            <w:r w:rsidRPr="00447617">
              <w:rPr>
                <w:rFonts w:ascii="Calibri" w:hAnsi="Calibri" w:cs="Calibri"/>
                <w:sz w:val="18"/>
                <w:szCs w:val="18"/>
              </w:rPr>
              <w:t>Programmes</w:t>
            </w:r>
            <w:proofErr w:type="spellEnd"/>
          </w:p>
        </w:tc>
      </w:tr>
      <w:tr w:rsidR="002B019C" w:rsidRPr="00D10337" w14:paraId="3093A3D4" w14:textId="77777777" w:rsidTr="002B019C">
        <w:tc>
          <w:tcPr>
            <w:tcW w:w="1638" w:type="dxa"/>
          </w:tcPr>
          <w:p w14:paraId="40341F2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BERA</w:t>
            </w:r>
          </w:p>
        </w:tc>
        <w:tc>
          <w:tcPr>
            <w:tcW w:w="6367" w:type="dxa"/>
          </w:tcPr>
          <w:p w14:paraId="2A9BA84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Bureau for External Relations &amp; Advocacy</w:t>
            </w:r>
          </w:p>
        </w:tc>
      </w:tr>
      <w:tr w:rsidR="002B019C" w:rsidRPr="00D10337" w14:paraId="771DA97A" w14:textId="77777777" w:rsidTr="002B019C">
        <w:tc>
          <w:tcPr>
            <w:tcW w:w="1638" w:type="dxa"/>
          </w:tcPr>
          <w:p w14:paraId="2B00D56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BI</w:t>
            </w:r>
          </w:p>
        </w:tc>
        <w:tc>
          <w:tcPr>
            <w:tcW w:w="6367" w:type="dxa"/>
          </w:tcPr>
          <w:p w14:paraId="5A07C50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Business Intelligence</w:t>
            </w:r>
          </w:p>
        </w:tc>
      </w:tr>
      <w:tr w:rsidR="002B019C" w:rsidRPr="00D10337" w14:paraId="0DA8F30F" w14:textId="77777777" w:rsidTr="002B019C">
        <w:tc>
          <w:tcPr>
            <w:tcW w:w="1638" w:type="dxa"/>
          </w:tcPr>
          <w:p w14:paraId="47FB9FA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BMS</w:t>
            </w:r>
          </w:p>
        </w:tc>
        <w:tc>
          <w:tcPr>
            <w:tcW w:w="6367" w:type="dxa"/>
          </w:tcPr>
          <w:p w14:paraId="1B28F76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Bureau </w:t>
            </w:r>
            <w:proofErr w:type="gramStart"/>
            <w:r w:rsidRPr="00447617">
              <w:rPr>
                <w:rFonts w:ascii="Calibri" w:hAnsi="Calibri" w:cs="Calibri"/>
                <w:sz w:val="18"/>
                <w:szCs w:val="18"/>
              </w:rPr>
              <w:t>for</w:t>
            </w:r>
            <w:proofErr w:type="gramEnd"/>
            <w:r w:rsidRPr="00447617">
              <w:rPr>
                <w:rFonts w:ascii="Calibri" w:hAnsi="Calibri" w:cs="Calibri"/>
                <w:sz w:val="18"/>
                <w:szCs w:val="18"/>
              </w:rPr>
              <w:t xml:space="preserve"> Management Services</w:t>
            </w:r>
          </w:p>
        </w:tc>
      </w:tr>
      <w:tr w:rsidR="002B019C" w:rsidRPr="00D10337" w14:paraId="0739571C" w14:textId="77777777" w:rsidTr="002B019C">
        <w:tc>
          <w:tcPr>
            <w:tcW w:w="1638" w:type="dxa"/>
          </w:tcPr>
          <w:p w14:paraId="25812D7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w:t>
            </w:r>
          </w:p>
        </w:tc>
        <w:tc>
          <w:tcPr>
            <w:tcW w:w="6367" w:type="dxa"/>
          </w:tcPr>
          <w:p w14:paraId="67BAE03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Business Unit</w:t>
            </w:r>
          </w:p>
        </w:tc>
      </w:tr>
      <w:tr w:rsidR="002B019C" w:rsidRPr="00D10337" w14:paraId="164F3EF3" w14:textId="77777777" w:rsidTr="002B019C">
        <w:tc>
          <w:tcPr>
            <w:tcW w:w="1638" w:type="dxa"/>
          </w:tcPr>
          <w:p w14:paraId="3DCF839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CFO</w:t>
            </w:r>
          </w:p>
        </w:tc>
        <w:tc>
          <w:tcPr>
            <w:tcW w:w="6367" w:type="dxa"/>
          </w:tcPr>
          <w:p w14:paraId="5CF74CE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Financial Officer</w:t>
            </w:r>
          </w:p>
        </w:tc>
      </w:tr>
      <w:tr w:rsidR="002B019C" w:rsidRPr="00D10337" w14:paraId="17582830" w14:textId="77777777" w:rsidTr="002B019C">
        <w:tc>
          <w:tcPr>
            <w:tcW w:w="1638" w:type="dxa"/>
          </w:tcPr>
          <w:p w14:paraId="792EA6B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CFRA</w:t>
            </w:r>
          </w:p>
        </w:tc>
        <w:tc>
          <w:tcPr>
            <w:tcW w:w="6367" w:type="dxa"/>
          </w:tcPr>
          <w:p w14:paraId="0DBFEF9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Corporate Financial Reporting &amp; Agencies</w:t>
            </w:r>
          </w:p>
        </w:tc>
      </w:tr>
      <w:tr w:rsidR="002B019C" w:rsidRPr="00D10337" w14:paraId="728C5F57" w14:textId="77777777" w:rsidTr="002B019C">
        <w:tc>
          <w:tcPr>
            <w:tcW w:w="1638" w:type="dxa"/>
          </w:tcPr>
          <w:p w14:paraId="2C0A7E3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CHK</w:t>
            </w:r>
          </w:p>
        </w:tc>
        <w:tc>
          <w:tcPr>
            <w:tcW w:w="6367" w:type="dxa"/>
          </w:tcPr>
          <w:p w14:paraId="299920C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Check</w:t>
            </w:r>
          </w:p>
        </w:tc>
      </w:tr>
      <w:tr w:rsidR="002B019C" w:rsidRPr="00D10337" w14:paraId="1053E0E6" w14:textId="77777777" w:rsidTr="002B019C">
        <w:tc>
          <w:tcPr>
            <w:tcW w:w="1638" w:type="dxa"/>
          </w:tcPr>
          <w:p w14:paraId="0E328B0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w:t>
            </w:r>
          </w:p>
        </w:tc>
        <w:tc>
          <w:tcPr>
            <w:tcW w:w="6367" w:type="dxa"/>
          </w:tcPr>
          <w:p w14:paraId="440BB60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Country Office</w:t>
            </w:r>
          </w:p>
        </w:tc>
      </w:tr>
      <w:tr w:rsidR="002B019C" w:rsidRPr="00D10337" w14:paraId="224CE642" w14:textId="77777777" w:rsidTr="002B019C">
        <w:tc>
          <w:tcPr>
            <w:tcW w:w="1638" w:type="dxa"/>
          </w:tcPr>
          <w:p w14:paraId="7CE798A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COA</w:t>
            </w:r>
          </w:p>
        </w:tc>
        <w:tc>
          <w:tcPr>
            <w:tcW w:w="6367" w:type="dxa"/>
          </w:tcPr>
          <w:p w14:paraId="5BD8AC0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Chart of Accounts</w:t>
            </w:r>
          </w:p>
        </w:tc>
      </w:tr>
      <w:tr w:rsidR="002B019C" w:rsidRPr="00D10337" w14:paraId="09F51C76" w14:textId="77777777" w:rsidTr="002B019C">
        <w:tc>
          <w:tcPr>
            <w:tcW w:w="1638" w:type="dxa"/>
          </w:tcPr>
          <w:p w14:paraId="7B2A37A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COSO</w:t>
            </w:r>
          </w:p>
        </w:tc>
        <w:tc>
          <w:tcPr>
            <w:tcW w:w="6367" w:type="dxa"/>
          </w:tcPr>
          <w:p w14:paraId="1DA6256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Committee of Sponsoring Organizations of the Treadway Commission</w:t>
            </w:r>
          </w:p>
        </w:tc>
      </w:tr>
      <w:tr w:rsidR="002B019C" w:rsidRPr="00D10337" w14:paraId="7C17A3DC" w14:textId="77777777" w:rsidTr="002B019C">
        <w:tc>
          <w:tcPr>
            <w:tcW w:w="1638" w:type="dxa"/>
          </w:tcPr>
          <w:p w14:paraId="1B51980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CPO</w:t>
            </w:r>
          </w:p>
        </w:tc>
        <w:tc>
          <w:tcPr>
            <w:tcW w:w="6367" w:type="dxa"/>
          </w:tcPr>
          <w:p w14:paraId="244166F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Procurement Officer</w:t>
            </w:r>
          </w:p>
        </w:tc>
      </w:tr>
      <w:tr w:rsidR="002B019C" w:rsidRPr="00D10337" w14:paraId="1FBFF347" w14:textId="77777777" w:rsidTr="002B019C">
        <w:tc>
          <w:tcPr>
            <w:tcW w:w="1638" w:type="dxa"/>
          </w:tcPr>
          <w:p w14:paraId="31F62D7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CS</w:t>
            </w:r>
          </w:p>
        </w:tc>
        <w:tc>
          <w:tcPr>
            <w:tcW w:w="6367" w:type="dxa"/>
          </w:tcPr>
          <w:p w14:paraId="4C3B733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Cost Sharing </w:t>
            </w:r>
          </w:p>
        </w:tc>
      </w:tr>
      <w:tr w:rsidR="002B019C" w:rsidRPr="00D10337" w14:paraId="5E782D0E" w14:textId="77777777" w:rsidTr="002B019C">
        <w:tc>
          <w:tcPr>
            <w:tcW w:w="1638" w:type="dxa"/>
          </w:tcPr>
          <w:p w14:paraId="21E4ACA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CTA</w:t>
            </w:r>
          </w:p>
        </w:tc>
        <w:tc>
          <w:tcPr>
            <w:tcW w:w="6367" w:type="dxa"/>
          </w:tcPr>
          <w:p w14:paraId="5CC075E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Chief Technical Advisor</w:t>
            </w:r>
          </w:p>
        </w:tc>
      </w:tr>
      <w:tr w:rsidR="002B019C" w:rsidRPr="00D10337" w14:paraId="06D554ED" w14:textId="77777777" w:rsidTr="002B019C">
        <w:tc>
          <w:tcPr>
            <w:tcW w:w="1638" w:type="dxa"/>
          </w:tcPr>
          <w:p w14:paraId="436561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DOA</w:t>
            </w:r>
          </w:p>
        </w:tc>
        <w:tc>
          <w:tcPr>
            <w:tcW w:w="6367" w:type="dxa"/>
          </w:tcPr>
          <w:p w14:paraId="2368CE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Delegation of Authority</w:t>
            </w:r>
          </w:p>
        </w:tc>
      </w:tr>
      <w:tr w:rsidR="002B019C" w:rsidRPr="00D10337" w14:paraId="4B05DF00" w14:textId="77777777" w:rsidTr="002B019C">
        <w:tc>
          <w:tcPr>
            <w:tcW w:w="1638" w:type="dxa"/>
          </w:tcPr>
          <w:p w14:paraId="4127AAA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DRR</w:t>
            </w:r>
          </w:p>
        </w:tc>
        <w:tc>
          <w:tcPr>
            <w:tcW w:w="6367" w:type="dxa"/>
          </w:tcPr>
          <w:p w14:paraId="29CA254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Deputy Resident Representative</w:t>
            </w:r>
          </w:p>
        </w:tc>
      </w:tr>
      <w:tr w:rsidR="002B019C" w:rsidRPr="00D10337" w14:paraId="43877F3D" w14:textId="77777777" w:rsidTr="002B019C">
        <w:tc>
          <w:tcPr>
            <w:tcW w:w="1638" w:type="dxa"/>
          </w:tcPr>
          <w:p w14:paraId="3B48EFA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DSA</w:t>
            </w:r>
          </w:p>
        </w:tc>
        <w:tc>
          <w:tcPr>
            <w:tcW w:w="6367" w:type="dxa"/>
          </w:tcPr>
          <w:p w14:paraId="781E755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Daily Subsistence Allowance</w:t>
            </w:r>
          </w:p>
        </w:tc>
      </w:tr>
      <w:tr w:rsidR="002B019C" w:rsidRPr="00D10337" w14:paraId="6F63E590" w14:textId="77777777" w:rsidTr="002B019C">
        <w:tc>
          <w:tcPr>
            <w:tcW w:w="1638" w:type="dxa"/>
          </w:tcPr>
          <w:p w14:paraId="402926B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EB</w:t>
            </w:r>
          </w:p>
        </w:tc>
        <w:tc>
          <w:tcPr>
            <w:tcW w:w="6367" w:type="dxa"/>
          </w:tcPr>
          <w:p w14:paraId="05BE44D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Executive Board</w:t>
            </w:r>
          </w:p>
        </w:tc>
      </w:tr>
      <w:tr w:rsidR="002B019C" w:rsidRPr="00D10337" w14:paraId="64075EE4" w14:textId="77777777" w:rsidTr="002B019C">
        <w:tc>
          <w:tcPr>
            <w:tcW w:w="1638" w:type="dxa"/>
          </w:tcPr>
          <w:p w14:paraId="666AB002"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EFT</w:t>
            </w:r>
          </w:p>
        </w:tc>
        <w:tc>
          <w:tcPr>
            <w:tcW w:w="6367" w:type="dxa"/>
          </w:tcPr>
          <w:p w14:paraId="25EF2FB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Electronic Funds Transfer</w:t>
            </w:r>
          </w:p>
        </w:tc>
      </w:tr>
      <w:tr w:rsidR="002B019C" w:rsidRPr="00D10337" w14:paraId="3054BE10" w14:textId="77777777" w:rsidTr="002B019C">
        <w:tc>
          <w:tcPr>
            <w:tcW w:w="1638" w:type="dxa"/>
          </w:tcPr>
          <w:p w14:paraId="09D04CF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ERP</w:t>
            </w:r>
          </w:p>
        </w:tc>
        <w:tc>
          <w:tcPr>
            <w:tcW w:w="6367" w:type="dxa"/>
          </w:tcPr>
          <w:p w14:paraId="1726389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Enterprise Resource Planning</w:t>
            </w:r>
          </w:p>
        </w:tc>
      </w:tr>
      <w:tr w:rsidR="002B019C" w:rsidRPr="00D10337" w14:paraId="4496BC77" w14:textId="77777777" w:rsidTr="002B019C">
        <w:tc>
          <w:tcPr>
            <w:tcW w:w="1638" w:type="dxa"/>
          </w:tcPr>
          <w:p w14:paraId="3E0C25C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FRR</w:t>
            </w:r>
          </w:p>
        </w:tc>
        <w:tc>
          <w:tcPr>
            <w:tcW w:w="6367" w:type="dxa"/>
          </w:tcPr>
          <w:p w14:paraId="7313404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Financial Regulations &amp; Rules</w:t>
            </w:r>
          </w:p>
        </w:tc>
      </w:tr>
      <w:tr w:rsidR="002B019C" w:rsidRPr="00D10337" w14:paraId="5E9C015F" w14:textId="77777777" w:rsidTr="002B019C">
        <w:tc>
          <w:tcPr>
            <w:tcW w:w="1638" w:type="dxa"/>
          </w:tcPr>
          <w:p w14:paraId="65C8E9A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FTA</w:t>
            </w:r>
          </w:p>
        </w:tc>
        <w:tc>
          <w:tcPr>
            <w:tcW w:w="6367" w:type="dxa"/>
          </w:tcPr>
          <w:p w14:paraId="67B9D13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Fixed Term Appointment</w:t>
            </w:r>
          </w:p>
        </w:tc>
      </w:tr>
      <w:tr w:rsidR="002B019C" w:rsidRPr="00D10337" w14:paraId="4C5CFA60" w14:textId="77777777" w:rsidTr="002B019C">
        <w:tc>
          <w:tcPr>
            <w:tcW w:w="1638" w:type="dxa"/>
          </w:tcPr>
          <w:p w14:paraId="21ED83E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GBT</w:t>
            </w:r>
          </w:p>
        </w:tc>
        <w:tc>
          <w:tcPr>
            <w:tcW w:w="6367" w:type="dxa"/>
          </w:tcPr>
          <w:p w14:paraId="2FEA58C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Business Travel</w:t>
            </w:r>
          </w:p>
        </w:tc>
      </w:tr>
      <w:tr w:rsidR="002B019C" w:rsidRPr="00D10337" w14:paraId="685999A5" w14:textId="77777777" w:rsidTr="002B019C">
        <w:tc>
          <w:tcPr>
            <w:tcW w:w="1638" w:type="dxa"/>
          </w:tcPr>
          <w:p w14:paraId="25FE092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GEF</w:t>
            </w:r>
          </w:p>
        </w:tc>
        <w:tc>
          <w:tcPr>
            <w:tcW w:w="6367" w:type="dxa"/>
          </w:tcPr>
          <w:p w14:paraId="1DB29DB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Environment Fund</w:t>
            </w:r>
          </w:p>
        </w:tc>
      </w:tr>
      <w:tr w:rsidR="002B019C" w:rsidRPr="00D10337" w14:paraId="2630A159" w14:textId="77777777" w:rsidTr="002B019C">
        <w:tc>
          <w:tcPr>
            <w:tcW w:w="1638" w:type="dxa"/>
          </w:tcPr>
          <w:p w14:paraId="50684E2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w:t>
            </w:r>
          </w:p>
        </w:tc>
        <w:tc>
          <w:tcPr>
            <w:tcW w:w="6367" w:type="dxa"/>
          </w:tcPr>
          <w:p w14:paraId="4C8BB1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General Ledger</w:t>
            </w:r>
          </w:p>
        </w:tc>
      </w:tr>
      <w:tr w:rsidR="002B019C" w:rsidRPr="00D10337" w14:paraId="6B010079" w14:textId="77777777" w:rsidTr="002B019C">
        <w:tc>
          <w:tcPr>
            <w:tcW w:w="1638" w:type="dxa"/>
          </w:tcPr>
          <w:p w14:paraId="32AA9CB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GLJE</w:t>
            </w:r>
          </w:p>
        </w:tc>
        <w:tc>
          <w:tcPr>
            <w:tcW w:w="6367" w:type="dxa"/>
          </w:tcPr>
          <w:p w14:paraId="5649DF1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General Ledger Journal Entry</w:t>
            </w:r>
          </w:p>
        </w:tc>
      </w:tr>
      <w:tr w:rsidR="002B019C" w:rsidRPr="00D10337" w14:paraId="44911752" w14:textId="77777777" w:rsidTr="002B019C">
        <w:tc>
          <w:tcPr>
            <w:tcW w:w="1638" w:type="dxa"/>
          </w:tcPr>
          <w:p w14:paraId="207C10D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GSSC</w:t>
            </w:r>
          </w:p>
        </w:tc>
        <w:tc>
          <w:tcPr>
            <w:tcW w:w="6367" w:type="dxa"/>
          </w:tcPr>
          <w:p w14:paraId="529F4E7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Global Shared Services Center</w:t>
            </w:r>
          </w:p>
        </w:tc>
      </w:tr>
      <w:tr w:rsidR="002B019C" w:rsidRPr="00D10337" w14:paraId="65F55192" w14:textId="77777777" w:rsidTr="002B019C">
        <w:tc>
          <w:tcPr>
            <w:tcW w:w="1638" w:type="dxa"/>
          </w:tcPr>
          <w:p w14:paraId="0D388F9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HACT</w:t>
            </w:r>
          </w:p>
        </w:tc>
        <w:tc>
          <w:tcPr>
            <w:tcW w:w="6367" w:type="dxa"/>
          </w:tcPr>
          <w:p w14:paraId="4DE85AE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Harmonized Approach to Cash Transfers</w:t>
            </w:r>
          </w:p>
        </w:tc>
      </w:tr>
      <w:tr w:rsidR="002B019C" w:rsidRPr="00D10337" w14:paraId="745C7CE8" w14:textId="77777777" w:rsidTr="002B019C">
        <w:tc>
          <w:tcPr>
            <w:tcW w:w="1638" w:type="dxa"/>
          </w:tcPr>
          <w:p w14:paraId="0F474A9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HQ</w:t>
            </w:r>
          </w:p>
        </w:tc>
        <w:tc>
          <w:tcPr>
            <w:tcW w:w="6367" w:type="dxa"/>
          </w:tcPr>
          <w:p w14:paraId="3D04988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Headquarters</w:t>
            </w:r>
          </w:p>
        </w:tc>
      </w:tr>
      <w:tr w:rsidR="002B019C" w:rsidRPr="00D10337" w14:paraId="7068FDDB" w14:textId="77777777" w:rsidTr="002B019C">
        <w:tc>
          <w:tcPr>
            <w:tcW w:w="1638" w:type="dxa"/>
          </w:tcPr>
          <w:p w14:paraId="1B30D8E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HR</w:t>
            </w:r>
          </w:p>
        </w:tc>
        <w:tc>
          <w:tcPr>
            <w:tcW w:w="6367" w:type="dxa"/>
          </w:tcPr>
          <w:p w14:paraId="3BFCE84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Human Resources</w:t>
            </w:r>
          </w:p>
        </w:tc>
      </w:tr>
      <w:tr w:rsidR="002B019C" w:rsidRPr="00D10337" w14:paraId="46510490" w14:textId="77777777" w:rsidTr="002B019C">
        <w:tc>
          <w:tcPr>
            <w:tcW w:w="1638" w:type="dxa"/>
          </w:tcPr>
          <w:p w14:paraId="06DFAEA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H2H</w:t>
            </w:r>
          </w:p>
        </w:tc>
        <w:tc>
          <w:tcPr>
            <w:tcW w:w="6367" w:type="dxa"/>
          </w:tcPr>
          <w:p w14:paraId="4E3AF18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Host to Host</w:t>
            </w:r>
          </w:p>
        </w:tc>
      </w:tr>
      <w:tr w:rsidR="002B019C" w:rsidRPr="00D10337" w14:paraId="3117900F" w14:textId="77777777" w:rsidTr="002B019C">
        <w:tc>
          <w:tcPr>
            <w:tcW w:w="1638" w:type="dxa"/>
          </w:tcPr>
          <w:p w14:paraId="2D28E27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ICF</w:t>
            </w:r>
          </w:p>
        </w:tc>
        <w:tc>
          <w:tcPr>
            <w:tcW w:w="6367" w:type="dxa"/>
          </w:tcPr>
          <w:p w14:paraId="1484435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Internal Control Framework</w:t>
            </w:r>
          </w:p>
        </w:tc>
      </w:tr>
      <w:tr w:rsidR="002B019C" w:rsidRPr="00D10337" w14:paraId="716502CF" w14:textId="77777777" w:rsidTr="002B019C">
        <w:tc>
          <w:tcPr>
            <w:tcW w:w="1638" w:type="dxa"/>
          </w:tcPr>
          <w:p w14:paraId="6FFE5F2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IDAM</w:t>
            </w:r>
          </w:p>
        </w:tc>
        <w:tc>
          <w:tcPr>
            <w:tcW w:w="6367" w:type="dxa"/>
          </w:tcPr>
          <w:p w14:paraId="0C95FF0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Identity and Access Management</w:t>
            </w:r>
          </w:p>
        </w:tc>
      </w:tr>
      <w:tr w:rsidR="002B019C" w:rsidRPr="00D10337" w14:paraId="10E68E17" w14:textId="77777777" w:rsidTr="002B019C">
        <w:tc>
          <w:tcPr>
            <w:tcW w:w="1638" w:type="dxa"/>
          </w:tcPr>
          <w:p w14:paraId="4B29AE8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IP</w:t>
            </w:r>
          </w:p>
        </w:tc>
        <w:tc>
          <w:tcPr>
            <w:tcW w:w="6367" w:type="dxa"/>
          </w:tcPr>
          <w:p w14:paraId="1919E15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Implementing Partner</w:t>
            </w:r>
          </w:p>
        </w:tc>
      </w:tr>
      <w:tr w:rsidR="002B019C" w:rsidRPr="00D10337" w14:paraId="45F4AC26" w14:textId="77777777" w:rsidTr="002B019C">
        <w:tc>
          <w:tcPr>
            <w:tcW w:w="1638" w:type="dxa"/>
          </w:tcPr>
          <w:p w14:paraId="77E5C6C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IPSA</w:t>
            </w:r>
          </w:p>
        </w:tc>
        <w:tc>
          <w:tcPr>
            <w:tcW w:w="6367" w:type="dxa"/>
          </w:tcPr>
          <w:p w14:paraId="4507592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International Personnel Services Agreement</w:t>
            </w:r>
          </w:p>
        </w:tc>
      </w:tr>
      <w:tr w:rsidR="002B019C" w:rsidRPr="00D10337" w14:paraId="1D136D8A" w14:textId="77777777" w:rsidTr="002B019C">
        <w:tc>
          <w:tcPr>
            <w:tcW w:w="1638" w:type="dxa"/>
          </w:tcPr>
          <w:p w14:paraId="567D0C5D"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ITM</w:t>
            </w:r>
          </w:p>
        </w:tc>
        <w:tc>
          <w:tcPr>
            <w:tcW w:w="6367" w:type="dxa"/>
          </w:tcPr>
          <w:p w14:paraId="16502E7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Information &amp; Technology Management</w:t>
            </w:r>
          </w:p>
        </w:tc>
      </w:tr>
      <w:tr w:rsidR="002B019C" w:rsidRPr="00D10337" w14:paraId="2909ABDE" w14:textId="77777777" w:rsidTr="002B019C">
        <w:tc>
          <w:tcPr>
            <w:tcW w:w="1638" w:type="dxa"/>
          </w:tcPr>
          <w:p w14:paraId="0D5E069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LTA</w:t>
            </w:r>
          </w:p>
        </w:tc>
        <w:tc>
          <w:tcPr>
            <w:tcW w:w="6367" w:type="dxa"/>
          </w:tcPr>
          <w:p w14:paraId="6B2FEFA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Long Term Agreement</w:t>
            </w:r>
          </w:p>
        </w:tc>
      </w:tr>
      <w:tr w:rsidR="002B019C" w:rsidRPr="00D10337" w14:paraId="619FC259" w14:textId="77777777" w:rsidTr="002B019C">
        <w:tc>
          <w:tcPr>
            <w:tcW w:w="1638" w:type="dxa"/>
          </w:tcPr>
          <w:p w14:paraId="7313212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MPTFO</w:t>
            </w:r>
          </w:p>
        </w:tc>
        <w:tc>
          <w:tcPr>
            <w:tcW w:w="6367" w:type="dxa"/>
          </w:tcPr>
          <w:p w14:paraId="3FEC26F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Multi-Partner Trust Fund Office</w:t>
            </w:r>
          </w:p>
        </w:tc>
      </w:tr>
      <w:tr w:rsidR="002B019C" w:rsidRPr="00D10337" w14:paraId="284AE318" w14:textId="77777777" w:rsidTr="002B019C">
        <w:tc>
          <w:tcPr>
            <w:tcW w:w="1638" w:type="dxa"/>
          </w:tcPr>
          <w:p w14:paraId="48EFAA6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NGO</w:t>
            </w:r>
          </w:p>
        </w:tc>
        <w:tc>
          <w:tcPr>
            <w:tcW w:w="6367" w:type="dxa"/>
          </w:tcPr>
          <w:p w14:paraId="2D68CB4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Non-Governmental Organization</w:t>
            </w:r>
          </w:p>
        </w:tc>
      </w:tr>
      <w:tr w:rsidR="002B019C" w:rsidRPr="00D10337" w14:paraId="134F9876" w14:textId="77777777" w:rsidTr="002B019C">
        <w:tc>
          <w:tcPr>
            <w:tcW w:w="1638" w:type="dxa"/>
          </w:tcPr>
          <w:p w14:paraId="5BF6DF1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NPD</w:t>
            </w:r>
          </w:p>
        </w:tc>
        <w:tc>
          <w:tcPr>
            <w:tcW w:w="6367" w:type="dxa"/>
          </w:tcPr>
          <w:p w14:paraId="28D876B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National Project Director</w:t>
            </w:r>
          </w:p>
        </w:tc>
      </w:tr>
      <w:tr w:rsidR="002B019C" w:rsidRPr="00D10337" w14:paraId="4ABC9B90" w14:textId="77777777" w:rsidTr="002B019C">
        <w:tc>
          <w:tcPr>
            <w:tcW w:w="1638" w:type="dxa"/>
          </w:tcPr>
          <w:p w14:paraId="6F98A70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NRLA</w:t>
            </w:r>
          </w:p>
        </w:tc>
        <w:tc>
          <w:tcPr>
            <w:tcW w:w="6367" w:type="dxa"/>
          </w:tcPr>
          <w:p w14:paraId="4E4BBDC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Non-Reimbursable Loan Agreement</w:t>
            </w:r>
          </w:p>
        </w:tc>
      </w:tr>
      <w:tr w:rsidR="002B019C" w:rsidRPr="00D10337" w14:paraId="4D99F3DD" w14:textId="77777777" w:rsidTr="002B019C">
        <w:tc>
          <w:tcPr>
            <w:tcW w:w="1638" w:type="dxa"/>
          </w:tcPr>
          <w:p w14:paraId="40A8D17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NY</w:t>
            </w:r>
          </w:p>
        </w:tc>
        <w:tc>
          <w:tcPr>
            <w:tcW w:w="6367" w:type="dxa"/>
          </w:tcPr>
          <w:p w14:paraId="27784F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New York</w:t>
            </w:r>
          </w:p>
        </w:tc>
      </w:tr>
      <w:tr w:rsidR="002B019C" w:rsidRPr="00D10337" w14:paraId="403E89C1" w14:textId="77777777" w:rsidTr="002B019C">
        <w:tc>
          <w:tcPr>
            <w:tcW w:w="1638" w:type="dxa"/>
          </w:tcPr>
          <w:p w14:paraId="262D4C5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OAI</w:t>
            </w:r>
          </w:p>
        </w:tc>
        <w:tc>
          <w:tcPr>
            <w:tcW w:w="6367" w:type="dxa"/>
          </w:tcPr>
          <w:p w14:paraId="32D5698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Audit and Investigations</w:t>
            </w:r>
          </w:p>
        </w:tc>
      </w:tr>
      <w:tr w:rsidR="002B019C" w:rsidRPr="00D10337" w14:paraId="3DA8E52A" w14:textId="77777777" w:rsidTr="002B019C">
        <w:tc>
          <w:tcPr>
            <w:tcW w:w="1638" w:type="dxa"/>
          </w:tcPr>
          <w:p w14:paraId="3A379AE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OFRM</w:t>
            </w:r>
          </w:p>
        </w:tc>
        <w:tc>
          <w:tcPr>
            <w:tcW w:w="6367" w:type="dxa"/>
          </w:tcPr>
          <w:p w14:paraId="023EC8C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Financial Resources Management</w:t>
            </w:r>
          </w:p>
        </w:tc>
      </w:tr>
      <w:tr w:rsidR="002B019C" w:rsidRPr="00D10337" w14:paraId="3332EC44" w14:textId="77777777" w:rsidTr="002B019C">
        <w:tc>
          <w:tcPr>
            <w:tcW w:w="1638" w:type="dxa"/>
          </w:tcPr>
          <w:p w14:paraId="136C4D8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OHR</w:t>
            </w:r>
          </w:p>
        </w:tc>
        <w:tc>
          <w:tcPr>
            <w:tcW w:w="6367" w:type="dxa"/>
          </w:tcPr>
          <w:p w14:paraId="3CE83480"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Office of Human Resources</w:t>
            </w:r>
          </w:p>
        </w:tc>
      </w:tr>
      <w:tr w:rsidR="002B019C" w:rsidRPr="00D10337" w14:paraId="7B388118" w14:textId="77777777" w:rsidTr="002B019C">
        <w:tc>
          <w:tcPr>
            <w:tcW w:w="1638" w:type="dxa"/>
          </w:tcPr>
          <w:p w14:paraId="439EB76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OM</w:t>
            </w:r>
          </w:p>
        </w:tc>
        <w:tc>
          <w:tcPr>
            <w:tcW w:w="6367" w:type="dxa"/>
          </w:tcPr>
          <w:p w14:paraId="3AEEEE4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Operations Manager</w:t>
            </w:r>
          </w:p>
        </w:tc>
      </w:tr>
      <w:tr w:rsidR="002B019C" w:rsidRPr="00D10337" w14:paraId="2DF6CC54" w14:textId="77777777" w:rsidTr="002B019C">
        <w:tc>
          <w:tcPr>
            <w:tcW w:w="1638" w:type="dxa"/>
          </w:tcPr>
          <w:p w14:paraId="41BD6B5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PDF</w:t>
            </w:r>
          </w:p>
        </w:tc>
        <w:tc>
          <w:tcPr>
            <w:tcW w:w="6367" w:type="dxa"/>
          </w:tcPr>
          <w:p w14:paraId="1ACC62C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Portable Document Format</w:t>
            </w:r>
          </w:p>
        </w:tc>
      </w:tr>
      <w:tr w:rsidR="002B019C" w:rsidRPr="00D10337" w14:paraId="1BB2456C" w14:textId="77777777" w:rsidTr="002B019C">
        <w:tc>
          <w:tcPr>
            <w:tcW w:w="1638" w:type="dxa"/>
          </w:tcPr>
          <w:p w14:paraId="7009906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PMSU</w:t>
            </w:r>
          </w:p>
        </w:tc>
        <w:tc>
          <w:tcPr>
            <w:tcW w:w="6367" w:type="dxa"/>
          </w:tcPr>
          <w:p w14:paraId="39F589BF"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Project Management Support Unit</w:t>
            </w:r>
          </w:p>
        </w:tc>
      </w:tr>
      <w:tr w:rsidR="002B019C" w:rsidRPr="00D10337" w14:paraId="5FB1D632" w14:textId="77777777" w:rsidTr="002B019C">
        <w:tc>
          <w:tcPr>
            <w:tcW w:w="1638" w:type="dxa"/>
          </w:tcPr>
          <w:p w14:paraId="211DFC5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w:t>
            </w:r>
          </w:p>
        </w:tc>
        <w:tc>
          <w:tcPr>
            <w:tcW w:w="6367" w:type="dxa"/>
          </w:tcPr>
          <w:p w14:paraId="1665EFEB"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Purchase Order</w:t>
            </w:r>
          </w:p>
        </w:tc>
      </w:tr>
      <w:tr w:rsidR="002B019C" w:rsidRPr="00D10337" w14:paraId="66B44ABC" w14:textId="77777777" w:rsidTr="002B019C">
        <w:tc>
          <w:tcPr>
            <w:tcW w:w="1638" w:type="dxa"/>
          </w:tcPr>
          <w:p w14:paraId="4473357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POI</w:t>
            </w:r>
          </w:p>
        </w:tc>
        <w:tc>
          <w:tcPr>
            <w:tcW w:w="6367" w:type="dxa"/>
          </w:tcPr>
          <w:p w14:paraId="12D73FB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Person of Interest (non-staff in IDAM)</w:t>
            </w:r>
          </w:p>
        </w:tc>
      </w:tr>
      <w:tr w:rsidR="002B019C" w:rsidRPr="00D10337" w14:paraId="3D83D4A3" w14:textId="77777777" w:rsidTr="002B019C">
        <w:tc>
          <w:tcPr>
            <w:tcW w:w="1638" w:type="dxa"/>
          </w:tcPr>
          <w:p w14:paraId="2DA406C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POPP</w:t>
            </w:r>
          </w:p>
        </w:tc>
        <w:tc>
          <w:tcPr>
            <w:tcW w:w="6367" w:type="dxa"/>
          </w:tcPr>
          <w:p w14:paraId="08A5037F"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&amp; Operations Policies &amp; Procedures</w:t>
            </w:r>
          </w:p>
        </w:tc>
      </w:tr>
      <w:tr w:rsidR="002B019C" w:rsidRPr="00D10337" w14:paraId="52BE7624" w14:textId="77777777" w:rsidTr="002B019C">
        <w:tc>
          <w:tcPr>
            <w:tcW w:w="1638" w:type="dxa"/>
          </w:tcPr>
          <w:p w14:paraId="05813F3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PPM</w:t>
            </w:r>
          </w:p>
        </w:tc>
        <w:tc>
          <w:tcPr>
            <w:tcW w:w="6367" w:type="dxa"/>
          </w:tcPr>
          <w:p w14:paraId="4A62FE31"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&amp; Project Management</w:t>
            </w:r>
          </w:p>
        </w:tc>
      </w:tr>
      <w:tr w:rsidR="002B019C" w:rsidRPr="00D10337" w14:paraId="4B936DD3" w14:textId="77777777" w:rsidTr="002B019C">
        <w:tc>
          <w:tcPr>
            <w:tcW w:w="1638" w:type="dxa"/>
          </w:tcPr>
          <w:p w14:paraId="6FC722D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lastRenderedPageBreak/>
              <w:t>PPR</w:t>
            </w:r>
          </w:p>
        </w:tc>
        <w:tc>
          <w:tcPr>
            <w:tcW w:w="6367" w:type="dxa"/>
          </w:tcPr>
          <w:p w14:paraId="45904AD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Payment Process Request</w:t>
            </w:r>
          </w:p>
        </w:tc>
      </w:tr>
      <w:tr w:rsidR="002B019C" w:rsidRPr="00D10337" w14:paraId="3F834473" w14:textId="77777777" w:rsidTr="002B019C">
        <w:tc>
          <w:tcPr>
            <w:tcW w:w="1638" w:type="dxa"/>
          </w:tcPr>
          <w:p w14:paraId="71E90414"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PSA</w:t>
            </w:r>
          </w:p>
        </w:tc>
        <w:tc>
          <w:tcPr>
            <w:tcW w:w="6367" w:type="dxa"/>
          </w:tcPr>
          <w:p w14:paraId="134E579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Personnel Services Agreement</w:t>
            </w:r>
          </w:p>
        </w:tc>
      </w:tr>
      <w:tr w:rsidR="002B019C" w:rsidRPr="00D10337" w14:paraId="4069369A" w14:textId="77777777" w:rsidTr="002B019C">
        <w:tc>
          <w:tcPr>
            <w:tcW w:w="1638" w:type="dxa"/>
          </w:tcPr>
          <w:p w14:paraId="29E5CEA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PSU</w:t>
            </w:r>
          </w:p>
        </w:tc>
        <w:tc>
          <w:tcPr>
            <w:tcW w:w="6367" w:type="dxa"/>
          </w:tcPr>
          <w:p w14:paraId="70351B67" w14:textId="77777777" w:rsidR="002B019C" w:rsidRPr="00447617" w:rsidRDefault="002B019C" w:rsidP="00A70B5C">
            <w:pPr>
              <w:rPr>
                <w:rFonts w:ascii="Calibri" w:hAnsi="Calibri" w:cs="Calibri"/>
                <w:sz w:val="18"/>
                <w:szCs w:val="18"/>
              </w:rPr>
            </w:pPr>
            <w:proofErr w:type="spellStart"/>
            <w:r w:rsidRPr="00447617">
              <w:rPr>
                <w:rFonts w:ascii="Calibri" w:hAnsi="Calibri" w:cs="Calibri"/>
                <w:sz w:val="18"/>
                <w:szCs w:val="18"/>
              </w:rPr>
              <w:t>Programme</w:t>
            </w:r>
            <w:proofErr w:type="spellEnd"/>
            <w:r w:rsidRPr="00447617">
              <w:rPr>
                <w:rFonts w:ascii="Calibri" w:hAnsi="Calibri" w:cs="Calibri"/>
                <w:sz w:val="18"/>
                <w:szCs w:val="18"/>
              </w:rPr>
              <w:t xml:space="preserve"> Support Unit</w:t>
            </w:r>
          </w:p>
        </w:tc>
      </w:tr>
      <w:tr w:rsidR="002B019C" w:rsidRPr="00D10337" w14:paraId="014F2704" w14:textId="77777777" w:rsidTr="002B019C">
        <w:tc>
          <w:tcPr>
            <w:tcW w:w="1638" w:type="dxa"/>
          </w:tcPr>
          <w:p w14:paraId="1F60994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RH</w:t>
            </w:r>
          </w:p>
        </w:tc>
        <w:tc>
          <w:tcPr>
            <w:tcW w:w="6367" w:type="dxa"/>
          </w:tcPr>
          <w:p w14:paraId="57E4D86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Regional Hub</w:t>
            </w:r>
          </w:p>
        </w:tc>
      </w:tr>
      <w:tr w:rsidR="002B019C" w:rsidRPr="00D10337" w14:paraId="43EA10B6" w14:textId="77777777" w:rsidTr="002B019C">
        <w:tc>
          <w:tcPr>
            <w:tcW w:w="1638" w:type="dxa"/>
          </w:tcPr>
          <w:p w14:paraId="5498630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RLA</w:t>
            </w:r>
          </w:p>
        </w:tc>
        <w:tc>
          <w:tcPr>
            <w:tcW w:w="6367" w:type="dxa"/>
          </w:tcPr>
          <w:p w14:paraId="751BBB3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Reimbursable Loan Agreement</w:t>
            </w:r>
          </w:p>
        </w:tc>
      </w:tr>
      <w:tr w:rsidR="002B019C" w:rsidRPr="00D10337" w14:paraId="17C9325C" w14:textId="77777777" w:rsidTr="002B019C">
        <w:tc>
          <w:tcPr>
            <w:tcW w:w="1638" w:type="dxa"/>
          </w:tcPr>
          <w:p w14:paraId="058FE6F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RR</w:t>
            </w:r>
          </w:p>
        </w:tc>
        <w:tc>
          <w:tcPr>
            <w:tcW w:w="6367" w:type="dxa"/>
          </w:tcPr>
          <w:p w14:paraId="7C9C6B3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Resident Representative</w:t>
            </w:r>
          </w:p>
        </w:tc>
      </w:tr>
      <w:tr w:rsidR="002B019C" w:rsidRPr="00D10337" w14:paraId="03B213F1" w14:textId="77777777" w:rsidTr="002B019C">
        <w:tc>
          <w:tcPr>
            <w:tcW w:w="1638" w:type="dxa"/>
          </w:tcPr>
          <w:p w14:paraId="1C9DBB2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SCM</w:t>
            </w:r>
          </w:p>
        </w:tc>
        <w:tc>
          <w:tcPr>
            <w:tcW w:w="6367" w:type="dxa"/>
          </w:tcPr>
          <w:p w14:paraId="6A20B44E"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Supply Chain Management</w:t>
            </w:r>
          </w:p>
        </w:tc>
      </w:tr>
      <w:tr w:rsidR="002B019C" w:rsidRPr="00D10337" w14:paraId="540EF0AC" w14:textId="77777777" w:rsidTr="002B019C">
        <w:tc>
          <w:tcPr>
            <w:tcW w:w="1638" w:type="dxa"/>
          </w:tcPr>
          <w:p w14:paraId="61B3C4D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SOP</w:t>
            </w:r>
          </w:p>
        </w:tc>
        <w:tc>
          <w:tcPr>
            <w:tcW w:w="6367" w:type="dxa"/>
          </w:tcPr>
          <w:p w14:paraId="4893401A"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Standard Operating Procedure</w:t>
            </w:r>
          </w:p>
        </w:tc>
      </w:tr>
      <w:tr w:rsidR="002B019C" w:rsidRPr="00D10337" w14:paraId="03F3287E" w14:textId="77777777" w:rsidTr="002B019C">
        <w:tc>
          <w:tcPr>
            <w:tcW w:w="1638" w:type="dxa"/>
          </w:tcPr>
          <w:p w14:paraId="5C33DE69"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TA</w:t>
            </w:r>
          </w:p>
        </w:tc>
        <w:tc>
          <w:tcPr>
            <w:tcW w:w="6367" w:type="dxa"/>
          </w:tcPr>
          <w:p w14:paraId="4CE83983"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Temporary Appointment</w:t>
            </w:r>
          </w:p>
        </w:tc>
      </w:tr>
      <w:tr w:rsidR="002B019C" w:rsidRPr="00D10337" w14:paraId="1CD3E842" w14:textId="77777777" w:rsidTr="002B019C">
        <w:tc>
          <w:tcPr>
            <w:tcW w:w="1638" w:type="dxa"/>
          </w:tcPr>
          <w:p w14:paraId="22650B5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UFF</w:t>
            </w:r>
          </w:p>
        </w:tc>
        <w:tc>
          <w:tcPr>
            <w:tcW w:w="6367" w:type="dxa"/>
          </w:tcPr>
          <w:p w14:paraId="1970F0D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Universal Flat File</w:t>
            </w:r>
          </w:p>
        </w:tc>
      </w:tr>
      <w:tr w:rsidR="002B019C" w:rsidRPr="00D10337" w14:paraId="007A929F" w14:textId="77777777" w:rsidTr="002B019C">
        <w:tc>
          <w:tcPr>
            <w:tcW w:w="1638" w:type="dxa"/>
          </w:tcPr>
          <w:p w14:paraId="0881ED65"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w:t>
            </w:r>
          </w:p>
        </w:tc>
        <w:tc>
          <w:tcPr>
            <w:tcW w:w="6367" w:type="dxa"/>
          </w:tcPr>
          <w:p w14:paraId="7B7CDEC1"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United Nations</w:t>
            </w:r>
          </w:p>
        </w:tc>
      </w:tr>
      <w:tr w:rsidR="002B019C" w:rsidRPr="00D10337" w14:paraId="7B1C156B" w14:textId="77777777" w:rsidTr="002B019C">
        <w:tc>
          <w:tcPr>
            <w:tcW w:w="1638" w:type="dxa"/>
          </w:tcPr>
          <w:p w14:paraId="79577EA7"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UNDP</w:t>
            </w:r>
          </w:p>
        </w:tc>
        <w:tc>
          <w:tcPr>
            <w:tcW w:w="6367" w:type="dxa"/>
          </w:tcPr>
          <w:p w14:paraId="2CA2C2E8"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 xml:space="preserve">United Nations Development </w:t>
            </w:r>
            <w:proofErr w:type="spellStart"/>
            <w:r w:rsidRPr="00447617">
              <w:rPr>
                <w:rFonts w:ascii="Calibri" w:hAnsi="Calibri" w:cs="Calibri"/>
                <w:sz w:val="18"/>
                <w:szCs w:val="18"/>
              </w:rPr>
              <w:t>Programme</w:t>
            </w:r>
            <w:proofErr w:type="spellEnd"/>
          </w:p>
        </w:tc>
      </w:tr>
      <w:tr w:rsidR="002B019C" w:rsidRPr="00D10337" w14:paraId="0F6964BA" w14:textId="77777777" w:rsidTr="002B019C">
        <w:tc>
          <w:tcPr>
            <w:tcW w:w="1638" w:type="dxa"/>
          </w:tcPr>
          <w:p w14:paraId="7F6EB396"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ZDI</w:t>
            </w:r>
          </w:p>
        </w:tc>
        <w:tc>
          <w:tcPr>
            <w:tcW w:w="6367" w:type="dxa"/>
          </w:tcPr>
          <w:p w14:paraId="54EC7C4C" w14:textId="77777777" w:rsidR="002B019C" w:rsidRPr="00447617" w:rsidRDefault="002B019C" w:rsidP="00A70B5C">
            <w:pPr>
              <w:rPr>
                <w:rFonts w:ascii="Calibri" w:hAnsi="Calibri" w:cs="Calibri"/>
                <w:sz w:val="18"/>
                <w:szCs w:val="18"/>
              </w:rPr>
            </w:pPr>
            <w:r w:rsidRPr="00447617">
              <w:rPr>
                <w:rFonts w:ascii="Calibri" w:hAnsi="Calibri" w:cs="Calibri"/>
                <w:sz w:val="18"/>
                <w:szCs w:val="18"/>
              </w:rPr>
              <w:t>Zero Dollar Invoice</w:t>
            </w:r>
          </w:p>
        </w:tc>
      </w:tr>
    </w:tbl>
    <w:p w14:paraId="047760B3" w14:textId="77777777" w:rsidR="005D2D12" w:rsidRDefault="005D2D12" w:rsidP="000A2DF8"/>
    <w:sectPr w:rsidR="005D2D12" w:rsidSect="0092726A">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339" w14:textId="77777777" w:rsidR="00D47070" w:rsidRDefault="00D47070" w:rsidP="00DC25E6">
      <w:pPr>
        <w:spacing w:after="0" w:line="240" w:lineRule="auto"/>
      </w:pPr>
      <w:r>
        <w:separator/>
      </w:r>
    </w:p>
  </w:endnote>
  <w:endnote w:type="continuationSeparator" w:id="0">
    <w:p w14:paraId="3CCCB73E" w14:textId="77777777" w:rsidR="00D47070" w:rsidRDefault="00D47070" w:rsidP="00DC25E6">
      <w:pPr>
        <w:spacing w:after="0" w:line="240" w:lineRule="auto"/>
      </w:pPr>
      <w:r>
        <w:continuationSeparator/>
      </w:r>
    </w:p>
  </w:endnote>
  <w:endnote w:type="continuationNotice" w:id="1">
    <w:p w14:paraId="260970CD" w14:textId="77777777" w:rsidR="00D47070" w:rsidRDefault="00D4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1F17" w14:textId="77777777" w:rsidR="00A66E0C" w:rsidRDefault="00A66E0C">
    <w:pPr>
      <w:pStyle w:val="BodyText"/>
      <w:spacing w:line="14" w:lineRule="auto"/>
      <w:rPr>
        <w:sz w:val="17"/>
      </w:rPr>
    </w:pPr>
    <w:r>
      <w:rPr>
        <w:noProof/>
      </w:rPr>
      <mc:AlternateContent>
        <mc:Choice Requires="wps">
          <w:drawing>
            <wp:anchor distT="0" distB="0" distL="114300" distR="114300" simplePos="0" relativeHeight="251658240" behindDoc="1" locked="0" layoutInCell="1" allowOverlap="1" wp14:anchorId="42504D20" wp14:editId="1DABA2E3">
              <wp:simplePos x="0" y="0"/>
              <wp:positionH relativeFrom="page">
                <wp:posOffset>6875780</wp:posOffset>
              </wp:positionH>
              <wp:positionV relativeFrom="page">
                <wp:posOffset>9005570</wp:posOffset>
              </wp:positionV>
              <wp:extent cx="217170" cy="1524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04D20" id="_x0000_t202" coordsize="21600,21600" o:spt="202" path="m,l,21600r21600,l21600,xe">
              <v:stroke joinstyle="miter"/>
              <v:path gradientshapeok="t" o:connecttype="rect"/>
            </v:shapetype>
            <v:shape id="Text Box 18" o:spid="_x0000_s1026" type="#_x0000_t202" style="position:absolute;margin-left:541.4pt;margin-top:709.1pt;width:17.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" filled="f" stroked="f">
              <v:textbox inset="0,0,0,0">
                <w:txbxContent>
                  <w:p w14:paraId="5D2BD42A" w14:textId="77777777" w:rsidR="00A66E0C" w:rsidRDefault="00A66E0C">
                    <w:pPr>
                      <w:spacing w:line="223" w:lineRule="exact"/>
                      <w:ind w:left="60"/>
                      <w:rPr>
                        <w:b/>
                        <w:sz w:val="20"/>
                      </w:rPr>
                    </w:pPr>
                    <w:r>
                      <w:fldChar w:fldCharType="begin"/>
                    </w:r>
                    <w:r>
                      <w:rPr>
                        <w:b/>
                        <w:sz w:val="20"/>
                      </w:rPr>
                      <w:instrText xml:space="preserve"> PAGE </w:instrText>
                    </w:r>
                    <w:r>
                      <w:fldChar w:fldCharType="separate"/>
                    </w:r>
                    <w:r>
                      <w:t>17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38562"/>
      <w:docPartObj>
        <w:docPartGallery w:val="Page Numbers (Bottom of Page)"/>
        <w:docPartUnique/>
      </w:docPartObj>
    </w:sdtPr>
    <w:sdtEndPr>
      <w:rPr>
        <w:noProof/>
      </w:rPr>
    </w:sdtEndPr>
    <w:sdtContent>
      <w:p w14:paraId="6C2A5FB6" w14:textId="75F40AD5" w:rsidR="00484153" w:rsidRDefault="004841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CBBA7" w14:textId="77777777" w:rsidR="00484153" w:rsidRDefault="00484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BCAF2" w14:textId="77777777" w:rsidR="00D47070" w:rsidRDefault="00D47070" w:rsidP="00DC25E6">
      <w:pPr>
        <w:spacing w:after="0" w:line="240" w:lineRule="auto"/>
      </w:pPr>
      <w:r>
        <w:separator/>
      </w:r>
    </w:p>
  </w:footnote>
  <w:footnote w:type="continuationSeparator" w:id="0">
    <w:p w14:paraId="6018C5E2" w14:textId="77777777" w:rsidR="00D47070" w:rsidRDefault="00D47070" w:rsidP="00DC25E6">
      <w:pPr>
        <w:spacing w:after="0" w:line="240" w:lineRule="auto"/>
      </w:pPr>
      <w:r>
        <w:continuationSeparator/>
      </w:r>
    </w:p>
  </w:footnote>
  <w:footnote w:type="continuationNotice" w:id="1">
    <w:p w14:paraId="25EBAC8C" w14:textId="77777777" w:rsidR="00D47070" w:rsidRDefault="00D47070">
      <w:pPr>
        <w:spacing w:after="0" w:line="240" w:lineRule="auto"/>
      </w:pPr>
    </w:p>
  </w:footnote>
  <w:footnote w:id="2">
    <w:p w14:paraId="0A370194" w14:textId="1968BD3D" w:rsidR="00264794" w:rsidRPr="00F84992" w:rsidRDefault="00264794">
      <w:pPr>
        <w:pStyle w:val="FootnoteText"/>
      </w:pPr>
      <w:r w:rsidRPr="00F84992">
        <w:rPr>
          <w:rStyle w:val="FootnoteReference"/>
        </w:rPr>
        <w:footnoteRef/>
      </w:r>
      <w:r w:rsidRPr="00F84992">
        <w:t xml:space="preserve"> As articulated in the UNDP Accountability Framework (2008) and UNDP Internal Control Policy (2022).</w:t>
      </w:r>
    </w:p>
  </w:footnote>
  <w:footnote w:id="3">
    <w:p w14:paraId="1914E325" w14:textId="02B2D639" w:rsidR="00A75947" w:rsidRDefault="00A75947">
      <w:pPr>
        <w:pStyle w:val="FootnoteText"/>
      </w:pPr>
      <w:r w:rsidRPr="00F84992">
        <w:rPr>
          <w:rStyle w:val="FootnoteReference"/>
        </w:rPr>
        <w:footnoteRef/>
      </w:r>
      <w:r w:rsidRPr="00F84992">
        <w:t xml:space="preserve"> UNDP utilizes two frameworks: (i) The Committee of Sponsoring Organizations of the Treadway Commission (COSO) 2013 Internal Control – Integrated Framework (May 2013), which is commonly recognized as the leading framework on which to build and assess the effectiveness of internal controls in an organization; and (ii) The Three Lines Model, The Institute of Internal Auditors, July 2020. The COSO framework describes what we do in internal control and the Three Lines Model describes who does it. Both frameworks have been endorsed by the High-Level Committee on Management.</w:t>
      </w:r>
    </w:p>
  </w:footnote>
  <w:footnote w:id="4">
    <w:p w14:paraId="4A62BA87" w14:textId="251B5FC2" w:rsidR="00A33005" w:rsidRPr="008A2B3D" w:rsidRDefault="00A33005">
      <w:pPr>
        <w:pStyle w:val="FootnoteText"/>
        <w:rPr>
          <w:lang w:val="pt-PT"/>
        </w:rPr>
      </w:pPr>
      <w:r w:rsidRPr="00F84992">
        <w:rPr>
          <w:rStyle w:val="FootnoteReference"/>
        </w:rPr>
        <w:footnoteRef/>
      </w:r>
      <w:r w:rsidRPr="00F84992">
        <w:rPr>
          <w:lang w:val="pt-PT"/>
        </w:rPr>
        <w:t xml:space="preserve"> The ERP platform includes Quantum, Quantum+ and IDAM.</w:t>
      </w:r>
    </w:p>
  </w:footnote>
  <w:footnote w:id="5">
    <w:p w14:paraId="0DD541C6" w14:textId="1B9996A7" w:rsidR="00E324B0" w:rsidRPr="00F84992" w:rsidRDefault="00E324B0">
      <w:pPr>
        <w:pStyle w:val="FootnoteText"/>
      </w:pPr>
      <w:r w:rsidRPr="00F84992">
        <w:rPr>
          <w:rStyle w:val="FootnoteReference"/>
        </w:rPr>
        <w:footnoteRef/>
      </w:r>
      <w:r w:rsidRPr="00F84992">
        <w:t xml:space="preserve"> The KPIs for BMS/GSSC processing services are established in SLAs with Rbx and reported on performance dashboard on the </w:t>
      </w:r>
      <w:hyperlink r:id="rId1" w:history="1">
        <w:r w:rsidRPr="001D31E3">
          <w:rPr>
            <w:rStyle w:val="Hyperlink"/>
          </w:rPr>
          <w:t>BMS/GSSC dashboard</w:t>
        </w:r>
      </w:hyperlink>
      <w:r w:rsidR="001D31E3">
        <w:rPr>
          <w:color w:val="7030A0"/>
        </w:rPr>
        <w:t>.</w:t>
      </w:r>
      <w:r w:rsidRPr="00AD2101">
        <w:rPr>
          <w:color w:val="7030A0"/>
        </w:rPr>
        <w:t xml:space="preserve"> </w:t>
      </w:r>
      <w:r w:rsidRPr="00F84992">
        <w:t>If a Country Office</w:t>
      </w:r>
      <w:r w:rsidR="00356A22" w:rsidRPr="00F84992">
        <w:t>/unit</w:t>
      </w:r>
      <w:r w:rsidRPr="00F84992">
        <w:t xml:space="preserve"> performs an emergency transaction due to reason of exigency, they must document the rationale and report it to their respective Regional Bureau</w:t>
      </w:r>
      <w:r w:rsidR="001D31E3" w:rsidRPr="00F84992">
        <w:t>.</w:t>
      </w:r>
    </w:p>
  </w:footnote>
  <w:footnote w:id="6">
    <w:p w14:paraId="1E1C4424" w14:textId="0C6AFE7C" w:rsidR="005B755E" w:rsidRPr="00AD2101" w:rsidRDefault="005B755E" w:rsidP="007A1AA4">
      <w:pPr>
        <w:spacing w:after="0"/>
        <w:rPr>
          <w:color w:val="7030A0"/>
        </w:rPr>
      </w:pPr>
      <w:r w:rsidRPr="00F84992">
        <w:rPr>
          <w:rStyle w:val="FootnoteReference"/>
        </w:rPr>
        <w:footnoteRef/>
      </w:r>
      <w:r w:rsidRPr="00F84992">
        <w:t xml:space="preserve"> </w:t>
      </w:r>
      <w:r w:rsidRPr="00F84992">
        <w:rPr>
          <w:sz w:val="20"/>
          <w:szCs w:val="20"/>
        </w:rPr>
        <w:t xml:space="preserve">This requirement applies to Finance Business Profiles (Project Manager, Buyer, Approving Managers, Finance User and General User) and select HR Business Profiles that must be segregated under the ICF (i.e., HR </w:t>
      </w:r>
      <w:r w:rsidR="007A1AA4" w:rsidRPr="00F84992">
        <w:rPr>
          <w:sz w:val="20"/>
          <w:szCs w:val="20"/>
        </w:rPr>
        <w:t>Administrator</w:t>
      </w:r>
      <w:r w:rsidRPr="00F84992">
        <w:rPr>
          <w:sz w:val="20"/>
          <w:szCs w:val="20"/>
        </w:rPr>
        <w:t xml:space="preserve">, GP </w:t>
      </w:r>
      <w:r w:rsidR="007A1AA4" w:rsidRPr="00F84992">
        <w:rPr>
          <w:sz w:val="20"/>
          <w:szCs w:val="20"/>
        </w:rPr>
        <w:t>Administrator</w:t>
      </w:r>
      <w:r w:rsidRPr="00F84992">
        <w:rPr>
          <w:sz w:val="20"/>
          <w:szCs w:val="20"/>
        </w:rPr>
        <w:t>, and Disbursement Officer – Payroll). For all other HR Business Profiles, it is possible to hold more than one</w:t>
      </w:r>
      <w:r w:rsidR="009512A0" w:rsidRPr="00F84992">
        <w:rPr>
          <w:sz w:val="20"/>
          <w:szCs w:val="20"/>
        </w:rPr>
        <w:t xml:space="preserve"> per user as they either don’t require segregation of duties or do not fall under the scope of the ICF.</w:t>
      </w:r>
    </w:p>
    <w:p w14:paraId="25832AB4" w14:textId="3D6ECAE8" w:rsidR="005B755E" w:rsidRPr="00F84992" w:rsidRDefault="005B755E">
      <w:pPr>
        <w:pStyle w:val="FootnoteText"/>
      </w:pPr>
    </w:p>
  </w:footnote>
  <w:footnote w:id="7">
    <w:p w14:paraId="22A0149A" w14:textId="4223C8DD" w:rsidR="00EE123E" w:rsidRPr="00F84992" w:rsidRDefault="00EE123E">
      <w:pPr>
        <w:pStyle w:val="FootnoteText"/>
      </w:pPr>
      <w:r w:rsidRPr="00F84992">
        <w:rPr>
          <w:rStyle w:val="FootnoteReference"/>
        </w:rPr>
        <w:footnoteRef/>
      </w:r>
      <w:r w:rsidRPr="00F84992">
        <w:t xml:space="preserve"> Disbursement functions within the ERP are now fulfilled by BMS/GSSC </w:t>
      </w:r>
      <w:r w:rsidR="007531A6">
        <w:t xml:space="preserve">(for COs) </w:t>
      </w:r>
      <w:r w:rsidRPr="00F84992">
        <w:t>and BMS/OF</w:t>
      </w:r>
      <w:r w:rsidR="00A40A72">
        <w:t>R</w:t>
      </w:r>
      <w:r w:rsidRPr="00F84992">
        <w:t>M/Treasury</w:t>
      </w:r>
      <w:r w:rsidR="007531A6">
        <w:t xml:space="preserve"> (for HQ offices), and UNV</w:t>
      </w:r>
      <w:r w:rsidRPr="00F84992">
        <w:t>, so all other offices</w:t>
      </w:r>
      <w:r w:rsidR="00A24D5B" w:rsidRPr="00F84992">
        <w:t>/units</w:t>
      </w:r>
      <w:r w:rsidRPr="00F84992">
        <w:t xml:space="preserve"> do not have a dedicated ‘Disbursing Officer’ role in IDAM</w:t>
      </w:r>
      <w:r w:rsidR="007531A6">
        <w:t>.</w:t>
      </w:r>
    </w:p>
  </w:footnote>
  <w:footnote w:id="8">
    <w:p w14:paraId="1280F8E8" w14:textId="5DB8B01B" w:rsidR="00A24D5B" w:rsidRDefault="00A24D5B" w:rsidP="00A24D5B">
      <w:pPr>
        <w:pStyle w:val="FootnoteText"/>
      </w:pPr>
      <w:r w:rsidRPr="00F84992">
        <w:rPr>
          <w:rStyle w:val="FootnoteReference"/>
        </w:rPr>
        <w:footnoteRef/>
      </w:r>
      <w:r w:rsidRPr="00F84992">
        <w:t xml:space="preserve"> </w:t>
      </w:r>
      <w:r w:rsidR="009E790E" w:rsidRPr="00F84992">
        <w:t xml:space="preserve">Oracle PPM currently has a technical limitation in that it does not allow the Project Manager assignment field to be restricted. Therefore, any user can currently modify the PPM Project Manager assignment field. </w:t>
      </w:r>
      <w:r w:rsidRPr="00F84992">
        <w:t>While BMS/OF</w:t>
      </w:r>
      <w:r w:rsidR="00A40A72">
        <w:t>R</w:t>
      </w:r>
      <w:r w:rsidRPr="00F84992">
        <w:t>M is currently utilizing this limitation to accommodate the ICF flexibility for RR/DRR/OM (and HQ equivalents), BMS/OF</w:t>
      </w:r>
      <w:r w:rsidR="00A40A72">
        <w:t>R</w:t>
      </w:r>
      <w:r w:rsidRPr="00F84992">
        <w:t>M is aware of the ICF compliance challenges open access to this PPM</w:t>
      </w:r>
      <w:r w:rsidR="006509AC" w:rsidRPr="00F84992">
        <w:t xml:space="preserve"> Project Manager assignment</w:t>
      </w:r>
      <w:r w:rsidRPr="00F84992">
        <w:t xml:space="preserve"> field has created</w:t>
      </w:r>
      <w:r w:rsidR="00424EE9" w:rsidRPr="00F84992">
        <w:t xml:space="preserve"> for offices/units</w:t>
      </w:r>
      <w:r w:rsidRPr="00F84992">
        <w:t>. BMS/OF</w:t>
      </w:r>
      <w:r w:rsidR="00A40A72">
        <w:t>R</w:t>
      </w:r>
      <w:r w:rsidRPr="00F84992">
        <w:t xml:space="preserve">M is working with BMS/ITM (and Oracle) to develop a longer-term solution to better control access to this </w:t>
      </w:r>
      <w:r w:rsidR="00424EE9" w:rsidRPr="00F84992">
        <w:t xml:space="preserve">PPM </w:t>
      </w:r>
      <w:r w:rsidRPr="00F84992">
        <w:t>field and ensure tighter alignment between IDAM and PPM Project Manager assignments. In the interim, BMS/OF</w:t>
      </w:r>
      <w:r w:rsidR="00A40A72">
        <w:t>R</w:t>
      </w:r>
      <w:r w:rsidRPr="00F84992">
        <w:t xml:space="preserve">M has provided several </w:t>
      </w:r>
      <w:hyperlink r:id="rId2" w:history="1">
        <w:r w:rsidRPr="00944D11">
          <w:rPr>
            <w:rStyle w:val="Hyperlink"/>
          </w:rPr>
          <w:t>ICF Monitoring Reports</w:t>
        </w:r>
      </w:hyperlink>
      <w:r w:rsidRPr="00F84992">
        <w:t xml:space="preserve"> that are refreshed daily to help offices/units </w:t>
      </w:r>
      <w:r w:rsidR="009239E9" w:rsidRPr="00F84992">
        <w:t>monitor</w:t>
      </w:r>
      <w:r w:rsidRPr="00F84992">
        <w:t xml:space="preserve"> and resolve the resulting ICF compliance challenges.</w:t>
      </w:r>
    </w:p>
  </w:footnote>
  <w:footnote w:id="9">
    <w:p w14:paraId="407C1CB3" w14:textId="6FEBE6D6" w:rsidR="000657FC" w:rsidRPr="00F84992" w:rsidRDefault="000657FC">
      <w:pPr>
        <w:pStyle w:val="FootnoteText"/>
      </w:pPr>
      <w:r w:rsidRPr="00F84992">
        <w:rPr>
          <w:rStyle w:val="FootnoteReference"/>
        </w:rPr>
        <w:footnoteRef/>
      </w:r>
      <w:r w:rsidRPr="00F84992">
        <w:t xml:space="preserve"> </w:t>
      </w:r>
      <w:r w:rsidRPr="00F84992">
        <w:rPr>
          <w:rFonts w:cstheme="minorHAnsi"/>
        </w:rPr>
        <w:t xml:space="preserve">Effective 9 February 2024, the BMS Director </w:t>
      </w:r>
      <w:r w:rsidR="00983800" w:rsidRPr="00F84992">
        <w:rPr>
          <w:rFonts w:cstheme="minorHAnsi"/>
        </w:rPr>
        <w:t xml:space="preserve">announced that </w:t>
      </w:r>
      <w:r w:rsidR="00983800" w:rsidRPr="00F84992">
        <w:rPr>
          <w:rFonts w:cstheme="minorHAnsi"/>
          <w:lang w:val="en-MY"/>
          <w14:ligatures w14:val="none"/>
        </w:rPr>
        <w:t>BMS/GSSC would perform the L2 validation/approval for all suppliers. This change was aimed at reducing the level of payment rejections due to incorrect banking data, strengthen internal controls and increase process efficiencies. Some HQ offices</w:t>
      </w:r>
      <w:r w:rsidR="00356A22" w:rsidRPr="00F84992">
        <w:rPr>
          <w:rFonts w:cstheme="minorHAnsi"/>
          <w:lang w:val="en-MY"/>
          <w14:ligatures w14:val="none"/>
        </w:rPr>
        <w:t>/units</w:t>
      </w:r>
      <w:r w:rsidR="00983800" w:rsidRPr="00F84992">
        <w:rPr>
          <w:rFonts w:cstheme="minorHAnsi"/>
          <w:lang w:val="en-MY"/>
          <w14:ligatures w14:val="none"/>
        </w:rPr>
        <w:t xml:space="preserve"> are still permitted to have the required access to perform L2 supplier approvals for emergencies only. Such access should be approved by the CFO.</w:t>
      </w:r>
      <w:r w:rsidRPr="00F84992">
        <w:t xml:space="preserve"> </w:t>
      </w:r>
    </w:p>
  </w:footnote>
  <w:footnote w:id="10">
    <w:p w14:paraId="7DEC6A2B" w14:textId="6AE6439C" w:rsidR="00962F7A" w:rsidRDefault="00962F7A" w:rsidP="00962F7A">
      <w:pPr>
        <w:pStyle w:val="FootnoteText"/>
      </w:pPr>
      <w:r w:rsidRPr="00F84992">
        <w:rPr>
          <w:rStyle w:val="FootnoteReference"/>
        </w:rPr>
        <w:footnoteRef/>
      </w:r>
      <w:r w:rsidRPr="00F84992">
        <w:t xml:space="preserve"> The proposed revised process envisages that Finance Users, General Users and Buyers will be able to perform the data entry to create or modify a supplier in cases where a supplier cannot do so themselves (i.e., internal registration only). This will increase the flexibility in the number of staff who can perform the data entry for supplier creation/ modification as all of these roles may be held by non-staff personnel , which adds flexibility for smaller offices</w:t>
      </w:r>
      <w:r w:rsidR="00356A22" w:rsidRPr="00F84992">
        <w:t>/units</w:t>
      </w:r>
      <w:r w:rsidRPr="00F84992">
        <w:t>. The proposal also reduces the level of data entry being done by an L1 approver for internal supplier registrations and should speed up the process for L1 approvals. These process changes are expected to be available in 2025.</w:t>
      </w:r>
    </w:p>
  </w:footnote>
  <w:footnote w:id="11">
    <w:p w14:paraId="5810EE8C" w14:textId="77777777" w:rsidR="00D50A16" w:rsidRPr="009A7C29" w:rsidRDefault="00D50A16" w:rsidP="00D50A16">
      <w:pPr>
        <w:pStyle w:val="FootnoteText"/>
      </w:pPr>
      <w:r w:rsidRPr="009A7C29">
        <w:rPr>
          <w:rStyle w:val="FootnoteReference"/>
        </w:rPr>
        <w:footnoteRef/>
      </w:r>
      <w:r w:rsidRPr="009A7C29">
        <w:t xml:space="preserve"> When the Project Manager role in Quantum is assigned to external personnel using the external access for projects, Country Offices/units should carefully consider the assignment of Quantum first authority roles to</w:t>
      </w:r>
      <w:r w:rsidRPr="009A7C29">
        <w:rPr>
          <w:spacing w:val="1"/>
        </w:rPr>
        <w:t xml:space="preserve"> </w:t>
      </w:r>
      <w:r w:rsidRPr="009A7C29">
        <w:t xml:space="preserve">non-staff, </w:t>
      </w:r>
      <w:r w:rsidRPr="009A7C29" w:rsidDel="00DF2DDB">
        <w:t>since</w:t>
      </w:r>
      <w:r w:rsidRPr="009A7C29" w:rsidDel="00DF2DDB">
        <w:rPr>
          <w:spacing w:val="-2"/>
        </w:rPr>
        <w:t xml:space="preserve"> </w:t>
      </w:r>
      <w:r w:rsidRPr="009A7C29">
        <w:t>Programme</w:t>
      </w:r>
      <w:r w:rsidRPr="009A7C29" w:rsidDel="00DF2DDB">
        <w:t xml:space="preserve"> Officers are usually</w:t>
      </w:r>
      <w:r w:rsidRPr="009A7C29" w:rsidDel="00DF2DDB">
        <w:rPr>
          <w:spacing w:val="-2"/>
        </w:rPr>
        <w:t xml:space="preserve"> </w:t>
      </w:r>
      <w:r w:rsidRPr="009A7C29" w:rsidDel="00DF2DDB">
        <w:t>assigned</w:t>
      </w:r>
      <w:r w:rsidRPr="009A7C29" w:rsidDel="00DF2DDB">
        <w:rPr>
          <w:spacing w:val="-1"/>
        </w:rPr>
        <w:t xml:space="preserve"> </w:t>
      </w:r>
      <w:r w:rsidRPr="009A7C29" w:rsidDel="00DF2DDB">
        <w:t>with</w:t>
      </w:r>
      <w:r w:rsidRPr="009A7C29" w:rsidDel="00DF2DDB">
        <w:rPr>
          <w:spacing w:val="-2"/>
        </w:rPr>
        <w:t xml:space="preserve"> </w:t>
      </w:r>
      <w:r w:rsidRPr="009A7C29" w:rsidDel="00DF2DDB">
        <w:t>this</w:t>
      </w:r>
      <w:r w:rsidRPr="009A7C29" w:rsidDel="00DF2DDB">
        <w:rPr>
          <w:spacing w:val="-3"/>
        </w:rPr>
        <w:t xml:space="preserve"> </w:t>
      </w:r>
      <w:r w:rsidRPr="009A7C29" w:rsidDel="00DF2DDB">
        <w:t>right.</w:t>
      </w:r>
      <w:r w:rsidRPr="009A7C29">
        <w:rPr>
          <w:rFonts w:cstheme="minorHAnsi"/>
        </w:rPr>
        <w:t xml:space="preserve"> In the case of Vertical Funds, Country Offices/units should also ensure that the required segregation of implementation from oversight responsibilities is observed.</w:t>
      </w:r>
    </w:p>
  </w:footnote>
  <w:footnote w:id="12">
    <w:p w14:paraId="1C9C4D06" w14:textId="192612C3" w:rsidR="00D50A16" w:rsidRPr="00F11B4A" w:rsidRDefault="00D50A16" w:rsidP="00D50A16">
      <w:pPr>
        <w:pStyle w:val="FootnoteText"/>
      </w:pPr>
      <w:r w:rsidRPr="009A7C29">
        <w:rPr>
          <w:rStyle w:val="FootnoteReference"/>
        </w:rPr>
        <w:footnoteRef/>
      </w:r>
      <w:r w:rsidRPr="009A7C29">
        <w:t xml:space="preserve"> Non-staff personnel may be allocated an IDAM Finance User profile to perform</w:t>
      </w:r>
      <w:r w:rsidRPr="009A7C29">
        <w:rPr>
          <w:spacing w:val="1"/>
        </w:rPr>
        <w:t xml:space="preserve"> </w:t>
      </w:r>
      <w:r w:rsidRPr="009A7C29">
        <w:t>financial tasks, as the control functions that were previously included in this role are now performed by BMS/GSSC and BMS/OF</w:t>
      </w:r>
      <w:r w:rsidR="00A40A72">
        <w:t>R</w:t>
      </w:r>
      <w:r w:rsidRPr="009A7C29">
        <w:t>M/Treasury.</w:t>
      </w:r>
    </w:p>
  </w:footnote>
  <w:footnote w:id="13">
    <w:p w14:paraId="2ED4A35C" w14:textId="3D3CBC35" w:rsidR="00671E75" w:rsidRPr="009A7C29" w:rsidRDefault="00671E75">
      <w:pPr>
        <w:pStyle w:val="FootnoteText"/>
      </w:pPr>
      <w:r w:rsidRPr="009A7C29">
        <w:rPr>
          <w:rStyle w:val="FootnoteReference"/>
        </w:rPr>
        <w:footnoteRef/>
      </w:r>
      <w:r w:rsidRPr="009A7C29">
        <w:t xml:space="preserve"> Due to an Oracle technical limitation, the Project Manager assignment field in PPM module is unrestricted and can be changed by any user with access. BMS is working </w:t>
      </w:r>
      <w:r w:rsidR="005F074B" w:rsidRPr="009A7C29">
        <w:t>to identify</w:t>
      </w:r>
      <w:r w:rsidRPr="009A7C29">
        <w:t xml:space="preserve"> a solution to push IDAM-approved Project Manager names to the PPM module Project Manager assignment field, such that users will only be able to select</w:t>
      </w:r>
      <w:r w:rsidR="005F074B" w:rsidRPr="009A7C29">
        <w:t xml:space="preserve"> from a list of IDAM-approved Project Managers. In the interim, this non-alignment between IDAM-approved Project Managers and PPM Project Managers needs to be monitored by offices/units using the relevant ICF exception monitoring report.</w:t>
      </w:r>
    </w:p>
  </w:footnote>
  <w:footnote w:id="14">
    <w:p w14:paraId="6EC86759" w14:textId="05A77573" w:rsidR="00D733E9" w:rsidRPr="009A7C29" w:rsidRDefault="00D733E9" w:rsidP="00BA5960">
      <w:pPr>
        <w:spacing w:line="240" w:lineRule="auto"/>
        <w:rPr>
          <w:sz w:val="20"/>
          <w:szCs w:val="20"/>
        </w:rPr>
      </w:pPr>
      <w:r w:rsidRPr="009A7C29">
        <w:rPr>
          <w:rStyle w:val="FootnoteReference"/>
        </w:rPr>
        <w:footnoteRef/>
      </w:r>
      <w:r w:rsidRPr="009A7C29">
        <w:t xml:space="preserve"> </w:t>
      </w:r>
      <w:r w:rsidRPr="009A7C29">
        <w:rPr>
          <w:sz w:val="20"/>
          <w:szCs w:val="20"/>
        </w:rPr>
        <w:t>This enhancement was implemented in February 2024 to replace the email-based line manager pre-approval step that had been implemented in many offices</w:t>
      </w:r>
      <w:r w:rsidR="00356A22" w:rsidRPr="009A7C29">
        <w:rPr>
          <w:sz w:val="20"/>
          <w:szCs w:val="20"/>
        </w:rPr>
        <w:t>/units</w:t>
      </w:r>
      <w:r w:rsidRPr="009A7C29">
        <w:rPr>
          <w:sz w:val="20"/>
          <w:szCs w:val="20"/>
        </w:rPr>
        <w:t>, prior to final approval by the IDAM Approver. The enhancement was designed to reduce time, ensure better tracking of pending and completed pre-approval requests, and provide a full audit trail for future reference. </w:t>
      </w:r>
    </w:p>
    <w:p w14:paraId="1931AB49" w14:textId="77777777" w:rsidR="00D733E9" w:rsidRDefault="00D733E9" w:rsidP="00D733E9">
      <w:pPr>
        <w:pStyle w:val="FootnoteText"/>
      </w:pPr>
    </w:p>
  </w:footnote>
  <w:footnote w:id="15">
    <w:p w14:paraId="7C240858" w14:textId="77777777" w:rsidR="00E91982" w:rsidRPr="009A7C29" w:rsidRDefault="00E91982" w:rsidP="00E91982">
      <w:pPr>
        <w:pStyle w:val="FootnoteText"/>
      </w:pPr>
      <w:r w:rsidRPr="009A7C29">
        <w:rPr>
          <w:rStyle w:val="FootnoteReference"/>
        </w:rPr>
        <w:footnoteRef/>
      </w:r>
      <w:r w:rsidRPr="009A7C29">
        <w:t xml:space="preserve"> While the UNDP FRRs refer to the Comptroller, the working title of this function in UNDP is Chief Financial Officer (CFO).</w:t>
      </w:r>
    </w:p>
  </w:footnote>
  <w:footnote w:id="16">
    <w:p w14:paraId="65C10C58" w14:textId="072D56BB" w:rsidR="001F13DD" w:rsidRDefault="001F13DD">
      <w:pPr>
        <w:pStyle w:val="FootnoteText"/>
      </w:pPr>
      <w:r>
        <w:rPr>
          <w:rStyle w:val="FootnoteReference"/>
        </w:rPr>
        <w:footnoteRef/>
      </w:r>
      <w:r>
        <w:t xml:space="preserve"> </w:t>
      </w:r>
      <w:r>
        <w:rPr>
          <w:rFonts w:cstheme="minorHAnsi"/>
        </w:rPr>
        <w:t xml:space="preserve">See POPP </w:t>
      </w:r>
      <w:hyperlink r:id="rId3" w:history="1">
        <w:r w:rsidRPr="001F13DD">
          <w:rPr>
            <w:rStyle w:val="Hyperlink"/>
            <w:rFonts w:cstheme="minorHAnsi"/>
          </w:rPr>
          <w:t>Procurement Forecasting &amp; Delivery</w:t>
        </w:r>
      </w:hyperlink>
      <w:r>
        <w:rPr>
          <w:rFonts w:cstheme="minorHAnsi"/>
        </w:rPr>
        <w:t>.</w:t>
      </w:r>
    </w:p>
  </w:footnote>
  <w:footnote w:id="17">
    <w:p w14:paraId="703EBC4B" w14:textId="77777777" w:rsidR="00BA6934" w:rsidRDefault="00BA6934" w:rsidP="00BA6934">
      <w:pPr>
        <w:pStyle w:val="FootnoteText"/>
      </w:pPr>
      <w:r>
        <w:rPr>
          <w:rStyle w:val="FootnoteReference"/>
        </w:rPr>
        <w:footnoteRef/>
      </w:r>
      <w:r>
        <w:t xml:space="preserve"> </w:t>
      </w:r>
      <w:r w:rsidRPr="00076B7B">
        <w:t>As per Financial Regulation 20.03 and Rules 120.01-120.03</w:t>
      </w:r>
      <w:r>
        <w:t>.</w:t>
      </w:r>
    </w:p>
  </w:footnote>
  <w:footnote w:id="18">
    <w:p w14:paraId="42250B76" w14:textId="77777777" w:rsidR="00FE3211" w:rsidRDefault="00FE3211" w:rsidP="00FE3211">
      <w:pPr>
        <w:pStyle w:val="FootnoteText"/>
      </w:pPr>
      <w:r>
        <w:rPr>
          <w:rStyle w:val="FootnoteReference"/>
        </w:rPr>
        <w:footnoteRef/>
      </w:r>
      <w:r>
        <w:t xml:space="preserve"> P</w:t>
      </w:r>
      <w:r w:rsidRPr="00575630">
        <w:t>rogramme manager is defined as UNDP RR (or delegated authority) who approves and signs the project document.</w:t>
      </w:r>
    </w:p>
  </w:footnote>
  <w:footnote w:id="19">
    <w:p w14:paraId="2D4A7124" w14:textId="51C4DDA7" w:rsidR="001B0655" w:rsidRDefault="001B0655">
      <w:pPr>
        <w:pStyle w:val="FootnoteText"/>
      </w:pPr>
      <w:r w:rsidRPr="009A7C29">
        <w:rPr>
          <w:rStyle w:val="FootnoteReference"/>
        </w:rPr>
        <w:footnoteRef/>
      </w:r>
      <w:r w:rsidRPr="009A7C29">
        <w:t xml:space="preserve"> For small offices where achieving independence may be difficult, compensating practices might be useful, such as spot checks or periodic peer reviews by Programme Officers in regional hubs or </w:t>
      </w:r>
      <w:r w:rsidR="00DE1BCC" w:rsidRPr="009A7C29">
        <w:t xml:space="preserve">other </w:t>
      </w:r>
      <w:r w:rsidRPr="009A7C29">
        <w:t>COs.</w:t>
      </w:r>
    </w:p>
  </w:footnote>
  <w:footnote w:id="20">
    <w:p w14:paraId="654E05AF" w14:textId="452048C1" w:rsidR="00A75922" w:rsidRPr="004241E3" w:rsidRDefault="00A75922" w:rsidP="004241E3">
      <w:pPr>
        <w:spacing w:after="0" w:line="240" w:lineRule="auto"/>
        <w:rPr>
          <w:sz w:val="20"/>
          <w:szCs w:val="20"/>
        </w:rPr>
      </w:pPr>
      <w:r w:rsidRPr="00D243BA">
        <w:rPr>
          <w:rStyle w:val="FootnoteReference"/>
          <w:sz w:val="20"/>
          <w:szCs w:val="20"/>
        </w:rPr>
        <w:footnoteRef/>
      </w:r>
      <w:r w:rsidRPr="00D243BA">
        <w:rPr>
          <w:sz w:val="20"/>
          <w:szCs w:val="20"/>
        </w:rPr>
        <w:t xml:space="preserve"> For easier and quicker deposit identification, ask donors to include CO and project information in EFT transfer details.</w:t>
      </w:r>
    </w:p>
  </w:footnote>
  <w:footnote w:id="21">
    <w:p w14:paraId="0ADC21F6" w14:textId="6F8209CE" w:rsidR="00B57726" w:rsidRDefault="00B57726">
      <w:pPr>
        <w:pStyle w:val="FootnoteText"/>
      </w:pPr>
      <w:r w:rsidRPr="009A7C29">
        <w:rPr>
          <w:rStyle w:val="FootnoteReference"/>
        </w:rPr>
        <w:footnoteRef/>
      </w:r>
      <w:r w:rsidRPr="009A7C29">
        <w:t xml:space="preserve"> Specifically, Financial Regulation 20.02 states that: “Unless otherwise expressly authorized by the Administrator, </w:t>
      </w:r>
      <w:r w:rsidRPr="009A7C29">
        <w:rPr>
          <w:b/>
          <w:bCs/>
        </w:rPr>
        <w:t>there shall be a separation of duties</w:t>
      </w:r>
      <w:r w:rsidRPr="009A7C29">
        <w:t xml:space="preserve">: (a) Between the </w:t>
      </w:r>
      <w:r w:rsidRPr="009A7C29">
        <w:rPr>
          <w:b/>
          <w:bCs/>
        </w:rPr>
        <w:t>staff who may incur commitments</w:t>
      </w:r>
      <w:r w:rsidRPr="009A7C29">
        <w:t xml:space="preserve"> on behalf of UNDP and the </w:t>
      </w:r>
      <w:r w:rsidRPr="009A7C29">
        <w:rPr>
          <w:b/>
          <w:bCs/>
        </w:rPr>
        <w:t>staff who may verify that payments may be made</w:t>
      </w:r>
      <w:r w:rsidRPr="009A7C29">
        <w:t xml:space="preserve"> on behalf of UNDP; and (b) Between the staff who may verify that payments may be made on behalf of UNDP and the </w:t>
      </w:r>
      <w:r w:rsidRPr="009A7C29">
        <w:rPr>
          <w:b/>
          <w:bCs/>
        </w:rPr>
        <w:t>staff who may disburse resources</w:t>
      </w:r>
      <w:r w:rsidRPr="009A7C29">
        <w:t xml:space="preserve"> on behalf of UNDP.”</w:t>
      </w:r>
    </w:p>
  </w:footnote>
  <w:footnote w:id="22">
    <w:p w14:paraId="411C1B48" w14:textId="6D2FF0F6" w:rsidR="00C752C9" w:rsidRPr="00DE4CEB" w:rsidRDefault="00C752C9" w:rsidP="00DE4CEB">
      <w:pPr>
        <w:spacing w:after="0" w:line="240" w:lineRule="auto"/>
        <w:rPr>
          <w:sz w:val="20"/>
          <w:szCs w:val="20"/>
        </w:rPr>
      </w:pPr>
      <w:r w:rsidRPr="00DE4CEB">
        <w:rPr>
          <w:rStyle w:val="FootnoteReference"/>
          <w:sz w:val="20"/>
          <w:szCs w:val="20"/>
        </w:rPr>
        <w:footnoteRef/>
      </w:r>
      <w:r w:rsidRPr="00DE4CEB">
        <w:rPr>
          <w:sz w:val="20"/>
          <w:szCs w:val="20"/>
        </w:rPr>
        <w:t xml:space="preserve"> With the transition to Quantum, duplicate suppliers should not arise. The Oracle Cloud system prevents the registration of a supplier with the same name, tax ID or bank details as an existing supplier. BMS is taking the lead on cleaning up any remaining UNDP duplicate suppliers that arose during the conversion to Quantum.</w:t>
      </w:r>
    </w:p>
  </w:footnote>
  <w:footnote w:id="23">
    <w:p w14:paraId="507BAE69" w14:textId="4971DB96" w:rsidR="00503AC5" w:rsidRPr="00DE4CEB" w:rsidRDefault="00503AC5" w:rsidP="00DE4CEB">
      <w:pPr>
        <w:spacing w:after="0" w:line="240" w:lineRule="auto"/>
        <w:rPr>
          <w:sz w:val="20"/>
          <w:szCs w:val="20"/>
        </w:rPr>
      </w:pPr>
      <w:r w:rsidRPr="00DE4CEB">
        <w:rPr>
          <w:rStyle w:val="FootnoteReference"/>
          <w:sz w:val="20"/>
          <w:szCs w:val="20"/>
        </w:rPr>
        <w:footnoteRef/>
      </w:r>
      <w:r w:rsidRPr="00DE4CEB">
        <w:rPr>
          <w:sz w:val="20"/>
          <w:szCs w:val="20"/>
        </w:rPr>
        <w:t xml:space="preserve"> Note that in Quantum, when the micro-purchasing canvas form is filled in, Quantum automatically creates a PO.</w:t>
      </w:r>
    </w:p>
  </w:footnote>
  <w:footnote w:id="24">
    <w:p w14:paraId="1EF33F26" w14:textId="39F0FF09" w:rsidR="004241E3" w:rsidRPr="009A7C29" w:rsidRDefault="004241E3" w:rsidP="00DE4CEB">
      <w:pPr>
        <w:spacing w:after="0" w:line="240" w:lineRule="auto"/>
        <w:rPr>
          <w:sz w:val="20"/>
          <w:szCs w:val="20"/>
        </w:rPr>
      </w:pPr>
      <w:r w:rsidRPr="009A7C29">
        <w:rPr>
          <w:rStyle w:val="FootnoteReference"/>
          <w:sz w:val="20"/>
          <w:szCs w:val="20"/>
        </w:rPr>
        <w:footnoteRef/>
      </w:r>
      <w:r w:rsidRPr="009A7C29">
        <w:rPr>
          <w:sz w:val="20"/>
          <w:szCs w:val="20"/>
        </w:rPr>
        <w:t xml:space="preserve"> Buyers were able to create vouchers in Atlas (now called invoices in Quantum), but not approve them. This capability has been transitioned to Quantum. Finance Users are the primary creators of invoices in Quantum, and where needed (due to small office/unit size or transaction volumes), they can be supported by General Users through assignment of the IDAM ‘Voucher Creation’ Supplementary Role. As a third option, if needed in an office/unit, Procurement Buyers can also assist with invoice creation. </w:t>
      </w:r>
      <w:r w:rsidR="00E116D4" w:rsidRPr="009A7C29">
        <w:rPr>
          <w:sz w:val="20"/>
          <w:szCs w:val="20"/>
        </w:rPr>
        <w:t>In Quantum, there are several controls to prevent a Procurement Buyer being able to circumvent the process, including: (i) cannot unilaterally approve supplier edits/additions; (ii) cannot approve a PO; (iii) cannot receipt goods and services; (iv) cannot approve an invoice for payment. Additionally, in cases of 3-way match auto-approval of invoices, Procurement Buyers cannot access/action two of the 3 elements matched: approved PO and receipt of goods and services.</w:t>
      </w:r>
    </w:p>
  </w:footnote>
  <w:footnote w:id="25">
    <w:p w14:paraId="01717C1A" w14:textId="79DE265C" w:rsidR="00637E61" w:rsidRPr="008806D7" w:rsidRDefault="00637E61" w:rsidP="00DE4CEB">
      <w:pPr>
        <w:spacing w:after="0" w:line="240" w:lineRule="auto"/>
        <w:rPr>
          <w:sz w:val="20"/>
          <w:szCs w:val="20"/>
        </w:rPr>
      </w:pPr>
      <w:r w:rsidRPr="009A7C29">
        <w:rPr>
          <w:rStyle w:val="FootnoteReference"/>
          <w:sz w:val="20"/>
          <w:szCs w:val="20"/>
        </w:rPr>
        <w:footnoteRef/>
      </w:r>
      <w:r w:rsidRPr="009A7C29">
        <w:rPr>
          <w:sz w:val="20"/>
          <w:szCs w:val="20"/>
        </w:rPr>
        <w:t xml:space="preserve"> </w:t>
      </w:r>
      <w:r w:rsidR="008806D7" w:rsidRPr="009A7C29">
        <w:rPr>
          <w:sz w:val="20"/>
          <w:szCs w:val="20"/>
        </w:rPr>
        <w:t xml:space="preserve">To reduce/eliminate payment rejections due to incorrect banking data, </w:t>
      </w:r>
      <w:r w:rsidRPr="009A7C29">
        <w:rPr>
          <w:sz w:val="20"/>
          <w:szCs w:val="20"/>
        </w:rPr>
        <w:t>Quantum has banking validation rules to prevent incorrect bank accounts or IBAN codes</w:t>
      </w:r>
      <w:r w:rsidR="008806D7" w:rsidRPr="009A7C29">
        <w:rPr>
          <w:sz w:val="20"/>
          <w:szCs w:val="20"/>
        </w:rPr>
        <w:t xml:space="preserve"> from being entered</w:t>
      </w:r>
      <w:r w:rsidR="00DE4CEB" w:rsidRPr="009A7C29">
        <w:rPr>
          <w:sz w:val="20"/>
          <w:szCs w:val="20"/>
        </w:rPr>
        <w:t xml:space="preserve"> </w:t>
      </w:r>
      <w:r w:rsidR="008806D7" w:rsidRPr="009A7C29">
        <w:rPr>
          <w:sz w:val="20"/>
          <w:szCs w:val="20"/>
        </w:rPr>
        <w:t>and</w:t>
      </w:r>
      <w:r w:rsidRPr="009A7C29">
        <w:rPr>
          <w:sz w:val="20"/>
          <w:szCs w:val="20"/>
        </w:rPr>
        <w:t xml:space="preserve"> enforce the banking rules applicable to each country</w:t>
      </w:r>
      <w:r w:rsidR="008806D7" w:rsidRPr="009A7C29">
        <w:rPr>
          <w:sz w:val="20"/>
          <w:szCs w:val="20"/>
        </w:rPr>
        <w:t>. T</w:t>
      </w:r>
      <w:r w:rsidRPr="009A7C29">
        <w:rPr>
          <w:sz w:val="20"/>
          <w:szCs w:val="20"/>
        </w:rPr>
        <w:t xml:space="preserve">hese validations </w:t>
      </w:r>
      <w:r w:rsidR="00DE4CEB" w:rsidRPr="009A7C29">
        <w:rPr>
          <w:sz w:val="20"/>
          <w:szCs w:val="20"/>
        </w:rPr>
        <w:t>apply</w:t>
      </w:r>
      <w:r w:rsidRPr="009A7C29">
        <w:rPr>
          <w:sz w:val="20"/>
          <w:szCs w:val="20"/>
        </w:rPr>
        <w:t xml:space="preserve"> to bank accounts of staff members or suppliers. </w:t>
      </w:r>
    </w:p>
  </w:footnote>
  <w:footnote w:id="26">
    <w:p w14:paraId="1F9B0F55" w14:textId="74310CE3" w:rsidR="008B1605" w:rsidRDefault="008B1605">
      <w:pPr>
        <w:pStyle w:val="FootnoteText"/>
      </w:pPr>
      <w:r>
        <w:rPr>
          <w:rStyle w:val="FootnoteReference"/>
        </w:rPr>
        <w:footnoteRef/>
      </w:r>
      <w:r>
        <w:t xml:space="preserve"> </w:t>
      </w:r>
      <w:r w:rsidRPr="008B1605">
        <w:t>It is important that offices are proactive during the year in resolving cost sharing deficits. Once this GLJE change is enacted, there may be occasional situations where an AP invoice posted on the last day before AP close causes a cost-sharing deficit, but these should be few. GLJEs can be prepared by offices for approval by BMS/OFRM, if material</w:t>
      </w:r>
      <w:r>
        <w:t>.</w:t>
      </w:r>
    </w:p>
  </w:footnote>
  <w:footnote w:id="27">
    <w:p w14:paraId="5988335D" w14:textId="6F457A41" w:rsidR="00966B46" w:rsidRPr="003D3C07" w:rsidRDefault="00966B46" w:rsidP="003D3C07">
      <w:pPr>
        <w:spacing w:after="0"/>
        <w:rPr>
          <w:rFonts w:ascii="Calibri" w:hAnsi="Calibri" w:cs="Calibri"/>
        </w:rPr>
      </w:pPr>
      <w:r w:rsidRPr="00E06F45">
        <w:rPr>
          <w:rStyle w:val="FootnoteReference"/>
        </w:rPr>
        <w:footnoteRef/>
      </w:r>
      <w:r w:rsidRPr="00E06F45">
        <w:t xml:space="preserve"> </w:t>
      </w:r>
      <w:r w:rsidRPr="00E06F45">
        <w:rPr>
          <w:b/>
          <w:bCs/>
          <w:sz w:val="20"/>
          <w:szCs w:val="20"/>
        </w:rPr>
        <w:t>Management of Payment Files (UFF/H2H/CHK):</w:t>
      </w:r>
      <w:r w:rsidRPr="00E06F45">
        <w:rPr>
          <w:sz w:val="20"/>
          <w:szCs w:val="20"/>
        </w:rPr>
        <w:t xml:space="preserve"> Access to the payment file management process is controlled via IDAM (UN UFF File Download) and ensures alignment with the ICF segregation of duty and staff only role requirements. Additionally, payment files generated during the pay cycle process are available to COs in a secured server with restricted access for each BU.</w:t>
      </w:r>
      <w:r w:rsidR="001604B6" w:rsidRPr="00E06F45">
        <w:rPr>
          <w:sz w:val="20"/>
          <w:szCs w:val="20"/>
        </w:rPr>
        <w:t xml:space="preserve"> BMS/OF</w:t>
      </w:r>
      <w:r w:rsidR="00A40A72">
        <w:rPr>
          <w:sz w:val="20"/>
          <w:szCs w:val="20"/>
        </w:rPr>
        <w:t>R</w:t>
      </w:r>
      <w:r w:rsidR="001604B6" w:rsidRPr="00E06F45">
        <w:rPr>
          <w:sz w:val="20"/>
          <w:szCs w:val="20"/>
        </w:rPr>
        <w:t>M continues to expand Host-to-Host (H2H) banking facilities for COs, which enables a direct communication link for secure file transfer, resulting in substantial process and time efficiencies for UNDP.</w:t>
      </w:r>
      <w:r w:rsidR="005401E3" w:rsidRPr="00E06F45">
        <w:rPr>
          <w:sz w:val="20"/>
          <w:szCs w:val="20"/>
        </w:rPr>
        <w:t xml:space="preserve"> As of April 2025, </w:t>
      </w:r>
      <w:r w:rsidR="006D21B3" w:rsidRPr="00E06F45">
        <w:rPr>
          <w:rFonts w:ascii="Calibri" w:hAnsi="Calibri" w:cs="Calibri"/>
          <w:sz w:val="20"/>
          <w:szCs w:val="20"/>
        </w:rPr>
        <w:t>over 80% of UNDP’s global payments are made through the secured H2H bank connectivity using ISO20022 standards, and 346 of 461 (75%) UNDP’s bank accounts are fully using ISO20022 standard H2H. </w:t>
      </w:r>
    </w:p>
  </w:footnote>
  <w:footnote w:id="28">
    <w:p w14:paraId="25633FD9" w14:textId="6818104A" w:rsidR="000C139A" w:rsidRPr="00E06F45" w:rsidRDefault="000C139A" w:rsidP="005E7591">
      <w:pPr>
        <w:spacing w:after="0" w:line="240" w:lineRule="auto"/>
      </w:pPr>
      <w:r w:rsidRPr="00E06F45">
        <w:rPr>
          <w:rStyle w:val="FootnoteReference"/>
          <w:sz w:val="20"/>
          <w:szCs w:val="20"/>
        </w:rPr>
        <w:footnoteRef/>
      </w:r>
      <w:r w:rsidRPr="00E06F45">
        <w:t xml:space="preserve"> </w:t>
      </w:r>
      <w:r w:rsidRPr="00E06F45">
        <w:rPr>
          <w:sz w:val="20"/>
          <w:szCs w:val="20"/>
        </w:rPr>
        <w:t>The Travel Processor also performs a receipting function for the AP invoice received from the supplier (confirming travel took place), which triggers a Quantum-based 3-way match ‘auto-approval’ of the invoice. This receipting function appears in Quantum as if the Travel Processor ‘approved’ the travel invoice, but it is a system-required workaround to enable the receipting function to be performed. The Travel Processor is not executing a Manager Level 1, Manager Level 2 or Senior Manager approval of the invoice.</w:t>
      </w:r>
    </w:p>
  </w:footnote>
  <w:footnote w:id="29">
    <w:p w14:paraId="3AF15B33" w14:textId="5ED6E7F1" w:rsidR="005E7591" w:rsidRPr="00E06F45" w:rsidRDefault="009744B1" w:rsidP="005E7591">
      <w:pPr>
        <w:spacing w:line="240" w:lineRule="auto"/>
        <w:rPr>
          <w:rFonts w:ascii="Calibri" w:hAnsi="Calibri" w:cs="Calibri"/>
          <w:sz w:val="20"/>
          <w:szCs w:val="20"/>
        </w:rPr>
      </w:pPr>
      <w:r w:rsidRPr="00E06F45">
        <w:rPr>
          <w:rStyle w:val="FootnoteReference"/>
        </w:rPr>
        <w:footnoteRef/>
      </w:r>
      <w:r w:rsidRPr="00E06F45">
        <w:t xml:space="preserve"> </w:t>
      </w:r>
      <w:r w:rsidR="005E7591" w:rsidRPr="00E06F45">
        <w:rPr>
          <w:rFonts w:ascii="Calibri" w:hAnsi="Calibri" w:cs="Calibri"/>
          <w:sz w:val="20"/>
          <w:szCs w:val="20"/>
        </w:rPr>
        <w:t>A copy of the Travel Request (TR) with mission request details is attached to the PO for the Approving Manager to review. The Travel Processor is responsible for ensuring the Duty Travel policy is adhered to. To do so, they need to review the itinerary with the official and preferred fare (if the official has been declined). If this information is not appended to the TR, the Travel Processor should not process the request. Any documentation attached to the TR is appended to the TR and, therefore, available in the PO. In other words, the Approving Manager can also review and verify if the itinerary aligns with the mission dates and if the official itinerary/fare has been accepted. From a system perspective, UNall won’t know if two or more two or more staff are traveling to the same event in a similar substantive role. The Approving Manager should be aware of this information. If this scenario occurs, the approval can be attached to the TR, which will also be passed on to the PO.</w:t>
      </w:r>
    </w:p>
    <w:p w14:paraId="34C37F47" w14:textId="5844758A" w:rsidR="009744B1" w:rsidRDefault="009744B1">
      <w:pPr>
        <w:pStyle w:val="FootnoteText"/>
      </w:pPr>
    </w:p>
  </w:footnote>
  <w:footnote w:id="30">
    <w:p w14:paraId="4B745861" w14:textId="3D724C8C" w:rsidR="007936B7" w:rsidRPr="00757D73" w:rsidRDefault="007936B7" w:rsidP="007936B7">
      <w:pPr>
        <w:pStyle w:val="FootnoteText"/>
        <w:rPr>
          <w:lang w:val="en-GB"/>
        </w:rPr>
      </w:pPr>
      <w:r>
        <w:rPr>
          <w:rStyle w:val="FootnoteReference"/>
        </w:rPr>
        <w:footnoteRef/>
      </w:r>
      <w:r>
        <w:t xml:space="preserve"> </w:t>
      </w:r>
      <w:r>
        <w:rPr>
          <w:lang w:val="en-GB"/>
        </w:rPr>
        <w:t>For BERA, this includes Representation Offices – Brussels, Geneva, Germany, Nordic</w:t>
      </w:r>
      <w:r w:rsidR="00C935E7">
        <w:rPr>
          <w:lang w:val="en-GB"/>
        </w:rPr>
        <w:t>, Tokyo</w:t>
      </w:r>
      <w:r>
        <w:rPr>
          <w:lang w:val="en-GB"/>
        </w:rPr>
        <w:t xml:space="preserve"> and Washington</w:t>
      </w:r>
      <w:r w:rsidR="005E2A3F">
        <w:rPr>
          <w:lang w:val="en-GB"/>
        </w:rPr>
        <w:t xml:space="preserve"> DC.</w:t>
      </w:r>
    </w:p>
  </w:footnote>
  <w:footnote w:id="31">
    <w:p w14:paraId="4401EE91" w14:textId="77777777" w:rsidR="006A7B6C" w:rsidRDefault="006A7B6C" w:rsidP="006A7B6C">
      <w:pPr>
        <w:pStyle w:val="FootnoteText"/>
      </w:pPr>
      <w:r>
        <w:rPr>
          <w:rStyle w:val="FootnoteReference"/>
        </w:rPr>
        <w:footnoteRef/>
      </w:r>
      <w:r>
        <w:t xml:space="preserve"> </w:t>
      </w:r>
      <w:r w:rsidRPr="004443CA">
        <w:t>For offices</w:t>
      </w:r>
      <w:r>
        <w:t>/units</w:t>
      </w:r>
      <w:r w:rsidRPr="004443CA">
        <w:t xml:space="preserve"> with clustered Accounts Payable processes, the BMS/GSSC oversees the Quantum 3-way matching process for PO transactions and liaises with the Requesting Office</w:t>
      </w:r>
      <w:r>
        <w:t>/Unit</w:t>
      </w:r>
      <w:r w:rsidRPr="004443CA">
        <w:t xml:space="preserve"> as appropriate for resolution.</w:t>
      </w:r>
    </w:p>
  </w:footnote>
  <w:footnote w:id="32">
    <w:p w14:paraId="0DB91989" w14:textId="1D5635A9" w:rsidR="00E173C1" w:rsidRDefault="00E173C1" w:rsidP="003B0367">
      <w:pPr>
        <w:spacing w:after="0" w:line="240" w:lineRule="auto"/>
      </w:pPr>
      <w:r w:rsidRPr="008E7257">
        <w:rPr>
          <w:rStyle w:val="FootnoteReference"/>
          <w:rFonts w:cstheme="minorHAnsi"/>
          <w:sz w:val="20"/>
          <w:szCs w:val="20"/>
        </w:rPr>
        <w:footnoteRef/>
      </w:r>
      <w:r w:rsidRPr="008E7257">
        <w:rPr>
          <w:rFonts w:cstheme="minorHAnsi"/>
          <w:sz w:val="20"/>
          <w:szCs w:val="20"/>
        </w:rPr>
        <w:t xml:space="preserve"> </w:t>
      </w:r>
      <w:r w:rsidRPr="008E7257">
        <w:rPr>
          <w:rFonts w:eastAsia="Times New Roman" w:cstheme="minorHAnsi"/>
          <w:kern w:val="0"/>
          <w:sz w:val="20"/>
          <w:szCs w:val="20"/>
          <w14:ligatures w14:val="none"/>
        </w:rPr>
        <w:t>Criteria I (partner and individual output): At least 80% of the previous advances to the output have been liquidated</w:t>
      </w:r>
      <w:r w:rsidR="003B0367" w:rsidRPr="008E7257">
        <w:rPr>
          <w:rFonts w:eastAsia="Times New Roman" w:cstheme="minorHAnsi"/>
          <w:kern w:val="0"/>
          <w:sz w:val="20"/>
          <w:szCs w:val="20"/>
          <w14:ligatures w14:val="none"/>
        </w:rPr>
        <w:t xml:space="preserve">; </w:t>
      </w:r>
      <w:r w:rsidRPr="008E7257">
        <w:rPr>
          <w:rFonts w:eastAsia="Times New Roman" w:cstheme="minorHAnsi"/>
          <w:kern w:val="0"/>
          <w:sz w:val="20"/>
          <w:szCs w:val="20"/>
          <w14:ligatures w14:val="none"/>
        </w:rPr>
        <w:t>and Criteria II (partner and individual output): 100% of all earlier advances (i.e. advances before the latest previous advance) have been liquidated. This rule applies to outstanding advances preceding the last advance (penultimate advance)</w:t>
      </w:r>
      <w:r w:rsidR="003B0367" w:rsidRPr="008E7257">
        <w:rPr>
          <w:rFonts w:eastAsia="Times New Roman" w:cstheme="minorHAnsi"/>
          <w:kern w:val="0"/>
          <w:sz w:val="20"/>
          <w:szCs w:val="20"/>
          <w14:ligatures w14:val="none"/>
        </w:rPr>
        <w:t>;</w:t>
      </w:r>
      <w:r w:rsidRPr="008E7257">
        <w:rPr>
          <w:rFonts w:eastAsia="Times New Roman" w:cstheme="minorHAnsi"/>
          <w:kern w:val="0"/>
          <w:sz w:val="20"/>
          <w:szCs w:val="20"/>
          <w14:ligatures w14:val="none"/>
        </w:rPr>
        <w:t xml:space="preserve"> and Criteria III (partner's aggregate outputs): for partners managing more than one output, the partner has no outstanding advances greater than 12 months on any </w:t>
      </w:r>
      <w:r w:rsidR="003B0367" w:rsidRPr="008E7257">
        <w:rPr>
          <w:rFonts w:eastAsia="Times New Roman" w:cstheme="minorHAnsi"/>
          <w:kern w:val="0"/>
          <w:sz w:val="20"/>
          <w:szCs w:val="20"/>
          <w14:ligatures w14:val="none"/>
        </w:rPr>
        <w:t>output</w:t>
      </w:r>
      <w:r w:rsidRPr="008E7257">
        <w:rPr>
          <w:rFonts w:eastAsia="Times New Roman" w:cstheme="minorHAnsi"/>
          <w:kern w:val="0"/>
          <w:sz w:val="20"/>
          <w:szCs w:val="20"/>
          <w14:ligatures w14:val="none"/>
        </w:rPr>
        <w:t>. All outputs managed by the partner should be taken into consideration in determining whether the partner has met criteria #3.</w:t>
      </w:r>
    </w:p>
  </w:footnote>
  <w:footnote w:id="33">
    <w:p w14:paraId="6890F33E" w14:textId="5B0C1987" w:rsidR="00CD60E6" w:rsidRDefault="00CD60E6" w:rsidP="00170196">
      <w:pPr>
        <w:spacing w:after="0" w:line="240" w:lineRule="auto"/>
      </w:pPr>
      <w:r w:rsidRPr="00CD60E6">
        <w:rPr>
          <w:rStyle w:val="FootnoteReference"/>
          <w:sz w:val="20"/>
          <w:szCs w:val="20"/>
        </w:rPr>
        <w:footnoteRef/>
      </w:r>
      <w:r w:rsidRPr="00CD60E6">
        <w:rPr>
          <w:sz w:val="20"/>
          <w:szCs w:val="20"/>
        </w:rPr>
        <w:t xml:space="preserve"> In emergency situations where the BMS/GSSC cannot process a payment, Finance staff should use the internal UNDP cheque writer software to automate cheque preparation, thereby reducing manual effort and risk of human error. Cheques should not be manually prepared (i.e., by manually entering date, payee, or amount) following pay-cycle processing.</w:t>
      </w:r>
    </w:p>
  </w:footnote>
  <w:footnote w:id="34">
    <w:p w14:paraId="34D3B788" w14:textId="6B2DDCE9" w:rsidR="00FF3F21" w:rsidRDefault="00FF3F21" w:rsidP="00CD60E6">
      <w:pPr>
        <w:spacing w:after="0" w:line="240" w:lineRule="auto"/>
      </w:pPr>
      <w:r w:rsidRPr="00FF3F21">
        <w:rPr>
          <w:rStyle w:val="FootnoteReference"/>
          <w:sz w:val="20"/>
          <w:szCs w:val="20"/>
        </w:rPr>
        <w:footnoteRef/>
      </w:r>
      <w:r w:rsidRPr="00FF3F21">
        <w:rPr>
          <w:sz w:val="20"/>
          <w:szCs w:val="20"/>
        </w:rPr>
        <w:t xml:space="preserve"> “UN Bank Statement Report” is a</w:t>
      </w:r>
      <w:r>
        <w:rPr>
          <w:sz w:val="20"/>
          <w:szCs w:val="20"/>
        </w:rPr>
        <w:t>n IDAM</w:t>
      </w:r>
      <w:r w:rsidRPr="00FF3F21">
        <w:rPr>
          <w:sz w:val="20"/>
          <w:szCs w:val="20"/>
        </w:rPr>
        <w:t xml:space="preserve"> Supplementary Role available to Finance Users</w:t>
      </w:r>
      <w:r>
        <w:rPr>
          <w:sz w:val="20"/>
          <w:szCs w:val="20"/>
        </w:rPr>
        <w:t xml:space="preserve"> that</w:t>
      </w:r>
      <w:r w:rsidRPr="00FF3F21">
        <w:rPr>
          <w:sz w:val="20"/>
          <w:szCs w:val="20"/>
        </w:rPr>
        <w:t xml:space="preserve"> allows them to run bank statement reports from Quantum for their Zero Balance Accounts (ZBA) or local account(s), if available.</w:t>
      </w:r>
    </w:p>
  </w:footnote>
  <w:footnote w:id="35">
    <w:p w14:paraId="6F13E79C" w14:textId="44D9A1EF" w:rsidR="00A25367" w:rsidRDefault="00A25367" w:rsidP="00CD60E6">
      <w:pPr>
        <w:pStyle w:val="FootnoteText"/>
      </w:pPr>
      <w:r>
        <w:rPr>
          <w:rStyle w:val="FootnoteReference"/>
        </w:rPr>
        <w:footnoteRef/>
      </w:r>
      <w:r>
        <w:t xml:space="preserve"> </w:t>
      </w:r>
      <w:r w:rsidRPr="005B1BD7">
        <w:t>At the point of clustering, the BMS/GSSC took over responsibility for all unreconciled items dating from 6 months before the clustering or later. The older balances remain the responsibility of the Country Office</w:t>
      </w:r>
      <w:r w:rsidR="0062363E">
        <w:t>/Unit</w:t>
      </w:r>
      <w:r w:rsidRPr="005B1BD7">
        <w:t>, since the BMS/GSSC does not have the historical files. The RR/DRR should sign off on the bank reconciliation for as long as there are pre-clustering items on the bank reconciliation. As soon as there are only post-clustering balances in the bank reconciliation, then BMS/GSSC will fully sign off on bank reconciliations.</w:t>
      </w:r>
    </w:p>
  </w:footnote>
  <w:footnote w:id="36">
    <w:p w14:paraId="3710F9B1" w14:textId="66AAAC0D" w:rsidR="00011B58" w:rsidRDefault="00011B58" w:rsidP="00011B58">
      <w:pPr>
        <w:pStyle w:val="FootnoteText"/>
      </w:pPr>
      <w:r>
        <w:rPr>
          <w:rStyle w:val="FootnoteReference"/>
        </w:rPr>
        <w:footnoteRef/>
      </w:r>
      <w:r>
        <w:t xml:space="preserve"> Special considerations apply where the Head of Office</w:t>
      </w:r>
      <w:r w:rsidR="0062363E">
        <w:t>/Unit</w:t>
      </w:r>
      <w:r>
        <w:t xml:space="preserve"> also acts as the local representative of other UN</w:t>
      </w:r>
      <w:r>
        <w:rPr>
          <w:spacing w:val="-47"/>
        </w:rPr>
        <w:t xml:space="preserve"> </w:t>
      </w:r>
      <w:r>
        <w:t>agencies</w:t>
      </w:r>
      <w:r>
        <w:rPr>
          <w:vertAlign w:val="superscript"/>
        </w:rPr>
        <w:t>6</w:t>
      </w:r>
      <w:r>
        <w:t xml:space="preserve"> and signs contracts and agreements or approves e-procurement requisitions in Quantum </w:t>
      </w:r>
      <w:r>
        <w:rPr>
          <w:b/>
        </w:rPr>
        <w:t>on behalf of</w:t>
      </w:r>
      <w:r>
        <w:rPr>
          <w:b/>
          <w:spacing w:val="1"/>
        </w:rPr>
        <w:t xml:space="preserve"> </w:t>
      </w:r>
      <w:r>
        <w:t>these organizations. Where the Head of Office</w:t>
      </w:r>
      <w:r w:rsidR="0062363E">
        <w:t>/Unit</w:t>
      </w:r>
      <w:r>
        <w:t xml:space="preserve"> signs a contract on behalf of another organization, he or she</w:t>
      </w:r>
      <w:r>
        <w:rPr>
          <w:spacing w:val="1"/>
        </w:rPr>
        <w:t xml:space="preserve"> </w:t>
      </w:r>
      <w:r>
        <w:t>does so in the capacity as a representative of the other organization. The contract or agreement should be</w:t>
      </w:r>
      <w:r>
        <w:rPr>
          <w:spacing w:val="1"/>
        </w:rPr>
        <w:t xml:space="preserve"> </w:t>
      </w:r>
      <w:r>
        <w:t>prepared on the letterhead or other template of the organization for which the RR is acting and not refer to</w:t>
      </w:r>
      <w:r>
        <w:rPr>
          <w:spacing w:val="1"/>
        </w:rPr>
        <w:t xml:space="preserve"> </w:t>
      </w:r>
      <w:r>
        <w:t>UNDP, and all references to UNDP in the agreement or contract should be deleted and UNDP logos removed.</w:t>
      </w:r>
      <w:r>
        <w:rPr>
          <w:spacing w:val="-47"/>
        </w:rPr>
        <w:t xml:space="preserve"> </w:t>
      </w:r>
      <w:r>
        <w:t>Copies</w:t>
      </w:r>
      <w:r>
        <w:rPr>
          <w:spacing w:val="-3"/>
        </w:rPr>
        <w:t xml:space="preserve"> </w:t>
      </w:r>
      <w:r>
        <w:t>of</w:t>
      </w:r>
      <w:r>
        <w:rPr>
          <w:spacing w:val="-2"/>
        </w:rPr>
        <w:t xml:space="preserve"> </w:t>
      </w:r>
      <w:r>
        <w:t>these</w:t>
      </w:r>
      <w:r>
        <w:rPr>
          <w:spacing w:val="-2"/>
        </w:rPr>
        <w:t xml:space="preserve"> </w:t>
      </w:r>
      <w:r>
        <w:t>contracts</w:t>
      </w:r>
      <w:r>
        <w:rPr>
          <w:spacing w:val="-2"/>
        </w:rPr>
        <w:t xml:space="preserve"> </w:t>
      </w:r>
      <w:r>
        <w:t>or agreements</w:t>
      </w:r>
      <w:r>
        <w:rPr>
          <w:spacing w:val="-2"/>
        </w:rPr>
        <w:t xml:space="preserve"> </w:t>
      </w:r>
      <w:r>
        <w:t>should</w:t>
      </w:r>
      <w:r>
        <w:rPr>
          <w:spacing w:val="-1"/>
        </w:rPr>
        <w:t xml:space="preserve"> </w:t>
      </w:r>
      <w:r>
        <w:t>be</w:t>
      </w:r>
      <w:r>
        <w:rPr>
          <w:spacing w:val="1"/>
        </w:rPr>
        <w:t xml:space="preserve"> </w:t>
      </w:r>
      <w:r>
        <w:t>securely</w:t>
      </w:r>
      <w:r>
        <w:rPr>
          <w:spacing w:val="1"/>
        </w:rPr>
        <w:t xml:space="preserve"> </w:t>
      </w:r>
      <w:r>
        <w:t>filed.</w:t>
      </w:r>
    </w:p>
  </w:footnote>
  <w:footnote w:id="37">
    <w:p w14:paraId="2147CD93" w14:textId="7758C582" w:rsidR="00011B58" w:rsidRDefault="00011B58" w:rsidP="00011B58">
      <w:pPr>
        <w:pStyle w:val="FootnoteText"/>
      </w:pPr>
      <w:r>
        <w:rPr>
          <w:rStyle w:val="FootnoteReference"/>
        </w:rPr>
        <w:footnoteRef/>
      </w:r>
      <w:r>
        <w:t xml:space="preserve"> </w:t>
      </w:r>
      <w:r w:rsidRPr="006B239F">
        <w:t>For offices</w:t>
      </w:r>
      <w:r w:rsidR="0062363E">
        <w:t>/units</w:t>
      </w:r>
      <w:r w:rsidRPr="006B239F">
        <w:t xml:space="preserve"> with clustered Accounts Payable processes, the BMS/GSSC appoints the Approving Manager (second authority) for non-PO payments and prepayments made on behalf of the </w:t>
      </w:r>
      <w:r w:rsidR="0062363E">
        <w:t>office/unit</w:t>
      </w:r>
      <w:r w:rsidRPr="006B239F">
        <w:t>. The BMS/GSSC also appoints the Disbursing Officer (third authority) to authorize disbursements for PO and non-PO payments performed on behalf of the Requesting Office</w:t>
      </w:r>
      <w:r w:rsidR="0062363E">
        <w:t>/Unit</w:t>
      </w:r>
      <w:r w:rsidRPr="006B239F">
        <w:t>.</w:t>
      </w:r>
    </w:p>
  </w:footnote>
  <w:footnote w:id="38">
    <w:p w14:paraId="5C07E774" w14:textId="4ABC61AA" w:rsidR="00106F90" w:rsidRDefault="00106F90" w:rsidP="00106F90">
      <w:pPr>
        <w:pStyle w:val="FootnoteText"/>
      </w:pPr>
    </w:p>
  </w:footnote>
  <w:footnote w:id="39">
    <w:p w14:paraId="3CBCA593" w14:textId="1ACAE1D7" w:rsidR="0077104B" w:rsidRPr="00C55920" w:rsidRDefault="0077104B" w:rsidP="00AB5BD2">
      <w:pPr>
        <w:spacing w:after="0" w:line="240" w:lineRule="auto"/>
        <w:rPr>
          <w:sz w:val="20"/>
          <w:szCs w:val="20"/>
        </w:rPr>
      </w:pPr>
      <w:r>
        <w:rPr>
          <w:rStyle w:val="FootnoteReference"/>
        </w:rPr>
        <w:footnoteRef/>
      </w:r>
      <w:r>
        <w:t xml:space="preserve"> </w:t>
      </w:r>
      <w:r w:rsidRPr="00C55920">
        <w:rPr>
          <w:sz w:val="20"/>
          <w:szCs w:val="20"/>
        </w:rPr>
        <w:t xml:space="preserve">When the </w:t>
      </w:r>
      <w:r w:rsidR="00721FC3">
        <w:rPr>
          <w:sz w:val="20"/>
          <w:szCs w:val="20"/>
        </w:rPr>
        <w:t>Finance External Access portal</w:t>
      </w:r>
      <w:r w:rsidRPr="00C55920">
        <w:rPr>
          <w:sz w:val="20"/>
          <w:szCs w:val="20"/>
        </w:rPr>
        <w:t xml:space="preserve"> is being used, the requesting agency creates &amp; approves the requisition.</w:t>
      </w:r>
      <w:r w:rsidR="00FD603E">
        <w:rPr>
          <w:sz w:val="20"/>
          <w:szCs w:val="20"/>
        </w:rPr>
        <w:t xml:space="preserve"> </w:t>
      </w:r>
      <w:r w:rsidRPr="00C55920">
        <w:rPr>
          <w:sz w:val="20"/>
          <w:szCs w:val="20"/>
        </w:rPr>
        <w:t xml:space="preserve">UNDP undertakes the procurement process using UNDP rules, including creating &amp; approving the PO. Based on written instruction from the requesting agency, the UNDP CO enters the receipt into Quantum, and the </w:t>
      </w:r>
      <w:r w:rsidR="005C52D5" w:rsidRPr="007E4F35">
        <w:rPr>
          <w:sz w:val="20"/>
          <w:szCs w:val="20"/>
        </w:rPr>
        <w:t>CO</w:t>
      </w:r>
      <w:r w:rsidRPr="007E4F35">
        <w:rPr>
          <w:sz w:val="20"/>
          <w:szCs w:val="20"/>
        </w:rPr>
        <w:t xml:space="preserve"> creates </w:t>
      </w:r>
      <w:r w:rsidRPr="00C55920">
        <w:rPr>
          <w:sz w:val="20"/>
          <w:szCs w:val="20"/>
        </w:rPr>
        <w:t>the invoice for payment. UNDP approves the invoice &amp; pays the supplier.</w:t>
      </w:r>
    </w:p>
  </w:footnote>
  <w:footnote w:id="40">
    <w:p w14:paraId="4058CF10" w14:textId="77777777" w:rsidR="00CA7534" w:rsidRDefault="00CA7534" w:rsidP="00CA7534">
      <w:pPr>
        <w:pStyle w:val="FootnoteText"/>
      </w:pPr>
      <w:r>
        <w:rPr>
          <w:rStyle w:val="FootnoteReference"/>
        </w:rPr>
        <w:footnoteRef/>
      </w:r>
      <w:r>
        <w:t xml:space="preserve"> </w:t>
      </w:r>
      <w:r w:rsidRPr="00D2258D">
        <w:t>If the non-Quantum agency uses the Finance External Access portal, it can create and approve the requisition in Quantum; following which UNDP CO creates and approves the PO. The non-Quantum agency then provides UNDP with confirmation that the goods/services have been received, following which UNDP receipts the items in Quantum.</w:t>
      </w:r>
    </w:p>
  </w:footnote>
  <w:footnote w:id="41">
    <w:p w14:paraId="3A4EEB03" w14:textId="77777777" w:rsidR="00B95305" w:rsidRDefault="00B95305" w:rsidP="00B95305">
      <w:pPr>
        <w:pStyle w:val="FootnoteText"/>
      </w:pPr>
      <w:r>
        <w:rPr>
          <w:rStyle w:val="FootnoteReference"/>
        </w:rPr>
        <w:footnoteRef/>
      </w:r>
      <w:r>
        <w:t xml:space="preserve"> W</w:t>
      </w:r>
      <w:r w:rsidRPr="00467DFE">
        <w:t>here projects are funded by international financial institutions (IFI) such as World Bank, UNDP FRR</w:t>
      </w:r>
      <w:r>
        <w:t>s</w:t>
      </w:r>
      <w:r w:rsidRPr="00467DFE">
        <w:t xml:space="preserve"> and POPP must be followed. Therefore, UNDP should not go to World Bank for a ‘no objection’ until UNDP requirements are met.</w:t>
      </w:r>
    </w:p>
  </w:footnote>
  <w:footnote w:id="42">
    <w:p w14:paraId="5934F033" w14:textId="64C775AB" w:rsidR="009B4AEE" w:rsidRDefault="009B4AEE">
      <w:pPr>
        <w:pStyle w:val="FootnoteText"/>
      </w:pPr>
      <w:r>
        <w:rPr>
          <w:rStyle w:val="FootnoteReference"/>
        </w:rPr>
        <w:footnoteRef/>
      </w:r>
      <w:r>
        <w:t xml:space="preserve"> </w:t>
      </w:r>
      <w:r w:rsidRPr="006B395F">
        <w:t>For development projects implemented by national institutions, Project Managers must use the Quantum external access facility to approve requisitions. If the Project Manager cannot use the external access facility (e.g., there is no internet connectivity), then</w:t>
      </w:r>
      <w:r>
        <w:t xml:space="preserve"> </w:t>
      </w:r>
      <w:r w:rsidRPr="006B395F">
        <w:t>requisitions must be approved outside Quantum and submitted to the UNDP Programme Manager responsible for the project for requisition entry and approval in Quantum. The UNDP programme staff member who approves the requisition in Quantum can do so only for a requisition approved by the Project Manager outside Quantum.</w:t>
      </w:r>
    </w:p>
  </w:footnote>
  <w:footnote w:id="43">
    <w:p w14:paraId="7EB5A6D2" w14:textId="2F1435E1" w:rsidR="00321B8D" w:rsidRDefault="00321B8D">
      <w:pPr>
        <w:pStyle w:val="FootnoteText"/>
      </w:pPr>
      <w:r>
        <w:rPr>
          <w:rStyle w:val="FootnoteReference"/>
        </w:rPr>
        <w:footnoteRef/>
      </w:r>
      <w:r>
        <w:t xml:space="preserve"> For offices whose processes are not clustered with BMS/GSSC, the steps in the table noted as being performed by BMS/GSSC are performed within the office/unit (with the exception of step 20, which is performed by BMS/GSSC and BMS/OF</w:t>
      </w:r>
      <w:r w:rsidR="00A40A72">
        <w:t>R</w:t>
      </w:r>
      <w:r>
        <w:t>M/Treasury for all offices</w:t>
      </w:r>
      <w:r w:rsidR="00181665">
        <w:t>)</w:t>
      </w:r>
      <w:r>
        <w:t>.</w:t>
      </w:r>
    </w:p>
  </w:footnote>
  <w:footnote w:id="44">
    <w:p w14:paraId="53E44BAB" w14:textId="0DA1782E" w:rsidR="0016462F" w:rsidRPr="00D2258D" w:rsidRDefault="0016462F" w:rsidP="000229A1">
      <w:pPr>
        <w:pStyle w:val="FootnoteText"/>
      </w:pPr>
      <w:r w:rsidRPr="00D2258D">
        <w:rPr>
          <w:rStyle w:val="FootnoteReference"/>
        </w:rPr>
        <w:footnoteRef/>
      </w:r>
      <w:r w:rsidRPr="00D2258D">
        <w:t xml:space="preserve"> </w:t>
      </w:r>
      <w:r w:rsidRPr="00D2258D">
        <w:rPr>
          <w:rFonts w:cstheme="minorHAnsi"/>
        </w:rPr>
        <w:t>For smaller office</w:t>
      </w:r>
      <w:r w:rsidR="0062363E" w:rsidRPr="00D2258D">
        <w:rPr>
          <w:rFonts w:cstheme="minorHAnsi"/>
        </w:rPr>
        <w:t>/unit</w:t>
      </w:r>
      <w:r w:rsidRPr="00D2258D">
        <w:rPr>
          <w:rFonts w:cstheme="minorHAnsi"/>
        </w:rPr>
        <w:t xml:space="preserve"> flexibility, any IDAM Business Profile can create a requisition, but Quantum has a transaction-level control that prevents a user from creating and approving the same requisition.</w:t>
      </w:r>
    </w:p>
  </w:footnote>
  <w:footnote w:id="45">
    <w:p w14:paraId="7837B6B6" w14:textId="77777777" w:rsidR="0016462F" w:rsidRPr="000229A1" w:rsidRDefault="0016462F" w:rsidP="000229A1">
      <w:pPr>
        <w:spacing w:after="0" w:line="240" w:lineRule="auto"/>
        <w:rPr>
          <w:rFonts w:cstheme="minorHAnsi"/>
          <w:color w:val="ED7D31" w:themeColor="accent2"/>
          <w:sz w:val="20"/>
          <w:szCs w:val="20"/>
        </w:rPr>
      </w:pPr>
      <w:r w:rsidRPr="00D2258D">
        <w:rPr>
          <w:rStyle w:val="FootnoteReference"/>
          <w:sz w:val="20"/>
          <w:szCs w:val="20"/>
        </w:rPr>
        <w:footnoteRef/>
      </w:r>
      <w:r w:rsidRPr="00D2258D">
        <w:rPr>
          <w:sz w:val="20"/>
          <w:szCs w:val="20"/>
        </w:rPr>
        <w:t xml:space="preserve"> </w:t>
      </w:r>
      <w:r w:rsidRPr="00D2258D">
        <w:rPr>
          <w:rFonts w:cstheme="minorHAnsi"/>
          <w:sz w:val="20"/>
          <w:szCs w:val="20"/>
        </w:rPr>
        <w:t>Refer to section 2.1 for more information on external and internal registrations, including temporary measures.</w:t>
      </w:r>
    </w:p>
  </w:footnote>
  <w:footnote w:id="46">
    <w:p w14:paraId="0C694AEC" w14:textId="77777777" w:rsidR="0016462F" w:rsidRDefault="0016462F" w:rsidP="000229A1">
      <w:pPr>
        <w:pStyle w:val="FootnoteText"/>
      </w:pPr>
      <w:r w:rsidRPr="000229A1">
        <w:rPr>
          <w:rStyle w:val="FootnoteReference"/>
        </w:rPr>
        <w:footnoteRef/>
      </w:r>
      <w:r w:rsidRPr="000229A1">
        <w:t xml:space="preserve"> The automated three-way matching process is run in Quantum several times per day. If the validation process is successful, the payment is approved automatically and posted to update the accounting entries in the GL. The invoice goes on a System Hold (Needs Revalidation state) when there is a mismatch between the Invoice, Receipt, and the PO. The mismatch could be caused by lack of receipt, amount, or quantity. If the amount (quantity) invoiced is less than or equal to the amount (quantity) received on the PO, then the invoice will be validated and flow to pay cycle for payment.</w:t>
      </w:r>
    </w:p>
  </w:footnote>
  <w:footnote w:id="47">
    <w:p w14:paraId="506CE9D4" w14:textId="497BD406" w:rsidR="003E21F0" w:rsidRPr="00D2258D" w:rsidRDefault="003E21F0" w:rsidP="003E21F0">
      <w:pPr>
        <w:spacing w:line="240" w:lineRule="auto"/>
        <w:rPr>
          <w:sz w:val="20"/>
          <w:szCs w:val="20"/>
        </w:rPr>
      </w:pPr>
      <w:r w:rsidRPr="00D2258D">
        <w:rPr>
          <w:rStyle w:val="FootnoteReference"/>
        </w:rPr>
        <w:footnoteRef/>
      </w:r>
      <w:r w:rsidRPr="00D2258D">
        <w:t xml:space="preserve"> </w:t>
      </w:r>
      <w:r w:rsidRPr="00D2258D">
        <w:rPr>
          <w:sz w:val="20"/>
          <w:szCs w:val="20"/>
        </w:rPr>
        <w:t xml:space="preserve">Quantum was enhanced to send remittance advices to suppliers for each payment made by UNDP. At the same time a change was made to automate the download of the </w:t>
      </w:r>
      <w:r w:rsidR="009D2183" w:rsidRPr="00D2258D">
        <w:rPr>
          <w:sz w:val="20"/>
          <w:szCs w:val="20"/>
        </w:rPr>
        <w:t>p</w:t>
      </w:r>
      <w:r w:rsidRPr="00D2258D">
        <w:rPr>
          <w:sz w:val="20"/>
          <w:szCs w:val="20"/>
        </w:rPr>
        <w:t>ay</w:t>
      </w:r>
      <w:r w:rsidR="009D2183" w:rsidRPr="00D2258D">
        <w:rPr>
          <w:sz w:val="20"/>
          <w:szCs w:val="20"/>
        </w:rPr>
        <w:t>-</w:t>
      </w:r>
      <w:r w:rsidRPr="00D2258D">
        <w:rPr>
          <w:sz w:val="20"/>
          <w:szCs w:val="20"/>
        </w:rPr>
        <w:t xml:space="preserve">cycle files to a repository in Quantum where it is available to offices to view for 30 days. Please be aware that revisions to UNDP’s information security protocols mean that these files should no longer be transferred to SharePoint or any other application. In the event that an office receives a complaint of non-payment from a supplier, the office should follow the guidance </w:t>
      </w:r>
      <w:hyperlink r:id="rId4" w:history="1">
        <w:r w:rsidRPr="00D2258D">
          <w:rPr>
            <w:rStyle w:val="Hyperlink"/>
            <w:color w:val="auto"/>
            <w:sz w:val="20"/>
            <w:szCs w:val="20"/>
          </w:rPr>
          <w:t>here</w:t>
        </w:r>
      </w:hyperlink>
      <w:r w:rsidRPr="00D2258D">
        <w:rPr>
          <w:sz w:val="20"/>
          <w:szCs w:val="20"/>
        </w:rPr>
        <w:t>, viewing of which is restricted to those with functional access.</w:t>
      </w:r>
    </w:p>
    <w:p w14:paraId="7C2D6A41" w14:textId="7D53487F" w:rsidR="003E21F0" w:rsidRDefault="003E21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042C" w14:textId="77777777" w:rsidR="00A66E0C" w:rsidRDefault="00A66E0C">
    <w:pPr>
      <w:pStyle w:val="Header"/>
    </w:pPr>
  </w:p>
  <w:p w14:paraId="0F7EC48F" w14:textId="77777777" w:rsidR="00A66E0C" w:rsidRDefault="00A66E0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7B62" w14:textId="5413ABC7" w:rsidR="0082703A" w:rsidRPr="004A6FB8" w:rsidRDefault="0082703A" w:rsidP="004A6FB8">
    <w:pP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0B9"/>
    <w:multiLevelType w:val="hybridMultilevel"/>
    <w:tmpl w:val="9DFC4A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756B41"/>
    <w:multiLevelType w:val="hybridMultilevel"/>
    <w:tmpl w:val="C4487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861A4"/>
    <w:multiLevelType w:val="hybridMultilevel"/>
    <w:tmpl w:val="56A0C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96217"/>
    <w:multiLevelType w:val="hybridMultilevel"/>
    <w:tmpl w:val="C3D67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2DE"/>
    <w:multiLevelType w:val="hybridMultilevel"/>
    <w:tmpl w:val="4698A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D07D1"/>
    <w:multiLevelType w:val="hybridMultilevel"/>
    <w:tmpl w:val="BAF494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6B1927"/>
    <w:multiLevelType w:val="hybridMultilevel"/>
    <w:tmpl w:val="39168486"/>
    <w:lvl w:ilvl="0" w:tplc="B09E4D48">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E07582"/>
    <w:multiLevelType w:val="hybridMultilevel"/>
    <w:tmpl w:val="7956764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97225"/>
    <w:multiLevelType w:val="hybridMultilevel"/>
    <w:tmpl w:val="748A34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473749"/>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D9F4913"/>
    <w:multiLevelType w:val="hybridMultilevel"/>
    <w:tmpl w:val="45E83B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01809"/>
    <w:multiLevelType w:val="hybridMultilevel"/>
    <w:tmpl w:val="9EFA4E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A26872"/>
    <w:multiLevelType w:val="hybridMultilevel"/>
    <w:tmpl w:val="6D62BA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332EB3"/>
    <w:multiLevelType w:val="hybridMultilevel"/>
    <w:tmpl w:val="AE8CA4B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BE0B5E"/>
    <w:multiLevelType w:val="hybridMultilevel"/>
    <w:tmpl w:val="A3C2BDC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167F7B"/>
    <w:multiLevelType w:val="hybridMultilevel"/>
    <w:tmpl w:val="C61A6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407BE"/>
    <w:multiLevelType w:val="hybridMultilevel"/>
    <w:tmpl w:val="0D5CDCF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AD22AD"/>
    <w:multiLevelType w:val="hybridMultilevel"/>
    <w:tmpl w:val="A7807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DC330B"/>
    <w:multiLevelType w:val="hybridMultilevel"/>
    <w:tmpl w:val="F75A00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802508"/>
    <w:multiLevelType w:val="hybridMultilevel"/>
    <w:tmpl w:val="D688DA50"/>
    <w:lvl w:ilvl="0" w:tplc="C228F4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5E64DEC"/>
    <w:multiLevelType w:val="multilevel"/>
    <w:tmpl w:val="7C82012C"/>
    <w:lvl w:ilvl="0">
      <w:start w:val="1"/>
      <w:numFmt w:val="decimal"/>
      <w:lvlText w:val="%1."/>
      <w:lvlJc w:val="left"/>
      <w:pPr>
        <w:ind w:left="360" w:hanging="360"/>
      </w:pPr>
      <w:rPr>
        <w:rFonts w:hint="default"/>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18F703DE"/>
    <w:multiLevelType w:val="hybridMultilevel"/>
    <w:tmpl w:val="F866216E"/>
    <w:lvl w:ilvl="0" w:tplc="04090005">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2" w15:restartNumberingAfterBreak="0">
    <w:nsid w:val="190049A3"/>
    <w:multiLevelType w:val="hybridMultilevel"/>
    <w:tmpl w:val="529C9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B7FB3"/>
    <w:multiLevelType w:val="hybridMultilevel"/>
    <w:tmpl w:val="A1B063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220C7C"/>
    <w:multiLevelType w:val="hybridMultilevel"/>
    <w:tmpl w:val="3A08C8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2E43BB"/>
    <w:multiLevelType w:val="hybridMultilevel"/>
    <w:tmpl w:val="4D1203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B314F0"/>
    <w:multiLevelType w:val="hybridMultilevel"/>
    <w:tmpl w:val="CCD217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22375E"/>
    <w:multiLevelType w:val="hybridMultilevel"/>
    <w:tmpl w:val="B7CC8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B05856"/>
    <w:multiLevelType w:val="hybridMultilevel"/>
    <w:tmpl w:val="BF34B034"/>
    <w:lvl w:ilvl="0" w:tplc="30D0258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3C3384"/>
    <w:multiLevelType w:val="multilevel"/>
    <w:tmpl w:val="B9464814"/>
    <w:lvl w:ilvl="0">
      <w:start w:val="1"/>
      <w:numFmt w:val="decimal"/>
      <w:lvlText w:val="%1."/>
      <w:lvlJc w:val="left"/>
      <w:pPr>
        <w:ind w:left="36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2821AE7"/>
    <w:multiLevelType w:val="hybridMultilevel"/>
    <w:tmpl w:val="A8401E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2B07005"/>
    <w:multiLevelType w:val="hybridMultilevel"/>
    <w:tmpl w:val="831EB6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4F56AB"/>
    <w:multiLevelType w:val="hybridMultilevel"/>
    <w:tmpl w:val="4268044A"/>
    <w:lvl w:ilvl="0" w:tplc="DECCE66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42267DD"/>
    <w:multiLevelType w:val="hybridMultilevel"/>
    <w:tmpl w:val="A0489C9A"/>
    <w:lvl w:ilvl="0" w:tplc="4CACBCD8">
      <w:numFmt w:val="bullet"/>
      <w:lvlText w:val=""/>
      <w:lvlJc w:val="left"/>
      <w:pPr>
        <w:ind w:left="540" w:hanging="360"/>
      </w:pPr>
      <w:rPr>
        <w:rFonts w:ascii="Wingdings" w:eastAsia="Wingdings" w:hAnsi="Wingdings" w:cs="Wingdings" w:hint="default"/>
        <w:w w:val="100"/>
        <w:lang w:val="en-US" w:eastAsia="en-US" w:bidi="ar-SA"/>
      </w:rPr>
    </w:lvl>
    <w:lvl w:ilvl="1" w:tplc="4712D724">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2" w:tplc="F9BC445E">
      <w:numFmt w:val="bullet"/>
      <w:lvlText w:val="•"/>
      <w:lvlJc w:val="left"/>
      <w:pPr>
        <w:ind w:left="1931" w:hanging="360"/>
      </w:pPr>
      <w:rPr>
        <w:rFonts w:hint="default"/>
        <w:lang w:val="en-US" w:eastAsia="en-US" w:bidi="ar-SA"/>
      </w:rPr>
    </w:lvl>
    <w:lvl w:ilvl="3" w:tplc="1B7CD8E2">
      <w:numFmt w:val="bullet"/>
      <w:lvlText w:val="•"/>
      <w:lvlJc w:val="left"/>
      <w:pPr>
        <w:ind w:left="2962" w:hanging="360"/>
      </w:pPr>
      <w:rPr>
        <w:rFonts w:hint="default"/>
        <w:lang w:val="en-US" w:eastAsia="en-US" w:bidi="ar-SA"/>
      </w:rPr>
    </w:lvl>
    <w:lvl w:ilvl="4" w:tplc="CFDA8558">
      <w:numFmt w:val="bullet"/>
      <w:lvlText w:val="•"/>
      <w:lvlJc w:val="left"/>
      <w:pPr>
        <w:ind w:left="3993" w:hanging="360"/>
      </w:pPr>
      <w:rPr>
        <w:rFonts w:hint="default"/>
        <w:lang w:val="en-US" w:eastAsia="en-US" w:bidi="ar-SA"/>
      </w:rPr>
    </w:lvl>
    <w:lvl w:ilvl="5" w:tplc="FE26A98A">
      <w:numFmt w:val="bullet"/>
      <w:lvlText w:val="•"/>
      <w:lvlJc w:val="left"/>
      <w:pPr>
        <w:ind w:left="5024" w:hanging="360"/>
      </w:pPr>
      <w:rPr>
        <w:rFonts w:hint="default"/>
        <w:lang w:val="en-US" w:eastAsia="en-US" w:bidi="ar-SA"/>
      </w:rPr>
    </w:lvl>
    <w:lvl w:ilvl="6" w:tplc="9DB6EBC6">
      <w:numFmt w:val="bullet"/>
      <w:lvlText w:val="•"/>
      <w:lvlJc w:val="left"/>
      <w:pPr>
        <w:ind w:left="6055" w:hanging="360"/>
      </w:pPr>
      <w:rPr>
        <w:rFonts w:hint="default"/>
        <w:lang w:val="en-US" w:eastAsia="en-US" w:bidi="ar-SA"/>
      </w:rPr>
    </w:lvl>
    <w:lvl w:ilvl="7" w:tplc="96D4D2A8">
      <w:numFmt w:val="bullet"/>
      <w:lvlText w:val="•"/>
      <w:lvlJc w:val="left"/>
      <w:pPr>
        <w:ind w:left="7086" w:hanging="360"/>
      </w:pPr>
      <w:rPr>
        <w:rFonts w:hint="default"/>
        <w:lang w:val="en-US" w:eastAsia="en-US" w:bidi="ar-SA"/>
      </w:rPr>
    </w:lvl>
    <w:lvl w:ilvl="8" w:tplc="1DC6A078">
      <w:numFmt w:val="bullet"/>
      <w:lvlText w:val="•"/>
      <w:lvlJc w:val="left"/>
      <w:pPr>
        <w:ind w:left="8117" w:hanging="360"/>
      </w:pPr>
      <w:rPr>
        <w:rFonts w:hint="default"/>
        <w:lang w:val="en-US" w:eastAsia="en-US" w:bidi="ar-SA"/>
      </w:rPr>
    </w:lvl>
  </w:abstractNum>
  <w:abstractNum w:abstractNumId="34" w15:restartNumberingAfterBreak="0">
    <w:nsid w:val="2A40083E"/>
    <w:multiLevelType w:val="hybridMultilevel"/>
    <w:tmpl w:val="D370F3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AC92C77"/>
    <w:multiLevelType w:val="hybridMultilevel"/>
    <w:tmpl w:val="285246CA"/>
    <w:lvl w:ilvl="0" w:tplc="04090005">
      <w:start w:val="1"/>
      <w:numFmt w:val="bullet"/>
      <w:lvlText w:val=""/>
      <w:lvlJc w:val="left"/>
      <w:pPr>
        <w:ind w:left="720" w:hanging="72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BD82722"/>
    <w:multiLevelType w:val="hybridMultilevel"/>
    <w:tmpl w:val="FC526A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7F34D1"/>
    <w:multiLevelType w:val="hybridMultilevel"/>
    <w:tmpl w:val="E4B808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C8A608E"/>
    <w:multiLevelType w:val="hybridMultilevel"/>
    <w:tmpl w:val="9790DAF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D7524FD"/>
    <w:multiLevelType w:val="hybridMultilevel"/>
    <w:tmpl w:val="56AA3B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E4A7A48"/>
    <w:multiLevelType w:val="hybridMultilevel"/>
    <w:tmpl w:val="F03482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2F6CFB"/>
    <w:multiLevelType w:val="hybridMultilevel"/>
    <w:tmpl w:val="A104BD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7D5023"/>
    <w:multiLevelType w:val="multilevel"/>
    <w:tmpl w:val="D5ACDF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2425283"/>
    <w:multiLevelType w:val="hybridMultilevel"/>
    <w:tmpl w:val="0EE4B8A4"/>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28B4D5F"/>
    <w:multiLevelType w:val="hybridMultilevel"/>
    <w:tmpl w:val="E836F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30280"/>
    <w:multiLevelType w:val="hybridMultilevel"/>
    <w:tmpl w:val="922C2F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5AE11C5"/>
    <w:multiLevelType w:val="hybridMultilevel"/>
    <w:tmpl w:val="71DA23F0"/>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37F3184F"/>
    <w:multiLevelType w:val="hybridMultilevel"/>
    <w:tmpl w:val="9F0AD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8F72142"/>
    <w:multiLevelType w:val="hybridMultilevel"/>
    <w:tmpl w:val="A1304B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94C56D3"/>
    <w:multiLevelType w:val="hybridMultilevel"/>
    <w:tmpl w:val="3250A9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9AD5C65"/>
    <w:multiLevelType w:val="hybridMultilevel"/>
    <w:tmpl w:val="C6FEAC5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A8070FB"/>
    <w:multiLevelType w:val="hybridMultilevel"/>
    <w:tmpl w:val="1BF853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E64E08"/>
    <w:multiLevelType w:val="hybridMultilevel"/>
    <w:tmpl w:val="945AA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626686"/>
    <w:multiLevelType w:val="hybridMultilevel"/>
    <w:tmpl w:val="841EEDDC"/>
    <w:lvl w:ilvl="0" w:tplc="0409000F">
      <w:start w:val="1"/>
      <w:numFmt w:val="decimal"/>
      <w:lvlText w:val="%1."/>
      <w:lvlJc w:val="left"/>
      <w:pPr>
        <w:ind w:left="870" w:hanging="360"/>
      </w:pPr>
    </w:lvl>
    <w:lvl w:ilvl="1" w:tplc="FFFFFFFF" w:tentative="1">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4" w15:restartNumberingAfterBreak="0">
    <w:nsid w:val="3CC17160"/>
    <w:multiLevelType w:val="hybridMultilevel"/>
    <w:tmpl w:val="5B7AB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C1BEB"/>
    <w:multiLevelType w:val="hybridMultilevel"/>
    <w:tmpl w:val="0C36C13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0DC08C4"/>
    <w:multiLevelType w:val="hybridMultilevel"/>
    <w:tmpl w:val="C7BE43C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48C6B74"/>
    <w:multiLevelType w:val="hybridMultilevel"/>
    <w:tmpl w:val="EF2628D8"/>
    <w:lvl w:ilvl="0" w:tplc="0409000D">
      <w:start w:val="1"/>
      <w:numFmt w:val="bullet"/>
      <w:lvlText w:val=""/>
      <w:lvlJc w:val="left"/>
      <w:pPr>
        <w:ind w:left="360" w:hanging="360"/>
      </w:pPr>
      <w:rPr>
        <w:rFonts w:ascii="Wingdings" w:hAnsi="Wingding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8215756"/>
    <w:multiLevelType w:val="hybridMultilevel"/>
    <w:tmpl w:val="C9DEC284"/>
    <w:lvl w:ilvl="0" w:tplc="FFFFFFFF">
      <w:start w:val="1"/>
      <w:numFmt w:val="decimal"/>
      <w:lvlText w:val="%1."/>
      <w:lvlJc w:val="left"/>
      <w:pPr>
        <w:ind w:left="360" w:hanging="360"/>
      </w:pPr>
      <w:rPr>
        <w:rFonts w:asciiTheme="minorHAnsi" w:eastAsiaTheme="minorHAnsi" w:hAnsiTheme="minorHAnsi" w:cstheme="minorBidi"/>
      </w:rPr>
    </w:lvl>
    <w:lvl w:ilvl="1" w:tplc="0409001B">
      <w:start w:val="1"/>
      <w:numFmt w:val="lowerRoman"/>
      <w:lvlText w:val="%2."/>
      <w:lvlJc w:val="right"/>
      <w:pPr>
        <w:ind w:left="720" w:hanging="360"/>
      </w:pPr>
    </w:lvl>
    <w:lvl w:ilvl="2" w:tplc="FFFFFFFF">
      <w:start w:val="1"/>
      <w:numFmt w:val="lowerRoman"/>
      <w:lvlText w:val="(%3)"/>
      <w:lvlJc w:val="left"/>
      <w:pPr>
        <w:ind w:left="2160" w:hanging="720"/>
      </w:pPr>
      <w:rPr>
        <w:rFonts w:eastAsia="Times New Roman"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48285F1F"/>
    <w:multiLevelType w:val="hybridMultilevel"/>
    <w:tmpl w:val="CD7814AE"/>
    <w:lvl w:ilvl="0" w:tplc="0409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82B6E1D"/>
    <w:multiLevelType w:val="hybridMultilevel"/>
    <w:tmpl w:val="9D5C4066"/>
    <w:lvl w:ilvl="0" w:tplc="BC941D3A">
      <w:start w:val="1"/>
      <w:numFmt w:val="decimal"/>
      <w:lvlText w:val="%1."/>
      <w:lvlJc w:val="left"/>
      <w:pPr>
        <w:ind w:left="360" w:hanging="360"/>
      </w:pPr>
      <w:rPr>
        <w:rFonts w:asciiTheme="minorHAnsi" w:eastAsiaTheme="minorHAnsi" w:hAnsiTheme="minorHAnsi" w:cstheme="minorBidi"/>
      </w:rPr>
    </w:lvl>
    <w:lvl w:ilvl="1" w:tplc="0409000D">
      <w:start w:val="1"/>
      <w:numFmt w:val="bullet"/>
      <w:lvlText w:val=""/>
      <w:lvlJc w:val="left"/>
      <w:pPr>
        <w:ind w:left="360" w:hanging="360"/>
      </w:pPr>
      <w:rPr>
        <w:rFonts w:ascii="Wingdings" w:hAnsi="Wingdings" w:hint="default"/>
      </w:rPr>
    </w:lvl>
    <w:lvl w:ilvl="2" w:tplc="D436AD70">
      <w:start w:val="1"/>
      <w:numFmt w:val="lowerRoman"/>
      <w:lvlText w:val="(%3)"/>
      <w:lvlJc w:val="left"/>
      <w:pPr>
        <w:ind w:left="2160" w:hanging="720"/>
      </w:pPr>
      <w:rPr>
        <w:rFonts w:eastAsia="Times New Roman"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9AC1C20"/>
    <w:multiLevelType w:val="hybridMultilevel"/>
    <w:tmpl w:val="587E42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B750D86"/>
    <w:multiLevelType w:val="hybridMultilevel"/>
    <w:tmpl w:val="CB18F4D4"/>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B8855CA"/>
    <w:multiLevelType w:val="hybridMultilevel"/>
    <w:tmpl w:val="E66C74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BFC478C"/>
    <w:multiLevelType w:val="hybridMultilevel"/>
    <w:tmpl w:val="01961E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C052C42"/>
    <w:multiLevelType w:val="hybridMultilevel"/>
    <w:tmpl w:val="994A1BD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4D4F04DF"/>
    <w:multiLevelType w:val="hybridMultilevel"/>
    <w:tmpl w:val="350C6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D6D25DB"/>
    <w:multiLevelType w:val="hybridMultilevel"/>
    <w:tmpl w:val="33D03D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E044125"/>
    <w:multiLevelType w:val="hybridMultilevel"/>
    <w:tmpl w:val="DBA4C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B15D2C"/>
    <w:multiLevelType w:val="hybridMultilevel"/>
    <w:tmpl w:val="CB9A62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8D5C97"/>
    <w:multiLevelType w:val="hybridMultilevel"/>
    <w:tmpl w:val="B052D2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6C91EEF"/>
    <w:multiLevelType w:val="hybridMultilevel"/>
    <w:tmpl w:val="C30AFE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83B09FC"/>
    <w:multiLevelType w:val="hybridMultilevel"/>
    <w:tmpl w:val="90BE61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A123340"/>
    <w:multiLevelType w:val="hybridMultilevel"/>
    <w:tmpl w:val="E6F02FA4"/>
    <w:lvl w:ilvl="0" w:tplc="0409000D">
      <w:start w:val="1"/>
      <w:numFmt w:val="bullet"/>
      <w:lvlText w:val=""/>
      <w:lvlJc w:val="left"/>
      <w:pPr>
        <w:ind w:left="360" w:hanging="360"/>
      </w:pPr>
      <w:rPr>
        <w:rFonts w:ascii="Wingdings" w:hAnsi="Wingdings" w:hint="default"/>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A315CB9"/>
    <w:multiLevelType w:val="hybridMultilevel"/>
    <w:tmpl w:val="EBA0DF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C671FD6"/>
    <w:multiLevelType w:val="hybridMultilevel"/>
    <w:tmpl w:val="3ABC9C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D5371BD"/>
    <w:multiLevelType w:val="hybridMultilevel"/>
    <w:tmpl w:val="CD82716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5DF705DC"/>
    <w:multiLevelType w:val="hybridMultilevel"/>
    <w:tmpl w:val="D102C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F52D3C"/>
    <w:multiLevelType w:val="hybridMultilevel"/>
    <w:tmpl w:val="81BA61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EF826E3"/>
    <w:multiLevelType w:val="hybridMultilevel"/>
    <w:tmpl w:val="1BA86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700E81"/>
    <w:multiLevelType w:val="hybridMultilevel"/>
    <w:tmpl w:val="550299A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6175792"/>
    <w:multiLevelType w:val="hybridMultilevel"/>
    <w:tmpl w:val="81924952"/>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9D664A"/>
    <w:multiLevelType w:val="hybridMultilevel"/>
    <w:tmpl w:val="EFF2B12A"/>
    <w:lvl w:ilvl="0" w:tplc="F034A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8C4270"/>
    <w:multiLevelType w:val="hybridMultilevel"/>
    <w:tmpl w:val="073259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862381F"/>
    <w:multiLevelType w:val="hybridMultilevel"/>
    <w:tmpl w:val="64B29B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8F72634"/>
    <w:multiLevelType w:val="hybridMultilevel"/>
    <w:tmpl w:val="B4883E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A936726"/>
    <w:multiLevelType w:val="hybridMultilevel"/>
    <w:tmpl w:val="E4F88B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AAD2D07"/>
    <w:multiLevelType w:val="hybridMultilevel"/>
    <w:tmpl w:val="679AF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AEB1897"/>
    <w:multiLevelType w:val="hybridMultilevel"/>
    <w:tmpl w:val="0994C2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746510"/>
    <w:multiLevelType w:val="hybridMultilevel"/>
    <w:tmpl w:val="76AAD2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FB67576"/>
    <w:multiLevelType w:val="hybridMultilevel"/>
    <w:tmpl w:val="55B09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03B69F6"/>
    <w:multiLevelType w:val="hybridMultilevel"/>
    <w:tmpl w:val="8FAEA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07F1AC9"/>
    <w:multiLevelType w:val="hybridMultilevel"/>
    <w:tmpl w:val="86866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0B76E6"/>
    <w:multiLevelType w:val="multilevel"/>
    <w:tmpl w:val="2228BFD8"/>
    <w:lvl w:ilvl="0">
      <w:start w:val="1"/>
      <w:numFmt w:val="bullet"/>
      <w:lvlText w:val=""/>
      <w:lvlJc w:val="left"/>
      <w:pPr>
        <w:ind w:left="360" w:hanging="360"/>
      </w:pPr>
      <w:rPr>
        <w:rFonts w:ascii="Wingdings" w:hAnsi="Wingding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1244ECB"/>
    <w:multiLevelType w:val="hybridMultilevel"/>
    <w:tmpl w:val="02E2137A"/>
    <w:lvl w:ilvl="0" w:tplc="75466CE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27A15E8"/>
    <w:multiLevelType w:val="hybridMultilevel"/>
    <w:tmpl w:val="89AABA0E"/>
    <w:lvl w:ilvl="0" w:tplc="04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748568F5"/>
    <w:multiLevelType w:val="hybridMultilevel"/>
    <w:tmpl w:val="75C6B5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5516BE9"/>
    <w:multiLevelType w:val="hybridMultilevel"/>
    <w:tmpl w:val="3A4A9A2E"/>
    <w:lvl w:ilvl="0" w:tplc="04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5836B5C"/>
    <w:multiLevelType w:val="hybridMultilevel"/>
    <w:tmpl w:val="06DC90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BE5CD7"/>
    <w:multiLevelType w:val="hybridMultilevel"/>
    <w:tmpl w:val="B6CEA4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76CB2D4F"/>
    <w:multiLevelType w:val="hybridMultilevel"/>
    <w:tmpl w:val="F98040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77333117"/>
    <w:multiLevelType w:val="hybridMultilevel"/>
    <w:tmpl w:val="DD049A82"/>
    <w:lvl w:ilvl="0" w:tplc="13EA4138">
      <w:numFmt w:val="bullet"/>
      <w:lvlText w:val=""/>
      <w:lvlJc w:val="left"/>
      <w:pPr>
        <w:ind w:left="468" w:hanging="361"/>
      </w:pPr>
      <w:rPr>
        <w:rFonts w:ascii="Wingdings" w:eastAsia="Wingdings" w:hAnsi="Wingdings" w:cs="Wingdings" w:hint="default"/>
        <w:w w:val="100"/>
        <w:lang w:val="en-US" w:eastAsia="en-US" w:bidi="ar-SA"/>
      </w:rPr>
    </w:lvl>
    <w:lvl w:ilvl="1" w:tplc="53660BC2">
      <w:numFmt w:val="bullet"/>
      <w:lvlText w:val=""/>
      <w:lvlJc w:val="left"/>
      <w:pPr>
        <w:ind w:left="648" w:hanging="180"/>
      </w:pPr>
      <w:rPr>
        <w:rFonts w:ascii="Symbol" w:eastAsia="Symbol" w:hAnsi="Symbol" w:cs="Symbol" w:hint="default"/>
        <w:b w:val="0"/>
        <w:bCs w:val="0"/>
        <w:i w:val="0"/>
        <w:iCs w:val="0"/>
        <w:w w:val="100"/>
        <w:sz w:val="22"/>
        <w:szCs w:val="22"/>
        <w:lang w:val="en-US" w:eastAsia="en-US" w:bidi="ar-SA"/>
      </w:rPr>
    </w:lvl>
    <w:lvl w:ilvl="2" w:tplc="91AE5658">
      <w:numFmt w:val="bullet"/>
      <w:lvlText w:val="•"/>
      <w:lvlJc w:val="left"/>
      <w:pPr>
        <w:ind w:left="1119" w:hanging="180"/>
      </w:pPr>
      <w:rPr>
        <w:rFonts w:hint="default"/>
        <w:lang w:val="en-US" w:eastAsia="en-US" w:bidi="ar-SA"/>
      </w:rPr>
    </w:lvl>
    <w:lvl w:ilvl="3" w:tplc="C1C09654">
      <w:numFmt w:val="bullet"/>
      <w:lvlText w:val="•"/>
      <w:lvlJc w:val="left"/>
      <w:pPr>
        <w:ind w:left="1598" w:hanging="180"/>
      </w:pPr>
      <w:rPr>
        <w:rFonts w:hint="default"/>
        <w:lang w:val="en-US" w:eastAsia="en-US" w:bidi="ar-SA"/>
      </w:rPr>
    </w:lvl>
    <w:lvl w:ilvl="4" w:tplc="BC74418C">
      <w:numFmt w:val="bullet"/>
      <w:lvlText w:val="•"/>
      <w:lvlJc w:val="left"/>
      <w:pPr>
        <w:ind w:left="2078" w:hanging="180"/>
      </w:pPr>
      <w:rPr>
        <w:rFonts w:hint="default"/>
        <w:lang w:val="en-US" w:eastAsia="en-US" w:bidi="ar-SA"/>
      </w:rPr>
    </w:lvl>
    <w:lvl w:ilvl="5" w:tplc="F7169D08">
      <w:numFmt w:val="bullet"/>
      <w:lvlText w:val="•"/>
      <w:lvlJc w:val="left"/>
      <w:pPr>
        <w:ind w:left="2557" w:hanging="180"/>
      </w:pPr>
      <w:rPr>
        <w:rFonts w:hint="default"/>
        <w:lang w:val="en-US" w:eastAsia="en-US" w:bidi="ar-SA"/>
      </w:rPr>
    </w:lvl>
    <w:lvl w:ilvl="6" w:tplc="C3BA5A24">
      <w:numFmt w:val="bullet"/>
      <w:lvlText w:val="•"/>
      <w:lvlJc w:val="left"/>
      <w:pPr>
        <w:ind w:left="3036" w:hanging="180"/>
      </w:pPr>
      <w:rPr>
        <w:rFonts w:hint="default"/>
        <w:lang w:val="en-US" w:eastAsia="en-US" w:bidi="ar-SA"/>
      </w:rPr>
    </w:lvl>
    <w:lvl w:ilvl="7" w:tplc="AC3E6C16">
      <w:numFmt w:val="bullet"/>
      <w:lvlText w:val="•"/>
      <w:lvlJc w:val="left"/>
      <w:pPr>
        <w:ind w:left="3516" w:hanging="180"/>
      </w:pPr>
      <w:rPr>
        <w:rFonts w:hint="default"/>
        <w:lang w:val="en-US" w:eastAsia="en-US" w:bidi="ar-SA"/>
      </w:rPr>
    </w:lvl>
    <w:lvl w:ilvl="8" w:tplc="068C8BAA">
      <w:numFmt w:val="bullet"/>
      <w:lvlText w:val="•"/>
      <w:lvlJc w:val="left"/>
      <w:pPr>
        <w:ind w:left="3995" w:hanging="180"/>
      </w:pPr>
      <w:rPr>
        <w:rFonts w:hint="default"/>
        <w:lang w:val="en-US" w:eastAsia="en-US" w:bidi="ar-SA"/>
      </w:rPr>
    </w:lvl>
  </w:abstractNum>
  <w:abstractNum w:abstractNumId="102" w15:restartNumberingAfterBreak="0">
    <w:nsid w:val="77BC4850"/>
    <w:multiLevelType w:val="hybridMultilevel"/>
    <w:tmpl w:val="24402C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894245C"/>
    <w:multiLevelType w:val="multilevel"/>
    <w:tmpl w:val="409E67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A253CAD"/>
    <w:multiLevelType w:val="hybridMultilevel"/>
    <w:tmpl w:val="CF766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A572E0F"/>
    <w:multiLevelType w:val="hybridMultilevel"/>
    <w:tmpl w:val="647A0676"/>
    <w:lvl w:ilvl="0" w:tplc="04090005">
      <w:start w:val="1"/>
      <w:numFmt w:val="bullet"/>
      <w:lvlText w:val=""/>
      <w:lvlJc w:val="left"/>
      <w:pPr>
        <w:ind w:left="510" w:hanging="360"/>
      </w:pPr>
      <w:rPr>
        <w:rFonts w:ascii="Wingdings" w:hAnsi="Wingdings"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06" w15:restartNumberingAfterBreak="0">
    <w:nsid w:val="7C2F5D99"/>
    <w:multiLevelType w:val="hybridMultilevel"/>
    <w:tmpl w:val="F7D674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D3370D1"/>
    <w:multiLevelType w:val="multilevel"/>
    <w:tmpl w:val="7B96ACC8"/>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7E3A46CC"/>
    <w:multiLevelType w:val="hybridMultilevel"/>
    <w:tmpl w:val="EC3E9DF0"/>
    <w:lvl w:ilvl="0" w:tplc="AE8E031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4B64FA"/>
    <w:multiLevelType w:val="hybridMultilevel"/>
    <w:tmpl w:val="005E6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EE577F9"/>
    <w:multiLevelType w:val="hybridMultilevel"/>
    <w:tmpl w:val="9550C6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FE72262"/>
    <w:multiLevelType w:val="multilevel"/>
    <w:tmpl w:val="72FE1A88"/>
    <w:lvl w:ilvl="0">
      <w:start w:val="6"/>
      <w:numFmt w:val="decimal"/>
      <w:lvlText w:val="%1"/>
      <w:lvlJc w:val="left"/>
      <w:pPr>
        <w:ind w:left="360" w:hanging="360"/>
      </w:pPr>
      <w:rPr>
        <w:rFonts w:hint="default"/>
      </w:rPr>
    </w:lvl>
    <w:lvl w:ilvl="1">
      <w:start w:val="1"/>
      <w:numFmt w:val="decimal"/>
      <w:lvlText w:val="%1.%2"/>
      <w:lvlJc w:val="left"/>
      <w:pPr>
        <w:ind w:left="963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16cid:durableId="1405496463">
    <w:abstractNumId w:val="33"/>
  </w:num>
  <w:num w:numId="2" w16cid:durableId="319696119">
    <w:abstractNumId w:val="44"/>
  </w:num>
  <w:num w:numId="3" w16cid:durableId="1285424425">
    <w:abstractNumId w:val="31"/>
  </w:num>
  <w:num w:numId="4" w16cid:durableId="1362170807">
    <w:abstractNumId w:val="96"/>
  </w:num>
  <w:num w:numId="5" w16cid:durableId="608510610">
    <w:abstractNumId w:val="5"/>
  </w:num>
  <w:num w:numId="6" w16cid:durableId="400062866">
    <w:abstractNumId w:val="20"/>
  </w:num>
  <w:num w:numId="7" w16cid:durableId="347221835">
    <w:abstractNumId w:val="24"/>
  </w:num>
  <w:num w:numId="8" w16cid:durableId="1940987882">
    <w:abstractNumId w:val="108"/>
  </w:num>
  <w:num w:numId="9" w16cid:durableId="647127412">
    <w:abstractNumId w:val="92"/>
  </w:num>
  <w:num w:numId="10" w16cid:durableId="1307199235">
    <w:abstractNumId w:val="4"/>
  </w:num>
  <w:num w:numId="11" w16cid:durableId="575673748">
    <w:abstractNumId w:val="101"/>
  </w:num>
  <w:num w:numId="12" w16cid:durableId="2146967800">
    <w:abstractNumId w:val="100"/>
  </w:num>
  <w:num w:numId="13" w16cid:durableId="259260550">
    <w:abstractNumId w:val="95"/>
  </w:num>
  <w:num w:numId="14" w16cid:durableId="756907868">
    <w:abstractNumId w:val="103"/>
  </w:num>
  <w:num w:numId="15" w16cid:durableId="1011185100">
    <w:abstractNumId w:val="32"/>
  </w:num>
  <w:num w:numId="16" w16cid:durableId="849225245">
    <w:abstractNumId w:val="76"/>
  </w:num>
  <w:num w:numId="17" w16cid:durableId="1948925029">
    <w:abstractNumId w:val="45"/>
  </w:num>
  <w:num w:numId="18" w16cid:durableId="1709991514">
    <w:abstractNumId w:val="59"/>
  </w:num>
  <w:num w:numId="19" w16cid:durableId="1972395486">
    <w:abstractNumId w:val="107"/>
  </w:num>
  <w:num w:numId="20" w16cid:durableId="755708764">
    <w:abstractNumId w:val="26"/>
  </w:num>
  <w:num w:numId="21" w16cid:durableId="1541824530">
    <w:abstractNumId w:val="69"/>
  </w:num>
  <w:num w:numId="22" w16cid:durableId="1738280547">
    <w:abstractNumId w:val="102"/>
  </w:num>
  <w:num w:numId="23" w16cid:durableId="1060136130">
    <w:abstractNumId w:val="93"/>
  </w:num>
  <w:num w:numId="24" w16cid:durableId="2131700276">
    <w:abstractNumId w:val="53"/>
  </w:num>
  <w:num w:numId="25" w16cid:durableId="1937977687">
    <w:abstractNumId w:val="21"/>
  </w:num>
  <w:num w:numId="26" w16cid:durableId="1418596178">
    <w:abstractNumId w:val="105"/>
  </w:num>
  <w:num w:numId="27" w16cid:durableId="1023286237">
    <w:abstractNumId w:val="14"/>
  </w:num>
  <w:num w:numId="28" w16cid:durableId="2076851283">
    <w:abstractNumId w:val="104"/>
  </w:num>
  <w:num w:numId="29" w16cid:durableId="831799091">
    <w:abstractNumId w:val="48"/>
  </w:num>
  <w:num w:numId="30" w16cid:durableId="1960599357">
    <w:abstractNumId w:val="3"/>
  </w:num>
  <w:num w:numId="31" w16cid:durableId="1490944402">
    <w:abstractNumId w:val="94"/>
  </w:num>
  <w:num w:numId="32" w16cid:durableId="1292131220">
    <w:abstractNumId w:val="15"/>
  </w:num>
  <w:num w:numId="33" w16cid:durableId="36903416">
    <w:abstractNumId w:val="87"/>
  </w:num>
  <w:num w:numId="34" w16cid:durableId="9573012">
    <w:abstractNumId w:val="86"/>
  </w:num>
  <w:num w:numId="35" w16cid:durableId="1171214243">
    <w:abstractNumId w:val="77"/>
  </w:num>
  <w:num w:numId="36" w16cid:durableId="683287530">
    <w:abstractNumId w:val="17"/>
  </w:num>
  <w:num w:numId="37" w16cid:durableId="945964656">
    <w:abstractNumId w:val="6"/>
  </w:num>
  <w:num w:numId="38" w16cid:durableId="149634467">
    <w:abstractNumId w:val="65"/>
  </w:num>
  <w:num w:numId="39" w16cid:durableId="1417091621">
    <w:abstractNumId w:val="46"/>
  </w:num>
  <w:num w:numId="40" w16cid:durableId="1087534401">
    <w:abstractNumId w:val="7"/>
  </w:num>
  <w:num w:numId="41" w16cid:durableId="1566262981">
    <w:abstractNumId w:val="41"/>
  </w:num>
  <w:num w:numId="42" w16cid:durableId="1060905219">
    <w:abstractNumId w:val="49"/>
  </w:num>
  <w:num w:numId="43" w16cid:durableId="2078505267">
    <w:abstractNumId w:val="38"/>
  </w:num>
  <w:num w:numId="44" w16cid:durableId="1075904648">
    <w:abstractNumId w:val="11"/>
  </w:num>
  <w:num w:numId="45" w16cid:durableId="1940867831">
    <w:abstractNumId w:val="40"/>
  </w:num>
  <w:num w:numId="46" w16cid:durableId="1876624583">
    <w:abstractNumId w:val="99"/>
  </w:num>
  <w:num w:numId="47" w16cid:durableId="448597257">
    <w:abstractNumId w:val="67"/>
  </w:num>
  <w:num w:numId="48" w16cid:durableId="1111978151">
    <w:abstractNumId w:val="2"/>
  </w:num>
  <w:num w:numId="49" w16cid:durableId="31543267">
    <w:abstractNumId w:val="90"/>
  </w:num>
  <w:num w:numId="50" w16cid:durableId="464548487">
    <w:abstractNumId w:val="83"/>
  </w:num>
  <w:num w:numId="51" w16cid:durableId="1236280771">
    <w:abstractNumId w:val="88"/>
  </w:num>
  <w:num w:numId="52" w16cid:durableId="879780960">
    <w:abstractNumId w:val="110"/>
  </w:num>
  <w:num w:numId="53" w16cid:durableId="1667712053">
    <w:abstractNumId w:val="85"/>
  </w:num>
  <w:num w:numId="54" w16cid:durableId="824199963">
    <w:abstractNumId w:val="22"/>
  </w:num>
  <w:num w:numId="55" w16cid:durableId="1853227332">
    <w:abstractNumId w:val="54"/>
  </w:num>
  <w:num w:numId="56" w16cid:durableId="342166640">
    <w:abstractNumId w:val="79"/>
  </w:num>
  <w:num w:numId="57" w16cid:durableId="408425836">
    <w:abstractNumId w:val="8"/>
  </w:num>
  <w:num w:numId="58" w16cid:durableId="1293053070">
    <w:abstractNumId w:val="71"/>
  </w:num>
  <w:num w:numId="59" w16cid:durableId="1300916012">
    <w:abstractNumId w:val="74"/>
  </w:num>
  <w:num w:numId="60" w16cid:durableId="524951867">
    <w:abstractNumId w:val="97"/>
  </w:num>
  <w:num w:numId="61" w16cid:durableId="2114544706">
    <w:abstractNumId w:val="57"/>
  </w:num>
  <w:num w:numId="62" w16cid:durableId="2100371133">
    <w:abstractNumId w:val="62"/>
  </w:num>
  <w:num w:numId="63" w16cid:durableId="1890844979">
    <w:abstractNumId w:val="47"/>
  </w:num>
  <w:num w:numId="64" w16cid:durableId="789085680">
    <w:abstractNumId w:val="80"/>
  </w:num>
  <w:num w:numId="65" w16cid:durableId="566497638">
    <w:abstractNumId w:val="34"/>
  </w:num>
  <w:num w:numId="66" w16cid:durableId="1552577839">
    <w:abstractNumId w:val="72"/>
  </w:num>
  <w:num w:numId="67" w16cid:durableId="163324078">
    <w:abstractNumId w:val="56"/>
  </w:num>
  <w:num w:numId="68" w16cid:durableId="1450777562">
    <w:abstractNumId w:val="81"/>
  </w:num>
  <w:num w:numId="69" w16cid:durableId="1051005259">
    <w:abstractNumId w:val="13"/>
  </w:num>
  <w:num w:numId="70" w16cid:durableId="972904884">
    <w:abstractNumId w:val="9"/>
  </w:num>
  <w:num w:numId="71" w16cid:durableId="911232473">
    <w:abstractNumId w:val="63"/>
  </w:num>
  <w:num w:numId="72" w16cid:durableId="1607079865">
    <w:abstractNumId w:val="51"/>
  </w:num>
  <w:num w:numId="73" w16cid:durableId="100346051">
    <w:abstractNumId w:val="10"/>
  </w:num>
  <w:num w:numId="74" w16cid:durableId="389887239">
    <w:abstractNumId w:val="35"/>
  </w:num>
  <w:num w:numId="75" w16cid:durableId="993223649">
    <w:abstractNumId w:val="1"/>
  </w:num>
  <w:num w:numId="76" w16cid:durableId="2005156596">
    <w:abstractNumId w:val="60"/>
  </w:num>
  <w:num w:numId="77" w16cid:durableId="196435404">
    <w:abstractNumId w:val="39"/>
  </w:num>
  <w:num w:numId="78" w16cid:durableId="1927031153">
    <w:abstractNumId w:val="66"/>
  </w:num>
  <w:num w:numId="79" w16cid:durableId="22755060">
    <w:abstractNumId w:val="78"/>
  </w:num>
  <w:num w:numId="80" w16cid:durableId="450514698">
    <w:abstractNumId w:val="109"/>
  </w:num>
  <w:num w:numId="81" w16cid:durableId="2106267967">
    <w:abstractNumId w:val="68"/>
  </w:num>
  <w:num w:numId="82" w16cid:durableId="248999462">
    <w:abstractNumId w:val="0"/>
  </w:num>
  <w:num w:numId="83" w16cid:durableId="1818188159">
    <w:abstractNumId w:val="25"/>
  </w:num>
  <w:num w:numId="84" w16cid:durableId="1797991314">
    <w:abstractNumId w:val="19"/>
  </w:num>
  <w:num w:numId="85" w16cid:durableId="1780442194">
    <w:abstractNumId w:val="82"/>
  </w:num>
  <w:num w:numId="86" w16cid:durableId="708261881">
    <w:abstractNumId w:val="43"/>
  </w:num>
  <w:num w:numId="87" w16cid:durableId="30038676">
    <w:abstractNumId w:val="36"/>
  </w:num>
  <w:num w:numId="88" w16cid:durableId="2004235741">
    <w:abstractNumId w:val="27"/>
  </w:num>
  <w:num w:numId="89" w16cid:durableId="575700352">
    <w:abstractNumId w:val="75"/>
  </w:num>
  <w:num w:numId="90" w16cid:durableId="60176935">
    <w:abstractNumId w:val="52"/>
  </w:num>
  <w:num w:numId="91" w16cid:durableId="1159343010">
    <w:abstractNumId w:val="29"/>
  </w:num>
  <w:num w:numId="92" w16cid:durableId="281694689">
    <w:abstractNumId w:val="111"/>
  </w:num>
  <w:num w:numId="93" w16cid:durableId="1390885799">
    <w:abstractNumId w:val="42"/>
  </w:num>
  <w:num w:numId="94" w16cid:durableId="208566086">
    <w:abstractNumId w:val="18"/>
  </w:num>
  <w:num w:numId="95" w16cid:durableId="2037997233">
    <w:abstractNumId w:val="91"/>
  </w:num>
  <w:num w:numId="96" w16cid:durableId="1972664945">
    <w:abstractNumId w:val="23"/>
  </w:num>
  <w:num w:numId="97" w16cid:durableId="1048191404">
    <w:abstractNumId w:val="106"/>
  </w:num>
  <w:num w:numId="98" w16cid:durableId="199129716">
    <w:abstractNumId w:val="98"/>
  </w:num>
  <w:num w:numId="99" w16cid:durableId="875658535">
    <w:abstractNumId w:val="30"/>
  </w:num>
  <w:num w:numId="100" w16cid:durableId="2073312607">
    <w:abstractNumId w:val="37"/>
  </w:num>
  <w:num w:numId="101" w16cid:durableId="1307708802">
    <w:abstractNumId w:val="73"/>
  </w:num>
  <w:num w:numId="102" w16cid:durableId="2020346319">
    <w:abstractNumId w:val="84"/>
  </w:num>
  <w:num w:numId="103" w16cid:durableId="158498732">
    <w:abstractNumId w:val="50"/>
  </w:num>
  <w:num w:numId="104" w16cid:durableId="2052269063">
    <w:abstractNumId w:val="89"/>
  </w:num>
  <w:num w:numId="105" w16cid:durableId="419641422">
    <w:abstractNumId w:val="64"/>
  </w:num>
  <w:num w:numId="106" w16cid:durableId="59644356">
    <w:abstractNumId w:val="28"/>
  </w:num>
  <w:num w:numId="107" w16cid:durableId="1340505078">
    <w:abstractNumId w:val="58"/>
  </w:num>
  <w:num w:numId="108" w16cid:durableId="736434576">
    <w:abstractNumId w:val="61"/>
  </w:num>
  <w:num w:numId="109" w16cid:durableId="1748965319">
    <w:abstractNumId w:val="70"/>
  </w:num>
  <w:num w:numId="110" w16cid:durableId="1136138918">
    <w:abstractNumId w:val="55"/>
  </w:num>
  <w:num w:numId="111" w16cid:durableId="720447069">
    <w:abstractNumId w:val="16"/>
  </w:num>
  <w:num w:numId="112" w16cid:durableId="1884292840">
    <w:abstractNumId w:val="1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xtzQ2MzcxMDEyNjdW0lEKTi0uzszPAykwrAUA+fsxHiwAAAA="/>
  </w:docVars>
  <w:rsids>
    <w:rsidRoot w:val="00075D80"/>
    <w:rsid w:val="00000776"/>
    <w:rsid w:val="00001077"/>
    <w:rsid w:val="00001C2E"/>
    <w:rsid w:val="000032BC"/>
    <w:rsid w:val="00003866"/>
    <w:rsid w:val="00003931"/>
    <w:rsid w:val="00003A3B"/>
    <w:rsid w:val="00006CE9"/>
    <w:rsid w:val="00011B58"/>
    <w:rsid w:val="000142B5"/>
    <w:rsid w:val="00014C0D"/>
    <w:rsid w:val="00016669"/>
    <w:rsid w:val="00017379"/>
    <w:rsid w:val="000173E6"/>
    <w:rsid w:val="00020451"/>
    <w:rsid w:val="00020B28"/>
    <w:rsid w:val="000229A1"/>
    <w:rsid w:val="00023087"/>
    <w:rsid w:val="00024D72"/>
    <w:rsid w:val="00024EA1"/>
    <w:rsid w:val="00026B2F"/>
    <w:rsid w:val="00027968"/>
    <w:rsid w:val="00031459"/>
    <w:rsid w:val="000322AC"/>
    <w:rsid w:val="00032C5C"/>
    <w:rsid w:val="000340EB"/>
    <w:rsid w:val="0003438F"/>
    <w:rsid w:val="00034819"/>
    <w:rsid w:val="00035873"/>
    <w:rsid w:val="0003602A"/>
    <w:rsid w:val="0003658A"/>
    <w:rsid w:val="0003693B"/>
    <w:rsid w:val="000378AF"/>
    <w:rsid w:val="00037C35"/>
    <w:rsid w:val="00037F82"/>
    <w:rsid w:val="00040E07"/>
    <w:rsid w:val="00040F02"/>
    <w:rsid w:val="0004280E"/>
    <w:rsid w:val="0004476A"/>
    <w:rsid w:val="00046440"/>
    <w:rsid w:val="00047141"/>
    <w:rsid w:val="000508EF"/>
    <w:rsid w:val="00050F3E"/>
    <w:rsid w:val="000523DD"/>
    <w:rsid w:val="00052C68"/>
    <w:rsid w:val="00053B88"/>
    <w:rsid w:val="00053CC0"/>
    <w:rsid w:val="00053CDF"/>
    <w:rsid w:val="0005445E"/>
    <w:rsid w:val="000577F1"/>
    <w:rsid w:val="0006349C"/>
    <w:rsid w:val="000657FC"/>
    <w:rsid w:val="00065C5E"/>
    <w:rsid w:val="000679D3"/>
    <w:rsid w:val="0007005B"/>
    <w:rsid w:val="000700FA"/>
    <w:rsid w:val="00071643"/>
    <w:rsid w:val="000753CE"/>
    <w:rsid w:val="00075D80"/>
    <w:rsid w:val="00076634"/>
    <w:rsid w:val="000772FB"/>
    <w:rsid w:val="00080028"/>
    <w:rsid w:val="000811B5"/>
    <w:rsid w:val="00082247"/>
    <w:rsid w:val="0008297D"/>
    <w:rsid w:val="00083463"/>
    <w:rsid w:val="000845E5"/>
    <w:rsid w:val="0008499D"/>
    <w:rsid w:val="0008662B"/>
    <w:rsid w:val="000926D1"/>
    <w:rsid w:val="000928C7"/>
    <w:rsid w:val="00092DDB"/>
    <w:rsid w:val="00092DFC"/>
    <w:rsid w:val="0009386A"/>
    <w:rsid w:val="0009627E"/>
    <w:rsid w:val="00096364"/>
    <w:rsid w:val="0009648D"/>
    <w:rsid w:val="00097CC5"/>
    <w:rsid w:val="00097E88"/>
    <w:rsid w:val="000A0547"/>
    <w:rsid w:val="000A0D84"/>
    <w:rsid w:val="000A2DF8"/>
    <w:rsid w:val="000A37BE"/>
    <w:rsid w:val="000A4D41"/>
    <w:rsid w:val="000A5294"/>
    <w:rsid w:val="000A5800"/>
    <w:rsid w:val="000A603C"/>
    <w:rsid w:val="000A6265"/>
    <w:rsid w:val="000B14E0"/>
    <w:rsid w:val="000B35C4"/>
    <w:rsid w:val="000B5103"/>
    <w:rsid w:val="000B5BD7"/>
    <w:rsid w:val="000B5C6A"/>
    <w:rsid w:val="000B5E1A"/>
    <w:rsid w:val="000C0C3C"/>
    <w:rsid w:val="000C0FE5"/>
    <w:rsid w:val="000C139A"/>
    <w:rsid w:val="000C2F13"/>
    <w:rsid w:val="000C2F34"/>
    <w:rsid w:val="000C3BBF"/>
    <w:rsid w:val="000C4256"/>
    <w:rsid w:val="000C446C"/>
    <w:rsid w:val="000C5EEE"/>
    <w:rsid w:val="000D011A"/>
    <w:rsid w:val="000D2906"/>
    <w:rsid w:val="000D3D01"/>
    <w:rsid w:val="000E00A0"/>
    <w:rsid w:val="000E138D"/>
    <w:rsid w:val="000E1F5F"/>
    <w:rsid w:val="000E34B7"/>
    <w:rsid w:val="000E39BB"/>
    <w:rsid w:val="000E3E36"/>
    <w:rsid w:val="000E4320"/>
    <w:rsid w:val="000E63C1"/>
    <w:rsid w:val="000E63F7"/>
    <w:rsid w:val="000E683A"/>
    <w:rsid w:val="000E7683"/>
    <w:rsid w:val="000E79F3"/>
    <w:rsid w:val="000F07B8"/>
    <w:rsid w:val="000F1CB1"/>
    <w:rsid w:val="000F3577"/>
    <w:rsid w:val="000F3D0E"/>
    <w:rsid w:val="000F4275"/>
    <w:rsid w:val="000F4612"/>
    <w:rsid w:val="000F49AC"/>
    <w:rsid w:val="000F4A90"/>
    <w:rsid w:val="000F4C88"/>
    <w:rsid w:val="000F667C"/>
    <w:rsid w:val="000F7068"/>
    <w:rsid w:val="000F7594"/>
    <w:rsid w:val="000F7705"/>
    <w:rsid w:val="0010115C"/>
    <w:rsid w:val="001014EC"/>
    <w:rsid w:val="0010238E"/>
    <w:rsid w:val="0010302A"/>
    <w:rsid w:val="00104E1F"/>
    <w:rsid w:val="0010655C"/>
    <w:rsid w:val="00106F90"/>
    <w:rsid w:val="00107F8E"/>
    <w:rsid w:val="00110387"/>
    <w:rsid w:val="0011038F"/>
    <w:rsid w:val="00110C41"/>
    <w:rsid w:val="00111287"/>
    <w:rsid w:val="001130C6"/>
    <w:rsid w:val="00114647"/>
    <w:rsid w:val="00115595"/>
    <w:rsid w:val="001172D4"/>
    <w:rsid w:val="00117E9E"/>
    <w:rsid w:val="00120472"/>
    <w:rsid w:val="00121563"/>
    <w:rsid w:val="0012259B"/>
    <w:rsid w:val="00122AB5"/>
    <w:rsid w:val="00126173"/>
    <w:rsid w:val="00127B50"/>
    <w:rsid w:val="001302EB"/>
    <w:rsid w:val="00132FC4"/>
    <w:rsid w:val="00134413"/>
    <w:rsid w:val="00140CCA"/>
    <w:rsid w:val="001426A2"/>
    <w:rsid w:val="0014283B"/>
    <w:rsid w:val="001430C6"/>
    <w:rsid w:val="001438BC"/>
    <w:rsid w:val="00146274"/>
    <w:rsid w:val="0014680C"/>
    <w:rsid w:val="00146B83"/>
    <w:rsid w:val="00146E75"/>
    <w:rsid w:val="001470A0"/>
    <w:rsid w:val="00147C55"/>
    <w:rsid w:val="00151C6C"/>
    <w:rsid w:val="00153839"/>
    <w:rsid w:val="001549DE"/>
    <w:rsid w:val="0015533F"/>
    <w:rsid w:val="001557DD"/>
    <w:rsid w:val="00155A95"/>
    <w:rsid w:val="00155FBD"/>
    <w:rsid w:val="001571DC"/>
    <w:rsid w:val="00157C07"/>
    <w:rsid w:val="001604B6"/>
    <w:rsid w:val="001609D8"/>
    <w:rsid w:val="001615A5"/>
    <w:rsid w:val="00163C49"/>
    <w:rsid w:val="0016462F"/>
    <w:rsid w:val="00164C6A"/>
    <w:rsid w:val="00170196"/>
    <w:rsid w:val="001702CA"/>
    <w:rsid w:val="00170803"/>
    <w:rsid w:val="00170900"/>
    <w:rsid w:val="00172AD3"/>
    <w:rsid w:val="00172C03"/>
    <w:rsid w:val="00174A58"/>
    <w:rsid w:val="00174ADD"/>
    <w:rsid w:val="00175238"/>
    <w:rsid w:val="0017536E"/>
    <w:rsid w:val="001765C7"/>
    <w:rsid w:val="00181665"/>
    <w:rsid w:val="0018175F"/>
    <w:rsid w:val="00185020"/>
    <w:rsid w:val="00185B74"/>
    <w:rsid w:val="00192A08"/>
    <w:rsid w:val="0019385B"/>
    <w:rsid w:val="00195091"/>
    <w:rsid w:val="001953C8"/>
    <w:rsid w:val="00196437"/>
    <w:rsid w:val="00197CDB"/>
    <w:rsid w:val="001A1098"/>
    <w:rsid w:val="001A19AA"/>
    <w:rsid w:val="001A2D3A"/>
    <w:rsid w:val="001A324B"/>
    <w:rsid w:val="001A5C6D"/>
    <w:rsid w:val="001A5E4A"/>
    <w:rsid w:val="001A670C"/>
    <w:rsid w:val="001A7708"/>
    <w:rsid w:val="001A7EC5"/>
    <w:rsid w:val="001B0655"/>
    <w:rsid w:val="001B0D62"/>
    <w:rsid w:val="001B4565"/>
    <w:rsid w:val="001B530F"/>
    <w:rsid w:val="001B585F"/>
    <w:rsid w:val="001B6B89"/>
    <w:rsid w:val="001B6C67"/>
    <w:rsid w:val="001B7585"/>
    <w:rsid w:val="001C1A5E"/>
    <w:rsid w:val="001C1A63"/>
    <w:rsid w:val="001C25C6"/>
    <w:rsid w:val="001C5381"/>
    <w:rsid w:val="001C551D"/>
    <w:rsid w:val="001C5A98"/>
    <w:rsid w:val="001C5B2D"/>
    <w:rsid w:val="001C655C"/>
    <w:rsid w:val="001C75EC"/>
    <w:rsid w:val="001C79FF"/>
    <w:rsid w:val="001D20FE"/>
    <w:rsid w:val="001D2F8F"/>
    <w:rsid w:val="001D31E3"/>
    <w:rsid w:val="001D33A5"/>
    <w:rsid w:val="001D34C9"/>
    <w:rsid w:val="001D3908"/>
    <w:rsid w:val="001D3BF5"/>
    <w:rsid w:val="001D464C"/>
    <w:rsid w:val="001D52BC"/>
    <w:rsid w:val="001D5719"/>
    <w:rsid w:val="001D72E4"/>
    <w:rsid w:val="001D7873"/>
    <w:rsid w:val="001D7FCF"/>
    <w:rsid w:val="001E1D53"/>
    <w:rsid w:val="001E219E"/>
    <w:rsid w:val="001E3AED"/>
    <w:rsid w:val="001E3D5D"/>
    <w:rsid w:val="001E4F6B"/>
    <w:rsid w:val="001E7B69"/>
    <w:rsid w:val="001E7B9B"/>
    <w:rsid w:val="001F08D4"/>
    <w:rsid w:val="001F13DD"/>
    <w:rsid w:val="001F358C"/>
    <w:rsid w:val="001F54FE"/>
    <w:rsid w:val="001F666B"/>
    <w:rsid w:val="00200FA2"/>
    <w:rsid w:val="00201FC5"/>
    <w:rsid w:val="002028BA"/>
    <w:rsid w:val="00204126"/>
    <w:rsid w:val="002045F4"/>
    <w:rsid w:val="00207131"/>
    <w:rsid w:val="00207FFC"/>
    <w:rsid w:val="00210523"/>
    <w:rsid w:val="00212EC7"/>
    <w:rsid w:val="00214AB3"/>
    <w:rsid w:val="00216B5E"/>
    <w:rsid w:val="00220244"/>
    <w:rsid w:val="002206F0"/>
    <w:rsid w:val="00220A28"/>
    <w:rsid w:val="0022142B"/>
    <w:rsid w:val="0022318E"/>
    <w:rsid w:val="00223C3A"/>
    <w:rsid w:val="00223CD7"/>
    <w:rsid w:val="00231AB4"/>
    <w:rsid w:val="00231F3A"/>
    <w:rsid w:val="00232508"/>
    <w:rsid w:val="0023281A"/>
    <w:rsid w:val="002341A3"/>
    <w:rsid w:val="0023617E"/>
    <w:rsid w:val="0023701B"/>
    <w:rsid w:val="00241D33"/>
    <w:rsid w:val="002426B0"/>
    <w:rsid w:val="0024355B"/>
    <w:rsid w:val="00243D9C"/>
    <w:rsid w:val="00244261"/>
    <w:rsid w:val="00245AD3"/>
    <w:rsid w:val="00246374"/>
    <w:rsid w:val="00247A3D"/>
    <w:rsid w:val="00247BC2"/>
    <w:rsid w:val="002507A3"/>
    <w:rsid w:val="00250911"/>
    <w:rsid w:val="00251460"/>
    <w:rsid w:val="00253C76"/>
    <w:rsid w:val="00254E24"/>
    <w:rsid w:val="002552B0"/>
    <w:rsid w:val="002559E9"/>
    <w:rsid w:val="00262F27"/>
    <w:rsid w:val="00263E0D"/>
    <w:rsid w:val="00264794"/>
    <w:rsid w:val="00266E36"/>
    <w:rsid w:val="00271C20"/>
    <w:rsid w:val="002729C5"/>
    <w:rsid w:val="00273293"/>
    <w:rsid w:val="0027376B"/>
    <w:rsid w:val="002746F0"/>
    <w:rsid w:val="00276E6D"/>
    <w:rsid w:val="00276F06"/>
    <w:rsid w:val="002773FA"/>
    <w:rsid w:val="00277550"/>
    <w:rsid w:val="00277CB8"/>
    <w:rsid w:val="00277D4C"/>
    <w:rsid w:val="00281394"/>
    <w:rsid w:val="00281E9D"/>
    <w:rsid w:val="00284CA6"/>
    <w:rsid w:val="002876E5"/>
    <w:rsid w:val="00291B3E"/>
    <w:rsid w:val="0029384D"/>
    <w:rsid w:val="00293C07"/>
    <w:rsid w:val="00296DFE"/>
    <w:rsid w:val="00296E49"/>
    <w:rsid w:val="002A17F7"/>
    <w:rsid w:val="002A38D2"/>
    <w:rsid w:val="002A401D"/>
    <w:rsid w:val="002B019C"/>
    <w:rsid w:val="002B0226"/>
    <w:rsid w:val="002B2F25"/>
    <w:rsid w:val="002B4E54"/>
    <w:rsid w:val="002B5220"/>
    <w:rsid w:val="002B5DAF"/>
    <w:rsid w:val="002B6083"/>
    <w:rsid w:val="002C03DF"/>
    <w:rsid w:val="002C1258"/>
    <w:rsid w:val="002C18B0"/>
    <w:rsid w:val="002C2ADA"/>
    <w:rsid w:val="002C43F3"/>
    <w:rsid w:val="002C4C68"/>
    <w:rsid w:val="002C5099"/>
    <w:rsid w:val="002C752F"/>
    <w:rsid w:val="002D0605"/>
    <w:rsid w:val="002D0A9F"/>
    <w:rsid w:val="002D380A"/>
    <w:rsid w:val="002D5B80"/>
    <w:rsid w:val="002E01A5"/>
    <w:rsid w:val="002E0564"/>
    <w:rsid w:val="002E14BE"/>
    <w:rsid w:val="002E1DA4"/>
    <w:rsid w:val="002E216D"/>
    <w:rsid w:val="002E2D9F"/>
    <w:rsid w:val="002E4B2B"/>
    <w:rsid w:val="002E4DC3"/>
    <w:rsid w:val="002E61CD"/>
    <w:rsid w:val="002E6C1F"/>
    <w:rsid w:val="002E7C0C"/>
    <w:rsid w:val="002F02D8"/>
    <w:rsid w:val="002F5892"/>
    <w:rsid w:val="002F6862"/>
    <w:rsid w:val="0030093F"/>
    <w:rsid w:val="00300963"/>
    <w:rsid w:val="00301838"/>
    <w:rsid w:val="00301996"/>
    <w:rsid w:val="00301B3A"/>
    <w:rsid w:val="00303A5D"/>
    <w:rsid w:val="0030405A"/>
    <w:rsid w:val="003040E0"/>
    <w:rsid w:val="0030450F"/>
    <w:rsid w:val="003046C6"/>
    <w:rsid w:val="003064F0"/>
    <w:rsid w:val="00307DE7"/>
    <w:rsid w:val="00307ECA"/>
    <w:rsid w:val="003100E5"/>
    <w:rsid w:val="00310256"/>
    <w:rsid w:val="0031039B"/>
    <w:rsid w:val="00311836"/>
    <w:rsid w:val="00312A58"/>
    <w:rsid w:val="0031443E"/>
    <w:rsid w:val="00314522"/>
    <w:rsid w:val="00316905"/>
    <w:rsid w:val="003175AA"/>
    <w:rsid w:val="0032112A"/>
    <w:rsid w:val="00321B8D"/>
    <w:rsid w:val="00321FFD"/>
    <w:rsid w:val="00323043"/>
    <w:rsid w:val="0033094F"/>
    <w:rsid w:val="003317B0"/>
    <w:rsid w:val="00333BF9"/>
    <w:rsid w:val="00334A6B"/>
    <w:rsid w:val="00335E15"/>
    <w:rsid w:val="00340475"/>
    <w:rsid w:val="003414F3"/>
    <w:rsid w:val="00341C51"/>
    <w:rsid w:val="00342286"/>
    <w:rsid w:val="00343075"/>
    <w:rsid w:val="003438F0"/>
    <w:rsid w:val="00352116"/>
    <w:rsid w:val="00352236"/>
    <w:rsid w:val="00354C59"/>
    <w:rsid w:val="00356003"/>
    <w:rsid w:val="00356696"/>
    <w:rsid w:val="00356A22"/>
    <w:rsid w:val="00356AAB"/>
    <w:rsid w:val="00357E4D"/>
    <w:rsid w:val="00361EEB"/>
    <w:rsid w:val="00362D45"/>
    <w:rsid w:val="003653AA"/>
    <w:rsid w:val="0036789A"/>
    <w:rsid w:val="003679E2"/>
    <w:rsid w:val="00367FFB"/>
    <w:rsid w:val="003708F7"/>
    <w:rsid w:val="0037159E"/>
    <w:rsid w:val="00371DFA"/>
    <w:rsid w:val="00373657"/>
    <w:rsid w:val="003745A2"/>
    <w:rsid w:val="003748F7"/>
    <w:rsid w:val="00377E64"/>
    <w:rsid w:val="003811B8"/>
    <w:rsid w:val="00381B09"/>
    <w:rsid w:val="003825DE"/>
    <w:rsid w:val="00383DCC"/>
    <w:rsid w:val="00386B7C"/>
    <w:rsid w:val="0038768E"/>
    <w:rsid w:val="00390E6F"/>
    <w:rsid w:val="0039104F"/>
    <w:rsid w:val="003912EB"/>
    <w:rsid w:val="00395434"/>
    <w:rsid w:val="00396506"/>
    <w:rsid w:val="00397C9D"/>
    <w:rsid w:val="003A0202"/>
    <w:rsid w:val="003A04B2"/>
    <w:rsid w:val="003A08F6"/>
    <w:rsid w:val="003A16F6"/>
    <w:rsid w:val="003A3CBB"/>
    <w:rsid w:val="003A6471"/>
    <w:rsid w:val="003A6617"/>
    <w:rsid w:val="003A6618"/>
    <w:rsid w:val="003A71AB"/>
    <w:rsid w:val="003B0367"/>
    <w:rsid w:val="003B0E4B"/>
    <w:rsid w:val="003B102F"/>
    <w:rsid w:val="003B122C"/>
    <w:rsid w:val="003B2C8B"/>
    <w:rsid w:val="003B30D6"/>
    <w:rsid w:val="003B3430"/>
    <w:rsid w:val="003B498D"/>
    <w:rsid w:val="003B6D8C"/>
    <w:rsid w:val="003C02F5"/>
    <w:rsid w:val="003C2268"/>
    <w:rsid w:val="003C46BC"/>
    <w:rsid w:val="003C499B"/>
    <w:rsid w:val="003D3C07"/>
    <w:rsid w:val="003D43D2"/>
    <w:rsid w:val="003D46AC"/>
    <w:rsid w:val="003D47B1"/>
    <w:rsid w:val="003D4F9A"/>
    <w:rsid w:val="003D547C"/>
    <w:rsid w:val="003D6AE3"/>
    <w:rsid w:val="003E1378"/>
    <w:rsid w:val="003E14AB"/>
    <w:rsid w:val="003E15E8"/>
    <w:rsid w:val="003E21F0"/>
    <w:rsid w:val="003E4022"/>
    <w:rsid w:val="003E406B"/>
    <w:rsid w:val="003F3D6B"/>
    <w:rsid w:val="003F4D13"/>
    <w:rsid w:val="003F72B1"/>
    <w:rsid w:val="003F78F7"/>
    <w:rsid w:val="003F7E23"/>
    <w:rsid w:val="00400204"/>
    <w:rsid w:val="00407586"/>
    <w:rsid w:val="004078B1"/>
    <w:rsid w:val="00407CD4"/>
    <w:rsid w:val="00410158"/>
    <w:rsid w:val="00410B3B"/>
    <w:rsid w:val="004120EB"/>
    <w:rsid w:val="00413FD7"/>
    <w:rsid w:val="00414BE8"/>
    <w:rsid w:val="00414E96"/>
    <w:rsid w:val="0041512D"/>
    <w:rsid w:val="00415CAF"/>
    <w:rsid w:val="00415CEA"/>
    <w:rsid w:val="00416AAB"/>
    <w:rsid w:val="00417798"/>
    <w:rsid w:val="00422A93"/>
    <w:rsid w:val="00422D35"/>
    <w:rsid w:val="00423131"/>
    <w:rsid w:val="004241E3"/>
    <w:rsid w:val="00424EE9"/>
    <w:rsid w:val="004252D3"/>
    <w:rsid w:val="0042600F"/>
    <w:rsid w:val="00427F73"/>
    <w:rsid w:val="00431937"/>
    <w:rsid w:val="00432D9F"/>
    <w:rsid w:val="0043381D"/>
    <w:rsid w:val="004339F6"/>
    <w:rsid w:val="004358D0"/>
    <w:rsid w:val="004361DF"/>
    <w:rsid w:val="004420D7"/>
    <w:rsid w:val="004452CD"/>
    <w:rsid w:val="004524E2"/>
    <w:rsid w:val="004539AF"/>
    <w:rsid w:val="004579F9"/>
    <w:rsid w:val="00460286"/>
    <w:rsid w:val="00460AAA"/>
    <w:rsid w:val="00460FD9"/>
    <w:rsid w:val="004619FE"/>
    <w:rsid w:val="004658FE"/>
    <w:rsid w:val="00465C98"/>
    <w:rsid w:val="00466178"/>
    <w:rsid w:val="0046788E"/>
    <w:rsid w:val="004721A4"/>
    <w:rsid w:val="00473065"/>
    <w:rsid w:val="0047355E"/>
    <w:rsid w:val="0047651E"/>
    <w:rsid w:val="00476525"/>
    <w:rsid w:val="00477E71"/>
    <w:rsid w:val="0048091B"/>
    <w:rsid w:val="00480BE9"/>
    <w:rsid w:val="004812F5"/>
    <w:rsid w:val="00482737"/>
    <w:rsid w:val="00483ADE"/>
    <w:rsid w:val="00484153"/>
    <w:rsid w:val="00484C24"/>
    <w:rsid w:val="00485FAB"/>
    <w:rsid w:val="004862D6"/>
    <w:rsid w:val="00486698"/>
    <w:rsid w:val="00491939"/>
    <w:rsid w:val="004928EB"/>
    <w:rsid w:val="00493CBC"/>
    <w:rsid w:val="00494060"/>
    <w:rsid w:val="004943D0"/>
    <w:rsid w:val="00494998"/>
    <w:rsid w:val="0049508F"/>
    <w:rsid w:val="00497DE1"/>
    <w:rsid w:val="004A0B5B"/>
    <w:rsid w:val="004A1996"/>
    <w:rsid w:val="004A41D7"/>
    <w:rsid w:val="004A4352"/>
    <w:rsid w:val="004A44F6"/>
    <w:rsid w:val="004A4626"/>
    <w:rsid w:val="004A6FB8"/>
    <w:rsid w:val="004A797B"/>
    <w:rsid w:val="004B0886"/>
    <w:rsid w:val="004B0965"/>
    <w:rsid w:val="004B2DF3"/>
    <w:rsid w:val="004B417A"/>
    <w:rsid w:val="004B58A4"/>
    <w:rsid w:val="004B5D67"/>
    <w:rsid w:val="004B5F32"/>
    <w:rsid w:val="004B7DDB"/>
    <w:rsid w:val="004C088C"/>
    <w:rsid w:val="004C0C7F"/>
    <w:rsid w:val="004C17D5"/>
    <w:rsid w:val="004C25C2"/>
    <w:rsid w:val="004C284E"/>
    <w:rsid w:val="004C2A1B"/>
    <w:rsid w:val="004C333C"/>
    <w:rsid w:val="004C3757"/>
    <w:rsid w:val="004C49CD"/>
    <w:rsid w:val="004C5FBB"/>
    <w:rsid w:val="004C65BF"/>
    <w:rsid w:val="004D01F8"/>
    <w:rsid w:val="004D07FD"/>
    <w:rsid w:val="004D1C23"/>
    <w:rsid w:val="004D241A"/>
    <w:rsid w:val="004D3D2F"/>
    <w:rsid w:val="004D4F27"/>
    <w:rsid w:val="004D575D"/>
    <w:rsid w:val="004D5FF4"/>
    <w:rsid w:val="004E2DA0"/>
    <w:rsid w:val="004E3327"/>
    <w:rsid w:val="004E3926"/>
    <w:rsid w:val="004E60B7"/>
    <w:rsid w:val="004E63DA"/>
    <w:rsid w:val="004E6C17"/>
    <w:rsid w:val="004E76F2"/>
    <w:rsid w:val="004E7EF5"/>
    <w:rsid w:val="004F0774"/>
    <w:rsid w:val="004F0A77"/>
    <w:rsid w:val="004F1676"/>
    <w:rsid w:val="004F35CA"/>
    <w:rsid w:val="004F49C5"/>
    <w:rsid w:val="004F4CFC"/>
    <w:rsid w:val="004F6AC8"/>
    <w:rsid w:val="004F73BA"/>
    <w:rsid w:val="004F76F2"/>
    <w:rsid w:val="00502435"/>
    <w:rsid w:val="00502C32"/>
    <w:rsid w:val="00502C7B"/>
    <w:rsid w:val="00503AC5"/>
    <w:rsid w:val="00503BB9"/>
    <w:rsid w:val="00504BFA"/>
    <w:rsid w:val="00507AF4"/>
    <w:rsid w:val="00507CFC"/>
    <w:rsid w:val="0051004F"/>
    <w:rsid w:val="00510945"/>
    <w:rsid w:val="00510C55"/>
    <w:rsid w:val="00511227"/>
    <w:rsid w:val="00511352"/>
    <w:rsid w:val="00512A0D"/>
    <w:rsid w:val="00512AE1"/>
    <w:rsid w:val="00512B87"/>
    <w:rsid w:val="00512F6A"/>
    <w:rsid w:val="0051533E"/>
    <w:rsid w:val="00517854"/>
    <w:rsid w:val="005200F5"/>
    <w:rsid w:val="00520109"/>
    <w:rsid w:val="00520342"/>
    <w:rsid w:val="005218F0"/>
    <w:rsid w:val="00527DC4"/>
    <w:rsid w:val="00531B4A"/>
    <w:rsid w:val="00531CEA"/>
    <w:rsid w:val="00532E13"/>
    <w:rsid w:val="00534373"/>
    <w:rsid w:val="005401E3"/>
    <w:rsid w:val="0054093B"/>
    <w:rsid w:val="005419B8"/>
    <w:rsid w:val="0054442A"/>
    <w:rsid w:val="00544612"/>
    <w:rsid w:val="00544A29"/>
    <w:rsid w:val="00550E92"/>
    <w:rsid w:val="0055153F"/>
    <w:rsid w:val="00552581"/>
    <w:rsid w:val="005537AB"/>
    <w:rsid w:val="00557278"/>
    <w:rsid w:val="00557E1F"/>
    <w:rsid w:val="00557F74"/>
    <w:rsid w:val="005609DF"/>
    <w:rsid w:val="00562E5F"/>
    <w:rsid w:val="005651AE"/>
    <w:rsid w:val="00566F05"/>
    <w:rsid w:val="0056779D"/>
    <w:rsid w:val="00570E5D"/>
    <w:rsid w:val="00572459"/>
    <w:rsid w:val="00573388"/>
    <w:rsid w:val="00573E86"/>
    <w:rsid w:val="0057550E"/>
    <w:rsid w:val="0057562D"/>
    <w:rsid w:val="00575786"/>
    <w:rsid w:val="00576F6C"/>
    <w:rsid w:val="00581E58"/>
    <w:rsid w:val="0058584C"/>
    <w:rsid w:val="00586810"/>
    <w:rsid w:val="005872D9"/>
    <w:rsid w:val="005905DF"/>
    <w:rsid w:val="00590F19"/>
    <w:rsid w:val="00591EC4"/>
    <w:rsid w:val="0059271D"/>
    <w:rsid w:val="00595255"/>
    <w:rsid w:val="00595753"/>
    <w:rsid w:val="00597C21"/>
    <w:rsid w:val="00597D09"/>
    <w:rsid w:val="005A0F76"/>
    <w:rsid w:val="005A354E"/>
    <w:rsid w:val="005A460B"/>
    <w:rsid w:val="005A4CA1"/>
    <w:rsid w:val="005A588B"/>
    <w:rsid w:val="005A68B3"/>
    <w:rsid w:val="005A77AA"/>
    <w:rsid w:val="005B1AE5"/>
    <w:rsid w:val="005B1BD7"/>
    <w:rsid w:val="005B305C"/>
    <w:rsid w:val="005B3130"/>
    <w:rsid w:val="005B3EF5"/>
    <w:rsid w:val="005B44B5"/>
    <w:rsid w:val="005B7492"/>
    <w:rsid w:val="005B755E"/>
    <w:rsid w:val="005C14E3"/>
    <w:rsid w:val="005C52D5"/>
    <w:rsid w:val="005C57A7"/>
    <w:rsid w:val="005C5A21"/>
    <w:rsid w:val="005C7A7E"/>
    <w:rsid w:val="005D0693"/>
    <w:rsid w:val="005D0DDF"/>
    <w:rsid w:val="005D1BDC"/>
    <w:rsid w:val="005D23CA"/>
    <w:rsid w:val="005D2478"/>
    <w:rsid w:val="005D2D12"/>
    <w:rsid w:val="005D2DCB"/>
    <w:rsid w:val="005D3CF5"/>
    <w:rsid w:val="005D3F4A"/>
    <w:rsid w:val="005D41D5"/>
    <w:rsid w:val="005D43C6"/>
    <w:rsid w:val="005D465D"/>
    <w:rsid w:val="005D4C78"/>
    <w:rsid w:val="005D6909"/>
    <w:rsid w:val="005D69F2"/>
    <w:rsid w:val="005D6CED"/>
    <w:rsid w:val="005D7DD5"/>
    <w:rsid w:val="005E24DA"/>
    <w:rsid w:val="005E2A3F"/>
    <w:rsid w:val="005E33B3"/>
    <w:rsid w:val="005E3E01"/>
    <w:rsid w:val="005E4406"/>
    <w:rsid w:val="005E4730"/>
    <w:rsid w:val="005E7591"/>
    <w:rsid w:val="005F02BD"/>
    <w:rsid w:val="005F074B"/>
    <w:rsid w:val="005F2150"/>
    <w:rsid w:val="005F3027"/>
    <w:rsid w:val="005F4C41"/>
    <w:rsid w:val="005F594A"/>
    <w:rsid w:val="005F661F"/>
    <w:rsid w:val="005F6EAD"/>
    <w:rsid w:val="005F76F7"/>
    <w:rsid w:val="006001DB"/>
    <w:rsid w:val="00602A61"/>
    <w:rsid w:val="006112C3"/>
    <w:rsid w:val="00611407"/>
    <w:rsid w:val="0061161D"/>
    <w:rsid w:val="0061392B"/>
    <w:rsid w:val="00614460"/>
    <w:rsid w:val="00615439"/>
    <w:rsid w:val="00615908"/>
    <w:rsid w:val="0061724C"/>
    <w:rsid w:val="006177A6"/>
    <w:rsid w:val="00620244"/>
    <w:rsid w:val="006207F5"/>
    <w:rsid w:val="00621B9F"/>
    <w:rsid w:val="00621D95"/>
    <w:rsid w:val="0062363E"/>
    <w:rsid w:val="006251E1"/>
    <w:rsid w:val="0062593D"/>
    <w:rsid w:val="0062615A"/>
    <w:rsid w:val="0063017D"/>
    <w:rsid w:val="0063197F"/>
    <w:rsid w:val="00631DEE"/>
    <w:rsid w:val="006335D5"/>
    <w:rsid w:val="006365E2"/>
    <w:rsid w:val="006367E3"/>
    <w:rsid w:val="00637E61"/>
    <w:rsid w:val="006409FA"/>
    <w:rsid w:val="0064313F"/>
    <w:rsid w:val="00644627"/>
    <w:rsid w:val="006447DE"/>
    <w:rsid w:val="0064553B"/>
    <w:rsid w:val="00647A7A"/>
    <w:rsid w:val="006509AC"/>
    <w:rsid w:val="00650F8D"/>
    <w:rsid w:val="0065184A"/>
    <w:rsid w:val="00651A2E"/>
    <w:rsid w:val="00652097"/>
    <w:rsid w:val="00652451"/>
    <w:rsid w:val="00655E2F"/>
    <w:rsid w:val="00656774"/>
    <w:rsid w:val="006578B9"/>
    <w:rsid w:val="00661A71"/>
    <w:rsid w:val="006640A2"/>
    <w:rsid w:val="0066569B"/>
    <w:rsid w:val="00665C01"/>
    <w:rsid w:val="00666F7E"/>
    <w:rsid w:val="0066780F"/>
    <w:rsid w:val="00670A8F"/>
    <w:rsid w:val="00670DAF"/>
    <w:rsid w:val="00671E75"/>
    <w:rsid w:val="006723C5"/>
    <w:rsid w:val="00674AC5"/>
    <w:rsid w:val="00674D27"/>
    <w:rsid w:val="006764F1"/>
    <w:rsid w:val="006779F5"/>
    <w:rsid w:val="00680040"/>
    <w:rsid w:val="006804BF"/>
    <w:rsid w:val="0068176B"/>
    <w:rsid w:val="00681AA7"/>
    <w:rsid w:val="00684325"/>
    <w:rsid w:val="00684C03"/>
    <w:rsid w:val="00687315"/>
    <w:rsid w:val="00687842"/>
    <w:rsid w:val="006909E3"/>
    <w:rsid w:val="00690B80"/>
    <w:rsid w:val="00692315"/>
    <w:rsid w:val="00692A1E"/>
    <w:rsid w:val="006935F9"/>
    <w:rsid w:val="00694A4F"/>
    <w:rsid w:val="00694AB2"/>
    <w:rsid w:val="00697230"/>
    <w:rsid w:val="006A0F08"/>
    <w:rsid w:val="006A17FB"/>
    <w:rsid w:val="006A1A14"/>
    <w:rsid w:val="006A1BC2"/>
    <w:rsid w:val="006A3FCF"/>
    <w:rsid w:val="006A4651"/>
    <w:rsid w:val="006A5BE3"/>
    <w:rsid w:val="006A6CB5"/>
    <w:rsid w:val="006A7B32"/>
    <w:rsid w:val="006A7B6C"/>
    <w:rsid w:val="006B0C76"/>
    <w:rsid w:val="006B176F"/>
    <w:rsid w:val="006B1ACD"/>
    <w:rsid w:val="006B2D96"/>
    <w:rsid w:val="006B395F"/>
    <w:rsid w:val="006B3BF6"/>
    <w:rsid w:val="006B4823"/>
    <w:rsid w:val="006B4BB6"/>
    <w:rsid w:val="006B57B1"/>
    <w:rsid w:val="006B6603"/>
    <w:rsid w:val="006B6BAB"/>
    <w:rsid w:val="006B6FF0"/>
    <w:rsid w:val="006B79D0"/>
    <w:rsid w:val="006C0435"/>
    <w:rsid w:val="006C04D6"/>
    <w:rsid w:val="006C1282"/>
    <w:rsid w:val="006C19E6"/>
    <w:rsid w:val="006C1FA5"/>
    <w:rsid w:val="006C3758"/>
    <w:rsid w:val="006C391B"/>
    <w:rsid w:val="006C7A82"/>
    <w:rsid w:val="006D0901"/>
    <w:rsid w:val="006D0AA5"/>
    <w:rsid w:val="006D0AE6"/>
    <w:rsid w:val="006D20AA"/>
    <w:rsid w:val="006D21B3"/>
    <w:rsid w:val="006D2425"/>
    <w:rsid w:val="006D26ED"/>
    <w:rsid w:val="006D4489"/>
    <w:rsid w:val="006D464C"/>
    <w:rsid w:val="006D6C0A"/>
    <w:rsid w:val="006D76E5"/>
    <w:rsid w:val="006E0EF5"/>
    <w:rsid w:val="006E1DED"/>
    <w:rsid w:val="006E2E59"/>
    <w:rsid w:val="006E6213"/>
    <w:rsid w:val="006E6CDF"/>
    <w:rsid w:val="006E6EB2"/>
    <w:rsid w:val="006E75FB"/>
    <w:rsid w:val="006E7E81"/>
    <w:rsid w:val="006F4C90"/>
    <w:rsid w:val="006F5A3D"/>
    <w:rsid w:val="006F721C"/>
    <w:rsid w:val="00700153"/>
    <w:rsid w:val="00701072"/>
    <w:rsid w:val="00701145"/>
    <w:rsid w:val="00701D6D"/>
    <w:rsid w:val="00703760"/>
    <w:rsid w:val="007077EF"/>
    <w:rsid w:val="00710A1E"/>
    <w:rsid w:val="007113CF"/>
    <w:rsid w:val="00711475"/>
    <w:rsid w:val="007121FA"/>
    <w:rsid w:val="00714DA8"/>
    <w:rsid w:val="007153FF"/>
    <w:rsid w:val="00715562"/>
    <w:rsid w:val="00716992"/>
    <w:rsid w:val="00717905"/>
    <w:rsid w:val="007209B2"/>
    <w:rsid w:val="00720EB9"/>
    <w:rsid w:val="00721FC3"/>
    <w:rsid w:val="007231B1"/>
    <w:rsid w:val="007239E5"/>
    <w:rsid w:val="0072475F"/>
    <w:rsid w:val="00726D02"/>
    <w:rsid w:val="00731001"/>
    <w:rsid w:val="00735C27"/>
    <w:rsid w:val="00736033"/>
    <w:rsid w:val="00736078"/>
    <w:rsid w:val="0074044F"/>
    <w:rsid w:val="0074080D"/>
    <w:rsid w:val="00740C42"/>
    <w:rsid w:val="007414AB"/>
    <w:rsid w:val="00742CD6"/>
    <w:rsid w:val="007431E8"/>
    <w:rsid w:val="0074334F"/>
    <w:rsid w:val="007467A6"/>
    <w:rsid w:val="00747E26"/>
    <w:rsid w:val="007531A6"/>
    <w:rsid w:val="00754E2D"/>
    <w:rsid w:val="00756101"/>
    <w:rsid w:val="00757E15"/>
    <w:rsid w:val="00760EED"/>
    <w:rsid w:val="00763A35"/>
    <w:rsid w:val="00763AD6"/>
    <w:rsid w:val="007649B3"/>
    <w:rsid w:val="007653FF"/>
    <w:rsid w:val="0076555F"/>
    <w:rsid w:val="0076563B"/>
    <w:rsid w:val="0076588E"/>
    <w:rsid w:val="00766ED8"/>
    <w:rsid w:val="00766F65"/>
    <w:rsid w:val="0076743E"/>
    <w:rsid w:val="00770244"/>
    <w:rsid w:val="00770F77"/>
    <w:rsid w:val="0077104B"/>
    <w:rsid w:val="00771728"/>
    <w:rsid w:val="007731FE"/>
    <w:rsid w:val="007732BA"/>
    <w:rsid w:val="0077377D"/>
    <w:rsid w:val="00775292"/>
    <w:rsid w:val="007778CD"/>
    <w:rsid w:val="007802E1"/>
    <w:rsid w:val="00780B01"/>
    <w:rsid w:val="00781E90"/>
    <w:rsid w:val="0078242D"/>
    <w:rsid w:val="00782C9A"/>
    <w:rsid w:val="00782EE6"/>
    <w:rsid w:val="00791265"/>
    <w:rsid w:val="00791F83"/>
    <w:rsid w:val="0079210C"/>
    <w:rsid w:val="00792297"/>
    <w:rsid w:val="007936B7"/>
    <w:rsid w:val="0079385F"/>
    <w:rsid w:val="00794FCA"/>
    <w:rsid w:val="007953CB"/>
    <w:rsid w:val="007960EE"/>
    <w:rsid w:val="00796697"/>
    <w:rsid w:val="00796E59"/>
    <w:rsid w:val="00797878"/>
    <w:rsid w:val="007A038A"/>
    <w:rsid w:val="007A0662"/>
    <w:rsid w:val="007A0963"/>
    <w:rsid w:val="007A1AA4"/>
    <w:rsid w:val="007A2485"/>
    <w:rsid w:val="007A300B"/>
    <w:rsid w:val="007A49A1"/>
    <w:rsid w:val="007A50B3"/>
    <w:rsid w:val="007A54C2"/>
    <w:rsid w:val="007A57B2"/>
    <w:rsid w:val="007A6C7C"/>
    <w:rsid w:val="007B01F4"/>
    <w:rsid w:val="007B037D"/>
    <w:rsid w:val="007B1BE3"/>
    <w:rsid w:val="007B2E89"/>
    <w:rsid w:val="007B45A6"/>
    <w:rsid w:val="007B5202"/>
    <w:rsid w:val="007B6D2C"/>
    <w:rsid w:val="007B7683"/>
    <w:rsid w:val="007C15AA"/>
    <w:rsid w:val="007C3187"/>
    <w:rsid w:val="007C405F"/>
    <w:rsid w:val="007C6D58"/>
    <w:rsid w:val="007C7560"/>
    <w:rsid w:val="007D1A02"/>
    <w:rsid w:val="007D200A"/>
    <w:rsid w:val="007D2E13"/>
    <w:rsid w:val="007D2F95"/>
    <w:rsid w:val="007D3F45"/>
    <w:rsid w:val="007D4385"/>
    <w:rsid w:val="007E0CED"/>
    <w:rsid w:val="007E47F5"/>
    <w:rsid w:val="007E4F35"/>
    <w:rsid w:val="007E6A65"/>
    <w:rsid w:val="007E7DEC"/>
    <w:rsid w:val="007F1A6B"/>
    <w:rsid w:val="007F35D0"/>
    <w:rsid w:val="007F383E"/>
    <w:rsid w:val="007F3E59"/>
    <w:rsid w:val="007F673A"/>
    <w:rsid w:val="007F695A"/>
    <w:rsid w:val="008021E5"/>
    <w:rsid w:val="008022CF"/>
    <w:rsid w:val="0080435B"/>
    <w:rsid w:val="00805407"/>
    <w:rsid w:val="008064E9"/>
    <w:rsid w:val="00807937"/>
    <w:rsid w:val="00810537"/>
    <w:rsid w:val="00811923"/>
    <w:rsid w:val="008121FD"/>
    <w:rsid w:val="008123A8"/>
    <w:rsid w:val="00812AFB"/>
    <w:rsid w:val="00816546"/>
    <w:rsid w:val="00816FD0"/>
    <w:rsid w:val="00817B66"/>
    <w:rsid w:val="0082161A"/>
    <w:rsid w:val="00821ED4"/>
    <w:rsid w:val="00824124"/>
    <w:rsid w:val="008249F5"/>
    <w:rsid w:val="00824DAB"/>
    <w:rsid w:val="0082703A"/>
    <w:rsid w:val="0082782F"/>
    <w:rsid w:val="00827E39"/>
    <w:rsid w:val="00830642"/>
    <w:rsid w:val="00830C0C"/>
    <w:rsid w:val="008313CA"/>
    <w:rsid w:val="00834E9F"/>
    <w:rsid w:val="00835811"/>
    <w:rsid w:val="008364AD"/>
    <w:rsid w:val="00836649"/>
    <w:rsid w:val="008370C5"/>
    <w:rsid w:val="008432B1"/>
    <w:rsid w:val="00845C82"/>
    <w:rsid w:val="008540EC"/>
    <w:rsid w:val="00855897"/>
    <w:rsid w:val="00856E47"/>
    <w:rsid w:val="00861907"/>
    <w:rsid w:val="00863D5F"/>
    <w:rsid w:val="00863E46"/>
    <w:rsid w:val="0086525B"/>
    <w:rsid w:val="00865C15"/>
    <w:rsid w:val="00865F0A"/>
    <w:rsid w:val="008713E0"/>
    <w:rsid w:val="00871410"/>
    <w:rsid w:val="00876B97"/>
    <w:rsid w:val="00876EB0"/>
    <w:rsid w:val="00877BAC"/>
    <w:rsid w:val="00877BC8"/>
    <w:rsid w:val="00877F48"/>
    <w:rsid w:val="008806D7"/>
    <w:rsid w:val="00882040"/>
    <w:rsid w:val="00882B18"/>
    <w:rsid w:val="00882C06"/>
    <w:rsid w:val="00882E40"/>
    <w:rsid w:val="00886065"/>
    <w:rsid w:val="00891A5A"/>
    <w:rsid w:val="00892228"/>
    <w:rsid w:val="00892340"/>
    <w:rsid w:val="00894345"/>
    <w:rsid w:val="008949B1"/>
    <w:rsid w:val="008956E6"/>
    <w:rsid w:val="008979D9"/>
    <w:rsid w:val="008A15CE"/>
    <w:rsid w:val="008A1801"/>
    <w:rsid w:val="008A2B3D"/>
    <w:rsid w:val="008A398C"/>
    <w:rsid w:val="008A4D46"/>
    <w:rsid w:val="008A6E02"/>
    <w:rsid w:val="008A7847"/>
    <w:rsid w:val="008A78FA"/>
    <w:rsid w:val="008A7F5B"/>
    <w:rsid w:val="008B1605"/>
    <w:rsid w:val="008B64F7"/>
    <w:rsid w:val="008B6801"/>
    <w:rsid w:val="008C0B21"/>
    <w:rsid w:val="008C36D9"/>
    <w:rsid w:val="008C36F9"/>
    <w:rsid w:val="008C3C86"/>
    <w:rsid w:val="008C4516"/>
    <w:rsid w:val="008C63FE"/>
    <w:rsid w:val="008D1275"/>
    <w:rsid w:val="008D446C"/>
    <w:rsid w:val="008D7700"/>
    <w:rsid w:val="008D7832"/>
    <w:rsid w:val="008E2319"/>
    <w:rsid w:val="008E27A4"/>
    <w:rsid w:val="008E4692"/>
    <w:rsid w:val="008E516C"/>
    <w:rsid w:val="008E57FA"/>
    <w:rsid w:val="008E5AD7"/>
    <w:rsid w:val="008E5FED"/>
    <w:rsid w:val="008E7257"/>
    <w:rsid w:val="008E786A"/>
    <w:rsid w:val="008F0267"/>
    <w:rsid w:val="008F13C4"/>
    <w:rsid w:val="008F637A"/>
    <w:rsid w:val="009009DE"/>
    <w:rsid w:val="00903BED"/>
    <w:rsid w:val="00905022"/>
    <w:rsid w:val="00905D8F"/>
    <w:rsid w:val="009075C6"/>
    <w:rsid w:val="00907618"/>
    <w:rsid w:val="00907C9D"/>
    <w:rsid w:val="00910A7D"/>
    <w:rsid w:val="00911F60"/>
    <w:rsid w:val="00912390"/>
    <w:rsid w:val="00912565"/>
    <w:rsid w:val="00913EEE"/>
    <w:rsid w:val="00915222"/>
    <w:rsid w:val="009163BE"/>
    <w:rsid w:val="009168C7"/>
    <w:rsid w:val="00921720"/>
    <w:rsid w:val="00921EAA"/>
    <w:rsid w:val="009227AF"/>
    <w:rsid w:val="0092374E"/>
    <w:rsid w:val="009239E9"/>
    <w:rsid w:val="00926543"/>
    <w:rsid w:val="0092726A"/>
    <w:rsid w:val="00930068"/>
    <w:rsid w:val="0093117A"/>
    <w:rsid w:val="009315D4"/>
    <w:rsid w:val="0093168E"/>
    <w:rsid w:val="0093387A"/>
    <w:rsid w:val="009408A7"/>
    <w:rsid w:val="009414EA"/>
    <w:rsid w:val="00942DA4"/>
    <w:rsid w:val="00944387"/>
    <w:rsid w:val="00944D11"/>
    <w:rsid w:val="00946812"/>
    <w:rsid w:val="00947222"/>
    <w:rsid w:val="009512A0"/>
    <w:rsid w:val="009529C1"/>
    <w:rsid w:val="00953D70"/>
    <w:rsid w:val="009552F5"/>
    <w:rsid w:val="00956FAD"/>
    <w:rsid w:val="00961A82"/>
    <w:rsid w:val="00962F7A"/>
    <w:rsid w:val="00963907"/>
    <w:rsid w:val="00964090"/>
    <w:rsid w:val="00964F07"/>
    <w:rsid w:val="00964FC0"/>
    <w:rsid w:val="009657B6"/>
    <w:rsid w:val="00966B46"/>
    <w:rsid w:val="00966C3D"/>
    <w:rsid w:val="00974211"/>
    <w:rsid w:val="009744B1"/>
    <w:rsid w:val="00974B20"/>
    <w:rsid w:val="00977A22"/>
    <w:rsid w:val="0098149C"/>
    <w:rsid w:val="00983800"/>
    <w:rsid w:val="00984EC0"/>
    <w:rsid w:val="00986832"/>
    <w:rsid w:val="00986E08"/>
    <w:rsid w:val="00987C43"/>
    <w:rsid w:val="00990067"/>
    <w:rsid w:val="00991C69"/>
    <w:rsid w:val="00992142"/>
    <w:rsid w:val="00992567"/>
    <w:rsid w:val="009938DD"/>
    <w:rsid w:val="00993BAC"/>
    <w:rsid w:val="009946B9"/>
    <w:rsid w:val="00995C94"/>
    <w:rsid w:val="00997753"/>
    <w:rsid w:val="009978BB"/>
    <w:rsid w:val="009A0687"/>
    <w:rsid w:val="009A224C"/>
    <w:rsid w:val="009A4270"/>
    <w:rsid w:val="009A4354"/>
    <w:rsid w:val="009A5509"/>
    <w:rsid w:val="009A7ABB"/>
    <w:rsid w:val="009A7C29"/>
    <w:rsid w:val="009B4AEE"/>
    <w:rsid w:val="009B4B8A"/>
    <w:rsid w:val="009B5269"/>
    <w:rsid w:val="009B585B"/>
    <w:rsid w:val="009B5959"/>
    <w:rsid w:val="009B5F85"/>
    <w:rsid w:val="009B638D"/>
    <w:rsid w:val="009B7456"/>
    <w:rsid w:val="009B7BA8"/>
    <w:rsid w:val="009C0EF1"/>
    <w:rsid w:val="009C250D"/>
    <w:rsid w:val="009C43AE"/>
    <w:rsid w:val="009C4E57"/>
    <w:rsid w:val="009C763F"/>
    <w:rsid w:val="009D09DD"/>
    <w:rsid w:val="009D2183"/>
    <w:rsid w:val="009D2438"/>
    <w:rsid w:val="009D3970"/>
    <w:rsid w:val="009D3DCD"/>
    <w:rsid w:val="009D421C"/>
    <w:rsid w:val="009D7BAE"/>
    <w:rsid w:val="009E0CBC"/>
    <w:rsid w:val="009E2078"/>
    <w:rsid w:val="009E3166"/>
    <w:rsid w:val="009E33F1"/>
    <w:rsid w:val="009E37A7"/>
    <w:rsid w:val="009E45EB"/>
    <w:rsid w:val="009E744B"/>
    <w:rsid w:val="009E790E"/>
    <w:rsid w:val="009E7A77"/>
    <w:rsid w:val="009F104D"/>
    <w:rsid w:val="009F3C79"/>
    <w:rsid w:val="009F4DA3"/>
    <w:rsid w:val="009F4F88"/>
    <w:rsid w:val="009F5C1E"/>
    <w:rsid w:val="00A00E70"/>
    <w:rsid w:val="00A03BF5"/>
    <w:rsid w:val="00A04D78"/>
    <w:rsid w:val="00A0634F"/>
    <w:rsid w:val="00A06653"/>
    <w:rsid w:val="00A068C0"/>
    <w:rsid w:val="00A07457"/>
    <w:rsid w:val="00A10471"/>
    <w:rsid w:val="00A10604"/>
    <w:rsid w:val="00A11B17"/>
    <w:rsid w:val="00A12078"/>
    <w:rsid w:val="00A126A3"/>
    <w:rsid w:val="00A12DB3"/>
    <w:rsid w:val="00A1641F"/>
    <w:rsid w:val="00A2086B"/>
    <w:rsid w:val="00A22E73"/>
    <w:rsid w:val="00A23055"/>
    <w:rsid w:val="00A24477"/>
    <w:rsid w:val="00A24D5B"/>
    <w:rsid w:val="00A25367"/>
    <w:rsid w:val="00A25424"/>
    <w:rsid w:val="00A25694"/>
    <w:rsid w:val="00A27836"/>
    <w:rsid w:val="00A3090A"/>
    <w:rsid w:val="00A3167B"/>
    <w:rsid w:val="00A33005"/>
    <w:rsid w:val="00A33186"/>
    <w:rsid w:val="00A33DD0"/>
    <w:rsid w:val="00A343B8"/>
    <w:rsid w:val="00A348CD"/>
    <w:rsid w:val="00A34AA2"/>
    <w:rsid w:val="00A35ED2"/>
    <w:rsid w:val="00A4085E"/>
    <w:rsid w:val="00A40A72"/>
    <w:rsid w:val="00A41FF4"/>
    <w:rsid w:val="00A44439"/>
    <w:rsid w:val="00A461CD"/>
    <w:rsid w:val="00A51D00"/>
    <w:rsid w:val="00A52203"/>
    <w:rsid w:val="00A53A59"/>
    <w:rsid w:val="00A548EE"/>
    <w:rsid w:val="00A550C2"/>
    <w:rsid w:val="00A554D6"/>
    <w:rsid w:val="00A55AF7"/>
    <w:rsid w:val="00A56B87"/>
    <w:rsid w:val="00A56EBD"/>
    <w:rsid w:val="00A56F1A"/>
    <w:rsid w:val="00A60B10"/>
    <w:rsid w:val="00A64D58"/>
    <w:rsid w:val="00A66E0C"/>
    <w:rsid w:val="00A71630"/>
    <w:rsid w:val="00A7262A"/>
    <w:rsid w:val="00A7275C"/>
    <w:rsid w:val="00A72EE5"/>
    <w:rsid w:val="00A75922"/>
    <w:rsid w:val="00A75947"/>
    <w:rsid w:val="00A76133"/>
    <w:rsid w:val="00A771A0"/>
    <w:rsid w:val="00A77277"/>
    <w:rsid w:val="00A80B90"/>
    <w:rsid w:val="00A8123B"/>
    <w:rsid w:val="00A81A8A"/>
    <w:rsid w:val="00A81C56"/>
    <w:rsid w:val="00A822B3"/>
    <w:rsid w:val="00A82C5F"/>
    <w:rsid w:val="00A83CDB"/>
    <w:rsid w:val="00A84BCE"/>
    <w:rsid w:val="00A84C6F"/>
    <w:rsid w:val="00A86041"/>
    <w:rsid w:val="00A86410"/>
    <w:rsid w:val="00A873B5"/>
    <w:rsid w:val="00A91D2B"/>
    <w:rsid w:val="00A925F0"/>
    <w:rsid w:val="00A94B62"/>
    <w:rsid w:val="00A95453"/>
    <w:rsid w:val="00A973FE"/>
    <w:rsid w:val="00AA1528"/>
    <w:rsid w:val="00AA2092"/>
    <w:rsid w:val="00AA2ACF"/>
    <w:rsid w:val="00AA5091"/>
    <w:rsid w:val="00AA657C"/>
    <w:rsid w:val="00AA660F"/>
    <w:rsid w:val="00AA66A0"/>
    <w:rsid w:val="00AA6714"/>
    <w:rsid w:val="00AA7D75"/>
    <w:rsid w:val="00AB0304"/>
    <w:rsid w:val="00AB1B6F"/>
    <w:rsid w:val="00AB203D"/>
    <w:rsid w:val="00AB4D9E"/>
    <w:rsid w:val="00AB5BD2"/>
    <w:rsid w:val="00AB72EE"/>
    <w:rsid w:val="00AC0004"/>
    <w:rsid w:val="00AC0329"/>
    <w:rsid w:val="00AC1287"/>
    <w:rsid w:val="00AC709C"/>
    <w:rsid w:val="00AC7BB8"/>
    <w:rsid w:val="00AC7C79"/>
    <w:rsid w:val="00AD02A4"/>
    <w:rsid w:val="00AD13C5"/>
    <w:rsid w:val="00AD2101"/>
    <w:rsid w:val="00AD267A"/>
    <w:rsid w:val="00AD4A16"/>
    <w:rsid w:val="00AD59E2"/>
    <w:rsid w:val="00AD7654"/>
    <w:rsid w:val="00AD810D"/>
    <w:rsid w:val="00AE6EC5"/>
    <w:rsid w:val="00AF3252"/>
    <w:rsid w:val="00AF370C"/>
    <w:rsid w:val="00AF395D"/>
    <w:rsid w:val="00AF7ABF"/>
    <w:rsid w:val="00AFBB1D"/>
    <w:rsid w:val="00B038C7"/>
    <w:rsid w:val="00B03B30"/>
    <w:rsid w:val="00B11CBA"/>
    <w:rsid w:val="00B1609D"/>
    <w:rsid w:val="00B174DF"/>
    <w:rsid w:val="00B20266"/>
    <w:rsid w:val="00B204B6"/>
    <w:rsid w:val="00B222EA"/>
    <w:rsid w:val="00B2232B"/>
    <w:rsid w:val="00B224BD"/>
    <w:rsid w:val="00B25A54"/>
    <w:rsid w:val="00B262B9"/>
    <w:rsid w:val="00B279AA"/>
    <w:rsid w:val="00B27D72"/>
    <w:rsid w:val="00B336DB"/>
    <w:rsid w:val="00B36002"/>
    <w:rsid w:val="00B367C6"/>
    <w:rsid w:val="00B42543"/>
    <w:rsid w:val="00B42D75"/>
    <w:rsid w:val="00B430E7"/>
    <w:rsid w:val="00B44BB3"/>
    <w:rsid w:val="00B47069"/>
    <w:rsid w:val="00B474EB"/>
    <w:rsid w:val="00B47A2E"/>
    <w:rsid w:val="00B5245A"/>
    <w:rsid w:val="00B527EF"/>
    <w:rsid w:val="00B544FA"/>
    <w:rsid w:val="00B553CB"/>
    <w:rsid w:val="00B56C73"/>
    <w:rsid w:val="00B572E2"/>
    <w:rsid w:val="00B57726"/>
    <w:rsid w:val="00B6095F"/>
    <w:rsid w:val="00B6432F"/>
    <w:rsid w:val="00B64936"/>
    <w:rsid w:val="00B64FB0"/>
    <w:rsid w:val="00B71B56"/>
    <w:rsid w:val="00B73E2B"/>
    <w:rsid w:val="00B74897"/>
    <w:rsid w:val="00B75422"/>
    <w:rsid w:val="00B7606E"/>
    <w:rsid w:val="00B76BA3"/>
    <w:rsid w:val="00B80B31"/>
    <w:rsid w:val="00B810BA"/>
    <w:rsid w:val="00B82419"/>
    <w:rsid w:val="00B84AE3"/>
    <w:rsid w:val="00B84C07"/>
    <w:rsid w:val="00B84D47"/>
    <w:rsid w:val="00B86727"/>
    <w:rsid w:val="00B87C02"/>
    <w:rsid w:val="00B87C93"/>
    <w:rsid w:val="00B903F8"/>
    <w:rsid w:val="00B91C07"/>
    <w:rsid w:val="00B94FE5"/>
    <w:rsid w:val="00B95305"/>
    <w:rsid w:val="00B96A21"/>
    <w:rsid w:val="00B97CC2"/>
    <w:rsid w:val="00BA0ACC"/>
    <w:rsid w:val="00BA366C"/>
    <w:rsid w:val="00BA5960"/>
    <w:rsid w:val="00BA6934"/>
    <w:rsid w:val="00BB0076"/>
    <w:rsid w:val="00BB0D20"/>
    <w:rsid w:val="00BB0E69"/>
    <w:rsid w:val="00BB159E"/>
    <w:rsid w:val="00BB40F2"/>
    <w:rsid w:val="00BB42B6"/>
    <w:rsid w:val="00BB49B9"/>
    <w:rsid w:val="00BB634B"/>
    <w:rsid w:val="00BC01B9"/>
    <w:rsid w:val="00BC076E"/>
    <w:rsid w:val="00BC0BA9"/>
    <w:rsid w:val="00BC1E19"/>
    <w:rsid w:val="00BC397E"/>
    <w:rsid w:val="00BC6512"/>
    <w:rsid w:val="00BC6C2E"/>
    <w:rsid w:val="00BD2088"/>
    <w:rsid w:val="00BD3838"/>
    <w:rsid w:val="00BD402A"/>
    <w:rsid w:val="00BD4675"/>
    <w:rsid w:val="00BD4830"/>
    <w:rsid w:val="00BD50F8"/>
    <w:rsid w:val="00BD514E"/>
    <w:rsid w:val="00BD51BB"/>
    <w:rsid w:val="00BD6C9F"/>
    <w:rsid w:val="00BE0756"/>
    <w:rsid w:val="00BE270E"/>
    <w:rsid w:val="00BE6B16"/>
    <w:rsid w:val="00BE71AC"/>
    <w:rsid w:val="00BE72EE"/>
    <w:rsid w:val="00BE7B03"/>
    <w:rsid w:val="00BF1DC4"/>
    <w:rsid w:val="00BF385B"/>
    <w:rsid w:val="00BF4471"/>
    <w:rsid w:val="00BF56B1"/>
    <w:rsid w:val="00BF5CAD"/>
    <w:rsid w:val="00C00321"/>
    <w:rsid w:val="00C00376"/>
    <w:rsid w:val="00C009A0"/>
    <w:rsid w:val="00C01D2A"/>
    <w:rsid w:val="00C03AF9"/>
    <w:rsid w:val="00C040EF"/>
    <w:rsid w:val="00C05925"/>
    <w:rsid w:val="00C06ED7"/>
    <w:rsid w:val="00C1327C"/>
    <w:rsid w:val="00C135ED"/>
    <w:rsid w:val="00C13FC0"/>
    <w:rsid w:val="00C1404A"/>
    <w:rsid w:val="00C14695"/>
    <w:rsid w:val="00C152B6"/>
    <w:rsid w:val="00C15957"/>
    <w:rsid w:val="00C173D0"/>
    <w:rsid w:val="00C17C8A"/>
    <w:rsid w:val="00C20415"/>
    <w:rsid w:val="00C20E26"/>
    <w:rsid w:val="00C2114B"/>
    <w:rsid w:val="00C24118"/>
    <w:rsid w:val="00C26CCF"/>
    <w:rsid w:val="00C309C1"/>
    <w:rsid w:val="00C313F3"/>
    <w:rsid w:val="00C31AFB"/>
    <w:rsid w:val="00C3389C"/>
    <w:rsid w:val="00C36738"/>
    <w:rsid w:val="00C36971"/>
    <w:rsid w:val="00C3698D"/>
    <w:rsid w:val="00C37127"/>
    <w:rsid w:val="00C40525"/>
    <w:rsid w:val="00C4084D"/>
    <w:rsid w:val="00C427D3"/>
    <w:rsid w:val="00C42990"/>
    <w:rsid w:val="00C44A38"/>
    <w:rsid w:val="00C45717"/>
    <w:rsid w:val="00C46F7C"/>
    <w:rsid w:val="00C4736E"/>
    <w:rsid w:val="00C536F7"/>
    <w:rsid w:val="00C54438"/>
    <w:rsid w:val="00C546ED"/>
    <w:rsid w:val="00C55267"/>
    <w:rsid w:val="00C55426"/>
    <w:rsid w:val="00C60699"/>
    <w:rsid w:val="00C606BA"/>
    <w:rsid w:val="00C608FE"/>
    <w:rsid w:val="00C61EBF"/>
    <w:rsid w:val="00C63292"/>
    <w:rsid w:val="00C6607A"/>
    <w:rsid w:val="00C663CC"/>
    <w:rsid w:val="00C666FA"/>
    <w:rsid w:val="00C66EBC"/>
    <w:rsid w:val="00C700D6"/>
    <w:rsid w:val="00C730B9"/>
    <w:rsid w:val="00C737F2"/>
    <w:rsid w:val="00C744CE"/>
    <w:rsid w:val="00C752C9"/>
    <w:rsid w:val="00C765FC"/>
    <w:rsid w:val="00C83F1F"/>
    <w:rsid w:val="00C9151B"/>
    <w:rsid w:val="00C935E7"/>
    <w:rsid w:val="00C94684"/>
    <w:rsid w:val="00C9476A"/>
    <w:rsid w:val="00C9506E"/>
    <w:rsid w:val="00C95194"/>
    <w:rsid w:val="00C95CD8"/>
    <w:rsid w:val="00C96CEE"/>
    <w:rsid w:val="00C97B0F"/>
    <w:rsid w:val="00CA7534"/>
    <w:rsid w:val="00CB04FA"/>
    <w:rsid w:val="00CB1024"/>
    <w:rsid w:val="00CB168C"/>
    <w:rsid w:val="00CB24AF"/>
    <w:rsid w:val="00CB28F4"/>
    <w:rsid w:val="00CB308B"/>
    <w:rsid w:val="00CB4B8D"/>
    <w:rsid w:val="00CB6668"/>
    <w:rsid w:val="00CB77E1"/>
    <w:rsid w:val="00CB7C44"/>
    <w:rsid w:val="00CC0401"/>
    <w:rsid w:val="00CC077C"/>
    <w:rsid w:val="00CC0F67"/>
    <w:rsid w:val="00CC25CB"/>
    <w:rsid w:val="00CC29FB"/>
    <w:rsid w:val="00CC3A58"/>
    <w:rsid w:val="00CC3DE1"/>
    <w:rsid w:val="00CC4A78"/>
    <w:rsid w:val="00CC4D03"/>
    <w:rsid w:val="00CC637C"/>
    <w:rsid w:val="00CC6818"/>
    <w:rsid w:val="00CC6D31"/>
    <w:rsid w:val="00CC6D95"/>
    <w:rsid w:val="00CC7A58"/>
    <w:rsid w:val="00CD3505"/>
    <w:rsid w:val="00CD46A1"/>
    <w:rsid w:val="00CD5A3A"/>
    <w:rsid w:val="00CD60E6"/>
    <w:rsid w:val="00CD60EF"/>
    <w:rsid w:val="00CE1FDD"/>
    <w:rsid w:val="00CE37DC"/>
    <w:rsid w:val="00CE4B5D"/>
    <w:rsid w:val="00CE536A"/>
    <w:rsid w:val="00CE5CD8"/>
    <w:rsid w:val="00CE6BC7"/>
    <w:rsid w:val="00CE749B"/>
    <w:rsid w:val="00CF0E2F"/>
    <w:rsid w:val="00CF10EF"/>
    <w:rsid w:val="00CF1DB8"/>
    <w:rsid w:val="00CF2E50"/>
    <w:rsid w:val="00CF3272"/>
    <w:rsid w:val="00CF32EB"/>
    <w:rsid w:val="00CF4A2C"/>
    <w:rsid w:val="00CF5117"/>
    <w:rsid w:val="00CF5C20"/>
    <w:rsid w:val="00CF6ADA"/>
    <w:rsid w:val="00D003EA"/>
    <w:rsid w:val="00D008E4"/>
    <w:rsid w:val="00D05B28"/>
    <w:rsid w:val="00D063D6"/>
    <w:rsid w:val="00D07816"/>
    <w:rsid w:val="00D10275"/>
    <w:rsid w:val="00D11FAD"/>
    <w:rsid w:val="00D126EB"/>
    <w:rsid w:val="00D148DA"/>
    <w:rsid w:val="00D14F09"/>
    <w:rsid w:val="00D15479"/>
    <w:rsid w:val="00D15A7D"/>
    <w:rsid w:val="00D15D89"/>
    <w:rsid w:val="00D20265"/>
    <w:rsid w:val="00D20AF7"/>
    <w:rsid w:val="00D20F84"/>
    <w:rsid w:val="00D221B2"/>
    <w:rsid w:val="00D2258D"/>
    <w:rsid w:val="00D234C0"/>
    <w:rsid w:val="00D243BA"/>
    <w:rsid w:val="00D26279"/>
    <w:rsid w:val="00D31AF7"/>
    <w:rsid w:val="00D36B23"/>
    <w:rsid w:val="00D36E54"/>
    <w:rsid w:val="00D4003C"/>
    <w:rsid w:val="00D41C92"/>
    <w:rsid w:val="00D430DF"/>
    <w:rsid w:val="00D43125"/>
    <w:rsid w:val="00D43A2F"/>
    <w:rsid w:val="00D43D12"/>
    <w:rsid w:val="00D43E96"/>
    <w:rsid w:val="00D44DC7"/>
    <w:rsid w:val="00D4658B"/>
    <w:rsid w:val="00D47070"/>
    <w:rsid w:val="00D50A16"/>
    <w:rsid w:val="00D50D32"/>
    <w:rsid w:val="00D546EF"/>
    <w:rsid w:val="00D54C47"/>
    <w:rsid w:val="00D553EA"/>
    <w:rsid w:val="00D55BFC"/>
    <w:rsid w:val="00D55DDC"/>
    <w:rsid w:val="00D56DE8"/>
    <w:rsid w:val="00D5789D"/>
    <w:rsid w:val="00D57EFC"/>
    <w:rsid w:val="00D60086"/>
    <w:rsid w:val="00D60D52"/>
    <w:rsid w:val="00D616AC"/>
    <w:rsid w:val="00D6256F"/>
    <w:rsid w:val="00D64043"/>
    <w:rsid w:val="00D643BA"/>
    <w:rsid w:val="00D65907"/>
    <w:rsid w:val="00D66548"/>
    <w:rsid w:val="00D667A4"/>
    <w:rsid w:val="00D714A5"/>
    <w:rsid w:val="00D71EBC"/>
    <w:rsid w:val="00D733E9"/>
    <w:rsid w:val="00D73B61"/>
    <w:rsid w:val="00D74259"/>
    <w:rsid w:val="00D74F74"/>
    <w:rsid w:val="00D76823"/>
    <w:rsid w:val="00D76FB3"/>
    <w:rsid w:val="00D77D3A"/>
    <w:rsid w:val="00D8193C"/>
    <w:rsid w:val="00D8482F"/>
    <w:rsid w:val="00D85A63"/>
    <w:rsid w:val="00D86059"/>
    <w:rsid w:val="00D868DD"/>
    <w:rsid w:val="00D927B1"/>
    <w:rsid w:val="00D92DFE"/>
    <w:rsid w:val="00D94B32"/>
    <w:rsid w:val="00D9530B"/>
    <w:rsid w:val="00D95B67"/>
    <w:rsid w:val="00D9633F"/>
    <w:rsid w:val="00D9717D"/>
    <w:rsid w:val="00D97479"/>
    <w:rsid w:val="00D97CF4"/>
    <w:rsid w:val="00DA04F2"/>
    <w:rsid w:val="00DA089C"/>
    <w:rsid w:val="00DA1409"/>
    <w:rsid w:val="00DA36E4"/>
    <w:rsid w:val="00DA3ADD"/>
    <w:rsid w:val="00DA4C02"/>
    <w:rsid w:val="00DA52E7"/>
    <w:rsid w:val="00DB1DB9"/>
    <w:rsid w:val="00DB28A9"/>
    <w:rsid w:val="00DB6142"/>
    <w:rsid w:val="00DB72A9"/>
    <w:rsid w:val="00DC09B1"/>
    <w:rsid w:val="00DC198C"/>
    <w:rsid w:val="00DC25E6"/>
    <w:rsid w:val="00DC2A4A"/>
    <w:rsid w:val="00DC2FF1"/>
    <w:rsid w:val="00DC36E7"/>
    <w:rsid w:val="00DC38CA"/>
    <w:rsid w:val="00DC3BED"/>
    <w:rsid w:val="00DC619F"/>
    <w:rsid w:val="00DC641F"/>
    <w:rsid w:val="00DC674F"/>
    <w:rsid w:val="00DC7F9D"/>
    <w:rsid w:val="00DD14E7"/>
    <w:rsid w:val="00DD1EBD"/>
    <w:rsid w:val="00DD53B1"/>
    <w:rsid w:val="00DD590A"/>
    <w:rsid w:val="00DD625F"/>
    <w:rsid w:val="00DD7778"/>
    <w:rsid w:val="00DE1523"/>
    <w:rsid w:val="00DE1BCC"/>
    <w:rsid w:val="00DE1E22"/>
    <w:rsid w:val="00DE2055"/>
    <w:rsid w:val="00DE4328"/>
    <w:rsid w:val="00DE4462"/>
    <w:rsid w:val="00DE454A"/>
    <w:rsid w:val="00DE4CEB"/>
    <w:rsid w:val="00DE50E1"/>
    <w:rsid w:val="00DE7C31"/>
    <w:rsid w:val="00DF0A21"/>
    <w:rsid w:val="00DF10AD"/>
    <w:rsid w:val="00DF3747"/>
    <w:rsid w:val="00DF3AA9"/>
    <w:rsid w:val="00DF4695"/>
    <w:rsid w:val="00DF4BFD"/>
    <w:rsid w:val="00DF5E09"/>
    <w:rsid w:val="00E00326"/>
    <w:rsid w:val="00E0267D"/>
    <w:rsid w:val="00E06F45"/>
    <w:rsid w:val="00E103DE"/>
    <w:rsid w:val="00E116D4"/>
    <w:rsid w:val="00E129BD"/>
    <w:rsid w:val="00E1562F"/>
    <w:rsid w:val="00E162A8"/>
    <w:rsid w:val="00E173C1"/>
    <w:rsid w:val="00E17ADC"/>
    <w:rsid w:val="00E20FD9"/>
    <w:rsid w:val="00E247E2"/>
    <w:rsid w:val="00E27E7F"/>
    <w:rsid w:val="00E27FA3"/>
    <w:rsid w:val="00E30861"/>
    <w:rsid w:val="00E324B0"/>
    <w:rsid w:val="00E33F1D"/>
    <w:rsid w:val="00E347CE"/>
    <w:rsid w:val="00E363CC"/>
    <w:rsid w:val="00E4160E"/>
    <w:rsid w:val="00E432A9"/>
    <w:rsid w:val="00E43CAB"/>
    <w:rsid w:val="00E43E77"/>
    <w:rsid w:val="00E4494D"/>
    <w:rsid w:val="00E45DAE"/>
    <w:rsid w:val="00E4643F"/>
    <w:rsid w:val="00E46905"/>
    <w:rsid w:val="00E47F97"/>
    <w:rsid w:val="00E5081D"/>
    <w:rsid w:val="00E509A6"/>
    <w:rsid w:val="00E52424"/>
    <w:rsid w:val="00E526B2"/>
    <w:rsid w:val="00E52F66"/>
    <w:rsid w:val="00E52FE5"/>
    <w:rsid w:val="00E558B7"/>
    <w:rsid w:val="00E578DA"/>
    <w:rsid w:val="00E60C04"/>
    <w:rsid w:val="00E60C57"/>
    <w:rsid w:val="00E620B8"/>
    <w:rsid w:val="00E62EE3"/>
    <w:rsid w:val="00E644DE"/>
    <w:rsid w:val="00E64CFA"/>
    <w:rsid w:val="00E65EDC"/>
    <w:rsid w:val="00E66041"/>
    <w:rsid w:val="00E6730B"/>
    <w:rsid w:val="00E67FAF"/>
    <w:rsid w:val="00E701C0"/>
    <w:rsid w:val="00E7099C"/>
    <w:rsid w:val="00E71212"/>
    <w:rsid w:val="00E7324C"/>
    <w:rsid w:val="00E73B10"/>
    <w:rsid w:val="00E73FDD"/>
    <w:rsid w:val="00E75BCF"/>
    <w:rsid w:val="00E75C4C"/>
    <w:rsid w:val="00E77444"/>
    <w:rsid w:val="00E80983"/>
    <w:rsid w:val="00E81BC4"/>
    <w:rsid w:val="00E85064"/>
    <w:rsid w:val="00E85340"/>
    <w:rsid w:val="00E85698"/>
    <w:rsid w:val="00E913BA"/>
    <w:rsid w:val="00E91982"/>
    <w:rsid w:val="00E92A80"/>
    <w:rsid w:val="00E930FE"/>
    <w:rsid w:val="00E93811"/>
    <w:rsid w:val="00E96364"/>
    <w:rsid w:val="00E963C3"/>
    <w:rsid w:val="00E97A25"/>
    <w:rsid w:val="00EA306F"/>
    <w:rsid w:val="00EA5F50"/>
    <w:rsid w:val="00EB0AFA"/>
    <w:rsid w:val="00EB1B5A"/>
    <w:rsid w:val="00EB1DDF"/>
    <w:rsid w:val="00EB2221"/>
    <w:rsid w:val="00EB3D64"/>
    <w:rsid w:val="00EB5B53"/>
    <w:rsid w:val="00EB645B"/>
    <w:rsid w:val="00EB724F"/>
    <w:rsid w:val="00EC0807"/>
    <w:rsid w:val="00EC08A9"/>
    <w:rsid w:val="00EC0A7A"/>
    <w:rsid w:val="00EC2695"/>
    <w:rsid w:val="00EC34BA"/>
    <w:rsid w:val="00EC3F2A"/>
    <w:rsid w:val="00EC4C68"/>
    <w:rsid w:val="00EC54BB"/>
    <w:rsid w:val="00EC5872"/>
    <w:rsid w:val="00EC5D24"/>
    <w:rsid w:val="00EC6060"/>
    <w:rsid w:val="00EC6214"/>
    <w:rsid w:val="00EC70BF"/>
    <w:rsid w:val="00EC79FA"/>
    <w:rsid w:val="00ED061A"/>
    <w:rsid w:val="00ED3CA1"/>
    <w:rsid w:val="00ED42B1"/>
    <w:rsid w:val="00ED4582"/>
    <w:rsid w:val="00ED5B75"/>
    <w:rsid w:val="00ED5D55"/>
    <w:rsid w:val="00ED65AE"/>
    <w:rsid w:val="00EE123E"/>
    <w:rsid w:val="00EE1285"/>
    <w:rsid w:val="00EE12E6"/>
    <w:rsid w:val="00EE1C90"/>
    <w:rsid w:val="00EE1D1C"/>
    <w:rsid w:val="00EE312C"/>
    <w:rsid w:val="00EE3646"/>
    <w:rsid w:val="00EE3AD1"/>
    <w:rsid w:val="00EE3DB9"/>
    <w:rsid w:val="00EE54C1"/>
    <w:rsid w:val="00EE6934"/>
    <w:rsid w:val="00EF101F"/>
    <w:rsid w:val="00EF1C80"/>
    <w:rsid w:val="00EF26C2"/>
    <w:rsid w:val="00EF3982"/>
    <w:rsid w:val="00EF4EB2"/>
    <w:rsid w:val="00EF540F"/>
    <w:rsid w:val="00EF6DE5"/>
    <w:rsid w:val="00EF7278"/>
    <w:rsid w:val="00F00526"/>
    <w:rsid w:val="00F0325B"/>
    <w:rsid w:val="00F043D5"/>
    <w:rsid w:val="00F11B4A"/>
    <w:rsid w:val="00F12375"/>
    <w:rsid w:val="00F156F5"/>
    <w:rsid w:val="00F2100B"/>
    <w:rsid w:val="00F2298C"/>
    <w:rsid w:val="00F24C66"/>
    <w:rsid w:val="00F24E31"/>
    <w:rsid w:val="00F25F53"/>
    <w:rsid w:val="00F32BED"/>
    <w:rsid w:val="00F347C6"/>
    <w:rsid w:val="00F34CFA"/>
    <w:rsid w:val="00F35220"/>
    <w:rsid w:val="00F35B29"/>
    <w:rsid w:val="00F407A0"/>
    <w:rsid w:val="00F40ABC"/>
    <w:rsid w:val="00F4272D"/>
    <w:rsid w:val="00F4570A"/>
    <w:rsid w:val="00F4660F"/>
    <w:rsid w:val="00F46A57"/>
    <w:rsid w:val="00F477D8"/>
    <w:rsid w:val="00F511BE"/>
    <w:rsid w:val="00F51501"/>
    <w:rsid w:val="00F54343"/>
    <w:rsid w:val="00F554B6"/>
    <w:rsid w:val="00F558FC"/>
    <w:rsid w:val="00F56064"/>
    <w:rsid w:val="00F564D9"/>
    <w:rsid w:val="00F604DB"/>
    <w:rsid w:val="00F61205"/>
    <w:rsid w:val="00F61E18"/>
    <w:rsid w:val="00F640E5"/>
    <w:rsid w:val="00F6424E"/>
    <w:rsid w:val="00F648BE"/>
    <w:rsid w:val="00F6578C"/>
    <w:rsid w:val="00F66375"/>
    <w:rsid w:val="00F66CFA"/>
    <w:rsid w:val="00F71B1F"/>
    <w:rsid w:val="00F7316C"/>
    <w:rsid w:val="00F768C6"/>
    <w:rsid w:val="00F82D31"/>
    <w:rsid w:val="00F82F61"/>
    <w:rsid w:val="00F84992"/>
    <w:rsid w:val="00F85648"/>
    <w:rsid w:val="00F914B8"/>
    <w:rsid w:val="00F91AE3"/>
    <w:rsid w:val="00F91E58"/>
    <w:rsid w:val="00F92858"/>
    <w:rsid w:val="00F9375A"/>
    <w:rsid w:val="00F9541B"/>
    <w:rsid w:val="00F954F9"/>
    <w:rsid w:val="00F97D31"/>
    <w:rsid w:val="00FA1A9F"/>
    <w:rsid w:val="00FA20BE"/>
    <w:rsid w:val="00FA23B0"/>
    <w:rsid w:val="00FA2535"/>
    <w:rsid w:val="00FA3FF2"/>
    <w:rsid w:val="00FA50CD"/>
    <w:rsid w:val="00FA54DD"/>
    <w:rsid w:val="00FA6F60"/>
    <w:rsid w:val="00FA7610"/>
    <w:rsid w:val="00FA7859"/>
    <w:rsid w:val="00FB1695"/>
    <w:rsid w:val="00FB240C"/>
    <w:rsid w:val="00FB4635"/>
    <w:rsid w:val="00FB4EAC"/>
    <w:rsid w:val="00FB5581"/>
    <w:rsid w:val="00FB77CB"/>
    <w:rsid w:val="00FC01C9"/>
    <w:rsid w:val="00FC1D12"/>
    <w:rsid w:val="00FC3762"/>
    <w:rsid w:val="00FC3D4B"/>
    <w:rsid w:val="00FC6A08"/>
    <w:rsid w:val="00FC751F"/>
    <w:rsid w:val="00FC79E7"/>
    <w:rsid w:val="00FD113E"/>
    <w:rsid w:val="00FD1E22"/>
    <w:rsid w:val="00FD273D"/>
    <w:rsid w:val="00FD40D2"/>
    <w:rsid w:val="00FD46E8"/>
    <w:rsid w:val="00FD48A6"/>
    <w:rsid w:val="00FD51EA"/>
    <w:rsid w:val="00FD58ED"/>
    <w:rsid w:val="00FD5EA5"/>
    <w:rsid w:val="00FD603E"/>
    <w:rsid w:val="00FD753C"/>
    <w:rsid w:val="00FE072D"/>
    <w:rsid w:val="00FE169C"/>
    <w:rsid w:val="00FE1C71"/>
    <w:rsid w:val="00FE2EF2"/>
    <w:rsid w:val="00FE3211"/>
    <w:rsid w:val="00FE344A"/>
    <w:rsid w:val="00FE3A4E"/>
    <w:rsid w:val="00FE3FD6"/>
    <w:rsid w:val="00FE480E"/>
    <w:rsid w:val="00FE4C87"/>
    <w:rsid w:val="00FE4F99"/>
    <w:rsid w:val="00FE6FA8"/>
    <w:rsid w:val="00FF0BC6"/>
    <w:rsid w:val="00FF11A9"/>
    <w:rsid w:val="00FF3F21"/>
    <w:rsid w:val="00FF4EF4"/>
    <w:rsid w:val="00FF5080"/>
    <w:rsid w:val="027DF3D9"/>
    <w:rsid w:val="0371BE29"/>
    <w:rsid w:val="037C19DF"/>
    <w:rsid w:val="03A5A03D"/>
    <w:rsid w:val="03BAD102"/>
    <w:rsid w:val="03D27256"/>
    <w:rsid w:val="04112461"/>
    <w:rsid w:val="046B9F8E"/>
    <w:rsid w:val="049E00EA"/>
    <w:rsid w:val="04ABB6DF"/>
    <w:rsid w:val="04EBEB89"/>
    <w:rsid w:val="04EEB8D5"/>
    <w:rsid w:val="050CADFC"/>
    <w:rsid w:val="052F99C4"/>
    <w:rsid w:val="05651101"/>
    <w:rsid w:val="057C4B0E"/>
    <w:rsid w:val="05FD380F"/>
    <w:rsid w:val="061499CF"/>
    <w:rsid w:val="0666AE32"/>
    <w:rsid w:val="06C6C8E2"/>
    <w:rsid w:val="071C751A"/>
    <w:rsid w:val="07BB3B5A"/>
    <w:rsid w:val="08EE1471"/>
    <w:rsid w:val="08F7FCB0"/>
    <w:rsid w:val="0983BFA1"/>
    <w:rsid w:val="0985C93D"/>
    <w:rsid w:val="0A227CB9"/>
    <w:rsid w:val="0A510B6B"/>
    <w:rsid w:val="0A5F38BA"/>
    <w:rsid w:val="0A9CE2EF"/>
    <w:rsid w:val="0A9D29E6"/>
    <w:rsid w:val="0AEE324E"/>
    <w:rsid w:val="0B1FCADA"/>
    <w:rsid w:val="0B541E40"/>
    <w:rsid w:val="0B5776D0"/>
    <w:rsid w:val="0B58CE6F"/>
    <w:rsid w:val="0B7DCC5B"/>
    <w:rsid w:val="0B92BAAC"/>
    <w:rsid w:val="0BD70C17"/>
    <w:rsid w:val="0BE99DBD"/>
    <w:rsid w:val="0C243DC4"/>
    <w:rsid w:val="0C9F3A48"/>
    <w:rsid w:val="0D8FD242"/>
    <w:rsid w:val="0DFBE551"/>
    <w:rsid w:val="0E51A875"/>
    <w:rsid w:val="0EC9CC42"/>
    <w:rsid w:val="0F5555F0"/>
    <w:rsid w:val="0F5CE0FF"/>
    <w:rsid w:val="10687A13"/>
    <w:rsid w:val="10D178A8"/>
    <w:rsid w:val="10D4D0C7"/>
    <w:rsid w:val="11703EF1"/>
    <w:rsid w:val="11813F7B"/>
    <w:rsid w:val="119D2F98"/>
    <w:rsid w:val="12AC0C0F"/>
    <w:rsid w:val="12EE4A74"/>
    <w:rsid w:val="132FD4C0"/>
    <w:rsid w:val="1340C2D7"/>
    <w:rsid w:val="13805A8A"/>
    <w:rsid w:val="139C303E"/>
    <w:rsid w:val="13AE80EC"/>
    <w:rsid w:val="149293FE"/>
    <w:rsid w:val="14BAD376"/>
    <w:rsid w:val="157C773F"/>
    <w:rsid w:val="15C80954"/>
    <w:rsid w:val="1606FA4B"/>
    <w:rsid w:val="17831AEC"/>
    <w:rsid w:val="18407CC3"/>
    <w:rsid w:val="184FAEFF"/>
    <w:rsid w:val="186AA015"/>
    <w:rsid w:val="1928A6E2"/>
    <w:rsid w:val="196B1EEE"/>
    <w:rsid w:val="19A0923E"/>
    <w:rsid w:val="1A3BB679"/>
    <w:rsid w:val="1A430210"/>
    <w:rsid w:val="1AC5DDBC"/>
    <w:rsid w:val="1AFD8055"/>
    <w:rsid w:val="1B3EA8AE"/>
    <w:rsid w:val="1B894D32"/>
    <w:rsid w:val="1C355502"/>
    <w:rsid w:val="1DC45B1B"/>
    <w:rsid w:val="1DEFE60F"/>
    <w:rsid w:val="1E1FAC14"/>
    <w:rsid w:val="1E2FAA90"/>
    <w:rsid w:val="1E4BC7CA"/>
    <w:rsid w:val="1E5D0F4C"/>
    <w:rsid w:val="1E9B19EE"/>
    <w:rsid w:val="1E9BE9F8"/>
    <w:rsid w:val="1FADE6F2"/>
    <w:rsid w:val="1FC57EAB"/>
    <w:rsid w:val="1FE3BFF6"/>
    <w:rsid w:val="1FE6FD58"/>
    <w:rsid w:val="1FFE08C2"/>
    <w:rsid w:val="207C757E"/>
    <w:rsid w:val="2130D04B"/>
    <w:rsid w:val="21414CA9"/>
    <w:rsid w:val="21B8EE2B"/>
    <w:rsid w:val="2200E459"/>
    <w:rsid w:val="220725CF"/>
    <w:rsid w:val="22635F94"/>
    <w:rsid w:val="22785BF9"/>
    <w:rsid w:val="23657139"/>
    <w:rsid w:val="2385D883"/>
    <w:rsid w:val="23B12F61"/>
    <w:rsid w:val="23B4468B"/>
    <w:rsid w:val="24001D6A"/>
    <w:rsid w:val="241DDC38"/>
    <w:rsid w:val="24938658"/>
    <w:rsid w:val="24F0EA22"/>
    <w:rsid w:val="2569D762"/>
    <w:rsid w:val="26EFB11F"/>
    <w:rsid w:val="270A5A56"/>
    <w:rsid w:val="27454D58"/>
    <w:rsid w:val="277A5B33"/>
    <w:rsid w:val="2796B135"/>
    <w:rsid w:val="27EBEFDE"/>
    <w:rsid w:val="28C60F3A"/>
    <w:rsid w:val="2935199E"/>
    <w:rsid w:val="299874D9"/>
    <w:rsid w:val="29D256C2"/>
    <w:rsid w:val="29E9A00D"/>
    <w:rsid w:val="2A926D4B"/>
    <w:rsid w:val="2ACBFE0F"/>
    <w:rsid w:val="2AD55564"/>
    <w:rsid w:val="2AE65B7D"/>
    <w:rsid w:val="2B0249DC"/>
    <w:rsid w:val="2B1A82B8"/>
    <w:rsid w:val="2BACD4B0"/>
    <w:rsid w:val="2BAE6349"/>
    <w:rsid w:val="2C24BF93"/>
    <w:rsid w:val="2C84EB86"/>
    <w:rsid w:val="2C92F192"/>
    <w:rsid w:val="2CF532F1"/>
    <w:rsid w:val="2DA84445"/>
    <w:rsid w:val="2EAFA0D2"/>
    <w:rsid w:val="2F0922AB"/>
    <w:rsid w:val="2F351923"/>
    <w:rsid w:val="2F3DB2CD"/>
    <w:rsid w:val="2FB0ED38"/>
    <w:rsid w:val="303CE46D"/>
    <w:rsid w:val="3042AF72"/>
    <w:rsid w:val="307F756E"/>
    <w:rsid w:val="308E2EC6"/>
    <w:rsid w:val="30F6B9A1"/>
    <w:rsid w:val="310609F1"/>
    <w:rsid w:val="3112AD38"/>
    <w:rsid w:val="32471318"/>
    <w:rsid w:val="32481E13"/>
    <w:rsid w:val="338E5EE6"/>
    <w:rsid w:val="339B2918"/>
    <w:rsid w:val="33A7C719"/>
    <w:rsid w:val="3430B223"/>
    <w:rsid w:val="34359353"/>
    <w:rsid w:val="34707398"/>
    <w:rsid w:val="34820046"/>
    <w:rsid w:val="34EE4F3D"/>
    <w:rsid w:val="35227E48"/>
    <w:rsid w:val="363CA695"/>
    <w:rsid w:val="36D64218"/>
    <w:rsid w:val="372603DC"/>
    <w:rsid w:val="3731AD5B"/>
    <w:rsid w:val="374611F5"/>
    <w:rsid w:val="37465F43"/>
    <w:rsid w:val="378DFB84"/>
    <w:rsid w:val="38211584"/>
    <w:rsid w:val="38A7ADC9"/>
    <w:rsid w:val="38EE75BD"/>
    <w:rsid w:val="38FC9E61"/>
    <w:rsid w:val="39241014"/>
    <w:rsid w:val="395BB2C3"/>
    <w:rsid w:val="39716F75"/>
    <w:rsid w:val="3977C9B7"/>
    <w:rsid w:val="39B8A187"/>
    <w:rsid w:val="3A7D023B"/>
    <w:rsid w:val="3B222192"/>
    <w:rsid w:val="3B85E75F"/>
    <w:rsid w:val="3B90AA28"/>
    <w:rsid w:val="3BD68B10"/>
    <w:rsid w:val="3C4A76F9"/>
    <w:rsid w:val="3C69308B"/>
    <w:rsid w:val="3C73026A"/>
    <w:rsid w:val="3CDCCF89"/>
    <w:rsid w:val="3E4377DD"/>
    <w:rsid w:val="3E7C19E9"/>
    <w:rsid w:val="3EE09264"/>
    <w:rsid w:val="3F81D5ED"/>
    <w:rsid w:val="3FDA8323"/>
    <w:rsid w:val="403C6E6B"/>
    <w:rsid w:val="4095760C"/>
    <w:rsid w:val="41232305"/>
    <w:rsid w:val="41A4DF30"/>
    <w:rsid w:val="42305C3A"/>
    <w:rsid w:val="42357330"/>
    <w:rsid w:val="425EA46E"/>
    <w:rsid w:val="4274C61C"/>
    <w:rsid w:val="43AC1935"/>
    <w:rsid w:val="43E7BAC5"/>
    <w:rsid w:val="441B22C1"/>
    <w:rsid w:val="44465B19"/>
    <w:rsid w:val="447540CD"/>
    <w:rsid w:val="447A3DF2"/>
    <w:rsid w:val="4488CC99"/>
    <w:rsid w:val="44C28531"/>
    <w:rsid w:val="4549E650"/>
    <w:rsid w:val="45536673"/>
    <w:rsid w:val="455DB50A"/>
    <w:rsid w:val="463BABC5"/>
    <w:rsid w:val="4657D1E5"/>
    <w:rsid w:val="4666903C"/>
    <w:rsid w:val="46B45E0D"/>
    <w:rsid w:val="46BD673A"/>
    <w:rsid w:val="470F8F9C"/>
    <w:rsid w:val="4720FE80"/>
    <w:rsid w:val="48596040"/>
    <w:rsid w:val="4983DF3A"/>
    <w:rsid w:val="49B970C7"/>
    <w:rsid w:val="49F09C29"/>
    <w:rsid w:val="4AF33B1C"/>
    <w:rsid w:val="4B3A917B"/>
    <w:rsid w:val="4B74ECD5"/>
    <w:rsid w:val="4B7D553C"/>
    <w:rsid w:val="4B80209D"/>
    <w:rsid w:val="4C21643E"/>
    <w:rsid w:val="4C237D12"/>
    <w:rsid w:val="4C3CF3E1"/>
    <w:rsid w:val="4C3F228E"/>
    <w:rsid w:val="4C8024E3"/>
    <w:rsid w:val="4CF7D244"/>
    <w:rsid w:val="4E1540FD"/>
    <w:rsid w:val="4E31DAC7"/>
    <w:rsid w:val="4E4B971C"/>
    <w:rsid w:val="4E74C11B"/>
    <w:rsid w:val="4EEF351C"/>
    <w:rsid w:val="4F02CE25"/>
    <w:rsid w:val="50E85438"/>
    <w:rsid w:val="50F6F3AB"/>
    <w:rsid w:val="516EC462"/>
    <w:rsid w:val="51942FD6"/>
    <w:rsid w:val="51AA118A"/>
    <w:rsid w:val="51EBF1EE"/>
    <w:rsid w:val="5229EC0F"/>
    <w:rsid w:val="5242F830"/>
    <w:rsid w:val="5285490C"/>
    <w:rsid w:val="5380B9BF"/>
    <w:rsid w:val="53B4C9A6"/>
    <w:rsid w:val="53CC1AFE"/>
    <w:rsid w:val="54AB6C5C"/>
    <w:rsid w:val="54C245B9"/>
    <w:rsid w:val="55E1276F"/>
    <w:rsid w:val="5612302B"/>
    <w:rsid w:val="56263FB7"/>
    <w:rsid w:val="56900AC2"/>
    <w:rsid w:val="5696F8FA"/>
    <w:rsid w:val="56A2CD1B"/>
    <w:rsid w:val="5784E872"/>
    <w:rsid w:val="57A3D820"/>
    <w:rsid w:val="57F45B78"/>
    <w:rsid w:val="587726E1"/>
    <w:rsid w:val="58D81F68"/>
    <w:rsid w:val="592CE3A4"/>
    <w:rsid w:val="59BEE5B0"/>
    <w:rsid w:val="59C46B50"/>
    <w:rsid w:val="59FAF25E"/>
    <w:rsid w:val="59FD0EA1"/>
    <w:rsid w:val="5A0349E6"/>
    <w:rsid w:val="5A05A886"/>
    <w:rsid w:val="5A13270B"/>
    <w:rsid w:val="5A1336D5"/>
    <w:rsid w:val="5B584451"/>
    <w:rsid w:val="5BC04D7F"/>
    <w:rsid w:val="5C1ED2ED"/>
    <w:rsid w:val="5C459A60"/>
    <w:rsid w:val="5D4EFC39"/>
    <w:rsid w:val="5D7CE737"/>
    <w:rsid w:val="5DB21768"/>
    <w:rsid w:val="5DD635C7"/>
    <w:rsid w:val="5E2F7068"/>
    <w:rsid w:val="5E40F8C1"/>
    <w:rsid w:val="5E601128"/>
    <w:rsid w:val="5E8E8329"/>
    <w:rsid w:val="5EC99F1A"/>
    <w:rsid w:val="5F5E7DC7"/>
    <w:rsid w:val="601E2234"/>
    <w:rsid w:val="60233C27"/>
    <w:rsid w:val="6038877A"/>
    <w:rsid w:val="61D7599E"/>
    <w:rsid w:val="62129794"/>
    <w:rsid w:val="62D31F6B"/>
    <w:rsid w:val="63265760"/>
    <w:rsid w:val="632F45E2"/>
    <w:rsid w:val="63909108"/>
    <w:rsid w:val="63D95759"/>
    <w:rsid w:val="63E74BFF"/>
    <w:rsid w:val="63E93711"/>
    <w:rsid w:val="64ABF44A"/>
    <w:rsid w:val="65F77562"/>
    <w:rsid w:val="660E15BE"/>
    <w:rsid w:val="66A7BE80"/>
    <w:rsid w:val="66C06104"/>
    <w:rsid w:val="671FC228"/>
    <w:rsid w:val="6733CDA2"/>
    <w:rsid w:val="673D7624"/>
    <w:rsid w:val="6759D292"/>
    <w:rsid w:val="676DAB8E"/>
    <w:rsid w:val="67B12EC0"/>
    <w:rsid w:val="68B83726"/>
    <w:rsid w:val="69077E05"/>
    <w:rsid w:val="6949C4BD"/>
    <w:rsid w:val="69A90A47"/>
    <w:rsid w:val="69B936DD"/>
    <w:rsid w:val="6A101A16"/>
    <w:rsid w:val="6A4ACE26"/>
    <w:rsid w:val="6A8457F5"/>
    <w:rsid w:val="6B0B848B"/>
    <w:rsid w:val="6B30D5E5"/>
    <w:rsid w:val="6B78C621"/>
    <w:rsid w:val="6BBBECCD"/>
    <w:rsid w:val="6C4D218D"/>
    <w:rsid w:val="6CA60C85"/>
    <w:rsid w:val="6CFFE3A1"/>
    <w:rsid w:val="6DB33F7D"/>
    <w:rsid w:val="6E09F3F7"/>
    <w:rsid w:val="6E0C5C7D"/>
    <w:rsid w:val="6E97838B"/>
    <w:rsid w:val="6EC18230"/>
    <w:rsid w:val="6F3A5F1C"/>
    <w:rsid w:val="6F423DD7"/>
    <w:rsid w:val="6FAA057C"/>
    <w:rsid w:val="6FBE2EAB"/>
    <w:rsid w:val="701028CF"/>
    <w:rsid w:val="703C45AE"/>
    <w:rsid w:val="704ACFAA"/>
    <w:rsid w:val="708D6B74"/>
    <w:rsid w:val="71883795"/>
    <w:rsid w:val="71977964"/>
    <w:rsid w:val="71A34417"/>
    <w:rsid w:val="71CB75B4"/>
    <w:rsid w:val="721AAAB7"/>
    <w:rsid w:val="7257837E"/>
    <w:rsid w:val="729F17D9"/>
    <w:rsid w:val="72F5F132"/>
    <w:rsid w:val="7346DA00"/>
    <w:rsid w:val="737312E0"/>
    <w:rsid w:val="73CE5B04"/>
    <w:rsid w:val="7441F3BE"/>
    <w:rsid w:val="746E855E"/>
    <w:rsid w:val="74987CD5"/>
    <w:rsid w:val="74AA547E"/>
    <w:rsid w:val="74BD0AA1"/>
    <w:rsid w:val="74FF1EBC"/>
    <w:rsid w:val="75107596"/>
    <w:rsid w:val="75528071"/>
    <w:rsid w:val="75750B5B"/>
    <w:rsid w:val="75779C5B"/>
    <w:rsid w:val="75D8BF0D"/>
    <w:rsid w:val="761FB620"/>
    <w:rsid w:val="76270445"/>
    <w:rsid w:val="764199DD"/>
    <w:rsid w:val="76432A55"/>
    <w:rsid w:val="7647D175"/>
    <w:rsid w:val="76CE20E5"/>
    <w:rsid w:val="77232A31"/>
    <w:rsid w:val="779D1064"/>
    <w:rsid w:val="78127102"/>
    <w:rsid w:val="7845E643"/>
    <w:rsid w:val="784C4D92"/>
    <w:rsid w:val="78642531"/>
    <w:rsid w:val="789DC3BC"/>
    <w:rsid w:val="78A21DC6"/>
    <w:rsid w:val="78DEF778"/>
    <w:rsid w:val="78EA5AAC"/>
    <w:rsid w:val="79CCC08A"/>
    <w:rsid w:val="7A6290AB"/>
    <w:rsid w:val="7B127B51"/>
    <w:rsid w:val="7B13A282"/>
    <w:rsid w:val="7B14A336"/>
    <w:rsid w:val="7B1A72BC"/>
    <w:rsid w:val="7C11C7AA"/>
    <w:rsid w:val="7CDC95BF"/>
    <w:rsid w:val="7D664EAE"/>
    <w:rsid w:val="7DD4270E"/>
    <w:rsid w:val="7E4645B9"/>
    <w:rsid w:val="7E8D8154"/>
    <w:rsid w:val="7ED82159"/>
    <w:rsid w:val="7EF5A1D9"/>
    <w:rsid w:val="7F1F5741"/>
    <w:rsid w:val="7F280211"/>
    <w:rsid w:val="7F49FA59"/>
    <w:rsid w:val="7F61F61C"/>
    <w:rsid w:val="7F6F3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93F5"/>
  <w15:chartTrackingRefBased/>
  <w15:docId w15:val="{FBA94F6C-CDD0-4048-8FB8-CC249C84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7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17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Dot pt,F5 List Paragraph,No Spacing1,List Paragraph Char Char Char,Indicator Text,Numbered Para 1,Bullet 1,List Paragraph12,Bullet Points,MAIN CONTENT,WB Para,List 100s,L,List Paragraph1,3"/>
    <w:basedOn w:val="Normal"/>
    <w:link w:val="ListParagraphChar"/>
    <w:uiPriority w:val="34"/>
    <w:qFormat/>
    <w:rsid w:val="00075D80"/>
    <w:pPr>
      <w:ind w:left="720"/>
      <w:contextualSpacing/>
    </w:pPr>
  </w:style>
  <w:style w:type="paragraph" w:styleId="Header">
    <w:name w:val="header"/>
    <w:basedOn w:val="Normal"/>
    <w:link w:val="HeaderChar"/>
    <w:uiPriority w:val="99"/>
    <w:unhideWhenUsed/>
    <w:rsid w:val="00DC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5E6"/>
  </w:style>
  <w:style w:type="paragraph" w:styleId="Footer">
    <w:name w:val="footer"/>
    <w:basedOn w:val="Normal"/>
    <w:link w:val="FooterChar"/>
    <w:uiPriority w:val="99"/>
    <w:unhideWhenUsed/>
    <w:rsid w:val="00DC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5E6"/>
  </w:style>
  <w:style w:type="paragraph" w:styleId="FootnoteText">
    <w:name w:val="footnote text"/>
    <w:basedOn w:val="Normal"/>
    <w:link w:val="FootnoteTextChar"/>
    <w:uiPriority w:val="99"/>
    <w:semiHidden/>
    <w:unhideWhenUsed/>
    <w:rsid w:val="002647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4794"/>
    <w:rPr>
      <w:sz w:val="20"/>
      <w:szCs w:val="20"/>
    </w:rPr>
  </w:style>
  <w:style w:type="character" w:styleId="FootnoteReference">
    <w:name w:val="footnote reference"/>
    <w:basedOn w:val="DefaultParagraphFont"/>
    <w:uiPriority w:val="99"/>
    <w:semiHidden/>
    <w:unhideWhenUsed/>
    <w:rsid w:val="00264794"/>
    <w:rPr>
      <w:vertAlign w:val="superscript"/>
    </w:rPr>
  </w:style>
  <w:style w:type="character" w:customStyle="1" w:styleId="Heading1Char">
    <w:name w:val="Heading 1 Char"/>
    <w:basedOn w:val="DefaultParagraphFont"/>
    <w:link w:val="Heading1"/>
    <w:uiPriority w:val="9"/>
    <w:rsid w:val="002647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47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64794"/>
    <w:rPr>
      <w:color w:val="0563C1" w:themeColor="hyperlink"/>
      <w:u w:val="single"/>
    </w:rPr>
  </w:style>
  <w:style w:type="paragraph" w:styleId="BodyText">
    <w:name w:val="Body Text"/>
    <w:basedOn w:val="Normal"/>
    <w:link w:val="BodyTextChar"/>
    <w:uiPriority w:val="1"/>
    <w:qFormat/>
    <w:rsid w:val="008A4D46"/>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A4D46"/>
    <w:rPr>
      <w:rFonts w:ascii="Calibri" w:eastAsia="Calibri" w:hAnsi="Calibri" w:cs="Calibri"/>
      <w:kern w:val="0"/>
      <w14:ligatures w14:val="none"/>
    </w:rPr>
  </w:style>
  <w:style w:type="table" w:styleId="TableGrid">
    <w:name w:val="Table Grid"/>
    <w:basedOn w:val="TableNormal"/>
    <w:uiPriority w:val="59"/>
    <w:rsid w:val="00EB5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A2092"/>
    <w:pPr>
      <w:outlineLvl w:val="9"/>
    </w:pPr>
    <w:rPr>
      <w:kern w:val="0"/>
      <w14:ligatures w14:val="none"/>
    </w:rPr>
  </w:style>
  <w:style w:type="paragraph" w:styleId="TOC1">
    <w:name w:val="toc 1"/>
    <w:basedOn w:val="Normal"/>
    <w:next w:val="Normal"/>
    <w:autoRedefine/>
    <w:uiPriority w:val="39"/>
    <w:unhideWhenUsed/>
    <w:rsid w:val="002B019C"/>
    <w:pPr>
      <w:tabs>
        <w:tab w:val="left" w:pos="440"/>
        <w:tab w:val="right" w:leader="dot" w:pos="9926"/>
      </w:tabs>
      <w:spacing w:after="0" w:line="240" w:lineRule="auto"/>
    </w:pPr>
  </w:style>
  <w:style w:type="paragraph" w:styleId="TOC2">
    <w:name w:val="toc 2"/>
    <w:basedOn w:val="Normal"/>
    <w:next w:val="Normal"/>
    <w:autoRedefine/>
    <w:uiPriority w:val="39"/>
    <w:unhideWhenUsed/>
    <w:rsid w:val="00AA2092"/>
    <w:pPr>
      <w:spacing w:after="100"/>
      <w:ind w:left="220"/>
    </w:pPr>
  </w:style>
  <w:style w:type="paragraph" w:customStyle="1" w:styleId="TableParagraph">
    <w:name w:val="Table Paragraph"/>
    <w:basedOn w:val="Normal"/>
    <w:uiPriority w:val="1"/>
    <w:qFormat/>
    <w:rsid w:val="00EC08A9"/>
    <w:pPr>
      <w:widowControl w:val="0"/>
      <w:autoSpaceDE w:val="0"/>
      <w:autoSpaceDN w:val="0"/>
      <w:spacing w:after="0" w:line="240" w:lineRule="auto"/>
      <w:ind w:left="107"/>
    </w:pPr>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F768C6"/>
    <w:rPr>
      <w:color w:val="954F72" w:themeColor="followedHyperlink"/>
      <w:u w:val="single"/>
    </w:rPr>
  </w:style>
  <w:style w:type="character" w:customStyle="1" w:styleId="Heading3Char">
    <w:name w:val="Heading 3 Char"/>
    <w:basedOn w:val="DefaultParagraphFont"/>
    <w:link w:val="Heading3"/>
    <w:uiPriority w:val="9"/>
    <w:rsid w:val="003175AA"/>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135ED"/>
    <w:rPr>
      <w:color w:val="605E5C"/>
      <w:shd w:val="clear" w:color="auto" w:fill="E1DFDD"/>
    </w:rPr>
  </w:style>
  <w:style w:type="paragraph" w:customStyle="1" w:styleId="fluidplugincopy1">
    <w:name w:val="fluidplugincopy1"/>
    <w:basedOn w:val="Normal"/>
    <w:rsid w:val="001172D4"/>
    <w:pPr>
      <w:spacing w:after="0" w:line="240" w:lineRule="auto"/>
    </w:pPr>
    <w:rPr>
      <w:rFonts w:ascii="Calibri" w:hAnsi="Calibri" w:cs="Calibri"/>
      <w:kern w:val="0"/>
      <w14:ligatures w14:val="none"/>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L Char"/>
    <w:basedOn w:val="DefaultParagraphFont"/>
    <w:link w:val="ListParagraph"/>
    <w:uiPriority w:val="34"/>
    <w:locked/>
    <w:rsid w:val="00BE270E"/>
  </w:style>
  <w:style w:type="character" w:customStyle="1" w:styleId="normaltextrun">
    <w:name w:val="normaltextrun"/>
    <w:basedOn w:val="DefaultParagraphFont"/>
    <w:rsid w:val="00371DFA"/>
  </w:style>
  <w:style w:type="paragraph" w:styleId="TOC3">
    <w:name w:val="toc 3"/>
    <w:basedOn w:val="Normal"/>
    <w:next w:val="Normal"/>
    <w:autoRedefine/>
    <w:uiPriority w:val="39"/>
    <w:unhideWhenUsed/>
    <w:rsid w:val="00DB28A9"/>
    <w:pPr>
      <w:spacing w:after="100"/>
      <w:ind w:left="440"/>
    </w:pPr>
  </w:style>
  <w:style w:type="character" w:customStyle="1" w:styleId="eop">
    <w:name w:val="eop"/>
    <w:basedOn w:val="DefaultParagraphFont"/>
    <w:rsid w:val="00011B5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081D"/>
    <w:pPr>
      <w:spacing w:after="0" w:line="240" w:lineRule="auto"/>
    </w:pPr>
  </w:style>
  <w:style w:type="paragraph" w:styleId="CommentSubject">
    <w:name w:val="annotation subject"/>
    <w:basedOn w:val="CommentText"/>
    <w:next w:val="CommentText"/>
    <w:link w:val="CommentSubjectChar"/>
    <w:uiPriority w:val="99"/>
    <w:semiHidden/>
    <w:unhideWhenUsed/>
    <w:rsid w:val="007B7683"/>
    <w:rPr>
      <w:b/>
      <w:bCs/>
    </w:rPr>
  </w:style>
  <w:style w:type="character" w:customStyle="1" w:styleId="CommentSubjectChar">
    <w:name w:val="Comment Subject Char"/>
    <w:basedOn w:val="CommentTextChar"/>
    <w:link w:val="CommentSubject"/>
    <w:uiPriority w:val="99"/>
    <w:semiHidden/>
    <w:rsid w:val="007B7683"/>
    <w:rPr>
      <w:b/>
      <w:bCs/>
      <w:sz w:val="20"/>
      <w:szCs w:val="20"/>
    </w:rPr>
  </w:style>
  <w:style w:type="character" w:styleId="Mention">
    <w:name w:val="Mention"/>
    <w:basedOn w:val="DefaultParagraphFont"/>
    <w:uiPriority w:val="99"/>
    <w:unhideWhenUsed/>
    <w:rsid w:val="006D4489"/>
    <w:rPr>
      <w:color w:val="2B579A"/>
      <w:shd w:val="clear" w:color="auto" w:fill="E1DFDD"/>
    </w:rPr>
  </w:style>
  <w:style w:type="paragraph" w:styleId="NormalWeb">
    <w:name w:val="Normal (Web)"/>
    <w:basedOn w:val="Normal"/>
    <w:uiPriority w:val="99"/>
    <w:unhideWhenUsed/>
    <w:rsid w:val="00E91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B572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B572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5209">
      <w:bodyDiv w:val="1"/>
      <w:marLeft w:val="0"/>
      <w:marRight w:val="0"/>
      <w:marTop w:val="0"/>
      <w:marBottom w:val="0"/>
      <w:divBdr>
        <w:top w:val="none" w:sz="0" w:space="0" w:color="auto"/>
        <w:left w:val="none" w:sz="0" w:space="0" w:color="auto"/>
        <w:bottom w:val="none" w:sz="0" w:space="0" w:color="auto"/>
        <w:right w:val="none" w:sz="0" w:space="0" w:color="auto"/>
      </w:divBdr>
    </w:div>
    <w:div w:id="219443039">
      <w:bodyDiv w:val="1"/>
      <w:marLeft w:val="0"/>
      <w:marRight w:val="0"/>
      <w:marTop w:val="0"/>
      <w:marBottom w:val="0"/>
      <w:divBdr>
        <w:top w:val="none" w:sz="0" w:space="0" w:color="auto"/>
        <w:left w:val="none" w:sz="0" w:space="0" w:color="auto"/>
        <w:bottom w:val="none" w:sz="0" w:space="0" w:color="auto"/>
        <w:right w:val="none" w:sz="0" w:space="0" w:color="auto"/>
      </w:divBdr>
    </w:div>
    <w:div w:id="267737128">
      <w:bodyDiv w:val="1"/>
      <w:marLeft w:val="0"/>
      <w:marRight w:val="0"/>
      <w:marTop w:val="0"/>
      <w:marBottom w:val="0"/>
      <w:divBdr>
        <w:top w:val="none" w:sz="0" w:space="0" w:color="auto"/>
        <w:left w:val="none" w:sz="0" w:space="0" w:color="auto"/>
        <w:bottom w:val="none" w:sz="0" w:space="0" w:color="auto"/>
        <w:right w:val="none" w:sz="0" w:space="0" w:color="auto"/>
      </w:divBdr>
    </w:div>
    <w:div w:id="388186986">
      <w:bodyDiv w:val="1"/>
      <w:marLeft w:val="0"/>
      <w:marRight w:val="0"/>
      <w:marTop w:val="0"/>
      <w:marBottom w:val="0"/>
      <w:divBdr>
        <w:top w:val="none" w:sz="0" w:space="0" w:color="auto"/>
        <w:left w:val="none" w:sz="0" w:space="0" w:color="auto"/>
        <w:bottom w:val="none" w:sz="0" w:space="0" w:color="auto"/>
        <w:right w:val="none" w:sz="0" w:space="0" w:color="auto"/>
      </w:divBdr>
    </w:div>
    <w:div w:id="440416080">
      <w:bodyDiv w:val="1"/>
      <w:marLeft w:val="0"/>
      <w:marRight w:val="0"/>
      <w:marTop w:val="0"/>
      <w:marBottom w:val="0"/>
      <w:divBdr>
        <w:top w:val="none" w:sz="0" w:space="0" w:color="auto"/>
        <w:left w:val="none" w:sz="0" w:space="0" w:color="auto"/>
        <w:bottom w:val="none" w:sz="0" w:space="0" w:color="auto"/>
        <w:right w:val="none" w:sz="0" w:space="0" w:color="auto"/>
      </w:divBdr>
      <w:divsChild>
        <w:div w:id="1508472998">
          <w:marLeft w:val="446"/>
          <w:marRight w:val="0"/>
          <w:marTop w:val="0"/>
          <w:marBottom w:val="0"/>
          <w:divBdr>
            <w:top w:val="none" w:sz="0" w:space="0" w:color="auto"/>
            <w:left w:val="none" w:sz="0" w:space="0" w:color="auto"/>
            <w:bottom w:val="none" w:sz="0" w:space="0" w:color="auto"/>
            <w:right w:val="none" w:sz="0" w:space="0" w:color="auto"/>
          </w:divBdr>
        </w:div>
        <w:div w:id="1642885808">
          <w:marLeft w:val="446"/>
          <w:marRight w:val="0"/>
          <w:marTop w:val="0"/>
          <w:marBottom w:val="0"/>
          <w:divBdr>
            <w:top w:val="none" w:sz="0" w:space="0" w:color="auto"/>
            <w:left w:val="none" w:sz="0" w:space="0" w:color="auto"/>
            <w:bottom w:val="none" w:sz="0" w:space="0" w:color="auto"/>
            <w:right w:val="none" w:sz="0" w:space="0" w:color="auto"/>
          </w:divBdr>
        </w:div>
        <w:div w:id="2127120239">
          <w:marLeft w:val="446"/>
          <w:marRight w:val="0"/>
          <w:marTop w:val="0"/>
          <w:marBottom w:val="0"/>
          <w:divBdr>
            <w:top w:val="none" w:sz="0" w:space="0" w:color="auto"/>
            <w:left w:val="none" w:sz="0" w:space="0" w:color="auto"/>
            <w:bottom w:val="none" w:sz="0" w:space="0" w:color="auto"/>
            <w:right w:val="none" w:sz="0" w:space="0" w:color="auto"/>
          </w:divBdr>
        </w:div>
      </w:divsChild>
    </w:div>
    <w:div w:id="738141015">
      <w:bodyDiv w:val="1"/>
      <w:marLeft w:val="0"/>
      <w:marRight w:val="0"/>
      <w:marTop w:val="0"/>
      <w:marBottom w:val="0"/>
      <w:divBdr>
        <w:top w:val="none" w:sz="0" w:space="0" w:color="auto"/>
        <w:left w:val="none" w:sz="0" w:space="0" w:color="auto"/>
        <w:bottom w:val="none" w:sz="0" w:space="0" w:color="auto"/>
        <w:right w:val="none" w:sz="0" w:space="0" w:color="auto"/>
      </w:divBdr>
    </w:div>
    <w:div w:id="739325907">
      <w:bodyDiv w:val="1"/>
      <w:marLeft w:val="0"/>
      <w:marRight w:val="0"/>
      <w:marTop w:val="0"/>
      <w:marBottom w:val="0"/>
      <w:divBdr>
        <w:top w:val="none" w:sz="0" w:space="0" w:color="auto"/>
        <w:left w:val="none" w:sz="0" w:space="0" w:color="auto"/>
        <w:bottom w:val="none" w:sz="0" w:space="0" w:color="auto"/>
        <w:right w:val="none" w:sz="0" w:space="0" w:color="auto"/>
      </w:divBdr>
    </w:div>
    <w:div w:id="900940807">
      <w:bodyDiv w:val="1"/>
      <w:marLeft w:val="0"/>
      <w:marRight w:val="0"/>
      <w:marTop w:val="0"/>
      <w:marBottom w:val="0"/>
      <w:divBdr>
        <w:top w:val="none" w:sz="0" w:space="0" w:color="auto"/>
        <w:left w:val="none" w:sz="0" w:space="0" w:color="auto"/>
        <w:bottom w:val="none" w:sz="0" w:space="0" w:color="auto"/>
        <w:right w:val="none" w:sz="0" w:space="0" w:color="auto"/>
      </w:divBdr>
    </w:div>
    <w:div w:id="960840851">
      <w:bodyDiv w:val="1"/>
      <w:marLeft w:val="0"/>
      <w:marRight w:val="0"/>
      <w:marTop w:val="0"/>
      <w:marBottom w:val="0"/>
      <w:divBdr>
        <w:top w:val="none" w:sz="0" w:space="0" w:color="auto"/>
        <w:left w:val="none" w:sz="0" w:space="0" w:color="auto"/>
        <w:bottom w:val="none" w:sz="0" w:space="0" w:color="auto"/>
        <w:right w:val="none" w:sz="0" w:space="0" w:color="auto"/>
      </w:divBdr>
      <w:divsChild>
        <w:div w:id="973557308">
          <w:marLeft w:val="0"/>
          <w:marRight w:val="0"/>
          <w:marTop w:val="0"/>
          <w:marBottom w:val="0"/>
          <w:divBdr>
            <w:top w:val="none" w:sz="0" w:space="0" w:color="auto"/>
            <w:left w:val="none" w:sz="0" w:space="0" w:color="auto"/>
            <w:bottom w:val="none" w:sz="0" w:space="0" w:color="auto"/>
            <w:right w:val="none" w:sz="0" w:space="0" w:color="auto"/>
          </w:divBdr>
          <w:divsChild>
            <w:div w:id="2033189226">
              <w:marLeft w:val="0"/>
              <w:marRight w:val="0"/>
              <w:marTop w:val="0"/>
              <w:marBottom w:val="0"/>
              <w:divBdr>
                <w:top w:val="none" w:sz="0" w:space="0" w:color="auto"/>
                <w:left w:val="none" w:sz="0" w:space="0" w:color="auto"/>
                <w:bottom w:val="none" w:sz="0" w:space="0" w:color="auto"/>
                <w:right w:val="none" w:sz="0" w:space="0" w:color="auto"/>
              </w:divBdr>
              <w:divsChild>
                <w:div w:id="204417924">
                  <w:marLeft w:val="0"/>
                  <w:marRight w:val="0"/>
                  <w:marTop w:val="0"/>
                  <w:marBottom w:val="0"/>
                  <w:divBdr>
                    <w:top w:val="none" w:sz="0" w:space="0" w:color="auto"/>
                    <w:left w:val="none" w:sz="0" w:space="0" w:color="auto"/>
                    <w:bottom w:val="none" w:sz="0" w:space="0" w:color="auto"/>
                    <w:right w:val="none" w:sz="0" w:space="0" w:color="auto"/>
                  </w:divBdr>
                  <w:divsChild>
                    <w:div w:id="947781642">
                      <w:marLeft w:val="0"/>
                      <w:marRight w:val="0"/>
                      <w:marTop w:val="100"/>
                      <w:marBottom w:val="100"/>
                      <w:divBdr>
                        <w:top w:val="none" w:sz="0" w:space="0" w:color="auto"/>
                        <w:left w:val="none" w:sz="0" w:space="0" w:color="auto"/>
                        <w:bottom w:val="none" w:sz="0" w:space="0" w:color="auto"/>
                        <w:right w:val="none" w:sz="0" w:space="0" w:color="auto"/>
                      </w:divBdr>
                      <w:divsChild>
                        <w:div w:id="1788506628">
                          <w:marLeft w:val="0"/>
                          <w:marRight w:val="0"/>
                          <w:marTop w:val="0"/>
                          <w:marBottom w:val="0"/>
                          <w:divBdr>
                            <w:top w:val="none" w:sz="0" w:space="0" w:color="auto"/>
                            <w:left w:val="none" w:sz="0" w:space="0" w:color="auto"/>
                            <w:bottom w:val="none" w:sz="0" w:space="0" w:color="auto"/>
                            <w:right w:val="none" w:sz="0" w:space="0" w:color="auto"/>
                          </w:divBdr>
                          <w:divsChild>
                            <w:div w:id="1062095666">
                              <w:marLeft w:val="0"/>
                              <w:marRight w:val="0"/>
                              <w:marTop w:val="0"/>
                              <w:marBottom w:val="0"/>
                              <w:divBdr>
                                <w:top w:val="single" w:sz="6" w:space="2" w:color="D1D1D1"/>
                                <w:left w:val="single" w:sz="6" w:space="0" w:color="D1D1D1"/>
                                <w:bottom w:val="single" w:sz="6" w:space="4" w:color="D1D1D1"/>
                                <w:right w:val="single" w:sz="6" w:space="0" w:color="D1D1D1"/>
                              </w:divBdr>
                              <w:divsChild>
                                <w:div w:id="2115248939">
                                  <w:marLeft w:val="0"/>
                                  <w:marRight w:val="0"/>
                                  <w:marTop w:val="30"/>
                                  <w:marBottom w:val="0"/>
                                  <w:divBdr>
                                    <w:top w:val="none" w:sz="0" w:space="0" w:color="auto"/>
                                    <w:left w:val="none" w:sz="0" w:space="0" w:color="auto"/>
                                    <w:bottom w:val="none" w:sz="0" w:space="0" w:color="auto"/>
                                    <w:right w:val="none" w:sz="0" w:space="0" w:color="auto"/>
                                  </w:divBdr>
                                  <w:divsChild>
                                    <w:div w:id="4691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199557">
          <w:marLeft w:val="0"/>
          <w:marRight w:val="0"/>
          <w:marTop w:val="0"/>
          <w:marBottom w:val="0"/>
          <w:divBdr>
            <w:top w:val="none" w:sz="0" w:space="0" w:color="auto"/>
            <w:left w:val="none" w:sz="0" w:space="0" w:color="auto"/>
            <w:bottom w:val="none" w:sz="0" w:space="0" w:color="auto"/>
            <w:right w:val="none" w:sz="0" w:space="0" w:color="auto"/>
          </w:divBdr>
          <w:divsChild>
            <w:div w:id="816410867">
              <w:marLeft w:val="0"/>
              <w:marRight w:val="0"/>
              <w:marTop w:val="0"/>
              <w:marBottom w:val="0"/>
              <w:divBdr>
                <w:top w:val="none" w:sz="0" w:space="0" w:color="auto"/>
                <w:left w:val="none" w:sz="0" w:space="0" w:color="auto"/>
                <w:bottom w:val="none" w:sz="0" w:space="0" w:color="auto"/>
                <w:right w:val="none" w:sz="0" w:space="0" w:color="auto"/>
              </w:divBdr>
              <w:divsChild>
                <w:div w:id="1214578979">
                  <w:marLeft w:val="0"/>
                  <w:marRight w:val="0"/>
                  <w:marTop w:val="0"/>
                  <w:marBottom w:val="0"/>
                  <w:divBdr>
                    <w:top w:val="none" w:sz="0" w:space="0" w:color="auto"/>
                    <w:left w:val="none" w:sz="0" w:space="0" w:color="auto"/>
                    <w:bottom w:val="none" w:sz="0" w:space="0" w:color="auto"/>
                    <w:right w:val="none" w:sz="0" w:space="0" w:color="auto"/>
                  </w:divBdr>
                  <w:divsChild>
                    <w:div w:id="1154644238">
                      <w:marLeft w:val="0"/>
                      <w:marRight w:val="0"/>
                      <w:marTop w:val="0"/>
                      <w:marBottom w:val="0"/>
                      <w:divBdr>
                        <w:top w:val="none" w:sz="0" w:space="0" w:color="auto"/>
                        <w:left w:val="none" w:sz="0" w:space="0" w:color="auto"/>
                        <w:bottom w:val="none" w:sz="0" w:space="0" w:color="auto"/>
                        <w:right w:val="none" w:sz="0" w:space="0" w:color="auto"/>
                      </w:divBdr>
                      <w:divsChild>
                        <w:div w:id="332143658">
                          <w:marLeft w:val="0"/>
                          <w:marRight w:val="0"/>
                          <w:marTop w:val="0"/>
                          <w:marBottom w:val="0"/>
                          <w:divBdr>
                            <w:top w:val="none" w:sz="0" w:space="0" w:color="auto"/>
                            <w:left w:val="none" w:sz="0" w:space="0" w:color="auto"/>
                            <w:bottom w:val="none" w:sz="0" w:space="0" w:color="auto"/>
                            <w:right w:val="none" w:sz="0" w:space="0" w:color="auto"/>
                          </w:divBdr>
                          <w:divsChild>
                            <w:div w:id="730739746">
                              <w:marLeft w:val="0"/>
                              <w:marRight w:val="0"/>
                              <w:marTop w:val="0"/>
                              <w:marBottom w:val="0"/>
                              <w:divBdr>
                                <w:top w:val="none" w:sz="0" w:space="0" w:color="auto"/>
                                <w:left w:val="none" w:sz="0" w:space="0" w:color="auto"/>
                                <w:bottom w:val="none" w:sz="0" w:space="0" w:color="auto"/>
                                <w:right w:val="none" w:sz="0" w:space="0" w:color="auto"/>
                              </w:divBdr>
                              <w:divsChild>
                                <w:div w:id="203549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57173">
      <w:bodyDiv w:val="1"/>
      <w:marLeft w:val="0"/>
      <w:marRight w:val="0"/>
      <w:marTop w:val="0"/>
      <w:marBottom w:val="0"/>
      <w:divBdr>
        <w:top w:val="none" w:sz="0" w:space="0" w:color="auto"/>
        <w:left w:val="none" w:sz="0" w:space="0" w:color="auto"/>
        <w:bottom w:val="none" w:sz="0" w:space="0" w:color="auto"/>
        <w:right w:val="none" w:sz="0" w:space="0" w:color="auto"/>
      </w:divBdr>
    </w:div>
    <w:div w:id="1210148326">
      <w:bodyDiv w:val="1"/>
      <w:marLeft w:val="0"/>
      <w:marRight w:val="0"/>
      <w:marTop w:val="0"/>
      <w:marBottom w:val="0"/>
      <w:divBdr>
        <w:top w:val="none" w:sz="0" w:space="0" w:color="auto"/>
        <w:left w:val="none" w:sz="0" w:space="0" w:color="auto"/>
        <w:bottom w:val="none" w:sz="0" w:space="0" w:color="auto"/>
        <w:right w:val="none" w:sz="0" w:space="0" w:color="auto"/>
      </w:divBdr>
    </w:div>
    <w:div w:id="1345744052">
      <w:bodyDiv w:val="1"/>
      <w:marLeft w:val="0"/>
      <w:marRight w:val="0"/>
      <w:marTop w:val="0"/>
      <w:marBottom w:val="0"/>
      <w:divBdr>
        <w:top w:val="none" w:sz="0" w:space="0" w:color="auto"/>
        <w:left w:val="none" w:sz="0" w:space="0" w:color="auto"/>
        <w:bottom w:val="none" w:sz="0" w:space="0" w:color="auto"/>
        <w:right w:val="none" w:sz="0" w:space="0" w:color="auto"/>
      </w:divBdr>
    </w:div>
    <w:div w:id="1387532791">
      <w:bodyDiv w:val="1"/>
      <w:marLeft w:val="0"/>
      <w:marRight w:val="0"/>
      <w:marTop w:val="0"/>
      <w:marBottom w:val="0"/>
      <w:divBdr>
        <w:top w:val="none" w:sz="0" w:space="0" w:color="auto"/>
        <w:left w:val="none" w:sz="0" w:space="0" w:color="auto"/>
        <w:bottom w:val="none" w:sz="0" w:space="0" w:color="auto"/>
        <w:right w:val="none" w:sz="0" w:space="0" w:color="auto"/>
      </w:divBdr>
    </w:div>
    <w:div w:id="1670791761">
      <w:bodyDiv w:val="1"/>
      <w:marLeft w:val="0"/>
      <w:marRight w:val="0"/>
      <w:marTop w:val="0"/>
      <w:marBottom w:val="0"/>
      <w:divBdr>
        <w:top w:val="none" w:sz="0" w:space="0" w:color="auto"/>
        <w:left w:val="none" w:sz="0" w:space="0" w:color="auto"/>
        <w:bottom w:val="none" w:sz="0" w:space="0" w:color="auto"/>
        <w:right w:val="none" w:sz="0" w:space="0" w:color="auto"/>
      </w:divBdr>
    </w:div>
    <w:div w:id="1705597768">
      <w:bodyDiv w:val="1"/>
      <w:marLeft w:val="0"/>
      <w:marRight w:val="0"/>
      <w:marTop w:val="0"/>
      <w:marBottom w:val="0"/>
      <w:divBdr>
        <w:top w:val="none" w:sz="0" w:space="0" w:color="auto"/>
        <w:left w:val="none" w:sz="0" w:space="0" w:color="auto"/>
        <w:bottom w:val="none" w:sz="0" w:space="0" w:color="auto"/>
        <w:right w:val="none" w:sz="0" w:space="0" w:color="auto"/>
      </w:divBdr>
    </w:div>
    <w:div w:id="1742942839">
      <w:bodyDiv w:val="1"/>
      <w:marLeft w:val="0"/>
      <w:marRight w:val="0"/>
      <w:marTop w:val="0"/>
      <w:marBottom w:val="0"/>
      <w:divBdr>
        <w:top w:val="none" w:sz="0" w:space="0" w:color="auto"/>
        <w:left w:val="none" w:sz="0" w:space="0" w:color="auto"/>
        <w:bottom w:val="none" w:sz="0" w:space="0" w:color="auto"/>
        <w:right w:val="none" w:sz="0" w:space="0" w:color="auto"/>
      </w:divBdr>
    </w:div>
    <w:div w:id="1756973096">
      <w:bodyDiv w:val="1"/>
      <w:marLeft w:val="0"/>
      <w:marRight w:val="0"/>
      <w:marTop w:val="0"/>
      <w:marBottom w:val="0"/>
      <w:divBdr>
        <w:top w:val="none" w:sz="0" w:space="0" w:color="auto"/>
        <w:left w:val="none" w:sz="0" w:space="0" w:color="auto"/>
        <w:bottom w:val="none" w:sz="0" w:space="0" w:color="auto"/>
        <w:right w:val="none" w:sz="0" w:space="0" w:color="auto"/>
      </w:divBdr>
      <w:divsChild>
        <w:div w:id="674381949">
          <w:marLeft w:val="446"/>
          <w:marRight w:val="0"/>
          <w:marTop w:val="0"/>
          <w:marBottom w:val="0"/>
          <w:divBdr>
            <w:top w:val="none" w:sz="0" w:space="0" w:color="auto"/>
            <w:left w:val="none" w:sz="0" w:space="0" w:color="auto"/>
            <w:bottom w:val="none" w:sz="0" w:space="0" w:color="auto"/>
            <w:right w:val="none" w:sz="0" w:space="0" w:color="auto"/>
          </w:divBdr>
        </w:div>
        <w:div w:id="1682514237">
          <w:marLeft w:val="446"/>
          <w:marRight w:val="0"/>
          <w:marTop w:val="0"/>
          <w:marBottom w:val="0"/>
          <w:divBdr>
            <w:top w:val="none" w:sz="0" w:space="0" w:color="auto"/>
            <w:left w:val="none" w:sz="0" w:space="0" w:color="auto"/>
            <w:bottom w:val="none" w:sz="0" w:space="0" w:color="auto"/>
            <w:right w:val="none" w:sz="0" w:space="0" w:color="auto"/>
          </w:divBdr>
        </w:div>
        <w:div w:id="20807891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dp.service-now.com/unall?id=kb_category&amp;kb_id=9c8353641bc110509f48a64fad4bcb93&amp;kb_category=3ba9e5718718e158035ea8690cbb35f2" TargetMode="External"/><Relationship Id="rId21" Type="http://schemas.openxmlformats.org/officeDocument/2006/relationships/hyperlink" Target="https://popp.undp.org/taxonomy/term/176" TargetMode="External"/><Relationship Id="rId42" Type="http://schemas.openxmlformats.org/officeDocument/2006/relationships/image" Target="media/image2.png"/><Relationship Id="rId63" Type="http://schemas.openxmlformats.org/officeDocument/2006/relationships/hyperlink" Target="https://undp.sharepoint.com/sites/StreamVideos/_layouts/15/stream.aspx?id=%2Fsites%2FStreamVideos%2FShared%20Documents%2FStream%20Migrated%20Videos%2FQuantum%2FQuantum%2B%20How%20to%20Submit%20New%20Agreements%20EN%20Session%20%231%2Emp4&amp;referrer=StreamWebApp%2EWeb&amp;referrerScenario=AddressBarCopied%2Eview%2E2695e8d3%2D6874%2D448b%2Db635%2Db78ed708c77d" TargetMode="External"/><Relationship Id="rId84"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38" Type="http://schemas.openxmlformats.org/officeDocument/2006/relationships/hyperlink" Target="https://undp.service-now.com/unall?id=kb_category&amp;kb_category=1d9ec44bdb2b60505d6d3dd5f396191f&amp;kb_id=9c8353641bc110509f48a64fad4bcb93" TargetMode="External"/><Relationship Id="rId159" Type="http://schemas.openxmlformats.org/officeDocument/2006/relationships/hyperlink" Target="https://undp.sharepoint.com/teams/GSSC/SitePages/FinanceServices/Investment-Accounting.aspx" TargetMode="External"/><Relationship Id="rId170" Type="http://schemas.openxmlformats.org/officeDocument/2006/relationships/hyperlink" Target="https://popp.undp.org/node/10536" TargetMode="External"/><Relationship Id="rId191" Type="http://schemas.openxmlformats.org/officeDocument/2006/relationships/hyperlink" Target="https://popp.undp.org/taxonomy/term/186" TargetMode="External"/><Relationship Id="rId205" Type="http://schemas.openxmlformats.org/officeDocument/2006/relationships/hyperlink" Target="https://undp.service-now.com/unall?id=kb_article&amp;sys_id=160b359293124a5072a03e718bba103f&amp;table=kb_knowledge" TargetMode="External"/><Relationship Id="rId107" Type="http://schemas.openxmlformats.org/officeDocument/2006/relationships/hyperlink" Target="https://view.officeapps.live.com/op/embed.aspx?src=https://popp.undp.org/sites/g/files/zskgke421/files/2023-12/FRM_Expense%20Management%20_Prepayments.docx" TargetMode="External"/><Relationship Id="rId11" Type="http://schemas.openxmlformats.org/officeDocument/2006/relationships/header" Target="header1.xml"/><Relationship Id="rId32" Type="http://schemas.openxmlformats.org/officeDocument/2006/relationships/hyperlink" Target="https://popp.undp.org/node/10426" TargetMode="External"/><Relationship Id="rId53" Type="http://schemas.openxmlformats.org/officeDocument/2006/relationships/hyperlink" Target="https://popp.undp.org/node/11411" TargetMode="External"/><Relationship Id="rId74" Type="http://schemas.openxmlformats.org/officeDocument/2006/relationships/hyperlink" Target="https://undp.service-now.com/unall?id=kb_category&amp;kb_category=e6c1d75adb94a1d837d8dbe6f496197f&amp;kb_id=9c8353641bc110509f48a64fad4bcb93" TargetMode="External"/><Relationship Id="rId128" Type="http://schemas.openxmlformats.org/officeDocument/2006/relationships/hyperlink" Target="https://popp.undp.org/taxonomy/term/81" TargetMode="External"/><Relationship Id="rId149" Type="http://schemas.openxmlformats.org/officeDocument/2006/relationships/hyperlink" Target="https://popp.undp.org/node/11496" TargetMode="External"/><Relationship Id="rId5" Type="http://schemas.openxmlformats.org/officeDocument/2006/relationships/numbering" Target="numbering.xml"/><Relationship Id="rId95" Type="http://schemas.openxmlformats.org/officeDocument/2006/relationships/hyperlink" Target="https://undp.service-now.com/unall?id=kb_article_view&amp;sysparm_article=KB0013551" TargetMode="External"/><Relationship Id="rId160" Type="http://schemas.openxmlformats.org/officeDocument/2006/relationships/hyperlink" Target="https://undp.sharepoint.com/teams/GSSC/SitePages/FinanceServices/Travel-Payment-and-Reconciliation.aspx" TargetMode="External"/><Relationship Id="rId181" Type="http://schemas.openxmlformats.org/officeDocument/2006/relationships/hyperlink" Target="https://view.officeapps.live.com/op/embed.aspx?src=https://popp.undp.org/sites/g/files/zskgke421/files/2024-06/FRM_Pipeline%20and%20Revenue%20Management_Other%20Resources_Accounts%20Receivable.docx" TargetMode="External"/><Relationship Id="rId216" Type="http://schemas.openxmlformats.org/officeDocument/2006/relationships/fontTable" Target="fontTable.xml"/><Relationship Id="rId22" Type="http://schemas.openxmlformats.org/officeDocument/2006/relationships/hyperlink" Target="https://popp.undp.org/taxonomy/term/176" TargetMode="External"/><Relationship Id="rId43" Type="http://schemas.openxmlformats.org/officeDocument/2006/relationships/hyperlink" Target="mailto:fba.all@undp.org" TargetMode="External"/><Relationship Id="rId64" Type="http://schemas.openxmlformats.org/officeDocument/2006/relationships/hyperlink" Target="https://undp.service-now.com/unall?id=kb_article_view&amp;sys_kb_id=cd5df21fc33a8e50298a1b43e40131f0" TargetMode="External"/><Relationship Id="rId118" Type="http://schemas.openxmlformats.org/officeDocument/2006/relationships/image" Target="media/image3.png"/><Relationship Id="rId139" Type="http://schemas.openxmlformats.org/officeDocument/2006/relationships/hyperlink" Target="https://undp.sharepoint.com/teams/GSSC/SitePages/FinanceServices/Home.aspx" TargetMode="External"/><Relationship Id="rId85" Type="http://schemas.openxmlformats.org/officeDocument/2006/relationships/hyperlink" Target="https://popp.undp.org/taxonomy/term/186" TargetMode="External"/><Relationship Id="rId150" Type="http://schemas.openxmlformats.org/officeDocument/2006/relationships/hyperlink" Target="https://popp.undp.org/node/10916" TargetMode="External"/><Relationship Id="rId171" Type="http://schemas.openxmlformats.org/officeDocument/2006/relationships/hyperlink" Target="file:///C:/Users/amat.o.kebbeh/AppData/Local/Microsoft/Windows/INetCache/Content.Outlook/V8BOG6CA/See%20POPP%20Appraise%20&amp;%20Approve,%20para%204" TargetMode="External"/><Relationship Id="rId192" Type="http://schemas.openxmlformats.org/officeDocument/2006/relationships/hyperlink" Target="https://undp.sharepoint.com/sites/UNAgencies/Authorized%20Signatories%20by%20Agency/Forms/AllItems.aspx" TargetMode="External"/><Relationship Id="rId206" Type="http://schemas.openxmlformats.org/officeDocument/2006/relationships/header" Target="header2.xml"/><Relationship Id="rId12" Type="http://schemas.openxmlformats.org/officeDocument/2006/relationships/footer" Target="footer1.xml"/><Relationship Id="rId33" Type="http://schemas.openxmlformats.org/officeDocument/2006/relationships/hyperlink" Target="https://www.undp.org/accountability/audit/investigations" TargetMode="External"/><Relationship Id="rId108" Type="http://schemas.openxmlformats.org/officeDocument/2006/relationships/hyperlink" Target="https://undp.service-now.com/unall?sys_kb_id=d2ec4c17c34b06d0410dfc1a0501315a&amp;id=kb_article_view&amp;sysparm_rank=38&amp;sysparm_tsqueryId=0ac2007ec3a1d2d0298a1b43e40131e0" TargetMode="External"/><Relationship Id="rId129" Type="http://schemas.openxmlformats.org/officeDocument/2006/relationships/hyperlink" Target="https://popp.undp.org/taxonomy/term/126" TargetMode="External"/><Relationship Id="rId54" Type="http://schemas.openxmlformats.org/officeDocument/2006/relationships/hyperlink" Target="https://popp.undp.org/policy-page/receipt-goods-services-and-works" TargetMode="External"/><Relationship Id="rId75" Type="http://schemas.openxmlformats.org/officeDocument/2006/relationships/hyperlink" Target="https://app.powerbi.com/groups/me/reports/37b98fde-7215-44b2-91de-871bb50f82c2/ReportSectionb133d00a212732caa435?ctid=b3e5db5e-2944-4837-99f5-7488ace54319&amp;experience=power-bi" TargetMode="External"/><Relationship Id="rId96"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140"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61" Type="http://schemas.openxmlformats.org/officeDocument/2006/relationships/hyperlink" Target="https://undp.sharepoint.com/teams/GSSC/SitePages/FinanceServices/Bank-to-Book-(B2B)-Reconciliation.aspx" TargetMode="External"/><Relationship Id="rId182" Type="http://schemas.openxmlformats.org/officeDocument/2006/relationships/hyperlink" Target="https://popp.undp.org/node/2741" TargetMode="External"/><Relationship Id="rId217"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yperlink" Target="https://popp.undp.org/node/10601" TargetMode="External"/><Relationship Id="rId119" Type="http://schemas.openxmlformats.org/officeDocument/2006/relationships/hyperlink" Target="https://popp.undp.org/policy-page/authorizing-official-business-travel" TargetMode="External"/><Relationship Id="rId44" Type="http://schemas.openxmlformats.org/officeDocument/2006/relationships/hyperlink" Target="https://popp.undp.org/taxonomy/term/36" TargetMode="External"/><Relationship Id="rId65" Type="http://schemas.openxmlformats.org/officeDocument/2006/relationships/hyperlink" Target="mailto:cosupport@undp.org" TargetMode="External"/><Relationship Id="rId86" Type="http://schemas.openxmlformats.org/officeDocument/2006/relationships/hyperlink" Target="file:///C:\Users\michelle.armfield\Desktop\ICF%20Op%20Guide%20Update%20-%20October%202024\New%20Version\shipping%20&amp;%20insurance" TargetMode="External"/><Relationship Id="rId130" Type="http://schemas.openxmlformats.org/officeDocument/2006/relationships/hyperlink" Target="https://undp.service-now.com/unall?id=kb_category&amp;kb_category=44ae484bdb2b60505d6d3dd5f396190a&amp;kb_id=9c8353641bc110509f48a64fad4bcb93" TargetMode="External"/><Relationship Id="rId151" Type="http://schemas.openxmlformats.org/officeDocument/2006/relationships/hyperlink" Target="https://undp.sharepoint.com/teams/OHR-Portal/2023%20Generic%20Job%20Descriptions/Forms/AllItems.aspx?id=%2Fteams%2FOHR%2DPortal%2F2023%20Generic%20Job%20Descriptions%2FFinance&amp;viewid=569dbcf1%2Db6d6%2D484d%2Db8e7%2Da615adb16296" TargetMode="External"/><Relationship Id="rId172" Type="http://schemas.openxmlformats.org/officeDocument/2006/relationships/hyperlink" Target="https://popp.undp.org/policy-page/procurement-authority-and-increased-delegated-procurement-authority" TargetMode="External"/><Relationship Id="rId193" Type="http://schemas.openxmlformats.org/officeDocument/2006/relationships/hyperlink" Target="https://popp.undp.org/policy-page/harmonized-approach-cash-transfers-hact" TargetMode="External"/><Relationship Id="rId207" Type="http://schemas.openxmlformats.org/officeDocument/2006/relationships/footer" Target="footer2.xml"/><Relationship Id="rId13" Type="http://schemas.openxmlformats.org/officeDocument/2006/relationships/hyperlink" Target="https://popp.undp.org/node/171" TargetMode="External"/><Relationship Id="rId109" Type="http://schemas.openxmlformats.org/officeDocument/2006/relationships/hyperlink" Target="https://web.microsoftstream.com/video/e3ef574c-fe50-45e9-a9e6-cc39c0bec550?channelId=c1b407c8-ae9e-41ad-b619-726765e0aa9a" TargetMode="External"/><Relationship Id="rId34" Type="http://schemas.openxmlformats.org/officeDocument/2006/relationships/hyperlink" Target="https://popp.undp.org/policy-page/procurement-ethics-fraud-and-corrupt-practices" TargetMode="External"/><Relationship Id="rId55" Type="http://schemas.openxmlformats.org/officeDocument/2006/relationships/hyperlink" Target="https://popp.undp.org/node/10501" TargetMode="External"/><Relationship Id="rId76"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97" Type="http://schemas.openxmlformats.org/officeDocument/2006/relationships/hyperlink" Target="https://popp.undp.org/procurement" TargetMode="External"/><Relationship Id="rId120" Type="http://schemas.openxmlformats.org/officeDocument/2006/relationships/hyperlink" Target="https://undp.service-now.com/unall?sys_kb_id=d2ec4c17c34b06d0410dfc1a0501315a&amp;id=kb_article_view&amp;sysparm_rank=38&amp;sysparm_tsqueryId=0ac2007ec3a1d2d0298a1b43e40131e0" TargetMode="External"/><Relationship Id="rId141" Type="http://schemas.openxmlformats.org/officeDocument/2006/relationships/hyperlink" Target="https://popp.undp.org/financial-resources-management" TargetMode="External"/><Relationship Id="rId7" Type="http://schemas.openxmlformats.org/officeDocument/2006/relationships/settings" Target="settings.xml"/><Relationship Id="rId162" Type="http://schemas.openxmlformats.org/officeDocument/2006/relationships/hyperlink" Target="https://undp.sharepoint.com/teams/GSSC/SitePages/Fixed-Assets-Processing-and-Inventory-Certifications.aspx" TargetMode="External"/><Relationship Id="rId183" Type="http://schemas.openxmlformats.org/officeDocument/2006/relationships/hyperlink" Target="https://undp.sharepoint.com/sites/FPMR-FinancialClosure" TargetMode="External"/><Relationship Id="rId24" Type="http://schemas.openxmlformats.org/officeDocument/2006/relationships/hyperlink" Target="https://undp.sharepoint.com/sites/FinanceBusinessAdvisors-FBA/Lists/ICF%20Repository/AllItems.aspx" TargetMode="External"/><Relationship Id="rId45" Type="http://schemas.openxmlformats.org/officeDocument/2006/relationships/hyperlink" Target="https://popp.undp.org/node/1781" TargetMode="External"/><Relationship Id="rId66" Type="http://schemas.openxmlformats.org/officeDocument/2006/relationships/hyperlink" Target="https://view.officeapps.live.com/op/embed.aspx?src=https://popp.undp.org/sites/g/files/zskgke421/files/2023-12/Trust%20Fund%20Management.docx" TargetMode="External"/><Relationship Id="rId87" Type="http://schemas.openxmlformats.org/officeDocument/2006/relationships/hyperlink" Target="https://popp.undp.org/node/11231" TargetMode="External"/><Relationship Id="rId110" Type="http://schemas.openxmlformats.org/officeDocument/2006/relationships/hyperlink" Target="https://undp.service-now.com/unall?sys_kb_id=d2ec4c17c34b06d0410dfc1a0501315a&amp;id=kb_article_view&amp;sysparm_rank=38&amp;sysparm_tsqueryId=0ac2007ec3a1d2d0298a1b43e40131e0" TargetMode="External"/><Relationship Id="rId131" Type="http://schemas.openxmlformats.org/officeDocument/2006/relationships/hyperlink" Target="https://undp.sharepoint.com/teams/OHR-Portal/2023%20Generic%20Job%20Descriptions/Forms/AllItems.aspx?id=%2Fteams%2FOHR%2DPortal%2F2023%20Generic%20Job%20Descriptions%2FHR&amp;viewid=569dbcf1%2Db6d6%2D484d%2Db8e7%2Da615adb16296" TargetMode="External"/><Relationship Id="rId152"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73" Type="http://schemas.openxmlformats.org/officeDocument/2006/relationships/hyperlink" Target="https://popp.undp.org/taxonomy/term/186" TargetMode="External"/><Relationship Id="rId194" Type="http://schemas.openxmlformats.org/officeDocument/2006/relationships/hyperlink" Target="https://popp.undp.org/policy-page/harmonized-approach-cash-transfers-hact" TargetMode="External"/><Relationship Id="rId208" Type="http://schemas.openxmlformats.org/officeDocument/2006/relationships/image" Target="media/image6.emf"/><Relationship Id="rId14" Type="http://schemas.openxmlformats.org/officeDocument/2006/relationships/hyperlink" Target="https://popp.undp.org/node/171" TargetMode="External"/><Relationship Id="rId30" Type="http://schemas.openxmlformats.org/officeDocument/2006/relationships/hyperlink" Target="https://www.undp.org/sites/g/files/zskgke326/files/2022-02/UNDP-OAI-IS-Investigation-Guidelines-ENG-2022.pdf" TargetMode="External"/><Relationship Id="rId35" Type="http://schemas.openxmlformats.org/officeDocument/2006/relationships/hyperlink" Target="https://popp.undp.org/document/vendor-sanctions" TargetMode="External"/><Relationship Id="rId56" Type="http://schemas.openxmlformats.org/officeDocument/2006/relationships/hyperlink" Target="https://popp.undp.org/policy-page/financial-closure-development-projects" TargetMode="External"/><Relationship Id="rId77" Type="http://schemas.openxmlformats.org/officeDocument/2006/relationships/hyperlink" Target="https://popp.undp.org/taxonomy/term/36" TargetMode="External"/><Relationship Id="rId100" Type="http://schemas.openxmlformats.org/officeDocument/2006/relationships/hyperlink" Target="https://popp.undp.org/procurement" TargetMode="External"/><Relationship Id="rId105" Type="http://schemas.openxmlformats.org/officeDocument/2006/relationships/hyperlink" Target="https://popp.undp.org/node/10361" TargetMode="External"/><Relationship Id="rId126" Type="http://schemas.openxmlformats.org/officeDocument/2006/relationships/hyperlink" Target="https://popp.undp.org/node/11361" TargetMode="External"/><Relationship Id="rId147" Type="http://schemas.openxmlformats.org/officeDocument/2006/relationships/hyperlink" Target="https://eur03.safelinks.protection.outlook.com/?url=https%3A%2F%2Fpopp.undp.org%2Fprocedure%2Fdirect-cash-transfers-and-reimbursements&amp;data=05%7C02%7Cmichelle.armfield%40undp.org%7C932c9c8ea1564296e8db08dd7339b34f%7Cb3e5db5e2944483799f57488ace54319%7C0%7C0%7C638793414169349100%7CUnknown%7CTWFpbGZsb3d8eyJFbXB0eU1hcGkiOnRydWUsIlYiOiIwLjAuMDAwMCIsIlAiOiJXaW4zMiIsIkFOIjoiTWFpbCIsIldUIjoyfQ%3D%3D%7C0%7C%7C%7C&amp;sdata=ZqJPVdve%2BJAp5Q9u%2BbGa%2FUhwR4vQ0wqaA2ie9BowKFc%3D&amp;reserved=0" TargetMode="External"/><Relationship Id="rId168" Type="http://schemas.openxmlformats.org/officeDocument/2006/relationships/hyperlink" Target="https://popp.undp.org/node/10601" TargetMode="External"/><Relationship Id="rId8" Type="http://schemas.openxmlformats.org/officeDocument/2006/relationships/webSettings" Target="webSettings.xml"/><Relationship Id="rId51" Type="http://schemas.openxmlformats.org/officeDocument/2006/relationships/hyperlink" Target="https://popp.undp.org/financial-resources-management/cash-banking-and-investment/cash-arrangement" TargetMode="External"/><Relationship Id="rId72" Type="http://schemas.openxmlformats.org/officeDocument/2006/relationships/hyperlink" Target="https://undp.sharepoint.com/teams/GSSC/Shared%20Documents/GSSC%20Client%20SOPs/Finance%20Services/Client_SOP_Receipt%20Creation%20V0.1.docx?web=1" TargetMode="External"/><Relationship Id="rId93"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98" Type="http://schemas.openxmlformats.org/officeDocument/2006/relationships/hyperlink" Target="https://popp.undp.org/policy-page/purchase-orders-obligations-maintenance-and-closure" TargetMode="External"/><Relationship Id="rId121" Type="http://schemas.openxmlformats.org/officeDocument/2006/relationships/hyperlink" Target="https://popp.undp.org/taxonomy/term/266" TargetMode="External"/><Relationship Id="rId142" Type="http://schemas.openxmlformats.org/officeDocument/2006/relationships/hyperlink" Target="https://popp.undp.org/financial-resources-management/resource-planning-and-cost-recovery" TargetMode="External"/><Relationship Id="rId163" Type="http://schemas.openxmlformats.org/officeDocument/2006/relationships/hyperlink" Target="https://undp.sharepoint.com/teams/GSSC/SitePages/FinanceServices/Financial-Close-of-Development-Projects-and-Donor-Refunds.aspx" TargetMode="External"/><Relationship Id="rId184" Type="http://schemas.openxmlformats.org/officeDocument/2006/relationships/hyperlink" Target="mailto:fba.all@undp.org" TargetMode="External"/><Relationship Id="rId189" Type="http://schemas.openxmlformats.org/officeDocument/2006/relationships/hyperlink" Target="https://intranet.undp.org/unit/ofrm/fpmr/CFRA/SitePages/Agency%20Services.aspx" TargetMode="External"/><Relationship Id="rId3" Type="http://schemas.openxmlformats.org/officeDocument/2006/relationships/customXml" Target="../customXml/item3.xml"/><Relationship Id="rId214" Type="http://schemas.openxmlformats.org/officeDocument/2006/relationships/hyperlink" Target="https://undp.service-now.com/unall?id=kb_article_view&amp;sysparm_article=KB0013551" TargetMode="External"/><Relationship Id="rId25" Type="http://schemas.openxmlformats.org/officeDocument/2006/relationships/hyperlink" Target="https://undp.sharepoint.com/sites/FinanceBusinessAdvisors-FBA/Lists/ICF%20Repository/AllItems.aspx" TargetMode="External"/><Relationship Id="rId46" Type="http://schemas.openxmlformats.org/officeDocument/2006/relationships/hyperlink" Target="https://popp.undp.org/node/1406" TargetMode="External"/><Relationship Id="rId67" Type="http://schemas.openxmlformats.org/officeDocument/2006/relationships/hyperlink" Target="https://popp.undp.org/policy-page/financial-closure-trust-funds" TargetMode="External"/><Relationship Id="rId116" Type="http://schemas.openxmlformats.org/officeDocument/2006/relationships/hyperlink" Target="https://popp.undp.org/taxonomy/term/296" TargetMode="External"/><Relationship Id="rId137" Type="http://schemas.openxmlformats.org/officeDocument/2006/relationships/hyperlink" Target="https://popp.undp.org/financial-resources-management" TargetMode="External"/><Relationship Id="rId158" Type="http://schemas.openxmlformats.org/officeDocument/2006/relationships/hyperlink" Target="https://undp.sharepoint.com/teams/GSSC/SitePages/FinanceServices/Accounts-Rece.aspx" TargetMode="External"/><Relationship Id="rId20" Type="http://schemas.openxmlformats.org/officeDocument/2006/relationships/hyperlink" Target="https://popp.undp.org/taxonomy/term/176" TargetMode="External"/><Relationship Id="rId41" Type="http://schemas.openxmlformats.org/officeDocument/2006/relationships/image" Target="media/image1.png"/><Relationship Id="rId62"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83" Type="http://schemas.openxmlformats.org/officeDocument/2006/relationships/hyperlink" Target="https://undp.sharepoint.com/teams/GSSC/SitePages/FinanceServices/Home.aspx" TargetMode="External"/><Relationship Id="rId88" Type="http://schemas.openxmlformats.org/officeDocument/2006/relationships/hyperlink" Target="https://popp.undp.org/policy-page/supplier-management" TargetMode="External"/><Relationship Id="rId111" Type="http://schemas.openxmlformats.org/officeDocument/2006/relationships/hyperlink" Target="https://popp.undp.org/node/10666" TargetMode="External"/><Relationship Id="rId132" Type="http://schemas.openxmlformats.org/officeDocument/2006/relationships/image" Target="media/image4.png"/><Relationship Id="rId153" Type="http://schemas.openxmlformats.org/officeDocument/2006/relationships/hyperlink" Target="https://undp.sharepoint.com/teams/GSSC/SitePages/FinanceServices/Vendor-Management.aspx" TargetMode="External"/><Relationship Id="rId174" Type="http://schemas.openxmlformats.org/officeDocument/2006/relationships/hyperlink" Target="https://popp.undp.org/node/10446" TargetMode="External"/><Relationship Id="rId179" Type="http://schemas.openxmlformats.org/officeDocument/2006/relationships/hyperlink" Target="https://view.officeapps.live.com/op/embed.aspx?src=https://popp.undp.org/sites/g/files/zskgke421/files/2023-10/Admin%20Service_Asset%20Management_Furniture%20and%20Equipment_Disposal%20and%20Write-Off.docx" TargetMode="External"/><Relationship Id="rId195" Type="http://schemas.openxmlformats.org/officeDocument/2006/relationships/hyperlink" Target="https://undp.sharepoint.com/:p:/r/teams/ITM/_layouts/15/Doc.aspx?sourcedoc=%7B5031EE01-36BB-4462-A697-48393401B8BE%7D&amp;file=EXT%20Access%20User%20Provisioning%20v2.pptx&amp;wdLOR=cDD463C1B-7BF5-45B0-A127-46E184F3661D&amp;action=edit&amp;mobileredirect=true" TargetMode="External"/><Relationship Id="rId209" Type="http://schemas.openxmlformats.org/officeDocument/2006/relationships/image" Target="media/image7.emf"/><Relationship Id="rId190" Type="http://schemas.openxmlformats.org/officeDocument/2006/relationships/hyperlink" Target="https://popp.undp.org/node/4176" TargetMode="External"/><Relationship Id="rId204" Type="http://schemas.openxmlformats.org/officeDocument/2006/relationships/hyperlink" Target="https://undp.service-now.com/unall?id=kb_article&amp;sys_id=160b359293124a5072a03e718bba103f&amp;table=kb_knowledge" TargetMode="External"/><Relationship Id="rId15" Type="http://schemas.openxmlformats.org/officeDocument/2006/relationships/hyperlink" Target="https://app.powerbi.com/groups/me/reports/2e4111d1-7a3c-4dd3-9088-d4ccb5e15cc8/ReportSection7001eb9b64898ac009b1?ctid=b3e5db5e-2944-4837-99f5-7488ace54319&amp;experience=power-bi" TargetMode="External"/><Relationship Id="rId36"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7" Type="http://schemas.openxmlformats.org/officeDocument/2006/relationships/hyperlink" Target="https://undp.service-now.com/unall?id=kb_article_view&amp;sys_kb_id=cd5df21fc33a8e50298a1b43e40131f0" TargetMode="External"/><Relationship Id="rId106" Type="http://schemas.openxmlformats.org/officeDocument/2006/relationships/hyperlink" Target="https://undp.service-now.com/unall?sys_kb_id=d2ec4c17c34b06d0410dfc1a0501315a&amp;id=kb_article_view&amp;sysparm_rank=38&amp;sysparm_tsqueryId=0ac2007ec3a1d2d0298a1b43e40131e0" TargetMode="External"/><Relationship Id="rId127" Type="http://schemas.openxmlformats.org/officeDocument/2006/relationships/hyperlink" Target="https://popp.undp.org/taxonomy/term/81" TargetMode="External"/><Relationship Id="rId10" Type="http://schemas.openxmlformats.org/officeDocument/2006/relationships/endnotes" Target="endnotes.xml"/><Relationship Id="rId31" Type="http://schemas.openxmlformats.org/officeDocument/2006/relationships/hyperlink" Target="https://popp.undp.org/policy-page/undp-legal-framework-addressing-non-compliance-un-standards-conduct-0?_gl=1*1eet8v9*_gcl_au*NjgwMDE1Mjc0LjE3MjkwMTYxNzY.*_ga*OTY5NjgwODA0LjE2NDQ4NjEwMTM.*_ga_3W7LPK0WP1*MTczMjYzOTAzNC4xNjQuMC4xNzMyNjM5MDM2LjU4LjAuMA.." TargetMode="External"/><Relationship Id="rId52" Type="http://schemas.openxmlformats.org/officeDocument/2006/relationships/hyperlink" Target="https://web.yammer.com/main/org/undp.org/threads/eyJfdHlwZSI6IlRocmVhZCIsImlkIjoiMjExNTQ4OTkxOTQ1MTEzNiJ9" TargetMode="External"/><Relationship Id="rId73" Type="http://schemas.openxmlformats.org/officeDocument/2006/relationships/hyperlink" Target="https://undp.sharepoint.com/teams/GSSC/Shared%20Documents/GSSC%20Client%20SOPs/Finance%20Services/Client%20SOP_Deposit%20Creation%20Appendix.pptx?web=1" TargetMode="External"/><Relationship Id="rId78" Type="http://schemas.openxmlformats.org/officeDocument/2006/relationships/hyperlink" Target="https://popp.undp.org/taxonomy/term/186" TargetMode="External"/><Relationship Id="rId94" Type="http://schemas.openxmlformats.org/officeDocument/2006/relationships/hyperlink" Target="https://view.officeapps.live.com/op/embed.aspx?src=https://popp.undp.org/sites/g/files/zskgke421/files/2024-05/FRM_Expense%20Management%20_Supplier%20Management_Policy_0.docx" TargetMode="External"/><Relationship Id="rId99" Type="http://schemas.openxmlformats.org/officeDocument/2006/relationships/hyperlink" Target="https://popp.undp.org/policy-page/prepayments" TargetMode="External"/><Relationship Id="rId101" Type="http://schemas.openxmlformats.org/officeDocument/2006/relationships/hyperlink" Target="https://popp.undp.org/procurement" TargetMode="External"/><Relationship Id="rId122" Type="http://schemas.openxmlformats.org/officeDocument/2006/relationships/hyperlink" Target="https://popp.undp.org/taxonomy/term/81" TargetMode="External"/><Relationship Id="rId143" Type="http://schemas.openxmlformats.org/officeDocument/2006/relationships/hyperlink" Target="https://undp.sharepoint.com/teams/OHR-Portal/2023%20Generic%20Job%20Descriptions/Forms/AllItems.aspx?id=%2Fteams%2FOHR%2DPortal%2F2023%20Generic%20Job%20Descriptions%2FRR%2DDRR%20%2D%20Generic%20JDs&amp;viewid=569dbcf1%2Db6d6%2D484d%2Db8e7%2Da615adb16296" TargetMode="External"/><Relationship Id="rId148" Type="http://schemas.openxmlformats.org/officeDocument/2006/relationships/hyperlink" Target="https://popp.undp.org/node/11051" TargetMode="External"/><Relationship Id="rId164" Type="http://schemas.openxmlformats.org/officeDocument/2006/relationships/hyperlink" Target="https://undp.sharepoint.com/teams/GSSC/SitePages/FinanceServices/Donor-Refunds.aspx?source=https%3a//undp.sharepoint.com/teams/GSSC/SitePages/Forms/ByAuthor.aspx?id%3D%252Fteams%252FGSSC%252FSitePages%252FFinanceServices%26viewid%3D8ba0c08f%252Db47b%252D482e%252D9921%252D034f54a31375" TargetMode="External"/><Relationship Id="rId169" Type="http://schemas.openxmlformats.org/officeDocument/2006/relationships/hyperlink" Target="https://popp.undp.org/taxonomy/term/36" TargetMode="External"/><Relationship Id="rId185" Type="http://schemas.openxmlformats.org/officeDocument/2006/relationships/hyperlink" Target="https://undp.sharepoint.com/teams/OFM/Shared%20Documents/Forms/AllItems.aspx?csf=1&amp;web=1&amp;e=DlWEYh&amp;CID=d9a8c23d%2D60f8%2D42af%2Da3b9%2Defedd26a8606&amp;FolderCTID=0x01200000BF6763B005D14682430E0814FFD5DE&amp;id=%2Fteams%2FOFM%2FShared%20Documents%2FFBA%2FPublished%20Documents%2FBudget%20Override%20Guides%20and%20Templat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view.officeapps.live.com/op/embed.aspx?src=https://popp.undp.org/sites/g/files/zskgke421/files/2023-10/Admin%20Service_Asset%20Management_Furniture%20and%20Equipment_Disposal%20and%20Write-Off.docx" TargetMode="External"/><Relationship Id="rId210" Type="http://schemas.openxmlformats.org/officeDocument/2006/relationships/hyperlink" Target="https://popp.undp.org/procurement" TargetMode="External"/><Relationship Id="rId215" Type="http://schemas.openxmlformats.org/officeDocument/2006/relationships/hyperlink" Target="https://undp.service-now.com/$viewer.do?sysparm_stack=no&amp;sysparm_sys_id=83d25781c35b8254410dfc1a0501319f" TargetMode="External"/><Relationship Id="rId26" Type="http://schemas.openxmlformats.org/officeDocument/2006/relationships/hyperlink" Target="https://app.powerbi.com/groups/34e1e0b6-b985-40f3-8351-1bad930325a2/reports/313b5270-69fe-4967-b607-63769d64aabe/ReportSectionfe59d03eb983e84dd45a?experience=power-bi" TargetMode="External"/><Relationship Id="rId47" Type="http://schemas.openxmlformats.org/officeDocument/2006/relationships/hyperlink" Target="https://undp.service-now.com/unall?id=kb_category&amp;kb_id=9c8353641bc110509f48a64fad4bcb93&amp;kb_category=e6c1d75adb94a1d837d8dbe6f496197f" TargetMode="External"/><Relationship Id="rId68" Type="http://schemas.openxmlformats.org/officeDocument/2006/relationships/hyperlink" Target="https://popp.undp.org/taxonomy/term/106" TargetMode="External"/><Relationship Id="rId89" Type="http://schemas.openxmlformats.org/officeDocument/2006/relationships/hyperlink" Target="https://view.officeapps.live.com/op/embed.aspx?src=https://popp.undp.org/sites/g/files/zskgke421/files/2023-06/FRM_Expense%20Management%20_Purchase%20Orders%20%28Commitments%20Maintenance%20and%20Closures%29_0.docx" TargetMode="External"/><Relationship Id="rId112"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33" Type="http://schemas.openxmlformats.org/officeDocument/2006/relationships/hyperlink" Target="https://gssc.info.undp.org/payroll" TargetMode="External"/><Relationship Id="rId154" Type="http://schemas.openxmlformats.org/officeDocument/2006/relationships/hyperlink" Target="https://undp.sharepoint.com/teams/GSSC/SitePages/FinanceServices/Invoice-Processing.aspx" TargetMode="External"/><Relationship Id="rId175"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96" Type="http://schemas.openxmlformats.org/officeDocument/2006/relationships/hyperlink" Target="https://undp.sharepoint.com/teams/ITM/SitePages/UnifiedDataPlatform.aspx?xsdata=MDV8MDF8fGUyZDQ3OWI4ZmFhYjRjZDI2NzBmMDhkYjk0Y2JhOWZifGIzZTVkYjVlMjk0NDQ4Mzc5OWY1NzQ4OGFjZTU0MzE5fDB8MHw2MzgyNjczNzQ2NTQxNTQ1MTF8VW5rbm93bnxWR1ZoYlhOVFpXTjFjbWwwZVZObGNuWnBZMlY4ZXlKV0lqb2lNQzR3TGpBd01EQWlMQ0pRSWpvaVYybHVNeklpTENKQlRpSTZJazkwYUdWeUlpd2lWMVFpT2pFeGZRPT18MXxMMk5vWVhSekx6RTVPalU0TUdJd05UQmxNbVE0WWpReVpXTTRNMlE1TVRGbU16STRZemswTTJaaVFIUm9jbVZoWkM1Mk1pOXRaWE56WVdkbGN5OHhOamt4TVRRd05qWTBPVGN3fDBjYzAxY2E5N2IyNzQyODcwNGM2MDhkYjk0Y2JhOWY5fGNiYjgyNTAzNjhlNTQzYWQ5ODVjMGYzMTBhZGJiNjFl&amp;sdata=aUdKc0dJQTMyaUpvbnVpUThjYkI1MW5aL0VBekhhcVhBZUxubFNSVnkyQT0%3D&amp;ovuser=b3e5db5e-2944-4837-99f5-7488ace54319%2csaeed.mubarak%40undp.org" TargetMode="External"/><Relationship Id="rId200" Type="http://schemas.openxmlformats.org/officeDocument/2006/relationships/hyperlink" Target="https://intranet.undp.org/apps/snapshot/SitePages/ExecSnapshotHomePage.aspx" TargetMode="External"/><Relationship Id="rId16" Type="http://schemas.openxmlformats.org/officeDocument/2006/relationships/hyperlink" Target="https://app.powerbi.com/groups/me/reports/69945840-ce85-4ccc-b331-237f0c5597e2/f779931b1128377b3b92?ctid=b3e5db5e-2944-4837-99f5-7488ace54319&amp;experience=power-bi" TargetMode="External"/><Relationship Id="rId37" Type="http://schemas.openxmlformats.org/officeDocument/2006/relationships/hyperlink" Target="https://popp.undp.org/policy-page/record-retention-data-security-and-contingency" TargetMode="External"/><Relationship Id="rId58" Type="http://schemas.openxmlformats.org/officeDocument/2006/relationships/hyperlink" Target="https://popp.undp.org/taxonomy/term/36" TargetMode="External"/><Relationship Id="rId79" Type="http://schemas.openxmlformats.org/officeDocument/2006/relationships/hyperlink" Target="https://popp.undp.org/taxonomy/term/76" TargetMode="External"/><Relationship Id="rId102"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123" Type="http://schemas.openxmlformats.org/officeDocument/2006/relationships/hyperlink" Target="https://undp.service-now.com/unall?id=kb_category&amp;kb_category=b0a9a5718718e158035ea8690cbb35c7&amp;kb_id=9c8353641bc110509f48a64fad4bcb93" TargetMode="External"/><Relationship Id="rId144" Type="http://schemas.openxmlformats.org/officeDocument/2006/relationships/hyperlink" Target="https://undp.sharepoint.com/teams/OHR-Portal/2023%20Generic%20Job%20Descriptions/Forms/AllItems.aspx?id=%2Fteams%2FOHR%2DPortal%2F2023%20Generic%20Job%20Descriptions%2FOM%20%26%20Head%20of%20Sub%2DOffice&amp;viewid=569dbcf1%2Db6d6%2D484d%2Db8e7%2Da615adb16296" TargetMode="External"/><Relationship Id="rId90" Type="http://schemas.openxmlformats.org/officeDocument/2006/relationships/hyperlink" Target="https://view.officeapps.live.com/op/embed.aspx?src=https://popp.undp.org/sites/g/files/zskgke421/files/2024-05/FRM_Expense%20Management%20_Supplier%20Management_Policy_0.docx" TargetMode="External"/><Relationship Id="rId165" Type="http://schemas.openxmlformats.org/officeDocument/2006/relationships/hyperlink" Target="https://popp.undp.org/node/11526" TargetMode="External"/><Relationship Id="rId186" Type="http://schemas.openxmlformats.org/officeDocument/2006/relationships/hyperlink" Target="https://undp.sharepoint.com/sites/FinanceBusinessAdvisors-FBA/Lists/ICF%20Repository/AllItems.aspx?xsdata=MDV8MDJ8bWljaGVsbGUuYXJtZmllbGRAdW5kcC5vcmd8ODFkM2YwYmRhNTM3NGVmZWJhNDEwOGRjOGNhOGFiNmN8YjNlNWRiNWUyOTQ0NDgzNzk5ZjU3NDg4YWNlNTQzMTl8MHwwfDYzODUzOTkwMzI5MDU0NDQ0OXxVbmtub3dufFRXRnBiR1pzYjNkOGV5SldJam9pTUM0d0xqQXdNREFpTENKUUlqb2lWMmx1TXpJaUxDSkJUaUk2SWsxaGFXd2lMQ0pYVkNJNk1uMD18MHx8fA%3d%3d&amp;sdata=UngzVm5BeS9JS0t1bEpvN1pab3ZmMGl4OFB6YUs1MjNTNmtXMkFQTDR3dz0%3d" TargetMode="External"/><Relationship Id="rId211" Type="http://schemas.openxmlformats.org/officeDocument/2006/relationships/hyperlink" Target="https://undp.sharepoint.com/teams/GSSC/SitePages/FinanceServices/Vendor-Management.aspx" TargetMode="External"/><Relationship Id="rId27" Type="http://schemas.openxmlformats.org/officeDocument/2006/relationships/hyperlink" Target="https://app.powerbi.com/groups/34e1e0b6-b985-40f3-8351-1bad930325a2/reports/330c50fb-8398-4bef-b67c-4809e0bcd89b/ReportSection?experience=power-bi" TargetMode="External"/><Relationship Id="rId48" Type="http://schemas.openxmlformats.org/officeDocument/2006/relationships/hyperlink" Target="https://popp.undp.org/node/11401" TargetMode="External"/><Relationship Id="rId69" Type="http://schemas.openxmlformats.org/officeDocument/2006/relationships/hyperlink" Target="https://popp.undp.org/taxonomy/term/116" TargetMode="External"/><Relationship Id="rId113" Type="http://schemas.openxmlformats.org/officeDocument/2006/relationships/hyperlink" Target="https://popp.undp.org/node/11176" TargetMode="External"/><Relationship Id="rId134" Type="http://schemas.openxmlformats.org/officeDocument/2006/relationships/hyperlink" Target="https://undp.service-now.com/unall?id=kb_article&amp;sys_id=160b359293124a5072a03e718bba103f&amp;table=kb_knowledge" TargetMode="External"/><Relationship Id="rId80" Type="http://schemas.openxmlformats.org/officeDocument/2006/relationships/hyperlink" Target="https://popp.undp.org/financial-resources-management/expense-management" TargetMode="External"/><Relationship Id="rId155" Type="http://schemas.openxmlformats.org/officeDocument/2006/relationships/hyperlink" Target="https://undp.sharepoint.com/teams/GSSC/SitePages/FinanceServices/Pay%20Cycle.aspx" TargetMode="External"/><Relationship Id="rId176" Type="http://schemas.openxmlformats.org/officeDocument/2006/relationships/hyperlink" Target="https://popp.undp.org/taxonomy/term/126" TargetMode="External"/><Relationship Id="rId197" Type="http://schemas.openxmlformats.org/officeDocument/2006/relationships/hyperlink" Target="https://undp.sharepoint.com/teams/ITM/SitePages/UNDP-Reporting.aspx?xsdata=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%3D&amp;sdata=SDhTL3RvdHVNUDA0WjVHZGlrdnRkWUxKNjBLaXFvQVYyamxSaXlkU0R3OD0%3D&amp;ovuser=b3e5db5e-2944-4837-99f5-7488ace54319%2Cmichelle.armfield%40undp.org&amp;OR=Teams-HL&amp;CT=1710944354583&amp;clickparams=eyJBcHBOYW1lIjoiVGVhbXMtRGVza3RvcCIsIkFwcFZlcnNpb24iOiI0OS8yNDAyMTUyODYxMSIsIkhhc0ZlZGVyYXRlZFVzZXIiOmZhbHNlfQ%3D%3D" TargetMode="External"/><Relationship Id="rId201" Type="http://schemas.openxmlformats.org/officeDocument/2006/relationships/hyperlink" Target="https://web.yammer.com/main/org/undp.org/threads/eyJfdHlwZSI6IlRocmVhZCIsImlkIjoiMjExNTQ4OTkxOTQ1MTEzNiJ9" TargetMode="External"/><Relationship Id="rId17" Type="http://schemas.openxmlformats.org/officeDocument/2006/relationships/hyperlink" Target="https://eur03.safelinks.protection.outlook.com/?url=https%3A%2F%2Fundp.service-now.com%2Funall%3Fid%3Dkb_article_view%26table%3Dkb_knowledge%26sys_kb_id%3D65f6bf6a83492210745bb5a8beaad39d%26recordUrl%3D%252Fkb_view.do%253Fsys_kb_id%253D65f6bf6a83492210745bb5a8beaad39d&amp;data=05%7C02%7Cmichelle.armfield%40undp.org%7C84eec019a31d4d24247808dd83db5719%7Cb3e5db5e2944483799f57488ace54319%7C0%7C0%7C638811700291604445%7CUnknown%7CTWFpbGZsb3d8eyJFbXB0eU1hcGkiOnRydWUsIlYiOiIwLjAuMDAwMCIsIlAiOiJXaW4zMiIsIkFOIjoiTWFpbCIsIldUIjoyfQ%3D%3D%7C0%7C%7C%7C&amp;sdata=s%2FQpKZ52gd1tCGGF4%2F2G%2B0ml3HYCFx9ZG5YSDhKVgc4%3D&amp;reserved=0" TargetMode="External"/><Relationship Id="rId38" Type="http://schemas.openxmlformats.org/officeDocument/2006/relationships/hyperlink" Target="https://app.powerbi.com/groups/me/reports/2e4111d1-7a3c-4dd3-9088-d4ccb5e15cc8/ReportSection7001eb9b64898ac009b1?ctid=b3e5db5e-2944-4837-99f5-7488ace54319&amp;experience=power-bi" TargetMode="External"/><Relationship Id="rId59" Type="http://schemas.openxmlformats.org/officeDocument/2006/relationships/hyperlink" Target="https://popp.undp.org/taxonomy/term/36" TargetMode="External"/><Relationship Id="rId103" Type="http://schemas.openxmlformats.org/officeDocument/2006/relationships/hyperlink" Target="https://popp.undp.org/policy-page/procurement-authority-and-increased-delegated-procurement-authority" TargetMode="External"/><Relationship Id="rId124" Type="http://schemas.openxmlformats.org/officeDocument/2006/relationships/hyperlink" Target="https://undp.sharepoint.com/teams/GSSC/SitePages/FinanceServices/Home.aspx" TargetMode="External"/><Relationship Id="rId70" Type="http://schemas.openxmlformats.org/officeDocument/2006/relationships/hyperlink" Target="https://popp.undp.org/policy-page/gms-fee-set-and-collection" TargetMode="External"/><Relationship Id="rId91" Type="http://schemas.openxmlformats.org/officeDocument/2006/relationships/hyperlink" Target="https://undp.service-now.com/unall?id=kb_article_view&amp;sysparm_article=KB0013551" TargetMode="External"/><Relationship Id="rId145" Type="http://schemas.openxmlformats.org/officeDocument/2006/relationships/hyperlink" Target="https://popp.undp.org/SitePages/POPPSubject.aspx?SBJID=308&amp;Menu=BusinessUnit&amp;Beta=0" TargetMode="External"/><Relationship Id="rId166" Type="http://schemas.openxmlformats.org/officeDocument/2006/relationships/hyperlink" Target="https://popp.undp.org/node/11526" TargetMode="External"/><Relationship Id="rId187" Type="http://schemas.openxmlformats.org/officeDocument/2006/relationships/hyperlink" Target="https://undp.sharepoint.com/teams/GSSC/Shared%20Documents/Forms/Performance%20Reporting.aspx?csf=1&amp;web=1&amp;e=ALgl76&amp;CID=fe8265a1%2D5085%2D0000%2D2d5e%2D12afa7909d72&amp;cidOR=SPO&amp;FolderCTID=0x0120000123C3BD6B97D3438747A92C421D820A&amp;id=%2Fteams%2FGSSC%2FShared%20Documents%2FGSSC%20Client%20SOPs%2FFinance%20Services" TargetMode="External"/><Relationship Id="rId1" Type="http://schemas.openxmlformats.org/officeDocument/2006/relationships/customXml" Target="../customXml/item1.xml"/><Relationship Id="rId212" Type="http://schemas.openxmlformats.org/officeDocument/2006/relationships/hyperlink" Target="https://popp.undp.org/financial-resources-management/expense-management" TargetMode="External"/><Relationship Id="rId28" Type="http://schemas.openxmlformats.org/officeDocument/2006/relationships/hyperlink" Target="https://popp.undp.org/node/10716" TargetMode="External"/><Relationship Id="rId49" Type="http://schemas.openxmlformats.org/officeDocument/2006/relationships/hyperlink" Target="https://popp.undp.org/policy-page/prepayments" TargetMode="External"/><Relationship Id="rId114" Type="http://schemas.openxmlformats.org/officeDocument/2006/relationships/hyperlink" Target="https://popp.undp.org/node/10636" TargetMode="External"/><Relationship Id="rId60" Type="http://schemas.openxmlformats.org/officeDocument/2006/relationships/hyperlink" Target="https://popp.undp.org/node/11371" TargetMode="External"/><Relationship Id="rId81" Type="http://schemas.openxmlformats.org/officeDocument/2006/relationships/hyperlink" Target="https://undp.service-now.com/unall?id=kb_category&amp;kb_id=9c8353641bc110509f48a64fad4bcb93&amp;kb_category=0eae4c4bdb2b60505d6d3dd5f396194e" TargetMode="External"/><Relationship Id="rId135" Type="http://schemas.openxmlformats.org/officeDocument/2006/relationships/image" Target="media/image5.png"/><Relationship Id="rId156" Type="http://schemas.openxmlformats.org/officeDocument/2006/relationships/hyperlink" Target="https://undp.sharepoint.com/teams/GSSC/SitePages/FinanceServices/Other-Receivables.aspx?source=https%3a//undp.sharepoint.com/teams/GSSC/SitePages/Forms/ByAuthor.aspx?id%3D%252Fteams%252FGSSC%252FSitePages%252FFinanceServices%26viewid%3D8ba0c08f%252Db47b%252D482e%252D9921%252D034f54a31375" TargetMode="External"/><Relationship Id="rId177" Type="http://schemas.openxmlformats.org/officeDocument/2006/relationships/hyperlink" Target="https://popp.undp.org/node/10636" TargetMode="External"/><Relationship Id="rId198" Type="http://schemas.openxmlformats.org/officeDocument/2006/relationships/hyperlink" Target="https://undp.sharepoint.com/:x:/s/OFRMBusinessAnalytics214/EdRiZTweppBNhlNeXOb40Q8BaMmNPGATDp-yCbfWTtvxKA?e=0iEtko&amp;clickparams=eyAiWC1BcHBOYW1lIiA6ICJNaWNyb3NvZnQgT3V0bG9vayIsICJYLUFwcFZlcnNpb24iIDogIjE2LjAuMTczMjguMjA2NDgiLCAiT1MiIDogIldpbmRvd3MiIH0%3D&amp;CID=592DE14C-0D0A-42C5-AC90-3DF08C7695E2&amp;wdLOR=cBD159FBE-B7C2-4E62-8F87-B8776A5E9F7E" TargetMode="External"/><Relationship Id="rId202" Type="http://schemas.openxmlformats.org/officeDocument/2006/relationships/hyperlink" Target="https://web.yammer.com/main/org/undp.org/threads/eyJfdHlwZSI6IlRocmVhZCIsImlkIjoiMjExNTQ4OTkxOTQ1MTEzNiJ9" TargetMode="External"/><Relationship Id="rId18" Type="http://schemas.openxmlformats.org/officeDocument/2006/relationships/hyperlink" Target="https://popp.undp.org/sites/g/files/zskgke421/files/AC_Ethics_Financial%20Disclosure.pdf" TargetMode="External"/><Relationship Id="rId39" Type="http://schemas.openxmlformats.org/officeDocument/2006/relationships/hyperlink" Target="https://undp.sharepoint.com/teams/ITM/Shared%20Documents/Forms/AllItems.aspx?id=%2Fteams%2FITM%2FShared%20Documents%2FICF%20Monitoring%20Reports%5FUser%20Guide%2Epdf&amp;parent=%2Fteams%2FITM%2FShared%20Documents" TargetMode="External"/><Relationship Id="rId50" Type="http://schemas.openxmlformats.org/officeDocument/2006/relationships/hyperlink" Target="https://popp.undp.org/node/10651" TargetMode="External"/><Relationship Id="rId104" Type="http://schemas.openxmlformats.org/officeDocument/2006/relationships/hyperlink" Target="https://popp.undp.org/node/11376" TargetMode="External"/><Relationship Id="rId125" Type="http://schemas.openxmlformats.org/officeDocument/2006/relationships/hyperlink" Target="https://undp.sharepoint.com/teams/GSSC/Shared%20Documents/Forms/Performance%20Reporting.aspx?csf=1&amp;web=1&amp;e=Ms3rUc&amp;cid=5a6bb90c%2D1644%2D42d9%2Dae62%2D5c8c3c261985&amp;FolderCTID=0x0120000123C3BD6B97D3438747A92C421D820A&amp;id=%2Fteams%2FGSSC%2FShared%20Documents%2FGSSC%20Client%20SOPs%2FFinance%20Services" TargetMode="External"/><Relationship Id="rId146" Type="http://schemas.openxmlformats.org/officeDocument/2006/relationships/hyperlink" Target="https://undp.sharepoint.com/:b:/r/teams/GSSU/Contact_Centre/Contact%20Centre%20Document%20Library/01_SOPs/SOP_Revenue/SOP_REV_Revenue%20Management%20v4.0_ready%20for%20GPO.pdf?csf=1&amp;web=1&amp;e=FmuZCc" TargetMode="External"/><Relationship Id="rId167" Type="http://schemas.openxmlformats.org/officeDocument/2006/relationships/hyperlink" Target="mailto:cosupport@undp.org" TargetMode="External"/><Relationship Id="rId188" Type="http://schemas.openxmlformats.org/officeDocument/2006/relationships/hyperlink" Target="https://intranet.undp.org/unit/ofrm/fpmr/CFRA/SitePages/Agency%20Services.aspx" TargetMode="External"/><Relationship Id="rId71" Type="http://schemas.openxmlformats.org/officeDocument/2006/relationships/hyperlink" Target="https://undp.sharepoint.com/sites/Docs-Partnerships/Shared%20Documents/Forms/AllItems.aspx?id=%2Fsites%2FDocs%2DPartnerships%2FShared%20Documents%2FDocumentation%2FTraining%20Material%20UNITY%2FDonor%20Agreement%20Management%20%2D%20UNITY%20End%20Users%2FEnd%20User%20guide%20%2D%20Donor%20Agreement%20Management%2Epdf&amp;parent=%2Fsites%2FDocs%2DPartnerships%2FShared%20Documents%2FDocumentation%2FTraining%20Material%20UNITY%2FDonor%20Agreement%20Management%20%2D%20UNITY%20End%20Users" TargetMode="External"/><Relationship Id="rId92" Type="http://schemas.openxmlformats.org/officeDocument/2006/relationships/hyperlink" Target="https://undp.sharepoint.com/teams/GSSC/SitePages/FinanceServices/Vendor-Management.aspx" TargetMode="External"/><Relationship Id="rId213" Type="http://schemas.openxmlformats.org/officeDocument/2006/relationships/hyperlink" Target="https://eur03.safelinks.protection.outlook.com/?url=https%3A%2F%2Fundp.service-now.com%2Funall%3Fid%3Dkb_article_view%26sysparm_article%3DKB0012940&amp;data=05%7C02%7Cmichelle.armfield%40undp.org%7Cc5eff571b84a44a011b108dd8b67d7bc%7Cb3e5db5e2944483799f57488ace54319%7C0%7C0%7C638820000310800766%7CUnknown%7CTWFpbGZsb3d8eyJFbXB0eU1hcGkiOnRydWUsIlYiOiIwLjAuMDAwMCIsIlAiOiJXaW4zMiIsIkFOIjoiTWFpbCIsIldUIjoyfQ%3D%3D%7C0%7C%7C%7C&amp;sdata=jZqISX41Lr7PQ9Nb7WXs1QKOoGSYNuNP0gs08lB16Sk%3D&amp;reserved=0" TargetMode="External"/><Relationship Id="rId2" Type="http://schemas.openxmlformats.org/officeDocument/2006/relationships/customXml" Target="../customXml/item2.xml"/><Relationship Id="rId29" Type="http://schemas.openxmlformats.org/officeDocument/2006/relationships/hyperlink" Target="https://popp.undp.org/node/10431" TargetMode="External"/><Relationship Id="rId40" Type="http://schemas.openxmlformats.org/officeDocument/2006/relationships/hyperlink" Target="https://undp.service-now.com/unall?id=kb_article&amp;sysparm_article=KB0012844" TargetMode="External"/><Relationship Id="rId115" Type="http://schemas.openxmlformats.org/officeDocument/2006/relationships/hyperlink" Target="https://eur03.safelinks.protection.outlook.com/?url=https%3A%2F%2Fundp.sharepoint.com%2Fteams%2Fcollaborationtoolbox%2Fsitepages%2FBank_Signatory_Webinar_Session_06_March_2024.aspx&amp;data=05%7C02%7Cmichelle.armfield%40undp.org%7C3007efc84be749bae4d908dc3fbe0f6d%7Cb3e5db5e2944483799f57488ace54319%7C0%7C0%7C638455333829294667%7CUnknown%7CTWFpbGZsb3d8eyJWIjoiMC4wLjAwMDAiLCJQIjoiV2luMzIiLCJBTiI6Ik1haWwiLCJXVCI6Mn0%3D%7C0%7C%7C%7C&amp;sdata=XQD1lnprHdrN2oJfINDwoSmyte9OlfsVdu9PA1xNcMA%3D&amp;reserved=0" TargetMode="External"/><Relationship Id="rId136" Type="http://schemas.openxmlformats.org/officeDocument/2006/relationships/image" Target="cid:image002.png@01D9FDF6.01046E30" TargetMode="External"/><Relationship Id="rId157" Type="http://schemas.openxmlformats.org/officeDocument/2006/relationships/hyperlink" Target="https://undp.sharepoint.com/teams/GSSC/SitePages/FinanceServices/Deposit-Creation-and-Application.aspx" TargetMode="External"/><Relationship Id="rId178" Type="http://schemas.openxmlformats.org/officeDocument/2006/relationships/hyperlink" Target="https://popp.undp.org/node/11496" TargetMode="External"/><Relationship Id="rId61" Type="http://schemas.openxmlformats.org/officeDocument/2006/relationships/hyperlink" Target="https://popp.undp.org/node/11526" TargetMode="External"/><Relationship Id="rId82" Type="http://schemas.openxmlformats.org/officeDocument/2006/relationships/hyperlink" Target="https://undp.service-now.com/unall?id=kb_category&amp;kb_category=1d9ec44bdb2b60505d6d3dd5f396191f&amp;kb_id=9c8353641bc110509f48a64fad4bcb93" TargetMode="External"/><Relationship Id="rId199" Type="http://schemas.openxmlformats.org/officeDocument/2006/relationships/hyperlink" Target="https://intranet.undp.org/unit/ofrm/fbp/analytics/SitePages/Home.aspx" TargetMode="External"/><Relationship Id="rId203" Type="http://schemas.openxmlformats.org/officeDocument/2006/relationships/hyperlink" Target="https://undp.service-now.com/unall?id=kb_article&amp;sys_id=160b359293124a5072a03e718bba103f&amp;table=kb_knowledge" TargetMode="External"/><Relationship Id="rId19" Type="http://schemas.openxmlformats.org/officeDocument/2006/relationships/hyperlink" Target="https://popp.undp.org/node/110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policy-page/procurement-forecasting-and-delivery" TargetMode="External"/><Relationship Id="rId2" Type="http://schemas.openxmlformats.org/officeDocument/2006/relationships/hyperlink" Target="https://app.powerbi.com/groups/me/reports/2e4111d1-7a3c-4dd3-9088-d4ccb5e15cc8/ReportSection7001eb9b64898ac009b1?ctid=b3e5db5e-2944-4837-99f5-7488ace54319&amp;experience=power-bi" TargetMode="External"/><Relationship Id="rId1" Type="http://schemas.openxmlformats.org/officeDocument/2006/relationships/hyperlink" Target="https://app.powerbi.com/groups/me/reports/a399228a-5841-4df1-8511-5d44aac50ce4/ReportSectionb26b348a26ebe0744d82?ctid=b3e5db5e-2944-4837-99f5-7488ace54319&amp;experience=power-bi" TargetMode="External"/><Relationship Id="rId4" Type="http://schemas.openxmlformats.org/officeDocument/2006/relationships/hyperlink" Target="https://eur03.safelinks.protection.outlook.com/?url=https%3A%2F%2Fundp.service-now.com%2Fkb_view.do%3Fsysparm_article%3DKB0014914&amp;data=05%7C02%7Cmichelle.armfield%40undp.org%7C3797d0f77cc34840ce3308dcdf39a6fd%7Cb3e5db5e2944483799f57488ace54319%7C0%7C0%7C638630687370190348%7CUnknown%7CTWFpbGZsb3d8eyJWIjoiMC4wLjAwMDAiLCJQIjoiV2luMzIiLCJBTiI6Ik1haWwiLCJXVCI6Mn0%3D%7C0%7C%7C%7C&amp;sdata=2wiHDYTZ7ZZ2uHFcyFOMQ5PGrPqlPh%2FB%2FGfI4m%2Bsi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B4F319CB3014696A66E6B0B4C1108" ma:contentTypeVersion="4" ma:contentTypeDescription="Create a new document." ma:contentTypeScope="" ma:versionID="7a4aad270f7cda5d3c78c4b8b29370a7">
  <xsd:schema xmlns:xsd="http://www.w3.org/2001/XMLSchema" xmlns:xs="http://www.w3.org/2001/XMLSchema" xmlns:p="http://schemas.microsoft.com/office/2006/metadata/properties" xmlns:ns2="6de05343-c892-412a-bf69-5f6af73f76f1" targetNamespace="http://schemas.microsoft.com/office/2006/metadata/properties" ma:root="true" ma:fieldsID="9fa5a3fdc34849dad4621f3999c13b01" ns2:_="">
    <xsd:import namespace="6de05343-c892-412a-bf69-5f6af73f7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05343-c892-412a-bf69-5f6af73f7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4F82-E1C8-4408-B4B9-4F54252E0E24}">
  <ds:schemaRefs>
    <ds:schemaRef ds:uri="http://schemas.microsoft.com/sharepoint/v3/contenttype/forms"/>
  </ds:schemaRefs>
</ds:datastoreItem>
</file>

<file path=customXml/itemProps2.xml><?xml version="1.0" encoding="utf-8"?>
<ds:datastoreItem xmlns:ds="http://schemas.openxmlformats.org/officeDocument/2006/customXml" ds:itemID="{C7A37793-EF92-4328-B9F9-B36714CBE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05343-c892-412a-bf69-5f6af73f7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E767F-9E3C-4CD8-99BD-CBD25A9D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AECE2F-BC83-41F3-9B9E-D21C6F1A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77</Pages>
  <Words>39773</Words>
  <Characters>226712</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BMS/OFM</dc:creator>
  <cp:keywords/>
  <dc:description/>
  <cp:lastModifiedBy>Arilda Dragjoshi</cp:lastModifiedBy>
  <cp:revision>9</cp:revision>
  <cp:lastPrinted>2025-03-14T17:31:00Z</cp:lastPrinted>
  <dcterms:created xsi:type="dcterms:W3CDTF">2025-12-04T21:34:00Z</dcterms:created>
  <dcterms:modified xsi:type="dcterms:W3CDTF">2026-04-21T17:43:00Z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0x010100DEEB4F319CB3014696A66E6B0B4C1108</vt:lpwstr>
  </property>
</Properties>
</file>