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90099E" w:rsidRDefault="0090099E">
      <w:pPr>
        <w:ind w:left="2160" w:firstLine="720"/>
        <w:jc w:val="both"/>
        <w:rPr>
          <w:rFonts w:cs="Times New Roman"/>
          <w:b/>
        </w:rPr>
      </w:pPr>
    </w:p>
    <w:p w14:paraId="0E5BB2BC" w14:textId="77777777" w:rsidR="0090099E" w:rsidRDefault="00000000">
      <w:pPr>
        <w:jc w:val="both"/>
        <w:rPr>
          <w:rFonts w:cs="Times New Roman"/>
          <w:b/>
          <w:sz w:val="28"/>
          <w:szCs w:val="28"/>
        </w:rPr>
      </w:pPr>
      <w:r>
        <w:rPr>
          <w:rFonts w:cs="Times New Roman"/>
          <w:b/>
          <w:sz w:val="28"/>
          <w:szCs w:val="28"/>
        </w:rPr>
        <w:t>UNDP Interim Roster Rules of Procedure</w:t>
      </w:r>
    </w:p>
    <w:p w14:paraId="0A37501D" w14:textId="77777777" w:rsidR="0090099E" w:rsidRDefault="0090099E">
      <w:pPr>
        <w:ind w:firstLine="720"/>
        <w:jc w:val="both"/>
        <w:rPr>
          <w:rFonts w:cs="Times New Roman"/>
          <w:b/>
        </w:rPr>
      </w:pPr>
    </w:p>
    <w:p w14:paraId="2897A592" w14:textId="77777777" w:rsidR="0090099E" w:rsidRDefault="00000000">
      <w:pPr>
        <w:jc w:val="both"/>
        <w:rPr>
          <w:rFonts w:cs="Times New Roman"/>
          <w:b/>
        </w:rPr>
      </w:pPr>
      <w:r>
        <w:rPr>
          <w:rFonts w:cs="Times New Roman"/>
          <w:b/>
        </w:rPr>
        <w:t xml:space="preserve">Rationale </w:t>
      </w:r>
    </w:p>
    <w:p w14:paraId="5300C58F" w14:textId="1B26A7C9" w:rsidR="0090099E" w:rsidRDefault="034D9D41">
      <w:pPr>
        <w:pStyle w:val="ListParagraph"/>
        <w:numPr>
          <w:ilvl w:val="0"/>
          <w:numId w:val="1"/>
        </w:numPr>
        <w:jc w:val="both"/>
        <w:rPr>
          <w:rFonts w:cs="Times New Roman"/>
        </w:rPr>
      </w:pPr>
      <w:r w:rsidRPr="4A8C1DC5">
        <w:rPr>
          <w:rFonts w:cs="Times New Roman"/>
        </w:rPr>
        <w:t>BMS/OHR, in cooperation with BMS/</w:t>
      </w:r>
      <w:r w:rsidR="1FDB3F4A" w:rsidRPr="4A8C1DC5">
        <w:rPr>
          <w:rFonts w:cs="Times New Roman"/>
        </w:rPr>
        <w:t>ITM</w:t>
      </w:r>
      <w:r w:rsidRPr="4A8C1DC5">
        <w:rPr>
          <w:rFonts w:cs="Times New Roman"/>
        </w:rPr>
        <w:t xml:space="preserve">, is developing a new comprehensive recruitment system, E-recruit. This new system will facilitate the recruitment process at many different stages, such as screening, interview, CRB and the establishment of various rosters. Until this new system is fully operational, a provisional solution with the Interim Rosters Platform in Quantum is being offered. </w:t>
      </w:r>
    </w:p>
    <w:p w14:paraId="5DAB6C7B" w14:textId="77777777" w:rsidR="0090099E" w:rsidRDefault="0090099E">
      <w:pPr>
        <w:pStyle w:val="ListParagraph"/>
        <w:ind w:left="1080"/>
        <w:jc w:val="both"/>
        <w:rPr>
          <w:rFonts w:cs="Times New Roman"/>
        </w:rPr>
      </w:pPr>
    </w:p>
    <w:p w14:paraId="009F190A" w14:textId="3FA5B7B4" w:rsidR="0090099E" w:rsidRDefault="034D9D41">
      <w:pPr>
        <w:pStyle w:val="ListParagraph"/>
        <w:numPr>
          <w:ilvl w:val="0"/>
          <w:numId w:val="1"/>
        </w:numPr>
        <w:jc w:val="both"/>
        <w:rPr>
          <w:rFonts w:cs="Times New Roman"/>
        </w:rPr>
      </w:pPr>
      <w:r w:rsidRPr="4A8C1DC5">
        <w:rPr>
          <w:rFonts w:cs="Times New Roman"/>
        </w:rPr>
        <w:t>Since the launch of the Compliance Review Board (CRB) in July 2009, a pool of approximately 700 alternate candidates with expertise in various practice areas, have been brought to and endorsed by the CRB. These candidates in most cases are those that are recommended by the interview panel and endorsed by the CRB for selection in case the primary candidate is not available. This information is now being systematically made available to HR practitioners in the Interim Roster module in Quantum.</w:t>
      </w:r>
    </w:p>
    <w:p w14:paraId="0897C282" w14:textId="77777777" w:rsidR="0090099E" w:rsidRDefault="00000000">
      <w:pPr>
        <w:jc w:val="both"/>
        <w:rPr>
          <w:rFonts w:cs="Times New Roman"/>
          <w:b/>
        </w:rPr>
      </w:pPr>
      <w:r>
        <w:rPr>
          <w:rFonts w:cs="Times New Roman"/>
          <w:b/>
        </w:rPr>
        <w:t xml:space="preserve">Composition </w:t>
      </w:r>
    </w:p>
    <w:p w14:paraId="3361AD16" w14:textId="77777777" w:rsidR="0090099E" w:rsidRDefault="00000000">
      <w:pPr>
        <w:pStyle w:val="ListParagraph"/>
        <w:numPr>
          <w:ilvl w:val="0"/>
          <w:numId w:val="1"/>
        </w:numPr>
        <w:jc w:val="both"/>
        <w:rPr>
          <w:rFonts w:cs="Times New Roman"/>
        </w:rPr>
      </w:pPr>
      <w:r>
        <w:rPr>
          <w:rFonts w:cs="Times New Roman"/>
        </w:rPr>
        <w:t xml:space="preserve">The Interim rosters consist of internal and external alternate candidates for International Professionals Fixed Term Appointments (FTA) from P2-D1 that have been endorsed by the CRB. This group of personnel is the base for the interim roster. In addition, the roster includes staff returning from Secondment and other staff ready for immediate placement. </w:t>
      </w:r>
    </w:p>
    <w:p w14:paraId="25AD80AA" w14:textId="77777777" w:rsidR="0090099E" w:rsidRDefault="00000000">
      <w:pPr>
        <w:jc w:val="both"/>
        <w:rPr>
          <w:rFonts w:cs="Times New Roman"/>
          <w:b/>
        </w:rPr>
      </w:pPr>
      <w:r>
        <w:rPr>
          <w:rFonts w:cs="Times New Roman"/>
          <w:b/>
        </w:rPr>
        <w:t>Candidate Search</w:t>
      </w:r>
    </w:p>
    <w:p w14:paraId="43B56440" w14:textId="7441B810" w:rsidR="0090099E" w:rsidRDefault="034D9D41" w:rsidP="034D9D41">
      <w:pPr>
        <w:pStyle w:val="ListParagraph"/>
        <w:numPr>
          <w:ilvl w:val="0"/>
          <w:numId w:val="1"/>
        </w:numPr>
        <w:jc w:val="both"/>
        <w:rPr>
          <w:rFonts w:cs="Times New Roman"/>
        </w:rPr>
      </w:pPr>
      <w:r w:rsidRPr="4A8C1DC5">
        <w:rPr>
          <w:rFonts w:cs="Times New Roman"/>
        </w:rPr>
        <w:t xml:space="preserve">The search capabilities of the Interim Rosters Platform in Quantum allow the HR practitioner in the hiring unit to identify endorsed alternate candidates for a similar post than the one wishing to be filled. The data can be sorted by grade level and job title including functional area. </w:t>
      </w:r>
    </w:p>
    <w:p w14:paraId="02EB378F" w14:textId="77777777" w:rsidR="0090099E" w:rsidRDefault="0090099E">
      <w:pPr>
        <w:pStyle w:val="ListParagraph"/>
        <w:ind w:left="1080"/>
        <w:jc w:val="both"/>
        <w:rPr>
          <w:rFonts w:cs="Times New Roman"/>
          <w:bCs/>
        </w:rPr>
      </w:pPr>
    </w:p>
    <w:p w14:paraId="0898DAE7" w14:textId="4A68F122" w:rsidR="0090099E" w:rsidRDefault="487A54BB" w:rsidP="487A54BB">
      <w:pPr>
        <w:pStyle w:val="ListParagraph"/>
        <w:numPr>
          <w:ilvl w:val="0"/>
          <w:numId w:val="1"/>
        </w:numPr>
        <w:jc w:val="both"/>
        <w:rPr>
          <w:color w:val="0000FF"/>
          <w:lang w:val="en-GB"/>
        </w:rPr>
      </w:pPr>
      <w:r w:rsidRPr="487A54BB">
        <w:rPr>
          <w:rFonts w:cs="Times New Roman"/>
        </w:rPr>
        <w:t>Before</w:t>
      </w:r>
      <w:r w:rsidRPr="487A54BB">
        <w:rPr>
          <w:rFonts w:cs="Times New Roman"/>
          <w:lang w:val="en-GB"/>
        </w:rPr>
        <w:t xml:space="preserve"> contacting the candidates in the roster, the hiring unit in consultation of the OHR Business Part</w:t>
      </w:r>
      <w:r w:rsidR="004F2C11">
        <w:rPr>
          <w:rFonts w:cs="Times New Roman"/>
          <w:lang w:val="en-GB"/>
        </w:rPr>
        <w:t>n</w:t>
      </w:r>
      <w:r w:rsidRPr="487A54BB">
        <w:rPr>
          <w:rFonts w:cs="Times New Roman"/>
          <w:lang w:val="en-GB"/>
        </w:rPr>
        <w:t>er in OHR/BMS, should determine if the position to be filled is similar to the ones in the rosters.</w:t>
      </w:r>
      <w:r w:rsidRPr="487A54BB">
        <w:rPr>
          <w:color w:val="0000FF"/>
          <w:lang w:val="en-GB"/>
        </w:rPr>
        <w:t xml:space="preserve"> </w:t>
      </w:r>
      <w:r w:rsidRPr="487A54BB">
        <w:rPr>
          <w:rFonts w:cs="Times New Roman"/>
        </w:rPr>
        <w:t>To do so, the hiring unit may request the job description by sending a request via their OHR Business Partner</w:t>
      </w:r>
      <w:r w:rsidRPr="487A54BB">
        <w:rPr>
          <w:rStyle w:val="Hyperlink"/>
          <w:rFonts w:cs="Times New Roman"/>
        </w:rPr>
        <w:t xml:space="preserve">. </w:t>
      </w:r>
      <w:r w:rsidRPr="487A54BB">
        <w:rPr>
          <w:rFonts w:cs="Times New Roman"/>
        </w:rPr>
        <w:t xml:space="preserve">A job description is determined to be similar if it fulfills the following criteria: </w:t>
      </w:r>
    </w:p>
    <w:p w14:paraId="6A05A809" w14:textId="77777777" w:rsidR="0090099E" w:rsidRDefault="0090099E">
      <w:pPr>
        <w:pStyle w:val="ListParagraph"/>
        <w:rPr>
          <w:iCs/>
          <w:color w:val="0000FF"/>
          <w:lang w:val="en-GB"/>
        </w:rPr>
      </w:pPr>
    </w:p>
    <w:p w14:paraId="6CF26DFA" w14:textId="77777777" w:rsidR="0090099E" w:rsidRDefault="00000000">
      <w:pPr>
        <w:pStyle w:val="ListParagraph"/>
        <w:numPr>
          <w:ilvl w:val="0"/>
          <w:numId w:val="2"/>
        </w:numPr>
        <w:ind w:left="1800"/>
        <w:rPr>
          <w:rFonts w:cs="Times New Roman"/>
        </w:rPr>
      </w:pPr>
      <w:r>
        <w:rPr>
          <w:rFonts w:cs="Times New Roman"/>
        </w:rPr>
        <w:t>Same Grade</w:t>
      </w:r>
    </w:p>
    <w:p w14:paraId="3E40DB57" w14:textId="18DB600E" w:rsidR="0090099E" w:rsidRDefault="034D9D41">
      <w:pPr>
        <w:pStyle w:val="ListParagraph"/>
        <w:numPr>
          <w:ilvl w:val="0"/>
          <w:numId w:val="2"/>
        </w:numPr>
        <w:ind w:left="1800"/>
        <w:rPr>
          <w:rFonts w:cs="Times New Roman"/>
        </w:rPr>
      </w:pPr>
      <w:r w:rsidRPr="4A8C1DC5">
        <w:rPr>
          <w:rFonts w:cs="Times New Roman"/>
        </w:rPr>
        <w:t>Same Quantum title</w:t>
      </w:r>
    </w:p>
    <w:p w14:paraId="2B39E285" w14:textId="77777777" w:rsidR="0090099E" w:rsidRDefault="00000000">
      <w:pPr>
        <w:pStyle w:val="ListParagraph"/>
        <w:numPr>
          <w:ilvl w:val="0"/>
          <w:numId w:val="2"/>
        </w:numPr>
        <w:ind w:left="1800"/>
        <w:rPr>
          <w:rFonts w:cs="Times New Roman"/>
        </w:rPr>
      </w:pPr>
      <w:r>
        <w:rPr>
          <w:rFonts w:cs="Times New Roman"/>
        </w:rPr>
        <w:lastRenderedPageBreak/>
        <w:t xml:space="preserve">All but one same function </w:t>
      </w:r>
    </w:p>
    <w:p w14:paraId="41EA80A9" w14:textId="77777777" w:rsidR="0090099E" w:rsidRDefault="00000000">
      <w:pPr>
        <w:pStyle w:val="ListParagraph"/>
        <w:numPr>
          <w:ilvl w:val="0"/>
          <w:numId w:val="2"/>
        </w:numPr>
        <w:ind w:left="1800"/>
        <w:rPr>
          <w:rFonts w:cs="Times New Roman"/>
        </w:rPr>
      </w:pPr>
      <w:r>
        <w:rPr>
          <w:rFonts w:cs="Times New Roman"/>
        </w:rPr>
        <w:t>Similar functional competencies and</w:t>
      </w:r>
    </w:p>
    <w:p w14:paraId="419836D8" w14:textId="77777777" w:rsidR="0090099E" w:rsidRDefault="00000000">
      <w:pPr>
        <w:pStyle w:val="ListParagraph"/>
        <w:numPr>
          <w:ilvl w:val="0"/>
          <w:numId w:val="2"/>
        </w:numPr>
        <w:ind w:left="1800"/>
        <w:rPr>
          <w:rFonts w:cs="Times New Roman"/>
        </w:rPr>
      </w:pPr>
      <w:r>
        <w:rPr>
          <w:rFonts w:cs="Times New Roman"/>
        </w:rPr>
        <w:t>Similar educational requirement</w:t>
      </w:r>
    </w:p>
    <w:p w14:paraId="4B78FF06" w14:textId="77777777" w:rsidR="0090099E" w:rsidRDefault="00000000">
      <w:pPr>
        <w:jc w:val="both"/>
        <w:rPr>
          <w:rFonts w:cs="Times New Roman"/>
          <w:b/>
        </w:rPr>
      </w:pPr>
      <w:r>
        <w:rPr>
          <w:rFonts w:cs="Times New Roman"/>
          <w:b/>
        </w:rPr>
        <w:t>Information Request and Vacancy Announcement</w:t>
      </w:r>
    </w:p>
    <w:p w14:paraId="286AE6C7" w14:textId="41D197B2" w:rsidR="0090099E" w:rsidRDefault="487A54BB" w:rsidP="487A54BB">
      <w:pPr>
        <w:pStyle w:val="ListParagraph"/>
        <w:numPr>
          <w:ilvl w:val="0"/>
          <w:numId w:val="1"/>
        </w:numPr>
        <w:jc w:val="both"/>
        <w:rPr>
          <w:rFonts w:cs="Times New Roman"/>
        </w:rPr>
      </w:pPr>
      <w:r w:rsidRPr="487A54BB">
        <w:rPr>
          <w:rFonts w:cs="Times New Roman"/>
        </w:rPr>
        <w:t>The hiring unit may request information about a candidate(s) in a roster before or after a vacancy has been announced. After the hiring unit has ensured that the vacancy matches one of the positions in the rosters, it may request further information such as the CV, interview report minutes, and reference checks of the candidates endorsed for the matched position. A request form signed by the Head of Office or his designated official should be submitted to the OHR Business partner. This information should be treated as confidential.</w:t>
      </w:r>
    </w:p>
    <w:p w14:paraId="5A39BBE3" w14:textId="77777777" w:rsidR="0090099E" w:rsidRDefault="0090099E">
      <w:pPr>
        <w:pStyle w:val="ListParagraph"/>
        <w:ind w:left="1080"/>
        <w:jc w:val="both"/>
        <w:rPr>
          <w:rFonts w:cs="Times New Roman"/>
          <w:bCs/>
        </w:rPr>
      </w:pPr>
    </w:p>
    <w:p w14:paraId="26B4FEF4" w14:textId="77777777" w:rsidR="0090099E" w:rsidRDefault="00000000">
      <w:pPr>
        <w:pStyle w:val="ListParagraph"/>
        <w:numPr>
          <w:ilvl w:val="0"/>
          <w:numId w:val="1"/>
        </w:numPr>
        <w:jc w:val="both"/>
        <w:rPr>
          <w:rFonts w:cs="Times New Roman"/>
          <w:bCs/>
        </w:rPr>
      </w:pPr>
      <w:r>
        <w:rPr>
          <w:rFonts w:cs="Times New Roman"/>
          <w:bCs/>
        </w:rPr>
        <w:t>The Vacancy Announcement would need to be published internally for a minimum of one week to allow for internal candidates to apply</w:t>
      </w:r>
      <w:r>
        <w:rPr>
          <w:rStyle w:val="FootnoteReference"/>
          <w:rFonts w:cs="Times New Roman"/>
          <w:bCs/>
        </w:rPr>
        <w:footnoteReference w:id="1"/>
      </w:r>
      <w:r>
        <w:rPr>
          <w:rFonts w:cs="Times New Roman"/>
          <w:bCs/>
        </w:rPr>
        <w:t>. The rationale behind this requirement is that at the time of the advertisement of the original position, UNDP had not disclosed that applicants were going to be retained for a roster. Therefore, due process must be followed to allow internal candidates to apply.</w:t>
      </w:r>
    </w:p>
    <w:p w14:paraId="41C8F396" w14:textId="77777777" w:rsidR="0090099E" w:rsidRDefault="0090099E">
      <w:pPr>
        <w:pStyle w:val="ListParagraph"/>
        <w:rPr>
          <w:rFonts w:cs="Times New Roman"/>
          <w:bCs/>
        </w:rPr>
      </w:pPr>
    </w:p>
    <w:p w14:paraId="771B823F" w14:textId="77777777" w:rsidR="0090099E" w:rsidRDefault="00000000">
      <w:pPr>
        <w:pStyle w:val="ListParagraph"/>
        <w:numPr>
          <w:ilvl w:val="0"/>
          <w:numId w:val="1"/>
        </w:numPr>
        <w:jc w:val="both"/>
        <w:rPr>
          <w:rFonts w:cs="Times New Roman"/>
          <w:bCs/>
        </w:rPr>
      </w:pPr>
      <w:r>
        <w:rPr>
          <w:rFonts w:cs="Times New Roman"/>
          <w:bCs/>
        </w:rPr>
        <w:t xml:space="preserve">The status of candidates that fit the pre-determined requirements of a post, and are under consideration will have to be marked as “Pipelined”. Candidates will retain this status for 30 days to allow the candidate to be assessed by the hiring unit. After this period either become automatically “Available” for consideration by other hiring units or be marked as “Selected” by the hiring unit as applicable. </w:t>
      </w:r>
    </w:p>
    <w:p w14:paraId="55D2CCFC" w14:textId="77777777" w:rsidR="0090099E" w:rsidRDefault="00000000">
      <w:pPr>
        <w:jc w:val="both"/>
        <w:rPr>
          <w:rFonts w:cs="Times New Roman"/>
          <w:b/>
        </w:rPr>
      </w:pPr>
      <w:r>
        <w:rPr>
          <w:rFonts w:cs="Times New Roman"/>
          <w:b/>
        </w:rPr>
        <w:t xml:space="preserve">Assessment and Selection </w:t>
      </w:r>
    </w:p>
    <w:p w14:paraId="211758B0" w14:textId="77777777" w:rsidR="0090099E" w:rsidRDefault="00000000">
      <w:pPr>
        <w:pStyle w:val="ListParagraph"/>
        <w:numPr>
          <w:ilvl w:val="0"/>
          <w:numId w:val="1"/>
        </w:numPr>
        <w:jc w:val="both"/>
        <w:rPr>
          <w:rFonts w:cs="Times New Roman"/>
        </w:rPr>
      </w:pPr>
      <w:r>
        <w:rPr>
          <w:rFonts w:cs="Times New Roman"/>
          <w:bCs/>
        </w:rPr>
        <w:t>If qualified internal candidates apply for the position, the hiring unit must c</w:t>
      </w:r>
      <w:r>
        <w:rPr>
          <w:rFonts w:cs="Times New Roman"/>
        </w:rPr>
        <w:t xml:space="preserve">onduct all </w:t>
      </w:r>
      <w:r>
        <w:rPr>
          <w:rFonts w:cs="Times New Roman"/>
          <w:bCs/>
        </w:rPr>
        <w:t>the</w:t>
      </w:r>
      <w:r>
        <w:rPr>
          <w:rFonts w:cs="Times New Roman"/>
        </w:rPr>
        <w:t xml:space="preserve"> assessment methodologies such as Competency Based Interview, technical test, psychometrics test or any additional testing, as stipulated in the Hiring Unit Recruitment Strategy for both the applicants through the internal vacancy announcement as well as the candidates from the roster. </w:t>
      </w:r>
    </w:p>
    <w:p w14:paraId="72A3D3EC" w14:textId="77777777" w:rsidR="0090099E" w:rsidRDefault="0090099E">
      <w:pPr>
        <w:pStyle w:val="ListParagraph"/>
        <w:ind w:left="1080"/>
        <w:jc w:val="both"/>
        <w:rPr>
          <w:rFonts w:cs="Times New Roman"/>
          <w:bCs/>
        </w:rPr>
      </w:pPr>
    </w:p>
    <w:p w14:paraId="153A47BA" w14:textId="77777777" w:rsidR="0090099E" w:rsidRDefault="00000000">
      <w:pPr>
        <w:pStyle w:val="ListParagraph"/>
        <w:numPr>
          <w:ilvl w:val="0"/>
          <w:numId w:val="1"/>
        </w:numPr>
        <w:jc w:val="both"/>
        <w:rPr>
          <w:rFonts w:cs="Times New Roman"/>
          <w:bCs/>
        </w:rPr>
      </w:pPr>
      <w:r>
        <w:rPr>
          <w:rFonts w:cs="Times New Roman"/>
          <w:bCs/>
        </w:rPr>
        <w:t xml:space="preserve">When as a result of the one week internal advertisement, </w:t>
      </w:r>
      <w:r>
        <w:rPr>
          <w:rFonts w:cs="Times New Roman"/>
          <w:bCs/>
          <w:i/>
        </w:rPr>
        <w:t>no internal candidate meets the minimum eligibility criteria to be placed in the short-list</w:t>
      </w:r>
      <w:r>
        <w:rPr>
          <w:rFonts w:cs="Times New Roman"/>
          <w:bCs/>
        </w:rPr>
        <w:t xml:space="preserve">; the hiring unit may proceed with the assessment of the candidate(s) from the Interim Roster. The hiring manager may conduct a streamlined assessment in the form of desk review and face to face </w:t>
      </w:r>
      <w:r>
        <w:rPr>
          <w:rFonts w:cs="Times New Roman"/>
          <w:bCs/>
        </w:rPr>
        <w:lastRenderedPageBreak/>
        <w:t>interview/videoconference, with the presence of an HR representative, in lieu of a Competency Based Interview.</w:t>
      </w:r>
    </w:p>
    <w:p w14:paraId="2C092C94" w14:textId="77777777" w:rsidR="0090099E" w:rsidRDefault="00000000">
      <w:pPr>
        <w:jc w:val="both"/>
        <w:rPr>
          <w:rFonts w:cs="Times New Roman"/>
          <w:b/>
        </w:rPr>
      </w:pPr>
      <w:r>
        <w:rPr>
          <w:rFonts w:cs="Times New Roman"/>
          <w:b/>
        </w:rPr>
        <w:t>Priority Considerations and Roster Tiers</w:t>
      </w:r>
    </w:p>
    <w:p w14:paraId="6EFDAD94" w14:textId="77777777" w:rsidR="0090099E" w:rsidRDefault="00000000">
      <w:pPr>
        <w:pStyle w:val="ListParagraph"/>
        <w:numPr>
          <w:ilvl w:val="0"/>
          <w:numId w:val="1"/>
        </w:numPr>
        <w:jc w:val="both"/>
        <w:rPr>
          <w:rFonts w:cs="Times New Roman"/>
          <w:bCs/>
        </w:rPr>
      </w:pPr>
      <w:r>
        <w:rPr>
          <w:rFonts w:cs="Times New Roman"/>
          <w:bCs/>
        </w:rPr>
        <w:t>In full compliance with Section 4.0 of the revised Recruitment and Selection Framework covering corporate priorities, full regard to UNDP internal candidates, order of retention in cases of abolition of post or reduction of staff, and diversity provisions, candidates that fit the pre-defined requirements for a post as per the job description will be shown and should be given full consideration in the following order:</w:t>
      </w:r>
    </w:p>
    <w:p w14:paraId="0D0B940D" w14:textId="77777777" w:rsidR="0090099E" w:rsidRDefault="0090099E">
      <w:pPr>
        <w:pStyle w:val="ListParagraph"/>
        <w:ind w:left="1080"/>
        <w:jc w:val="both"/>
        <w:rPr>
          <w:rFonts w:cs="Times New Roman"/>
          <w:bCs/>
        </w:rPr>
      </w:pPr>
    </w:p>
    <w:p w14:paraId="2A73A685" w14:textId="77777777" w:rsidR="0090099E" w:rsidRDefault="00000000">
      <w:pPr>
        <w:pStyle w:val="ListParagraph"/>
        <w:numPr>
          <w:ilvl w:val="0"/>
          <w:numId w:val="3"/>
        </w:numPr>
        <w:jc w:val="both"/>
        <w:rPr>
          <w:rFonts w:cs="Times New Roman"/>
        </w:rPr>
      </w:pPr>
      <w:r>
        <w:rPr>
          <w:rFonts w:cs="Times New Roman"/>
        </w:rPr>
        <w:t xml:space="preserve">Internal: </w:t>
      </w:r>
    </w:p>
    <w:p w14:paraId="0E27B00A" w14:textId="77777777" w:rsidR="0090099E" w:rsidRDefault="0090099E">
      <w:pPr>
        <w:pStyle w:val="ListParagraph"/>
        <w:ind w:left="1800"/>
        <w:jc w:val="both"/>
        <w:rPr>
          <w:rFonts w:cs="Times New Roman"/>
        </w:rPr>
      </w:pPr>
    </w:p>
    <w:p w14:paraId="1D7E3C2A" w14:textId="77777777" w:rsidR="0090099E" w:rsidRDefault="00000000">
      <w:pPr>
        <w:pStyle w:val="ListParagraph"/>
        <w:numPr>
          <w:ilvl w:val="1"/>
          <w:numId w:val="4"/>
        </w:numPr>
        <w:ind w:left="2340" w:hanging="180"/>
        <w:jc w:val="both"/>
        <w:rPr>
          <w:rFonts w:cs="Times New Roman"/>
        </w:rPr>
      </w:pPr>
      <w:r>
        <w:rPr>
          <w:rFonts w:cs="Times New Roman"/>
        </w:rPr>
        <w:t>Staff members ready for immediate placement</w:t>
      </w:r>
    </w:p>
    <w:p w14:paraId="79C70B18" w14:textId="77777777" w:rsidR="0090099E" w:rsidRDefault="00000000">
      <w:pPr>
        <w:pStyle w:val="ListParagraph"/>
        <w:numPr>
          <w:ilvl w:val="1"/>
          <w:numId w:val="4"/>
        </w:numPr>
        <w:ind w:left="2340" w:hanging="180"/>
        <w:jc w:val="both"/>
        <w:rPr>
          <w:rFonts w:cs="Times New Roman"/>
        </w:rPr>
      </w:pPr>
      <w:r>
        <w:rPr>
          <w:rFonts w:cs="Times New Roman"/>
        </w:rPr>
        <w:t>Staff returning from secondment or loan</w:t>
      </w:r>
    </w:p>
    <w:p w14:paraId="45103D2B" w14:textId="77777777" w:rsidR="0090099E" w:rsidRDefault="00000000">
      <w:pPr>
        <w:pStyle w:val="ListParagraph"/>
        <w:numPr>
          <w:ilvl w:val="1"/>
          <w:numId w:val="4"/>
        </w:numPr>
        <w:ind w:left="2340" w:hanging="180"/>
        <w:jc w:val="both"/>
        <w:rPr>
          <w:rFonts w:cs="Times New Roman"/>
        </w:rPr>
      </w:pPr>
      <w:r>
        <w:rPr>
          <w:rFonts w:cs="Times New Roman"/>
        </w:rPr>
        <w:t xml:space="preserve">Staff members holding a Permanent Appointment (PA) and Fixed Term Appointment (FTA) </w:t>
      </w:r>
    </w:p>
    <w:p w14:paraId="60061E4C" w14:textId="77777777" w:rsidR="0090099E" w:rsidRDefault="0090099E">
      <w:pPr>
        <w:pStyle w:val="ListParagraph"/>
        <w:ind w:left="1440"/>
        <w:jc w:val="both"/>
        <w:rPr>
          <w:rFonts w:cs="Times New Roman"/>
        </w:rPr>
      </w:pPr>
    </w:p>
    <w:p w14:paraId="5AE0C9B4" w14:textId="77777777" w:rsidR="0090099E" w:rsidRDefault="00000000">
      <w:pPr>
        <w:pStyle w:val="ListParagraph"/>
        <w:numPr>
          <w:ilvl w:val="0"/>
          <w:numId w:val="3"/>
        </w:numPr>
        <w:jc w:val="both"/>
        <w:rPr>
          <w:rFonts w:cs="Times New Roman"/>
        </w:rPr>
      </w:pPr>
      <w:r>
        <w:rPr>
          <w:rFonts w:cs="Times New Roman"/>
        </w:rPr>
        <w:t xml:space="preserve">External: </w:t>
      </w:r>
    </w:p>
    <w:p w14:paraId="44EAFD9C" w14:textId="77777777" w:rsidR="0090099E" w:rsidRDefault="0090099E">
      <w:pPr>
        <w:pStyle w:val="ListParagraph"/>
        <w:ind w:left="1710"/>
        <w:jc w:val="both"/>
        <w:rPr>
          <w:rFonts w:cs="Times New Roman"/>
        </w:rPr>
      </w:pPr>
    </w:p>
    <w:p w14:paraId="21C54CC6" w14:textId="77777777" w:rsidR="0090099E" w:rsidRDefault="00000000">
      <w:pPr>
        <w:pStyle w:val="ListParagraph"/>
        <w:numPr>
          <w:ilvl w:val="0"/>
          <w:numId w:val="5"/>
        </w:numPr>
        <w:ind w:left="2340" w:hanging="180"/>
        <w:jc w:val="both"/>
        <w:rPr>
          <w:rFonts w:cs="Times New Roman"/>
        </w:rPr>
      </w:pPr>
      <w:r>
        <w:rPr>
          <w:rFonts w:cs="Times New Roman"/>
        </w:rPr>
        <w:t>Staff members  holding a Temporary Appointment (TA) or a PA or FTA of entities in the UN Common system</w:t>
      </w:r>
    </w:p>
    <w:p w14:paraId="252BB6AD" w14:textId="77777777" w:rsidR="0090099E" w:rsidRDefault="00000000">
      <w:pPr>
        <w:pStyle w:val="ListParagraph"/>
        <w:numPr>
          <w:ilvl w:val="0"/>
          <w:numId w:val="5"/>
        </w:numPr>
        <w:ind w:left="2340" w:hanging="180"/>
        <w:jc w:val="both"/>
        <w:rPr>
          <w:rFonts w:cs="Times New Roman"/>
          <w:bCs/>
        </w:rPr>
      </w:pPr>
      <w:r>
        <w:rPr>
          <w:rFonts w:cs="Times New Roman"/>
        </w:rPr>
        <w:t>Any other external candidate</w:t>
      </w:r>
    </w:p>
    <w:p w14:paraId="4B94D5A5" w14:textId="77777777" w:rsidR="0090099E" w:rsidRDefault="0090099E">
      <w:pPr>
        <w:pStyle w:val="ListParagraph"/>
        <w:spacing w:after="0" w:line="240" w:lineRule="auto"/>
        <w:ind w:left="360"/>
        <w:jc w:val="both"/>
        <w:rPr>
          <w:rFonts w:cs="Times New Roman"/>
          <w:b/>
          <w:bCs/>
        </w:rPr>
      </w:pPr>
    </w:p>
    <w:p w14:paraId="2E60A158" w14:textId="77777777" w:rsidR="0090099E" w:rsidRDefault="00000000">
      <w:pPr>
        <w:jc w:val="both"/>
        <w:rPr>
          <w:rFonts w:cs="Times New Roman"/>
          <w:b/>
        </w:rPr>
      </w:pPr>
      <w:r>
        <w:rPr>
          <w:rFonts w:cs="Times New Roman"/>
          <w:b/>
        </w:rPr>
        <w:t>Record of Selection Recommendation and Accountability</w:t>
      </w:r>
    </w:p>
    <w:p w14:paraId="72548860" w14:textId="77777777" w:rsidR="0090099E" w:rsidRDefault="00000000">
      <w:pPr>
        <w:pStyle w:val="ListParagraph"/>
        <w:numPr>
          <w:ilvl w:val="0"/>
          <w:numId w:val="1"/>
        </w:numPr>
        <w:spacing w:after="0" w:line="240" w:lineRule="auto"/>
        <w:jc w:val="both"/>
        <w:rPr>
          <w:rFonts w:cs="Times New Roman"/>
        </w:rPr>
      </w:pPr>
      <w:r>
        <w:rPr>
          <w:rFonts w:cs="Times New Roman"/>
        </w:rPr>
        <w:t>The hiring unit must document the process leading to the selection recommendation and submit their case for endorsement either to the CRB or the Director of OHR as applicable:</w:t>
      </w:r>
    </w:p>
    <w:p w14:paraId="3DEEC669" w14:textId="77777777" w:rsidR="0090099E" w:rsidRDefault="0090099E">
      <w:pPr>
        <w:spacing w:after="0" w:line="240" w:lineRule="auto"/>
        <w:ind w:left="360"/>
        <w:jc w:val="both"/>
        <w:rPr>
          <w:rFonts w:cs="Times New Roman"/>
        </w:rPr>
      </w:pPr>
    </w:p>
    <w:p w14:paraId="01AB5055" w14:textId="77777777" w:rsidR="0090099E" w:rsidRDefault="00000000">
      <w:pPr>
        <w:pStyle w:val="ListParagraph"/>
        <w:numPr>
          <w:ilvl w:val="0"/>
          <w:numId w:val="1"/>
        </w:numPr>
        <w:jc w:val="both"/>
        <w:rPr>
          <w:rFonts w:cs="Times New Roman"/>
          <w:bCs/>
          <w:color w:val="0F03AD"/>
        </w:rPr>
      </w:pPr>
      <w:r>
        <w:rPr>
          <w:rFonts w:cs="Times New Roman"/>
          <w:bCs/>
        </w:rPr>
        <w:t xml:space="preserve">If as a result of the internal advertisement, the selected primary or alternate candidate’s grade is at a </w:t>
      </w:r>
      <w:r>
        <w:rPr>
          <w:rFonts w:cs="Times New Roman"/>
          <w:b/>
          <w:bCs/>
          <w:i/>
        </w:rPr>
        <w:t>lower level</w:t>
      </w:r>
      <w:r>
        <w:rPr>
          <w:rFonts w:cs="Times New Roman"/>
          <w:bCs/>
        </w:rPr>
        <w:t xml:space="preserve"> than the post being advertised, or is a UNDP staff member holding an FTA whose initial appointments on 200-series Staff Rules was not reviewed by the Appointment (and Promotion) Board (APB/AB), the hiring unit must present the case to the CRB for endorsement along with all the necessary documentation as per the current CRB </w:t>
      </w:r>
      <w:hyperlink r:id="rId12" w:history="1">
        <w:r>
          <w:rPr>
            <w:rStyle w:val="Hyperlink"/>
            <w:rFonts w:cs="Times New Roman"/>
            <w:bCs/>
          </w:rPr>
          <w:t>ToRs</w:t>
        </w:r>
      </w:hyperlink>
      <w:r>
        <w:rPr>
          <w:rFonts w:cs="Times New Roman"/>
          <w:bCs/>
        </w:rPr>
        <w:t>.</w:t>
      </w:r>
      <w:r>
        <w:rPr>
          <w:rFonts w:cs="Times New Roman"/>
          <w:bCs/>
          <w:color w:val="0F03AD"/>
        </w:rPr>
        <w:t xml:space="preserve"> </w:t>
      </w:r>
    </w:p>
    <w:p w14:paraId="3656B9AB" w14:textId="77777777" w:rsidR="0090099E" w:rsidRDefault="0090099E">
      <w:pPr>
        <w:pStyle w:val="ListParagraph"/>
        <w:rPr>
          <w:rFonts w:cs="Times New Roman"/>
          <w:bCs/>
          <w:color w:val="0F03AD"/>
        </w:rPr>
      </w:pPr>
    </w:p>
    <w:p w14:paraId="13EBB803" w14:textId="1EF9BF7A" w:rsidR="0090099E" w:rsidRDefault="487A54BB">
      <w:pPr>
        <w:pStyle w:val="ListParagraph"/>
        <w:numPr>
          <w:ilvl w:val="0"/>
          <w:numId w:val="1"/>
        </w:numPr>
        <w:jc w:val="both"/>
        <w:rPr>
          <w:rFonts w:cs="Times New Roman"/>
        </w:rPr>
      </w:pPr>
      <w:r w:rsidRPr="487A54BB">
        <w:rPr>
          <w:rFonts w:cs="Times New Roman"/>
        </w:rPr>
        <w:t>If the selected primary or alternate is a candidate from the roster, the hiring unit does not need to present it to the CRB for endorsement. Instead, the hiring unit will have to present the case to the Director of OHR by filling out the appropriate forms and attaching all the relevant supporting documentation including the considerations given to internal candidates. The following documents should accompany the submission (Please send an electronic copy to the respective OHR Business partner.:</w:t>
      </w:r>
    </w:p>
    <w:p w14:paraId="45FB0818" w14:textId="77777777" w:rsidR="0090099E" w:rsidRDefault="0090099E">
      <w:pPr>
        <w:pStyle w:val="ListParagraph"/>
        <w:rPr>
          <w:rFonts w:cs="Times New Roman"/>
        </w:rPr>
      </w:pPr>
    </w:p>
    <w:p w14:paraId="7BA3EE22" w14:textId="77777777" w:rsidR="0090099E" w:rsidRDefault="00000000">
      <w:pPr>
        <w:pStyle w:val="ListParagraph"/>
        <w:numPr>
          <w:ilvl w:val="2"/>
          <w:numId w:val="4"/>
        </w:numPr>
        <w:ind w:left="1800"/>
        <w:jc w:val="both"/>
        <w:rPr>
          <w:rFonts w:cs="Times New Roman"/>
        </w:rPr>
      </w:pPr>
      <w:r>
        <w:rPr>
          <w:rFonts w:cs="Times New Roman"/>
        </w:rPr>
        <w:t xml:space="preserve">Interim Roster Submission Form </w:t>
      </w:r>
    </w:p>
    <w:p w14:paraId="6C9C8814" w14:textId="77777777" w:rsidR="0090099E" w:rsidRDefault="00000000">
      <w:pPr>
        <w:pStyle w:val="ListParagraph"/>
        <w:numPr>
          <w:ilvl w:val="2"/>
          <w:numId w:val="4"/>
        </w:numPr>
        <w:ind w:left="1800"/>
        <w:jc w:val="both"/>
        <w:rPr>
          <w:rFonts w:cs="Times New Roman"/>
        </w:rPr>
      </w:pPr>
      <w:r>
        <w:rPr>
          <w:rFonts w:cs="Times New Roman"/>
        </w:rPr>
        <w:t xml:space="preserve">Detailed Jobsite Long/Short list report  </w:t>
      </w:r>
    </w:p>
    <w:p w14:paraId="7F04BCCC" w14:textId="77777777" w:rsidR="0090099E" w:rsidRDefault="00000000">
      <w:pPr>
        <w:pStyle w:val="ListParagraph"/>
        <w:numPr>
          <w:ilvl w:val="2"/>
          <w:numId w:val="4"/>
        </w:numPr>
        <w:tabs>
          <w:tab w:val="left" w:pos="3690"/>
        </w:tabs>
        <w:ind w:left="1800"/>
        <w:jc w:val="both"/>
        <w:rPr>
          <w:rFonts w:cs="Times New Roman"/>
        </w:rPr>
      </w:pPr>
      <w:r>
        <w:rPr>
          <w:rFonts w:cs="Times New Roman"/>
        </w:rPr>
        <w:t xml:space="preserve">Desk Review and Interview Minutes </w:t>
      </w:r>
    </w:p>
    <w:p w14:paraId="049F31CB" w14:textId="77777777" w:rsidR="0090099E" w:rsidRDefault="0090099E">
      <w:pPr>
        <w:pStyle w:val="ListParagraph"/>
        <w:autoSpaceDE w:val="0"/>
        <w:autoSpaceDN w:val="0"/>
        <w:adjustRightInd w:val="0"/>
        <w:spacing w:after="0" w:line="240" w:lineRule="auto"/>
        <w:ind w:left="360"/>
        <w:jc w:val="both"/>
        <w:rPr>
          <w:rFonts w:cs="Times New Roman"/>
        </w:rPr>
      </w:pPr>
    </w:p>
    <w:p w14:paraId="5317F6E5" w14:textId="77777777" w:rsidR="0090099E" w:rsidRDefault="00000000">
      <w:pPr>
        <w:pStyle w:val="ListParagraph"/>
        <w:numPr>
          <w:ilvl w:val="0"/>
          <w:numId w:val="1"/>
        </w:numPr>
        <w:jc w:val="both"/>
        <w:rPr>
          <w:rFonts w:cs="Times New Roman"/>
        </w:rPr>
      </w:pPr>
      <w:r>
        <w:rPr>
          <w:rFonts w:cs="Times New Roman"/>
          <w:bCs/>
        </w:rPr>
        <w:t>Candidates whose selection would entail a lateral move must be presented for the approval of the Director of OHR/BMS by submitting the Reassignment through Competitive Process form as per the current procedures.</w:t>
      </w:r>
    </w:p>
    <w:p w14:paraId="53128261" w14:textId="77777777" w:rsidR="0090099E" w:rsidRDefault="0090099E">
      <w:pPr>
        <w:spacing w:after="0" w:line="240" w:lineRule="auto"/>
        <w:ind w:left="360"/>
        <w:jc w:val="both"/>
        <w:rPr>
          <w:rFonts w:cs="Times New Roman"/>
        </w:rPr>
      </w:pPr>
    </w:p>
    <w:p w14:paraId="62486C05" w14:textId="77777777" w:rsidR="0090099E" w:rsidRDefault="0090099E">
      <w:pPr>
        <w:spacing w:after="0" w:line="240" w:lineRule="auto"/>
        <w:ind w:left="-360"/>
        <w:jc w:val="both"/>
        <w:rPr>
          <w:iCs/>
          <w:color w:val="FF0000"/>
          <w:lang w:val="en-GB"/>
        </w:rPr>
      </w:pPr>
    </w:p>
    <w:p w14:paraId="4101652C" w14:textId="77777777" w:rsidR="0090099E" w:rsidRDefault="0090099E"/>
    <w:sectPr w:rsidR="0090099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CFBC1" w14:textId="77777777" w:rsidR="000E4450" w:rsidRDefault="000E4450">
      <w:pPr>
        <w:spacing w:line="240" w:lineRule="auto"/>
      </w:pPr>
      <w:r>
        <w:separator/>
      </w:r>
    </w:p>
  </w:endnote>
  <w:endnote w:type="continuationSeparator" w:id="0">
    <w:p w14:paraId="70916F08" w14:textId="77777777" w:rsidR="000E4450" w:rsidRDefault="000E44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F7A00" w14:textId="77777777" w:rsidR="00A6071D" w:rsidRDefault="00A60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8856C" w14:textId="398EAB1E" w:rsidR="0090099E" w:rsidRDefault="00000000">
    <w:pPr>
      <w:pStyle w:val="Footer"/>
    </w:pPr>
    <w:r>
      <w:t xml:space="preserve">Page </w:t>
    </w:r>
    <w:r>
      <w:rPr>
        <w:b/>
        <w:bCs/>
      </w:rPr>
      <w:fldChar w:fldCharType="begin"/>
    </w:r>
    <w:r>
      <w:rPr>
        <w:b/>
        <w:bCs/>
      </w:rPr>
      <w:instrText xml:space="preserve"> PAGE  \* Arabic  \* MERGEFORMAT </w:instrText>
    </w:r>
    <w:r>
      <w:rPr>
        <w:b/>
        <w:bCs/>
      </w:rPr>
      <w:fldChar w:fldCharType="separate"/>
    </w:r>
    <w:r>
      <w:rPr>
        <w:b/>
        <w:bCs/>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r>
      <w:ptab w:relativeTo="margin" w:alignment="center" w:leader="none"/>
    </w:r>
    <w:r>
      <w:t xml:space="preserve">Effective Date: </w:t>
    </w:r>
    <w:sdt>
      <w:sdtPr>
        <w:alias w:val="Effective Date"/>
        <w:tag w:val="UNDP_POPP_EFFECTIVEDATE"/>
        <w:id w:val="1699431070"/>
        <w:placeholder>
          <w:docPart w:val="8759885A4ECE42A287FD56D4443DC531"/>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B2BD277D-1A0C-45E8-A140-F34AB5EF7FBD}"/>
        <w:date w:fullDate="2009-06-30T00:00:00Z">
          <w:dateFormat w:val="dd/MM/yyyy"/>
          <w:lid w:val="en-US"/>
          <w:storeMappedDataAs w:val="dateTime"/>
          <w:calendar w:val="gregorian"/>
        </w:date>
      </w:sdtPr>
      <w:sdtContent>
        <w:r w:rsidR="00A6071D">
          <w:rPr>
            <w:rFonts w:hint="eastAsia"/>
            <w:lang w:eastAsia="zh-CN"/>
          </w:rPr>
          <w:t>30/06/2009</w:t>
        </w:r>
      </w:sdtContent>
    </w:sdt>
    <w:r w:rsidR="00A6071D">
      <w:t xml:space="preserve"> </w:t>
    </w:r>
    <w:r>
      <w:ptab w:relativeTo="margin" w:alignment="right" w:leader="none"/>
    </w:r>
    <w:r>
      <w:t xml:space="preserve">Version #: </w:t>
    </w:r>
    <w:sdt>
      <w:sdtPr>
        <w:alias w:val="POPPRefItemVersion"/>
        <w:tag w:val="UNDP_POPP_REFITEM_VERSION"/>
        <w:id w:val="1474257019"/>
        <w:placeholder>
          <w:docPart w:val="924FDD5A64B74A52B965B1841FC73E86"/>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B2BD277D-1A0C-45E8-A140-F34AB5EF7FBD}"/>
        <w:text/>
      </w:sdtPr>
      <w:sdtContent>
        <w: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55C4E" w14:textId="77777777" w:rsidR="0090099E" w:rsidRDefault="00000000">
    <w:pPr>
      <w:pStyle w:val="Foo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r>
      <w:ptab w:relativeTo="margin" w:alignment="center" w:leader="none"/>
    </w:r>
    <w:r>
      <w:t xml:space="preserve">Effective Date: </w:t>
    </w:r>
    <w:sdt>
      <w:sdtPr>
        <w:alias w:val="Effective Date"/>
        <w:tag w:val="UNDP_POPP_EFFECTIVEDATE"/>
        <w:id w:val="-1920865091"/>
        <w:placeholder>
          <w:docPart w:val="17AA27791A8C4E629A6F390E30DBB31B"/>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B2BD277D-1A0C-45E8-A140-F34AB5EF7FBD}"/>
        <w:date w:fullDate="2009-06-30T00:00:00Z">
          <w:dateFormat w:val="dd/MM/yyyy"/>
          <w:lid w:val="en-US"/>
          <w:storeMappedDataAs w:val="dateTime"/>
          <w:calendar w:val="gregorian"/>
        </w:date>
      </w:sdtPr>
      <w:sdtContent>
        <w:r>
          <w:rPr>
            <w:rFonts w:hint="eastAsia"/>
            <w:lang w:eastAsia="zh-CN"/>
          </w:rPr>
          <w:t>30/06/2009</w:t>
        </w:r>
      </w:sdtContent>
    </w:sdt>
    <w:r>
      <w:ptab w:relativeTo="margin" w:alignment="right" w:leader="none"/>
    </w:r>
    <w:r>
      <w:t xml:space="preserve">Version #: </w:t>
    </w:r>
    <w:sdt>
      <w:sdtPr>
        <w:alias w:val="POPPRefItemVersion"/>
        <w:tag w:val="UNDP_POPP_REFITEM_VERSION"/>
        <w:id w:val="15747867"/>
        <w:placeholder>
          <w:docPart w:val="8913A98A01064A908F44FE345C5FEF0A"/>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B2BD277D-1A0C-45E8-A140-F34AB5EF7FBD}"/>
        <w:text/>
      </w:sdtPr>
      <w:sdtContent>
        <w: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C67BD" w14:textId="77777777" w:rsidR="000E4450" w:rsidRDefault="000E4450">
      <w:pPr>
        <w:spacing w:after="0"/>
      </w:pPr>
      <w:r>
        <w:separator/>
      </w:r>
    </w:p>
  </w:footnote>
  <w:footnote w:type="continuationSeparator" w:id="0">
    <w:p w14:paraId="30ACD726" w14:textId="77777777" w:rsidR="000E4450" w:rsidRDefault="000E4450">
      <w:pPr>
        <w:spacing w:after="0"/>
      </w:pPr>
      <w:r>
        <w:continuationSeparator/>
      </w:r>
    </w:p>
  </w:footnote>
  <w:footnote w:id="1">
    <w:p w14:paraId="13D6B5D2" w14:textId="77777777" w:rsidR="0090099E" w:rsidRDefault="00000000">
      <w:pPr>
        <w:pStyle w:val="FootnoteText"/>
        <w:rPr>
          <w:b/>
        </w:rPr>
      </w:pPr>
      <w:r>
        <w:rPr>
          <w:rStyle w:val="FootnoteReference"/>
        </w:rPr>
        <w:footnoteRef/>
      </w:r>
      <w:r>
        <w:t xml:space="preserve"> </w:t>
      </w:r>
      <w:r>
        <w:rPr>
          <w:b/>
        </w:rPr>
        <w:t xml:space="preserve">Note that </w:t>
      </w:r>
      <w:r>
        <w:rPr>
          <w:b/>
          <w:u w:val="single"/>
        </w:rPr>
        <w:t>only</w:t>
      </w:r>
      <w:r>
        <w:rPr>
          <w:b/>
        </w:rPr>
        <w:t xml:space="preserve"> for staff ready for immediate placement and staff returning from secondment or loan, if the hiring unit determines that the staff member fulfills the requirements of the post, the hiring unit does </w:t>
      </w:r>
      <w:r>
        <w:rPr>
          <w:b/>
          <w:u w:val="single"/>
        </w:rPr>
        <w:t xml:space="preserve">not </w:t>
      </w:r>
      <w:r>
        <w:rPr>
          <w:b/>
        </w:rPr>
        <w:t xml:space="preserve">need to advertise the vacancy internally. </w:t>
      </w:r>
    </w:p>
    <w:p w14:paraId="4DDBEF00" w14:textId="77777777" w:rsidR="0090099E" w:rsidRDefault="009009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E5C18" w14:textId="77777777" w:rsidR="00A6071D" w:rsidRDefault="00A60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78278" w14:textId="77777777" w:rsidR="0090099E" w:rsidRDefault="00000000">
    <w:pPr>
      <w:pStyle w:val="Header"/>
      <w:ind w:left="8640"/>
    </w:pPr>
    <w:r>
      <w:rPr>
        <w:noProof/>
        <w:lang w:val="en-GB" w:eastAsia="en-GB"/>
      </w:rPr>
      <w:drawing>
        <wp:inline distT="0" distB="0" distL="0" distR="0" wp14:anchorId="33061F84" wp14:editId="6963D8B9">
          <wp:extent cx="304800" cy="579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rotWithShape="1">
                  <a:blip r:embed="rId1">
                    <a:extLst>
                      <a:ext uri="{28A0092B-C50C-407E-A947-70E740481C1C}">
                        <a14:useLocalDpi xmlns:a14="http://schemas.microsoft.com/office/drawing/2010/main" val="0"/>
                      </a:ext>
                    </a:extLst>
                  </a:blip>
                  <a:srcRect r="-18" b="17615"/>
                  <a:stretch/>
                </pic:blipFill>
                <pic:spPr bwMode="auto">
                  <a:xfrm>
                    <a:off x="0" y="0"/>
                    <a:ext cx="308590" cy="586320"/>
                  </a:xfrm>
                  <a:prstGeom prst="rect">
                    <a:avLst/>
                  </a:prstGeom>
                  <a:ln>
                    <a:noFill/>
                  </a:ln>
                  <a:extLst>
                    <a:ext uri="{53640926-AAD7-44D8-BBD7-CCE9431645EC}">
                      <a14:shadowObscured xmlns:a14="http://schemas.microsoft.com/office/drawing/2010/main"/>
                    </a:ext>
                  </a:extLst>
                </pic:spPr>
              </pic:pic>
            </a:graphicData>
          </a:graphic>
        </wp:inline>
      </w:drawing>
    </w:r>
  </w:p>
  <w:p w14:paraId="1FC39945" w14:textId="77777777" w:rsidR="0090099E" w:rsidRDefault="0090099E">
    <w:pPr>
      <w:pStyle w:val="Header"/>
      <w:ind w:left="8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1D779" w14:textId="77777777" w:rsidR="0090099E" w:rsidRDefault="00000000">
    <w:pPr>
      <w:pStyle w:val="Header"/>
      <w:ind w:left="8640"/>
    </w:pPr>
    <w:r>
      <w:rPr>
        <w:noProof/>
        <w:lang w:val="en-GB" w:eastAsia="en-GB"/>
      </w:rPr>
      <w:drawing>
        <wp:inline distT="0" distB="0" distL="0" distR="0" wp14:anchorId="6B9C056E" wp14:editId="07777777">
          <wp:extent cx="304800" cy="7029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8534" cy="711685"/>
                  </a:xfrm>
                  <a:prstGeom prst="rect">
                    <a:avLst/>
                  </a:prstGeom>
                </pic:spPr>
              </pic:pic>
            </a:graphicData>
          </a:graphic>
        </wp:inline>
      </w:drawing>
    </w:r>
  </w:p>
  <w:p w14:paraId="3CF2D8B6" w14:textId="77777777" w:rsidR="0090099E" w:rsidRDefault="009009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75B32"/>
    <w:multiLevelType w:val="multilevel"/>
    <w:tmpl w:val="12E75B32"/>
    <w:lvl w:ilvl="0">
      <w:start w:val="1"/>
      <w:numFmt w:val="lowerRoman"/>
      <w:lvlText w:val="%1."/>
      <w:lvlJc w:val="right"/>
      <w:pPr>
        <w:ind w:left="1710" w:hanging="360"/>
      </w:pPr>
    </w:lvl>
    <w:lvl w:ilvl="1">
      <w:start w:val="1"/>
      <w:numFmt w:val="lowerRoman"/>
      <w:lvlText w:val="%2."/>
      <w:lvlJc w:val="right"/>
      <w:pPr>
        <w:ind w:left="2520" w:hanging="360"/>
      </w:pPr>
      <w:rPr>
        <w:rFonts w:hint="default"/>
      </w:rPr>
    </w:lvl>
    <w:lvl w:ilvl="2">
      <w:start w:val="1"/>
      <w:numFmt w:val="lowerLetter"/>
      <w:lvlText w:val="%3)"/>
      <w:lvlJc w:val="left"/>
      <w:pPr>
        <w:ind w:left="3240" w:hanging="360"/>
      </w:pPr>
      <w:rPr>
        <w:rFont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 w15:restartNumberingAfterBreak="0">
    <w:nsid w:val="1F5F48EC"/>
    <w:multiLevelType w:val="multilevel"/>
    <w:tmpl w:val="1F5F48EC"/>
    <w:lvl w:ilvl="0">
      <w:start w:val="1"/>
      <w:numFmt w:val="lowerRoman"/>
      <w:lvlText w:val="%1."/>
      <w:lvlJc w:val="right"/>
      <w:pPr>
        <w:ind w:left="2520" w:hanging="360"/>
      </w:pPr>
    </w:lvl>
    <w:lvl w:ilvl="1">
      <w:start w:val="1"/>
      <w:numFmt w:val="lowerRoman"/>
      <w:lvlText w:val="%2."/>
      <w:lvlJc w:val="right"/>
      <w:pPr>
        <w:ind w:left="4140" w:hanging="360"/>
      </w:pPr>
      <w:rPr>
        <w:rFonts w:hint="default"/>
      </w:rPr>
    </w:lvl>
    <w:lvl w:ilvl="2">
      <w:start w:val="1"/>
      <w:numFmt w:val="bullet"/>
      <w:lvlText w:val=""/>
      <w:lvlJc w:val="left"/>
      <w:pPr>
        <w:ind w:left="4860" w:hanging="360"/>
      </w:pPr>
      <w:rPr>
        <w:rFonts w:ascii="Wingdings" w:hAnsi="Wingdings" w:hint="default"/>
      </w:rPr>
    </w:lvl>
    <w:lvl w:ilvl="3">
      <w:start w:val="1"/>
      <w:numFmt w:val="bullet"/>
      <w:lvlText w:val=""/>
      <w:lvlJc w:val="left"/>
      <w:pPr>
        <w:ind w:left="5580" w:hanging="360"/>
      </w:pPr>
      <w:rPr>
        <w:rFonts w:ascii="Symbol" w:hAnsi="Symbol" w:hint="default"/>
      </w:rPr>
    </w:lvl>
    <w:lvl w:ilvl="4">
      <w:start w:val="1"/>
      <w:numFmt w:val="bullet"/>
      <w:lvlText w:val="o"/>
      <w:lvlJc w:val="left"/>
      <w:pPr>
        <w:ind w:left="6300" w:hanging="360"/>
      </w:pPr>
      <w:rPr>
        <w:rFonts w:ascii="Courier New" w:hAnsi="Courier New" w:cs="Courier New" w:hint="default"/>
      </w:rPr>
    </w:lvl>
    <w:lvl w:ilvl="5">
      <w:start w:val="1"/>
      <w:numFmt w:val="bullet"/>
      <w:lvlText w:val=""/>
      <w:lvlJc w:val="left"/>
      <w:pPr>
        <w:ind w:left="7020" w:hanging="360"/>
      </w:pPr>
      <w:rPr>
        <w:rFonts w:ascii="Wingdings" w:hAnsi="Wingdings" w:hint="default"/>
      </w:rPr>
    </w:lvl>
    <w:lvl w:ilvl="6">
      <w:start w:val="1"/>
      <w:numFmt w:val="bullet"/>
      <w:lvlText w:val=""/>
      <w:lvlJc w:val="left"/>
      <w:pPr>
        <w:ind w:left="7740" w:hanging="360"/>
      </w:pPr>
      <w:rPr>
        <w:rFonts w:ascii="Symbol" w:hAnsi="Symbol" w:hint="default"/>
      </w:rPr>
    </w:lvl>
    <w:lvl w:ilvl="7">
      <w:start w:val="1"/>
      <w:numFmt w:val="bullet"/>
      <w:lvlText w:val="o"/>
      <w:lvlJc w:val="left"/>
      <w:pPr>
        <w:ind w:left="8460" w:hanging="360"/>
      </w:pPr>
      <w:rPr>
        <w:rFonts w:ascii="Courier New" w:hAnsi="Courier New" w:cs="Courier New" w:hint="default"/>
      </w:rPr>
    </w:lvl>
    <w:lvl w:ilvl="8">
      <w:start w:val="1"/>
      <w:numFmt w:val="bullet"/>
      <w:lvlText w:val=""/>
      <w:lvlJc w:val="left"/>
      <w:pPr>
        <w:ind w:left="9180" w:hanging="360"/>
      </w:pPr>
      <w:rPr>
        <w:rFonts w:ascii="Wingdings" w:hAnsi="Wingdings" w:hint="default"/>
      </w:rPr>
    </w:lvl>
  </w:abstractNum>
  <w:abstractNum w:abstractNumId="2" w15:restartNumberingAfterBreak="0">
    <w:nsid w:val="21C95A51"/>
    <w:multiLevelType w:val="multilevel"/>
    <w:tmpl w:val="21C95A51"/>
    <w:lvl w:ilvl="0">
      <w:start w:val="1"/>
      <w:numFmt w:val="decimal"/>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BD10C04"/>
    <w:multiLevelType w:val="multilevel"/>
    <w:tmpl w:val="3BD10C04"/>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78D5445A"/>
    <w:multiLevelType w:val="multilevel"/>
    <w:tmpl w:val="78D5445A"/>
    <w:lvl w:ilvl="0">
      <w:start w:val="1"/>
      <w:numFmt w:val="lowerLetter"/>
      <w:lvlText w:val="%1)"/>
      <w:lvlJc w:val="left"/>
      <w:pPr>
        <w:ind w:left="1710" w:hanging="360"/>
      </w:pPr>
    </w:lvl>
    <w:lvl w:ilvl="1">
      <w:start w:val="1"/>
      <w:numFmt w:val="lowerRoman"/>
      <w:lvlText w:val="%2."/>
      <w:lvlJc w:val="right"/>
      <w:pPr>
        <w:ind w:left="2520" w:hanging="360"/>
      </w:pPr>
      <w:rPr>
        <w:rFonts w:hint="default"/>
      </w:rPr>
    </w:lvl>
    <w:lvl w:ilvl="2">
      <w:start w:val="1"/>
      <w:numFmt w:val="lowerLetter"/>
      <w:lvlText w:val="%3)"/>
      <w:lvlJc w:val="left"/>
      <w:pPr>
        <w:ind w:left="3240" w:hanging="360"/>
      </w:pPr>
      <w:rPr>
        <w:rFont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16cid:durableId="1510098249">
    <w:abstractNumId w:val="2"/>
  </w:num>
  <w:num w:numId="2" w16cid:durableId="1399398937">
    <w:abstractNumId w:val="4"/>
  </w:num>
  <w:num w:numId="3" w16cid:durableId="2084066969">
    <w:abstractNumId w:val="3"/>
  </w:num>
  <w:num w:numId="4" w16cid:durableId="1900825041">
    <w:abstractNumId w:val="0"/>
  </w:num>
  <w:num w:numId="5" w16cid:durableId="1533880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53E"/>
    <w:rsid w:val="000767D3"/>
    <w:rsid w:val="000D6089"/>
    <w:rsid w:val="000E4450"/>
    <w:rsid w:val="000F4D11"/>
    <w:rsid w:val="00195628"/>
    <w:rsid w:val="00245143"/>
    <w:rsid w:val="002647C9"/>
    <w:rsid w:val="00273419"/>
    <w:rsid w:val="00273808"/>
    <w:rsid w:val="0033353E"/>
    <w:rsid w:val="00343673"/>
    <w:rsid w:val="003E241C"/>
    <w:rsid w:val="004530C1"/>
    <w:rsid w:val="004F2C11"/>
    <w:rsid w:val="004F33BF"/>
    <w:rsid w:val="005114F3"/>
    <w:rsid w:val="00550F52"/>
    <w:rsid w:val="005951AA"/>
    <w:rsid w:val="006B23F4"/>
    <w:rsid w:val="00723783"/>
    <w:rsid w:val="00840D7D"/>
    <w:rsid w:val="00852772"/>
    <w:rsid w:val="008B5F63"/>
    <w:rsid w:val="0090099E"/>
    <w:rsid w:val="00997D7F"/>
    <w:rsid w:val="009E1B89"/>
    <w:rsid w:val="00A6071D"/>
    <w:rsid w:val="00B00558"/>
    <w:rsid w:val="00B45735"/>
    <w:rsid w:val="00CD32C4"/>
    <w:rsid w:val="00E01645"/>
    <w:rsid w:val="00FD6C3A"/>
    <w:rsid w:val="00FF2627"/>
    <w:rsid w:val="0340EB59"/>
    <w:rsid w:val="034D9D41"/>
    <w:rsid w:val="0FC6C109"/>
    <w:rsid w:val="13F36EFD"/>
    <w:rsid w:val="1C6F865C"/>
    <w:rsid w:val="1FDB3F4A"/>
    <w:rsid w:val="231C731B"/>
    <w:rsid w:val="2E610BA0"/>
    <w:rsid w:val="32D6C05A"/>
    <w:rsid w:val="3F4FE422"/>
    <w:rsid w:val="40EBB483"/>
    <w:rsid w:val="487A54BB"/>
    <w:rsid w:val="4A8C1DC5"/>
    <w:rsid w:val="5419D7AE"/>
    <w:rsid w:val="747F2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15FFE"/>
  <w15:docId w15:val="{1D1E8637-FB35-4885-8393-77F8A5E7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NL" w:eastAsia="en-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eastAsiaTheme="minorEastAsia"/>
    </w:rPr>
  </w:style>
  <w:style w:type="character" w:customStyle="1" w:styleId="FooterChar">
    <w:name w:val="Footer Char"/>
    <w:basedOn w:val="DefaultParagraphFont"/>
    <w:link w:val="Footer"/>
    <w:uiPriority w:val="99"/>
    <w:qFormat/>
    <w:rPr>
      <w:rFonts w:eastAsiaTheme="minorEastAsia"/>
    </w:rPr>
  </w:style>
  <w:style w:type="character" w:customStyle="1" w:styleId="FootnoteTextChar">
    <w:name w:val="Footnote Text Char"/>
    <w:basedOn w:val="DefaultParagraphFont"/>
    <w:link w:val="FootnoteText"/>
    <w:uiPriority w:val="99"/>
    <w:semiHidden/>
    <w:qFormat/>
    <w:rPr>
      <w:rFonts w:eastAsiaTheme="minorEastAsia"/>
      <w:sz w:val="20"/>
      <w:szCs w:val="20"/>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sid w:val="00B00558"/>
    <w:rPr>
      <w:rFonts w:eastAsiaTheme="minorEastAsi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opp.undp.org/node/1148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7AA27791A8C4E629A6F390E30DBB31B"/>
        <w:category>
          <w:name w:val="General"/>
          <w:gallery w:val="placeholder"/>
        </w:category>
        <w:types>
          <w:type w:val="bbPlcHdr"/>
        </w:types>
        <w:behaviors>
          <w:behavior w:val="content"/>
        </w:behaviors>
        <w:guid w:val="{2EFA066E-C572-4FB7-8463-2ADA98480A93}"/>
      </w:docPartPr>
      <w:docPartBody>
        <w:p w:rsidR="00CA2F42" w:rsidRDefault="00000000">
          <w:r>
            <w:rPr>
              <w:rStyle w:val="PlaceholderText"/>
            </w:rPr>
            <w:t>[Effective Date]</w:t>
          </w:r>
        </w:p>
      </w:docPartBody>
    </w:docPart>
    <w:docPart>
      <w:docPartPr>
        <w:name w:val="8913A98A01064A908F44FE345C5FEF0A"/>
        <w:category>
          <w:name w:val="General"/>
          <w:gallery w:val="placeholder"/>
        </w:category>
        <w:types>
          <w:type w:val="bbPlcHdr"/>
        </w:types>
        <w:behaviors>
          <w:behavior w:val="content"/>
        </w:behaviors>
        <w:guid w:val="{A742D27F-1926-41C9-B161-305469BA5E46}"/>
      </w:docPartPr>
      <w:docPartBody>
        <w:p w:rsidR="00CA2F42" w:rsidRDefault="00000000">
          <w:r>
            <w:rPr>
              <w:rStyle w:val="PlaceholderText"/>
            </w:rPr>
            <w:t>[POPPRefItemVersion]</w:t>
          </w:r>
        </w:p>
      </w:docPartBody>
    </w:docPart>
    <w:docPart>
      <w:docPartPr>
        <w:name w:val="924FDD5A64B74A52B965B1841FC73E86"/>
        <w:category>
          <w:name w:val="General"/>
          <w:gallery w:val="placeholder"/>
        </w:category>
        <w:types>
          <w:type w:val="bbPlcHdr"/>
        </w:types>
        <w:behaviors>
          <w:behavior w:val="content"/>
        </w:behaviors>
        <w:guid w:val="{F91D8362-5DCB-4D36-BA4A-17B6D41A58DE}"/>
      </w:docPartPr>
      <w:docPartBody>
        <w:p w:rsidR="00CA2F42" w:rsidRDefault="00000000">
          <w:r>
            <w:rPr>
              <w:rStyle w:val="PlaceholderText"/>
            </w:rPr>
            <w:t>[POPPRefItemVersion]</w:t>
          </w:r>
        </w:p>
      </w:docPartBody>
    </w:docPart>
    <w:docPart>
      <w:docPartPr>
        <w:name w:val="8759885A4ECE42A287FD56D4443DC531"/>
        <w:category>
          <w:name w:val="General"/>
          <w:gallery w:val="placeholder"/>
        </w:category>
        <w:types>
          <w:type w:val="bbPlcHdr"/>
        </w:types>
        <w:behaviors>
          <w:behavior w:val="content"/>
        </w:behaviors>
        <w:guid w:val="{9C4EE38A-7F3F-4649-A552-CE2B0D17F46F}"/>
      </w:docPartPr>
      <w:docPartBody>
        <w:p w:rsidR="00000000" w:rsidRDefault="007B697A" w:rsidP="007B697A">
          <w:pPr>
            <w:pStyle w:val="8759885A4ECE42A287FD56D4443DC531"/>
          </w:pPr>
          <w:r>
            <w:rPr>
              <w:rStyle w:val="PlaceholderText"/>
            </w:rPr>
            <w:t>[Effective Date]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65310" w:rsidRDefault="00365310">
      <w:pPr>
        <w:spacing w:line="240" w:lineRule="auto"/>
      </w:pPr>
      <w:r>
        <w:separator/>
      </w:r>
    </w:p>
  </w:endnote>
  <w:endnote w:type="continuationSeparator" w:id="0">
    <w:p w:rsidR="00365310" w:rsidRDefault="0036531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65310" w:rsidRDefault="00365310">
      <w:pPr>
        <w:spacing w:after="0"/>
      </w:pPr>
      <w:r>
        <w:separator/>
      </w:r>
    </w:p>
  </w:footnote>
  <w:footnote w:type="continuationSeparator" w:id="0">
    <w:p w:rsidR="00365310" w:rsidRDefault="00365310">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8B"/>
    <w:rsid w:val="0004708B"/>
    <w:rsid w:val="00365310"/>
    <w:rsid w:val="003E241C"/>
    <w:rsid w:val="007B697A"/>
    <w:rsid w:val="00CA2F42"/>
    <w:rsid w:val="00EB06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NL" w:eastAsia="en-NL"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697A"/>
    <w:rPr>
      <w:color w:val="808080"/>
    </w:rPr>
  </w:style>
  <w:style w:type="paragraph" w:customStyle="1" w:styleId="8759885A4ECE42A287FD56D4443DC531">
    <w:name w:val="8759885A4ECE42A287FD56D4443DC531"/>
    <w:rsid w:val="007B697A"/>
    <w:pPr>
      <w:spacing w:after="160" w:line="278" w:lineRule="auto"/>
    </w:pPr>
    <w:rPr>
      <w:kern w:val="2"/>
      <w:sz w:val="24"/>
      <w:szCs w:val="24"/>
      <w:lang w:val="en-NL" w:eastAsia="en-N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349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30/06/2009                                                Version #: 1</DLCPolicyLabelValue>
    <UNDP_POPP_EFFECTIVEDATE xmlns="8264c5cc-ec60-4b56-8111-ce635d3d139a">2009-06-29T22:00:00+00:00</UNDP_POPP_EFFECTIVEDATE>
    <UNDP_POPP_REFITEM_VERSION xmlns="8264c5cc-ec60-4b56-8111-ce635d3d139a">1</UNDP_POPP_REFITEM_VERSION>
    <UNDP_POPP_FILEVERSION xmlns="8264c5cc-ec60-4b56-8111-ce635d3d139a" xsi:nil="true"/>
    <UNDP_POPP_ISACTIVE xmlns="8264c5cc-ec60-4b56-8111-ce635d3d139a">true</UNDP_POPP_ISACTIVE>
    <UNDP_POPP_TITLE_EN xmlns="8264c5cc-ec60-4b56-8111-ce635d3d139a">UNDP Interim Roster Rules of Procedure</UNDP_POPP_TITLE_EN>
    <DLCPolicyLabelLock xmlns="e560140e-7b2f-4392-90df-e7567e3021a3" xsi:nil="true"/>
    <DLCPolicyLabelClientValue xmlns="e560140e-7b2f-4392-90df-e7567e3021a3" xsi:nil="true"/>
    <UNDP_POPP_BUSINESSUNITID_HIDDEN xmlns="8264c5cc-ec60-4b56-8111-ce635d3d139a" xsi:nil="true"/>
    <_dlc_DocId xmlns="8264c5cc-ec60-4b56-8111-ce635d3d139a">POPP-11-1129</_dlc_DocId>
    <_dlc_DocIdUrl xmlns="8264c5cc-ec60-4b56-8111-ce635d3d139a">
      <Url>https://popp.undp.org/_layouts/15/DocIdRedir.aspx?ID=POPP-11-1129</Url>
      <Description>POPP-11-1129</Description>
    </_dlc_DocIdUrl>
  </documentManagement>
</p:properti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BE672BD-8A03-4097-82BA-99177AE3A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E11C3-346D-4182-85E1-B9C49899AECD}">
  <ds:schemaRefs>
    <ds:schemaRef ds:uri="http://schemas.microsoft.com/sharepoint/v3/contenttype/forms"/>
  </ds:schemaRefs>
</ds:datastoreItem>
</file>

<file path=customXml/itemProps3.xml><?xml version="1.0" encoding="utf-8"?>
<ds:datastoreItem xmlns:ds="http://schemas.openxmlformats.org/officeDocument/2006/customXml" ds:itemID="{B2BD277D-1A0C-45E8-A140-F34AB5EF7FBD}">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5B66D0DC-BDAA-4960-96A5-5D2F4BD00FE9}">
  <ds:schemaRefs>
    <ds:schemaRef ds:uri="office.server.policy"/>
  </ds:schemaRefs>
</ds:datastoreItem>
</file>

<file path=customXml/itemProps5.xml><?xml version="1.0" encoding="utf-8"?>
<ds:datastoreItem xmlns:ds="http://schemas.openxmlformats.org/officeDocument/2006/customXml" ds:itemID="{6F0AD551-5372-4E08-A9FF-0308AC5881B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1006</Words>
  <Characters>5737</Characters>
  <Application>Microsoft Office Word</Application>
  <DocSecurity>0</DocSecurity>
  <Lines>47</Lines>
  <Paragraphs>13</Paragraphs>
  <ScaleCrop>false</ScaleCrop>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Althea Downie</dc:creator>
  <cp:lastModifiedBy>Pablo Morete</cp:lastModifiedBy>
  <cp:revision>8</cp:revision>
  <dcterms:created xsi:type="dcterms:W3CDTF">2022-07-18T09:04:00Z</dcterms:created>
  <dcterms:modified xsi:type="dcterms:W3CDTF">2024-08-05T11:42:00Z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l0e6ef0c43e74560bd7f3acd1f5e8571">
    <vt:lpwstr>Human Resources Management|1f57ad6b-760b-4b5a-be19-36e6fe76fd85</vt:lpwstr>
  </property>
  <property fmtid="{D5CDD505-2E9C-101B-9397-08002B2CF9AE}" pid="5" name="UNDP_POPP_BUSINESSUNIT">
    <vt:lpwstr>349;#Human Resources Management|1f57ad6b-760b-4b5a-be19-36e6fe76fd85</vt:lpwstr>
  </property>
  <property fmtid="{D5CDD505-2E9C-101B-9397-08002B2CF9AE}" pid="6" name="_dlc_DocIdItemGuid">
    <vt:lpwstr>cde454e9-e69c-49b1-b535-67f16355b388</vt:lpwstr>
  </property>
  <property fmtid="{D5CDD505-2E9C-101B-9397-08002B2CF9AE}" pid="7" name="KSOProductBuildVer">
    <vt:lpwstr>2052-11.1.0.11691</vt:lpwstr>
  </property>
  <property fmtid="{D5CDD505-2E9C-101B-9397-08002B2CF9AE}" pid="8" name="ICV">
    <vt:lpwstr>68891A136C3B4BDF951D8E6DD195E419</vt:lpwstr>
  </property>
  <property fmtid="{D5CDD505-2E9C-101B-9397-08002B2CF9AE}" pid="9" name="UNDP_POPP_BUSINESSPROCESS_HIDDEN">
    <vt:lpwstr/>
  </property>
  <property fmtid="{D5CDD505-2E9C-101B-9397-08002B2CF9AE}" pid="10" name="TaxCatchAll">
    <vt:lpwstr>349;#Human Resources Management|1f57ad6b-760b-4b5a-be19-36e6fe76fd85</vt:lpwstr>
  </property>
  <property fmtid="{D5CDD505-2E9C-101B-9397-08002B2CF9AE}" pid="11" name="DLCPolicyLabelValue">
    <vt:lpwstr>Effective Date: {Effective Date}                                                Version #: {POPPRefItemVersion}</vt:lpwstr>
  </property>
</Properties>
</file>