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42FF8" w14:textId="77777777" w:rsidR="00A82020" w:rsidRPr="00AF1D39" w:rsidRDefault="00A82020" w:rsidP="00A82020">
      <w:pPr>
        <w:jc w:val="both"/>
        <w:rPr>
          <w:rFonts w:asciiTheme="majorHAnsi" w:hAnsiTheme="majorHAnsi" w:cs="Arial"/>
          <w:bCs/>
          <w:sz w:val="22"/>
          <w:szCs w:val="22"/>
          <w:lang w:val="en-CA"/>
        </w:rPr>
      </w:pPr>
    </w:p>
    <w:p w14:paraId="5FA0F118" w14:textId="76AC6E70" w:rsidR="00A82020" w:rsidRPr="006B6743" w:rsidRDefault="00EA4436" w:rsidP="00A82020">
      <w:pPr>
        <w:jc w:val="both"/>
        <w:rPr>
          <w:rFonts w:asciiTheme="majorHAnsi" w:hAnsiTheme="majorHAnsi" w:cs="Arial"/>
          <w:b/>
          <w:bCs/>
        </w:rPr>
      </w:pPr>
      <w:r w:rsidRPr="006B6743">
        <w:rPr>
          <w:rFonts w:asciiTheme="majorHAnsi" w:hAnsiTheme="majorHAnsi" w:cs="Arial"/>
          <w:b/>
          <w:bCs/>
        </w:rPr>
        <w:t xml:space="preserve">Private Sector </w:t>
      </w:r>
      <w:r w:rsidR="00A82020" w:rsidRPr="006B6743">
        <w:rPr>
          <w:rFonts w:asciiTheme="majorHAnsi" w:hAnsiTheme="majorHAnsi" w:cs="Arial"/>
          <w:b/>
          <w:bCs/>
        </w:rPr>
        <w:t>Non-Reimbursable Loan</w:t>
      </w:r>
      <w:r w:rsidRPr="006B6743">
        <w:rPr>
          <w:rFonts w:asciiTheme="majorHAnsi" w:hAnsiTheme="majorHAnsi" w:cs="Arial"/>
          <w:b/>
          <w:bCs/>
        </w:rPr>
        <w:t xml:space="preserve"> </w:t>
      </w:r>
      <w:r w:rsidR="00A82020" w:rsidRPr="006B6743">
        <w:rPr>
          <w:rFonts w:asciiTheme="majorHAnsi" w:hAnsiTheme="majorHAnsi" w:cs="Arial"/>
          <w:b/>
          <w:bCs/>
        </w:rPr>
        <w:t>Policy</w:t>
      </w:r>
    </w:p>
    <w:p w14:paraId="3C4E01CE" w14:textId="77777777" w:rsidR="00A82020" w:rsidRPr="006B6743" w:rsidRDefault="00A82020" w:rsidP="00A82020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7B30DB36" w14:textId="77777777" w:rsidR="004269AB" w:rsidRPr="006B6743" w:rsidRDefault="004269AB" w:rsidP="004269AB">
      <w:pPr>
        <w:pStyle w:val="Subtitle"/>
      </w:pPr>
      <w:r w:rsidRPr="006B6743">
        <w:t>Introduction</w:t>
      </w:r>
    </w:p>
    <w:p w14:paraId="27B02FDF" w14:textId="77777777" w:rsidR="00A82020" w:rsidRPr="006B6743" w:rsidRDefault="00A82020" w:rsidP="00A82020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5FA760D8" w14:textId="5107CCBA" w:rsidR="00A81CF5" w:rsidRPr="006B6743" w:rsidRDefault="00A82020" w:rsidP="00D5269F">
      <w:pPr>
        <w:pStyle w:val="Heading1"/>
      </w:pPr>
      <w:r w:rsidRPr="006B6743">
        <w:t xml:space="preserve">This policy sets out the conditions for UNDP to accept </w:t>
      </w:r>
      <w:r w:rsidR="003335B1" w:rsidRPr="006B6743">
        <w:t>n</w:t>
      </w:r>
      <w:r w:rsidRPr="006B6743">
        <w:t>on-</w:t>
      </w:r>
      <w:r w:rsidR="003335B1" w:rsidRPr="006B6743">
        <w:t>r</w:t>
      </w:r>
      <w:r w:rsidRPr="006B6743">
        <w:t xml:space="preserve">eimbursable </w:t>
      </w:r>
      <w:r w:rsidR="003335B1" w:rsidRPr="006B6743">
        <w:t>l</w:t>
      </w:r>
      <w:r w:rsidRPr="006B6743">
        <w:t xml:space="preserve">oans of persons from </w:t>
      </w:r>
      <w:r w:rsidR="00E97E23" w:rsidRPr="006B6743">
        <w:t>a commercial (i.e., for profit) entity (“Private Sector Partner”)</w:t>
      </w:r>
      <w:r w:rsidR="006D3294" w:rsidRPr="006B6743">
        <w:t xml:space="preserve"> </w:t>
      </w:r>
      <w:r w:rsidRPr="006B6743">
        <w:t xml:space="preserve">subject to the application of </w:t>
      </w:r>
      <w:r w:rsidRPr="006B6743">
        <w:rPr>
          <w:b/>
          <w:bCs/>
        </w:rPr>
        <w:t xml:space="preserve">UNDP Financial Regulation 5.07. </w:t>
      </w:r>
      <w:r w:rsidR="00D5269F" w:rsidRPr="001F2C22">
        <w:t>This policy does not apply to the loan of personnel from other donors.</w:t>
      </w:r>
      <w:r w:rsidR="00D5269F" w:rsidRPr="006B6743">
        <w:rPr>
          <w:b/>
          <w:bCs/>
        </w:rPr>
        <w:t xml:space="preserve">  </w:t>
      </w:r>
      <w:r w:rsidR="00E97E23" w:rsidRPr="006B6743">
        <w:t xml:space="preserve">Government/governmental and CSO/NGO contributions of personnel on non-reimbursable loan are received further to the UNDP Non-Reimbursable Loan </w:t>
      </w:r>
      <w:r w:rsidR="00F628C3" w:rsidRPr="006B6743">
        <w:t>p</w:t>
      </w:r>
      <w:r w:rsidR="00E97E23" w:rsidRPr="006B6743">
        <w:t>olicy</w:t>
      </w:r>
      <w:r w:rsidR="00D5269F" w:rsidRPr="006B6743">
        <w:t xml:space="preserve"> found </w:t>
      </w:r>
      <w:hyperlink r:id="rId11" w:history="1">
        <w:r w:rsidR="00D5269F" w:rsidRPr="008B0EF7">
          <w:rPr>
            <w:rStyle w:val="Hyperlink"/>
            <w:u w:val="single"/>
          </w:rPr>
          <w:t>here</w:t>
        </w:r>
      </w:hyperlink>
      <w:r w:rsidR="003111FF" w:rsidRPr="006B1807">
        <w:t>.</w:t>
      </w:r>
    </w:p>
    <w:p w14:paraId="6ECBEA31" w14:textId="6CDE3810" w:rsidR="00A82020" w:rsidRPr="006B6743" w:rsidRDefault="00A81CF5" w:rsidP="00AA21A0">
      <w:pPr>
        <w:pStyle w:val="Heading1"/>
      </w:pPr>
      <w:r w:rsidRPr="006B6743">
        <w:t xml:space="preserve">This policy takes effect immediately and applies to all </w:t>
      </w:r>
      <w:r w:rsidR="003335B1" w:rsidRPr="006B6743">
        <w:t>n</w:t>
      </w:r>
      <w:r w:rsidRPr="006B6743">
        <w:t>on</w:t>
      </w:r>
      <w:r w:rsidRPr="006B6743">
        <w:rPr>
          <w:b/>
          <w:bCs/>
        </w:rPr>
        <w:t>-</w:t>
      </w:r>
      <w:r w:rsidR="003335B1" w:rsidRPr="006B6743">
        <w:t>r</w:t>
      </w:r>
      <w:r w:rsidRPr="006B6743">
        <w:t xml:space="preserve">eimbursable loans </w:t>
      </w:r>
      <w:r w:rsidR="00E7035A" w:rsidRPr="006B6743">
        <w:t xml:space="preserve">of personnel </w:t>
      </w:r>
      <w:r w:rsidRPr="006B6743">
        <w:t>negotiated by UNDP</w:t>
      </w:r>
      <w:r w:rsidR="00E97E23" w:rsidRPr="006B6743">
        <w:t xml:space="preserve"> with Private Sector Partners</w:t>
      </w:r>
      <w:r w:rsidR="00BC3C42" w:rsidRPr="006B6743">
        <w:t xml:space="preserve"> (</w:t>
      </w:r>
      <w:r w:rsidR="00D5269F" w:rsidRPr="006B6743">
        <w:t xml:space="preserve">each a </w:t>
      </w:r>
      <w:r w:rsidR="00BC3C42" w:rsidRPr="006B6743">
        <w:t>“</w:t>
      </w:r>
      <w:r w:rsidR="00D5269F" w:rsidRPr="006B6743">
        <w:t xml:space="preserve">PS </w:t>
      </w:r>
      <w:r w:rsidR="00BC3C42" w:rsidRPr="006B6743">
        <w:t>non-reimbursable loan”</w:t>
      </w:r>
      <w:r w:rsidR="008521E0" w:rsidRPr="006B6743">
        <w:t xml:space="preserve"> or “PS NRL”</w:t>
      </w:r>
      <w:r w:rsidR="00BC3C42" w:rsidRPr="006B6743">
        <w:t>)</w:t>
      </w:r>
      <w:r w:rsidRPr="006B6743">
        <w:t>.</w:t>
      </w:r>
      <w:r w:rsidR="00705B96" w:rsidRPr="006B6743">
        <w:rPr>
          <w:b/>
          <w:bCs/>
        </w:rPr>
        <w:t xml:space="preserve"> </w:t>
      </w:r>
    </w:p>
    <w:p w14:paraId="258BAC49" w14:textId="518EC2FE" w:rsidR="00EE390C" w:rsidRPr="006B6743" w:rsidRDefault="00E97E23" w:rsidP="003D0DA7">
      <w:pPr>
        <w:pStyle w:val="Heading1"/>
      </w:pPr>
      <w:r w:rsidRPr="006B6743">
        <w:t xml:space="preserve">The purpose of this policy is to </w:t>
      </w:r>
      <w:r w:rsidR="00D5269F" w:rsidRPr="001F2C22">
        <w:t>set forth the policy and procedures related to negotiating</w:t>
      </w:r>
      <w:r w:rsidR="00E7035A" w:rsidRPr="001F2C22">
        <w:t xml:space="preserve"> and </w:t>
      </w:r>
      <w:r w:rsidR="00D5269F" w:rsidRPr="001F2C22">
        <w:t>co</w:t>
      </w:r>
      <w:r w:rsidR="00E7035A" w:rsidRPr="001F2C22">
        <w:t>ncluding agreements with, and receiving gratis personnel from</w:t>
      </w:r>
      <w:r w:rsidR="00E7035A" w:rsidRPr="006B6743">
        <w:t xml:space="preserve">, </w:t>
      </w:r>
      <w:r w:rsidR="006238DA" w:rsidRPr="006B6743">
        <w:t>P</w:t>
      </w:r>
      <w:r w:rsidRPr="006B6743">
        <w:t xml:space="preserve">rivate </w:t>
      </w:r>
      <w:r w:rsidR="006238DA" w:rsidRPr="006B6743">
        <w:t xml:space="preserve">Sector Partners </w:t>
      </w:r>
      <w:r w:rsidRPr="006B6743">
        <w:t xml:space="preserve">under the </w:t>
      </w:r>
      <w:r w:rsidR="0015159A" w:rsidRPr="006B6743">
        <w:t xml:space="preserve">PS </w:t>
      </w:r>
      <w:r w:rsidR="00515B86" w:rsidRPr="006B6743">
        <w:t xml:space="preserve">non-reimbursable loan </w:t>
      </w:r>
      <w:r w:rsidR="00EE390C" w:rsidRPr="006B6743">
        <w:t>modality</w:t>
      </w:r>
      <w:r w:rsidRPr="006B6743">
        <w:t xml:space="preserve">. </w:t>
      </w:r>
    </w:p>
    <w:p w14:paraId="1BBDA501" w14:textId="6FC9C21D" w:rsidR="008C18CE" w:rsidRPr="001F2C22" w:rsidRDefault="00EE390C" w:rsidP="00ED3A81">
      <w:pPr>
        <w:pStyle w:val="Heading1"/>
      </w:pPr>
      <w:r w:rsidRPr="006B6743">
        <w:t xml:space="preserve">The </w:t>
      </w:r>
      <w:r w:rsidR="0015159A" w:rsidRPr="006B6743">
        <w:t xml:space="preserve">PS </w:t>
      </w:r>
      <w:r w:rsidR="00791575" w:rsidRPr="006B6743">
        <w:t>NRL</w:t>
      </w:r>
      <w:r w:rsidRPr="006B6743">
        <w:t xml:space="preserve"> </w:t>
      </w:r>
      <w:r w:rsidR="008521E0" w:rsidRPr="006B6743">
        <w:t xml:space="preserve">modality </w:t>
      </w:r>
      <w:r w:rsidRPr="006B6743">
        <w:t xml:space="preserve">is </w:t>
      </w:r>
      <w:proofErr w:type="gramStart"/>
      <w:r w:rsidR="008521E0" w:rsidRPr="006B6743">
        <w:t xml:space="preserve">the </w:t>
      </w:r>
      <w:r w:rsidRPr="006B6743">
        <w:t>means by which</w:t>
      </w:r>
      <w:proofErr w:type="gramEnd"/>
      <w:r w:rsidRPr="006B6743">
        <w:t xml:space="preserve"> UNDP may in-source private sector expertise to assist UNDP in developing solutions to complex issues and increase the capacity and responsiveness of UNDP. A Private Sector Partner </w:t>
      </w:r>
      <w:r w:rsidR="003C13F7" w:rsidRPr="006B6743">
        <w:t xml:space="preserve">provides </w:t>
      </w:r>
      <w:r w:rsidR="002A39E3" w:rsidRPr="006B6743">
        <w:t xml:space="preserve">the </w:t>
      </w:r>
      <w:r w:rsidR="003C13F7" w:rsidRPr="006B6743">
        <w:t xml:space="preserve">continued </w:t>
      </w:r>
      <w:r w:rsidR="00743AEE" w:rsidRPr="006B6743">
        <w:t xml:space="preserve">services </w:t>
      </w:r>
      <w:r w:rsidR="003C13F7" w:rsidRPr="006B6743">
        <w:t xml:space="preserve">and </w:t>
      </w:r>
      <w:r w:rsidR="0070733D" w:rsidRPr="006B6743">
        <w:t xml:space="preserve">individual </w:t>
      </w:r>
      <w:r w:rsidR="003C13F7" w:rsidRPr="006B6743">
        <w:t xml:space="preserve">expertise </w:t>
      </w:r>
      <w:r w:rsidR="00743AEE" w:rsidRPr="006B6743">
        <w:t xml:space="preserve">of </w:t>
      </w:r>
      <w:r w:rsidR="0070733D" w:rsidRPr="006B6743">
        <w:t>its</w:t>
      </w:r>
      <w:r w:rsidR="003C13F7" w:rsidRPr="006B6743">
        <w:t xml:space="preserve"> employee</w:t>
      </w:r>
      <w:r w:rsidR="002A39E3" w:rsidRPr="006B6743">
        <w:t xml:space="preserve"> </w:t>
      </w:r>
      <w:r w:rsidR="00743AEE" w:rsidRPr="006B6743">
        <w:t>(the “Specialist”)</w:t>
      </w:r>
      <w:r w:rsidR="00E7035A" w:rsidRPr="001F2C22">
        <w:t>,</w:t>
      </w:r>
      <w:r w:rsidR="00743AEE" w:rsidRPr="006B6743">
        <w:t xml:space="preserve"> </w:t>
      </w:r>
      <w:r w:rsidRPr="006B6743">
        <w:t>who</w:t>
      </w:r>
      <w:r w:rsidR="00791575" w:rsidRPr="006B6743">
        <w:t xml:space="preserve"> </w:t>
      </w:r>
      <w:r w:rsidR="00C74588" w:rsidRPr="001F2C22">
        <w:t xml:space="preserve">must be dedicated to the </w:t>
      </w:r>
      <w:r w:rsidR="00D321C7" w:rsidRPr="001F2C22">
        <w:t xml:space="preserve">services being provided </w:t>
      </w:r>
      <w:r w:rsidR="00866174" w:rsidRPr="001F2C22">
        <w:t>under the PS NRL</w:t>
      </w:r>
      <w:r w:rsidR="00B839E9">
        <w:t xml:space="preserve"> </w:t>
      </w:r>
      <w:r w:rsidR="00D321C7" w:rsidRPr="001F2C22">
        <w:t>(the “Assignment”),</w:t>
      </w:r>
      <w:r w:rsidR="00C74588" w:rsidRPr="001F2C22">
        <w:t xml:space="preserve"> on a full</w:t>
      </w:r>
      <w:r w:rsidR="00B839E9">
        <w:t>-</w:t>
      </w:r>
      <w:r w:rsidR="00C74588" w:rsidRPr="001F2C22">
        <w:t xml:space="preserve">time and exclusive basis, </w:t>
      </w:r>
      <w:r w:rsidR="009060D2" w:rsidRPr="001F2C22">
        <w:t>and be</w:t>
      </w:r>
      <w:r w:rsidR="009060D2" w:rsidRPr="006B6743">
        <w:t xml:space="preserve"> </w:t>
      </w:r>
      <w:r w:rsidRPr="006B6743">
        <w:t xml:space="preserve">temporarily integrated into a UNDP Office or </w:t>
      </w:r>
      <w:r w:rsidR="00A66AEA" w:rsidRPr="006B6743">
        <w:t>B</w:t>
      </w:r>
      <w:r w:rsidRPr="006B6743">
        <w:t xml:space="preserve">usiness </w:t>
      </w:r>
      <w:r w:rsidR="00A66AEA" w:rsidRPr="006B6743">
        <w:t>U</w:t>
      </w:r>
      <w:r w:rsidRPr="006B6743">
        <w:t>nit</w:t>
      </w:r>
      <w:r w:rsidR="00323D7B" w:rsidRPr="006B6743">
        <w:t xml:space="preserve"> </w:t>
      </w:r>
      <w:r w:rsidR="00323D7B" w:rsidRPr="006B6743">
        <w:rPr>
          <w:lang w:val="en-US"/>
        </w:rPr>
        <w:t>for a defined period/project</w:t>
      </w:r>
      <w:r w:rsidRPr="006B6743">
        <w:t xml:space="preserve">, </w:t>
      </w:r>
      <w:r w:rsidR="00E7035A" w:rsidRPr="001F2C22">
        <w:t>to</w:t>
      </w:r>
      <w:r w:rsidRPr="006B6743">
        <w:t xml:space="preserve"> </w:t>
      </w:r>
      <w:r w:rsidR="00947DF4" w:rsidRPr="006B6743">
        <w:t>assist in the execution of activities of a technical nature or knowledge sharing activities</w:t>
      </w:r>
      <w:r w:rsidRPr="006B6743">
        <w:t xml:space="preserve">. </w:t>
      </w:r>
      <w:r w:rsidR="00460A01" w:rsidRPr="001F2C22">
        <w:t>The PS NRL</w:t>
      </w:r>
      <w:r w:rsidR="008521E0" w:rsidRPr="006B6743">
        <w:t xml:space="preserve"> modality</w:t>
      </w:r>
      <w:r w:rsidR="00B62633" w:rsidRPr="006B6743">
        <w:t xml:space="preserve"> </w:t>
      </w:r>
      <w:r w:rsidR="00E7035A" w:rsidRPr="001F2C22">
        <w:rPr>
          <w:u w:val="single"/>
          <w:lang w:val="en-US"/>
        </w:rPr>
        <w:t>may not</w:t>
      </w:r>
      <w:r w:rsidR="00B62633" w:rsidRPr="006B6743">
        <w:rPr>
          <w:lang w:val="en-US"/>
        </w:rPr>
        <w:t xml:space="preserve"> be used to </w:t>
      </w:r>
      <w:r w:rsidR="00E7035A" w:rsidRPr="001F2C22">
        <w:rPr>
          <w:lang w:val="en-US"/>
        </w:rPr>
        <w:t>(</w:t>
      </w:r>
      <w:proofErr w:type="spellStart"/>
      <w:r w:rsidR="00E7035A" w:rsidRPr="001F2C22">
        <w:rPr>
          <w:lang w:val="en-US"/>
        </w:rPr>
        <w:t>i</w:t>
      </w:r>
      <w:proofErr w:type="spellEnd"/>
      <w:r w:rsidR="00E7035A" w:rsidRPr="001F2C22">
        <w:rPr>
          <w:lang w:val="en-US"/>
        </w:rPr>
        <w:t>)</w:t>
      </w:r>
      <w:r w:rsidR="00E7035A" w:rsidRPr="006B6743">
        <w:rPr>
          <w:lang w:val="en-US"/>
        </w:rPr>
        <w:t xml:space="preserve"> </w:t>
      </w:r>
      <w:r w:rsidR="00B62633" w:rsidRPr="006B6743">
        <w:rPr>
          <w:lang w:val="en-US"/>
        </w:rPr>
        <w:t xml:space="preserve">acquire services from </w:t>
      </w:r>
      <w:r w:rsidR="005E4ACB" w:rsidRPr="006B6743">
        <w:rPr>
          <w:lang w:val="en-US"/>
        </w:rPr>
        <w:t xml:space="preserve">a </w:t>
      </w:r>
      <w:r w:rsidR="005E4ACB" w:rsidRPr="006B6743">
        <w:t>Private Sector Partner</w:t>
      </w:r>
      <w:r w:rsidR="005E4ACB" w:rsidRPr="006B6743">
        <w:rPr>
          <w:lang w:val="en-US"/>
        </w:rPr>
        <w:t xml:space="preserve"> itself</w:t>
      </w:r>
      <w:r w:rsidR="00AC43CE" w:rsidRPr="006B6743">
        <w:rPr>
          <w:lang w:val="en-US"/>
        </w:rPr>
        <w:t xml:space="preserve"> as a corporate entity</w:t>
      </w:r>
      <w:r w:rsidR="005E4ACB" w:rsidRPr="006B6743">
        <w:rPr>
          <w:lang w:val="en-US"/>
        </w:rPr>
        <w:t>,</w:t>
      </w:r>
      <w:r w:rsidR="00B62633" w:rsidRPr="006B6743">
        <w:rPr>
          <w:lang w:val="en-US"/>
        </w:rPr>
        <w:t xml:space="preserve"> </w:t>
      </w:r>
      <w:r w:rsidR="005535F8" w:rsidRPr="006B6743">
        <w:rPr>
          <w:lang w:val="en-US"/>
        </w:rPr>
        <w:t xml:space="preserve">in </w:t>
      </w:r>
      <w:r w:rsidR="00B62633" w:rsidRPr="006B6743">
        <w:rPr>
          <w:lang w:val="en-US"/>
        </w:rPr>
        <w:t xml:space="preserve">which </w:t>
      </w:r>
      <w:r w:rsidR="005535F8" w:rsidRPr="006B6743">
        <w:rPr>
          <w:lang w:val="en-US"/>
        </w:rPr>
        <w:t xml:space="preserve">the involvement of the Private Sector Partner </w:t>
      </w:r>
      <w:r w:rsidR="00B62633" w:rsidRPr="006B6743">
        <w:rPr>
          <w:lang w:val="en-US"/>
        </w:rPr>
        <w:t>extend</w:t>
      </w:r>
      <w:r w:rsidR="005535F8" w:rsidRPr="006B6743">
        <w:rPr>
          <w:lang w:val="en-US"/>
        </w:rPr>
        <w:t>s</w:t>
      </w:r>
      <w:r w:rsidR="00B62633" w:rsidRPr="006B6743">
        <w:rPr>
          <w:lang w:val="en-US"/>
        </w:rPr>
        <w:t xml:space="preserve"> beyond the individual contribution or work of the </w:t>
      </w:r>
      <w:r w:rsidR="002B4CBB" w:rsidRPr="006B6743">
        <w:rPr>
          <w:lang w:val="en-US"/>
        </w:rPr>
        <w:t>S</w:t>
      </w:r>
      <w:r w:rsidR="007063AC" w:rsidRPr="006B6743">
        <w:rPr>
          <w:lang w:val="en-US"/>
        </w:rPr>
        <w:t>p</w:t>
      </w:r>
      <w:r w:rsidR="002B4CBB" w:rsidRPr="006B6743">
        <w:rPr>
          <w:lang w:val="en-US"/>
        </w:rPr>
        <w:t>ecialist</w:t>
      </w:r>
      <w:r w:rsidR="00E7035A" w:rsidRPr="006B6743">
        <w:rPr>
          <w:lang w:val="en-US"/>
        </w:rPr>
        <w:t xml:space="preserve">, </w:t>
      </w:r>
      <w:r w:rsidR="00E7035A" w:rsidRPr="001F2C22">
        <w:rPr>
          <w:lang w:val="en-US"/>
        </w:rPr>
        <w:t xml:space="preserve">and/or (ii) engage a group of specialists from the same Private Sector Partner </w:t>
      </w:r>
      <w:r w:rsidR="0015159A" w:rsidRPr="001F2C22">
        <w:rPr>
          <w:lang w:val="en-US"/>
        </w:rPr>
        <w:t>or</w:t>
      </w:r>
      <w:r w:rsidR="00AE48A0" w:rsidRPr="001F2C22">
        <w:rPr>
          <w:lang w:val="en-US"/>
        </w:rPr>
        <w:t xml:space="preserve"> in conjunction with </w:t>
      </w:r>
      <w:r w:rsidR="0015159A" w:rsidRPr="001F2C22">
        <w:rPr>
          <w:lang w:val="en-US"/>
        </w:rPr>
        <w:t xml:space="preserve">other </w:t>
      </w:r>
      <w:r w:rsidR="00AE48A0" w:rsidRPr="001F2C22">
        <w:rPr>
          <w:lang w:val="en-US"/>
        </w:rPr>
        <w:t xml:space="preserve">private sector </w:t>
      </w:r>
      <w:r w:rsidR="0015159A" w:rsidRPr="001F2C22">
        <w:rPr>
          <w:lang w:val="en-US"/>
        </w:rPr>
        <w:t xml:space="preserve">partners </w:t>
      </w:r>
      <w:r w:rsidR="00E7035A" w:rsidRPr="001F2C22">
        <w:rPr>
          <w:lang w:val="en-US"/>
        </w:rPr>
        <w:t>to accomplish the purpose of the assignment. In such cases,</w:t>
      </w:r>
      <w:r w:rsidR="00B62633" w:rsidRPr="006B6743">
        <w:rPr>
          <w:lang w:val="en-US"/>
        </w:rPr>
        <w:t xml:space="preserve"> a </w:t>
      </w:r>
      <w:r w:rsidR="00B62633" w:rsidRPr="006B6743">
        <w:rPr>
          <w:i/>
          <w:lang w:val="en-US"/>
        </w:rPr>
        <w:t>pro-bono</w:t>
      </w:r>
      <w:r w:rsidR="00B62633" w:rsidRPr="006B6743">
        <w:rPr>
          <w:lang w:val="en-US"/>
        </w:rPr>
        <w:t xml:space="preserve"> agreement must be negotiated</w:t>
      </w:r>
      <w:r w:rsidR="008521E0" w:rsidRPr="006B6743">
        <w:rPr>
          <w:lang w:val="en-US"/>
        </w:rPr>
        <w:t xml:space="preserve"> with the </w:t>
      </w:r>
      <w:r w:rsidR="00E6537F">
        <w:rPr>
          <w:lang w:val="en-US"/>
        </w:rPr>
        <w:t>P</w:t>
      </w:r>
      <w:r w:rsidR="008521E0" w:rsidRPr="006B6743">
        <w:rPr>
          <w:lang w:val="en-US"/>
        </w:rPr>
        <w:t xml:space="preserve">rivate </w:t>
      </w:r>
      <w:r w:rsidR="00E6537F">
        <w:rPr>
          <w:lang w:val="en-US"/>
        </w:rPr>
        <w:t>S</w:t>
      </w:r>
      <w:r w:rsidR="008521E0" w:rsidRPr="006B6743">
        <w:rPr>
          <w:lang w:val="en-US"/>
        </w:rPr>
        <w:t xml:space="preserve">ector </w:t>
      </w:r>
      <w:r w:rsidR="00E6537F">
        <w:rPr>
          <w:lang w:val="en-US"/>
        </w:rPr>
        <w:t>P</w:t>
      </w:r>
      <w:r w:rsidR="008521E0" w:rsidRPr="006B6743">
        <w:rPr>
          <w:lang w:val="en-US"/>
        </w:rPr>
        <w:t>artner</w:t>
      </w:r>
      <w:r w:rsidR="00B62633" w:rsidRPr="006B6743">
        <w:rPr>
          <w:lang w:val="en-US"/>
        </w:rPr>
        <w:t xml:space="preserve"> to that effect.</w:t>
      </w:r>
      <w:r w:rsidR="00ED3A81" w:rsidRPr="006B6743">
        <w:rPr>
          <w:lang w:val="en-US"/>
        </w:rPr>
        <w:t xml:space="preserve"> </w:t>
      </w:r>
    </w:p>
    <w:p w14:paraId="5752812E" w14:textId="30432A61" w:rsidR="006B4310" w:rsidRPr="006B6743" w:rsidRDefault="006B4310" w:rsidP="00ED3A81">
      <w:pPr>
        <w:pStyle w:val="Heading1"/>
      </w:pPr>
      <w:r w:rsidRPr="006B6743">
        <w:t xml:space="preserve">The loan of Specialists from Private Sector Partners is permitted within the limits established by this policy.  </w:t>
      </w:r>
    </w:p>
    <w:p w14:paraId="20208930" w14:textId="3C162B55" w:rsidR="0061588F" w:rsidRPr="006B6743" w:rsidRDefault="0061588F" w:rsidP="001B0550">
      <w:pPr>
        <w:pStyle w:val="Heading1"/>
        <w:rPr>
          <w:lang w:val="en-US"/>
        </w:rPr>
      </w:pPr>
      <w:r w:rsidRPr="006B6743">
        <w:t xml:space="preserve">A </w:t>
      </w:r>
      <w:r w:rsidR="0015159A" w:rsidRPr="001F2C22">
        <w:t xml:space="preserve">PS </w:t>
      </w:r>
      <w:r w:rsidR="008D0D1B" w:rsidRPr="001F2C22">
        <w:t>NRL</w:t>
      </w:r>
      <w:r w:rsidRPr="006B6743">
        <w:t xml:space="preserve"> m</w:t>
      </w:r>
      <w:r w:rsidR="007E49D4" w:rsidRPr="006B6743">
        <w:t xml:space="preserve">ust </w:t>
      </w:r>
      <w:r w:rsidRPr="006B6743">
        <w:t xml:space="preserve">be concluded between the Private Sector Partner and </w:t>
      </w:r>
      <w:r w:rsidR="00C5071B" w:rsidRPr="006B6743">
        <w:t>UNDP’s</w:t>
      </w:r>
      <w:r w:rsidRPr="006B6743">
        <w:t xml:space="preserve"> Central or Regional Bureau</w:t>
      </w:r>
      <w:r w:rsidR="00C5071B" w:rsidRPr="006B6743">
        <w:t xml:space="preserve"> concerned</w:t>
      </w:r>
      <w:r w:rsidR="00973F88">
        <w:t xml:space="preserve"> on behalf of the Office or Business Unit </w:t>
      </w:r>
      <w:r w:rsidR="006E0ABF">
        <w:t xml:space="preserve">to </w:t>
      </w:r>
      <w:r w:rsidR="00973F88">
        <w:t xml:space="preserve">which </w:t>
      </w:r>
      <w:r w:rsidR="00C3721A">
        <w:t>the Specialist</w:t>
      </w:r>
      <w:r w:rsidR="006E0ABF">
        <w:t xml:space="preserve"> will be assigned</w:t>
      </w:r>
      <w:r w:rsidRPr="006B6743">
        <w:t xml:space="preserve">, </w:t>
      </w:r>
      <w:r w:rsidR="000F7A31" w:rsidRPr="006B6743">
        <w:t xml:space="preserve">through the signing of </w:t>
      </w:r>
      <w:r w:rsidR="000F7A31" w:rsidRPr="001F2C22">
        <w:t>a</w:t>
      </w:r>
      <w:r w:rsidR="004B33E8" w:rsidRPr="001F2C22">
        <w:t>n</w:t>
      </w:r>
      <w:r w:rsidR="000F7A31" w:rsidRPr="001F2C22">
        <w:t xml:space="preserve"> </w:t>
      </w:r>
      <w:r w:rsidR="004B33E8" w:rsidRPr="001F2C22">
        <w:t>agreement</w:t>
      </w:r>
      <w:r w:rsidR="000F7A31" w:rsidRPr="006B6743">
        <w:t xml:space="preserve"> containing all of the necessary terms and conditions, including those relating to the conduct of the Specialist (</w:t>
      </w:r>
      <w:r w:rsidR="004B33E8" w:rsidRPr="006B6743">
        <w:t xml:space="preserve">the </w:t>
      </w:r>
      <w:r w:rsidR="000F7A31" w:rsidRPr="006B6743">
        <w:t>“MOA”)</w:t>
      </w:r>
      <w:r w:rsidRPr="006B6743">
        <w:t xml:space="preserve">. </w:t>
      </w:r>
      <w:r w:rsidR="00DD18CB">
        <w:t>T</w:t>
      </w:r>
      <w:r w:rsidR="008C18CE" w:rsidRPr="006B6743">
        <w:t>he PS NRL MOA template associated with this policy</w:t>
      </w:r>
      <w:r w:rsidR="00DD18CB">
        <w:t xml:space="preserve"> is available </w:t>
      </w:r>
      <w:hyperlink r:id="rId12" w:history="1">
        <w:r w:rsidR="00DD18CB" w:rsidRPr="00265BD2">
          <w:rPr>
            <w:rStyle w:val="Hyperlink"/>
            <w:u w:val="single"/>
          </w:rPr>
          <w:t>h</w:t>
        </w:r>
        <w:r w:rsidR="00DD18CB" w:rsidRPr="00265BD2">
          <w:rPr>
            <w:rStyle w:val="Hyperlink"/>
            <w:u w:val="single"/>
          </w:rPr>
          <w:t>e</w:t>
        </w:r>
        <w:r w:rsidR="00DD18CB" w:rsidRPr="00265BD2">
          <w:rPr>
            <w:rStyle w:val="Hyperlink"/>
            <w:u w:val="single"/>
          </w:rPr>
          <w:t>r</w:t>
        </w:r>
        <w:r w:rsidR="00DD18CB" w:rsidRPr="00265BD2">
          <w:rPr>
            <w:rStyle w:val="Hyperlink"/>
            <w:u w:val="single"/>
          </w:rPr>
          <w:t>e</w:t>
        </w:r>
      </w:hyperlink>
      <w:r w:rsidR="00DB0F49" w:rsidRPr="006B6743">
        <w:t xml:space="preserve">.  </w:t>
      </w:r>
    </w:p>
    <w:p w14:paraId="1FE45968" w14:textId="37A89CC5" w:rsidR="00A82020" w:rsidRDefault="00A82020" w:rsidP="003D0DA7">
      <w:pPr>
        <w:pStyle w:val="Heading1"/>
      </w:pPr>
      <w:r w:rsidRPr="006B6743">
        <w:t xml:space="preserve">A </w:t>
      </w:r>
      <w:r w:rsidR="0015159A" w:rsidRPr="001F2C22">
        <w:t>PS</w:t>
      </w:r>
      <w:r w:rsidR="0015159A" w:rsidRPr="006B6743">
        <w:t xml:space="preserve"> </w:t>
      </w:r>
      <w:r w:rsidR="004B0262" w:rsidRPr="001F2C22">
        <w:t>NRL</w:t>
      </w:r>
      <w:r w:rsidRPr="006B6743">
        <w:t xml:space="preserve"> </w:t>
      </w:r>
      <w:r w:rsidR="004C6AE9" w:rsidRPr="006B6743">
        <w:t>must be</w:t>
      </w:r>
      <w:r w:rsidRPr="006B6743">
        <w:t xml:space="preserve"> without cost to UNDP</w:t>
      </w:r>
      <w:r w:rsidR="00512760" w:rsidRPr="006B6743">
        <w:t>, including with respect to</w:t>
      </w:r>
      <w:r w:rsidR="007A7975" w:rsidRPr="006B6743">
        <w:t xml:space="preserve"> </w:t>
      </w:r>
      <w:r w:rsidRPr="006B6743">
        <w:t>salary or remuneration, allowances, medical, dental and life insurance or other benefits</w:t>
      </w:r>
      <w:r w:rsidR="002C73F0" w:rsidRPr="006B6743">
        <w:t xml:space="preserve"> of the </w:t>
      </w:r>
      <w:r w:rsidR="0037229C" w:rsidRPr="006B6743">
        <w:t>person</w:t>
      </w:r>
      <w:r w:rsidR="002C73F0" w:rsidRPr="006B6743">
        <w:t xml:space="preserve"> provided on loan to UNDP</w:t>
      </w:r>
      <w:r w:rsidR="00512760" w:rsidRPr="006B6743">
        <w:t>, for which the</w:t>
      </w:r>
      <w:r w:rsidR="00C3756A" w:rsidRPr="006B6743">
        <w:t xml:space="preserve"> Private Sector </w:t>
      </w:r>
      <w:r w:rsidR="00512760" w:rsidRPr="006B6743">
        <w:t xml:space="preserve">Partner </w:t>
      </w:r>
      <w:r w:rsidR="00791575" w:rsidRPr="001F2C22">
        <w:t>is solely</w:t>
      </w:r>
      <w:r w:rsidR="00791575" w:rsidRPr="006B6743">
        <w:t xml:space="preserve"> </w:t>
      </w:r>
      <w:r w:rsidR="00512760" w:rsidRPr="006B6743">
        <w:t>responsible</w:t>
      </w:r>
      <w:r w:rsidRPr="006B6743">
        <w:t xml:space="preserve">. </w:t>
      </w:r>
      <w:r w:rsidR="00AC030F" w:rsidRPr="006B6743">
        <w:t>Consistent with</w:t>
      </w:r>
      <w:r w:rsidR="00C3756A" w:rsidRPr="006B6743">
        <w:t xml:space="preserve"> the premise of no cost to UNDP, the arrangement also requires the Private Sector Partner to be responsible for any liability associated with or arising from the </w:t>
      </w:r>
      <w:r w:rsidR="00341727" w:rsidRPr="006B6743">
        <w:t>performance</w:t>
      </w:r>
      <w:r w:rsidR="00C3756A" w:rsidRPr="006B6743">
        <w:t xml:space="preserve"> of the services and other activities of the </w:t>
      </w:r>
      <w:r w:rsidR="000F44B7" w:rsidRPr="006B6743">
        <w:t>Specialist while deployed to UNDP under the MOA.</w:t>
      </w:r>
    </w:p>
    <w:p w14:paraId="2E8306A9" w14:textId="77777777" w:rsidR="00E26E40" w:rsidRPr="00E26E40" w:rsidRDefault="00E26E40" w:rsidP="00E26E40">
      <w:pPr>
        <w:rPr>
          <w:lang w:val="en-CA"/>
        </w:rPr>
      </w:pPr>
    </w:p>
    <w:p w14:paraId="6AAAADE3" w14:textId="7A111D8B" w:rsidR="00A82020" w:rsidRPr="006B6743" w:rsidRDefault="00E3696C" w:rsidP="001B0550">
      <w:pPr>
        <w:pStyle w:val="Subtitle"/>
      </w:pPr>
      <w:r w:rsidRPr="006B6743">
        <w:lastRenderedPageBreak/>
        <w:t xml:space="preserve">Conditions </w:t>
      </w:r>
      <w:r w:rsidR="00FC742B" w:rsidRPr="006B6743">
        <w:t xml:space="preserve">of </w:t>
      </w:r>
      <w:r w:rsidR="0015159A" w:rsidRPr="001F2C22">
        <w:t xml:space="preserve">PS </w:t>
      </w:r>
      <w:r w:rsidR="00A06E33" w:rsidRPr="001F2C22">
        <w:t>NRLs</w:t>
      </w:r>
    </w:p>
    <w:p w14:paraId="30DDC5C4" w14:textId="77777777" w:rsidR="00A82020" w:rsidRPr="006B6743" w:rsidRDefault="00A82020" w:rsidP="00A82020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</w:p>
    <w:p w14:paraId="453E93D8" w14:textId="1D3C4AC6" w:rsidR="001A2F69" w:rsidRPr="006B6743" w:rsidRDefault="004E4387" w:rsidP="001B0550">
      <w:pPr>
        <w:pStyle w:val="Heading1"/>
      </w:pPr>
      <w:r w:rsidRPr="006B6743">
        <w:t xml:space="preserve">The Private Sector Partners are </w:t>
      </w:r>
      <w:r w:rsidR="00F46B0F" w:rsidRPr="006B6743">
        <w:t xml:space="preserve">subject </w:t>
      </w:r>
      <w:r w:rsidR="005A7B55" w:rsidRPr="006B6743">
        <w:rPr>
          <w:lang w:val="en-US"/>
        </w:rPr>
        <w:t xml:space="preserve">to </w:t>
      </w:r>
      <w:r w:rsidR="00DD6204" w:rsidRPr="006B6743">
        <w:rPr>
          <w:lang w:val="en-US"/>
        </w:rPr>
        <w:t xml:space="preserve">the </w:t>
      </w:r>
      <w:r w:rsidR="005A7B55" w:rsidRPr="006B6743">
        <w:rPr>
          <w:lang w:val="en-US"/>
        </w:rPr>
        <w:t>due diligence policies and procedures of UNDP</w:t>
      </w:r>
      <w:r w:rsidR="00DD6204" w:rsidRPr="006B6743">
        <w:rPr>
          <w:lang w:val="en-US"/>
        </w:rPr>
        <w:t xml:space="preserve"> for private sector partnerships</w:t>
      </w:r>
      <w:r w:rsidRPr="006B6743">
        <w:rPr>
          <w:lang w:val="en-US"/>
        </w:rPr>
        <w:t xml:space="preserve"> in addition to the specific requirements set forth in this </w:t>
      </w:r>
      <w:r w:rsidR="004C3788" w:rsidRPr="006B6743">
        <w:rPr>
          <w:lang w:val="en-US"/>
        </w:rPr>
        <w:t>p</w:t>
      </w:r>
      <w:r w:rsidRPr="006B6743">
        <w:rPr>
          <w:lang w:val="en-US"/>
        </w:rPr>
        <w:t>olicy</w:t>
      </w:r>
      <w:r w:rsidR="005A7B55" w:rsidRPr="006B6743">
        <w:rPr>
          <w:lang w:val="en-US"/>
        </w:rPr>
        <w:t>.</w:t>
      </w:r>
    </w:p>
    <w:p w14:paraId="67586128" w14:textId="62D0342A" w:rsidR="00A82020" w:rsidRPr="006B6743" w:rsidRDefault="007A2AE0" w:rsidP="001B0550">
      <w:pPr>
        <w:pStyle w:val="Heading1"/>
      </w:pPr>
      <w:r>
        <w:t>T</w:t>
      </w:r>
      <w:r w:rsidR="00B335DA" w:rsidRPr="006B6743">
        <w:t xml:space="preserve">he </w:t>
      </w:r>
      <w:r w:rsidR="004E4387" w:rsidRPr="006B6743">
        <w:t xml:space="preserve">Specialist </w:t>
      </w:r>
      <w:r w:rsidR="00F064A9" w:rsidRPr="006B6743">
        <w:t xml:space="preserve">loaned </w:t>
      </w:r>
      <w:r w:rsidR="00B335DA" w:rsidRPr="006B6743">
        <w:t xml:space="preserve">from </w:t>
      </w:r>
      <w:r w:rsidR="004E4387" w:rsidRPr="006B6743">
        <w:t>Private Sector Partner</w:t>
      </w:r>
      <w:r w:rsidR="00A717F5" w:rsidRPr="001F2C22">
        <w:t>s</w:t>
      </w:r>
      <w:r w:rsidR="004E4387" w:rsidRPr="006B6743">
        <w:t xml:space="preserve"> </w:t>
      </w:r>
      <w:r w:rsidR="00A82020" w:rsidRPr="006B6743">
        <w:t xml:space="preserve">may be </w:t>
      </w:r>
      <w:r w:rsidR="00341727" w:rsidRPr="006B6743">
        <w:t xml:space="preserve">deployed to provide </w:t>
      </w:r>
      <w:r w:rsidR="00A82020" w:rsidRPr="006B6743">
        <w:t xml:space="preserve">services </w:t>
      </w:r>
      <w:r w:rsidR="00341727" w:rsidRPr="006B6743">
        <w:t xml:space="preserve">to </w:t>
      </w:r>
      <w:r w:rsidR="00A82020" w:rsidRPr="006B6743">
        <w:rPr>
          <w:rFonts w:eastAsia="Times New Roman"/>
        </w:rPr>
        <w:t>any UNDP Office that is in a family duty station</w:t>
      </w:r>
      <w:r w:rsidR="00341727" w:rsidRPr="006B6743">
        <w:rPr>
          <w:rFonts w:eastAsia="Times New Roman"/>
        </w:rPr>
        <w:t>.  A</w:t>
      </w:r>
      <w:r w:rsidR="00A82020" w:rsidRPr="006B6743">
        <w:t xml:space="preserve">ny exception </w:t>
      </w:r>
      <w:r w:rsidR="00341727" w:rsidRPr="006B6743">
        <w:t xml:space="preserve">to the foregoing </w:t>
      </w:r>
      <w:r w:rsidR="00A82020" w:rsidRPr="006B6743">
        <w:t>must be approved by the UNDP Security Office.</w:t>
      </w:r>
    </w:p>
    <w:p w14:paraId="0382A6F8" w14:textId="7BA7E8B7" w:rsidR="00A82020" w:rsidRPr="001F2C22" w:rsidRDefault="0015159A" w:rsidP="001B0550">
      <w:pPr>
        <w:pStyle w:val="Heading1"/>
      </w:pPr>
      <w:r w:rsidRPr="001F2C22">
        <w:t xml:space="preserve">PS </w:t>
      </w:r>
      <w:r w:rsidR="005A5BD9" w:rsidRPr="001F2C22">
        <w:t>NRLs</w:t>
      </w:r>
      <w:r w:rsidR="00A82020" w:rsidRPr="006B6743">
        <w:t xml:space="preserve"> </w:t>
      </w:r>
      <w:r w:rsidR="004E4387" w:rsidRPr="006B6743">
        <w:t xml:space="preserve">are </w:t>
      </w:r>
      <w:r w:rsidR="00A82020" w:rsidRPr="006B6743">
        <w:t xml:space="preserve">temporary in </w:t>
      </w:r>
      <w:r w:rsidR="00A82020" w:rsidRPr="001F2C22">
        <w:t xml:space="preserve">nature </w:t>
      </w:r>
      <w:r w:rsidRPr="001F2C22">
        <w:t xml:space="preserve">and </w:t>
      </w:r>
      <w:r w:rsidR="007A45B2" w:rsidRPr="001F2C22">
        <w:t>may</w:t>
      </w:r>
      <w:r w:rsidRPr="001F2C22">
        <w:t xml:space="preserve"> </w:t>
      </w:r>
      <w:r w:rsidR="00A82020" w:rsidRPr="001F2C22">
        <w:t>not exceed two years</w:t>
      </w:r>
      <w:r w:rsidR="0037229C" w:rsidRPr="001F2C22">
        <w:t>.</w:t>
      </w:r>
      <w:r w:rsidR="00424D5F">
        <w:t xml:space="preserve"> </w:t>
      </w:r>
      <w:r w:rsidR="000C66A8">
        <w:t xml:space="preserve">A PS NRL </w:t>
      </w:r>
      <w:r w:rsidR="00424D5F">
        <w:t xml:space="preserve">may be extended </w:t>
      </w:r>
      <w:r w:rsidR="006738B6">
        <w:t>on</w:t>
      </w:r>
      <w:r w:rsidR="00A64519">
        <w:t>ce</w:t>
      </w:r>
      <w:r w:rsidR="006738B6">
        <w:t xml:space="preserve"> </w:t>
      </w:r>
      <w:r w:rsidR="00424D5F">
        <w:t>for a maximum of one year</w:t>
      </w:r>
      <w:r w:rsidR="00945337">
        <w:t xml:space="preserve"> on an exceptional basis</w:t>
      </w:r>
      <w:r w:rsidR="006738B6">
        <w:t>.</w:t>
      </w:r>
      <w:r w:rsidR="000C66A8">
        <w:t xml:space="preserve">  In such cases, the MOA must be amended.</w:t>
      </w:r>
    </w:p>
    <w:p w14:paraId="70C64D83" w14:textId="362F3146" w:rsidR="00A82020" w:rsidRPr="006B6743" w:rsidRDefault="00A82020" w:rsidP="001B0550">
      <w:pPr>
        <w:pStyle w:val="Heading1"/>
      </w:pPr>
      <w:r w:rsidRPr="006B6743">
        <w:t xml:space="preserve"> </w:t>
      </w:r>
      <w:r w:rsidR="00E23900" w:rsidRPr="006B6743">
        <w:t>UNDP</w:t>
      </w:r>
      <w:r w:rsidR="004E4387" w:rsidRPr="006B6743">
        <w:t xml:space="preserve"> </w:t>
      </w:r>
      <w:r w:rsidR="00FC17FD" w:rsidRPr="006B6743">
        <w:t>m</w:t>
      </w:r>
      <w:r w:rsidR="004E4387" w:rsidRPr="006B6743">
        <w:t>ay</w:t>
      </w:r>
      <w:r w:rsidR="00FC17FD" w:rsidRPr="006B6743">
        <w:t xml:space="preserve"> not </w:t>
      </w:r>
      <w:r w:rsidR="00FC17FD" w:rsidRPr="001F2C22">
        <w:t xml:space="preserve">use </w:t>
      </w:r>
      <w:r w:rsidR="00E579C6" w:rsidRPr="001F2C22">
        <w:t xml:space="preserve">the PS NRL to </w:t>
      </w:r>
      <w:r w:rsidR="00FC17FD" w:rsidRPr="001F2C22">
        <w:t>substitute</w:t>
      </w:r>
      <w:r w:rsidR="009D61FC" w:rsidRPr="001F2C22">
        <w:t xml:space="preserve">, </w:t>
      </w:r>
      <w:r w:rsidR="00FC17FD" w:rsidRPr="001F2C22">
        <w:t>supplement or replace staff member</w:t>
      </w:r>
      <w:r w:rsidR="00FC17FD" w:rsidRPr="006B6743">
        <w:t>s</w:t>
      </w:r>
      <w:r w:rsidR="00AD11EC" w:rsidRPr="006B6743">
        <w:t>.</w:t>
      </w:r>
      <w:r w:rsidR="00FC17FD" w:rsidRPr="006B6743">
        <w:t xml:space="preserve"> </w:t>
      </w:r>
      <w:r w:rsidRPr="006B6743">
        <w:rPr>
          <w:lang w:val="en-US"/>
        </w:rPr>
        <w:t xml:space="preserve"> </w:t>
      </w:r>
    </w:p>
    <w:p w14:paraId="1321A100" w14:textId="7E2641B1" w:rsidR="00A82020" w:rsidRPr="006B6743" w:rsidRDefault="00A82020" w:rsidP="001B0550">
      <w:pPr>
        <w:pStyle w:val="Subtitle"/>
      </w:pPr>
      <w:r w:rsidRPr="006B6743">
        <w:t xml:space="preserve">Legal status and obligations of </w:t>
      </w:r>
      <w:r w:rsidR="00B5326D">
        <w:t>Specialist</w:t>
      </w:r>
      <w:r w:rsidR="007B4D21">
        <w:t>s</w:t>
      </w:r>
    </w:p>
    <w:p w14:paraId="0C2A3F17" w14:textId="77777777" w:rsidR="00A82020" w:rsidRPr="006B6743" w:rsidRDefault="00A82020" w:rsidP="00A82020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</w:p>
    <w:p w14:paraId="4BC310C6" w14:textId="053A806B" w:rsidR="00A82020" w:rsidRPr="006B6743" w:rsidRDefault="00341727" w:rsidP="001F2C22">
      <w:pPr>
        <w:pStyle w:val="Heading1"/>
      </w:pPr>
      <w:r w:rsidRPr="006B6743">
        <w:t xml:space="preserve">A Specialist deployed to UNDP </w:t>
      </w:r>
      <w:r w:rsidR="00A82020" w:rsidRPr="006B6743">
        <w:t xml:space="preserve">on a </w:t>
      </w:r>
      <w:r w:rsidR="0015159A" w:rsidRPr="001F2C22">
        <w:t xml:space="preserve">PS </w:t>
      </w:r>
      <w:r w:rsidR="00D87F16" w:rsidRPr="001F2C22">
        <w:t>N</w:t>
      </w:r>
      <w:r w:rsidR="00653A7F" w:rsidRPr="001F2C22">
        <w:t>RL</w:t>
      </w:r>
      <w:r w:rsidR="00A82020" w:rsidRPr="006B6743">
        <w:t xml:space="preserve"> </w:t>
      </w:r>
      <w:r w:rsidRPr="006B6743">
        <w:t xml:space="preserve">is </w:t>
      </w:r>
      <w:r w:rsidR="00A82020" w:rsidRPr="006B6743">
        <w:t xml:space="preserve">not </w:t>
      </w:r>
      <w:r w:rsidRPr="006B6743">
        <w:t xml:space="preserve">a </w:t>
      </w:r>
      <w:r w:rsidR="00A82020" w:rsidRPr="006B6743">
        <w:t>staff member of UNDP or otherwise employed or contracted by UNDP. The contractual relationship</w:t>
      </w:r>
      <w:r w:rsidRPr="006B6743">
        <w:t xml:space="preserve"> for the provision of the Specialist’s support to UNDP through </w:t>
      </w:r>
      <w:r w:rsidR="004450BB" w:rsidRPr="006B6743">
        <w:t>a non-</w:t>
      </w:r>
      <w:r w:rsidRPr="006B6743">
        <w:t xml:space="preserve">reimbursable loan </w:t>
      </w:r>
      <w:r w:rsidR="00A82020" w:rsidRPr="006B6743">
        <w:t xml:space="preserve">is established between the </w:t>
      </w:r>
      <w:r w:rsidRPr="006B6743">
        <w:t xml:space="preserve">Private Sector Partner </w:t>
      </w:r>
      <w:r w:rsidR="00A82020" w:rsidRPr="006B6743">
        <w:t>providing the</w:t>
      </w:r>
      <w:r w:rsidR="006D3294" w:rsidRPr="006B6743">
        <w:t xml:space="preserve"> </w:t>
      </w:r>
      <w:r w:rsidRPr="006B6743">
        <w:t>Specialist</w:t>
      </w:r>
      <w:r w:rsidR="00A82020" w:rsidRPr="006B6743">
        <w:t xml:space="preserve"> and </w:t>
      </w:r>
      <w:proofErr w:type="gramStart"/>
      <w:r w:rsidR="00A82020" w:rsidRPr="006B6743">
        <w:t>UNDP</w:t>
      </w:r>
      <w:r w:rsidR="00703335" w:rsidRPr="006B6743">
        <w:t>, and</w:t>
      </w:r>
      <w:proofErr w:type="gramEnd"/>
      <w:r w:rsidR="00703335" w:rsidRPr="006B6743">
        <w:t xml:space="preserve"> is not subject to the </w:t>
      </w:r>
      <w:r w:rsidR="00A82020" w:rsidRPr="006B6743">
        <w:t xml:space="preserve">United Nations Staff Regulations or Rules. For the purpose of the Convention on Privileges and Immunities of the United Nations, </w:t>
      </w:r>
      <w:r w:rsidR="006238DA" w:rsidRPr="006B6743">
        <w:t>(the “Convention”), Specialists</w:t>
      </w:r>
      <w:r w:rsidR="00A82020" w:rsidRPr="006B6743">
        <w:t xml:space="preserve"> </w:t>
      </w:r>
      <w:r w:rsidR="0015159A" w:rsidRPr="001F2C22">
        <w:t>may be</w:t>
      </w:r>
      <w:r w:rsidR="0015159A" w:rsidRPr="006B6743">
        <w:t xml:space="preserve"> </w:t>
      </w:r>
      <w:r w:rsidR="00A82020" w:rsidRPr="006B6743">
        <w:t xml:space="preserve">considered ‘experts on mission’ within the meaning of </w:t>
      </w:r>
      <w:r w:rsidR="004E4387" w:rsidRPr="006B6743">
        <w:t xml:space="preserve">Article </w:t>
      </w:r>
      <w:r w:rsidR="00A82020" w:rsidRPr="006B6743">
        <w:t xml:space="preserve">VI, sections 22 and 23, of </w:t>
      </w:r>
      <w:r w:rsidR="006238DA" w:rsidRPr="006B6743">
        <w:t xml:space="preserve">the </w:t>
      </w:r>
      <w:r w:rsidR="00A82020" w:rsidRPr="006B6743">
        <w:t>Convention when performing functions for UNDP. If required by UNDP to travel, they may receive a United Nations travel certificate</w:t>
      </w:r>
      <w:r w:rsidR="003B7DE9" w:rsidRPr="006B6743">
        <w:t xml:space="preserve"> </w:t>
      </w:r>
      <w:r w:rsidR="003B7DE9" w:rsidRPr="001F2C22">
        <w:t>at UNDP’s discretion</w:t>
      </w:r>
      <w:r w:rsidR="00A82020" w:rsidRPr="006B6743">
        <w:t>.</w:t>
      </w:r>
      <w:r w:rsidR="00703335" w:rsidRPr="006B6743">
        <w:t xml:space="preserve"> </w:t>
      </w:r>
    </w:p>
    <w:p w14:paraId="388E9586" w14:textId="13F992F3" w:rsidR="00A82020" w:rsidRPr="006B6743" w:rsidRDefault="00703335" w:rsidP="001B0550">
      <w:pPr>
        <w:pStyle w:val="Heading1"/>
      </w:pPr>
      <w:r w:rsidRPr="006B6743">
        <w:t xml:space="preserve">UNDP does not have a direct contractual relationship with the </w:t>
      </w:r>
      <w:r w:rsidR="002E13B5" w:rsidRPr="006B6743">
        <w:t>Specialists</w:t>
      </w:r>
      <w:r w:rsidRPr="006B6743">
        <w:t xml:space="preserve">.  The only relationship is with the </w:t>
      </w:r>
      <w:r w:rsidR="002E13B5" w:rsidRPr="006B6743">
        <w:t xml:space="preserve">Private Sector Partner through the signing of a </w:t>
      </w:r>
      <w:r w:rsidR="00E908C7" w:rsidRPr="006B6743">
        <w:t>MOA</w:t>
      </w:r>
      <w:r w:rsidRPr="006B6743">
        <w:t xml:space="preserve">.  </w:t>
      </w:r>
      <w:r w:rsidR="002E13B5" w:rsidRPr="006B6743">
        <w:t xml:space="preserve">In addition, the Specialist </w:t>
      </w:r>
      <w:r w:rsidRPr="006B6743">
        <w:t>must</w:t>
      </w:r>
      <w:r w:rsidR="002E13B5" w:rsidRPr="006B6743">
        <w:t xml:space="preserve"> sign and </w:t>
      </w:r>
      <w:r w:rsidRPr="006B6743">
        <w:t xml:space="preserve">issue an undertaking to UNDP, in the format attached </w:t>
      </w:r>
      <w:r w:rsidR="002E13B5" w:rsidRPr="006B6743">
        <w:t>to the MOA</w:t>
      </w:r>
      <w:r w:rsidRPr="006B6743">
        <w:t xml:space="preserve"> </w:t>
      </w:r>
      <w:r w:rsidR="006238DA" w:rsidRPr="006B6743">
        <w:t xml:space="preserve">(the “Undertaking”), </w:t>
      </w:r>
      <w:r w:rsidRPr="006B6743">
        <w:t xml:space="preserve">before commencing </w:t>
      </w:r>
      <w:r w:rsidR="007B7377" w:rsidRPr="006B6743">
        <w:t>their</w:t>
      </w:r>
      <w:r w:rsidRPr="006B6743">
        <w:t xml:space="preserve"> </w:t>
      </w:r>
      <w:r w:rsidR="00D321C7" w:rsidRPr="006B6743">
        <w:t>A</w:t>
      </w:r>
      <w:r w:rsidRPr="006B6743">
        <w:t xml:space="preserve">ssignment. </w:t>
      </w:r>
      <w:r w:rsidR="006238DA" w:rsidRPr="006B6743">
        <w:t xml:space="preserve"> No Specialist may commence </w:t>
      </w:r>
      <w:r w:rsidR="000A4553" w:rsidRPr="006B6743">
        <w:t>their</w:t>
      </w:r>
      <w:r w:rsidR="006238DA" w:rsidRPr="006B6743">
        <w:t xml:space="preserve"> </w:t>
      </w:r>
      <w:r w:rsidR="00D321C7" w:rsidRPr="006B6743">
        <w:t xml:space="preserve">Assignment </w:t>
      </w:r>
      <w:r w:rsidR="006238DA" w:rsidRPr="006B6743">
        <w:t>with UNDP before providing the signed Undertaking.</w:t>
      </w:r>
      <w:r w:rsidRPr="006B6743">
        <w:t xml:space="preserve"> </w:t>
      </w:r>
      <w:r w:rsidR="00A82020" w:rsidRPr="006B6743">
        <w:t xml:space="preserve">During the performance of </w:t>
      </w:r>
      <w:r w:rsidR="001E5577" w:rsidRPr="006B6743">
        <w:t>their</w:t>
      </w:r>
      <w:r w:rsidR="00E908C7" w:rsidRPr="006B6743">
        <w:t xml:space="preserve"> </w:t>
      </w:r>
      <w:r w:rsidR="00D321C7" w:rsidRPr="006B6743">
        <w:t xml:space="preserve">Assignment </w:t>
      </w:r>
      <w:r w:rsidR="00A82020" w:rsidRPr="006B6743">
        <w:t xml:space="preserve">with UNDP, </w:t>
      </w:r>
      <w:r w:rsidR="002E13B5" w:rsidRPr="006B6743">
        <w:t xml:space="preserve">the Specialist will </w:t>
      </w:r>
      <w:r w:rsidR="00A82020" w:rsidRPr="006B6743">
        <w:t>be bound by the Standards of Conduct set out in ST/SGB/2002/9</w:t>
      </w:r>
      <w:r w:rsidR="006E2298">
        <w:t xml:space="preserve">, </w:t>
      </w:r>
      <w:r w:rsidR="00A82020" w:rsidRPr="006B6743">
        <w:t>binding on experts on mission</w:t>
      </w:r>
      <w:r w:rsidR="00A82020" w:rsidRPr="006B6743">
        <w:rPr>
          <w:rStyle w:val="FootnoteReference"/>
        </w:rPr>
        <w:footnoteReference w:id="2"/>
      </w:r>
      <w:r w:rsidR="00A82020" w:rsidRPr="006B6743">
        <w:t xml:space="preserve">, </w:t>
      </w:r>
      <w:r w:rsidR="00BB5A51" w:rsidRPr="006B6743">
        <w:t xml:space="preserve">the other provisions of the Undertaking attached </w:t>
      </w:r>
      <w:r w:rsidR="000C66A8">
        <w:t>to the MOA</w:t>
      </w:r>
      <w:r w:rsidR="00BB5A51" w:rsidRPr="006B6743">
        <w:t xml:space="preserve">, </w:t>
      </w:r>
      <w:r w:rsidR="00A82020" w:rsidRPr="006B6743">
        <w:t xml:space="preserve">and any </w:t>
      </w:r>
      <w:r w:rsidR="00BB5A51" w:rsidRPr="006B6743">
        <w:t xml:space="preserve">terms </w:t>
      </w:r>
      <w:r w:rsidR="00A82020" w:rsidRPr="006B6743">
        <w:t xml:space="preserve">agreed to by the </w:t>
      </w:r>
      <w:r w:rsidR="002E13B5" w:rsidRPr="006B6743">
        <w:t xml:space="preserve">Private Sector Partner </w:t>
      </w:r>
      <w:r w:rsidR="00A82020" w:rsidRPr="006B6743">
        <w:t xml:space="preserve">in the MOA. </w:t>
      </w:r>
      <w:r w:rsidR="00BB5A51" w:rsidRPr="006B6743">
        <w:t>Among other things, t</w:t>
      </w:r>
      <w:r w:rsidR="002E13B5" w:rsidRPr="006B6743">
        <w:t>he Specialist may</w:t>
      </w:r>
      <w:r w:rsidR="00A82020" w:rsidRPr="006B6743">
        <w:t xml:space="preserve"> neither seek nor accept instructions from authority external to UNDP</w:t>
      </w:r>
      <w:r w:rsidR="00F71A33" w:rsidRPr="006B6743">
        <w:t>, including governments</w:t>
      </w:r>
      <w:r w:rsidR="002E13B5" w:rsidRPr="006B6743">
        <w:t xml:space="preserve"> and the Private Sector Partner itself</w:t>
      </w:r>
      <w:r w:rsidR="00A82020" w:rsidRPr="006B6743">
        <w:t xml:space="preserve">. </w:t>
      </w:r>
      <w:r w:rsidR="002E13B5" w:rsidRPr="006B6743">
        <w:t xml:space="preserve">The Specialist may </w:t>
      </w:r>
      <w:r w:rsidR="00A82020" w:rsidRPr="006B6743">
        <w:t xml:space="preserve">not engage in any activity that is incompatible with the proper discharge of </w:t>
      </w:r>
      <w:r w:rsidR="007B7377" w:rsidRPr="006B6743">
        <w:t>their</w:t>
      </w:r>
      <w:r w:rsidR="002E13B5" w:rsidRPr="006B6743">
        <w:t xml:space="preserve"> </w:t>
      </w:r>
      <w:r w:rsidR="00A82020" w:rsidRPr="006B6743">
        <w:t>terms of reference. The</w:t>
      </w:r>
      <w:r w:rsidR="00E908C7" w:rsidRPr="006B6743">
        <w:t xml:space="preserve"> Specialist is </w:t>
      </w:r>
      <w:r w:rsidR="00A82020" w:rsidRPr="006B6743">
        <w:t>required to exercise the utmost discretion in all official business and may not communicate to any other person, authority</w:t>
      </w:r>
      <w:r w:rsidR="00F71A33" w:rsidRPr="006B6743">
        <w:t xml:space="preserve"> or government</w:t>
      </w:r>
      <w:r w:rsidR="00E908C7" w:rsidRPr="006B6743">
        <w:t>, nor to the Private Sector Partner,</w:t>
      </w:r>
      <w:r w:rsidR="00A82020" w:rsidRPr="006B6743">
        <w:t xml:space="preserve"> information known to the</w:t>
      </w:r>
      <w:r w:rsidR="00E908C7" w:rsidRPr="006B6743">
        <w:t xml:space="preserve"> Specialist</w:t>
      </w:r>
      <w:r w:rsidR="00150F8D" w:rsidRPr="006B6743">
        <w:t xml:space="preserve"> </w:t>
      </w:r>
      <w:r w:rsidR="00A82020" w:rsidRPr="006B6743">
        <w:t xml:space="preserve">by reason of </w:t>
      </w:r>
      <w:r w:rsidR="007B7377" w:rsidRPr="006B6743">
        <w:t>their</w:t>
      </w:r>
      <w:r w:rsidR="00A82020" w:rsidRPr="006B6743">
        <w:t xml:space="preserve"> work with UNDP that has not been made public, except in the course of the</w:t>
      </w:r>
      <w:r w:rsidR="00E908C7" w:rsidRPr="006B6743">
        <w:t xml:space="preserve"> Specialist’s </w:t>
      </w:r>
      <w:r w:rsidR="00A82020" w:rsidRPr="006B6743">
        <w:t>duties or by explicit authorization of UNDP</w:t>
      </w:r>
      <w:r w:rsidR="00E908C7" w:rsidRPr="006B6743">
        <w:t>, n</w:t>
      </w:r>
      <w:r w:rsidR="00A82020" w:rsidRPr="006B6743">
        <w:t>or shall the</w:t>
      </w:r>
      <w:r w:rsidR="00E908C7" w:rsidRPr="006B6743">
        <w:t xml:space="preserve"> Specialist </w:t>
      </w:r>
      <w:r w:rsidR="00A82020" w:rsidRPr="006B6743">
        <w:t>at any time use such information to private advantage. These obligations do not cease upon completion of the</w:t>
      </w:r>
      <w:r w:rsidR="00E908C7" w:rsidRPr="006B6743">
        <w:t xml:space="preserve"> Specialist’s </w:t>
      </w:r>
      <w:r w:rsidR="00D321C7" w:rsidRPr="006B6743">
        <w:t>A</w:t>
      </w:r>
      <w:r w:rsidR="00E908C7" w:rsidRPr="006B6743">
        <w:t>ssignment with UNDP</w:t>
      </w:r>
      <w:r w:rsidR="00A82020" w:rsidRPr="006B6743">
        <w:t>.</w:t>
      </w:r>
    </w:p>
    <w:p w14:paraId="27128F5C" w14:textId="77777777" w:rsidR="00560BB1" w:rsidRDefault="00560BB1">
      <w:pPr>
        <w:rPr>
          <w:rFonts w:asciiTheme="majorHAnsi" w:eastAsiaTheme="minorEastAsia" w:hAnsiTheme="majorHAnsi" w:cs="Arial"/>
          <w:sz w:val="22"/>
          <w:szCs w:val="22"/>
          <w:lang w:val="en-CA"/>
        </w:rPr>
      </w:pPr>
      <w:bookmarkStart w:id="0" w:name="_Ref177729527"/>
      <w:r>
        <w:br w:type="page"/>
      </w:r>
    </w:p>
    <w:p w14:paraId="2ED564B5" w14:textId="0A2420FF" w:rsidR="00A82020" w:rsidRPr="006B6743" w:rsidRDefault="00D409AB" w:rsidP="00FE678E">
      <w:pPr>
        <w:pStyle w:val="Heading1"/>
      </w:pPr>
      <w:r w:rsidRPr="001F2C22">
        <w:lastRenderedPageBreak/>
        <w:t>Each</w:t>
      </w:r>
      <w:r w:rsidRPr="006B6743">
        <w:t xml:space="preserve"> </w:t>
      </w:r>
      <w:r w:rsidR="00E908C7" w:rsidRPr="006B6743">
        <w:t>Specialist</w:t>
      </w:r>
      <w:r w:rsidR="00A82020" w:rsidRPr="006B6743">
        <w:t xml:space="preserve"> </w:t>
      </w:r>
      <w:r w:rsidR="00703335" w:rsidRPr="006B6743">
        <w:t>will</w:t>
      </w:r>
      <w:r w:rsidR="00A82020" w:rsidRPr="006B6743">
        <w:t>:</w:t>
      </w:r>
      <w:bookmarkEnd w:id="0"/>
    </w:p>
    <w:p w14:paraId="524C856B" w14:textId="40C20DA3" w:rsidR="00A82020" w:rsidRPr="001F2C22" w:rsidRDefault="00A82020" w:rsidP="00E97E23">
      <w:pPr>
        <w:pStyle w:val="p9"/>
        <w:numPr>
          <w:ilvl w:val="1"/>
          <w:numId w:val="25"/>
        </w:numPr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be given access to UNDP premises and systems in accordance with UNDP’s policy</w:t>
      </w:r>
      <w:r w:rsidR="00703335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,</w:t>
      </w:r>
      <w:r w:rsidR="00E908C7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except those specified in the MOA with the </w:t>
      </w:r>
      <w:r w:rsidR="00E908C7" w:rsidRPr="006B6743">
        <w:rPr>
          <w:rFonts w:asciiTheme="majorHAnsi" w:hAnsiTheme="majorHAnsi"/>
          <w:sz w:val="22"/>
          <w:szCs w:val="22"/>
        </w:rPr>
        <w:t xml:space="preserve">Private Sector Partner </w:t>
      </w:r>
      <w:r w:rsidR="009C57B6" w:rsidRPr="001F2C22">
        <w:rPr>
          <w:rFonts w:asciiTheme="majorHAnsi" w:eastAsiaTheme="minorEastAsia" w:hAnsiTheme="majorHAnsi" w:cs="Arial"/>
          <w:sz w:val="22"/>
          <w:szCs w:val="22"/>
        </w:rPr>
        <w:t>or decided from time to time by UNDP</w:t>
      </w:r>
      <w:r w:rsidR="00B5326D">
        <w:rPr>
          <w:rFonts w:asciiTheme="majorHAnsi" w:eastAsiaTheme="minorEastAsia" w:hAnsiTheme="majorHAnsi" w:cs="Arial"/>
          <w:sz w:val="22"/>
          <w:szCs w:val="22"/>
        </w:rPr>
        <w:t xml:space="preserve"> as being non-accessible to the </w:t>
      </w:r>
      <w:proofErr w:type="gramStart"/>
      <w:r w:rsidR="00B5326D">
        <w:rPr>
          <w:rFonts w:asciiTheme="majorHAnsi" w:eastAsiaTheme="minorEastAsia" w:hAnsiTheme="majorHAnsi" w:cs="Arial"/>
          <w:sz w:val="22"/>
          <w:szCs w:val="22"/>
        </w:rPr>
        <w:t>Specialist</w:t>
      </w:r>
      <w:r w:rsidR="009C57B6" w:rsidRPr="001F2C22">
        <w:rPr>
          <w:rFonts w:asciiTheme="majorHAnsi" w:eastAsiaTheme="minorEastAsia" w:hAnsiTheme="majorHAnsi" w:cs="Arial"/>
          <w:sz w:val="22"/>
          <w:szCs w:val="22"/>
        </w:rPr>
        <w:t>;</w:t>
      </w:r>
      <w:proofErr w:type="gramEnd"/>
    </w:p>
    <w:p w14:paraId="5CA73BBA" w14:textId="77777777" w:rsidR="00A82020" w:rsidRPr="006B6743" w:rsidRDefault="00A82020" w:rsidP="00E97E23">
      <w:pPr>
        <w:pStyle w:val="p9"/>
        <w:numPr>
          <w:ilvl w:val="1"/>
          <w:numId w:val="25"/>
        </w:numPr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complete all training courses deemed mandatory by </w:t>
      </w:r>
      <w:proofErr w:type="gramStart"/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UNDP;</w:t>
      </w:r>
      <w:proofErr w:type="gramEnd"/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</w:t>
      </w:r>
    </w:p>
    <w:p w14:paraId="16AB30F4" w14:textId="6667C74B" w:rsidR="00A82020" w:rsidRPr="006B6743" w:rsidRDefault="00703335" w:rsidP="00E97E23">
      <w:pPr>
        <w:pStyle w:val="p9"/>
        <w:numPr>
          <w:ilvl w:val="1"/>
          <w:numId w:val="25"/>
        </w:numPr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not </w:t>
      </w:r>
      <w:r w:rsidR="00A82020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exercise supervisory functions or commit UNDP financially or </w:t>
      </w:r>
      <w:proofErr w:type="gramStart"/>
      <w:r w:rsidR="00A82020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otherwise;</w:t>
      </w:r>
      <w:proofErr w:type="gramEnd"/>
    </w:p>
    <w:p w14:paraId="36556AED" w14:textId="58835AA0" w:rsidR="00DD1FE6" w:rsidRPr="006B6743" w:rsidRDefault="00C27776" w:rsidP="00E97E23">
      <w:pPr>
        <w:pStyle w:val="p9"/>
        <w:numPr>
          <w:ilvl w:val="1"/>
          <w:numId w:val="25"/>
        </w:numPr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n</w:t>
      </w:r>
      <w:r w:rsidR="00DD1FE6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ot be engaged in any project or activity</w:t>
      </w:r>
      <w:r w:rsidR="00BB5A51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for or</w:t>
      </w:r>
      <w:r w:rsidR="00DD1FE6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on behalf of UNDP that involves</w:t>
      </w:r>
      <w:r w:rsidR="00E908C7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or may involve</w:t>
      </w:r>
      <w:r w:rsidR="00DD1FE6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directly </w:t>
      </w:r>
      <w:r w:rsidR="00BB5A51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or indirectly </w:t>
      </w:r>
      <w:r w:rsidR="000561A8" w:rsidRPr="001F2C22">
        <w:rPr>
          <w:rFonts w:asciiTheme="majorHAnsi" w:eastAsiaTheme="minorEastAsia" w:hAnsiTheme="majorHAnsi" w:cs="Arial"/>
          <w:sz w:val="22"/>
          <w:szCs w:val="22"/>
          <w:lang w:val="en-CA"/>
        </w:rPr>
        <w:t>UNDP</w:t>
      </w:r>
      <w:r w:rsidR="000561A8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</w:t>
      </w:r>
      <w:r w:rsidR="00DD1FE6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engaging with the </w:t>
      </w:r>
      <w:r w:rsidR="00977A83" w:rsidRPr="006B6743">
        <w:rPr>
          <w:rFonts w:asciiTheme="majorHAnsi" w:hAnsiTheme="majorHAnsi"/>
          <w:sz w:val="22"/>
          <w:szCs w:val="22"/>
        </w:rPr>
        <w:t>Private Sector Partner</w:t>
      </w:r>
      <w:r w:rsidR="00E908C7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, </w:t>
      </w:r>
      <w:r w:rsidR="00C90AB1" w:rsidRPr="001F2C22">
        <w:rPr>
          <w:rFonts w:asciiTheme="majorHAnsi" w:eastAsiaTheme="minorEastAsia" w:hAnsiTheme="majorHAnsi" w:cs="Arial"/>
          <w:sz w:val="22"/>
          <w:szCs w:val="22"/>
          <w:lang w:val="en-CA"/>
        </w:rPr>
        <w:t>providing</w:t>
      </w:r>
      <w:r w:rsidR="00C90AB1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</w:t>
      </w:r>
      <w:r w:rsidR="00E908C7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financial benefit to the </w:t>
      </w:r>
      <w:r w:rsidR="00E908C7" w:rsidRPr="006B6743">
        <w:rPr>
          <w:rFonts w:asciiTheme="majorHAnsi" w:hAnsiTheme="majorHAnsi"/>
          <w:sz w:val="22"/>
          <w:szCs w:val="22"/>
        </w:rPr>
        <w:t>Private Sector Partner,</w:t>
      </w:r>
      <w:r w:rsidR="00DD1FE6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or that directly </w:t>
      </w:r>
      <w:r w:rsidR="00E908C7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or indirectly </w:t>
      </w:r>
      <w:r w:rsidR="00DD1FE6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impacts </w:t>
      </w:r>
      <w:r w:rsidR="00E908C7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or may impact </w:t>
      </w:r>
      <w:r w:rsidR="00DD1FE6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the interests of the </w:t>
      </w:r>
      <w:r w:rsidR="00E908C7" w:rsidRPr="006B6743">
        <w:rPr>
          <w:rFonts w:asciiTheme="majorHAnsi" w:hAnsiTheme="majorHAnsi"/>
          <w:sz w:val="22"/>
          <w:szCs w:val="22"/>
        </w:rPr>
        <w:t>Private Sector Partner</w:t>
      </w:r>
      <w:r w:rsidR="00C90AB1" w:rsidRPr="006B6743">
        <w:rPr>
          <w:rFonts w:asciiTheme="majorHAnsi" w:hAnsiTheme="majorHAnsi"/>
          <w:sz w:val="22"/>
          <w:szCs w:val="22"/>
        </w:rPr>
        <w:t xml:space="preserve"> </w:t>
      </w:r>
      <w:r w:rsidR="00C90AB1" w:rsidRPr="001F2C22">
        <w:rPr>
          <w:rFonts w:asciiTheme="majorHAnsi" w:hAnsiTheme="majorHAnsi"/>
          <w:sz w:val="22"/>
          <w:szCs w:val="22"/>
        </w:rPr>
        <w:t>vis-à-vis the UN</w:t>
      </w:r>
      <w:r w:rsidR="00FE678E" w:rsidRPr="001F2C22">
        <w:rPr>
          <w:rFonts w:asciiTheme="majorHAnsi" w:hAnsiTheme="majorHAnsi"/>
          <w:sz w:val="22"/>
          <w:szCs w:val="22"/>
        </w:rPr>
        <w:t>, including UNDP</w:t>
      </w:r>
      <w:r w:rsidR="001F3878" w:rsidRPr="006B6743">
        <w:rPr>
          <w:rFonts w:asciiTheme="majorHAnsi" w:hAnsiTheme="majorHAnsi"/>
          <w:sz w:val="22"/>
          <w:szCs w:val="22"/>
        </w:rPr>
        <w:t>.</w:t>
      </w:r>
      <w:r w:rsidR="007E4E1E">
        <w:rPr>
          <w:rStyle w:val="FootnoteReference"/>
          <w:rFonts w:asciiTheme="majorHAnsi" w:hAnsiTheme="majorHAnsi"/>
          <w:sz w:val="22"/>
          <w:szCs w:val="22"/>
        </w:rPr>
        <w:footnoteReference w:id="3"/>
      </w:r>
      <w:r w:rsidR="00E908C7" w:rsidRPr="006B6743">
        <w:rPr>
          <w:rFonts w:asciiTheme="majorHAnsi" w:hAnsiTheme="majorHAnsi"/>
          <w:sz w:val="22"/>
          <w:szCs w:val="22"/>
        </w:rPr>
        <w:t xml:space="preserve"> </w:t>
      </w:r>
    </w:p>
    <w:p w14:paraId="45BCD069" w14:textId="376F1F01" w:rsidR="00FC17FD" w:rsidRPr="006B6743" w:rsidRDefault="00FC17FD" w:rsidP="00A82020">
      <w:pPr>
        <w:pStyle w:val="p9"/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u w:val="single"/>
          <w:lang w:val="en-CA"/>
        </w:rPr>
      </w:pPr>
    </w:p>
    <w:p w14:paraId="522F2B2C" w14:textId="68873A7C" w:rsidR="00866174" w:rsidRPr="006B6743" w:rsidRDefault="007A4021" w:rsidP="001F2C22">
      <w:pPr>
        <w:pStyle w:val="Heading1"/>
      </w:pPr>
      <w:bookmarkStart w:id="1" w:name="_Ref168669206"/>
      <w:r w:rsidRPr="006B6743">
        <w:t>During the term of the Assignment, t</w:t>
      </w:r>
      <w:r w:rsidR="00866174" w:rsidRPr="006B6743">
        <w:t>he Specialist must be relieved from all responsibilities and duties in relation to the work at and of the Private Sector Partner. The</w:t>
      </w:r>
      <w:r w:rsidRPr="006B6743">
        <w:t xml:space="preserve"> Specialist </w:t>
      </w:r>
      <w:r w:rsidR="00866174" w:rsidRPr="006B6743">
        <w:t xml:space="preserve">shall be dedicated and report exclusively to UNDP to undertake the </w:t>
      </w:r>
      <w:r w:rsidR="00D321C7" w:rsidRPr="006B6743">
        <w:t>A</w:t>
      </w:r>
      <w:r w:rsidR="00866174" w:rsidRPr="006B6743">
        <w:t xml:space="preserve">ssignment under the terms of the </w:t>
      </w:r>
      <w:r w:rsidR="00D321C7" w:rsidRPr="006B6743">
        <w:t>MOA</w:t>
      </w:r>
      <w:r w:rsidR="00866174" w:rsidRPr="006B6743">
        <w:t xml:space="preserve">, </w:t>
      </w:r>
      <w:r w:rsidRPr="006B6743">
        <w:t xml:space="preserve">including </w:t>
      </w:r>
      <w:r w:rsidR="00866174" w:rsidRPr="006B6743">
        <w:t>the Terms of Reference (</w:t>
      </w:r>
      <w:proofErr w:type="spellStart"/>
      <w:r w:rsidR="00866174" w:rsidRPr="006B6743">
        <w:t>ToRs</w:t>
      </w:r>
      <w:proofErr w:type="spellEnd"/>
      <w:r w:rsidR="00866174" w:rsidRPr="006B6743">
        <w:t xml:space="preserve">) and the Undertaking, while </w:t>
      </w:r>
      <w:r w:rsidRPr="006B6743">
        <w:t xml:space="preserve">being </w:t>
      </w:r>
      <w:r w:rsidR="00866174" w:rsidRPr="006B6743">
        <w:t>on full pay and benefits from the Private Sector Partner.</w:t>
      </w:r>
      <w:r w:rsidR="007B4D21">
        <w:t xml:space="preserve">  The Specialist may not engage in outside activities except as expressly approved in writing by </w:t>
      </w:r>
      <w:r w:rsidR="00662576">
        <w:t>the Bureau Director</w:t>
      </w:r>
      <w:r w:rsidR="007B4D21">
        <w:t>.</w:t>
      </w:r>
    </w:p>
    <w:p w14:paraId="03BF7EC5" w14:textId="17FA0C5A" w:rsidR="00F52778" w:rsidRPr="006B6743" w:rsidRDefault="00F52778" w:rsidP="001B0550">
      <w:pPr>
        <w:pStyle w:val="Heading1"/>
        <w:rPr>
          <w:u w:val="single"/>
        </w:rPr>
      </w:pPr>
      <w:r w:rsidRPr="006B6743">
        <w:t xml:space="preserve">The Private Sector Partner may seek feedback from UNDP for purposes of the Specialist’s performance evaluation and </w:t>
      </w:r>
      <w:r w:rsidR="00E217DA" w:rsidRPr="006B6743">
        <w:t xml:space="preserve">talent </w:t>
      </w:r>
      <w:r w:rsidR="002F7925" w:rsidRPr="006B6743">
        <w:t>development</w:t>
      </w:r>
      <w:r w:rsidRPr="006B6743">
        <w:t xml:space="preserve">.  </w:t>
      </w:r>
      <w:r w:rsidR="00A90115" w:rsidRPr="001F2C22">
        <w:t>Notwithstanding the foregoing,</w:t>
      </w:r>
      <w:r w:rsidR="00A90115" w:rsidRPr="006B6743">
        <w:t xml:space="preserve"> </w:t>
      </w:r>
      <w:r w:rsidR="00CD47FF" w:rsidRPr="006B6743">
        <w:t>i</w:t>
      </w:r>
      <w:r w:rsidRPr="006B6743">
        <w:t xml:space="preserve">n no case </w:t>
      </w:r>
      <w:r w:rsidR="00BB5A51" w:rsidRPr="006B6743">
        <w:t xml:space="preserve">may </w:t>
      </w:r>
      <w:r w:rsidRPr="006B6743">
        <w:t xml:space="preserve">the Private Sector Partner request or the Specialist provide </w:t>
      </w:r>
      <w:r w:rsidR="005164A6" w:rsidRPr="006B6743">
        <w:t>any information that has not been made public</w:t>
      </w:r>
      <w:r w:rsidR="00BB5A51" w:rsidRPr="006B6743">
        <w:t>,</w:t>
      </w:r>
      <w:r w:rsidR="005164A6" w:rsidRPr="006B6743">
        <w:t xml:space="preserve"> </w:t>
      </w:r>
      <w:r w:rsidRPr="006B6743">
        <w:t xml:space="preserve">directly or indirectly known </w:t>
      </w:r>
      <w:r w:rsidR="00BB5A51" w:rsidRPr="006B6743">
        <w:t xml:space="preserve">by </w:t>
      </w:r>
      <w:r w:rsidRPr="006B6743">
        <w:t xml:space="preserve">or made known to, or incidentally acquired by, the Specialist by virtue of the Specialist’s </w:t>
      </w:r>
      <w:r w:rsidR="00D321C7" w:rsidRPr="006B6743">
        <w:t>A</w:t>
      </w:r>
      <w:r w:rsidRPr="006B6743">
        <w:t>ssignment with UNDP.</w:t>
      </w:r>
      <w:r w:rsidR="00C7093C" w:rsidRPr="006B6743">
        <w:t xml:space="preserve"> </w:t>
      </w:r>
      <w:bookmarkEnd w:id="1"/>
    </w:p>
    <w:p w14:paraId="4C460AEB" w14:textId="77777777" w:rsidR="00F52778" w:rsidRPr="006B6743" w:rsidRDefault="00F52778" w:rsidP="00A82020">
      <w:pPr>
        <w:pStyle w:val="p9"/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u w:val="single"/>
          <w:lang w:val="en-CA"/>
        </w:rPr>
      </w:pPr>
    </w:p>
    <w:p w14:paraId="0C92737D" w14:textId="2EBE0EAF" w:rsidR="00A82020" w:rsidRPr="006B6743" w:rsidRDefault="00A82020" w:rsidP="00A82020">
      <w:pPr>
        <w:pStyle w:val="p9"/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u w:val="single"/>
          <w:lang w:val="en-CA"/>
        </w:rPr>
      </w:pPr>
      <w:r w:rsidRPr="006B6743">
        <w:rPr>
          <w:rFonts w:asciiTheme="majorHAnsi" w:eastAsiaTheme="minorEastAsia" w:hAnsiTheme="majorHAnsi" w:cs="Arial"/>
          <w:sz w:val="22"/>
          <w:szCs w:val="22"/>
          <w:u w:val="single"/>
          <w:lang w:val="en-CA"/>
        </w:rPr>
        <w:t>Title rights</w:t>
      </w:r>
    </w:p>
    <w:p w14:paraId="6965458B" w14:textId="77777777" w:rsidR="00A82020" w:rsidRPr="006B6743" w:rsidRDefault="00A82020" w:rsidP="00A82020">
      <w:pPr>
        <w:pStyle w:val="p9"/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</w:p>
    <w:p w14:paraId="6D29DC1B" w14:textId="4133BCCB" w:rsidR="00A82020" w:rsidRPr="006B6743" w:rsidRDefault="00A82020" w:rsidP="001B0550">
      <w:pPr>
        <w:pStyle w:val="Heading1"/>
      </w:pPr>
      <w:r w:rsidRPr="006B6743">
        <w:t xml:space="preserve">The title rights, copyright rights and all other intellectual and/or ownership rights in any material produced by </w:t>
      </w:r>
      <w:r w:rsidR="00501F6F" w:rsidRPr="006B6743">
        <w:t xml:space="preserve">a </w:t>
      </w:r>
      <w:r w:rsidR="00F52778" w:rsidRPr="006B6743">
        <w:t xml:space="preserve">Specialist will </w:t>
      </w:r>
      <w:r w:rsidRPr="006B6743">
        <w:t>be vested exclusively in</w:t>
      </w:r>
      <w:r w:rsidR="00AD11EC" w:rsidRPr="006B6743">
        <w:t xml:space="preserve"> </w:t>
      </w:r>
      <w:r w:rsidRPr="006B6743">
        <w:t>and remain with UNDP.</w:t>
      </w:r>
    </w:p>
    <w:p w14:paraId="36A71B90" w14:textId="77777777" w:rsidR="00A82020" w:rsidRPr="006B6743" w:rsidRDefault="00A82020" w:rsidP="00A82020">
      <w:pPr>
        <w:pStyle w:val="p9"/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u w:val="single"/>
          <w:lang w:val="en-CA"/>
        </w:rPr>
      </w:pPr>
    </w:p>
    <w:p w14:paraId="43D935F5" w14:textId="65DE4D7E" w:rsidR="00A82020" w:rsidRPr="006B6743" w:rsidRDefault="008E5791" w:rsidP="00A82020">
      <w:pPr>
        <w:pStyle w:val="p9"/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u w:val="single"/>
          <w:lang w:val="en-CA"/>
        </w:rPr>
      </w:pPr>
      <w:r w:rsidRPr="006B6743">
        <w:rPr>
          <w:rFonts w:asciiTheme="majorHAnsi" w:eastAsiaTheme="minorEastAsia" w:hAnsiTheme="majorHAnsi" w:cs="Arial"/>
          <w:sz w:val="22"/>
          <w:szCs w:val="22"/>
          <w:u w:val="single"/>
          <w:lang w:val="en-CA"/>
        </w:rPr>
        <w:t xml:space="preserve">Process for </w:t>
      </w:r>
      <w:proofErr w:type="gramStart"/>
      <w:r w:rsidR="00F75865" w:rsidRPr="001F2C22">
        <w:rPr>
          <w:rFonts w:asciiTheme="majorHAnsi" w:eastAsiaTheme="minorEastAsia" w:hAnsiTheme="majorHAnsi" w:cs="Arial"/>
          <w:sz w:val="22"/>
          <w:szCs w:val="22"/>
          <w:u w:val="single"/>
          <w:lang w:val="en-CA"/>
        </w:rPr>
        <w:t>enter</w:t>
      </w:r>
      <w:r w:rsidR="001226A4" w:rsidRPr="001F2C22">
        <w:rPr>
          <w:rFonts w:asciiTheme="majorHAnsi" w:eastAsiaTheme="minorEastAsia" w:hAnsiTheme="majorHAnsi" w:cs="Arial"/>
          <w:sz w:val="22"/>
          <w:szCs w:val="22"/>
          <w:u w:val="single"/>
          <w:lang w:val="en-CA"/>
        </w:rPr>
        <w:t>ing</w:t>
      </w:r>
      <w:r w:rsidR="00F75865" w:rsidRPr="001F2C22">
        <w:rPr>
          <w:rFonts w:asciiTheme="majorHAnsi" w:eastAsiaTheme="minorEastAsia" w:hAnsiTheme="majorHAnsi" w:cs="Arial"/>
          <w:sz w:val="22"/>
          <w:szCs w:val="22"/>
          <w:u w:val="single"/>
          <w:lang w:val="en-CA"/>
        </w:rPr>
        <w:t xml:space="preserve"> into</w:t>
      </w:r>
      <w:proofErr w:type="gramEnd"/>
      <w:r w:rsidR="00F75865" w:rsidRPr="001F2C22">
        <w:rPr>
          <w:rFonts w:asciiTheme="majorHAnsi" w:eastAsiaTheme="minorEastAsia" w:hAnsiTheme="majorHAnsi" w:cs="Arial"/>
          <w:sz w:val="22"/>
          <w:szCs w:val="22"/>
          <w:u w:val="single"/>
          <w:lang w:val="en-CA"/>
        </w:rPr>
        <w:t xml:space="preserve"> a PS NRL </w:t>
      </w:r>
      <w:r w:rsidR="007B63E6" w:rsidRPr="001F2C22">
        <w:rPr>
          <w:rFonts w:asciiTheme="majorHAnsi" w:eastAsiaTheme="minorEastAsia" w:hAnsiTheme="majorHAnsi" w:cs="Arial"/>
          <w:sz w:val="22"/>
          <w:szCs w:val="22"/>
          <w:u w:val="single"/>
          <w:lang w:val="en-CA"/>
        </w:rPr>
        <w:t>arrangement</w:t>
      </w:r>
    </w:p>
    <w:p w14:paraId="7EF7DF40" w14:textId="77777777" w:rsidR="00A82020" w:rsidRPr="006B6743" w:rsidRDefault="00A82020" w:rsidP="00A82020">
      <w:pPr>
        <w:pStyle w:val="p9"/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</w:p>
    <w:p w14:paraId="063CA5FF" w14:textId="1C4FD296" w:rsidR="00A82020" w:rsidRPr="006B6743" w:rsidRDefault="00A82020" w:rsidP="00A50226">
      <w:pPr>
        <w:pStyle w:val="Heading1"/>
      </w:pPr>
      <w:r w:rsidRPr="006B6743">
        <w:t xml:space="preserve">The </w:t>
      </w:r>
      <w:r w:rsidR="008E5791" w:rsidRPr="006B6743">
        <w:t xml:space="preserve">process for requesting or accepting offers </w:t>
      </w:r>
      <w:r w:rsidR="00BE530A" w:rsidRPr="001F2C22">
        <w:t xml:space="preserve">to </w:t>
      </w:r>
      <w:proofErr w:type="gramStart"/>
      <w:r w:rsidR="00BE530A" w:rsidRPr="001F2C22">
        <w:t>enter into</w:t>
      </w:r>
      <w:proofErr w:type="gramEnd"/>
      <w:r w:rsidR="00BE530A" w:rsidRPr="001F2C22">
        <w:t xml:space="preserve"> a PS NRL arrangement</w:t>
      </w:r>
      <w:r w:rsidR="00BE530A" w:rsidRPr="006B6743">
        <w:t xml:space="preserve"> </w:t>
      </w:r>
      <w:r w:rsidR="008E5791" w:rsidRPr="006B6743">
        <w:t xml:space="preserve">from </w:t>
      </w:r>
      <w:r w:rsidR="001D4162" w:rsidRPr="001F2C22">
        <w:t xml:space="preserve">prospective </w:t>
      </w:r>
      <w:r w:rsidR="00F52778" w:rsidRPr="006B6743">
        <w:t>Private Sector Partner</w:t>
      </w:r>
      <w:r w:rsidR="00A10558" w:rsidRPr="006B6743">
        <w:t>(</w:t>
      </w:r>
      <w:r w:rsidR="00C7093C" w:rsidRPr="006B6743">
        <w:t>s</w:t>
      </w:r>
      <w:r w:rsidR="00A10558" w:rsidRPr="006B6743">
        <w:t>)</w:t>
      </w:r>
      <w:r w:rsidR="008E5791" w:rsidRPr="006B6743">
        <w:t>,</w:t>
      </w:r>
      <w:r w:rsidRPr="006B6743">
        <w:t xml:space="preserve"> include:</w:t>
      </w:r>
    </w:p>
    <w:p w14:paraId="192D75BB" w14:textId="0C73E154" w:rsidR="00391492" w:rsidRPr="006B6743" w:rsidRDefault="005E7E77" w:rsidP="00391492">
      <w:pPr>
        <w:pStyle w:val="p9"/>
        <w:numPr>
          <w:ilvl w:val="0"/>
          <w:numId w:val="7"/>
        </w:numPr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  <w:bookmarkStart w:id="2" w:name="_Hlk176510259"/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The Bureau concerned </w:t>
      </w:r>
      <w:r w:rsidR="003A1893" w:rsidRPr="001F2C22">
        <w:rPr>
          <w:rFonts w:asciiTheme="majorHAnsi" w:eastAsiaTheme="minorEastAsia" w:hAnsiTheme="majorHAnsi" w:cs="Arial"/>
          <w:sz w:val="22"/>
          <w:szCs w:val="22"/>
          <w:lang w:val="en-CA"/>
        </w:rPr>
        <w:t>commences</w:t>
      </w:r>
      <w:r w:rsidR="00B55F74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discussion of a potential non-reimbursable loan with prospective Private Sector Partner</w:t>
      </w:r>
      <w:r w:rsidR="0050273C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(</w:t>
      </w:r>
      <w:r w:rsidR="00B55F74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s</w:t>
      </w:r>
      <w:r w:rsidR="0050273C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)</w:t>
      </w:r>
      <w:r w:rsidR="00391492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, normally through one of the following means:</w:t>
      </w:r>
    </w:p>
    <w:p w14:paraId="66491082" w14:textId="77777777" w:rsidR="009013B3" w:rsidRPr="006B6743" w:rsidRDefault="009013B3" w:rsidP="001B0550">
      <w:pPr>
        <w:pStyle w:val="p9"/>
        <w:spacing w:line="238" w:lineRule="exact"/>
        <w:ind w:left="1080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</w:p>
    <w:p w14:paraId="000A4F3E" w14:textId="097ABBC7" w:rsidR="00391492" w:rsidRPr="006B6743" w:rsidRDefault="00391492" w:rsidP="00391492">
      <w:pPr>
        <w:pStyle w:val="p9"/>
        <w:numPr>
          <w:ilvl w:val="1"/>
          <w:numId w:val="7"/>
        </w:numPr>
        <w:spacing w:line="238" w:lineRule="exact"/>
        <w:jc w:val="both"/>
        <w:rPr>
          <w:rFonts w:asciiTheme="majorHAnsi" w:hAnsiTheme="majorHAnsi" w:cs="Arial"/>
          <w:lang w:val="en-CA"/>
        </w:rPr>
      </w:pP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UNDP may reach out to one or multiple prospective Private Sector Partners to discuss a potential partnership. UNDP may prepare in advance the </w:t>
      </w:r>
      <w:proofErr w:type="spellStart"/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ToRs</w:t>
      </w:r>
      <w:proofErr w:type="spellEnd"/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, listing the duties and functions and duration of the proposed </w:t>
      </w:r>
      <w:r w:rsidR="00D321C7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A</w:t>
      </w: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ssignment to be covered under a PS NRL, or start with general discussion on a partnership scheme, which may lead to a PS NRL. If discussing with multiple prospective Private Sector Partners, the Bureau will competitively analyse the offers/proposals received from the potential Private Sector Partners for their unique collaborative advantage, in order to select the prospective Private Sector Partner which will offer the PS NRL.</w:t>
      </w:r>
    </w:p>
    <w:p w14:paraId="1536A2DF" w14:textId="77777777" w:rsidR="009013B3" w:rsidRPr="006B6743" w:rsidRDefault="009013B3" w:rsidP="001B0550">
      <w:pPr>
        <w:pStyle w:val="p9"/>
        <w:spacing w:line="238" w:lineRule="exact"/>
        <w:ind w:left="1800"/>
        <w:jc w:val="both"/>
        <w:rPr>
          <w:rFonts w:asciiTheme="majorHAnsi" w:hAnsiTheme="majorHAnsi" w:cs="Arial"/>
          <w:lang w:val="en-CA"/>
        </w:rPr>
      </w:pPr>
    </w:p>
    <w:p w14:paraId="268EBBDE" w14:textId="77777777" w:rsidR="00391492" w:rsidRPr="006B6743" w:rsidRDefault="00391492" w:rsidP="00391492">
      <w:pPr>
        <w:pStyle w:val="p9"/>
        <w:numPr>
          <w:ilvl w:val="1"/>
          <w:numId w:val="7"/>
        </w:numPr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lastRenderedPageBreak/>
        <w:t xml:space="preserve">UNDP may prepare the </w:t>
      </w:r>
      <w:proofErr w:type="spellStart"/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ToRs</w:t>
      </w:r>
      <w:proofErr w:type="spellEnd"/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for a PS NRL and issue a call for proposal (</w:t>
      </w:r>
      <w:proofErr w:type="spellStart"/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CfP</w:t>
      </w:r>
      <w:proofErr w:type="spellEnd"/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) or expression of interest (</w:t>
      </w:r>
      <w:proofErr w:type="spellStart"/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EoI</w:t>
      </w:r>
      <w:proofErr w:type="spellEnd"/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).</w:t>
      </w:r>
    </w:p>
    <w:p w14:paraId="0D3B6221" w14:textId="77777777" w:rsidR="009013B3" w:rsidRPr="006B6743" w:rsidRDefault="009013B3" w:rsidP="001B0550">
      <w:pPr>
        <w:pStyle w:val="ListParagraph"/>
        <w:rPr>
          <w:rFonts w:asciiTheme="majorHAnsi" w:eastAsiaTheme="minorEastAsia" w:hAnsiTheme="majorHAnsi" w:cs="Arial"/>
          <w:sz w:val="22"/>
          <w:szCs w:val="22"/>
          <w:lang w:val="en-CA"/>
        </w:rPr>
      </w:pPr>
    </w:p>
    <w:p w14:paraId="4CC9EBEC" w14:textId="77777777" w:rsidR="00391492" w:rsidRPr="006B6743" w:rsidRDefault="00391492" w:rsidP="00391492">
      <w:pPr>
        <w:pStyle w:val="p9"/>
        <w:numPr>
          <w:ilvl w:val="1"/>
          <w:numId w:val="7"/>
        </w:numPr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A prospective Private Sector Partner may reach out to UNDP for a potential partnership.</w:t>
      </w:r>
    </w:p>
    <w:p w14:paraId="2AAFAC44" w14:textId="77777777" w:rsidR="00827396" w:rsidRPr="006B6743" w:rsidRDefault="00827396" w:rsidP="001B0550">
      <w:pPr>
        <w:pStyle w:val="p9"/>
        <w:spacing w:line="238" w:lineRule="exact"/>
        <w:ind w:left="1080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</w:p>
    <w:p w14:paraId="081514A2" w14:textId="3C003B27" w:rsidR="00BB5A51" w:rsidRPr="006B6743" w:rsidRDefault="00391492" w:rsidP="00A82020">
      <w:pPr>
        <w:pStyle w:val="p9"/>
        <w:numPr>
          <w:ilvl w:val="0"/>
          <w:numId w:val="7"/>
        </w:numPr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If </w:t>
      </w:r>
      <w:r w:rsidR="00446AD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the </w:t>
      </w:r>
      <w:proofErr w:type="spellStart"/>
      <w:r w:rsidR="00446AD3">
        <w:rPr>
          <w:rFonts w:asciiTheme="majorHAnsi" w:eastAsiaTheme="minorEastAsia" w:hAnsiTheme="majorHAnsi" w:cs="Arial"/>
          <w:sz w:val="22"/>
          <w:szCs w:val="22"/>
          <w:lang w:val="en-CA"/>
        </w:rPr>
        <w:t>ToR</w:t>
      </w:r>
      <w:proofErr w:type="spellEnd"/>
      <w:r w:rsidR="00446AD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is not prepared </w:t>
      </w: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under the process </w:t>
      </w:r>
      <w:r w:rsidR="007A4021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described in </w:t>
      </w: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a),</w:t>
      </w:r>
      <w:r w:rsidR="007A4021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above,</w:t>
      </w: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t</w:t>
      </w:r>
      <w:r w:rsidR="00A82020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he Bureau prepares </w:t>
      </w:r>
      <w:r w:rsidR="0009060C">
        <w:rPr>
          <w:rFonts w:asciiTheme="majorHAnsi" w:eastAsiaTheme="minorEastAsia" w:hAnsiTheme="majorHAnsi" w:cs="Arial"/>
          <w:sz w:val="22"/>
          <w:szCs w:val="22"/>
          <w:lang w:val="en-CA"/>
        </w:rPr>
        <w:t>it</w:t>
      </w:r>
      <w:r w:rsidR="00A82020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</w:t>
      </w:r>
      <w:r w:rsidR="00CC0935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in discussion with a specific prospective Private Sector Partner</w:t>
      </w:r>
      <w:r w:rsidR="00325775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based on their offer/capacity</w:t>
      </w:r>
      <w:r w:rsidR="00161C64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.</w:t>
      </w:r>
      <w:r w:rsidR="00A82020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</w:t>
      </w:r>
    </w:p>
    <w:p w14:paraId="75D188FB" w14:textId="7458795C" w:rsidR="00A82020" w:rsidRPr="006B6743" w:rsidRDefault="008A2233" w:rsidP="001F2C22">
      <w:pPr>
        <w:pStyle w:val="p9"/>
        <w:spacing w:line="238" w:lineRule="exact"/>
        <w:ind w:left="1080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</w:t>
      </w:r>
      <w:bookmarkEnd w:id="2"/>
    </w:p>
    <w:p w14:paraId="2C2B6763" w14:textId="5348DE92" w:rsidR="000F2DBD" w:rsidRPr="006B6743" w:rsidRDefault="000F2DBD" w:rsidP="00446892">
      <w:pPr>
        <w:pStyle w:val="p9"/>
        <w:numPr>
          <w:ilvl w:val="0"/>
          <w:numId w:val="7"/>
        </w:numPr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Once the Private Sector Partner is selected and the </w:t>
      </w:r>
      <w:proofErr w:type="spellStart"/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ToR</w:t>
      </w:r>
      <w:proofErr w:type="spellEnd"/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is finalized, the Private Sector Partner and the Bureau will agree on the </w:t>
      </w:r>
      <w:r w:rsidR="00A10558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individual </w:t>
      </w: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who will be offered to UNDP </w:t>
      </w:r>
      <w:r w:rsidR="00A10558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as the Specialist </w:t>
      </w: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through the </w:t>
      </w:r>
      <w:r w:rsidR="007B4D21">
        <w:rPr>
          <w:rFonts w:asciiTheme="majorHAnsi" w:eastAsiaTheme="minorEastAsia" w:hAnsiTheme="majorHAnsi" w:cs="Arial"/>
          <w:sz w:val="22"/>
          <w:szCs w:val="22"/>
          <w:lang w:val="en-CA"/>
        </w:rPr>
        <w:t>PS NRL</w:t>
      </w: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.</w:t>
      </w:r>
      <w:r w:rsidR="00FB6128">
        <w:rPr>
          <w:rStyle w:val="FootnoteReference"/>
          <w:rFonts w:asciiTheme="majorHAnsi" w:eastAsiaTheme="minorEastAsia" w:hAnsiTheme="majorHAnsi" w:cs="Arial"/>
          <w:sz w:val="22"/>
          <w:szCs w:val="22"/>
          <w:lang w:val="en-CA"/>
        </w:rPr>
        <w:footnoteReference w:id="4"/>
      </w: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In doing so, the Bureau may decide and agree with the selected Private Sector Partner </w:t>
      </w:r>
      <w:r w:rsidR="00821CB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to </w:t>
      </w:r>
      <w:r w:rsidR="002C5ABC">
        <w:rPr>
          <w:rFonts w:asciiTheme="majorHAnsi" w:eastAsiaTheme="minorEastAsia" w:hAnsiTheme="majorHAnsi" w:cs="Arial"/>
          <w:sz w:val="22"/>
          <w:szCs w:val="22"/>
          <w:lang w:val="en-CA"/>
        </w:rPr>
        <w:t>select the Specialist based on competition</w:t>
      </w:r>
      <w:r w:rsidR="00E55495">
        <w:rPr>
          <w:rFonts w:asciiTheme="majorHAnsi" w:eastAsiaTheme="minorEastAsia" w:hAnsiTheme="majorHAnsi" w:cs="Arial"/>
          <w:sz w:val="22"/>
          <w:szCs w:val="22"/>
          <w:lang w:val="en-CA"/>
        </w:rPr>
        <w:t>, with</w:t>
      </w: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the BMS/OHR Business partner assist</w:t>
      </w:r>
      <w:r w:rsidR="00E55495">
        <w:rPr>
          <w:rFonts w:asciiTheme="majorHAnsi" w:eastAsiaTheme="minorEastAsia" w:hAnsiTheme="majorHAnsi" w:cs="Arial"/>
          <w:sz w:val="22"/>
          <w:szCs w:val="22"/>
          <w:lang w:val="en-CA"/>
        </w:rPr>
        <w:t>ing</w:t>
      </w: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with the selection strategy.</w:t>
      </w:r>
      <w:r w:rsidR="00446892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If applicable, BMS/OHR will </w:t>
      </w:r>
      <w:r w:rsidR="004C1262">
        <w:rPr>
          <w:rFonts w:asciiTheme="majorHAnsi" w:eastAsiaTheme="minorEastAsia" w:hAnsiTheme="majorHAnsi" w:cs="Arial"/>
          <w:sz w:val="22"/>
          <w:szCs w:val="22"/>
          <w:lang w:val="en-CA"/>
        </w:rPr>
        <w:t>select</w:t>
      </w:r>
      <w:r w:rsidR="00446892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the </w:t>
      </w:r>
      <w:r w:rsidR="004C1262">
        <w:rPr>
          <w:rFonts w:asciiTheme="majorHAnsi" w:eastAsiaTheme="minorEastAsia" w:hAnsiTheme="majorHAnsi" w:cs="Arial"/>
          <w:sz w:val="22"/>
          <w:szCs w:val="22"/>
          <w:lang w:val="en-CA"/>
        </w:rPr>
        <w:t>Specialist</w:t>
      </w:r>
      <w:r w:rsidR="00446892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in accordance with the selection strategy.</w:t>
      </w:r>
    </w:p>
    <w:p w14:paraId="12A0151C" w14:textId="77777777" w:rsidR="000F2DBD" w:rsidRPr="006B6743" w:rsidRDefault="000F2DBD" w:rsidP="001B0550">
      <w:pPr>
        <w:pStyle w:val="p9"/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</w:p>
    <w:p w14:paraId="0280F26F" w14:textId="046C3F04" w:rsidR="00A82020" w:rsidRPr="006B6743" w:rsidRDefault="00C7093C" w:rsidP="00A82020">
      <w:pPr>
        <w:pStyle w:val="p9"/>
        <w:numPr>
          <w:ilvl w:val="0"/>
          <w:numId w:val="7"/>
        </w:numPr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The </w:t>
      </w:r>
      <w:r w:rsidRPr="006B6743">
        <w:rPr>
          <w:rFonts w:asciiTheme="majorHAnsi" w:hAnsiTheme="majorHAnsi"/>
          <w:sz w:val="22"/>
          <w:szCs w:val="22"/>
        </w:rPr>
        <w:t>Private Sector Partner</w:t>
      </w:r>
      <w:r w:rsidR="007718AC" w:rsidRPr="006B6743">
        <w:rPr>
          <w:rFonts w:asciiTheme="majorHAnsi" w:hAnsiTheme="majorHAnsi"/>
          <w:sz w:val="22"/>
          <w:szCs w:val="22"/>
        </w:rPr>
        <w:t xml:space="preserve"> </w:t>
      </w: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must</w:t>
      </w:r>
      <w:r w:rsidR="004E62FA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</w:t>
      </w:r>
      <w:r w:rsidR="00A82020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agree: </w:t>
      </w:r>
    </w:p>
    <w:p w14:paraId="27E13982" w14:textId="77777777" w:rsidR="00A82020" w:rsidRPr="006B6743" w:rsidRDefault="00A82020" w:rsidP="00A82020">
      <w:pPr>
        <w:pStyle w:val="p9"/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</w:p>
    <w:p w14:paraId="0667F804" w14:textId="6787D242" w:rsidR="00A82020" w:rsidRPr="006B6743" w:rsidRDefault="00812A70" w:rsidP="00A82020">
      <w:pPr>
        <w:pStyle w:val="p9"/>
        <w:numPr>
          <w:ilvl w:val="0"/>
          <w:numId w:val="10"/>
        </w:numPr>
        <w:spacing w:line="238" w:lineRule="exact"/>
        <w:ind w:left="1620" w:hanging="180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t</w:t>
      </w:r>
      <w:r w:rsidR="00A82020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o provide the services requested under subparagraph a) above, free of all costs</w:t>
      </w:r>
      <w:r w:rsidR="009B3B02" w:rsidRPr="001F2C22">
        <w:rPr>
          <w:rFonts w:asciiTheme="majorHAnsi" w:eastAsiaTheme="minorEastAsia" w:hAnsiTheme="majorHAnsi" w:cs="Arial"/>
          <w:sz w:val="22"/>
          <w:szCs w:val="22"/>
          <w:lang w:val="en-CA"/>
        </w:rPr>
        <w:t>, direct and contingent,</w:t>
      </w:r>
      <w:r w:rsidR="00A82020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to </w:t>
      </w:r>
      <w:proofErr w:type="gramStart"/>
      <w:r w:rsidR="00A82020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UNDP;</w:t>
      </w:r>
      <w:proofErr w:type="gramEnd"/>
    </w:p>
    <w:p w14:paraId="5DA25604" w14:textId="77777777" w:rsidR="00A82020" w:rsidRPr="006B6743" w:rsidRDefault="00A82020" w:rsidP="00A82020">
      <w:pPr>
        <w:pStyle w:val="p9"/>
        <w:spacing w:line="238" w:lineRule="exact"/>
        <w:ind w:left="1620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</w:p>
    <w:p w14:paraId="37CAC9DF" w14:textId="71082955" w:rsidR="00A82020" w:rsidRPr="006B6743" w:rsidRDefault="00C85469" w:rsidP="00A82020">
      <w:pPr>
        <w:pStyle w:val="p9"/>
        <w:numPr>
          <w:ilvl w:val="0"/>
          <w:numId w:val="10"/>
        </w:numPr>
        <w:spacing w:line="238" w:lineRule="exact"/>
        <w:ind w:left="1620" w:hanging="180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in conjunction with UNDP, </w:t>
      </w:r>
      <w:r w:rsidR="00812A70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t</w:t>
      </w:r>
      <w:r w:rsidR="00A82020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o the established value of the services</w:t>
      </w:r>
      <w:r w:rsidR="0025180D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, </w:t>
      </w:r>
      <w:r w:rsidR="0025180D" w:rsidRPr="0025180D">
        <w:rPr>
          <w:rFonts w:asciiTheme="majorHAnsi" w:eastAsiaTheme="minorEastAsia" w:hAnsiTheme="majorHAnsi" w:cs="Arial"/>
          <w:sz w:val="22"/>
          <w:szCs w:val="22"/>
          <w:lang w:val="en-CA"/>
        </w:rPr>
        <w:t>based on UNDP’s pro-forma costs for functions at a similar level</w:t>
      </w:r>
      <w:r w:rsidR="00946699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;</w:t>
      </w:r>
      <w:r w:rsidR="00560BB1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and</w:t>
      </w:r>
    </w:p>
    <w:p w14:paraId="79AF317F" w14:textId="77777777" w:rsidR="00A82020" w:rsidRPr="006B6743" w:rsidRDefault="00A82020" w:rsidP="00A82020">
      <w:pPr>
        <w:pStyle w:val="p9"/>
        <w:spacing w:line="238" w:lineRule="exact"/>
        <w:ind w:left="1620" w:hanging="180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</w:p>
    <w:p w14:paraId="510ACBE6" w14:textId="157491B0" w:rsidR="00A82020" w:rsidRPr="006B6743" w:rsidRDefault="00812A70" w:rsidP="00A82020">
      <w:pPr>
        <w:pStyle w:val="p9"/>
        <w:numPr>
          <w:ilvl w:val="0"/>
          <w:numId w:val="10"/>
        </w:numPr>
        <w:spacing w:line="238" w:lineRule="exact"/>
        <w:ind w:left="1620" w:hanging="180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i</w:t>
      </w:r>
      <w:r w:rsidR="00A82020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n accordance with the principles of full cost recovery on in-kind contributions, to pay eight percent (8%) of the value of the services </w:t>
      </w:r>
      <w:r w:rsidR="00C85469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as determined in accordance with </w:t>
      </w:r>
      <w:r w:rsidR="003E5928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subparagraph </w:t>
      </w:r>
      <w:r w:rsidR="00C85469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ii</w:t>
      </w:r>
      <w:r w:rsidR="003E5928">
        <w:rPr>
          <w:rFonts w:asciiTheme="majorHAnsi" w:eastAsiaTheme="minorEastAsia" w:hAnsiTheme="majorHAnsi" w:cs="Arial"/>
          <w:sz w:val="22"/>
          <w:szCs w:val="22"/>
          <w:lang w:val="en-CA"/>
        </w:rPr>
        <w:t>.</w:t>
      </w:r>
      <w:r w:rsidR="00C85469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above, </w:t>
      </w:r>
      <w:r w:rsidR="000244D7" w:rsidRPr="001F2C22">
        <w:rPr>
          <w:rFonts w:asciiTheme="majorHAnsi" w:eastAsiaTheme="minorEastAsia" w:hAnsiTheme="majorHAnsi" w:cs="Arial"/>
          <w:sz w:val="22"/>
          <w:szCs w:val="22"/>
          <w:lang w:val="en-CA"/>
        </w:rPr>
        <w:t>as GMS</w:t>
      </w:r>
      <w:r w:rsidR="00446892" w:rsidRPr="001F2C22">
        <w:rPr>
          <w:rFonts w:asciiTheme="majorHAnsi" w:eastAsiaTheme="minorEastAsia" w:hAnsiTheme="majorHAnsi" w:cs="Arial"/>
          <w:sz w:val="22"/>
          <w:szCs w:val="22"/>
          <w:lang w:val="en-CA"/>
        </w:rPr>
        <w:t>.</w:t>
      </w:r>
    </w:p>
    <w:p w14:paraId="263D0CA6" w14:textId="77777777" w:rsidR="00A82020" w:rsidRPr="006B6743" w:rsidRDefault="00A82020" w:rsidP="00A82020">
      <w:pPr>
        <w:pStyle w:val="ListParagraph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</w:p>
    <w:p w14:paraId="0F1B0AD5" w14:textId="7B83F0F9" w:rsidR="00A82020" w:rsidRPr="006B6743" w:rsidRDefault="00A82020" w:rsidP="00A82020">
      <w:pPr>
        <w:pStyle w:val="p9"/>
        <w:numPr>
          <w:ilvl w:val="0"/>
          <w:numId w:val="7"/>
        </w:numPr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Certification by the requesting </w:t>
      </w:r>
      <w:r w:rsidR="00AD11EC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Bureau</w:t>
      </w: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that the proposal does not directly or indirectly involve additional financial liability for UNDP, except as </w:t>
      </w:r>
      <w:r w:rsidR="00586ACB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set forth </w:t>
      </w: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in the MOA</w:t>
      </w:r>
      <w:r w:rsidR="005A73D1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template</w:t>
      </w:r>
      <w:r w:rsidR="00446892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.</w:t>
      </w:r>
    </w:p>
    <w:p w14:paraId="1B7B4EA5" w14:textId="77777777" w:rsidR="00A82020" w:rsidRPr="006B6743" w:rsidRDefault="00A82020" w:rsidP="00A82020">
      <w:pPr>
        <w:pStyle w:val="p9"/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</w:p>
    <w:p w14:paraId="6484CB6F" w14:textId="2AD532F7" w:rsidR="00A82020" w:rsidRPr="006B6743" w:rsidRDefault="00A82020" w:rsidP="00A82020">
      <w:pPr>
        <w:pStyle w:val="p9"/>
        <w:numPr>
          <w:ilvl w:val="0"/>
          <w:numId w:val="7"/>
        </w:numPr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Review of the MOA by </w:t>
      </w:r>
      <w:r w:rsidR="002839D3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BMS/</w:t>
      </w:r>
      <w:proofErr w:type="gramStart"/>
      <w:r w:rsidR="002839D3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OLS</w:t>
      </w: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, if</w:t>
      </w:r>
      <w:proofErr w:type="gramEnd"/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 xml:space="preserve"> any changes to the MOA template are made</w:t>
      </w:r>
      <w:r w:rsidR="00446892"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>.</w:t>
      </w:r>
    </w:p>
    <w:p w14:paraId="0718B72B" w14:textId="77777777" w:rsidR="00930959" w:rsidRPr="006B6743" w:rsidRDefault="00930959" w:rsidP="001B0550">
      <w:pPr>
        <w:pStyle w:val="ListParagraph"/>
        <w:rPr>
          <w:rFonts w:asciiTheme="majorHAnsi" w:eastAsiaTheme="minorEastAsia" w:hAnsiTheme="majorHAnsi" w:cs="Arial"/>
          <w:sz w:val="22"/>
          <w:szCs w:val="22"/>
          <w:lang w:val="en-CA"/>
        </w:rPr>
      </w:pPr>
    </w:p>
    <w:p w14:paraId="36A58E58" w14:textId="77777777" w:rsidR="00930959" w:rsidRPr="006B6743" w:rsidRDefault="00930959" w:rsidP="00930959">
      <w:pPr>
        <w:pStyle w:val="p9"/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u w:val="single"/>
          <w:lang w:val="en-CA"/>
        </w:rPr>
      </w:pPr>
    </w:p>
    <w:p w14:paraId="256666A1" w14:textId="71423048" w:rsidR="00930959" w:rsidRPr="006B6743" w:rsidRDefault="00930959" w:rsidP="00930959">
      <w:pPr>
        <w:pStyle w:val="p9"/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u w:val="single"/>
          <w:lang w:val="en-CA"/>
        </w:rPr>
      </w:pPr>
      <w:r w:rsidRPr="006B6743">
        <w:rPr>
          <w:rFonts w:asciiTheme="majorHAnsi" w:eastAsiaTheme="minorEastAsia" w:hAnsiTheme="majorHAnsi" w:cs="Arial" w:hint="eastAsia"/>
          <w:sz w:val="22"/>
          <w:szCs w:val="22"/>
          <w:u w:val="single"/>
          <w:lang w:val="en-CA" w:eastAsia="ja-JP"/>
        </w:rPr>
        <w:t>Due diligence requirements</w:t>
      </w:r>
      <w:r w:rsidRPr="006B6743">
        <w:rPr>
          <w:rFonts w:asciiTheme="majorHAnsi" w:eastAsiaTheme="minorEastAsia" w:hAnsiTheme="majorHAnsi" w:cs="Arial"/>
          <w:sz w:val="22"/>
          <w:szCs w:val="22"/>
          <w:u w:val="single"/>
          <w:lang w:val="en-CA"/>
        </w:rPr>
        <w:t xml:space="preserve"> </w:t>
      </w:r>
    </w:p>
    <w:p w14:paraId="5EA0C11D" w14:textId="77777777" w:rsidR="00930959" w:rsidRPr="006B6743" w:rsidRDefault="00930959" w:rsidP="00930959">
      <w:pPr>
        <w:pStyle w:val="p9"/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u w:val="single"/>
          <w:lang w:val="en-CA"/>
        </w:rPr>
      </w:pPr>
    </w:p>
    <w:p w14:paraId="33B23862" w14:textId="0BDDB9A9" w:rsidR="00930959" w:rsidRPr="006B6743" w:rsidRDefault="00930959" w:rsidP="001B0550">
      <w:pPr>
        <w:pStyle w:val="Heading1"/>
        <w:ind w:left="648"/>
      </w:pPr>
      <w:r w:rsidRPr="006B6743">
        <w:rPr>
          <w:rFonts w:hint="eastAsia"/>
          <w:lang w:eastAsia="ja-JP"/>
        </w:rPr>
        <w:t>Throughout the process, t</w:t>
      </w:r>
      <w:r w:rsidRPr="006B6743">
        <w:t xml:space="preserve">he Bureau </w:t>
      </w:r>
      <w:r w:rsidRPr="006B6743">
        <w:rPr>
          <w:rFonts w:hint="eastAsia"/>
          <w:lang w:eastAsia="ja-JP"/>
        </w:rPr>
        <w:t xml:space="preserve">must </w:t>
      </w:r>
      <w:r w:rsidRPr="006B6743">
        <w:t>undertake appropriate due diligence of the prospective</w:t>
      </w:r>
      <w:r w:rsidRPr="006B6743">
        <w:rPr>
          <w:rFonts w:hint="eastAsia"/>
          <w:lang w:eastAsia="ja-JP"/>
        </w:rPr>
        <w:t xml:space="preserve"> or selected</w:t>
      </w:r>
      <w:r w:rsidRPr="006B6743">
        <w:t xml:space="preserve"> Private Sector Partner</w:t>
      </w:r>
      <w:r w:rsidRPr="001F2C22">
        <w:t>(s)</w:t>
      </w:r>
      <w:r w:rsidRPr="006B6743">
        <w:t xml:space="preserve"> in accordance with UNDP’s </w:t>
      </w:r>
      <w:hyperlink r:id="rId13" w:history="1">
        <w:r w:rsidRPr="006B6743">
          <w:rPr>
            <w:rStyle w:val="Hyperlink"/>
            <w:rFonts w:ascii="Calibri" w:hAnsi="Calibri" w:cs="Calibri"/>
          </w:rPr>
          <w:t xml:space="preserve">Policy </w:t>
        </w:r>
        <w:r w:rsidR="001F2C22">
          <w:rPr>
            <w:rStyle w:val="Hyperlink"/>
            <w:rFonts w:ascii="Calibri" w:hAnsi="Calibri" w:cs="Calibri"/>
          </w:rPr>
          <w:t>on</w:t>
        </w:r>
        <w:r w:rsidRPr="006B6743">
          <w:rPr>
            <w:rStyle w:val="Hyperlink"/>
            <w:rFonts w:ascii="Calibri" w:hAnsi="Calibri" w:cs="Calibri"/>
          </w:rPr>
          <w:t xml:space="preserve"> Due Diligence and Partnerships with the Private Sector</w:t>
        </w:r>
      </w:hyperlink>
      <w:r w:rsidRPr="006B6743">
        <w:rPr>
          <w:rFonts w:ascii="Calibri" w:hAnsi="Calibri" w:cs="Calibri"/>
        </w:rPr>
        <w:t> </w:t>
      </w:r>
      <w:r w:rsidRPr="006B6743">
        <w:rPr>
          <w:rFonts w:ascii="Calibri" w:eastAsia="Calibri" w:hAnsi="Calibri"/>
          <w:kern w:val="2"/>
          <w14:ligatures w14:val="standardContextual"/>
        </w:rPr>
        <w:t xml:space="preserve">and related </w:t>
      </w:r>
      <w:r w:rsidRPr="008266BA">
        <w:rPr>
          <w:rFonts w:ascii="Calibri" w:eastAsia="Calibri" w:hAnsi="Calibri"/>
          <w:kern w:val="2"/>
          <w14:ligatures w14:val="standardContextual"/>
        </w:rPr>
        <w:t>procedures</w:t>
      </w:r>
      <w:r w:rsidR="008266BA">
        <w:rPr>
          <w:rFonts w:ascii="Calibri" w:eastAsia="Calibri" w:hAnsi="Calibri"/>
          <w:kern w:val="2"/>
          <w14:ligatures w14:val="standardContextual"/>
        </w:rPr>
        <w:t>.</w:t>
      </w:r>
    </w:p>
    <w:p w14:paraId="50D7EFD6" w14:textId="77777777" w:rsidR="00930959" w:rsidRPr="006B6743" w:rsidRDefault="00930959" w:rsidP="001B0550">
      <w:pPr>
        <w:pStyle w:val="p9"/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</w:p>
    <w:p w14:paraId="07FFE0EB" w14:textId="7C89FFEF" w:rsidR="007E63AA" w:rsidRPr="006B6743" w:rsidRDefault="002D1123" w:rsidP="000D5087">
      <w:pPr>
        <w:pStyle w:val="p9"/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u w:val="single"/>
          <w:lang w:val="en-CA"/>
        </w:rPr>
      </w:pPr>
      <w:r w:rsidRPr="006B6743">
        <w:rPr>
          <w:rFonts w:asciiTheme="majorHAnsi" w:eastAsiaTheme="minorEastAsia" w:hAnsiTheme="majorHAnsi" w:cs="Arial"/>
          <w:sz w:val="22"/>
          <w:szCs w:val="22"/>
          <w:u w:val="single"/>
          <w:lang w:val="en-CA"/>
        </w:rPr>
        <w:t>Formalization of the non-reimbursable loan</w:t>
      </w:r>
      <w:r w:rsidR="000D5087" w:rsidRPr="006B6743">
        <w:rPr>
          <w:rFonts w:asciiTheme="majorHAnsi" w:eastAsiaTheme="minorEastAsia" w:hAnsiTheme="majorHAnsi" w:cs="Arial"/>
          <w:sz w:val="22"/>
          <w:szCs w:val="22"/>
          <w:u w:val="single"/>
          <w:lang w:val="en-CA"/>
        </w:rPr>
        <w:t xml:space="preserve"> </w:t>
      </w:r>
    </w:p>
    <w:p w14:paraId="26F367A6" w14:textId="62DC255E" w:rsidR="007E63AA" w:rsidRPr="006B6743" w:rsidRDefault="007E63AA">
      <w:pPr>
        <w:pStyle w:val="ListParagraph"/>
        <w:rPr>
          <w:rFonts w:asciiTheme="majorHAnsi" w:eastAsiaTheme="minorEastAsia" w:hAnsiTheme="majorHAnsi" w:cs="Arial"/>
          <w:sz w:val="22"/>
          <w:szCs w:val="22"/>
          <w:lang w:val="en-CA"/>
        </w:rPr>
      </w:pPr>
    </w:p>
    <w:p w14:paraId="6399FFE3" w14:textId="32F7EC1F" w:rsidR="0078512D" w:rsidRPr="006B6743" w:rsidRDefault="0078512D" w:rsidP="001B0550">
      <w:pPr>
        <w:pStyle w:val="Heading1"/>
        <w:ind w:left="648"/>
      </w:pPr>
      <w:r w:rsidRPr="006B6743">
        <w:t>Formali</w:t>
      </w:r>
      <w:r w:rsidR="00022DE9" w:rsidRPr="006B6743">
        <w:t>z</w:t>
      </w:r>
      <w:r w:rsidRPr="006B6743">
        <w:t xml:space="preserve">ation of the </w:t>
      </w:r>
      <w:r w:rsidR="001D4162" w:rsidRPr="006B6743">
        <w:t>MOA</w:t>
      </w:r>
      <w:r w:rsidRPr="006B6743">
        <w:t xml:space="preserve"> between UNDP </w:t>
      </w:r>
      <w:r w:rsidR="004A7F8E" w:rsidRPr="006B6743">
        <w:t xml:space="preserve">and the </w:t>
      </w:r>
      <w:r w:rsidR="006B76EC" w:rsidRPr="006B6743">
        <w:t xml:space="preserve">Private Sector </w:t>
      </w:r>
      <w:r w:rsidRPr="006B6743">
        <w:t xml:space="preserve">Partner will adhere to </w:t>
      </w:r>
      <w:r w:rsidR="00473D33" w:rsidRPr="006B6743">
        <w:t xml:space="preserve">this </w:t>
      </w:r>
      <w:r w:rsidR="00930959" w:rsidRPr="006B6743">
        <w:rPr>
          <w:rFonts w:hint="eastAsia"/>
          <w:lang w:eastAsia="ja-JP"/>
        </w:rPr>
        <w:t>p</w:t>
      </w:r>
      <w:r w:rsidR="00473D33" w:rsidRPr="006B6743">
        <w:t>olicy</w:t>
      </w:r>
      <w:r w:rsidR="00930959" w:rsidRPr="006B6743">
        <w:rPr>
          <w:rFonts w:hint="eastAsia"/>
          <w:lang w:eastAsia="ja-JP"/>
        </w:rPr>
        <w:t xml:space="preserve">, as well as relevant requirements under </w:t>
      </w:r>
      <w:r w:rsidRPr="006B6743">
        <w:t xml:space="preserve">UNDP’s </w:t>
      </w:r>
      <w:hyperlink r:id="rId14" w:history="1">
        <w:r w:rsidRPr="00E922BE">
          <w:rPr>
            <w:rStyle w:val="Hyperlink"/>
            <w:rFonts w:ascii="Calibri" w:hAnsi="Calibri"/>
            <w:kern w:val="2"/>
            <w14:ligatures w14:val="standardContextual"/>
          </w:rPr>
          <w:t>Private Sector Partnerships</w:t>
        </w:r>
      </w:hyperlink>
      <w:r w:rsidRPr="006B6743">
        <w:t xml:space="preserve"> Policy and Procedures</w:t>
      </w:r>
      <w:r w:rsidR="00930959" w:rsidRPr="006B6743">
        <w:rPr>
          <w:rFonts w:hint="eastAsia"/>
          <w:lang w:eastAsia="ja-JP"/>
        </w:rPr>
        <w:t>.</w:t>
      </w:r>
      <w:r w:rsidRPr="006B6743">
        <w:t xml:space="preserve">   </w:t>
      </w:r>
    </w:p>
    <w:p w14:paraId="450B9F7E" w14:textId="77777777" w:rsidR="00A82020" w:rsidRDefault="00A82020" w:rsidP="00A82020">
      <w:pPr>
        <w:pStyle w:val="p9"/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</w:p>
    <w:p w14:paraId="11146154" w14:textId="77777777" w:rsidR="00E26E40" w:rsidRDefault="00E26E40" w:rsidP="00A82020">
      <w:pPr>
        <w:pStyle w:val="p9"/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</w:p>
    <w:p w14:paraId="08540A42" w14:textId="77777777" w:rsidR="00E26E40" w:rsidRDefault="00E26E40" w:rsidP="00A82020">
      <w:pPr>
        <w:pStyle w:val="p9"/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</w:p>
    <w:p w14:paraId="599C177B" w14:textId="77777777" w:rsidR="00E26E40" w:rsidRPr="006B6743" w:rsidRDefault="00E26E40" w:rsidP="00A82020">
      <w:pPr>
        <w:pStyle w:val="p9"/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</w:p>
    <w:p w14:paraId="69F26D87" w14:textId="34929CBA" w:rsidR="00A82020" w:rsidRPr="006B6743" w:rsidRDefault="007E58F5" w:rsidP="00A82020">
      <w:pPr>
        <w:pStyle w:val="p9"/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u w:val="single"/>
          <w:lang w:val="en-CA"/>
        </w:rPr>
      </w:pPr>
      <w:r w:rsidRPr="006B6743">
        <w:rPr>
          <w:rFonts w:asciiTheme="majorHAnsi" w:eastAsiaTheme="minorEastAsia" w:hAnsiTheme="majorHAnsi" w:cs="Arial"/>
          <w:sz w:val="22"/>
          <w:szCs w:val="22"/>
          <w:u w:val="single"/>
          <w:lang w:val="en-CA"/>
        </w:rPr>
        <w:lastRenderedPageBreak/>
        <w:t>T</w:t>
      </w:r>
      <w:r w:rsidR="00A82020" w:rsidRPr="006B6743">
        <w:rPr>
          <w:rFonts w:asciiTheme="majorHAnsi" w:eastAsiaTheme="minorEastAsia" w:hAnsiTheme="majorHAnsi" w:cs="Arial"/>
          <w:sz w:val="22"/>
          <w:szCs w:val="22"/>
          <w:u w:val="single"/>
          <w:lang w:val="en-CA"/>
        </w:rPr>
        <w:t>ermination of agreements</w:t>
      </w:r>
    </w:p>
    <w:p w14:paraId="1460BC32" w14:textId="77777777" w:rsidR="00A82020" w:rsidRPr="006B6743" w:rsidRDefault="00A82020" w:rsidP="00A82020">
      <w:pPr>
        <w:pStyle w:val="p9"/>
        <w:tabs>
          <w:tab w:val="clear" w:pos="691"/>
          <w:tab w:val="left" w:pos="4890"/>
        </w:tabs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  <w:r w:rsidRPr="006B6743">
        <w:rPr>
          <w:rFonts w:asciiTheme="majorHAnsi" w:eastAsiaTheme="minorEastAsia" w:hAnsiTheme="majorHAnsi" w:cs="Arial"/>
          <w:sz w:val="22"/>
          <w:szCs w:val="22"/>
          <w:lang w:val="en-CA"/>
        </w:rPr>
        <w:tab/>
      </w:r>
    </w:p>
    <w:p w14:paraId="231F07BF" w14:textId="5094C152" w:rsidR="00A82020" w:rsidRDefault="00635B21" w:rsidP="00A82020">
      <w:pPr>
        <w:pStyle w:val="Heading1"/>
        <w:spacing w:line="238" w:lineRule="exact"/>
      </w:pPr>
      <w:r w:rsidRPr="006B6743">
        <w:t xml:space="preserve">A </w:t>
      </w:r>
      <w:r w:rsidR="000F224A" w:rsidRPr="001F2C22">
        <w:t>PS NRL</w:t>
      </w:r>
      <w:r w:rsidR="00CB423B" w:rsidRPr="006B6743">
        <w:t xml:space="preserve"> </w:t>
      </w:r>
      <w:r w:rsidR="00AD11EC" w:rsidRPr="006B6743">
        <w:t xml:space="preserve">may be terminated at any </w:t>
      </w:r>
      <w:r w:rsidR="00AC030F" w:rsidRPr="006B6743">
        <w:t xml:space="preserve">time </w:t>
      </w:r>
      <w:r w:rsidR="00AD11EC" w:rsidRPr="006B6743">
        <w:t xml:space="preserve">prior to its scheduled expiration </w:t>
      </w:r>
      <w:r w:rsidR="00F115AD" w:rsidRPr="001F2C22">
        <w:t>by</w:t>
      </w:r>
      <w:r w:rsidR="00F115AD" w:rsidRPr="006B6743">
        <w:t xml:space="preserve"> </w:t>
      </w:r>
      <w:r w:rsidR="00AD11EC" w:rsidRPr="006B6743">
        <w:t xml:space="preserve">the </w:t>
      </w:r>
      <w:r w:rsidR="00AC030F" w:rsidRPr="006B6743">
        <w:t xml:space="preserve">Private Sector Partner </w:t>
      </w:r>
      <w:r w:rsidR="00AD11EC" w:rsidRPr="006B6743">
        <w:t>or UNDP</w:t>
      </w:r>
      <w:r w:rsidR="00F115AD" w:rsidRPr="001F2C22">
        <w:t>,</w:t>
      </w:r>
      <w:r w:rsidR="00AD11EC" w:rsidRPr="006B6743">
        <w:t xml:space="preserve"> </w:t>
      </w:r>
      <w:r w:rsidR="00AC030F" w:rsidRPr="006B6743">
        <w:t>according to the</w:t>
      </w:r>
      <w:r w:rsidR="00AD11EC" w:rsidRPr="006B6743">
        <w:t xml:space="preserve"> MOA.</w:t>
      </w:r>
    </w:p>
    <w:p w14:paraId="7878E1AE" w14:textId="2533BBBD" w:rsidR="00A82020" w:rsidRPr="006B6743" w:rsidRDefault="007F260E" w:rsidP="00560BB1">
      <w:pPr>
        <w:rPr>
          <w:rFonts w:asciiTheme="majorHAnsi" w:eastAsiaTheme="minorEastAsia" w:hAnsiTheme="majorHAnsi" w:cs="Arial"/>
          <w:sz w:val="22"/>
          <w:szCs w:val="22"/>
          <w:u w:val="single"/>
          <w:lang w:val="en-CA"/>
        </w:rPr>
      </w:pPr>
      <w:r>
        <w:rPr>
          <w:rFonts w:asciiTheme="majorHAnsi" w:eastAsiaTheme="minorEastAsia" w:hAnsiTheme="majorHAnsi" w:cs="Arial"/>
          <w:sz w:val="22"/>
          <w:szCs w:val="22"/>
          <w:u w:val="single"/>
          <w:lang w:val="en-CA"/>
        </w:rPr>
        <w:t xml:space="preserve">Certification and </w:t>
      </w:r>
      <w:r w:rsidR="00A82020" w:rsidRPr="006B6743">
        <w:rPr>
          <w:rFonts w:asciiTheme="majorHAnsi" w:eastAsiaTheme="minorEastAsia" w:hAnsiTheme="majorHAnsi" w:cs="Arial"/>
          <w:sz w:val="22"/>
          <w:szCs w:val="22"/>
          <w:u w:val="single"/>
          <w:lang w:val="en-CA"/>
        </w:rPr>
        <w:t>Evaluation</w:t>
      </w:r>
    </w:p>
    <w:p w14:paraId="5076D25C" w14:textId="77777777" w:rsidR="00A82020" w:rsidRPr="006B6743" w:rsidRDefault="00A82020" w:rsidP="00A82020">
      <w:pPr>
        <w:pStyle w:val="p9"/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</w:p>
    <w:p w14:paraId="7F204168" w14:textId="3262FE8F" w:rsidR="002C093F" w:rsidRPr="006B6743" w:rsidRDefault="00AC030F" w:rsidP="001B0550">
      <w:pPr>
        <w:pStyle w:val="Heading1"/>
      </w:pPr>
      <w:r w:rsidRPr="006B6743">
        <w:t xml:space="preserve">If requested by the </w:t>
      </w:r>
      <w:r w:rsidRPr="006B6743">
        <w:rPr>
          <w:rFonts w:ascii="Calibri" w:eastAsia="Calibri" w:hAnsi="Calibri"/>
          <w:kern w:val="2"/>
          <w14:ligatures w14:val="standardContextual"/>
        </w:rPr>
        <w:t>Private Sector Partner</w:t>
      </w:r>
      <w:r w:rsidR="00AD11EC" w:rsidRPr="006B6743">
        <w:t xml:space="preserve">, </w:t>
      </w:r>
      <w:r w:rsidR="00EA7849">
        <w:t xml:space="preserve">certificate of service/contribution and/or </w:t>
      </w:r>
      <w:r w:rsidR="00AD11EC" w:rsidRPr="006B6743">
        <w:t>a</w:t>
      </w:r>
      <w:r w:rsidR="00A82020" w:rsidRPr="006B6743">
        <w:t xml:space="preserve"> written evaluation of</w:t>
      </w:r>
      <w:r w:rsidR="00DB4798" w:rsidRPr="006B6743">
        <w:t xml:space="preserve"> the</w:t>
      </w:r>
      <w:r w:rsidR="00A82020" w:rsidRPr="006B6743">
        <w:t xml:space="preserve"> </w:t>
      </w:r>
      <w:r w:rsidRPr="006B6743">
        <w:t>assistance provided by the Specialist</w:t>
      </w:r>
      <w:r w:rsidR="00F47FF1">
        <w:t xml:space="preserve"> may be issued </w:t>
      </w:r>
      <w:r w:rsidR="00F47FF1" w:rsidRPr="006B6743">
        <w:t>by the Business Unit to which the Specialist was assigned.</w:t>
      </w:r>
      <w:r w:rsidR="00F47FF1">
        <w:t xml:space="preserve"> The evaluation may be</w:t>
      </w:r>
      <w:r w:rsidR="00DB4798" w:rsidRPr="006B6743">
        <w:t xml:space="preserve"> in the format prescribed by </w:t>
      </w:r>
      <w:r w:rsidRPr="006B6743">
        <w:rPr>
          <w:rFonts w:ascii="Calibri" w:eastAsia="Calibri" w:hAnsi="Calibri"/>
          <w:kern w:val="2"/>
          <w14:ligatures w14:val="standardContextual"/>
        </w:rPr>
        <w:t>Private Sector Partner</w:t>
      </w:r>
      <w:r w:rsidRPr="006B6743">
        <w:t xml:space="preserve"> if acceptable to UNDP and subject to the confidentiality requirements set out in paragraph </w:t>
      </w:r>
      <w:r w:rsidR="00066037" w:rsidRPr="006B6743">
        <w:fldChar w:fldCharType="begin"/>
      </w:r>
      <w:r w:rsidR="00066037" w:rsidRPr="006B6743">
        <w:instrText xml:space="preserve"> REF _Ref177729527 \r \h </w:instrText>
      </w:r>
      <w:r w:rsidR="006B6743">
        <w:instrText xml:space="preserve"> \* MERGEFORMAT </w:instrText>
      </w:r>
      <w:r w:rsidR="00066037" w:rsidRPr="006B6743">
        <w:fldChar w:fldCharType="separate"/>
      </w:r>
      <w:r w:rsidR="00066037" w:rsidRPr="006B6743">
        <w:t>13</w:t>
      </w:r>
      <w:r w:rsidR="00066037" w:rsidRPr="006B6743">
        <w:fldChar w:fldCharType="end"/>
      </w:r>
      <w:r w:rsidRPr="006B6743">
        <w:t xml:space="preserve"> above.  The Business Unit will provide a </w:t>
      </w:r>
      <w:r w:rsidR="00A82020" w:rsidRPr="006B6743">
        <w:t xml:space="preserve">copy to </w:t>
      </w:r>
      <w:r w:rsidR="00D65E90" w:rsidRPr="006B6743">
        <w:t>BMS/OHR.</w:t>
      </w:r>
    </w:p>
    <w:p w14:paraId="4BEF14A3" w14:textId="77777777" w:rsidR="0034224F" w:rsidRDefault="0034224F" w:rsidP="0034224F">
      <w:pPr>
        <w:pStyle w:val="p9"/>
        <w:spacing w:line="238" w:lineRule="exact"/>
        <w:jc w:val="both"/>
        <w:rPr>
          <w:rFonts w:asciiTheme="majorHAnsi" w:eastAsiaTheme="minorEastAsia" w:hAnsiTheme="majorHAnsi" w:cs="Arial"/>
          <w:sz w:val="22"/>
          <w:szCs w:val="22"/>
          <w:lang w:val="en-CA"/>
        </w:rPr>
      </w:pPr>
    </w:p>
    <w:p w14:paraId="752FE58A" w14:textId="60DA0C60" w:rsidR="0034224F" w:rsidRDefault="0034224F">
      <w:pPr>
        <w:rPr>
          <w:rFonts w:asciiTheme="majorHAnsi" w:eastAsiaTheme="minorEastAsia" w:hAnsiTheme="majorHAnsi" w:cs="Arial"/>
          <w:sz w:val="22"/>
          <w:szCs w:val="22"/>
          <w:lang w:val="en-CA"/>
        </w:rPr>
      </w:pPr>
    </w:p>
    <w:p w14:paraId="48C4BF16" w14:textId="6DE0AD4D" w:rsidR="0034224F" w:rsidRPr="00D65E90" w:rsidRDefault="0034224F" w:rsidP="001B0550">
      <w:pPr>
        <w:pStyle w:val="p9"/>
        <w:widowControl/>
        <w:tabs>
          <w:tab w:val="clear" w:pos="691"/>
        </w:tabs>
        <w:autoSpaceDE/>
        <w:autoSpaceDN/>
        <w:adjustRightInd/>
        <w:spacing w:after="160" w:line="259" w:lineRule="auto"/>
        <w:rPr>
          <w:rFonts w:asciiTheme="majorHAnsi" w:hAnsiTheme="majorHAnsi" w:cs="Arial"/>
          <w:sz w:val="22"/>
          <w:szCs w:val="22"/>
        </w:rPr>
      </w:pPr>
    </w:p>
    <w:sectPr w:rsidR="0034224F" w:rsidRPr="00D65E90" w:rsidSect="00945D0B">
      <w:headerReference w:type="default" r:id="rId15"/>
      <w:footerReference w:type="default" r:id="rId16"/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2ACE6" w14:textId="77777777" w:rsidR="00400DE9" w:rsidRDefault="00400DE9" w:rsidP="006A295A">
      <w:r>
        <w:separator/>
      </w:r>
    </w:p>
  </w:endnote>
  <w:endnote w:type="continuationSeparator" w:id="0">
    <w:p w14:paraId="2D2C8538" w14:textId="77777777" w:rsidR="00400DE9" w:rsidRDefault="00400DE9" w:rsidP="006A295A">
      <w:r>
        <w:continuationSeparator/>
      </w:r>
    </w:p>
  </w:endnote>
  <w:endnote w:type="continuationNotice" w:id="1">
    <w:p w14:paraId="25ACC338" w14:textId="77777777" w:rsidR="00400DE9" w:rsidRDefault="00400D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 w:cstheme="majorHAnsi"/>
        <w:sz w:val="20"/>
        <w:szCs w:val="20"/>
      </w:rPr>
      <w:id w:val="-77124310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2E6EE8" w14:textId="35F7F4FD" w:rsidR="00F820D3" w:rsidRPr="005E2BD0" w:rsidRDefault="00263B0C" w:rsidP="005E2BD0">
            <w:pPr>
              <w:pStyle w:val="Footer"/>
              <w:rPr>
                <w:rFonts w:asciiTheme="majorHAnsi" w:hAnsiTheme="majorHAnsi" w:cstheme="majorHAnsi"/>
                <w:sz w:val="20"/>
                <w:szCs w:val="20"/>
              </w:rPr>
            </w:pPr>
            <w:r w:rsidRPr="005E2BD0">
              <w:rPr>
                <w:rFonts w:asciiTheme="majorHAnsi" w:hAnsiTheme="majorHAnsi" w:cstheme="majorHAnsi"/>
                <w:sz w:val="20"/>
                <w:szCs w:val="20"/>
              </w:rPr>
              <w:t xml:space="preserve">Page </w:t>
            </w:r>
            <w:r w:rsidRPr="005E2B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5E2B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PAGE </w:instrText>
            </w:r>
            <w:r w:rsidRPr="005E2B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="004247DE" w:rsidRPr="005E2BD0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5</w:t>
            </w:r>
            <w:r w:rsidRPr="005E2B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5E2BD0">
              <w:rPr>
                <w:rFonts w:asciiTheme="majorHAnsi" w:hAnsiTheme="majorHAnsi" w:cstheme="majorHAnsi"/>
                <w:sz w:val="20"/>
                <w:szCs w:val="20"/>
              </w:rPr>
              <w:t xml:space="preserve"> of </w:t>
            </w:r>
            <w:r w:rsidRPr="005E2B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5E2B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NUMPAGES  </w:instrText>
            </w:r>
            <w:r w:rsidRPr="005E2B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="004247DE" w:rsidRPr="005E2BD0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5</w:t>
            </w:r>
            <w:r w:rsidRPr="005E2B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="005E2B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ab/>
            </w:r>
            <w:r w:rsidRPr="00E26E40">
              <w:rPr>
                <w:rFonts w:asciiTheme="majorHAnsi" w:hAnsiTheme="majorHAnsi" w:cstheme="majorHAnsi"/>
                <w:sz w:val="20"/>
                <w:szCs w:val="20"/>
              </w:rPr>
              <w:t xml:space="preserve">Effective Date: </w:t>
            </w:r>
            <w:r w:rsidR="003B3E0F" w:rsidRPr="00E26E40">
              <w:rPr>
                <w:rFonts w:asciiTheme="majorHAnsi" w:hAnsiTheme="majorHAnsi" w:cstheme="majorHAnsi"/>
                <w:sz w:val="20"/>
                <w:szCs w:val="20"/>
              </w:rPr>
              <w:t>01</w:t>
            </w:r>
            <w:r w:rsidR="004952D3" w:rsidRPr="00E26E4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3B3E0F" w:rsidRPr="00E26E40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="004952D3" w:rsidRPr="00E26E4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3B3E0F" w:rsidRPr="00E26E40">
              <w:rPr>
                <w:rFonts w:asciiTheme="majorHAnsi" w:hAnsiTheme="majorHAnsi" w:cstheme="majorHAnsi"/>
                <w:sz w:val="20"/>
                <w:szCs w:val="20"/>
              </w:rPr>
              <w:t>2025</w:t>
            </w:r>
            <w:r w:rsidRPr="00E26E40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</w:t>
            </w:r>
            <w:r w:rsidR="005E2BD0" w:rsidRPr="00E26E40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E26E40">
              <w:rPr>
                <w:rFonts w:asciiTheme="majorHAnsi" w:hAnsiTheme="majorHAnsi" w:cstheme="majorHAnsi"/>
                <w:sz w:val="20"/>
                <w:szCs w:val="20"/>
              </w:rPr>
              <w:t>Version</w:t>
            </w:r>
            <w:r w:rsidR="00E26E40">
              <w:rPr>
                <w:rFonts w:asciiTheme="majorHAnsi" w:hAnsiTheme="majorHAnsi" w:cstheme="majorHAnsi"/>
                <w:sz w:val="20"/>
                <w:szCs w:val="20"/>
              </w:rPr>
              <w:t xml:space="preserve"> #</w:t>
            </w:r>
            <w:r w:rsidRPr="00E26E40">
              <w:rPr>
                <w:rFonts w:asciiTheme="majorHAnsi" w:hAnsiTheme="majorHAnsi" w:cstheme="majorHAnsi"/>
                <w:sz w:val="20"/>
                <w:szCs w:val="20"/>
              </w:rPr>
              <w:t xml:space="preserve">:  </w:t>
            </w:r>
            <w:r w:rsidR="003B3E0F" w:rsidRPr="00E26E4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5E2B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   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0036D" w14:textId="77777777" w:rsidR="00400DE9" w:rsidRDefault="00400DE9" w:rsidP="006A295A">
      <w:r>
        <w:separator/>
      </w:r>
    </w:p>
  </w:footnote>
  <w:footnote w:type="continuationSeparator" w:id="0">
    <w:p w14:paraId="64D4C616" w14:textId="77777777" w:rsidR="00400DE9" w:rsidRDefault="00400DE9" w:rsidP="006A295A">
      <w:r>
        <w:continuationSeparator/>
      </w:r>
    </w:p>
  </w:footnote>
  <w:footnote w:type="continuationNotice" w:id="1">
    <w:p w14:paraId="53C52185" w14:textId="77777777" w:rsidR="00400DE9" w:rsidRDefault="00400DE9"/>
  </w:footnote>
  <w:footnote w:id="2">
    <w:p w14:paraId="7F3C1320" w14:textId="5F6554A3" w:rsidR="00A82020" w:rsidRPr="00E26E40" w:rsidRDefault="00A82020" w:rsidP="00A82020">
      <w:pPr>
        <w:pStyle w:val="FootnoteText"/>
        <w:jc w:val="both"/>
        <w:rPr>
          <w:rFonts w:ascii="Calibri" w:hAnsi="Calibri" w:cs="Calibri"/>
          <w:sz w:val="18"/>
          <w:szCs w:val="18"/>
        </w:rPr>
      </w:pPr>
      <w:r w:rsidRPr="00E26E40">
        <w:rPr>
          <w:rStyle w:val="FootnoteReference"/>
          <w:rFonts w:ascii="Calibri" w:hAnsi="Calibri" w:cs="Calibri"/>
          <w:sz w:val="18"/>
          <w:szCs w:val="18"/>
        </w:rPr>
        <w:footnoteRef/>
      </w:r>
      <w:r w:rsidRPr="00E26E40">
        <w:rPr>
          <w:rFonts w:ascii="Calibri" w:hAnsi="Calibri" w:cs="Calibri"/>
          <w:sz w:val="18"/>
          <w:szCs w:val="18"/>
        </w:rPr>
        <w:t xml:space="preserve"> </w:t>
      </w:r>
      <w:r w:rsidRPr="00E26E40">
        <w:rPr>
          <w:rFonts w:ascii="Calibri" w:hAnsi="Calibri" w:cs="Calibri"/>
          <w:noProof/>
          <w:sz w:val="18"/>
          <w:szCs w:val="18"/>
        </w:rPr>
        <w:t>"Regulations Governing the Status, Basic Rights and Duties of Officials other than Secretariat Officials, and Experts on Mission"</w:t>
      </w:r>
    </w:p>
  </w:footnote>
  <w:footnote w:id="3">
    <w:p w14:paraId="42389061" w14:textId="78F13021" w:rsidR="007E4E1E" w:rsidRPr="00E26E40" w:rsidRDefault="007E4E1E" w:rsidP="00E26E40">
      <w:pPr>
        <w:pStyle w:val="FootnoteText"/>
        <w:jc w:val="both"/>
        <w:rPr>
          <w:rFonts w:ascii="Calibri" w:hAnsi="Calibri" w:cs="Calibri"/>
          <w:sz w:val="18"/>
          <w:szCs w:val="18"/>
        </w:rPr>
      </w:pPr>
      <w:r w:rsidRPr="00E26E40">
        <w:rPr>
          <w:rStyle w:val="FootnoteReference"/>
          <w:rFonts w:ascii="Calibri" w:hAnsi="Calibri" w:cs="Calibri"/>
          <w:sz w:val="18"/>
          <w:szCs w:val="18"/>
        </w:rPr>
        <w:footnoteRef/>
      </w:r>
      <w:r w:rsidRPr="00E26E40">
        <w:rPr>
          <w:rFonts w:ascii="Calibri" w:hAnsi="Calibri" w:cs="Calibri"/>
          <w:sz w:val="18"/>
          <w:szCs w:val="18"/>
        </w:rPr>
        <w:t xml:space="preserve"> The Private Sector Partner must ensure that any of their employees who may be selected as the Specialist for a PS NRL are not engaged in any activities described in this sub-paragraph, and that any employee who is engaged in such activities will not be selected as the Specialist.</w:t>
      </w:r>
    </w:p>
  </w:footnote>
  <w:footnote w:id="4">
    <w:p w14:paraId="2D8F79E8" w14:textId="4B687BC4" w:rsidR="00FB6128" w:rsidRPr="00B615DE" w:rsidRDefault="00FB6128">
      <w:pPr>
        <w:pStyle w:val="FootnoteText"/>
        <w:rPr>
          <w:rFonts w:ascii="Calibri" w:hAnsi="Calibri" w:cs="Calibri"/>
          <w:sz w:val="18"/>
          <w:szCs w:val="18"/>
        </w:rPr>
      </w:pPr>
      <w:r w:rsidRPr="00B615DE">
        <w:rPr>
          <w:rStyle w:val="FootnoteReference"/>
          <w:rFonts w:ascii="Calibri" w:hAnsi="Calibri" w:cs="Calibri"/>
          <w:sz w:val="18"/>
          <w:szCs w:val="18"/>
        </w:rPr>
        <w:footnoteRef/>
      </w:r>
      <w:r w:rsidRPr="00B615DE">
        <w:rPr>
          <w:rFonts w:ascii="Calibri" w:hAnsi="Calibri" w:cs="Calibri"/>
          <w:sz w:val="18"/>
          <w:szCs w:val="18"/>
        </w:rPr>
        <w:t xml:space="preserve"> Prior to the final selection, the Bureau </w:t>
      </w:r>
      <w:r w:rsidR="00223370" w:rsidRPr="00B615DE">
        <w:rPr>
          <w:rFonts w:ascii="Calibri" w:hAnsi="Calibri" w:cs="Calibri"/>
          <w:sz w:val="18"/>
          <w:szCs w:val="18"/>
        </w:rPr>
        <w:t>will assess any possible conflicts of interest</w:t>
      </w:r>
      <w:r w:rsidR="00AD67BB" w:rsidRPr="00B615DE">
        <w:rPr>
          <w:rFonts w:ascii="Calibri" w:hAnsi="Calibri" w:cs="Calibri"/>
          <w:sz w:val="18"/>
          <w:szCs w:val="18"/>
        </w:rPr>
        <w:t xml:space="preserve"> </w:t>
      </w:r>
      <w:r w:rsidR="001043D6" w:rsidRPr="00B615DE">
        <w:rPr>
          <w:rFonts w:ascii="Calibri" w:hAnsi="Calibri" w:cs="Calibri"/>
          <w:sz w:val="18"/>
          <w:szCs w:val="18"/>
        </w:rPr>
        <w:t xml:space="preserve">of the candidate through </w:t>
      </w:r>
      <w:r w:rsidR="00F92F7F" w:rsidRPr="00B615DE">
        <w:rPr>
          <w:rFonts w:ascii="Calibri" w:hAnsi="Calibri" w:cs="Calibri"/>
          <w:sz w:val="18"/>
          <w:szCs w:val="18"/>
        </w:rPr>
        <w:t xml:space="preserve">the UNDP Conflict of Interest Declaration Form </w:t>
      </w:r>
      <w:r w:rsidR="00394F2B" w:rsidRPr="00B615DE">
        <w:rPr>
          <w:rFonts w:ascii="Calibri" w:hAnsi="Calibri" w:cs="Calibri"/>
          <w:sz w:val="18"/>
          <w:szCs w:val="18"/>
        </w:rPr>
        <w:t xml:space="preserve">to be </w:t>
      </w:r>
      <w:r w:rsidR="00F92F7F" w:rsidRPr="00B615DE">
        <w:rPr>
          <w:rFonts w:ascii="Calibri" w:hAnsi="Calibri" w:cs="Calibri"/>
          <w:sz w:val="18"/>
          <w:szCs w:val="18"/>
        </w:rPr>
        <w:t>duly filled out by the candidate.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D4E3E" w14:textId="2553CEA4" w:rsidR="00263B0C" w:rsidRDefault="003B3E0F" w:rsidP="00263B0C">
    <w:pPr>
      <w:pStyle w:val="Header"/>
      <w:jc w:val="right"/>
    </w:pPr>
    <w:r>
      <w:rPr>
        <w:noProof/>
      </w:rPr>
      <w:drawing>
        <wp:inline distT="0" distB="0" distL="0" distR="0" wp14:anchorId="563A9CD6" wp14:editId="219FA479">
          <wp:extent cx="294847" cy="582230"/>
          <wp:effectExtent l="0" t="0" r="0" b="8890"/>
          <wp:docPr id="1028317404" name="Picture 1028317404" descr="A blue square with white letters and a blue circle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317404" name="Picture 1028317404" descr="A blue square with white letters and a blue circle with white letter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66" b="16948"/>
                  <a:stretch/>
                </pic:blipFill>
                <pic:spPr bwMode="auto">
                  <a:xfrm>
                    <a:off x="0" y="0"/>
                    <a:ext cx="294847" cy="582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750D"/>
    <w:multiLevelType w:val="hybridMultilevel"/>
    <w:tmpl w:val="7CA8BBD6"/>
    <w:lvl w:ilvl="0" w:tplc="94005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D7F"/>
    <w:multiLevelType w:val="hybridMultilevel"/>
    <w:tmpl w:val="04AC7C90"/>
    <w:lvl w:ilvl="0" w:tplc="94005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3A98"/>
    <w:multiLevelType w:val="hybridMultilevel"/>
    <w:tmpl w:val="EC7E1D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4D4565"/>
    <w:multiLevelType w:val="hybridMultilevel"/>
    <w:tmpl w:val="5F7A23CE"/>
    <w:lvl w:ilvl="0" w:tplc="51C0C7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C1FA5"/>
    <w:multiLevelType w:val="hybridMultilevel"/>
    <w:tmpl w:val="138E76D2"/>
    <w:lvl w:ilvl="0" w:tplc="E79A930E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EastAsia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A4565"/>
    <w:multiLevelType w:val="hybridMultilevel"/>
    <w:tmpl w:val="F43AF8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573FF"/>
    <w:multiLevelType w:val="hybridMultilevel"/>
    <w:tmpl w:val="07BE7FC2"/>
    <w:lvl w:ilvl="0" w:tplc="CA441A3E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56DA0"/>
    <w:multiLevelType w:val="hybridMultilevel"/>
    <w:tmpl w:val="EC2E368C"/>
    <w:lvl w:ilvl="0" w:tplc="7C74F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F97E3F"/>
    <w:multiLevelType w:val="hybridMultilevel"/>
    <w:tmpl w:val="8168DE3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CB144B48">
      <w:start w:val="1"/>
      <w:numFmt w:val="lowerLetter"/>
      <w:lvlText w:val="%2."/>
      <w:lvlJc w:val="left"/>
      <w:pPr>
        <w:ind w:left="180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680715"/>
    <w:multiLevelType w:val="hybridMultilevel"/>
    <w:tmpl w:val="5D167A5E"/>
    <w:lvl w:ilvl="0" w:tplc="B40CA2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07E96"/>
    <w:multiLevelType w:val="hybridMultilevel"/>
    <w:tmpl w:val="B958DCE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00F66"/>
    <w:multiLevelType w:val="hybridMultilevel"/>
    <w:tmpl w:val="E7FC6EEA"/>
    <w:lvl w:ilvl="0" w:tplc="94005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566B6"/>
    <w:multiLevelType w:val="hybridMultilevel"/>
    <w:tmpl w:val="267E2D70"/>
    <w:lvl w:ilvl="0" w:tplc="0AB055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41C69"/>
    <w:multiLevelType w:val="multilevel"/>
    <w:tmpl w:val="4C84F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A152C4"/>
    <w:multiLevelType w:val="hybridMultilevel"/>
    <w:tmpl w:val="CED20AC2"/>
    <w:lvl w:ilvl="0" w:tplc="1B168ADE">
      <w:start w:val="1"/>
      <w:numFmt w:val="decimal"/>
      <w:lvlText w:val="%1)"/>
      <w:lvlJc w:val="left"/>
      <w:pPr>
        <w:ind w:left="1020" w:hanging="360"/>
      </w:pPr>
    </w:lvl>
    <w:lvl w:ilvl="1" w:tplc="04F233B6">
      <w:start w:val="1"/>
      <w:numFmt w:val="decimal"/>
      <w:lvlText w:val="%2)"/>
      <w:lvlJc w:val="left"/>
      <w:pPr>
        <w:ind w:left="1020" w:hanging="360"/>
      </w:pPr>
    </w:lvl>
    <w:lvl w:ilvl="2" w:tplc="4BC0615C">
      <w:start w:val="1"/>
      <w:numFmt w:val="decimal"/>
      <w:lvlText w:val="%3)"/>
      <w:lvlJc w:val="left"/>
      <w:pPr>
        <w:ind w:left="1020" w:hanging="360"/>
      </w:pPr>
    </w:lvl>
    <w:lvl w:ilvl="3" w:tplc="8516239C">
      <w:start w:val="1"/>
      <w:numFmt w:val="decimal"/>
      <w:lvlText w:val="%4)"/>
      <w:lvlJc w:val="left"/>
      <w:pPr>
        <w:ind w:left="1020" w:hanging="360"/>
      </w:pPr>
    </w:lvl>
    <w:lvl w:ilvl="4" w:tplc="91700A60">
      <w:start w:val="1"/>
      <w:numFmt w:val="decimal"/>
      <w:lvlText w:val="%5)"/>
      <w:lvlJc w:val="left"/>
      <w:pPr>
        <w:ind w:left="1020" w:hanging="360"/>
      </w:pPr>
    </w:lvl>
    <w:lvl w:ilvl="5" w:tplc="62748696">
      <w:start w:val="1"/>
      <w:numFmt w:val="decimal"/>
      <w:lvlText w:val="%6)"/>
      <w:lvlJc w:val="left"/>
      <w:pPr>
        <w:ind w:left="1020" w:hanging="360"/>
      </w:pPr>
    </w:lvl>
    <w:lvl w:ilvl="6" w:tplc="A2923CF4">
      <w:start w:val="1"/>
      <w:numFmt w:val="decimal"/>
      <w:lvlText w:val="%7)"/>
      <w:lvlJc w:val="left"/>
      <w:pPr>
        <w:ind w:left="1020" w:hanging="360"/>
      </w:pPr>
    </w:lvl>
    <w:lvl w:ilvl="7" w:tplc="B134B704">
      <w:start w:val="1"/>
      <w:numFmt w:val="decimal"/>
      <w:lvlText w:val="%8)"/>
      <w:lvlJc w:val="left"/>
      <w:pPr>
        <w:ind w:left="1020" w:hanging="360"/>
      </w:pPr>
    </w:lvl>
    <w:lvl w:ilvl="8" w:tplc="81C02AA4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47635D5E"/>
    <w:multiLevelType w:val="hybridMultilevel"/>
    <w:tmpl w:val="71A2C34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633C9C"/>
    <w:multiLevelType w:val="hybridMultilevel"/>
    <w:tmpl w:val="DE76F8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404841"/>
    <w:multiLevelType w:val="hybridMultilevel"/>
    <w:tmpl w:val="712C15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41925"/>
    <w:multiLevelType w:val="hybridMultilevel"/>
    <w:tmpl w:val="9710A7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D5D37"/>
    <w:multiLevelType w:val="hybridMultilevel"/>
    <w:tmpl w:val="B958DCEC"/>
    <w:lvl w:ilvl="0" w:tplc="1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F2485"/>
    <w:multiLevelType w:val="hybridMultilevel"/>
    <w:tmpl w:val="825A4B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1E0555"/>
    <w:multiLevelType w:val="hybridMultilevel"/>
    <w:tmpl w:val="B958DCE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415CF"/>
    <w:multiLevelType w:val="hybridMultilevel"/>
    <w:tmpl w:val="9FA86F34"/>
    <w:lvl w:ilvl="0" w:tplc="A4E42962">
      <w:start w:val="1"/>
      <w:numFmt w:val="decimal"/>
      <w:lvlText w:val="%1)"/>
      <w:lvlJc w:val="left"/>
      <w:pPr>
        <w:ind w:left="1020" w:hanging="360"/>
      </w:pPr>
    </w:lvl>
    <w:lvl w:ilvl="1" w:tplc="1786C68C">
      <w:start w:val="1"/>
      <w:numFmt w:val="decimal"/>
      <w:lvlText w:val="%2)"/>
      <w:lvlJc w:val="left"/>
      <w:pPr>
        <w:ind w:left="1020" w:hanging="360"/>
      </w:pPr>
    </w:lvl>
    <w:lvl w:ilvl="2" w:tplc="783C37B2">
      <w:start w:val="1"/>
      <w:numFmt w:val="decimal"/>
      <w:lvlText w:val="%3)"/>
      <w:lvlJc w:val="left"/>
      <w:pPr>
        <w:ind w:left="1020" w:hanging="360"/>
      </w:pPr>
    </w:lvl>
    <w:lvl w:ilvl="3" w:tplc="29AAE158">
      <w:start w:val="1"/>
      <w:numFmt w:val="decimal"/>
      <w:lvlText w:val="%4)"/>
      <w:lvlJc w:val="left"/>
      <w:pPr>
        <w:ind w:left="1020" w:hanging="360"/>
      </w:pPr>
    </w:lvl>
    <w:lvl w:ilvl="4" w:tplc="8A764D62">
      <w:start w:val="1"/>
      <w:numFmt w:val="decimal"/>
      <w:lvlText w:val="%5)"/>
      <w:lvlJc w:val="left"/>
      <w:pPr>
        <w:ind w:left="1020" w:hanging="360"/>
      </w:pPr>
    </w:lvl>
    <w:lvl w:ilvl="5" w:tplc="01C64CB2">
      <w:start w:val="1"/>
      <w:numFmt w:val="decimal"/>
      <w:lvlText w:val="%6)"/>
      <w:lvlJc w:val="left"/>
      <w:pPr>
        <w:ind w:left="1020" w:hanging="360"/>
      </w:pPr>
    </w:lvl>
    <w:lvl w:ilvl="6" w:tplc="B380C4A4">
      <w:start w:val="1"/>
      <w:numFmt w:val="decimal"/>
      <w:lvlText w:val="%7)"/>
      <w:lvlJc w:val="left"/>
      <w:pPr>
        <w:ind w:left="1020" w:hanging="360"/>
      </w:pPr>
    </w:lvl>
    <w:lvl w:ilvl="7" w:tplc="6248D350">
      <w:start w:val="1"/>
      <w:numFmt w:val="decimal"/>
      <w:lvlText w:val="%8)"/>
      <w:lvlJc w:val="left"/>
      <w:pPr>
        <w:ind w:left="1020" w:hanging="360"/>
      </w:pPr>
    </w:lvl>
    <w:lvl w:ilvl="8" w:tplc="2BB04EC0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689614C6"/>
    <w:multiLevelType w:val="hybridMultilevel"/>
    <w:tmpl w:val="30AA5C6A"/>
    <w:lvl w:ilvl="0" w:tplc="AEB25A14">
      <w:start w:val="1"/>
      <w:numFmt w:val="decimal"/>
      <w:lvlText w:val="%1)"/>
      <w:lvlJc w:val="left"/>
      <w:pPr>
        <w:ind w:left="1020" w:hanging="360"/>
      </w:pPr>
    </w:lvl>
    <w:lvl w:ilvl="1" w:tplc="1D989570">
      <w:start w:val="1"/>
      <w:numFmt w:val="decimal"/>
      <w:lvlText w:val="%2)"/>
      <w:lvlJc w:val="left"/>
      <w:pPr>
        <w:ind w:left="1020" w:hanging="360"/>
      </w:pPr>
    </w:lvl>
    <w:lvl w:ilvl="2" w:tplc="8A5C8472">
      <w:start w:val="1"/>
      <w:numFmt w:val="decimal"/>
      <w:lvlText w:val="%3)"/>
      <w:lvlJc w:val="left"/>
      <w:pPr>
        <w:ind w:left="1020" w:hanging="360"/>
      </w:pPr>
    </w:lvl>
    <w:lvl w:ilvl="3" w:tplc="92C8770C">
      <w:start w:val="1"/>
      <w:numFmt w:val="decimal"/>
      <w:lvlText w:val="%4)"/>
      <w:lvlJc w:val="left"/>
      <w:pPr>
        <w:ind w:left="1020" w:hanging="360"/>
      </w:pPr>
    </w:lvl>
    <w:lvl w:ilvl="4" w:tplc="A1747EF0">
      <w:start w:val="1"/>
      <w:numFmt w:val="decimal"/>
      <w:lvlText w:val="%5)"/>
      <w:lvlJc w:val="left"/>
      <w:pPr>
        <w:ind w:left="1020" w:hanging="360"/>
      </w:pPr>
    </w:lvl>
    <w:lvl w:ilvl="5" w:tplc="2A9CFF56">
      <w:start w:val="1"/>
      <w:numFmt w:val="decimal"/>
      <w:lvlText w:val="%6)"/>
      <w:lvlJc w:val="left"/>
      <w:pPr>
        <w:ind w:left="1020" w:hanging="360"/>
      </w:pPr>
    </w:lvl>
    <w:lvl w:ilvl="6" w:tplc="1A20B61A">
      <w:start w:val="1"/>
      <w:numFmt w:val="decimal"/>
      <w:lvlText w:val="%7)"/>
      <w:lvlJc w:val="left"/>
      <w:pPr>
        <w:ind w:left="1020" w:hanging="360"/>
      </w:pPr>
    </w:lvl>
    <w:lvl w:ilvl="7" w:tplc="9B242C3E">
      <w:start w:val="1"/>
      <w:numFmt w:val="decimal"/>
      <w:lvlText w:val="%8)"/>
      <w:lvlJc w:val="left"/>
      <w:pPr>
        <w:ind w:left="1020" w:hanging="360"/>
      </w:pPr>
    </w:lvl>
    <w:lvl w:ilvl="8" w:tplc="D2685C36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701C21C1"/>
    <w:multiLevelType w:val="hybridMultilevel"/>
    <w:tmpl w:val="4CEA01EC"/>
    <w:lvl w:ilvl="0" w:tplc="94005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02368"/>
    <w:multiLevelType w:val="multilevel"/>
    <w:tmpl w:val="4C84F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69793E"/>
    <w:multiLevelType w:val="hybridMultilevel"/>
    <w:tmpl w:val="3C2CB5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E432C7"/>
    <w:multiLevelType w:val="hybridMultilevel"/>
    <w:tmpl w:val="C8642A1E"/>
    <w:lvl w:ilvl="0" w:tplc="9C389EF6">
      <w:start w:val="1"/>
      <w:numFmt w:val="decimal"/>
      <w:pStyle w:val="Heading1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0"/>
  </w:num>
  <w:num w:numId="5">
    <w:abstractNumId w:val="11"/>
  </w:num>
  <w:num w:numId="6">
    <w:abstractNumId w:val="24"/>
  </w:num>
  <w:num w:numId="7">
    <w:abstractNumId w:val="8"/>
  </w:num>
  <w:num w:numId="8">
    <w:abstractNumId w:val="12"/>
  </w:num>
  <w:num w:numId="9">
    <w:abstractNumId w:val="5"/>
  </w:num>
  <w:num w:numId="10">
    <w:abstractNumId w:val="18"/>
  </w:num>
  <w:num w:numId="11">
    <w:abstractNumId w:val="3"/>
  </w:num>
  <w:num w:numId="12">
    <w:abstractNumId w:val="19"/>
  </w:num>
  <w:num w:numId="13">
    <w:abstractNumId w:val="20"/>
  </w:num>
  <w:num w:numId="14">
    <w:abstractNumId w:val="4"/>
  </w:num>
  <w:num w:numId="15">
    <w:abstractNumId w:val="7"/>
  </w:num>
  <w:num w:numId="16">
    <w:abstractNumId w:val="16"/>
  </w:num>
  <w:num w:numId="17">
    <w:abstractNumId w:val="15"/>
  </w:num>
  <w:num w:numId="18">
    <w:abstractNumId w:val="26"/>
  </w:num>
  <w:num w:numId="19">
    <w:abstractNumId w:val="2"/>
  </w:num>
  <w:num w:numId="20">
    <w:abstractNumId w:val="17"/>
  </w:num>
  <w:num w:numId="21">
    <w:abstractNumId w:val="13"/>
  </w:num>
  <w:num w:numId="22">
    <w:abstractNumId w:val="25"/>
  </w:num>
  <w:num w:numId="23">
    <w:abstractNumId w:val="21"/>
  </w:num>
  <w:num w:numId="24">
    <w:abstractNumId w:val="10"/>
  </w:num>
  <w:num w:numId="25">
    <w:abstractNumId w:val="27"/>
  </w:num>
  <w:num w:numId="26">
    <w:abstractNumId w:val="23"/>
  </w:num>
  <w:num w:numId="27">
    <w:abstractNumId w:val="22"/>
  </w:num>
  <w:num w:numId="28">
    <w:abstractNumId w:val="14"/>
  </w:num>
  <w:num w:numId="29">
    <w:abstractNumId w:val="27"/>
  </w:num>
  <w:num w:numId="30">
    <w:abstractNumId w:val="27"/>
  </w:num>
  <w:num w:numId="31">
    <w:abstractNumId w:val="2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95A"/>
    <w:rsid w:val="00003354"/>
    <w:rsid w:val="0000500F"/>
    <w:rsid w:val="00007C9C"/>
    <w:rsid w:val="00010DE0"/>
    <w:rsid w:val="00022DE9"/>
    <w:rsid w:val="000232B1"/>
    <w:rsid w:val="000244D7"/>
    <w:rsid w:val="0002510D"/>
    <w:rsid w:val="000272CC"/>
    <w:rsid w:val="000310DF"/>
    <w:rsid w:val="00031258"/>
    <w:rsid w:val="0003229B"/>
    <w:rsid w:val="000334ED"/>
    <w:rsid w:val="0003635E"/>
    <w:rsid w:val="000417A0"/>
    <w:rsid w:val="00041E6A"/>
    <w:rsid w:val="000437A9"/>
    <w:rsid w:val="00053D09"/>
    <w:rsid w:val="000561A8"/>
    <w:rsid w:val="00061A91"/>
    <w:rsid w:val="00061CF4"/>
    <w:rsid w:val="00062064"/>
    <w:rsid w:val="00065BF8"/>
    <w:rsid w:val="00065F3B"/>
    <w:rsid w:val="00066037"/>
    <w:rsid w:val="00066C36"/>
    <w:rsid w:val="000725B3"/>
    <w:rsid w:val="000768E9"/>
    <w:rsid w:val="000777D9"/>
    <w:rsid w:val="00077DAE"/>
    <w:rsid w:val="00084F45"/>
    <w:rsid w:val="0009060C"/>
    <w:rsid w:val="00093844"/>
    <w:rsid w:val="00094833"/>
    <w:rsid w:val="00095630"/>
    <w:rsid w:val="00095FCF"/>
    <w:rsid w:val="00096091"/>
    <w:rsid w:val="000A08FF"/>
    <w:rsid w:val="000A0EFE"/>
    <w:rsid w:val="000A1A07"/>
    <w:rsid w:val="000A4553"/>
    <w:rsid w:val="000A4950"/>
    <w:rsid w:val="000A4990"/>
    <w:rsid w:val="000A579A"/>
    <w:rsid w:val="000A67F0"/>
    <w:rsid w:val="000A704B"/>
    <w:rsid w:val="000A7ACF"/>
    <w:rsid w:val="000A7AD9"/>
    <w:rsid w:val="000B1759"/>
    <w:rsid w:val="000B178E"/>
    <w:rsid w:val="000B24B2"/>
    <w:rsid w:val="000B2901"/>
    <w:rsid w:val="000B56D4"/>
    <w:rsid w:val="000C07A5"/>
    <w:rsid w:val="000C1E04"/>
    <w:rsid w:val="000C2C1B"/>
    <w:rsid w:val="000C6645"/>
    <w:rsid w:val="000C66A8"/>
    <w:rsid w:val="000D185C"/>
    <w:rsid w:val="000D3AD1"/>
    <w:rsid w:val="000D5087"/>
    <w:rsid w:val="000E14EA"/>
    <w:rsid w:val="000E17CA"/>
    <w:rsid w:val="000E7113"/>
    <w:rsid w:val="000F1930"/>
    <w:rsid w:val="000F224A"/>
    <w:rsid w:val="000F2DBD"/>
    <w:rsid w:val="000F44B7"/>
    <w:rsid w:val="000F7A31"/>
    <w:rsid w:val="00100532"/>
    <w:rsid w:val="001043D6"/>
    <w:rsid w:val="00106DBB"/>
    <w:rsid w:val="00110F56"/>
    <w:rsid w:val="0011167B"/>
    <w:rsid w:val="00111D86"/>
    <w:rsid w:val="001135AC"/>
    <w:rsid w:val="00113F8B"/>
    <w:rsid w:val="00121051"/>
    <w:rsid w:val="0012204A"/>
    <w:rsid w:val="001226A4"/>
    <w:rsid w:val="00122957"/>
    <w:rsid w:val="001255B9"/>
    <w:rsid w:val="001301B0"/>
    <w:rsid w:val="001327DE"/>
    <w:rsid w:val="00132AD0"/>
    <w:rsid w:val="001353DF"/>
    <w:rsid w:val="00135985"/>
    <w:rsid w:val="001366EA"/>
    <w:rsid w:val="00140F90"/>
    <w:rsid w:val="00143010"/>
    <w:rsid w:val="00146A4F"/>
    <w:rsid w:val="00150F0B"/>
    <w:rsid w:val="00150F8D"/>
    <w:rsid w:val="0015159A"/>
    <w:rsid w:val="0015337D"/>
    <w:rsid w:val="00153451"/>
    <w:rsid w:val="00157EE7"/>
    <w:rsid w:val="00160BC9"/>
    <w:rsid w:val="00161C64"/>
    <w:rsid w:val="00163F30"/>
    <w:rsid w:val="00164378"/>
    <w:rsid w:val="00167F87"/>
    <w:rsid w:val="00170628"/>
    <w:rsid w:val="0017169D"/>
    <w:rsid w:val="001721EA"/>
    <w:rsid w:val="00174956"/>
    <w:rsid w:val="001758AE"/>
    <w:rsid w:val="001769F5"/>
    <w:rsid w:val="001779C9"/>
    <w:rsid w:val="00182AA0"/>
    <w:rsid w:val="00183AAA"/>
    <w:rsid w:val="00183B75"/>
    <w:rsid w:val="00185D15"/>
    <w:rsid w:val="00191BBF"/>
    <w:rsid w:val="00192536"/>
    <w:rsid w:val="00195A93"/>
    <w:rsid w:val="001A0D23"/>
    <w:rsid w:val="001A2F69"/>
    <w:rsid w:val="001A6262"/>
    <w:rsid w:val="001A65ED"/>
    <w:rsid w:val="001A66C2"/>
    <w:rsid w:val="001B0550"/>
    <w:rsid w:val="001B0E00"/>
    <w:rsid w:val="001B1050"/>
    <w:rsid w:val="001B2C1A"/>
    <w:rsid w:val="001B541A"/>
    <w:rsid w:val="001B73B4"/>
    <w:rsid w:val="001B7FB2"/>
    <w:rsid w:val="001C2408"/>
    <w:rsid w:val="001C2635"/>
    <w:rsid w:val="001D4162"/>
    <w:rsid w:val="001D4378"/>
    <w:rsid w:val="001D72A2"/>
    <w:rsid w:val="001E0372"/>
    <w:rsid w:val="001E108E"/>
    <w:rsid w:val="001E430C"/>
    <w:rsid w:val="001E450B"/>
    <w:rsid w:val="001E5577"/>
    <w:rsid w:val="001E677A"/>
    <w:rsid w:val="001E7C26"/>
    <w:rsid w:val="001F0CE1"/>
    <w:rsid w:val="001F1AFC"/>
    <w:rsid w:val="001F2C22"/>
    <w:rsid w:val="001F3878"/>
    <w:rsid w:val="001F3D0E"/>
    <w:rsid w:val="001F6A5B"/>
    <w:rsid w:val="001F749E"/>
    <w:rsid w:val="00204576"/>
    <w:rsid w:val="002103F1"/>
    <w:rsid w:val="00211F9B"/>
    <w:rsid w:val="002126EC"/>
    <w:rsid w:val="002140DD"/>
    <w:rsid w:val="00215D6F"/>
    <w:rsid w:val="00220B70"/>
    <w:rsid w:val="00223370"/>
    <w:rsid w:val="00223746"/>
    <w:rsid w:val="00223848"/>
    <w:rsid w:val="00227F40"/>
    <w:rsid w:val="00230AF2"/>
    <w:rsid w:val="00230C43"/>
    <w:rsid w:val="00233CA0"/>
    <w:rsid w:val="002348F9"/>
    <w:rsid w:val="002351AB"/>
    <w:rsid w:val="00235CD1"/>
    <w:rsid w:val="00236002"/>
    <w:rsid w:val="0023643E"/>
    <w:rsid w:val="00242A3D"/>
    <w:rsid w:val="00243A3C"/>
    <w:rsid w:val="00246B7F"/>
    <w:rsid w:val="0025026B"/>
    <w:rsid w:val="0025180D"/>
    <w:rsid w:val="00253677"/>
    <w:rsid w:val="002545E5"/>
    <w:rsid w:val="002565AF"/>
    <w:rsid w:val="00262210"/>
    <w:rsid w:val="00262872"/>
    <w:rsid w:val="00262C6D"/>
    <w:rsid w:val="00263244"/>
    <w:rsid w:val="00263B0C"/>
    <w:rsid w:val="00265BD2"/>
    <w:rsid w:val="00266284"/>
    <w:rsid w:val="0026783C"/>
    <w:rsid w:val="002736FA"/>
    <w:rsid w:val="00274531"/>
    <w:rsid w:val="002756E1"/>
    <w:rsid w:val="002772F6"/>
    <w:rsid w:val="002839D3"/>
    <w:rsid w:val="00284B85"/>
    <w:rsid w:val="002924E0"/>
    <w:rsid w:val="0029410A"/>
    <w:rsid w:val="00294968"/>
    <w:rsid w:val="00294A23"/>
    <w:rsid w:val="0029649C"/>
    <w:rsid w:val="002975FB"/>
    <w:rsid w:val="002A1060"/>
    <w:rsid w:val="002A39E3"/>
    <w:rsid w:val="002A5890"/>
    <w:rsid w:val="002B2557"/>
    <w:rsid w:val="002B3200"/>
    <w:rsid w:val="002B4CBB"/>
    <w:rsid w:val="002B5C83"/>
    <w:rsid w:val="002B64D2"/>
    <w:rsid w:val="002B7A1B"/>
    <w:rsid w:val="002C093F"/>
    <w:rsid w:val="002C3A48"/>
    <w:rsid w:val="002C5ABC"/>
    <w:rsid w:val="002C73F0"/>
    <w:rsid w:val="002C741F"/>
    <w:rsid w:val="002D07E6"/>
    <w:rsid w:val="002D1000"/>
    <w:rsid w:val="002D1123"/>
    <w:rsid w:val="002E13B5"/>
    <w:rsid w:val="002E1476"/>
    <w:rsid w:val="002E280D"/>
    <w:rsid w:val="002E6F44"/>
    <w:rsid w:val="002F29A6"/>
    <w:rsid w:val="002F5AB8"/>
    <w:rsid w:val="002F7925"/>
    <w:rsid w:val="0030458A"/>
    <w:rsid w:val="00304E99"/>
    <w:rsid w:val="00305F31"/>
    <w:rsid w:val="00305F84"/>
    <w:rsid w:val="003111FF"/>
    <w:rsid w:val="00311E2D"/>
    <w:rsid w:val="00323B2E"/>
    <w:rsid w:val="00323D7B"/>
    <w:rsid w:val="00325775"/>
    <w:rsid w:val="00325B4B"/>
    <w:rsid w:val="00330380"/>
    <w:rsid w:val="003317F3"/>
    <w:rsid w:val="00331E77"/>
    <w:rsid w:val="003324CE"/>
    <w:rsid w:val="00332B12"/>
    <w:rsid w:val="00332CE9"/>
    <w:rsid w:val="0033316E"/>
    <w:rsid w:val="003335B1"/>
    <w:rsid w:val="00334857"/>
    <w:rsid w:val="0033492C"/>
    <w:rsid w:val="00334AA6"/>
    <w:rsid w:val="00335F4F"/>
    <w:rsid w:val="00340620"/>
    <w:rsid w:val="00341727"/>
    <w:rsid w:val="0034224F"/>
    <w:rsid w:val="003429A6"/>
    <w:rsid w:val="0034515F"/>
    <w:rsid w:val="003507E7"/>
    <w:rsid w:val="00351E0A"/>
    <w:rsid w:val="00363D81"/>
    <w:rsid w:val="00366363"/>
    <w:rsid w:val="00367FD8"/>
    <w:rsid w:val="0037093D"/>
    <w:rsid w:val="0037229C"/>
    <w:rsid w:val="003725A1"/>
    <w:rsid w:val="0037340D"/>
    <w:rsid w:val="00375E95"/>
    <w:rsid w:val="0038093C"/>
    <w:rsid w:val="00382D2B"/>
    <w:rsid w:val="00382FA3"/>
    <w:rsid w:val="0038462C"/>
    <w:rsid w:val="00384798"/>
    <w:rsid w:val="0038727E"/>
    <w:rsid w:val="00391492"/>
    <w:rsid w:val="003924E6"/>
    <w:rsid w:val="00394F2B"/>
    <w:rsid w:val="00394FB5"/>
    <w:rsid w:val="00397429"/>
    <w:rsid w:val="0039776F"/>
    <w:rsid w:val="003A01C3"/>
    <w:rsid w:val="003A0676"/>
    <w:rsid w:val="003A0789"/>
    <w:rsid w:val="003A1893"/>
    <w:rsid w:val="003A1ED4"/>
    <w:rsid w:val="003A2129"/>
    <w:rsid w:val="003A3428"/>
    <w:rsid w:val="003A5B8B"/>
    <w:rsid w:val="003A669F"/>
    <w:rsid w:val="003A750B"/>
    <w:rsid w:val="003B0C75"/>
    <w:rsid w:val="003B3E0F"/>
    <w:rsid w:val="003B6DC5"/>
    <w:rsid w:val="003B7C7B"/>
    <w:rsid w:val="003B7DE9"/>
    <w:rsid w:val="003C13F7"/>
    <w:rsid w:val="003C2398"/>
    <w:rsid w:val="003C36BE"/>
    <w:rsid w:val="003C6EED"/>
    <w:rsid w:val="003D0DA7"/>
    <w:rsid w:val="003D205A"/>
    <w:rsid w:val="003D3724"/>
    <w:rsid w:val="003D48A7"/>
    <w:rsid w:val="003E0A8A"/>
    <w:rsid w:val="003E0F2C"/>
    <w:rsid w:val="003E4F38"/>
    <w:rsid w:val="003E5928"/>
    <w:rsid w:val="003E5DB7"/>
    <w:rsid w:val="003E64D1"/>
    <w:rsid w:val="003E6DEC"/>
    <w:rsid w:val="003F0E28"/>
    <w:rsid w:val="003F3A87"/>
    <w:rsid w:val="003F61AE"/>
    <w:rsid w:val="00400DE9"/>
    <w:rsid w:val="004022C0"/>
    <w:rsid w:val="00404489"/>
    <w:rsid w:val="00406F0E"/>
    <w:rsid w:val="00407D70"/>
    <w:rsid w:val="004113D1"/>
    <w:rsid w:val="00411D62"/>
    <w:rsid w:val="00412EA9"/>
    <w:rsid w:val="004148B0"/>
    <w:rsid w:val="00414EE1"/>
    <w:rsid w:val="00421ED6"/>
    <w:rsid w:val="00423A17"/>
    <w:rsid w:val="00423F81"/>
    <w:rsid w:val="0042460F"/>
    <w:rsid w:val="004247DE"/>
    <w:rsid w:val="0042497F"/>
    <w:rsid w:val="00424CED"/>
    <w:rsid w:val="00424D5F"/>
    <w:rsid w:val="004265F4"/>
    <w:rsid w:val="004269AB"/>
    <w:rsid w:val="00426C5C"/>
    <w:rsid w:val="004277A6"/>
    <w:rsid w:val="004311E6"/>
    <w:rsid w:val="004315C5"/>
    <w:rsid w:val="004349A9"/>
    <w:rsid w:val="00435B9B"/>
    <w:rsid w:val="00436BCA"/>
    <w:rsid w:val="0044119F"/>
    <w:rsid w:val="00441A8A"/>
    <w:rsid w:val="00441BE3"/>
    <w:rsid w:val="004429FD"/>
    <w:rsid w:val="00442C2F"/>
    <w:rsid w:val="00444B04"/>
    <w:rsid w:val="00444FB4"/>
    <w:rsid w:val="004450BB"/>
    <w:rsid w:val="00445DC6"/>
    <w:rsid w:val="0044662D"/>
    <w:rsid w:val="00446892"/>
    <w:rsid w:val="00446AD3"/>
    <w:rsid w:val="00451165"/>
    <w:rsid w:val="0045726C"/>
    <w:rsid w:val="0046015A"/>
    <w:rsid w:val="00460A01"/>
    <w:rsid w:val="004637DD"/>
    <w:rsid w:val="004667D8"/>
    <w:rsid w:val="0047302D"/>
    <w:rsid w:val="00473D33"/>
    <w:rsid w:val="00473FB4"/>
    <w:rsid w:val="00475594"/>
    <w:rsid w:val="00481E14"/>
    <w:rsid w:val="00490137"/>
    <w:rsid w:val="00490A35"/>
    <w:rsid w:val="004931DF"/>
    <w:rsid w:val="0049499C"/>
    <w:rsid w:val="004952D3"/>
    <w:rsid w:val="004954B0"/>
    <w:rsid w:val="004958B5"/>
    <w:rsid w:val="0049653D"/>
    <w:rsid w:val="00496A17"/>
    <w:rsid w:val="004A4992"/>
    <w:rsid w:val="004A4B0D"/>
    <w:rsid w:val="004A52C2"/>
    <w:rsid w:val="004A6DEE"/>
    <w:rsid w:val="004A7BF8"/>
    <w:rsid w:val="004A7F8E"/>
    <w:rsid w:val="004B0262"/>
    <w:rsid w:val="004B0BD4"/>
    <w:rsid w:val="004B33E8"/>
    <w:rsid w:val="004B68A5"/>
    <w:rsid w:val="004B6BFF"/>
    <w:rsid w:val="004B7DEB"/>
    <w:rsid w:val="004C0017"/>
    <w:rsid w:val="004C1262"/>
    <w:rsid w:val="004C3788"/>
    <w:rsid w:val="004C4D48"/>
    <w:rsid w:val="004C68D1"/>
    <w:rsid w:val="004C6AE9"/>
    <w:rsid w:val="004D0162"/>
    <w:rsid w:val="004D1B93"/>
    <w:rsid w:val="004D4B17"/>
    <w:rsid w:val="004D5912"/>
    <w:rsid w:val="004D7DEE"/>
    <w:rsid w:val="004E36EE"/>
    <w:rsid w:val="004E3AD4"/>
    <w:rsid w:val="004E4387"/>
    <w:rsid w:val="004E62FA"/>
    <w:rsid w:val="004E69BE"/>
    <w:rsid w:val="004F3DB4"/>
    <w:rsid w:val="004F57B4"/>
    <w:rsid w:val="004F6142"/>
    <w:rsid w:val="00501F6F"/>
    <w:rsid w:val="0050273C"/>
    <w:rsid w:val="00502F55"/>
    <w:rsid w:val="00503DE2"/>
    <w:rsid w:val="00504E70"/>
    <w:rsid w:val="00505E75"/>
    <w:rsid w:val="00506C84"/>
    <w:rsid w:val="0051122D"/>
    <w:rsid w:val="0051161D"/>
    <w:rsid w:val="005123D1"/>
    <w:rsid w:val="00512760"/>
    <w:rsid w:val="00512A3D"/>
    <w:rsid w:val="00513366"/>
    <w:rsid w:val="00515969"/>
    <w:rsid w:val="00515B86"/>
    <w:rsid w:val="005164A6"/>
    <w:rsid w:val="005219BF"/>
    <w:rsid w:val="0052601A"/>
    <w:rsid w:val="00526433"/>
    <w:rsid w:val="0053145F"/>
    <w:rsid w:val="00537D24"/>
    <w:rsid w:val="005412E1"/>
    <w:rsid w:val="00543A30"/>
    <w:rsid w:val="005446DE"/>
    <w:rsid w:val="00545317"/>
    <w:rsid w:val="00545752"/>
    <w:rsid w:val="00546B02"/>
    <w:rsid w:val="005472FF"/>
    <w:rsid w:val="0055187E"/>
    <w:rsid w:val="0055287D"/>
    <w:rsid w:val="005535F8"/>
    <w:rsid w:val="00553890"/>
    <w:rsid w:val="00560BB1"/>
    <w:rsid w:val="005652C4"/>
    <w:rsid w:val="00572A5D"/>
    <w:rsid w:val="0057591D"/>
    <w:rsid w:val="00575CB3"/>
    <w:rsid w:val="005769AB"/>
    <w:rsid w:val="00577939"/>
    <w:rsid w:val="00577F9A"/>
    <w:rsid w:val="005802B7"/>
    <w:rsid w:val="00582545"/>
    <w:rsid w:val="00586ACB"/>
    <w:rsid w:val="00587B0A"/>
    <w:rsid w:val="00591D92"/>
    <w:rsid w:val="0059494E"/>
    <w:rsid w:val="00595BB7"/>
    <w:rsid w:val="00596264"/>
    <w:rsid w:val="005A0D15"/>
    <w:rsid w:val="005A0F9D"/>
    <w:rsid w:val="005A3AD2"/>
    <w:rsid w:val="005A4CF6"/>
    <w:rsid w:val="005A5BD9"/>
    <w:rsid w:val="005A73D1"/>
    <w:rsid w:val="005A75E2"/>
    <w:rsid w:val="005A7B55"/>
    <w:rsid w:val="005B0874"/>
    <w:rsid w:val="005B124D"/>
    <w:rsid w:val="005B277E"/>
    <w:rsid w:val="005B48A2"/>
    <w:rsid w:val="005B5FCE"/>
    <w:rsid w:val="005C23B8"/>
    <w:rsid w:val="005C264E"/>
    <w:rsid w:val="005C3C2F"/>
    <w:rsid w:val="005C5E46"/>
    <w:rsid w:val="005D1D0C"/>
    <w:rsid w:val="005D21D9"/>
    <w:rsid w:val="005D309C"/>
    <w:rsid w:val="005D44AF"/>
    <w:rsid w:val="005D4E8D"/>
    <w:rsid w:val="005D58ED"/>
    <w:rsid w:val="005D5D96"/>
    <w:rsid w:val="005D6080"/>
    <w:rsid w:val="005D7317"/>
    <w:rsid w:val="005E1730"/>
    <w:rsid w:val="005E2BD0"/>
    <w:rsid w:val="005E2BD3"/>
    <w:rsid w:val="005E4ACB"/>
    <w:rsid w:val="005E7E77"/>
    <w:rsid w:val="005F1DEA"/>
    <w:rsid w:val="005F3CB1"/>
    <w:rsid w:val="005F5ECB"/>
    <w:rsid w:val="005F5F45"/>
    <w:rsid w:val="005F7E69"/>
    <w:rsid w:val="006030BD"/>
    <w:rsid w:val="00603870"/>
    <w:rsid w:val="00603F47"/>
    <w:rsid w:val="00606F08"/>
    <w:rsid w:val="00607B57"/>
    <w:rsid w:val="00610F7A"/>
    <w:rsid w:val="00611B76"/>
    <w:rsid w:val="00613891"/>
    <w:rsid w:val="0061588F"/>
    <w:rsid w:val="006215F0"/>
    <w:rsid w:val="006225BD"/>
    <w:rsid w:val="006238DA"/>
    <w:rsid w:val="006301D4"/>
    <w:rsid w:val="00634AB5"/>
    <w:rsid w:val="00635B21"/>
    <w:rsid w:val="0063669D"/>
    <w:rsid w:val="006411DD"/>
    <w:rsid w:val="00642E31"/>
    <w:rsid w:val="00650679"/>
    <w:rsid w:val="0065177F"/>
    <w:rsid w:val="006524A3"/>
    <w:rsid w:val="00652A0D"/>
    <w:rsid w:val="006536BC"/>
    <w:rsid w:val="00653A7F"/>
    <w:rsid w:val="0065617D"/>
    <w:rsid w:val="0065742B"/>
    <w:rsid w:val="00662576"/>
    <w:rsid w:val="00662AE8"/>
    <w:rsid w:val="00664F6C"/>
    <w:rsid w:val="00670082"/>
    <w:rsid w:val="006705A3"/>
    <w:rsid w:val="006738B6"/>
    <w:rsid w:val="00676E37"/>
    <w:rsid w:val="0067705B"/>
    <w:rsid w:val="006854A3"/>
    <w:rsid w:val="006871D7"/>
    <w:rsid w:val="0068749D"/>
    <w:rsid w:val="00690825"/>
    <w:rsid w:val="00691F10"/>
    <w:rsid w:val="006930F4"/>
    <w:rsid w:val="006A073B"/>
    <w:rsid w:val="006A1647"/>
    <w:rsid w:val="006A176B"/>
    <w:rsid w:val="006A295A"/>
    <w:rsid w:val="006A34A2"/>
    <w:rsid w:val="006A5AB6"/>
    <w:rsid w:val="006A67C6"/>
    <w:rsid w:val="006A7074"/>
    <w:rsid w:val="006A7479"/>
    <w:rsid w:val="006B20B5"/>
    <w:rsid w:val="006B3DAC"/>
    <w:rsid w:val="006B4310"/>
    <w:rsid w:val="006B45C4"/>
    <w:rsid w:val="006B4ABA"/>
    <w:rsid w:val="006B6743"/>
    <w:rsid w:val="006B7090"/>
    <w:rsid w:val="006B76EC"/>
    <w:rsid w:val="006B76F6"/>
    <w:rsid w:val="006B7780"/>
    <w:rsid w:val="006C2FAF"/>
    <w:rsid w:val="006C350F"/>
    <w:rsid w:val="006C42B3"/>
    <w:rsid w:val="006C4CDF"/>
    <w:rsid w:val="006C4DC0"/>
    <w:rsid w:val="006C610C"/>
    <w:rsid w:val="006D1142"/>
    <w:rsid w:val="006D2894"/>
    <w:rsid w:val="006D3294"/>
    <w:rsid w:val="006D3C6D"/>
    <w:rsid w:val="006D55B3"/>
    <w:rsid w:val="006E059A"/>
    <w:rsid w:val="006E0989"/>
    <w:rsid w:val="006E0ABF"/>
    <w:rsid w:val="006E2298"/>
    <w:rsid w:val="006E268A"/>
    <w:rsid w:val="006E376C"/>
    <w:rsid w:val="006E501B"/>
    <w:rsid w:val="006F3AC4"/>
    <w:rsid w:val="006F476E"/>
    <w:rsid w:val="006F4E78"/>
    <w:rsid w:val="006F67CF"/>
    <w:rsid w:val="007010B6"/>
    <w:rsid w:val="0070226D"/>
    <w:rsid w:val="00703197"/>
    <w:rsid w:val="00703335"/>
    <w:rsid w:val="0070350B"/>
    <w:rsid w:val="00705B96"/>
    <w:rsid w:val="00705BB8"/>
    <w:rsid w:val="00706357"/>
    <w:rsid w:val="007063AC"/>
    <w:rsid w:val="0070733D"/>
    <w:rsid w:val="007158E9"/>
    <w:rsid w:val="0072103B"/>
    <w:rsid w:val="00721ACC"/>
    <w:rsid w:val="00723CDE"/>
    <w:rsid w:val="00727471"/>
    <w:rsid w:val="00731212"/>
    <w:rsid w:val="00732362"/>
    <w:rsid w:val="00736C72"/>
    <w:rsid w:val="00737C79"/>
    <w:rsid w:val="00740FBC"/>
    <w:rsid w:val="00741FD3"/>
    <w:rsid w:val="007433F4"/>
    <w:rsid w:val="0074377C"/>
    <w:rsid w:val="00743AEE"/>
    <w:rsid w:val="00747910"/>
    <w:rsid w:val="0075595F"/>
    <w:rsid w:val="00755FF2"/>
    <w:rsid w:val="00766F32"/>
    <w:rsid w:val="00770A89"/>
    <w:rsid w:val="007718AC"/>
    <w:rsid w:val="00774363"/>
    <w:rsid w:val="007817A3"/>
    <w:rsid w:val="007831A3"/>
    <w:rsid w:val="0078327E"/>
    <w:rsid w:val="0078512D"/>
    <w:rsid w:val="00785B79"/>
    <w:rsid w:val="00791575"/>
    <w:rsid w:val="007947AF"/>
    <w:rsid w:val="0079592C"/>
    <w:rsid w:val="00797735"/>
    <w:rsid w:val="007A2AE0"/>
    <w:rsid w:val="007A4021"/>
    <w:rsid w:val="007A45B2"/>
    <w:rsid w:val="007A61FF"/>
    <w:rsid w:val="007A6321"/>
    <w:rsid w:val="007A6BA9"/>
    <w:rsid w:val="007A7975"/>
    <w:rsid w:val="007B28D4"/>
    <w:rsid w:val="007B4D21"/>
    <w:rsid w:val="007B63D8"/>
    <w:rsid w:val="007B63E6"/>
    <w:rsid w:val="007B731A"/>
    <w:rsid w:val="007B7377"/>
    <w:rsid w:val="007C0EFE"/>
    <w:rsid w:val="007C29A0"/>
    <w:rsid w:val="007C2F5D"/>
    <w:rsid w:val="007C434F"/>
    <w:rsid w:val="007C4FAB"/>
    <w:rsid w:val="007C5DD6"/>
    <w:rsid w:val="007D1149"/>
    <w:rsid w:val="007D1FFB"/>
    <w:rsid w:val="007D22E2"/>
    <w:rsid w:val="007D2D92"/>
    <w:rsid w:val="007D5626"/>
    <w:rsid w:val="007D7F37"/>
    <w:rsid w:val="007E1FF2"/>
    <w:rsid w:val="007E3139"/>
    <w:rsid w:val="007E3624"/>
    <w:rsid w:val="007E49D4"/>
    <w:rsid w:val="007E4E1E"/>
    <w:rsid w:val="007E58F5"/>
    <w:rsid w:val="007E63AA"/>
    <w:rsid w:val="007F184E"/>
    <w:rsid w:val="007F260E"/>
    <w:rsid w:val="007F3E1B"/>
    <w:rsid w:val="007F4DD6"/>
    <w:rsid w:val="007F4EB4"/>
    <w:rsid w:val="007F615A"/>
    <w:rsid w:val="007F64D8"/>
    <w:rsid w:val="007F6956"/>
    <w:rsid w:val="008029E8"/>
    <w:rsid w:val="00803AF4"/>
    <w:rsid w:val="00806AF2"/>
    <w:rsid w:val="00810365"/>
    <w:rsid w:val="00812A70"/>
    <w:rsid w:val="00813A67"/>
    <w:rsid w:val="00821CB3"/>
    <w:rsid w:val="008265AF"/>
    <w:rsid w:val="008266BA"/>
    <w:rsid w:val="00827396"/>
    <w:rsid w:val="00827877"/>
    <w:rsid w:val="008278C0"/>
    <w:rsid w:val="00832D3F"/>
    <w:rsid w:val="0083398D"/>
    <w:rsid w:val="00833E41"/>
    <w:rsid w:val="008344AC"/>
    <w:rsid w:val="00836E16"/>
    <w:rsid w:val="0084558D"/>
    <w:rsid w:val="00845E91"/>
    <w:rsid w:val="008521E0"/>
    <w:rsid w:val="00855AFA"/>
    <w:rsid w:val="00863780"/>
    <w:rsid w:val="00866174"/>
    <w:rsid w:val="00866899"/>
    <w:rsid w:val="00867D24"/>
    <w:rsid w:val="008726BE"/>
    <w:rsid w:val="00875100"/>
    <w:rsid w:val="00877E6E"/>
    <w:rsid w:val="00881171"/>
    <w:rsid w:val="008831FC"/>
    <w:rsid w:val="008839FE"/>
    <w:rsid w:val="00884443"/>
    <w:rsid w:val="008858F0"/>
    <w:rsid w:val="00886E33"/>
    <w:rsid w:val="008900B4"/>
    <w:rsid w:val="008915EE"/>
    <w:rsid w:val="0089178D"/>
    <w:rsid w:val="008933AE"/>
    <w:rsid w:val="008936A8"/>
    <w:rsid w:val="0089508B"/>
    <w:rsid w:val="00896A1D"/>
    <w:rsid w:val="00896CD0"/>
    <w:rsid w:val="00897087"/>
    <w:rsid w:val="008A1C09"/>
    <w:rsid w:val="008A1C4E"/>
    <w:rsid w:val="008A2233"/>
    <w:rsid w:val="008A2E47"/>
    <w:rsid w:val="008A492C"/>
    <w:rsid w:val="008A60BA"/>
    <w:rsid w:val="008B0EF7"/>
    <w:rsid w:val="008B15F1"/>
    <w:rsid w:val="008B19DB"/>
    <w:rsid w:val="008B4D98"/>
    <w:rsid w:val="008B5B67"/>
    <w:rsid w:val="008B6C81"/>
    <w:rsid w:val="008C18CE"/>
    <w:rsid w:val="008C2448"/>
    <w:rsid w:val="008C3344"/>
    <w:rsid w:val="008D0D1B"/>
    <w:rsid w:val="008D110A"/>
    <w:rsid w:val="008D1AC8"/>
    <w:rsid w:val="008D2F5F"/>
    <w:rsid w:val="008D41FB"/>
    <w:rsid w:val="008D5F10"/>
    <w:rsid w:val="008E0C85"/>
    <w:rsid w:val="008E1155"/>
    <w:rsid w:val="008E288E"/>
    <w:rsid w:val="008E51B9"/>
    <w:rsid w:val="008E5791"/>
    <w:rsid w:val="008F1AEF"/>
    <w:rsid w:val="008F4B78"/>
    <w:rsid w:val="008F4BC9"/>
    <w:rsid w:val="008F5620"/>
    <w:rsid w:val="008F58AD"/>
    <w:rsid w:val="008F7CF7"/>
    <w:rsid w:val="00900EFA"/>
    <w:rsid w:val="009013B3"/>
    <w:rsid w:val="0090204A"/>
    <w:rsid w:val="009060D2"/>
    <w:rsid w:val="009070F0"/>
    <w:rsid w:val="00913139"/>
    <w:rsid w:val="00916DE8"/>
    <w:rsid w:val="00924244"/>
    <w:rsid w:val="009260BB"/>
    <w:rsid w:val="0092723A"/>
    <w:rsid w:val="0092755D"/>
    <w:rsid w:val="00927BCD"/>
    <w:rsid w:val="00930959"/>
    <w:rsid w:val="00930A9B"/>
    <w:rsid w:val="00933CE3"/>
    <w:rsid w:val="00934B12"/>
    <w:rsid w:val="009357A2"/>
    <w:rsid w:val="00935E00"/>
    <w:rsid w:val="00940993"/>
    <w:rsid w:val="00941600"/>
    <w:rsid w:val="00942575"/>
    <w:rsid w:val="00942B9B"/>
    <w:rsid w:val="00945337"/>
    <w:rsid w:val="00945D0B"/>
    <w:rsid w:val="00946699"/>
    <w:rsid w:val="00946ED9"/>
    <w:rsid w:val="00947DF4"/>
    <w:rsid w:val="00953ADA"/>
    <w:rsid w:val="0095495A"/>
    <w:rsid w:val="00956154"/>
    <w:rsid w:val="0096293F"/>
    <w:rsid w:val="009650C6"/>
    <w:rsid w:val="009651EE"/>
    <w:rsid w:val="00966B62"/>
    <w:rsid w:val="009673FA"/>
    <w:rsid w:val="00967BD8"/>
    <w:rsid w:val="00970ADE"/>
    <w:rsid w:val="009716EB"/>
    <w:rsid w:val="00971C55"/>
    <w:rsid w:val="00971C9F"/>
    <w:rsid w:val="00973F88"/>
    <w:rsid w:val="00977A83"/>
    <w:rsid w:val="0098120F"/>
    <w:rsid w:val="00981247"/>
    <w:rsid w:val="00984DD6"/>
    <w:rsid w:val="00985584"/>
    <w:rsid w:val="00995142"/>
    <w:rsid w:val="0099619D"/>
    <w:rsid w:val="009A0DAF"/>
    <w:rsid w:val="009A0E0B"/>
    <w:rsid w:val="009A109A"/>
    <w:rsid w:val="009A1991"/>
    <w:rsid w:val="009A2278"/>
    <w:rsid w:val="009A4D8C"/>
    <w:rsid w:val="009A55A3"/>
    <w:rsid w:val="009A5852"/>
    <w:rsid w:val="009B01D6"/>
    <w:rsid w:val="009B1CB2"/>
    <w:rsid w:val="009B2C7F"/>
    <w:rsid w:val="009B3B02"/>
    <w:rsid w:val="009B41C3"/>
    <w:rsid w:val="009B6191"/>
    <w:rsid w:val="009C0D39"/>
    <w:rsid w:val="009C2B94"/>
    <w:rsid w:val="009C4EBC"/>
    <w:rsid w:val="009C57B6"/>
    <w:rsid w:val="009C5B56"/>
    <w:rsid w:val="009D0715"/>
    <w:rsid w:val="009D12A4"/>
    <w:rsid w:val="009D1B94"/>
    <w:rsid w:val="009D485F"/>
    <w:rsid w:val="009D61FC"/>
    <w:rsid w:val="009E061F"/>
    <w:rsid w:val="009E215F"/>
    <w:rsid w:val="009E51F8"/>
    <w:rsid w:val="009F13E9"/>
    <w:rsid w:val="009F265B"/>
    <w:rsid w:val="009F6094"/>
    <w:rsid w:val="009F64FC"/>
    <w:rsid w:val="009F780E"/>
    <w:rsid w:val="00A00B5E"/>
    <w:rsid w:val="00A03301"/>
    <w:rsid w:val="00A054AA"/>
    <w:rsid w:val="00A06E33"/>
    <w:rsid w:val="00A10558"/>
    <w:rsid w:val="00A12630"/>
    <w:rsid w:val="00A20F7F"/>
    <w:rsid w:val="00A25163"/>
    <w:rsid w:val="00A2531E"/>
    <w:rsid w:val="00A27604"/>
    <w:rsid w:val="00A30C6A"/>
    <w:rsid w:val="00A32B23"/>
    <w:rsid w:val="00A3399E"/>
    <w:rsid w:val="00A3406E"/>
    <w:rsid w:val="00A34BE0"/>
    <w:rsid w:val="00A34CDF"/>
    <w:rsid w:val="00A375A5"/>
    <w:rsid w:val="00A41D22"/>
    <w:rsid w:val="00A465DD"/>
    <w:rsid w:val="00A50226"/>
    <w:rsid w:val="00A510E6"/>
    <w:rsid w:val="00A5247B"/>
    <w:rsid w:val="00A550D4"/>
    <w:rsid w:val="00A5642A"/>
    <w:rsid w:val="00A60583"/>
    <w:rsid w:val="00A60B1C"/>
    <w:rsid w:val="00A64519"/>
    <w:rsid w:val="00A65E58"/>
    <w:rsid w:val="00A667A9"/>
    <w:rsid w:val="00A66AEA"/>
    <w:rsid w:val="00A67159"/>
    <w:rsid w:val="00A71657"/>
    <w:rsid w:val="00A717F5"/>
    <w:rsid w:val="00A72C4D"/>
    <w:rsid w:val="00A73132"/>
    <w:rsid w:val="00A75116"/>
    <w:rsid w:val="00A7766D"/>
    <w:rsid w:val="00A81CF5"/>
    <w:rsid w:val="00A82020"/>
    <w:rsid w:val="00A87EB1"/>
    <w:rsid w:val="00A90115"/>
    <w:rsid w:val="00A92BC2"/>
    <w:rsid w:val="00A93CF9"/>
    <w:rsid w:val="00A94C2E"/>
    <w:rsid w:val="00A9683F"/>
    <w:rsid w:val="00A97071"/>
    <w:rsid w:val="00AA03D3"/>
    <w:rsid w:val="00AA0748"/>
    <w:rsid w:val="00AA143A"/>
    <w:rsid w:val="00AA21A0"/>
    <w:rsid w:val="00AA2B49"/>
    <w:rsid w:val="00AA38F7"/>
    <w:rsid w:val="00AB04ED"/>
    <w:rsid w:val="00AB1451"/>
    <w:rsid w:val="00AB14CE"/>
    <w:rsid w:val="00AB36F8"/>
    <w:rsid w:val="00AB5C74"/>
    <w:rsid w:val="00AC030F"/>
    <w:rsid w:val="00AC1756"/>
    <w:rsid w:val="00AC2F98"/>
    <w:rsid w:val="00AC361F"/>
    <w:rsid w:val="00AC3F36"/>
    <w:rsid w:val="00AC43CE"/>
    <w:rsid w:val="00AC4D80"/>
    <w:rsid w:val="00AD11EC"/>
    <w:rsid w:val="00AD126F"/>
    <w:rsid w:val="00AD5E18"/>
    <w:rsid w:val="00AD67BB"/>
    <w:rsid w:val="00AD6986"/>
    <w:rsid w:val="00AD740B"/>
    <w:rsid w:val="00AE0E38"/>
    <w:rsid w:val="00AE13D6"/>
    <w:rsid w:val="00AE2C85"/>
    <w:rsid w:val="00AE358C"/>
    <w:rsid w:val="00AE3F8A"/>
    <w:rsid w:val="00AE48A0"/>
    <w:rsid w:val="00AE4CF6"/>
    <w:rsid w:val="00AE6F1F"/>
    <w:rsid w:val="00AE6FCC"/>
    <w:rsid w:val="00AF172D"/>
    <w:rsid w:val="00AF1D39"/>
    <w:rsid w:val="00AF1DD8"/>
    <w:rsid w:val="00AF2B49"/>
    <w:rsid w:val="00AF522B"/>
    <w:rsid w:val="00AF5383"/>
    <w:rsid w:val="00B07B97"/>
    <w:rsid w:val="00B10690"/>
    <w:rsid w:val="00B176E3"/>
    <w:rsid w:val="00B2254F"/>
    <w:rsid w:val="00B22A47"/>
    <w:rsid w:val="00B22C37"/>
    <w:rsid w:val="00B2646B"/>
    <w:rsid w:val="00B272AE"/>
    <w:rsid w:val="00B335DA"/>
    <w:rsid w:val="00B339E4"/>
    <w:rsid w:val="00B34838"/>
    <w:rsid w:val="00B40043"/>
    <w:rsid w:val="00B41379"/>
    <w:rsid w:val="00B45435"/>
    <w:rsid w:val="00B45CD4"/>
    <w:rsid w:val="00B46B29"/>
    <w:rsid w:val="00B472EA"/>
    <w:rsid w:val="00B50CB8"/>
    <w:rsid w:val="00B5326D"/>
    <w:rsid w:val="00B5456D"/>
    <w:rsid w:val="00B55F74"/>
    <w:rsid w:val="00B56F98"/>
    <w:rsid w:val="00B615DE"/>
    <w:rsid w:val="00B62633"/>
    <w:rsid w:val="00B62652"/>
    <w:rsid w:val="00B63678"/>
    <w:rsid w:val="00B6443D"/>
    <w:rsid w:val="00B6476B"/>
    <w:rsid w:val="00B70603"/>
    <w:rsid w:val="00B71C90"/>
    <w:rsid w:val="00B750AF"/>
    <w:rsid w:val="00B75843"/>
    <w:rsid w:val="00B7602D"/>
    <w:rsid w:val="00B76415"/>
    <w:rsid w:val="00B80393"/>
    <w:rsid w:val="00B8069A"/>
    <w:rsid w:val="00B80C3C"/>
    <w:rsid w:val="00B839E9"/>
    <w:rsid w:val="00B84E36"/>
    <w:rsid w:val="00B869B5"/>
    <w:rsid w:val="00B9100B"/>
    <w:rsid w:val="00B92CEB"/>
    <w:rsid w:val="00B9368B"/>
    <w:rsid w:val="00B9404F"/>
    <w:rsid w:val="00B95AC9"/>
    <w:rsid w:val="00B969A3"/>
    <w:rsid w:val="00BA30AA"/>
    <w:rsid w:val="00BA7887"/>
    <w:rsid w:val="00BB2912"/>
    <w:rsid w:val="00BB5A51"/>
    <w:rsid w:val="00BB758D"/>
    <w:rsid w:val="00BC2E30"/>
    <w:rsid w:val="00BC3C42"/>
    <w:rsid w:val="00BC5341"/>
    <w:rsid w:val="00BC562F"/>
    <w:rsid w:val="00BC5E91"/>
    <w:rsid w:val="00BC7479"/>
    <w:rsid w:val="00BC7B85"/>
    <w:rsid w:val="00BD09B1"/>
    <w:rsid w:val="00BD35A4"/>
    <w:rsid w:val="00BD3C54"/>
    <w:rsid w:val="00BD47F3"/>
    <w:rsid w:val="00BE0DF1"/>
    <w:rsid w:val="00BE2C0D"/>
    <w:rsid w:val="00BE3264"/>
    <w:rsid w:val="00BE3400"/>
    <w:rsid w:val="00BE366D"/>
    <w:rsid w:val="00BE530A"/>
    <w:rsid w:val="00BE54E8"/>
    <w:rsid w:val="00BE618D"/>
    <w:rsid w:val="00BF0FDC"/>
    <w:rsid w:val="00C01D28"/>
    <w:rsid w:val="00C01D33"/>
    <w:rsid w:val="00C04EA4"/>
    <w:rsid w:val="00C21356"/>
    <w:rsid w:val="00C22B27"/>
    <w:rsid w:val="00C22F37"/>
    <w:rsid w:val="00C2526E"/>
    <w:rsid w:val="00C26A7F"/>
    <w:rsid w:val="00C27776"/>
    <w:rsid w:val="00C3215F"/>
    <w:rsid w:val="00C328EC"/>
    <w:rsid w:val="00C329D5"/>
    <w:rsid w:val="00C36A4B"/>
    <w:rsid w:val="00C3721A"/>
    <w:rsid w:val="00C3756A"/>
    <w:rsid w:val="00C50638"/>
    <w:rsid w:val="00C5071B"/>
    <w:rsid w:val="00C50C85"/>
    <w:rsid w:val="00C51676"/>
    <w:rsid w:val="00C51A0E"/>
    <w:rsid w:val="00C540EE"/>
    <w:rsid w:val="00C54276"/>
    <w:rsid w:val="00C55CD8"/>
    <w:rsid w:val="00C56C6B"/>
    <w:rsid w:val="00C601E8"/>
    <w:rsid w:val="00C63312"/>
    <w:rsid w:val="00C6493C"/>
    <w:rsid w:val="00C703BF"/>
    <w:rsid w:val="00C7093C"/>
    <w:rsid w:val="00C70E00"/>
    <w:rsid w:val="00C70F9D"/>
    <w:rsid w:val="00C73708"/>
    <w:rsid w:val="00C74588"/>
    <w:rsid w:val="00C769AF"/>
    <w:rsid w:val="00C80061"/>
    <w:rsid w:val="00C808DD"/>
    <w:rsid w:val="00C80B5E"/>
    <w:rsid w:val="00C8257B"/>
    <w:rsid w:val="00C85469"/>
    <w:rsid w:val="00C90AB1"/>
    <w:rsid w:val="00C90FC3"/>
    <w:rsid w:val="00C9252D"/>
    <w:rsid w:val="00C927C9"/>
    <w:rsid w:val="00C9352A"/>
    <w:rsid w:val="00C93B64"/>
    <w:rsid w:val="00C96526"/>
    <w:rsid w:val="00C97B4A"/>
    <w:rsid w:val="00CA088A"/>
    <w:rsid w:val="00CA47B2"/>
    <w:rsid w:val="00CA48F9"/>
    <w:rsid w:val="00CB2603"/>
    <w:rsid w:val="00CB3820"/>
    <w:rsid w:val="00CB423B"/>
    <w:rsid w:val="00CB60BF"/>
    <w:rsid w:val="00CC0745"/>
    <w:rsid w:val="00CC0935"/>
    <w:rsid w:val="00CC292C"/>
    <w:rsid w:val="00CC69D5"/>
    <w:rsid w:val="00CC7BBF"/>
    <w:rsid w:val="00CC7EB3"/>
    <w:rsid w:val="00CD0014"/>
    <w:rsid w:val="00CD0E7F"/>
    <w:rsid w:val="00CD47FF"/>
    <w:rsid w:val="00CD6846"/>
    <w:rsid w:val="00CE00F7"/>
    <w:rsid w:val="00CE29D3"/>
    <w:rsid w:val="00CE48DE"/>
    <w:rsid w:val="00CE565B"/>
    <w:rsid w:val="00CE6DD4"/>
    <w:rsid w:val="00CF08BB"/>
    <w:rsid w:val="00CF3370"/>
    <w:rsid w:val="00CF4B6C"/>
    <w:rsid w:val="00CF6CE4"/>
    <w:rsid w:val="00CF7D32"/>
    <w:rsid w:val="00CF7FAD"/>
    <w:rsid w:val="00D007FB"/>
    <w:rsid w:val="00D00D70"/>
    <w:rsid w:val="00D015BE"/>
    <w:rsid w:val="00D01B1B"/>
    <w:rsid w:val="00D03721"/>
    <w:rsid w:val="00D05B4E"/>
    <w:rsid w:val="00D0722B"/>
    <w:rsid w:val="00D1098B"/>
    <w:rsid w:val="00D11B56"/>
    <w:rsid w:val="00D17D34"/>
    <w:rsid w:val="00D17ECF"/>
    <w:rsid w:val="00D272B3"/>
    <w:rsid w:val="00D30DC1"/>
    <w:rsid w:val="00D321C7"/>
    <w:rsid w:val="00D37F42"/>
    <w:rsid w:val="00D409AB"/>
    <w:rsid w:val="00D42847"/>
    <w:rsid w:val="00D47BDC"/>
    <w:rsid w:val="00D5171C"/>
    <w:rsid w:val="00D5202F"/>
    <w:rsid w:val="00D5269F"/>
    <w:rsid w:val="00D53783"/>
    <w:rsid w:val="00D537A2"/>
    <w:rsid w:val="00D55101"/>
    <w:rsid w:val="00D5679F"/>
    <w:rsid w:val="00D60F6A"/>
    <w:rsid w:val="00D62808"/>
    <w:rsid w:val="00D65787"/>
    <w:rsid w:val="00D65E90"/>
    <w:rsid w:val="00D66A0A"/>
    <w:rsid w:val="00D726D2"/>
    <w:rsid w:val="00D732F5"/>
    <w:rsid w:val="00D75ED1"/>
    <w:rsid w:val="00D7725C"/>
    <w:rsid w:val="00D823B6"/>
    <w:rsid w:val="00D8447D"/>
    <w:rsid w:val="00D86A75"/>
    <w:rsid w:val="00D86E7F"/>
    <w:rsid w:val="00D87F16"/>
    <w:rsid w:val="00D91F65"/>
    <w:rsid w:val="00D93609"/>
    <w:rsid w:val="00D937C8"/>
    <w:rsid w:val="00D93C9C"/>
    <w:rsid w:val="00DA0B73"/>
    <w:rsid w:val="00DA269C"/>
    <w:rsid w:val="00DA522A"/>
    <w:rsid w:val="00DA70FE"/>
    <w:rsid w:val="00DA7D35"/>
    <w:rsid w:val="00DB0F49"/>
    <w:rsid w:val="00DB4798"/>
    <w:rsid w:val="00DC199A"/>
    <w:rsid w:val="00DC1ECB"/>
    <w:rsid w:val="00DC2707"/>
    <w:rsid w:val="00DC2958"/>
    <w:rsid w:val="00DC47F3"/>
    <w:rsid w:val="00DC51DD"/>
    <w:rsid w:val="00DC78E2"/>
    <w:rsid w:val="00DD024B"/>
    <w:rsid w:val="00DD18CB"/>
    <w:rsid w:val="00DD1FE6"/>
    <w:rsid w:val="00DD6204"/>
    <w:rsid w:val="00DD67C9"/>
    <w:rsid w:val="00DD793D"/>
    <w:rsid w:val="00DE1159"/>
    <w:rsid w:val="00DE1D47"/>
    <w:rsid w:val="00DE21A8"/>
    <w:rsid w:val="00DE4B1D"/>
    <w:rsid w:val="00DE5346"/>
    <w:rsid w:val="00DE5E45"/>
    <w:rsid w:val="00DE610F"/>
    <w:rsid w:val="00DE66B9"/>
    <w:rsid w:val="00DE7544"/>
    <w:rsid w:val="00DF029C"/>
    <w:rsid w:val="00DF0531"/>
    <w:rsid w:val="00DF52BC"/>
    <w:rsid w:val="00E01D4D"/>
    <w:rsid w:val="00E02DA0"/>
    <w:rsid w:val="00E037F3"/>
    <w:rsid w:val="00E03FA7"/>
    <w:rsid w:val="00E046DF"/>
    <w:rsid w:val="00E052B8"/>
    <w:rsid w:val="00E1290B"/>
    <w:rsid w:val="00E12A0A"/>
    <w:rsid w:val="00E14462"/>
    <w:rsid w:val="00E14EA4"/>
    <w:rsid w:val="00E1609B"/>
    <w:rsid w:val="00E217DA"/>
    <w:rsid w:val="00E2224D"/>
    <w:rsid w:val="00E23900"/>
    <w:rsid w:val="00E24B1F"/>
    <w:rsid w:val="00E26E40"/>
    <w:rsid w:val="00E31787"/>
    <w:rsid w:val="00E33F99"/>
    <w:rsid w:val="00E3696C"/>
    <w:rsid w:val="00E400D3"/>
    <w:rsid w:val="00E45C50"/>
    <w:rsid w:val="00E50B89"/>
    <w:rsid w:val="00E53C39"/>
    <w:rsid w:val="00E55495"/>
    <w:rsid w:val="00E55AFC"/>
    <w:rsid w:val="00E55E7F"/>
    <w:rsid w:val="00E579C6"/>
    <w:rsid w:val="00E61D67"/>
    <w:rsid w:val="00E62AA5"/>
    <w:rsid w:val="00E6537F"/>
    <w:rsid w:val="00E65FF6"/>
    <w:rsid w:val="00E66DA4"/>
    <w:rsid w:val="00E67562"/>
    <w:rsid w:val="00E7035A"/>
    <w:rsid w:val="00E74EC5"/>
    <w:rsid w:val="00E772EE"/>
    <w:rsid w:val="00E775BC"/>
    <w:rsid w:val="00E82325"/>
    <w:rsid w:val="00E83B96"/>
    <w:rsid w:val="00E86424"/>
    <w:rsid w:val="00E8705E"/>
    <w:rsid w:val="00E908C7"/>
    <w:rsid w:val="00E922BE"/>
    <w:rsid w:val="00E93544"/>
    <w:rsid w:val="00E937AD"/>
    <w:rsid w:val="00E94441"/>
    <w:rsid w:val="00E9485D"/>
    <w:rsid w:val="00E949DF"/>
    <w:rsid w:val="00E95E58"/>
    <w:rsid w:val="00E97E23"/>
    <w:rsid w:val="00EA1E48"/>
    <w:rsid w:val="00EA1E69"/>
    <w:rsid w:val="00EA4436"/>
    <w:rsid w:val="00EA4C9D"/>
    <w:rsid w:val="00EA5683"/>
    <w:rsid w:val="00EA7849"/>
    <w:rsid w:val="00EB19EB"/>
    <w:rsid w:val="00EB2180"/>
    <w:rsid w:val="00EB33F1"/>
    <w:rsid w:val="00EB3528"/>
    <w:rsid w:val="00EC1414"/>
    <w:rsid w:val="00EC23EA"/>
    <w:rsid w:val="00EC50C0"/>
    <w:rsid w:val="00EC79E4"/>
    <w:rsid w:val="00ED00DC"/>
    <w:rsid w:val="00ED153D"/>
    <w:rsid w:val="00ED1A0D"/>
    <w:rsid w:val="00ED2663"/>
    <w:rsid w:val="00ED3A81"/>
    <w:rsid w:val="00ED56B4"/>
    <w:rsid w:val="00ED7B27"/>
    <w:rsid w:val="00EE0D5E"/>
    <w:rsid w:val="00EE1593"/>
    <w:rsid w:val="00EE3804"/>
    <w:rsid w:val="00EE390C"/>
    <w:rsid w:val="00EE3C43"/>
    <w:rsid w:val="00EE6AD3"/>
    <w:rsid w:val="00EF14F6"/>
    <w:rsid w:val="00EF185A"/>
    <w:rsid w:val="00EF2CDF"/>
    <w:rsid w:val="00EF32B5"/>
    <w:rsid w:val="00EF32C9"/>
    <w:rsid w:val="00EF6337"/>
    <w:rsid w:val="00EF7B8E"/>
    <w:rsid w:val="00F02E7A"/>
    <w:rsid w:val="00F0336F"/>
    <w:rsid w:val="00F064A9"/>
    <w:rsid w:val="00F10ADD"/>
    <w:rsid w:val="00F115AD"/>
    <w:rsid w:val="00F1185B"/>
    <w:rsid w:val="00F11CA3"/>
    <w:rsid w:val="00F12F89"/>
    <w:rsid w:val="00F152BE"/>
    <w:rsid w:val="00F17C88"/>
    <w:rsid w:val="00F2059E"/>
    <w:rsid w:val="00F20C30"/>
    <w:rsid w:val="00F21244"/>
    <w:rsid w:val="00F21341"/>
    <w:rsid w:val="00F27699"/>
    <w:rsid w:val="00F278B5"/>
    <w:rsid w:val="00F27EB4"/>
    <w:rsid w:val="00F30C32"/>
    <w:rsid w:val="00F31A23"/>
    <w:rsid w:val="00F32626"/>
    <w:rsid w:val="00F3285F"/>
    <w:rsid w:val="00F33538"/>
    <w:rsid w:val="00F3368A"/>
    <w:rsid w:val="00F353A8"/>
    <w:rsid w:val="00F35B87"/>
    <w:rsid w:val="00F35E1C"/>
    <w:rsid w:val="00F40078"/>
    <w:rsid w:val="00F43B8D"/>
    <w:rsid w:val="00F46B0F"/>
    <w:rsid w:val="00F47FF1"/>
    <w:rsid w:val="00F52778"/>
    <w:rsid w:val="00F57ED2"/>
    <w:rsid w:val="00F6217D"/>
    <w:rsid w:val="00F628C3"/>
    <w:rsid w:val="00F62A6A"/>
    <w:rsid w:val="00F639CF"/>
    <w:rsid w:val="00F63C85"/>
    <w:rsid w:val="00F64BD4"/>
    <w:rsid w:val="00F6554A"/>
    <w:rsid w:val="00F65735"/>
    <w:rsid w:val="00F6582E"/>
    <w:rsid w:val="00F6726E"/>
    <w:rsid w:val="00F715F2"/>
    <w:rsid w:val="00F71A33"/>
    <w:rsid w:val="00F737DE"/>
    <w:rsid w:val="00F75865"/>
    <w:rsid w:val="00F76853"/>
    <w:rsid w:val="00F811E0"/>
    <w:rsid w:val="00F82010"/>
    <w:rsid w:val="00F820D3"/>
    <w:rsid w:val="00F85AC0"/>
    <w:rsid w:val="00F92F7F"/>
    <w:rsid w:val="00F96834"/>
    <w:rsid w:val="00FA0393"/>
    <w:rsid w:val="00FA1116"/>
    <w:rsid w:val="00FA25E2"/>
    <w:rsid w:val="00FA3E21"/>
    <w:rsid w:val="00FA3E22"/>
    <w:rsid w:val="00FA5498"/>
    <w:rsid w:val="00FB07A6"/>
    <w:rsid w:val="00FB1D57"/>
    <w:rsid w:val="00FB218C"/>
    <w:rsid w:val="00FB5293"/>
    <w:rsid w:val="00FB57F5"/>
    <w:rsid w:val="00FB6128"/>
    <w:rsid w:val="00FC17FD"/>
    <w:rsid w:val="00FC47B0"/>
    <w:rsid w:val="00FC5F7F"/>
    <w:rsid w:val="00FC62B1"/>
    <w:rsid w:val="00FC71F1"/>
    <w:rsid w:val="00FC742B"/>
    <w:rsid w:val="00FD1302"/>
    <w:rsid w:val="00FD6D48"/>
    <w:rsid w:val="00FE04BC"/>
    <w:rsid w:val="00FE066C"/>
    <w:rsid w:val="00FE194F"/>
    <w:rsid w:val="00FE2345"/>
    <w:rsid w:val="00FE678E"/>
    <w:rsid w:val="00FE7F84"/>
    <w:rsid w:val="00FF33DB"/>
    <w:rsid w:val="00FF3666"/>
    <w:rsid w:val="00FF621F"/>
    <w:rsid w:val="0828BBE3"/>
    <w:rsid w:val="0FB2F450"/>
    <w:rsid w:val="1EB9A524"/>
    <w:rsid w:val="30C559F7"/>
    <w:rsid w:val="3A92786A"/>
    <w:rsid w:val="4D6A6253"/>
    <w:rsid w:val="50575F37"/>
    <w:rsid w:val="5149547C"/>
    <w:rsid w:val="53021883"/>
    <w:rsid w:val="5DE3CF6D"/>
    <w:rsid w:val="6671DEC4"/>
    <w:rsid w:val="669D59DB"/>
    <w:rsid w:val="7D879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769253"/>
  <w15:docId w15:val="{B2426F36-5654-4CE7-82D3-6FCD5460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95A"/>
    <w:rPr>
      <w:rFonts w:ascii="Times New Roman" w:eastAsia="Times New Roman" w:hAnsi="Times New Roman" w:cs="Times New Roman"/>
    </w:rPr>
  </w:style>
  <w:style w:type="paragraph" w:styleId="Heading1">
    <w:name w:val="heading 1"/>
    <w:basedOn w:val="Default"/>
    <w:next w:val="Normal"/>
    <w:link w:val="Heading1Char"/>
    <w:qFormat/>
    <w:rsid w:val="003D0DA7"/>
    <w:pPr>
      <w:numPr>
        <w:numId w:val="25"/>
      </w:numPr>
      <w:spacing w:after="240"/>
      <w:jc w:val="both"/>
      <w:outlineLvl w:val="0"/>
    </w:pPr>
    <w:rPr>
      <w:rFonts w:asciiTheme="majorHAnsi" w:hAnsiTheme="majorHAns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7DAE"/>
    <w:rPr>
      <w:color w:val="3366FF"/>
      <w:u w:val="none"/>
    </w:rPr>
  </w:style>
  <w:style w:type="character" w:styleId="FollowedHyperlink">
    <w:name w:val="FollowedHyperlink"/>
    <w:qFormat/>
    <w:rsid w:val="00077DAE"/>
    <w:rPr>
      <w:color w:val="3366FF"/>
      <w:u w:val="none"/>
    </w:rPr>
  </w:style>
  <w:style w:type="character" w:customStyle="1" w:styleId="Heading1Char">
    <w:name w:val="Heading 1 Char"/>
    <w:basedOn w:val="DefaultParagraphFont"/>
    <w:link w:val="Heading1"/>
    <w:rsid w:val="003D0DA7"/>
    <w:rPr>
      <w:rFonts w:asciiTheme="majorHAnsi" w:hAnsiTheme="majorHAnsi" w:cs="Arial"/>
      <w:sz w:val="22"/>
      <w:szCs w:val="22"/>
      <w:lang w:val="en-CA"/>
    </w:rPr>
  </w:style>
  <w:style w:type="paragraph" w:customStyle="1" w:styleId="Tabletext">
    <w:name w:val="Table text"/>
    <w:basedOn w:val="Normal"/>
    <w:rsid w:val="006A295A"/>
    <w:rPr>
      <w:rFonts w:ascii="Arial" w:hAnsi="Arial"/>
      <w:sz w:val="22"/>
      <w:szCs w:val="20"/>
      <w:lang w:val="en-GB"/>
    </w:rPr>
  </w:style>
  <w:style w:type="paragraph" w:customStyle="1" w:styleId="FrontPageTitle">
    <w:name w:val="Front Page Title"/>
    <w:basedOn w:val="Normal"/>
    <w:rsid w:val="006A295A"/>
    <w:pPr>
      <w:spacing w:before="180"/>
      <w:jc w:val="right"/>
    </w:pPr>
    <w:rPr>
      <w:rFonts w:cs="Arial"/>
      <w:b/>
      <w:bCs/>
      <w:sz w:val="40"/>
    </w:rPr>
  </w:style>
  <w:style w:type="paragraph" w:customStyle="1" w:styleId="FrontPageSubtitle">
    <w:name w:val="Front Page Subtitle"/>
    <w:basedOn w:val="FrontPageTitle"/>
    <w:rsid w:val="006A295A"/>
    <w:rPr>
      <w:sz w:val="32"/>
    </w:rPr>
  </w:style>
  <w:style w:type="paragraph" w:styleId="FootnoteText">
    <w:name w:val="footnote text"/>
    <w:basedOn w:val="Normal"/>
    <w:link w:val="FootnoteTextChar"/>
    <w:uiPriority w:val="99"/>
    <w:rsid w:val="006A29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295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6A295A"/>
    <w:rPr>
      <w:vertAlign w:val="superscript"/>
    </w:rPr>
  </w:style>
  <w:style w:type="character" w:customStyle="1" w:styleId="ms-rtethemeforecolor-2-01">
    <w:name w:val="ms-rtethemeforecolor-2-01"/>
    <w:rsid w:val="006A295A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9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95A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61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15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561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154"/>
    <w:rPr>
      <w:rFonts w:ascii="Times New Roman" w:eastAsia="Times New Roman" w:hAnsi="Times New Roman" w:cs="Times New Roman"/>
    </w:rPr>
  </w:style>
  <w:style w:type="paragraph" w:customStyle="1" w:styleId="p2">
    <w:name w:val="p2"/>
    <w:basedOn w:val="Normal"/>
    <w:rsid w:val="0067705B"/>
    <w:pPr>
      <w:widowControl w:val="0"/>
      <w:tabs>
        <w:tab w:val="left" w:pos="691"/>
        <w:tab w:val="left" w:pos="1286"/>
      </w:tabs>
      <w:autoSpaceDE w:val="0"/>
      <w:autoSpaceDN w:val="0"/>
      <w:adjustRightInd w:val="0"/>
      <w:spacing w:line="238" w:lineRule="atLeast"/>
      <w:ind w:left="313"/>
    </w:pPr>
    <w:rPr>
      <w:sz w:val="20"/>
    </w:rPr>
  </w:style>
  <w:style w:type="paragraph" w:customStyle="1" w:styleId="p6">
    <w:name w:val="p6"/>
    <w:basedOn w:val="Normal"/>
    <w:rsid w:val="0067705B"/>
    <w:pPr>
      <w:widowControl w:val="0"/>
      <w:tabs>
        <w:tab w:val="left" w:pos="691"/>
      </w:tabs>
      <w:autoSpaceDE w:val="0"/>
      <w:autoSpaceDN w:val="0"/>
      <w:adjustRightInd w:val="0"/>
      <w:spacing w:line="240" w:lineRule="atLeast"/>
      <w:ind w:left="313"/>
    </w:pPr>
    <w:rPr>
      <w:sz w:val="20"/>
    </w:rPr>
  </w:style>
  <w:style w:type="paragraph" w:customStyle="1" w:styleId="p8">
    <w:name w:val="p8"/>
    <w:basedOn w:val="Normal"/>
    <w:rsid w:val="006770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</w:rPr>
  </w:style>
  <w:style w:type="paragraph" w:customStyle="1" w:styleId="p9">
    <w:name w:val="p9"/>
    <w:basedOn w:val="Normal"/>
    <w:rsid w:val="0067705B"/>
    <w:pPr>
      <w:widowControl w:val="0"/>
      <w:tabs>
        <w:tab w:val="left" w:pos="691"/>
      </w:tabs>
      <w:autoSpaceDE w:val="0"/>
      <w:autoSpaceDN w:val="0"/>
      <w:adjustRightInd w:val="0"/>
      <w:spacing w:line="238" w:lineRule="atLeast"/>
    </w:pPr>
    <w:rPr>
      <w:sz w:val="20"/>
    </w:rPr>
  </w:style>
  <w:style w:type="paragraph" w:customStyle="1" w:styleId="p7">
    <w:name w:val="p7"/>
    <w:basedOn w:val="Normal"/>
    <w:rsid w:val="003C36BE"/>
    <w:pPr>
      <w:widowControl w:val="0"/>
      <w:tabs>
        <w:tab w:val="left" w:pos="204"/>
      </w:tabs>
      <w:autoSpaceDE w:val="0"/>
      <w:autoSpaceDN w:val="0"/>
      <w:adjustRightInd w:val="0"/>
      <w:spacing w:line="243" w:lineRule="atLeast"/>
    </w:pPr>
    <w:rPr>
      <w:sz w:val="20"/>
    </w:rPr>
  </w:style>
  <w:style w:type="paragraph" w:customStyle="1" w:styleId="p12">
    <w:name w:val="p12"/>
    <w:basedOn w:val="Normal"/>
    <w:rsid w:val="003C36BE"/>
    <w:pPr>
      <w:widowControl w:val="0"/>
      <w:tabs>
        <w:tab w:val="left" w:pos="617"/>
        <w:tab w:val="left" w:pos="1196"/>
      </w:tabs>
      <w:autoSpaceDE w:val="0"/>
      <w:autoSpaceDN w:val="0"/>
      <w:adjustRightInd w:val="0"/>
      <w:spacing w:line="243" w:lineRule="atLeast"/>
      <w:ind w:firstLine="618"/>
    </w:pPr>
    <w:rPr>
      <w:sz w:val="20"/>
    </w:rPr>
  </w:style>
  <w:style w:type="paragraph" w:customStyle="1" w:styleId="p13">
    <w:name w:val="p13"/>
    <w:basedOn w:val="Normal"/>
    <w:rsid w:val="003C36BE"/>
    <w:pPr>
      <w:widowControl w:val="0"/>
      <w:tabs>
        <w:tab w:val="left" w:pos="617"/>
        <w:tab w:val="left" w:pos="1196"/>
      </w:tabs>
      <w:autoSpaceDE w:val="0"/>
      <w:autoSpaceDN w:val="0"/>
      <w:adjustRightInd w:val="0"/>
      <w:spacing w:line="243" w:lineRule="atLeast"/>
      <w:ind w:left="1197" w:hanging="579"/>
    </w:pPr>
    <w:rPr>
      <w:sz w:val="20"/>
    </w:rPr>
  </w:style>
  <w:style w:type="paragraph" w:customStyle="1" w:styleId="p18">
    <w:name w:val="p18"/>
    <w:basedOn w:val="Normal"/>
    <w:rsid w:val="003C36BE"/>
    <w:pPr>
      <w:widowControl w:val="0"/>
      <w:tabs>
        <w:tab w:val="left" w:pos="1196"/>
      </w:tabs>
      <w:autoSpaceDE w:val="0"/>
      <w:autoSpaceDN w:val="0"/>
      <w:adjustRightInd w:val="0"/>
      <w:spacing w:line="240" w:lineRule="atLeast"/>
      <w:ind w:left="818"/>
    </w:pPr>
    <w:rPr>
      <w:sz w:val="20"/>
    </w:rPr>
  </w:style>
  <w:style w:type="paragraph" w:customStyle="1" w:styleId="p19">
    <w:name w:val="p19"/>
    <w:basedOn w:val="Normal"/>
    <w:rsid w:val="003C36BE"/>
    <w:pPr>
      <w:widowControl w:val="0"/>
      <w:tabs>
        <w:tab w:val="left" w:pos="1196"/>
        <w:tab w:val="left" w:pos="1797"/>
      </w:tabs>
      <w:autoSpaceDE w:val="0"/>
      <w:autoSpaceDN w:val="0"/>
      <w:adjustRightInd w:val="0"/>
      <w:spacing w:line="243" w:lineRule="atLeast"/>
      <w:ind w:left="818"/>
    </w:pPr>
    <w:rPr>
      <w:sz w:val="20"/>
    </w:rPr>
  </w:style>
  <w:style w:type="paragraph" w:customStyle="1" w:styleId="Default">
    <w:name w:val="Default"/>
    <w:rsid w:val="00E775BC"/>
    <w:pPr>
      <w:autoSpaceDE w:val="0"/>
      <w:autoSpaceDN w:val="0"/>
      <w:adjustRightInd w:val="0"/>
    </w:pPr>
    <w:rPr>
      <w:rFonts w:ascii="Arial" w:hAnsi="Arial" w:cs="Arial"/>
      <w:color w:val="000000"/>
      <w:lang w:val="en-CA"/>
    </w:rPr>
  </w:style>
  <w:style w:type="paragraph" w:styleId="ListParagraph">
    <w:name w:val="List Paragraph"/>
    <w:basedOn w:val="Normal"/>
    <w:uiPriority w:val="34"/>
    <w:qFormat/>
    <w:rsid w:val="00DD67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6E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6E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6EE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EE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00DC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263B0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A0E0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A1060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D024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34224F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Default"/>
    <w:next w:val="Heading1"/>
    <w:link w:val="SubtitleChar"/>
    <w:uiPriority w:val="11"/>
    <w:qFormat/>
    <w:rsid w:val="00B869B5"/>
    <w:pPr>
      <w:keepNext/>
      <w:jc w:val="both"/>
    </w:pPr>
    <w:rPr>
      <w:rFonts w:asciiTheme="majorHAnsi" w:hAnsiTheme="majorHAnsi"/>
      <w:sz w:val="22"/>
      <w:szCs w:val="22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B869B5"/>
    <w:rPr>
      <w:rFonts w:asciiTheme="majorHAnsi" w:hAnsiTheme="majorHAnsi" w:cs="Arial"/>
      <w:color w:val="000000"/>
      <w:sz w:val="22"/>
      <w:szCs w:val="22"/>
      <w:u w:val="single"/>
      <w:lang w:val="en-CA"/>
    </w:rPr>
  </w:style>
  <w:style w:type="character" w:styleId="SubtleEmphasis">
    <w:name w:val="Subtle Emphasis"/>
    <w:basedOn w:val="DefaultParagraphFont"/>
    <w:uiPriority w:val="19"/>
    <w:qFormat/>
    <w:rsid w:val="00B869B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pp.undp.org/document/policy-due-diligence-and-partnerships-private-secto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pp.undp.org/document/non-reimbursable-loan-agreement-private-secto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pp.undp.org/policy-page/non-reimbursable-loan-agreemen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pp.undp.org/policy-page/private-sector-partnershi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4cb8a1-6a62-4bd4-abd9-249e1bfce43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412CD842A404FB8BF7C7CD006DB42" ma:contentTypeVersion="15" ma:contentTypeDescription="Create a new document." ma:contentTypeScope="" ma:versionID="f0051889f0f7d06bf99053c96d770053">
  <xsd:schema xmlns:xsd="http://www.w3.org/2001/XMLSchema" xmlns:xs="http://www.w3.org/2001/XMLSchema" xmlns:p="http://schemas.microsoft.com/office/2006/metadata/properties" xmlns:ns3="1a4cb8a1-6a62-4bd4-abd9-249e1bfce439" xmlns:ns4="8104bc34-4392-4d34-93e8-6d3ae7c32874" targetNamespace="http://schemas.microsoft.com/office/2006/metadata/properties" ma:root="true" ma:fieldsID="6a258dc7d5b6f85cc6c556808fe5fac4" ns3:_="" ns4:_="">
    <xsd:import namespace="1a4cb8a1-6a62-4bd4-abd9-249e1bfce439"/>
    <xsd:import namespace="8104bc34-4392-4d34-93e8-6d3ae7c328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cb8a1-6a62-4bd4-abd9-249e1bfc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bc34-4392-4d34-93e8-6d3ae7c32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B243C3-A726-4697-A075-A6D3D6EC7181}">
  <ds:schemaRefs>
    <ds:schemaRef ds:uri="http://schemas.microsoft.com/office/2006/metadata/properties"/>
    <ds:schemaRef ds:uri="http://schemas.microsoft.com/office/infopath/2007/PartnerControls"/>
    <ds:schemaRef ds:uri="1a4cb8a1-6a62-4bd4-abd9-249e1bfce439"/>
  </ds:schemaRefs>
</ds:datastoreItem>
</file>

<file path=customXml/itemProps2.xml><?xml version="1.0" encoding="utf-8"?>
<ds:datastoreItem xmlns:ds="http://schemas.openxmlformats.org/officeDocument/2006/customXml" ds:itemID="{6444570D-2711-4B20-BDDE-14FC6A1436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09646C-0146-45B1-A1C7-99322AD5C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cb8a1-6a62-4bd4-abd9-249e1bfce439"/>
    <ds:schemaRef ds:uri="8104bc34-4392-4d34-93e8-6d3ae7c32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1DDEC6-7435-4AC2-B328-8B0736FA15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LEVEL 3 PROCESSES and SUB PROCESSES</vt:lpstr>
    </vt:vector>
  </TitlesOfParts>
  <Company>Microsoft</Company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LEVEL 3 PROCESSES and SUB PROCESSES</dc:title>
  <dc:subject/>
  <dc:creator>Hanneman</dc:creator>
  <cp:keywords/>
  <cp:lastModifiedBy>Arilda</cp:lastModifiedBy>
  <cp:revision>9</cp:revision>
  <cp:lastPrinted>2023-03-06T18:45:00Z</cp:lastPrinted>
  <dcterms:created xsi:type="dcterms:W3CDTF">2025-09-25T18:54:00Z</dcterms:created>
  <dcterms:modified xsi:type="dcterms:W3CDTF">2025-09-26T17:21:00Z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0x0101003BB412CD842A404FB8BF7C7CD006DB42</vt:lpwstr>
  </property>
  <property fmtid="{D5CDD505-2E9C-101B-9397-08002B2CF9AE}" pid="3" name="_dlc_DocIdItemGuid">
    <vt:lpwstr>3388894f-77c8-4cfc-aeff-890090de0f0f</vt:lpwstr>
  </property>
  <property fmtid="{D5CDD505-2E9C-101B-9397-08002B2CF9AE}" pid="4" name="POPPBusinessProcess">
    <vt:lpwstr/>
  </property>
  <property fmtid="{D5CDD505-2E9C-101B-9397-08002B2CF9AE}" pid="5" name="UNDP_POPP_BUSINESSUNIT">
    <vt:lpwstr/>
  </property>
  <property fmtid="{D5CDD505-2E9C-101B-9397-08002B2CF9AE}" pid="6" name="GrammarlyDocumentId">
    <vt:lpwstr>6e9be776-032c-4771-9a07-f8171adb6c26</vt:lpwstr>
  </property>
</Properties>
</file>