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B201" w14:textId="4D6ADE9A" w:rsidR="00FC10F3" w:rsidRPr="00485C28" w:rsidRDefault="00FC10F3" w:rsidP="00FC10F3">
      <w:pPr>
        <w:rPr>
          <w:rFonts w:cstheme="minorHAnsi"/>
          <w:b/>
          <w:spacing w:val="-6"/>
          <w:sz w:val="24"/>
          <w:szCs w:val="24"/>
        </w:rPr>
      </w:pPr>
      <w:r w:rsidRPr="00485C28">
        <w:rPr>
          <w:b/>
          <w:spacing w:val="-6"/>
          <w:sz w:val="24"/>
          <w:szCs w:val="24"/>
        </w:rPr>
        <w:t>Planification annuelle</w:t>
      </w:r>
    </w:p>
    <w:p w14:paraId="049AA962" w14:textId="77777777" w:rsidR="00FC10F3" w:rsidRPr="00485C28" w:rsidRDefault="00FC10F3" w:rsidP="00FC10F3">
      <w:pPr>
        <w:spacing w:after="0" w:line="240" w:lineRule="auto"/>
        <w:rPr>
          <w:rFonts w:cstheme="minorHAnsi"/>
          <w:spacing w:val="-6"/>
        </w:rPr>
      </w:pPr>
    </w:p>
    <w:p w14:paraId="3C60BFFC" w14:textId="17EA9B21" w:rsidR="00FC10F3" w:rsidRPr="00485C28" w:rsidRDefault="00FC10F3" w:rsidP="00FC10F3">
      <w:pPr>
        <w:pStyle w:val="ListParagraph"/>
        <w:numPr>
          <w:ilvl w:val="0"/>
          <w:numId w:val="1"/>
        </w:numPr>
        <w:shd w:val="clear" w:color="auto" w:fill="FFFFFF"/>
        <w:spacing w:after="120" w:line="240" w:lineRule="auto"/>
        <w:ind w:left="547"/>
        <w:contextualSpacing w:val="0"/>
        <w:jc w:val="both"/>
        <w:textAlignment w:val="top"/>
        <w:rPr>
          <w:rFonts w:eastAsia="Times New Roman" w:cstheme="minorHAnsi"/>
          <w:spacing w:val="-6"/>
        </w:rPr>
      </w:pPr>
      <w:r w:rsidRPr="00485C28">
        <w:rPr>
          <w:spacing w:val="-6"/>
        </w:rPr>
        <w:t>La mise en œuvre d</w:t>
      </w:r>
      <w:r>
        <w:rPr>
          <w:spacing w:val="-6"/>
        </w:rPr>
        <w:t>’</w:t>
      </w:r>
      <w:r w:rsidRPr="00485C28">
        <w:rPr>
          <w:spacing w:val="-6"/>
        </w:rPr>
        <w:t>un programme</w:t>
      </w:r>
      <w:r w:rsidR="00A53EF9">
        <w:rPr>
          <w:spacing w:val="-6"/>
        </w:rPr>
        <w:t>,</w:t>
      </w:r>
      <w:r w:rsidRPr="00485C28">
        <w:rPr>
          <w:spacing w:val="-6"/>
        </w:rPr>
        <w:t xml:space="preserve"> d</w:t>
      </w:r>
      <w:r>
        <w:rPr>
          <w:spacing w:val="-6"/>
        </w:rPr>
        <w:t>’</w:t>
      </w:r>
      <w:r w:rsidRPr="00485C28">
        <w:rPr>
          <w:spacing w:val="-6"/>
        </w:rPr>
        <w:t xml:space="preserve">un projet </w:t>
      </w:r>
      <w:r w:rsidR="00A53EF9">
        <w:rPr>
          <w:spacing w:val="-6"/>
        </w:rPr>
        <w:t xml:space="preserve">ou d’un </w:t>
      </w:r>
      <w:r w:rsidR="00A53EF9" w:rsidRPr="00A53EF9">
        <w:rPr>
          <w:spacing w:val="-6"/>
        </w:rPr>
        <w:t>portefeuille</w:t>
      </w:r>
      <w:r w:rsidR="00A53EF9">
        <w:rPr>
          <w:spacing w:val="-6"/>
        </w:rPr>
        <w:t xml:space="preserve"> </w:t>
      </w:r>
      <w:r w:rsidRPr="00485C28">
        <w:rPr>
          <w:spacing w:val="-6"/>
        </w:rPr>
        <w:t xml:space="preserve">exige de veiller à ce que tous les produits dans les documents de planification soient exécutés </w:t>
      </w:r>
      <w:r w:rsidRPr="00BB02CC">
        <w:rPr>
          <w:spacing w:val="-6"/>
        </w:rPr>
        <w:t>et</w:t>
      </w:r>
      <w:r w:rsidRPr="00485C28">
        <w:rPr>
          <w:spacing w:val="-6"/>
        </w:rPr>
        <w:t xml:space="preserve"> contribuent à atteindre les effets du plan stratégique du PNUD et du document de programme pays ou </w:t>
      </w:r>
      <w:r>
        <w:rPr>
          <w:spacing w:val="-6"/>
        </w:rPr>
        <w:t>r</w:t>
      </w:r>
      <w:r w:rsidRPr="00485C28">
        <w:rPr>
          <w:spacing w:val="-6"/>
        </w:rPr>
        <w:t xml:space="preserve">égional correspondant. </w:t>
      </w:r>
    </w:p>
    <w:p w14:paraId="66B206E7" w14:textId="3887F9D2" w:rsidR="00FC10F3" w:rsidRPr="00596DDB" w:rsidRDefault="00FC10F3" w:rsidP="00FC10F3">
      <w:pPr>
        <w:pStyle w:val="ListParagraph"/>
        <w:numPr>
          <w:ilvl w:val="0"/>
          <w:numId w:val="1"/>
        </w:numPr>
        <w:shd w:val="clear" w:color="auto" w:fill="FFFFFF"/>
        <w:spacing w:after="0" w:line="240" w:lineRule="auto"/>
        <w:ind w:left="547"/>
        <w:contextualSpacing w:val="0"/>
        <w:jc w:val="both"/>
        <w:textAlignment w:val="top"/>
        <w:rPr>
          <w:rFonts w:eastAsia="Times New Roman" w:cstheme="minorHAnsi"/>
          <w:spacing w:val="-6"/>
        </w:rPr>
      </w:pPr>
      <w:r w:rsidRPr="00485C28">
        <w:rPr>
          <w:spacing w:val="-6"/>
        </w:rPr>
        <w:t>La planification annuelle doit avoir lieu à tous les niveaux pour s</w:t>
      </w:r>
      <w:r>
        <w:rPr>
          <w:spacing w:val="-6"/>
        </w:rPr>
        <w:t>’</w:t>
      </w:r>
      <w:r w:rsidRPr="00485C28">
        <w:rPr>
          <w:spacing w:val="-6"/>
        </w:rPr>
        <w:t xml:space="preserve">assurer que les priorités annuelles sont bien définies et convenues avec les principales parties prenantes. </w:t>
      </w:r>
    </w:p>
    <w:p w14:paraId="5387C0AF" w14:textId="0F18DA66" w:rsidR="00596DDB" w:rsidRPr="00485C28" w:rsidRDefault="00596DDB" w:rsidP="00FC10F3">
      <w:pPr>
        <w:pStyle w:val="ListParagraph"/>
        <w:numPr>
          <w:ilvl w:val="0"/>
          <w:numId w:val="1"/>
        </w:numPr>
        <w:shd w:val="clear" w:color="auto" w:fill="FFFFFF"/>
        <w:spacing w:after="0" w:line="240" w:lineRule="auto"/>
        <w:ind w:left="547"/>
        <w:contextualSpacing w:val="0"/>
        <w:jc w:val="both"/>
        <w:textAlignment w:val="top"/>
        <w:rPr>
          <w:rFonts w:eastAsia="Times New Roman" w:cstheme="minorHAnsi"/>
          <w:spacing w:val="-6"/>
        </w:rPr>
      </w:pPr>
      <w:r w:rsidRPr="00596DDB">
        <w:rPr>
          <w:rFonts w:eastAsia="Times New Roman" w:cstheme="minorHAnsi"/>
          <w:spacing w:val="-6"/>
        </w:rPr>
        <w:t xml:space="preserve">Le plan d'évaluation doit être revu chaque année et affiné et ajusté si nécessaire. La réunion annuelle de planification des activités du bureau de pays au début de l'année offre une bonne occasion de revoir le plan d'évaluation. Un examen formel à mi-parcours du plan d'évaluation est également fortement recommandé. Pour plus d'informations, voir également le </w:t>
      </w:r>
      <w:hyperlink r:id="rId12" w:history="1">
        <w:r w:rsidR="00A53EF9">
          <w:rPr>
            <w:rStyle w:val="Hyperlink"/>
            <w:rFonts w:eastAsia="Times New Roman" w:cstheme="minorHAnsi"/>
            <w:spacing w:val="-6"/>
          </w:rPr>
          <w:t>Guide d'évaluation du PNUD</w:t>
        </w:r>
      </w:hyperlink>
      <w:r w:rsidRPr="00596DDB">
        <w:rPr>
          <w:rFonts w:eastAsia="Times New Roman" w:cstheme="minorHAnsi"/>
          <w:spacing w:val="-6"/>
        </w:rPr>
        <w:t>.</w:t>
      </w:r>
    </w:p>
    <w:p w14:paraId="56BFBC62" w14:textId="77777777" w:rsidR="00FC10F3" w:rsidRPr="00485C28" w:rsidRDefault="00FC10F3" w:rsidP="00FC10F3">
      <w:pPr>
        <w:spacing w:after="0" w:line="240" w:lineRule="auto"/>
        <w:rPr>
          <w:rFonts w:cstheme="minorHAnsi"/>
          <w:spacing w:val="-6"/>
        </w:rPr>
      </w:pPr>
    </w:p>
    <w:p w14:paraId="14AAEE18" w14:textId="77777777" w:rsidR="00FC10F3" w:rsidRPr="00485C28" w:rsidRDefault="00FC10F3" w:rsidP="00FC10F3">
      <w:pPr>
        <w:spacing w:after="120" w:line="240" w:lineRule="auto"/>
        <w:rPr>
          <w:rFonts w:cstheme="minorHAnsi"/>
          <w:b/>
          <w:i/>
          <w:spacing w:val="-6"/>
        </w:rPr>
      </w:pPr>
      <w:bookmarkStart w:id="0" w:name="_Hlk533062717"/>
      <w:r w:rsidRPr="00485C28">
        <w:rPr>
          <w:b/>
          <w:i/>
          <w:spacing w:val="-6"/>
        </w:rPr>
        <w:t>Planification de travail intégrée</w:t>
      </w:r>
    </w:p>
    <w:p w14:paraId="7C7CD72C" w14:textId="05498670" w:rsidR="00FC10F3" w:rsidRPr="00485C28" w:rsidRDefault="00FC10F3" w:rsidP="00FC10F3">
      <w:pPr>
        <w:pStyle w:val="ListParagraph"/>
        <w:numPr>
          <w:ilvl w:val="0"/>
          <w:numId w:val="1"/>
        </w:numPr>
        <w:spacing w:after="0" w:line="240" w:lineRule="auto"/>
        <w:ind w:left="540"/>
        <w:jc w:val="both"/>
        <w:rPr>
          <w:rFonts w:cstheme="minorHAnsi"/>
          <w:spacing w:val="-6"/>
        </w:rPr>
      </w:pPr>
      <w:r w:rsidRPr="00485C28">
        <w:rPr>
          <w:spacing w:val="-6"/>
        </w:rPr>
        <w:t>Le processus de planification annuelle commence par la préparation d</w:t>
      </w:r>
      <w:r>
        <w:rPr>
          <w:spacing w:val="-6"/>
        </w:rPr>
        <w:t>’</w:t>
      </w:r>
      <w:r w:rsidRPr="00485C28">
        <w:rPr>
          <w:spacing w:val="-6"/>
        </w:rPr>
        <w:t xml:space="preserve">un </w:t>
      </w:r>
      <w:hyperlink r:id="rId13">
        <w:r w:rsidR="00A93CD8">
          <w:rPr>
            <w:color w:val="0000FF"/>
            <w:spacing w:val="-6"/>
            <w:u w:val="single" w:color="0000FF"/>
          </w:rPr>
          <w:t>Plan de travail intégré (IWP, Integrated Work Plan, pour ses sigles en anglais)</w:t>
        </w:r>
      </w:hyperlink>
      <w:r w:rsidRPr="00485C28">
        <w:rPr>
          <w:color w:val="0000FF"/>
          <w:spacing w:val="-6"/>
          <w:u w:val="single" w:color="0000FF"/>
        </w:rPr>
        <w:t>,</w:t>
      </w:r>
      <w:r w:rsidRPr="00485C28">
        <w:rPr>
          <w:spacing w:val="-6"/>
        </w:rPr>
        <w:t xml:space="preserve"> </w:t>
      </w:r>
      <w:hyperlink r:id="rId14">
        <w:r w:rsidRPr="00485C28">
          <w:rPr>
            <w:spacing w:val="-6"/>
          </w:rPr>
          <w:t>qui</w:t>
        </w:r>
      </w:hyperlink>
      <w:r w:rsidRPr="00485C28">
        <w:rPr>
          <w:spacing w:val="-6"/>
        </w:rPr>
        <w:t xml:space="preserve"> établit les priorités annuelles du PNUD en vue d</w:t>
      </w:r>
      <w:r>
        <w:rPr>
          <w:spacing w:val="-6"/>
        </w:rPr>
        <w:t>’</w:t>
      </w:r>
      <w:r w:rsidRPr="00485C28">
        <w:rPr>
          <w:spacing w:val="-6"/>
        </w:rPr>
        <w:t>atteindre les résultats fixés dans le plan stratégique. Les priorités du plan d</w:t>
      </w:r>
      <w:r>
        <w:rPr>
          <w:spacing w:val="-6"/>
        </w:rPr>
        <w:t>’</w:t>
      </w:r>
      <w:r w:rsidRPr="00485C28">
        <w:rPr>
          <w:spacing w:val="-6"/>
        </w:rPr>
        <w:t>affaires annuel se répercutent dans toute l</w:t>
      </w:r>
      <w:r>
        <w:rPr>
          <w:spacing w:val="-6"/>
        </w:rPr>
        <w:t>’</w:t>
      </w:r>
      <w:r w:rsidRPr="00485C28">
        <w:rPr>
          <w:spacing w:val="-6"/>
        </w:rPr>
        <w:t xml:space="preserve">organisation par le biais de plans de travail intégrés, selon une approche en deux temps :     </w:t>
      </w:r>
    </w:p>
    <w:p w14:paraId="5C57A5A0" w14:textId="77777777" w:rsidR="00FC10F3" w:rsidRPr="00485C28" w:rsidRDefault="00FC10F3" w:rsidP="00FC10F3">
      <w:pPr>
        <w:pStyle w:val="ListParagraph"/>
        <w:numPr>
          <w:ilvl w:val="0"/>
          <w:numId w:val="2"/>
        </w:numPr>
        <w:spacing w:after="0" w:line="240" w:lineRule="auto"/>
        <w:ind w:left="1170"/>
        <w:contextualSpacing w:val="0"/>
        <w:jc w:val="both"/>
        <w:rPr>
          <w:rFonts w:cstheme="minorHAnsi"/>
          <w:spacing w:val="-6"/>
        </w:rPr>
      </w:pPr>
      <w:r w:rsidRPr="00485C28">
        <w:rPr>
          <w:spacing w:val="-6"/>
        </w:rPr>
        <w:t xml:space="preserve">Les </w:t>
      </w:r>
      <w:r>
        <w:rPr>
          <w:spacing w:val="-6"/>
        </w:rPr>
        <w:t>b</w:t>
      </w:r>
      <w:r w:rsidRPr="00485C28">
        <w:rPr>
          <w:spacing w:val="-6"/>
        </w:rPr>
        <w:t xml:space="preserve">ureaux </w:t>
      </w:r>
      <w:r>
        <w:rPr>
          <w:spacing w:val="-6"/>
        </w:rPr>
        <w:t>r</w:t>
      </w:r>
      <w:r w:rsidRPr="00485C28">
        <w:rPr>
          <w:spacing w:val="-6"/>
        </w:rPr>
        <w:t xml:space="preserve">égionaux et </w:t>
      </w:r>
      <w:r>
        <w:rPr>
          <w:spacing w:val="-6"/>
        </w:rPr>
        <w:t>m</w:t>
      </w:r>
      <w:r w:rsidRPr="00485C28">
        <w:rPr>
          <w:spacing w:val="-6"/>
        </w:rPr>
        <w:t xml:space="preserve">ondiaux ainsi que les autres unités du siège </w:t>
      </w:r>
      <w:r w:rsidRPr="00492216">
        <w:rPr>
          <w:b/>
          <w:bCs/>
          <w:spacing w:val="-6"/>
        </w:rPr>
        <w:t>(Groupe 1)</w:t>
      </w:r>
      <w:r w:rsidRPr="00485C28">
        <w:rPr>
          <w:spacing w:val="-6"/>
        </w:rPr>
        <w:t xml:space="preserve"> établissent leur plan de travail intégré en réponse au plan d</w:t>
      </w:r>
      <w:r>
        <w:rPr>
          <w:spacing w:val="-6"/>
        </w:rPr>
        <w:t>’</w:t>
      </w:r>
      <w:r w:rsidRPr="00485C28">
        <w:rPr>
          <w:spacing w:val="-6"/>
        </w:rPr>
        <w:t xml:space="preserve">affaires annuel ; et      </w:t>
      </w:r>
    </w:p>
    <w:p w14:paraId="2979C1AB" w14:textId="77777777" w:rsidR="00FC10F3" w:rsidRPr="00485C28" w:rsidRDefault="00FC10F3" w:rsidP="00FC10F3">
      <w:pPr>
        <w:pStyle w:val="ListParagraph"/>
        <w:numPr>
          <w:ilvl w:val="0"/>
          <w:numId w:val="2"/>
        </w:numPr>
        <w:spacing w:after="120" w:line="240" w:lineRule="auto"/>
        <w:ind w:left="1170"/>
        <w:contextualSpacing w:val="0"/>
        <w:jc w:val="both"/>
        <w:rPr>
          <w:rFonts w:cstheme="minorHAnsi"/>
          <w:spacing w:val="-6"/>
        </w:rPr>
      </w:pPr>
      <w:r w:rsidRPr="00485C28">
        <w:rPr>
          <w:spacing w:val="-6"/>
        </w:rPr>
        <w:t xml:space="preserve">Les bureaux pays et les sous-unités du Bureau des services de gestion </w:t>
      </w:r>
      <w:r>
        <w:rPr>
          <w:spacing w:val="-6"/>
        </w:rPr>
        <w:t xml:space="preserve">(BMS, </w:t>
      </w:r>
      <w:r w:rsidRPr="005A22B0">
        <w:rPr>
          <w:spacing w:val="-6"/>
        </w:rPr>
        <w:t>Bureau Management Services</w:t>
      </w:r>
      <w:r>
        <w:rPr>
          <w:spacing w:val="-6"/>
        </w:rPr>
        <w:t xml:space="preserve">, pour ses sigles en Anglais) </w:t>
      </w:r>
      <w:r w:rsidRPr="00485C28">
        <w:rPr>
          <w:spacing w:val="-6"/>
        </w:rPr>
        <w:t>et du Bureau des relations extérieures et du plaidoyer</w:t>
      </w:r>
      <w:r>
        <w:rPr>
          <w:spacing w:val="-6"/>
        </w:rPr>
        <w:t xml:space="preserve"> (BERA, </w:t>
      </w:r>
      <w:r w:rsidRPr="005A22B0">
        <w:rPr>
          <w:spacing w:val="-6"/>
        </w:rPr>
        <w:t xml:space="preserve">Bureau for </w:t>
      </w:r>
      <w:proofErr w:type="spellStart"/>
      <w:r w:rsidRPr="005A22B0">
        <w:rPr>
          <w:spacing w:val="-6"/>
        </w:rPr>
        <w:t>External</w:t>
      </w:r>
      <w:proofErr w:type="spellEnd"/>
      <w:r w:rsidRPr="005A22B0">
        <w:rPr>
          <w:spacing w:val="-6"/>
        </w:rPr>
        <w:t xml:space="preserve"> Relations and </w:t>
      </w:r>
      <w:proofErr w:type="spellStart"/>
      <w:r w:rsidRPr="005A22B0">
        <w:rPr>
          <w:spacing w:val="-6"/>
        </w:rPr>
        <w:t>Advocacy</w:t>
      </w:r>
      <w:proofErr w:type="spellEnd"/>
      <w:r>
        <w:rPr>
          <w:spacing w:val="-6"/>
        </w:rPr>
        <w:t>, pour ses sigles en Anglais</w:t>
      </w:r>
      <w:r w:rsidRPr="007854FC">
        <w:rPr>
          <w:rFonts w:cstheme="minorHAnsi"/>
        </w:rPr>
        <w:t>)</w:t>
      </w:r>
      <w:r w:rsidRPr="007854FC">
        <w:rPr>
          <w:spacing w:val="-6"/>
        </w:rPr>
        <w:t xml:space="preserve"> </w:t>
      </w:r>
      <w:r w:rsidRPr="00492216">
        <w:rPr>
          <w:b/>
          <w:bCs/>
          <w:spacing w:val="-6"/>
        </w:rPr>
        <w:t>(Groupe 2)</w:t>
      </w:r>
      <w:r w:rsidRPr="00485C28">
        <w:rPr>
          <w:spacing w:val="-6"/>
        </w:rPr>
        <w:t xml:space="preserve"> établissent leurs plans de travail intégrés en réponse aux priorités définies par leurs bureaux respectifs.    </w:t>
      </w:r>
    </w:p>
    <w:p w14:paraId="3F078F18" w14:textId="77777777" w:rsidR="00FC10F3" w:rsidRPr="00485C28" w:rsidRDefault="00FC10F3" w:rsidP="00FC10F3">
      <w:pPr>
        <w:numPr>
          <w:ilvl w:val="0"/>
          <w:numId w:val="1"/>
        </w:numPr>
        <w:spacing w:after="120" w:line="240" w:lineRule="auto"/>
        <w:ind w:left="540"/>
        <w:jc w:val="both"/>
        <w:rPr>
          <w:rFonts w:cstheme="minorHAnsi"/>
          <w:spacing w:val="-6"/>
        </w:rPr>
      </w:pPr>
      <w:r w:rsidRPr="00485C28">
        <w:rPr>
          <w:spacing w:val="-6"/>
        </w:rPr>
        <w:t>Lors de l</w:t>
      </w:r>
      <w:r>
        <w:rPr>
          <w:spacing w:val="-6"/>
        </w:rPr>
        <w:t>’</w:t>
      </w:r>
      <w:r w:rsidRPr="00485C28">
        <w:rPr>
          <w:spacing w:val="-6"/>
        </w:rPr>
        <w:t>élaboration des plans de travail intégrés, les unités du Groupe 1 doivent s</w:t>
      </w:r>
      <w:r>
        <w:rPr>
          <w:spacing w:val="-6"/>
        </w:rPr>
        <w:t>’</w:t>
      </w:r>
      <w:r w:rsidRPr="00485C28">
        <w:rPr>
          <w:spacing w:val="-6"/>
        </w:rPr>
        <w:t>assurer de consultation d</w:t>
      </w:r>
      <w:r>
        <w:rPr>
          <w:spacing w:val="-6"/>
        </w:rPr>
        <w:t>’</w:t>
      </w:r>
      <w:r w:rsidRPr="00485C28">
        <w:rPr>
          <w:spacing w:val="-6"/>
        </w:rPr>
        <w:t>un niveau approprié avec leurs unités subsidiaires, tandis que les bureaux pays doivent s</w:t>
      </w:r>
      <w:r>
        <w:rPr>
          <w:spacing w:val="-6"/>
        </w:rPr>
        <w:t>’</w:t>
      </w:r>
      <w:r w:rsidRPr="00485C28">
        <w:rPr>
          <w:spacing w:val="-6"/>
        </w:rPr>
        <w:t>assurer de consultation d</w:t>
      </w:r>
      <w:r>
        <w:rPr>
          <w:spacing w:val="-6"/>
        </w:rPr>
        <w:t>’</w:t>
      </w:r>
      <w:r w:rsidRPr="00485C28">
        <w:rPr>
          <w:spacing w:val="-6"/>
        </w:rPr>
        <w:t xml:space="preserve">un niveau approprié des homologues nationaux et des partenaires de développement locaux.   </w:t>
      </w:r>
    </w:p>
    <w:p w14:paraId="20095A9F" w14:textId="77777777" w:rsidR="00FC10F3" w:rsidRPr="00485C28" w:rsidRDefault="00FC10F3" w:rsidP="00FC10F3">
      <w:pPr>
        <w:numPr>
          <w:ilvl w:val="0"/>
          <w:numId w:val="1"/>
        </w:numPr>
        <w:spacing w:after="120" w:line="240" w:lineRule="auto"/>
        <w:ind w:left="540"/>
        <w:jc w:val="both"/>
        <w:rPr>
          <w:rFonts w:cstheme="minorHAnsi"/>
          <w:spacing w:val="-6"/>
        </w:rPr>
      </w:pPr>
      <w:r w:rsidRPr="00485C28">
        <w:rPr>
          <w:spacing w:val="-6"/>
        </w:rPr>
        <w:t xml:space="preserve">Les plans de travail intégrés définissent les priorités annuelles </w:t>
      </w:r>
      <w:r>
        <w:rPr>
          <w:spacing w:val="-6"/>
        </w:rPr>
        <w:t xml:space="preserve">aussi bien </w:t>
      </w:r>
      <w:r w:rsidRPr="00485C28">
        <w:rPr>
          <w:spacing w:val="-6"/>
        </w:rPr>
        <w:t>pour le programme comme pour les questions opérationnelles, remplaçant les autres plans de travail au niveau des unités. Ils rassemblent la planification annuelle en réponse aux priorités du PNUD, mais également les priorités nationales, régionales et autres.</w:t>
      </w:r>
    </w:p>
    <w:p w14:paraId="21E64381" w14:textId="77777777" w:rsidR="00FC10F3" w:rsidRPr="00485C28" w:rsidRDefault="00FC10F3" w:rsidP="00FC10F3">
      <w:pPr>
        <w:numPr>
          <w:ilvl w:val="0"/>
          <w:numId w:val="1"/>
        </w:numPr>
        <w:spacing w:after="0" w:line="240" w:lineRule="auto"/>
        <w:ind w:left="547"/>
        <w:jc w:val="both"/>
        <w:rPr>
          <w:rFonts w:cstheme="minorHAnsi"/>
          <w:spacing w:val="-6"/>
        </w:rPr>
      </w:pPr>
      <w:r w:rsidRPr="00485C28">
        <w:rPr>
          <w:spacing w:val="-6"/>
        </w:rPr>
        <w:t>Chaque unité est redevable pour le développement de résultats clairs, et d</w:t>
      </w:r>
      <w:r>
        <w:rPr>
          <w:spacing w:val="-6"/>
        </w:rPr>
        <w:t>’</w:t>
      </w:r>
      <w:r w:rsidRPr="00485C28">
        <w:rPr>
          <w:spacing w:val="-6"/>
        </w:rPr>
        <w:t>assurer le suivi et de faire de rapports sur les progrès basés sur des preuves disponibles. L</w:t>
      </w:r>
      <w:r>
        <w:rPr>
          <w:spacing w:val="-6"/>
        </w:rPr>
        <w:t>’</w:t>
      </w:r>
      <w:r w:rsidRPr="00485C28">
        <w:rPr>
          <w:spacing w:val="-6"/>
        </w:rPr>
        <w:t>approbation et l</w:t>
      </w:r>
      <w:r>
        <w:rPr>
          <w:spacing w:val="-6"/>
        </w:rPr>
        <w:t>’</w:t>
      </w:r>
      <w:r w:rsidRPr="00485C28">
        <w:rPr>
          <w:spacing w:val="-6"/>
        </w:rPr>
        <w:t xml:space="preserve">assurance qualité des plans de travail intégrés relèvent des bureaux de supervision.        </w:t>
      </w:r>
    </w:p>
    <w:p w14:paraId="19B8791E" w14:textId="77777777" w:rsidR="00FC10F3" w:rsidRPr="00485C28" w:rsidRDefault="00FC10F3" w:rsidP="00FC10F3">
      <w:pPr>
        <w:spacing w:after="0" w:line="240" w:lineRule="auto"/>
        <w:rPr>
          <w:rFonts w:cstheme="minorHAnsi"/>
          <w:spacing w:val="-6"/>
        </w:rPr>
      </w:pPr>
    </w:p>
    <w:bookmarkEnd w:id="0"/>
    <w:p w14:paraId="550B31CA" w14:textId="77777777" w:rsidR="00FC10F3" w:rsidRPr="00485C28" w:rsidRDefault="00FC10F3" w:rsidP="00FC10F3">
      <w:pPr>
        <w:spacing w:after="120" w:line="240" w:lineRule="auto"/>
        <w:rPr>
          <w:rFonts w:cstheme="minorHAnsi"/>
          <w:b/>
          <w:i/>
          <w:spacing w:val="-6"/>
        </w:rPr>
      </w:pPr>
      <w:r w:rsidRPr="00485C28">
        <w:rPr>
          <w:b/>
          <w:i/>
          <w:spacing w:val="-6"/>
        </w:rPr>
        <w:t>Planification annuelle de projet</w:t>
      </w:r>
    </w:p>
    <w:p w14:paraId="2981ED92" w14:textId="70F8406C" w:rsidR="00FC10F3" w:rsidRPr="00485C28" w:rsidRDefault="00FC10F3" w:rsidP="00FC10F3">
      <w:pPr>
        <w:pStyle w:val="ListParagraph"/>
        <w:numPr>
          <w:ilvl w:val="0"/>
          <w:numId w:val="1"/>
        </w:numPr>
        <w:spacing w:after="120" w:line="240" w:lineRule="auto"/>
        <w:ind w:left="547"/>
        <w:contextualSpacing w:val="0"/>
        <w:jc w:val="both"/>
        <w:rPr>
          <w:rFonts w:cstheme="minorHAnsi"/>
          <w:spacing w:val="-6"/>
        </w:rPr>
      </w:pPr>
      <w:r w:rsidRPr="00485C28">
        <w:rPr>
          <w:spacing w:val="-6"/>
        </w:rPr>
        <w:t>Le plan de travail pluriannuel doit être revu au moins une fois par an avec le comité de pilotage du projet pour s</w:t>
      </w:r>
      <w:r>
        <w:rPr>
          <w:spacing w:val="-6"/>
        </w:rPr>
        <w:t>’</w:t>
      </w:r>
      <w:r w:rsidRPr="00485C28">
        <w:rPr>
          <w:spacing w:val="-6"/>
        </w:rPr>
        <w:t>assurer qu</w:t>
      </w:r>
      <w:r>
        <w:rPr>
          <w:spacing w:val="-6"/>
        </w:rPr>
        <w:t>’</w:t>
      </w:r>
      <w:r w:rsidRPr="00485C28">
        <w:rPr>
          <w:spacing w:val="-6"/>
        </w:rPr>
        <w:t>il reste valable pour obtenir les produits des projets de manière la plus efficace et efficiente possible. La planification annuelle de projet peut avoir lieu à tout moment de l</w:t>
      </w:r>
      <w:r>
        <w:rPr>
          <w:spacing w:val="-6"/>
        </w:rPr>
        <w:t>’</w:t>
      </w:r>
      <w:r w:rsidRPr="00485C28">
        <w:rPr>
          <w:spacing w:val="-6"/>
        </w:rPr>
        <w:t xml:space="preserve">année. Les procédures spécifiques sont énoncées dans </w:t>
      </w:r>
      <w:hyperlink r:id="rId15" w:history="1">
        <w:r w:rsidRPr="00485C28">
          <w:rPr>
            <w:rStyle w:val="Hyperlink"/>
            <w:spacing w:val="-6"/>
          </w:rPr>
          <w:t>Assurer la supervision (Revoir et ajuster)</w:t>
        </w:r>
      </w:hyperlink>
      <w:r w:rsidRPr="00485C28">
        <w:rPr>
          <w:spacing w:val="-6"/>
        </w:rPr>
        <w:t>.</w:t>
      </w:r>
    </w:p>
    <w:p w14:paraId="7883D60C" w14:textId="77777777" w:rsidR="00FC10F3" w:rsidRPr="00682C1A" w:rsidRDefault="00FC10F3" w:rsidP="00FC10F3">
      <w:pPr>
        <w:pStyle w:val="ListParagraph"/>
        <w:numPr>
          <w:ilvl w:val="0"/>
          <w:numId w:val="1"/>
        </w:numPr>
        <w:spacing w:after="120" w:line="240" w:lineRule="auto"/>
        <w:ind w:left="547"/>
        <w:contextualSpacing w:val="0"/>
        <w:jc w:val="both"/>
        <w:rPr>
          <w:rFonts w:cstheme="minorHAnsi"/>
          <w:spacing w:val="-6"/>
        </w:rPr>
      </w:pPr>
      <w:r w:rsidRPr="00485C28">
        <w:rPr>
          <w:spacing w:val="-6"/>
        </w:rPr>
        <w:lastRenderedPageBreak/>
        <w:t>La planification annuelle de projet doit tenir compte de l</w:t>
      </w:r>
      <w:r>
        <w:rPr>
          <w:spacing w:val="-6"/>
        </w:rPr>
        <w:t>’</w:t>
      </w:r>
      <w:r w:rsidRPr="00485C28">
        <w:rPr>
          <w:spacing w:val="-6"/>
        </w:rPr>
        <w:t xml:space="preserve">apprentissage et de la gestion des risques ainsi que des réorientations </w:t>
      </w:r>
      <w:r>
        <w:rPr>
          <w:spacing w:val="-6"/>
        </w:rPr>
        <w:t xml:space="preserve">éventuelles </w:t>
      </w:r>
      <w:r w:rsidRPr="005A22B0">
        <w:rPr>
          <w:spacing w:val="-6"/>
        </w:rPr>
        <w:t>qui</w:t>
      </w:r>
      <w:r w:rsidRPr="00F76A4E">
        <w:rPr>
          <w:spacing w:val="-6"/>
        </w:rPr>
        <w:t xml:space="preserve"> répond</w:t>
      </w:r>
      <w:r w:rsidRPr="005A22B0">
        <w:rPr>
          <w:spacing w:val="-6"/>
        </w:rPr>
        <w:t>ent</w:t>
      </w:r>
      <w:r w:rsidRPr="00F76A4E">
        <w:rPr>
          <w:spacing w:val="-6"/>
        </w:rPr>
        <w:t xml:space="preserve"> à l’apprentissage et aux changements de contexte.</w:t>
      </w:r>
    </w:p>
    <w:p w14:paraId="2D498B5D" w14:textId="68A04787" w:rsidR="00682C1A" w:rsidRDefault="00682C1A" w:rsidP="00B15728">
      <w:pPr>
        <w:pStyle w:val="ListParagraph"/>
        <w:numPr>
          <w:ilvl w:val="0"/>
          <w:numId w:val="1"/>
        </w:numPr>
        <w:spacing w:after="120" w:line="240" w:lineRule="auto"/>
        <w:ind w:left="540"/>
        <w:contextualSpacing w:val="0"/>
        <w:jc w:val="both"/>
        <w:rPr>
          <w:rFonts w:cstheme="minorHAnsi"/>
          <w:spacing w:val="-6"/>
        </w:rPr>
      </w:pPr>
      <w:r w:rsidRPr="00682C1A">
        <w:rPr>
          <w:rFonts w:cstheme="minorHAnsi"/>
          <w:spacing w:val="-6"/>
        </w:rPr>
        <w:t xml:space="preserve">La planification </w:t>
      </w:r>
      <w:r w:rsidR="000231CB" w:rsidRPr="000231CB">
        <w:rPr>
          <w:rFonts w:cstheme="minorHAnsi"/>
          <w:spacing w:val="-6"/>
        </w:rPr>
        <w:t xml:space="preserve">de l’approvisionnement </w:t>
      </w:r>
      <w:r w:rsidRPr="00682C1A">
        <w:rPr>
          <w:rFonts w:cstheme="minorHAnsi"/>
          <w:spacing w:val="-6"/>
        </w:rPr>
        <w:t>et des ressources humaines (RH) doit respecter</w:t>
      </w:r>
      <w:r w:rsidR="0044530D">
        <w:rPr>
          <w:rFonts w:cstheme="minorHAnsi"/>
          <w:spacing w:val="-6"/>
        </w:rPr>
        <w:t xml:space="preserve"> les</w:t>
      </w:r>
      <w:r w:rsidR="00470598">
        <w:rPr>
          <w:rFonts w:cstheme="minorHAnsi"/>
          <w:spacing w:val="-6"/>
        </w:rPr>
        <w:t xml:space="preserve"> </w:t>
      </w:r>
      <w:hyperlink r:id="rId16" w:history="1">
        <w:r w:rsidR="0044530D" w:rsidRPr="0044530D">
          <w:rPr>
            <w:rStyle w:val="Hyperlink"/>
            <w:rFonts w:cstheme="minorHAnsi"/>
            <w:spacing w:val="-6"/>
          </w:rPr>
          <w:t>politiques d</w:t>
        </w:r>
        <w:r w:rsidR="0044530D">
          <w:rPr>
            <w:rStyle w:val="Hyperlink"/>
            <w:rFonts w:cstheme="minorHAnsi"/>
            <w:spacing w:val="-6"/>
          </w:rPr>
          <w:t>’a</w:t>
        </w:r>
        <w:r w:rsidR="00747AE7" w:rsidRPr="00747AE7">
          <w:rPr>
            <w:rStyle w:val="Hyperlink"/>
            <w:rFonts w:cstheme="minorHAnsi"/>
            <w:spacing w:val="-6"/>
          </w:rPr>
          <w:t>pprovisionnement</w:t>
        </w:r>
      </w:hyperlink>
      <w:r w:rsidR="00747AE7" w:rsidRPr="00747AE7">
        <w:rPr>
          <w:rFonts w:cstheme="minorHAnsi"/>
          <w:spacing w:val="-6"/>
        </w:rPr>
        <w:t xml:space="preserve"> </w:t>
      </w:r>
      <w:r w:rsidRPr="00682C1A">
        <w:rPr>
          <w:rFonts w:cstheme="minorHAnsi"/>
          <w:spacing w:val="-6"/>
        </w:rPr>
        <w:t xml:space="preserve">du PNUD et les </w:t>
      </w:r>
      <w:hyperlink r:id="rId17" w:history="1">
        <w:r w:rsidR="004574E1" w:rsidRPr="004574E1">
          <w:rPr>
            <w:color w:val="0000FF"/>
            <w:u w:val="single"/>
          </w:rPr>
          <w:t xml:space="preserve">politiques de gestion </w:t>
        </w:r>
        <w:r w:rsidR="00470598" w:rsidRPr="00470598">
          <w:rPr>
            <w:color w:val="0000FF"/>
            <w:u w:val="single"/>
          </w:rPr>
          <w:t>des ressources humaines</w:t>
        </w:r>
      </w:hyperlink>
      <w:r w:rsidR="00470598" w:rsidRPr="00682C1A">
        <w:rPr>
          <w:rFonts w:cstheme="minorHAnsi"/>
          <w:spacing w:val="-6"/>
        </w:rPr>
        <w:t xml:space="preserve"> </w:t>
      </w:r>
      <w:r w:rsidRPr="00682C1A">
        <w:rPr>
          <w:rFonts w:cstheme="minorHAnsi"/>
          <w:spacing w:val="-6"/>
        </w:rPr>
        <w:t>du PNUD.</w:t>
      </w:r>
    </w:p>
    <w:p w14:paraId="454CC573" w14:textId="77777777" w:rsidR="00244959" w:rsidRDefault="00244959" w:rsidP="00244959">
      <w:pPr>
        <w:pStyle w:val="ListParagraph"/>
        <w:spacing w:after="0" w:line="240" w:lineRule="auto"/>
        <w:ind w:left="547"/>
        <w:contextualSpacing w:val="0"/>
        <w:jc w:val="both"/>
        <w:rPr>
          <w:rFonts w:cstheme="minorHAnsi"/>
          <w:spacing w:val="-6"/>
        </w:rPr>
      </w:pPr>
    </w:p>
    <w:p w14:paraId="0B83796F" w14:textId="013ABB5E" w:rsidR="00A713E0" w:rsidRDefault="00A713E0" w:rsidP="00A713E0">
      <w:pPr>
        <w:spacing w:after="120" w:line="240" w:lineRule="auto"/>
        <w:rPr>
          <w:b/>
          <w:i/>
          <w:spacing w:val="-6"/>
        </w:rPr>
      </w:pPr>
      <w:r w:rsidRPr="00B15728">
        <w:rPr>
          <w:b/>
          <w:i/>
          <w:spacing w:val="-6"/>
        </w:rPr>
        <w:t>Planification annuelle du portefeuille</w:t>
      </w:r>
    </w:p>
    <w:p w14:paraId="772FBC67" w14:textId="17B32637" w:rsidR="00D455DE" w:rsidRDefault="004B6356" w:rsidP="00ED02DD">
      <w:pPr>
        <w:pStyle w:val="ListParagraph"/>
        <w:numPr>
          <w:ilvl w:val="0"/>
          <w:numId w:val="1"/>
        </w:numPr>
        <w:spacing w:after="120" w:line="240" w:lineRule="auto"/>
        <w:ind w:left="547"/>
        <w:contextualSpacing w:val="0"/>
        <w:jc w:val="both"/>
        <w:rPr>
          <w:spacing w:val="-6"/>
        </w:rPr>
      </w:pPr>
      <w:r>
        <w:rPr>
          <w:spacing w:val="-6"/>
        </w:rPr>
        <w:t xml:space="preserve">Le comité de pilotage </w:t>
      </w:r>
      <w:r w:rsidR="00ED02DD" w:rsidRPr="00B15728">
        <w:rPr>
          <w:spacing w:val="-6"/>
        </w:rPr>
        <w:t>du portefeuille examine et approuve le plan de travail annuel des partenaires de mise en œuvre, en intégrant les étapes. Ces jalons du portefeuille sont approuvés chaque année, couvrant chaque période de travail ultérieure de 12 mois. La planification annuelle du portefeuille peut avoir lieu à tout moment de l'année, et les procédures détaillées peuvent être trouvées dans</w:t>
      </w:r>
      <w:r w:rsidR="00C9369F">
        <w:rPr>
          <w:spacing w:val="-6"/>
        </w:rPr>
        <w:t xml:space="preserve"> </w:t>
      </w:r>
      <w:hyperlink r:id="rId18" w:history="1">
        <w:r w:rsidR="00D455DE">
          <w:rPr>
            <w:rStyle w:val="Hyperlink"/>
            <w:spacing w:val="-6"/>
          </w:rPr>
          <w:t>Assurer la supervision (Revoir et Ajuster)</w:t>
        </w:r>
      </w:hyperlink>
      <w:r w:rsidR="00D455DE">
        <w:rPr>
          <w:spacing w:val="-6"/>
        </w:rPr>
        <w:t>.</w:t>
      </w:r>
    </w:p>
    <w:p w14:paraId="19C5940D" w14:textId="45F451E2" w:rsidR="00ED02DD" w:rsidRDefault="00D95536" w:rsidP="00ED02DD">
      <w:pPr>
        <w:pStyle w:val="ListParagraph"/>
        <w:numPr>
          <w:ilvl w:val="0"/>
          <w:numId w:val="1"/>
        </w:numPr>
        <w:spacing w:after="120" w:line="240" w:lineRule="auto"/>
        <w:ind w:left="547"/>
        <w:contextualSpacing w:val="0"/>
        <w:jc w:val="both"/>
        <w:rPr>
          <w:spacing w:val="-6"/>
        </w:rPr>
      </w:pPr>
      <w:r w:rsidRPr="00D95536">
        <w:rPr>
          <w:spacing w:val="-6"/>
        </w:rPr>
        <w:t>Lors de la planification annuelle du portefeuille, il faut tenir compte de la dynamique du système, de l'apprentissage du système et de la gestion des risques. Le plan doit refléter les ajustements apportés pour répondre aux nouvelles connaissances et aux changements du paysage contextuel.</w:t>
      </w:r>
    </w:p>
    <w:p w14:paraId="06AD0D62" w14:textId="03C11E00" w:rsidR="00D95536" w:rsidRDefault="003508C0" w:rsidP="00ED02DD">
      <w:pPr>
        <w:pStyle w:val="ListParagraph"/>
        <w:numPr>
          <w:ilvl w:val="0"/>
          <w:numId w:val="1"/>
        </w:numPr>
        <w:spacing w:after="120" w:line="240" w:lineRule="auto"/>
        <w:ind w:left="547"/>
        <w:contextualSpacing w:val="0"/>
        <w:jc w:val="both"/>
        <w:rPr>
          <w:spacing w:val="-6"/>
        </w:rPr>
      </w:pPr>
      <w:r w:rsidRPr="003508C0">
        <w:rPr>
          <w:spacing w:val="-6"/>
        </w:rPr>
        <w:t xml:space="preserve">Le </w:t>
      </w:r>
      <w:r w:rsidR="004B6356">
        <w:rPr>
          <w:spacing w:val="-6"/>
        </w:rPr>
        <w:t>c</w:t>
      </w:r>
      <w:r w:rsidRPr="003508C0">
        <w:rPr>
          <w:spacing w:val="-6"/>
        </w:rPr>
        <w:t>omité des résultats partagés du portefeuille (</w:t>
      </w:r>
      <w:r w:rsidRPr="00B15728">
        <w:rPr>
          <w:i/>
          <w:iCs/>
          <w:spacing w:val="-6"/>
        </w:rPr>
        <w:t>PSRC</w:t>
      </w:r>
      <w:r w:rsidR="00F31793" w:rsidRPr="00F31793">
        <w:rPr>
          <w:i/>
          <w:iCs/>
          <w:spacing w:val="-6"/>
        </w:rPr>
        <w:t xml:space="preserve">, </w:t>
      </w:r>
      <w:r w:rsidR="00F31793" w:rsidRPr="00B15728">
        <w:rPr>
          <w:i/>
          <w:iCs/>
          <w:spacing w:val="-6"/>
        </w:rPr>
        <w:t xml:space="preserve">Portfolio </w:t>
      </w:r>
      <w:proofErr w:type="spellStart"/>
      <w:r w:rsidR="00F31793" w:rsidRPr="00B15728">
        <w:rPr>
          <w:i/>
          <w:iCs/>
          <w:spacing w:val="-6"/>
        </w:rPr>
        <w:t>Shared</w:t>
      </w:r>
      <w:proofErr w:type="spellEnd"/>
      <w:r w:rsidR="00F31793" w:rsidRPr="00B15728">
        <w:rPr>
          <w:i/>
          <w:iCs/>
          <w:spacing w:val="-6"/>
        </w:rPr>
        <w:t xml:space="preserve"> </w:t>
      </w:r>
      <w:proofErr w:type="spellStart"/>
      <w:r w:rsidR="00F31793" w:rsidRPr="00B15728">
        <w:rPr>
          <w:i/>
          <w:iCs/>
          <w:spacing w:val="-6"/>
        </w:rPr>
        <w:t>Results</w:t>
      </w:r>
      <w:proofErr w:type="spellEnd"/>
      <w:r w:rsidR="00F31793" w:rsidRPr="00B15728">
        <w:rPr>
          <w:i/>
          <w:iCs/>
          <w:spacing w:val="-6"/>
        </w:rPr>
        <w:t xml:space="preserve"> </w:t>
      </w:r>
      <w:proofErr w:type="spellStart"/>
      <w:r w:rsidR="00F31793" w:rsidRPr="00B15728">
        <w:rPr>
          <w:i/>
          <w:iCs/>
          <w:spacing w:val="-6"/>
        </w:rPr>
        <w:t>Committee</w:t>
      </w:r>
      <w:proofErr w:type="spellEnd"/>
      <w:r w:rsidR="00F31793" w:rsidRPr="00B15728">
        <w:rPr>
          <w:i/>
          <w:iCs/>
          <w:spacing w:val="-6"/>
        </w:rPr>
        <w:t xml:space="preserve"> pour ses sigles en anglais</w:t>
      </w:r>
      <w:r w:rsidRPr="003508C0">
        <w:rPr>
          <w:spacing w:val="-6"/>
        </w:rPr>
        <w:t xml:space="preserve">) se réunit au moins quatre fois par an pour mettre en œuvre des mesures correctives, approuver les ajustements au-delà des niveaux de tolérance spécifiés, approuver les révisions substantielles (amendements majeurs/mineurs) aux plans de travail, réaffecter les ressources entre les plans de travail, approuver les révisions budgétaires associées, traiter les demandes de suspension ou de prolongation des plans de travail et apporter d'autres modifications aux plans de travail dans le cadre du seuil fixé par </w:t>
      </w:r>
      <w:r w:rsidR="004B6356">
        <w:rPr>
          <w:spacing w:val="-6"/>
        </w:rPr>
        <w:t xml:space="preserve">le comité de pilotage </w:t>
      </w:r>
      <w:r w:rsidRPr="003508C0">
        <w:rPr>
          <w:spacing w:val="-6"/>
        </w:rPr>
        <w:t>du portefeuille. Tous les changements doivent être conformes aux accords des donateurs et sont soumis à un financement supplémentaire.</w:t>
      </w:r>
    </w:p>
    <w:p w14:paraId="532AFFC1" w14:textId="77777777" w:rsidR="0006019E" w:rsidRDefault="0006019E" w:rsidP="0006019E">
      <w:pPr>
        <w:pStyle w:val="ListParagraph"/>
        <w:numPr>
          <w:ilvl w:val="0"/>
          <w:numId w:val="1"/>
        </w:numPr>
        <w:spacing w:after="120" w:line="240" w:lineRule="auto"/>
        <w:ind w:left="540"/>
        <w:contextualSpacing w:val="0"/>
        <w:jc w:val="both"/>
        <w:rPr>
          <w:rFonts w:cstheme="minorHAnsi"/>
          <w:spacing w:val="-6"/>
        </w:rPr>
      </w:pPr>
      <w:r w:rsidRPr="00682C1A">
        <w:rPr>
          <w:rFonts w:cstheme="minorHAnsi"/>
          <w:spacing w:val="-6"/>
        </w:rPr>
        <w:t xml:space="preserve">La planification </w:t>
      </w:r>
      <w:r w:rsidRPr="000231CB">
        <w:rPr>
          <w:rFonts w:cstheme="minorHAnsi"/>
          <w:spacing w:val="-6"/>
        </w:rPr>
        <w:t xml:space="preserve">de l’approvisionnement </w:t>
      </w:r>
      <w:r w:rsidRPr="00682C1A">
        <w:rPr>
          <w:rFonts w:cstheme="minorHAnsi"/>
          <w:spacing w:val="-6"/>
        </w:rPr>
        <w:t>et des ressources humaines (RH) doit respecter</w:t>
      </w:r>
      <w:r>
        <w:rPr>
          <w:rFonts w:cstheme="minorHAnsi"/>
          <w:spacing w:val="-6"/>
        </w:rPr>
        <w:t xml:space="preserve"> les </w:t>
      </w:r>
      <w:hyperlink r:id="rId19" w:history="1">
        <w:r w:rsidRPr="0044530D">
          <w:rPr>
            <w:rStyle w:val="Hyperlink"/>
            <w:rFonts w:cstheme="minorHAnsi"/>
            <w:spacing w:val="-6"/>
          </w:rPr>
          <w:t>politiques d</w:t>
        </w:r>
        <w:r>
          <w:rPr>
            <w:rStyle w:val="Hyperlink"/>
            <w:rFonts w:cstheme="minorHAnsi"/>
            <w:spacing w:val="-6"/>
          </w:rPr>
          <w:t>’a</w:t>
        </w:r>
        <w:r w:rsidRPr="00747AE7">
          <w:rPr>
            <w:rStyle w:val="Hyperlink"/>
            <w:rFonts w:cstheme="minorHAnsi"/>
            <w:spacing w:val="-6"/>
          </w:rPr>
          <w:t>pprovisionnement</w:t>
        </w:r>
      </w:hyperlink>
      <w:r w:rsidRPr="00747AE7">
        <w:rPr>
          <w:rFonts w:cstheme="minorHAnsi"/>
          <w:spacing w:val="-6"/>
        </w:rPr>
        <w:t xml:space="preserve"> </w:t>
      </w:r>
      <w:r w:rsidRPr="00682C1A">
        <w:rPr>
          <w:rFonts w:cstheme="minorHAnsi"/>
          <w:spacing w:val="-6"/>
        </w:rPr>
        <w:t xml:space="preserve">du PNUD et les </w:t>
      </w:r>
      <w:hyperlink r:id="rId20" w:history="1">
        <w:r w:rsidRPr="004574E1">
          <w:rPr>
            <w:color w:val="0000FF"/>
            <w:u w:val="single"/>
          </w:rPr>
          <w:t xml:space="preserve">politiques de gestion </w:t>
        </w:r>
        <w:r w:rsidRPr="00470598">
          <w:rPr>
            <w:color w:val="0000FF"/>
            <w:u w:val="single"/>
          </w:rPr>
          <w:t>des ressources humaines</w:t>
        </w:r>
      </w:hyperlink>
      <w:r w:rsidRPr="00682C1A">
        <w:rPr>
          <w:rFonts w:cstheme="minorHAnsi"/>
          <w:spacing w:val="-6"/>
        </w:rPr>
        <w:t xml:space="preserve"> du PNUD.</w:t>
      </w:r>
    </w:p>
    <w:p w14:paraId="679A5B8D" w14:textId="77777777" w:rsidR="0006019E" w:rsidRDefault="0006019E" w:rsidP="0006019E">
      <w:pPr>
        <w:pStyle w:val="ListParagraph"/>
        <w:spacing w:after="120" w:line="240" w:lineRule="auto"/>
        <w:ind w:left="547"/>
        <w:contextualSpacing w:val="0"/>
        <w:jc w:val="both"/>
        <w:rPr>
          <w:spacing w:val="-6"/>
        </w:rPr>
      </w:pPr>
    </w:p>
    <w:p w14:paraId="4ED6AE17" w14:textId="77777777" w:rsidR="0049013A" w:rsidRDefault="0049013A" w:rsidP="0006019E">
      <w:pPr>
        <w:pStyle w:val="ListParagraph"/>
        <w:spacing w:after="120" w:line="240" w:lineRule="auto"/>
        <w:ind w:left="547"/>
        <w:contextualSpacing w:val="0"/>
        <w:jc w:val="both"/>
        <w:rPr>
          <w:spacing w:val="-6"/>
        </w:rPr>
      </w:pPr>
    </w:p>
    <w:p w14:paraId="21846547" w14:textId="77777777" w:rsidR="00B15728" w:rsidRDefault="00B15728" w:rsidP="0006019E">
      <w:pPr>
        <w:pStyle w:val="ListParagraph"/>
        <w:spacing w:after="120" w:line="240" w:lineRule="auto"/>
        <w:ind w:left="547"/>
        <w:contextualSpacing w:val="0"/>
        <w:jc w:val="both"/>
        <w:rPr>
          <w:spacing w:val="-6"/>
        </w:rPr>
      </w:pPr>
    </w:p>
    <w:p w14:paraId="57196D0B" w14:textId="77777777" w:rsidR="00B15728" w:rsidRDefault="00B15728" w:rsidP="0006019E">
      <w:pPr>
        <w:pStyle w:val="ListParagraph"/>
        <w:spacing w:after="120" w:line="240" w:lineRule="auto"/>
        <w:ind w:left="547"/>
        <w:contextualSpacing w:val="0"/>
        <w:jc w:val="both"/>
        <w:rPr>
          <w:spacing w:val="-6"/>
        </w:rPr>
      </w:pPr>
    </w:p>
    <w:p w14:paraId="13B484A8" w14:textId="77777777" w:rsidR="00B15728" w:rsidRDefault="00B15728" w:rsidP="0006019E">
      <w:pPr>
        <w:pStyle w:val="ListParagraph"/>
        <w:spacing w:after="120" w:line="240" w:lineRule="auto"/>
        <w:ind w:left="547"/>
        <w:contextualSpacing w:val="0"/>
        <w:jc w:val="both"/>
        <w:rPr>
          <w:spacing w:val="-6"/>
        </w:rPr>
      </w:pPr>
    </w:p>
    <w:p w14:paraId="51CB0B77" w14:textId="77777777" w:rsidR="00B15728" w:rsidRDefault="00B15728" w:rsidP="0006019E">
      <w:pPr>
        <w:pStyle w:val="ListParagraph"/>
        <w:spacing w:after="120" w:line="240" w:lineRule="auto"/>
        <w:ind w:left="547"/>
        <w:contextualSpacing w:val="0"/>
        <w:jc w:val="both"/>
        <w:rPr>
          <w:spacing w:val="-6"/>
        </w:rPr>
      </w:pPr>
    </w:p>
    <w:p w14:paraId="0685A07B" w14:textId="77777777" w:rsidR="0049013A" w:rsidRPr="00B15728" w:rsidRDefault="0049013A" w:rsidP="00B15728">
      <w:pPr>
        <w:pStyle w:val="ListParagraph"/>
        <w:spacing w:after="120" w:line="240" w:lineRule="auto"/>
        <w:ind w:left="547"/>
        <w:contextualSpacing w:val="0"/>
        <w:jc w:val="both"/>
        <w:rPr>
          <w:spacing w:val="-6"/>
        </w:rPr>
      </w:pPr>
    </w:p>
    <w:p w14:paraId="1858A831" w14:textId="77777777" w:rsidR="00A713E0" w:rsidRPr="00485C28" w:rsidRDefault="00A713E0" w:rsidP="00244959">
      <w:pPr>
        <w:pStyle w:val="ListParagraph"/>
        <w:spacing w:after="0" w:line="240" w:lineRule="auto"/>
        <w:ind w:left="547"/>
        <w:contextualSpacing w:val="0"/>
        <w:jc w:val="both"/>
        <w:rPr>
          <w:rFonts w:cstheme="minorHAnsi"/>
          <w:spacing w:val="-6"/>
        </w:rPr>
      </w:pPr>
    </w:p>
    <w:p w14:paraId="62324995" w14:textId="77777777" w:rsidR="00244959" w:rsidRPr="00B15728" w:rsidRDefault="00244959" w:rsidP="00B15728">
      <w:pPr>
        <w:pStyle w:val="NormalWeb"/>
        <w:shd w:val="clear" w:color="auto" w:fill="FFFFFF"/>
        <w:spacing w:before="0" w:beforeAutospacing="0" w:after="0" w:afterAutospacing="0"/>
        <w:jc w:val="center"/>
        <w:rPr>
          <w:rFonts w:ascii="Calibri" w:hAnsi="Calibri"/>
          <w:i/>
          <w:iCs/>
          <w:color w:val="000000"/>
          <w:lang w:val="fr-FR"/>
        </w:rPr>
      </w:pPr>
      <w:r w:rsidRPr="00B15728">
        <w:rPr>
          <w:rFonts w:ascii="Calibri" w:hAnsi="Calibri"/>
          <w:b/>
          <w:bCs/>
          <w:i/>
          <w:iCs/>
          <w:color w:val="212121"/>
          <w:sz w:val="22"/>
          <w:szCs w:val="22"/>
          <w:u w:val="single"/>
          <w:bdr w:val="none" w:sz="0" w:space="0" w:color="auto" w:frame="1"/>
          <w:lang w:val="fr-FR"/>
        </w:rPr>
        <w:t>Avertissement:</w:t>
      </w:r>
      <w:r w:rsidRPr="00B15728">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3E3DC8FF" w14:textId="5C9D5CEA" w:rsidR="00244959" w:rsidRPr="00B15728" w:rsidRDefault="00244959" w:rsidP="00B15728">
      <w:pPr>
        <w:pStyle w:val="NormalWeb"/>
        <w:shd w:val="clear" w:color="auto" w:fill="FFFFFF"/>
        <w:spacing w:before="0" w:beforeAutospacing="0" w:after="0" w:afterAutospacing="0"/>
        <w:jc w:val="center"/>
        <w:rPr>
          <w:rFonts w:ascii="Calibri" w:hAnsi="Calibri"/>
          <w:i/>
          <w:iCs/>
          <w:color w:val="000000"/>
          <w:lang w:val="fr-FR"/>
        </w:rPr>
      </w:pPr>
    </w:p>
    <w:p w14:paraId="409C0470" w14:textId="2646707B" w:rsidR="004008DA" w:rsidRPr="00B15728" w:rsidRDefault="00244959" w:rsidP="00B15728">
      <w:pPr>
        <w:pStyle w:val="NormalWeb"/>
        <w:shd w:val="clear" w:color="auto" w:fill="FFFFFF"/>
        <w:spacing w:before="0" w:beforeAutospacing="0" w:after="0" w:afterAutospacing="0"/>
        <w:jc w:val="center"/>
        <w:rPr>
          <w:i/>
          <w:iCs/>
          <w:lang w:val="en-GB"/>
        </w:rPr>
      </w:pPr>
      <w:r w:rsidRPr="00B15728">
        <w:rPr>
          <w:rStyle w:val="markwqu4ow29p"/>
          <w:rFonts w:ascii="Calibri" w:hAnsi="Calibri"/>
          <w:b/>
          <w:bCs/>
          <w:i/>
          <w:iCs/>
          <w:color w:val="000000"/>
          <w:sz w:val="22"/>
          <w:szCs w:val="22"/>
          <w:bdr w:val="none" w:sz="0" w:space="0" w:color="auto" w:frame="1"/>
          <w:lang w:val="en-GB"/>
        </w:rPr>
        <w:t>Disclaimer</w:t>
      </w:r>
      <w:r w:rsidRPr="00B15728">
        <w:rPr>
          <w:rFonts w:ascii="Calibri" w:hAnsi="Calibri"/>
          <w:bCs/>
          <w:i/>
          <w:iCs/>
          <w:color w:val="000000"/>
          <w:sz w:val="22"/>
          <w:szCs w:val="22"/>
          <w:bdr w:val="none" w:sz="0" w:space="0" w:color="auto" w:frame="1"/>
          <w:lang w:val="en-GB"/>
        </w:rPr>
        <w:t>:</w:t>
      </w:r>
      <w:r w:rsidRPr="00B15728">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sectPr w:rsidR="004008DA" w:rsidRPr="00B15728" w:rsidSect="0066257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28F4" w14:textId="77777777" w:rsidR="00636D88" w:rsidRDefault="00636D88" w:rsidP="00D2095C">
      <w:pPr>
        <w:spacing w:after="0" w:line="240" w:lineRule="auto"/>
      </w:pPr>
      <w:r>
        <w:separator/>
      </w:r>
    </w:p>
  </w:endnote>
  <w:endnote w:type="continuationSeparator" w:id="0">
    <w:p w14:paraId="644F7525" w14:textId="77777777" w:rsidR="00636D88" w:rsidRDefault="00636D88" w:rsidP="00D2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6296" w14:textId="77777777" w:rsidR="00CA47C6" w:rsidRDefault="00CA47C6" w:rsidP="00CA47C6">
    <w:pPr>
      <w:widowControl w:val="0"/>
      <w:autoSpaceDE w:val="0"/>
      <w:autoSpaceDN w:val="0"/>
      <w:spacing w:after="0" w:line="245" w:lineRule="exact"/>
      <w:ind w:left="20"/>
      <w:rPr>
        <w:rFonts w:ascii="Calibri" w:eastAsia="Calibri" w:hAnsi="Calibri" w:cs="Calibri"/>
      </w:rPr>
    </w:pPr>
  </w:p>
  <w:p w14:paraId="06FE2BE4" w14:textId="77777777" w:rsidR="00CA47C6" w:rsidRDefault="00CA47C6" w:rsidP="00CA47C6">
    <w:pPr>
      <w:pStyle w:val="BodyText"/>
      <w:spacing w:line="245" w:lineRule="exact"/>
      <w:ind w:left="20"/>
    </w:pPr>
  </w:p>
  <w:p w14:paraId="5A5281A6" w14:textId="35927A46" w:rsidR="00CA47C6" w:rsidRDefault="00CA47C6" w:rsidP="00CA47C6">
    <w:pPr>
      <w:pStyle w:val="BodyText"/>
      <w:spacing w:line="245" w:lineRule="exact"/>
      <w:ind w:left="20"/>
    </w:pPr>
    <w:r w:rsidRPr="00CA47C6">
      <w:t>Page</w:t>
    </w:r>
    <w:r w:rsidRPr="00CA47C6">
      <w:rPr>
        <w:spacing w:val="-2"/>
      </w:rPr>
      <w:t xml:space="preserve"> </w:t>
    </w:r>
    <w:r w:rsidRPr="00CA47C6">
      <w:rPr>
        <w:b/>
      </w:rPr>
      <w:fldChar w:fldCharType="begin"/>
    </w:r>
    <w:r w:rsidRPr="00CA47C6">
      <w:rPr>
        <w:b/>
      </w:rPr>
      <w:instrText xml:space="preserve"> PAGE </w:instrText>
    </w:r>
    <w:r w:rsidRPr="00CA47C6">
      <w:rPr>
        <w:b/>
      </w:rPr>
      <w:fldChar w:fldCharType="separate"/>
    </w:r>
    <w:r w:rsidRPr="00CA47C6">
      <w:rPr>
        <w:b/>
      </w:rPr>
      <w:t>1</w:t>
    </w:r>
    <w:r w:rsidRPr="00CA47C6">
      <w:rPr>
        <w:b/>
      </w:rPr>
      <w:fldChar w:fldCharType="end"/>
    </w:r>
    <w:r w:rsidRPr="00CA47C6">
      <w:rPr>
        <w:b/>
        <w:spacing w:val="-4"/>
      </w:rPr>
      <w:t xml:space="preserve"> </w:t>
    </w:r>
    <w:r w:rsidRPr="00CA47C6">
      <w:t>de</w:t>
    </w:r>
    <w:r w:rsidRPr="00CA47C6">
      <w:rPr>
        <w:spacing w:val="-2"/>
      </w:rPr>
      <w:t xml:space="preserve"> </w:t>
    </w:r>
    <w:r w:rsidRPr="00CA47C6">
      <w:rPr>
        <w:b/>
        <w:spacing w:val="-7"/>
      </w:rPr>
      <w:fldChar w:fldCharType="begin"/>
    </w:r>
    <w:r w:rsidRPr="00CA47C6">
      <w:rPr>
        <w:b/>
        <w:spacing w:val="-7"/>
      </w:rPr>
      <w:instrText xml:space="preserve"> NUMPAGES </w:instrText>
    </w:r>
    <w:r w:rsidRPr="00CA47C6">
      <w:rPr>
        <w:b/>
        <w:spacing w:val="-7"/>
      </w:rPr>
      <w:fldChar w:fldCharType="separate"/>
    </w:r>
    <w:r w:rsidRPr="00CA47C6">
      <w:rPr>
        <w:b/>
        <w:spacing w:val="-7"/>
      </w:rPr>
      <w:t>31</w:t>
    </w:r>
    <w:r w:rsidRPr="00CA47C6">
      <w:rPr>
        <w:b/>
        <w:spacing w:val="-7"/>
      </w:rPr>
      <w:fldChar w:fldCharType="end"/>
    </w:r>
    <w:r w:rsidR="00D2095C">
      <w:ptab w:relativeTo="margin" w:alignment="center" w:leader="none"/>
    </w:r>
    <w:r w:rsidRPr="00CA47C6">
      <w:t xml:space="preserve"> </w:t>
    </w: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sidRPr="00CA47C6">
      <w:rPr>
        <w:spacing w:val="-2"/>
      </w:rPr>
      <w:t>05/06/2018</w:t>
    </w:r>
    <w:r w:rsidR="00D2095C">
      <w:ptab w:relativeTo="margin" w:alignment="right" w:leader="none"/>
    </w:r>
    <w:r w:rsidRPr="00CA47C6">
      <w:t xml:space="preserve"> </w:t>
    </w:r>
    <w:r>
      <w:t>Version</w:t>
    </w:r>
    <w:r>
      <w:rPr>
        <w:spacing w:val="-6"/>
      </w:rPr>
      <w:t xml:space="preserve"> </w:t>
    </w:r>
    <w:r>
      <w:t>#</w:t>
    </w:r>
    <w:r>
      <w:rPr>
        <w:spacing w:val="-3"/>
      </w:rPr>
      <w:t xml:space="preserve"> </w:t>
    </w:r>
    <w:r>
      <w:t>:</w:t>
    </w:r>
    <w:r>
      <w:rPr>
        <w:spacing w:val="-4"/>
      </w:rPr>
      <w:t xml:space="preserve"> 4</w:t>
    </w:r>
  </w:p>
  <w:p w14:paraId="7C8AC24A" w14:textId="2A44AB87" w:rsidR="00D2095C" w:rsidRDefault="00D2095C" w:rsidP="00B15728">
    <w:pPr>
      <w:widowControl w:val="0"/>
      <w:autoSpaceDE w:val="0"/>
      <w:autoSpaceDN w:val="0"/>
      <w:spacing w:after="0" w:line="245" w:lineRule="exact"/>
      <w:ind w:left="20"/>
    </w:pPr>
  </w:p>
  <w:p w14:paraId="6439DA77" w14:textId="77777777" w:rsidR="00D2095C" w:rsidRDefault="00D2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B24B" w14:textId="77777777" w:rsidR="00636D88" w:rsidRDefault="00636D88" w:rsidP="00D2095C">
      <w:pPr>
        <w:spacing w:after="0" w:line="240" w:lineRule="auto"/>
      </w:pPr>
      <w:r>
        <w:separator/>
      </w:r>
    </w:p>
  </w:footnote>
  <w:footnote w:type="continuationSeparator" w:id="0">
    <w:p w14:paraId="08276B68" w14:textId="77777777" w:rsidR="00636D88" w:rsidRDefault="00636D88" w:rsidP="00D2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B91C" w14:textId="1DC97F0E" w:rsidR="00CA47C6" w:rsidRDefault="00874F7C" w:rsidP="00B15728">
    <w:pPr>
      <w:pStyle w:val="Header"/>
      <w:jc w:val="right"/>
    </w:pPr>
    <w:r>
      <w:rPr>
        <w:noProof/>
      </w:rPr>
      <w:drawing>
        <wp:inline distT="0" distB="0" distL="0" distR="0" wp14:anchorId="6C0E35B8" wp14:editId="28A16388">
          <wp:extent cx="360566" cy="722630"/>
          <wp:effectExtent l="0" t="0" r="1905" b="1270"/>
          <wp:docPr id="1"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a:extLst>
                      <a:ext uri="{28A0092B-C50C-407E-A947-70E740481C1C}">
                        <a14:useLocalDpi xmlns:a14="http://schemas.microsoft.com/office/drawing/2010/main" val="0"/>
                      </a:ext>
                    </a:extLst>
                  </a:blip>
                  <a:srcRect l="24148" t="16003" r="24351" b="16186"/>
                  <a:stretch/>
                </pic:blipFill>
                <pic:spPr bwMode="auto">
                  <a:xfrm>
                    <a:off x="0" y="0"/>
                    <a:ext cx="390625" cy="782874"/>
                  </a:xfrm>
                  <a:prstGeom prst="rect">
                    <a:avLst/>
                  </a:prstGeom>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6108B"/>
    <w:multiLevelType w:val="hybridMultilevel"/>
    <w:tmpl w:val="97844528"/>
    <w:lvl w:ilvl="0" w:tplc="04090017">
      <w:start w:val="1"/>
      <w:numFmt w:val="lowerLetter"/>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 w15:restartNumberingAfterBreak="0">
    <w:nsid w:val="6D8D18DF"/>
    <w:multiLevelType w:val="hybridMultilevel"/>
    <w:tmpl w:val="71C4C6CC"/>
    <w:lvl w:ilvl="0" w:tplc="51024328">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187331416">
    <w:abstractNumId w:val="1"/>
  </w:num>
  <w:num w:numId="2" w16cid:durableId="186898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F3"/>
    <w:rsid w:val="000231CB"/>
    <w:rsid w:val="0006019E"/>
    <w:rsid w:val="00094311"/>
    <w:rsid w:val="00104F58"/>
    <w:rsid w:val="00244959"/>
    <w:rsid w:val="003508C0"/>
    <w:rsid w:val="003A0F0B"/>
    <w:rsid w:val="004008DA"/>
    <w:rsid w:val="0044530D"/>
    <w:rsid w:val="004574E1"/>
    <w:rsid w:val="00460D02"/>
    <w:rsid w:val="00470598"/>
    <w:rsid w:val="0049013A"/>
    <w:rsid w:val="00492216"/>
    <w:rsid w:val="004B15AF"/>
    <w:rsid w:val="004B6356"/>
    <w:rsid w:val="00592004"/>
    <w:rsid w:val="00596DDB"/>
    <w:rsid w:val="005E1DA7"/>
    <w:rsid w:val="00636D88"/>
    <w:rsid w:val="00662578"/>
    <w:rsid w:val="00682C1A"/>
    <w:rsid w:val="00735D14"/>
    <w:rsid w:val="00745954"/>
    <w:rsid w:val="00747AE7"/>
    <w:rsid w:val="00752E8B"/>
    <w:rsid w:val="007700F4"/>
    <w:rsid w:val="007854FC"/>
    <w:rsid w:val="008559BD"/>
    <w:rsid w:val="00874F7C"/>
    <w:rsid w:val="00881295"/>
    <w:rsid w:val="008E13C0"/>
    <w:rsid w:val="009E4753"/>
    <w:rsid w:val="00A53EF9"/>
    <w:rsid w:val="00A713E0"/>
    <w:rsid w:val="00A85870"/>
    <w:rsid w:val="00A93CD8"/>
    <w:rsid w:val="00B06874"/>
    <w:rsid w:val="00B15728"/>
    <w:rsid w:val="00B51965"/>
    <w:rsid w:val="00B80F92"/>
    <w:rsid w:val="00C12E53"/>
    <w:rsid w:val="00C9369F"/>
    <w:rsid w:val="00CA47C6"/>
    <w:rsid w:val="00D2095C"/>
    <w:rsid w:val="00D455DE"/>
    <w:rsid w:val="00D45C22"/>
    <w:rsid w:val="00D95536"/>
    <w:rsid w:val="00ED02DD"/>
    <w:rsid w:val="00F31793"/>
    <w:rsid w:val="00FC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20D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0F3"/>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FC10F3"/>
    <w:pPr>
      <w:ind w:left="720"/>
      <w:contextualSpacing/>
    </w:pPr>
  </w:style>
  <w:style w:type="character" w:styleId="Hyperlink">
    <w:name w:val="Hyperlink"/>
    <w:basedOn w:val="DefaultParagraphFont"/>
    <w:uiPriority w:val="99"/>
    <w:unhideWhenUsed/>
    <w:rsid w:val="00FC10F3"/>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C10F3"/>
    <w:rPr>
      <w:sz w:val="22"/>
      <w:szCs w:val="22"/>
      <w:lang w:val="fr-FR"/>
    </w:rPr>
  </w:style>
  <w:style w:type="paragraph" w:styleId="NormalWeb">
    <w:name w:val="Normal (Web)"/>
    <w:basedOn w:val="Normal"/>
    <w:uiPriority w:val="99"/>
    <w:unhideWhenUsed/>
    <w:rsid w:val="00244959"/>
    <w:pPr>
      <w:spacing w:before="100" w:beforeAutospacing="1" w:after="100" w:afterAutospacing="1" w:line="240" w:lineRule="auto"/>
    </w:pPr>
    <w:rPr>
      <w:rFonts w:ascii="Times New Roman" w:hAnsi="Times New Roman" w:cs="Times New Roman"/>
      <w:sz w:val="24"/>
      <w:szCs w:val="24"/>
      <w:lang w:val="en-US"/>
    </w:rPr>
  </w:style>
  <w:style w:type="character" w:customStyle="1" w:styleId="markwqu4ow29p">
    <w:name w:val="markwqu4ow29p"/>
    <w:basedOn w:val="DefaultParagraphFont"/>
    <w:rsid w:val="00244959"/>
  </w:style>
  <w:style w:type="paragraph" w:styleId="Header">
    <w:name w:val="header"/>
    <w:basedOn w:val="Normal"/>
    <w:link w:val="HeaderChar"/>
    <w:uiPriority w:val="99"/>
    <w:unhideWhenUsed/>
    <w:rsid w:val="00D20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5C"/>
    <w:rPr>
      <w:sz w:val="22"/>
      <w:szCs w:val="22"/>
      <w:lang w:val="fr-FR"/>
    </w:rPr>
  </w:style>
  <w:style w:type="paragraph" w:styleId="Footer">
    <w:name w:val="footer"/>
    <w:basedOn w:val="Normal"/>
    <w:link w:val="FooterChar"/>
    <w:uiPriority w:val="99"/>
    <w:unhideWhenUsed/>
    <w:rsid w:val="00D20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5C"/>
    <w:rPr>
      <w:sz w:val="22"/>
      <w:szCs w:val="22"/>
      <w:lang w:val="fr-FR"/>
    </w:rPr>
  </w:style>
  <w:style w:type="paragraph" w:styleId="Revision">
    <w:name w:val="Revision"/>
    <w:hidden/>
    <w:uiPriority w:val="99"/>
    <w:semiHidden/>
    <w:rsid w:val="00CA47C6"/>
    <w:rPr>
      <w:sz w:val="22"/>
      <w:szCs w:val="22"/>
      <w:lang w:val="fr-FR"/>
    </w:rPr>
  </w:style>
  <w:style w:type="paragraph" w:styleId="BodyText">
    <w:name w:val="Body Text"/>
    <w:basedOn w:val="Normal"/>
    <w:link w:val="BodyTextChar"/>
    <w:uiPriority w:val="1"/>
    <w:qFormat/>
    <w:rsid w:val="00CA47C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A47C6"/>
    <w:rPr>
      <w:rFonts w:ascii="Calibri" w:eastAsia="Calibri" w:hAnsi="Calibri" w:cs="Calibri"/>
      <w:sz w:val="22"/>
      <w:szCs w:val="22"/>
      <w:lang w:val="fr-FR"/>
    </w:rPr>
  </w:style>
  <w:style w:type="character" w:styleId="FollowedHyperlink">
    <w:name w:val="FollowedHyperlink"/>
    <w:basedOn w:val="DefaultParagraphFont"/>
    <w:uiPriority w:val="99"/>
    <w:semiHidden/>
    <w:unhideWhenUsed/>
    <w:rsid w:val="00CA47C6"/>
    <w:rPr>
      <w:color w:val="954F72" w:themeColor="followedHyperlink"/>
      <w:u w:val="single"/>
    </w:rPr>
  </w:style>
  <w:style w:type="character" w:styleId="UnresolvedMention">
    <w:name w:val="Unresolved Mention"/>
    <w:basedOn w:val="DefaultParagraphFont"/>
    <w:uiPriority w:val="99"/>
    <w:rsid w:val="00A53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840279">
      <w:bodyDiv w:val="1"/>
      <w:marLeft w:val="0"/>
      <w:marRight w:val="0"/>
      <w:marTop w:val="0"/>
      <w:marBottom w:val="0"/>
      <w:divBdr>
        <w:top w:val="none" w:sz="0" w:space="0" w:color="auto"/>
        <w:left w:val="none" w:sz="0" w:space="0" w:color="auto"/>
        <w:bottom w:val="none" w:sz="0" w:space="0" w:color="auto"/>
        <w:right w:val="none" w:sz="0" w:space="0" w:color="auto"/>
      </w:divBdr>
    </w:div>
    <w:div w:id="1534884898">
      <w:bodyDiv w:val="1"/>
      <w:marLeft w:val="0"/>
      <w:marRight w:val="0"/>
      <w:marTop w:val="0"/>
      <w:marBottom w:val="0"/>
      <w:divBdr>
        <w:top w:val="none" w:sz="0" w:space="0" w:color="auto"/>
        <w:left w:val="none" w:sz="0" w:space="0" w:color="auto"/>
        <w:bottom w:val="none" w:sz="0" w:space="0" w:color="auto"/>
        <w:right w:val="none" w:sz="0" w:space="0" w:color="auto"/>
      </w:divBdr>
    </w:div>
    <w:div w:id="1622808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p.sharepoint.com/SitePages/Integrated-Work-Plan.aspx" TargetMode="External"/><Relationship Id="rId18" Type="http://schemas.openxmlformats.org/officeDocument/2006/relationships/hyperlink" Target="https://popp.undp.org/fr/procedure/assurer-la-supervision-revoir-et-ajust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rc.undp.org/methods-center/guidelines/undp-evaluation-guidelines/french" TargetMode="External"/><Relationship Id="rId17" Type="http://schemas.openxmlformats.org/officeDocument/2006/relationships/hyperlink" Target="https://popp.undp.org/fr/gestion-des-ressources-humaines" TargetMode="External"/><Relationship Id="rId2" Type="http://schemas.openxmlformats.org/officeDocument/2006/relationships/customXml" Target="../customXml/item2.xml"/><Relationship Id="rId16" Type="http://schemas.openxmlformats.org/officeDocument/2006/relationships/hyperlink" Target="https://popp.undp.org/fr/approvisionnement" TargetMode="External"/><Relationship Id="rId20" Type="http://schemas.openxmlformats.org/officeDocument/2006/relationships/hyperlink" Target="https://popp.undp.org/fr/gestion-des-ressources-huma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fr/procedure/assurer-la-supervision-revoir-et-ajust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opp.undp.org/fr/approvisionn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10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Planification annuelle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POPP-11-3107</_dlc_DocId>
    <_dlc_DocIdUrl xmlns="8264c5cc-ec60-4b56-8111-ce635d3d139a">
      <Url>https://popp.undp.org/_layouts/15/DocIdRedir.aspx?ID=POPP-11-3107</Url>
      <Description>POPP-11-3107</Description>
    </_dlc_DocIdUrl>
    <DLCPolicyLabelValue xmlns="e560140e-7b2f-4392-90df-e7567e3021a3">Effective Date: {Effective Date}                                                Version #: 2</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819A2-5EA9-4388-BD90-5AA02491714E}">
  <ds:schemaRefs>
    <ds:schemaRef ds:uri="http://schemas.microsoft.com/sharepoint/events"/>
  </ds:schemaRefs>
</ds:datastoreItem>
</file>

<file path=customXml/itemProps2.xml><?xml version="1.0" encoding="utf-8"?>
<ds:datastoreItem xmlns:ds="http://schemas.openxmlformats.org/officeDocument/2006/customXml" ds:itemID="{10022E28-FF14-4702-ACA2-72309D7961A2}">
  <ds:schemaRefs>
    <ds:schemaRef ds:uri="office.server.policy"/>
  </ds:schemaRefs>
</ds:datastoreItem>
</file>

<file path=customXml/itemProps3.xml><?xml version="1.0" encoding="utf-8"?>
<ds:datastoreItem xmlns:ds="http://schemas.openxmlformats.org/officeDocument/2006/customXml" ds:itemID="{CF53611C-5D9E-4019-AD55-1D496C1ED6BB}">
  <ds:schemaRefs>
    <ds:schemaRef ds:uri="http://schemas.microsoft.com/sharepoint/v3/contenttype/forms"/>
  </ds:schemaRefs>
</ds:datastoreItem>
</file>

<file path=customXml/itemProps4.xml><?xml version="1.0" encoding="utf-8"?>
<ds:datastoreItem xmlns:ds="http://schemas.openxmlformats.org/officeDocument/2006/customXml" ds:itemID="{075187D8-2B24-473E-90E3-9D4A253B3F9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06A35CE3-0B7E-4990-ADC5-F4F7790CB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31</cp:revision>
  <dcterms:created xsi:type="dcterms:W3CDTF">2025-02-13T23:00:00Z</dcterms:created>
  <dcterms:modified xsi:type="dcterms:W3CDTF">2025-02-24T19:55:00Z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61bf5f84-e597-40a2-b6a0-b4096b8bc277</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