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AA342" w14:textId="553528F2" w:rsidR="00441E9E" w:rsidRPr="00685CE7" w:rsidRDefault="00441E9E" w:rsidP="00441E9E">
      <w:pPr>
        <w:rPr>
          <w:rFonts w:cstheme="minorHAnsi"/>
          <w:b/>
          <w:sz w:val="28"/>
          <w:szCs w:val="28"/>
        </w:rPr>
      </w:pPr>
      <w:r w:rsidRPr="00685CE7">
        <w:rPr>
          <w:rFonts w:cstheme="minorHAnsi"/>
          <w:b/>
          <w:sz w:val="28"/>
          <w:szCs w:val="28"/>
        </w:rPr>
        <w:t>Annual Planning</w:t>
      </w:r>
    </w:p>
    <w:p w14:paraId="41016053" w14:textId="7370A6CD" w:rsidR="00441E9E" w:rsidRPr="004B4009" w:rsidRDefault="00441E9E" w:rsidP="50436186">
      <w:pPr>
        <w:pStyle w:val="ListParagraph"/>
        <w:numPr>
          <w:ilvl w:val="0"/>
          <w:numId w:val="1"/>
        </w:numPr>
        <w:shd w:val="clear" w:color="auto" w:fill="FFFFFF" w:themeFill="background1"/>
        <w:spacing w:after="120" w:line="240" w:lineRule="auto"/>
        <w:ind w:left="547"/>
        <w:jc w:val="both"/>
        <w:textAlignment w:val="top"/>
        <w:rPr>
          <w:rFonts w:eastAsia="Times New Roman"/>
        </w:rPr>
      </w:pPr>
      <w:r w:rsidRPr="50436186">
        <w:rPr>
          <w:rFonts w:eastAsia="Times New Roman"/>
        </w:rPr>
        <w:t>Implementing a programme</w:t>
      </w:r>
      <w:r w:rsidR="45275272" w:rsidRPr="50436186">
        <w:rPr>
          <w:rFonts w:eastAsia="Times New Roman"/>
        </w:rPr>
        <w:t>,</w:t>
      </w:r>
      <w:r w:rsidRPr="50436186">
        <w:rPr>
          <w:rFonts w:eastAsia="Times New Roman"/>
        </w:rPr>
        <w:t xml:space="preserve">  a project</w:t>
      </w:r>
      <w:r w:rsidR="76BD5E3C" w:rsidRPr="50436186">
        <w:rPr>
          <w:rFonts w:eastAsia="Times New Roman"/>
        </w:rPr>
        <w:t xml:space="preserve"> or portfolios</w:t>
      </w:r>
      <w:r w:rsidRPr="50436186">
        <w:rPr>
          <w:rFonts w:eastAsia="Times New Roman"/>
        </w:rPr>
        <w:t xml:space="preserve"> requires ensuring all outputs in planning documents are delivered and contribute to achieving outcomes in the UNDP Strategic Plan</w:t>
      </w:r>
      <w:r w:rsidRPr="50436186">
        <w:rPr>
          <w:rFonts w:eastAsia="Times New Roman"/>
          <w:lang w:val="en-GB"/>
        </w:rPr>
        <w:t xml:space="preserve"> and relevant country or regional programme document</w:t>
      </w:r>
      <w:r w:rsidRPr="50436186">
        <w:rPr>
          <w:rFonts w:eastAsia="Times New Roman"/>
        </w:rPr>
        <w:t xml:space="preserve">. </w:t>
      </w:r>
    </w:p>
    <w:p w14:paraId="617D474E" w14:textId="77777777" w:rsidR="00B04200" w:rsidRDefault="00441E9E" w:rsidP="00B04200">
      <w:pPr>
        <w:numPr>
          <w:ilvl w:val="0"/>
          <w:numId w:val="1"/>
        </w:numPr>
        <w:spacing w:after="120" w:line="240" w:lineRule="auto"/>
        <w:ind w:left="540"/>
        <w:jc w:val="both"/>
        <w:rPr>
          <w:rFonts w:cstheme="minorHAnsi"/>
        </w:rPr>
      </w:pPr>
      <w:r w:rsidRPr="00D854C0">
        <w:rPr>
          <w:rFonts w:cstheme="minorHAnsi"/>
        </w:rPr>
        <w:t xml:space="preserve">Annual planning should take place at all levels to help ensure that yearly priorities are well defined and agreed with key stakeholders. </w:t>
      </w:r>
    </w:p>
    <w:p w14:paraId="062F25CF" w14:textId="711EA335" w:rsidR="00B04200" w:rsidRPr="00B04200" w:rsidRDefault="00D854C0" w:rsidP="00B04200">
      <w:pPr>
        <w:numPr>
          <w:ilvl w:val="0"/>
          <w:numId w:val="1"/>
        </w:numPr>
        <w:spacing w:after="120" w:line="240" w:lineRule="auto"/>
        <w:ind w:left="540"/>
        <w:jc w:val="both"/>
        <w:rPr>
          <w:rFonts w:cstheme="minorHAnsi"/>
        </w:rPr>
      </w:pPr>
      <w:r w:rsidRPr="00B04200">
        <w:rPr>
          <w:rFonts w:cstheme="minorHAnsi"/>
        </w:rPr>
        <w:t xml:space="preserve">The evaluation plan should be reviewed annually and refined and adjusted as needed. The annual country office business planning meeting at the beginning of the year offers a good opportunity to review the evaluation plan. A formal midterm review of the evaluation plan is also highly recommended. </w:t>
      </w:r>
      <w:r w:rsidR="00B04200" w:rsidRPr="00B04200">
        <w:rPr>
          <w:rFonts w:cstheme="minorHAnsi"/>
        </w:rPr>
        <w:t xml:space="preserve">For more information, </w:t>
      </w:r>
      <w:r w:rsidR="0050558D">
        <w:t>s</w:t>
      </w:r>
      <w:r w:rsidR="00B04200" w:rsidRPr="0009110D">
        <w:t xml:space="preserve">ee also the </w:t>
      </w:r>
      <w:hyperlink r:id="rId10" w:history="1">
        <w:r w:rsidR="00B04200" w:rsidRPr="00B04200">
          <w:rPr>
            <w:color w:val="0563C1" w:themeColor="hyperlink"/>
            <w:u w:val="single"/>
          </w:rPr>
          <w:t>UNDP Evaluation Guidelin</w:t>
        </w:r>
        <w:r w:rsidR="007D5203">
          <w:rPr>
            <w:color w:val="0563C1" w:themeColor="hyperlink"/>
            <w:u w:val="single"/>
          </w:rPr>
          <w:t>es</w:t>
        </w:r>
      </w:hyperlink>
      <w:r w:rsidR="00B04200" w:rsidRPr="0009110D">
        <w:t>.</w:t>
      </w:r>
    </w:p>
    <w:p w14:paraId="63A55600" w14:textId="77777777" w:rsidR="00441E9E" w:rsidRPr="00556F47" w:rsidRDefault="00441E9E" w:rsidP="00441E9E">
      <w:pPr>
        <w:spacing w:after="0" w:line="240" w:lineRule="auto"/>
        <w:rPr>
          <w:rFonts w:cstheme="minorHAnsi"/>
          <w:lang w:val="fr-FR"/>
        </w:rPr>
      </w:pPr>
    </w:p>
    <w:p w14:paraId="58E13B0E" w14:textId="77777777" w:rsidR="00441E9E" w:rsidRPr="004B4009" w:rsidRDefault="00441E9E" w:rsidP="00441E9E">
      <w:pPr>
        <w:spacing w:after="120" w:line="240" w:lineRule="auto"/>
        <w:rPr>
          <w:rFonts w:cstheme="minorHAnsi"/>
          <w:b/>
          <w:i/>
        </w:rPr>
      </w:pPr>
      <w:r w:rsidRPr="00C55270">
        <w:rPr>
          <w:rFonts w:cstheme="minorHAnsi"/>
          <w:b/>
          <w:i/>
        </w:rPr>
        <w:t>Integrated Work Planning</w:t>
      </w:r>
    </w:p>
    <w:p w14:paraId="53A367FE" w14:textId="1624CD73" w:rsidR="00441E9E" w:rsidRPr="00C55270" w:rsidRDefault="00441E9E" w:rsidP="00441E9E">
      <w:pPr>
        <w:pStyle w:val="ListParagraph"/>
        <w:numPr>
          <w:ilvl w:val="0"/>
          <w:numId w:val="1"/>
        </w:numPr>
        <w:spacing w:after="0" w:line="240" w:lineRule="auto"/>
        <w:ind w:left="540"/>
        <w:jc w:val="both"/>
        <w:rPr>
          <w:rFonts w:cstheme="minorHAnsi"/>
        </w:rPr>
      </w:pPr>
      <w:r w:rsidRPr="00C55270">
        <w:rPr>
          <w:rFonts w:cstheme="minorHAnsi"/>
        </w:rPr>
        <w:t xml:space="preserve">The annual planning process starts with the preparation of an </w:t>
      </w:r>
      <w:hyperlink r:id="rId11">
        <w:r w:rsidR="00345513">
          <w:rPr>
            <w:rFonts w:cstheme="minorHAnsi"/>
            <w:color w:val="0000FF"/>
            <w:u w:val="single" w:color="0000FF"/>
          </w:rPr>
          <w:t>Integrated Work Pla</w:t>
        </w:r>
        <w:r w:rsidR="00A631D6">
          <w:rPr>
            <w:rFonts w:cstheme="minorHAnsi"/>
            <w:color w:val="0000FF"/>
            <w:u w:val="single" w:color="0000FF"/>
          </w:rPr>
          <w:t>n (IWP)</w:t>
        </w:r>
      </w:hyperlink>
      <w:r>
        <w:rPr>
          <w:rFonts w:cstheme="minorHAnsi"/>
          <w:color w:val="0000FF"/>
          <w:u w:val="single" w:color="0000FF"/>
        </w:rPr>
        <w:t>,</w:t>
      </w:r>
      <w:hyperlink r:id="rId12">
        <w:r w:rsidRPr="00C55270">
          <w:rPr>
            <w:rFonts w:cstheme="minorHAnsi"/>
          </w:rPr>
          <w:t xml:space="preserve"> </w:t>
        </w:r>
      </w:hyperlink>
      <w:hyperlink r:id="rId13">
        <w:r w:rsidRPr="00C55270">
          <w:rPr>
            <w:rFonts w:cstheme="minorHAnsi"/>
          </w:rPr>
          <w:t>whic</w:t>
        </w:r>
      </w:hyperlink>
      <w:r w:rsidRPr="00C55270">
        <w:rPr>
          <w:rFonts w:cstheme="minorHAnsi"/>
        </w:rPr>
        <w:t>h establishes corporate annual priorities to achieve results established in the Strategic Plan. A</w:t>
      </w:r>
      <w:r>
        <w:rPr>
          <w:rFonts w:cstheme="minorHAnsi"/>
        </w:rPr>
        <w:t>nnual Business Plan</w:t>
      </w:r>
      <w:r w:rsidRPr="00C55270">
        <w:rPr>
          <w:rFonts w:cstheme="minorHAnsi"/>
        </w:rPr>
        <w:t xml:space="preserve"> priorities cascade throughout </w:t>
      </w:r>
      <w:r>
        <w:rPr>
          <w:rFonts w:cstheme="minorHAnsi"/>
        </w:rPr>
        <w:t xml:space="preserve">the </w:t>
      </w:r>
      <w:r w:rsidRPr="00C55270">
        <w:rPr>
          <w:rFonts w:cstheme="minorHAnsi"/>
        </w:rPr>
        <w:t xml:space="preserve">organization through </w:t>
      </w:r>
      <w:r>
        <w:rPr>
          <w:rFonts w:cstheme="minorHAnsi"/>
        </w:rPr>
        <w:t>i</w:t>
      </w:r>
      <w:r w:rsidRPr="00C55270">
        <w:rPr>
          <w:rFonts w:cstheme="minorHAnsi"/>
        </w:rPr>
        <w:t xml:space="preserve">ntegrated </w:t>
      </w:r>
      <w:r>
        <w:rPr>
          <w:rFonts w:cstheme="minorHAnsi"/>
        </w:rPr>
        <w:t>w</w:t>
      </w:r>
      <w:r w:rsidRPr="00C55270">
        <w:rPr>
          <w:rFonts w:cstheme="minorHAnsi"/>
        </w:rPr>
        <w:t>ork</w:t>
      </w:r>
      <w:r>
        <w:rPr>
          <w:rFonts w:cstheme="minorHAnsi"/>
        </w:rPr>
        <w:t>p</w:t>
      </w:r>
      <w:r w:rsidRPr="00C55270">
        <w:rPr>
          <w:rFonts w:cstheme="minorHAnsi"/>
        </w:rPr>
        <w:t>lans</w:t>
      </w:r>
      <w:r>
        <w:rPr>
          <w:rFonts w:cstheme="minorHAnsi"/>
        </w:rPr>
        <w:t>,</w:t>
      </w:r>
      <w:r w:rsidRPr="00C55270">
        <w:rPr>
          <w:rFonts w:cstheme="minorHAnsi"/>
        </w:rPr>
        <w:t xml:space="preserve"> in a two-phased approach:     </w:t>
      </w:r>
    </w:p>
    <w:p w14:paraId="3ED9684B" w14:textId="77777777" w:rsidR="00441E9E" w:rsidRPr="00C55270" w:rsidRDefault="00441E9E" w:rsidP="00441E9E">
      <w:pPr>
        <w:pStyle w:val="ListParagraph"/>
        <w:numPr>
          <w:ilvl w:val="0"/>
          <w:numId w:val="2"/>
        </w:numPr>
        <w:spacing w:after="0" w:line="240" w:lineRule="auto"/>
        <w:ind w:left="1170"/>
        <w:contextualSpacing w:val="0"/>
        <w:jc w:val="both"/>
        <w:rPr>
          <w:rFonts w:cstheme="minorHAnsi"/>
        </w:rPr>
      </w:pPr>
      <w:r>
        <w:rPr>
          <w:rFonts w:cstheme="minorHAnsi"/>
        </w:rPr>
        <w:t>Global and</w:t>
      </w:r>
      <w:r w:rsidRPr="00C55270">
        <w:rPr>
          <w:rFonts w:cstheme="minorHAnsi"/>
        </w:rPr>
        <w:t xml:space="preserve"> Regional Bureaux and other </w:t>
      </w:r>
      <w:r>
        <w:rPr>
          <w:rFonts w:cstheme="minorHAnsi"/>
        </w:rPr>
        <w:t>headquarters u</w:t>
      </w:r>
      <w:r w:rsidRPr="00C55270">
        <w:rPr>
          <w:rFonts w:cstheme="minorHAnsi"/>
        </w:rPr>
        <w:t>nits (</w:t>
      </w:r>
      <w:r w:rsidRPr="00C55270">
        <w:rPr>
          <w:rFonts w:cstheme="minorHAnsi"/>
          <w:b/>
        </w:rPr>
        <w:t>Group 1</w:t>
      </w:r>
      <w:r w:rsidRPr="00C55270">
        <w:rPr>
          <w:rFonts w:cstheme="minorHAnsi"/>
        </w:rPr>
        <w:t xml:space="preserve">) establish their </w:t>
      </w:r>
      <w:r>
        <w:rPr>
          <w:rFonts w:cstheme="minorHAnsi"/>
        </w:rPr>
        <w:t>integrated workplan</w:t>
      </w:r>
      <w:r w:rsidRPr="00C55270">
        <w:rPr>
          <w:rFonts w:cstheme="minorHAnsi"/>
        </w:rPr>
        <w:t xml:space="preserve"> in response to the </w:t>
      </w:r>
      <w:r>
        <w:rPr>
          <w:rFonts w:cstheme="minorHAnsi"/>
        </w:rPr>
        <w:t>Annual Business Plan</w:t>
      </w:r>
      <w:r w:rsidRPr="00C55270">
        <w:rPr>
          <w:rFonts w:cstheme="minorHAnsi"/>
        </w:rPr>
        <w:t xml:space="preserve">; and,      </w:t>
      </w:r>
    </w:p>
    <w:p w14:paraId="3582EA1A" w14:textId="77777777" w:rsidR="00441E9E" w:rsidRPr="004B4009" w:rsidRDefault="00441E9E" w:rsidP="00441E9E">
      <w:pPr>
        <w:pStyle w:val="ListParagraph"/>
        <w:numPr>
          <w:ilvl w:val="0"/>
          <w:numId w:val="2"/>
        </w:numPr>
        <w:spacing w:after="120" w:line="240" w:lineRule="auto"/>
        <w:ind w:left="1170"/>
        <w:contextualSpacing w:val="0"/>
        <w:jc w:val="both"/>
        <w:rPr>
          <w:rFonts w:cstheme="minorHAnsi"/>
        </w:rPr>
      </w:pPr>
      <w:r>
        <w:rPr>
          <w:rFonts w:cstheme="minorHAnsi"/>
        </w:rPr>
        <w:t>Country offices</w:t>
      </w:r>
      <w:r w:rsidRPr="00C55270">
        <w:rPr>
          <w:rFonts w:cstheme="minorHAnsi"/>
        </w:rPr>
        <w:t xml:space="preserve"> and </w:t>
      </w:r>
      <w:r w:rsidRPr="00F40A2F">
        <w:rPr>
          <w:rFonts w:cstheme="minorHAnsi"/>
        </w:rPr>
        <w:t xml:space="preserve">subunits in the </w:t>
      </w:r>
      <w:r w:rsidRPr="000B1D32">
        <w:rPr>
          <w:rFonts w:cstheme="minorHAnsi"/>
        </w:rPr>
        <w:t xml:space="preserve">Bureau for Management Services and </w:t>
      </w:r>
      <w:r w:rsidRPr="00F40A2F">
        <w:rPr>
          <w:rFonts w:cstheme="minorHAnsi"/>
        </w:rPr>
        <w:t>Bureau for External Relations and Advocacy</w:t>
      </w:r>
      <w:r>
        <w:rPr>
          <w:rFonts w:cstheme="minorHAnsi"/>
        </w:rPr>
        <w:t xml:space="preserve"> </w:t>
      </w:r>
      <w:r w:rsidRPr="00C55270">
        <w:rPr>
          <w:rFonts w:cstheme="minorHAnsi"/>
        </w:rPr>
        <w:t>(</w:t>
      </w:r>
      <w:r w:rsidRPr="00C55270">
        <w:rPr>
          <w:rFonts w:cstheme="minorHAnsi"/>
          <w:b/>
        </w:rPr>
        <w:t>Group 2</w:t>
      </w:r>
      <w:r w:rsidRPr="00C55270">
        <w:rPr>
          <w:rFonts w:cstheme="minorHAnsi"/>
        </w:rPr>
        <w:t>) co</w:t>
      </w:r>
      <w:r w:rsidRPr="004B4009">
        <w:rPr>
          <w:rFonts w:cstheme="minorHAnsi"/>
        </w:rPr>
        <w:t xml:space="preserve">mplete their </w:t>
      </w:r>
      <w:r>
        <w:rPr>
          <w:rFonts w:cstheme="minorHAnsi"/>
        </w:rPr>
        <w:t xml:space="preserve">integrated workplans </w:t>
      </w:r>
      <w:r w:rsidRPr="004B4009">
        <w:rPr>
          <w:rFonts w:cstheme="minorHAnsi"/>
        </w:rPr>
        <w:t>in response to</w:t>
      </w:r>
      <w:r>
        <w:rPr>
          <w:rFonts w:cstheme="minorHAnsi"/>
        </w:rPr>
        <w:t xml:space="preserve"> </w:t>
      </w:r>
      <w:r w:rsidRPr="004B4009">
        <w:rPr>
          <w:rFonts w:cstheme="minorHAnsi"/>
        </w:rPr>
        <w:t xml:space="preserve">priorities set by their respective </w:t>
      </w:r>
      <w:r>
        <w:rPr>
          <w:rFonts w:cstheme="minorHAnsi"/>
        </w:rPr>
        <w:t>b</w:t>
      </w:r>
      <w:r w:rsidRPr="004B4009">
        <w:rPr>
          <w:rFonts w:cstheme="minorHAnsi"/>
        </w:rPr>
        <w:t xml:space="preserve">ureaux.    </w:t>
      </w:r>
    </w:p>
    <w:p w14:paraId="7A5BADA6" w14:textId="77777777" w:rsidR="00441E9E" w:rsidRPr="004B4009" w:rsidRDefault="00441E9E" w:rsidP="00441E9E">
      <w:pPr>
        <w:numPr>
          <w:ilvl w:val="0"/>
          <w:numId w:val="1"/>
        </w:numPr>
        <w:spacing w:after="120" w:line="240" w:lineRule="auto"/>
        <w:ind w:left="540"/>
        <w:jc w:val="both"/>
        <w:rPr>
          <w:rFonts w:cstheme="minorHAnsi"/>
        </w:rPr>
      </w:pPr>
      <w:r w:rsidRPr="004B4009">
        <w:rPr>
          <w:rFonts w:cstheme="minorHAnsi"/>
        </w:rPr>
        <w:t>In prepar</w:t>
      </w:r>
      <w:r>
        <w:rPr>
          <w:rFonts w:cstheme="minorHAnsi"/>
        </w:rPr>
        <w:t>ing integrated workplans</w:t>
      </w:r>
      <w:r w:rsidRPr="004B4009">
        <w:rPr>
          <w:rFonts w:cstheme="minorHAnsi"/>
        </w:rPr>
        <w:t xml:space="preserve">, Group 1 units are expected to ensure the appropriate level of consultation with their subsidiary units, while country offices are expected to ensure the appropriate level of consultation with national counterparts and local development partners.   </w:t>
      </w:r>
    </w:p>
    <w:p w14:paraId="2A21C114" w14:textId="77777777" w:rsidR="00441E9E" w:rsidRPr="004B4009" w:rsidRDefault="00441E9E" w:rsidP="00441E9E">
      <w:pPr>
        <w:numPr>
          <w:ilvl w:val="0"/>
          <w:numId w:val="1"/>
        </w:numPr>
        <w:spacing w:after="120" w:line="240" w:lineRule="auto"/>
        <w:ind w:left="540"/>
        <w:jc w:val="both"/>
        <w:rPr>
          <w:rFonts w:cstheme="minorHAnsi"/>
        </w:rPr>
      </w:pPr>
      <w:r>
        <w:rPr>
          <w:rFonts w:cstheme="minorHAnsi"/>
        </w:rPr>
        <w:t>Integrated workplans</w:t>
      </w:r>
      <w:r w:rsidRPr="004B4009">
        <w:rPr>
          <w:rFonts w:cstheme="minorHAnsi"/>
        </w:rPr>
        <w:t xml:space="preserve"> establish annual priorities for both programme and operational issues, replacing other unit level workplans. </w:t>
      </w:r>
      <w:r>
        <w:rPr>
          <w:rFonts w:cstheme="minorHAnsi"/>
        </w:rPr>
        <w:t>They</w:t>
      </w:r>
      <w:r w:rsidRPr="004B4009">
        <w:rPr>
          <w:rFonts w:cstheme="minorHAnsi"/>
        </w:rPr>
        <w:t xml:space="preserve"> bring together annual planning in response to corporate priorities, as well as country</w:t>
      </w:r>
      <w:r>
        <w:rPr>
          <w:rFonts w:cstheme="minorHAnsi"/>
        </w:rPr>
        <w:t xml:space="preserve">, </w:t>
      </w:r>
      <w:r w:rsidRPr="004B4009">
        <w:rPr>
          <w:rFonts w:cstheme="minorHAnsi"/>
        </w:rPr>
        <w:t>region and other priorities.</w:t>
      </w:r>
    </w:p>
    <w:p w14:paraId="6BF8D4D6" w14:textId="77777777" w:rsidR="00441E9E" w:rsidRPr="004B4009" w:rsidRDefault="00441E9E" w:rsidP="00441E9E">
      <w:pPr>
        <w:numPr>
          <w:ilvl w:val="0"/>
          <w:numId w:val="1"/>
        </w:numPr>
        <w:spacing w:after="0" w:line="240" w:lineRule="auto"/>
        <w:ind w:left="547"/>
        <w:jc w:val="both"/>
        <w:rPr>
          <w:rFonts w:cstheme="minorHAnsi"/>
        </w:rPr>
      </w:pPr>
      <w:r w:rsidRPr="004B4009">
        <w:rPr>
          <w:rFonts w:cstheme="minorHAnsi"/>
        </w:rPr>
        <w:t>Every unit is accountable for developing clear results</w:t>
      </w:r>
      <w:r>
        <w:rPr>
          <w:rFonts w:cstheme="minorHAnsi"/>
        </w:rPr>
        <w:t>,</w:t>
      </w:r>
      <w:r w:rsidRPr="004B4009">
        <w:rPr>
          <w:rFonts w:cstheme="minorHAnsi"/>
        </w:rPr>
        <w:t xml:space="preserve"> and monitoring and reporting on progress based on available evidence. The approval and quality assurance of</w:t>
      </w:r>
      <w:r>
        <w:rPr>
          <w:rFonts w:cstheme="minorHAnsi"/>
        </w:rPr>
        <w:t xml:space="preserve"> integrated workplans</w:t>
      </w:r>
      <w:r w:rsidRPr="004B4009">
        <w:rPr>
          <w:rFonts w:cstheme="minorHAnsi"/>
        </w:rPr>
        <w:t xml:space="preserve"> resides with oversight </w:t>
      </w:r>
      <w:r>
        <w:rPr>
          <w:rFonts w:cstheme="minorHAnsi"/>
        </w:rPr>
        <w:t>b</w:t>
      </w:r>
      <w:r w:rsidRPr="004B4009">
        <w:rPr>
          <w:rFonts w:cstheme="minorHAnsi"/>
        </w:rPr>
        <w:t xml:space="preserve">ureaux.        </w:t>
      </w:r>
    </w:p>
    <w:p w14:paraId="4409F4E7" w14:textId="77777777" w:rsidR="00441E9E" w:rsidRPr="004B4009" w:rsidRDefault="00441E9E" w:rsidP="00441E9E">
      <w:pPr>
        <w:spacing w:after="0" w:line="240" w:lineRule="auto"/>
        <w:rPr>
          <w:rFonts w:cstheme="minorHAnsi"/>
        </w:rPr>
      </w:pPr>
    </w:p>
    <w:p w14:paraId="4D050FC5" w14:textId="77777777" w:rsidR="00441E9E" w:rsidRPr="004B4009" w:rsidRDefault="00441E9E" w:rsidP="00441E9E">
      <w:pPr>
        <w:spacing w:after="120" w:line="240" w:lineRule="auto"/>
        <w:rPr>
          <w:rFonts w:cstheme="minorHAnsi"/>
          <w:b/>
          <w:i/>
        </w:rPr>
      </w:pPr>
      <w:r w:rsidRPr="004B4009">
        <w:rPr>
          <w:rFonts w:cstheme="minorHAnsi"/>
          <w:b/>
          <w:i/>
        </w:rPr>
        <w:t>Project Annual Planning</w:t>
      </w:r>
    </w:p>
    <w:p w14:paraId="563AC7D7" w14:textId="1CEA6A21" w:rsidR="00441E9E" w:rsidRPr="004B4009" w:rsidRDefault="00441E9E" w:rsidP="00441E9E">
      <w:pPr>
        <w:pStyle w:val="ListParagraph"/>
        <w:numPr>
          <w:ilvl w:val="0"/>
          <w:numId w:val="1"/>
        </w:numPr>
        <w:spacing w:after="120" w:line="240" w:lineRule="auto"/>
        <w:ind w:left="547"/>
        <w:contextualSpacing w:val="0"/>
        <w:jc w:val="both"/>
        <w:rPr>
          <w:rFonts w:cstheme="minorHAnsi"/>
        </w:rPr>
      </w:pPr>
      <w:r w:rsidRPr="004B4009">
        <w:rPr>
          <w:rFonts w:cstheme="minorHAnsi"/>
        </w:rPr>
        <w:t xml:space="preserve">The multi-year workplan must be reviewed at least once per year with the </w:t>
      </w:r>
      <w:r>
        <w:rPr>
          <w:rFonts w:cstheme="minorHAnsi"/>
        </w:rPr>
        <w:t>p</w:t>
      </w:r>
      <w:r w:rsidRPr="004B4009">
        <w:rPr>
          <w:rFonts w:cstheme="minorHAnsi"/>
        </w:rPr>
        <w:t xml:space="preserve">roject </w:t>
      </w:r>
      <w:r>
        <w:rPr>
          <w:rFonts w:cstheme="minorHAnsi"/>
        </w:rPr>
        <w:t>b</w:t>
      </w:r>
      <w:r w:rsidRPr="004B4009">
        <w:rPr>
          <w:rFonts w:cstheme="minorHAnsi"/>
        </w:rPr>
        <w:t xml:space="preserve">oard to ensure it remains valid </w:t>
      </w:r>
      <w:r>
        <w:rPr>
          <w:rFonts w:cstheme="minorHAnsi"/>
        </w:rPr>
        <w:t>for</w:t>
      </w:r>
      <w:r w:rsidRPr="004B4009">
        <w:rPr>
          <w:rFonts w:cstheme="minorHAnsi"/>
        </w:rPr>
        <w:t xml:space="preserve"> deliver</w:t>
      </w:r>
      <w:r>
        <w:rPr>
          <w:rFonts w:cstheme="minorHAnsi"/>
        </w:rPr>
        <w:t>ing</w:t>
      </w:r>
      <w:r w:rsidRPr="004B4009">
        <w:rPr>
          <w:rFonts w:cstheme="minorHAnsi"/>
        </w:rPr>
        <w:t xml:space="preserve"> project outputs in the most efficient and effective way possible. Project annual planning may take place at any point during the year. </w:t>
      </w:r>
      <w:r w:rsidR="0047543A" w:rsidRPr="004B4009">
        <w:rPr>
          <w:rFonts w:cstheme="minorHAnsi"/>
        </w:rPr>
        <w:t>Specifi</w:t>
      </w:r>
      <w:r w:rsidR="00804B09">
        <w:rPr>
          <w:rFonts w:cstheme="minorHAnsi"/>
        </w:rPr>
        <w:t xml:space="preserve">c procedures are found in </w:t>
      </w:r>
      <w:hyperlink r:id="rId14" w:history="1">
        <w:r w:rsidR="00804B09" w:rsidRPr="002956E3">
          <w:rPr>
            <w:rStyle w:val="Hyperlink"/>
            <w:rFonts w:cstheme="minorHAnsi"/>
          </w:rPr>
          <w:t>P</w:t>
        </w:r>
        <w:r w:rsidR="00804B09">
          <w:rPr>
            <w:rStyle w:val="Hyperlink"/>
            <w:rFonts w:cstheme="minorHAnsi"/>
          </w:rPr>
          <w:t>rovide</w:t>
        </w:r>
        <w:r w:rsidR="00804B09" w:rsidRPr="002956E3">
          <w:rPr>
            <w:rStyle w:val="Hyperlink"/>
            <w:rFonts w:cstheme="minorHAnsi"/>
          </w:rPr>
          <w:t xml:space="preserve"> Oversight (Review and Adjust)</w:t>
        </w:r>
      </w:hyperlink>
      <w:r w:rsidR="00804B09">
        <w:rPr>
          <w:rStyle w:val="Hyperlink"/>
          <w:rFonts w:cstheme="minorHAnsi"/>
        </w:rPr>
        <w:t>.</w:t>
      </w:r>
    </w:p>
    <w:p w14:paraId="281163B1" w14:textId="74212B1A" w:rsidR="00441E9E" w:rsidRPr="004B4009" w:rsidRDefault="00441E9E" w:rsidP="00441E9E">
      <w:pPr>
        <w:pStyle w:val="ListParagraph"/>
        <w:numPr>
          <w:ilvl w:val="0"/>
          <w:numId w:val="1"/>
        </w:numPr>
        <w:spacing w:after="120" w:line="240" w:lineRule="auto"/>
        <w:ind w:left="547"/>
        <w:contextualSpacing w:val="0"/>
        <w:jc w:val="both"/>
        <w:rPr>
          <w:rFonts w:cstheme="minorHAnsi"/>
        </w:rPr>
      </w:pPr>
      <w:r w:rsidRPr="004B4009">
        <w:rPr>
          <w:rFonts w:cstheme="minorHAnsi"/>
        </w:rPr>
        <w:t>Project annual planning must take learning</w:t>
      </w:r>
      <w:r>
        <w:rPr>
          <w:rFonts w:cstheme="minorHAnsi"/>
        </w:rPr>
        <w:t xml:space="preserve"> and risk management</w:t>
      </w:r>
      <w:r w:rsidR="00E147EE">
        <w:rPr>
          <w:rFonts w:cstheme="minorHAnsi"/>
        </w:rPr>
        <w:t xml:space="preserve"> into account</w:t>
      </w:r>
      <w:r w:rsidRPr="004B4009">
        <w:rPr>
          <w:rFonts w:cstheme="minorHAnsi"/>
        </w:rPr>
        <w:t xml:space="preserve"> and reflect course corrections to respond to learning</w:t>
      </w:r>
      <w:r>
        <w:rPr>
          <w:rFonts w:cstheme="minorHAnsi"/>
        </w:rPr>
        <w:t xml:space="preserve"> and changes in context</w:t>
      </w:r>
      <w:r w:rsidRPr="004B4009">
        <w:rPr>
          <w:rFonts w:cstheme="minorHAnsi"/>
        </w:rPr>
        <w:t>.</w:t>
      </w:r>
      <w:r w:rsidR="001C377D">
        <w:rPr>
          <w:rFonts w:cstheme="minorHAnsi"/>
        </w:rPr>
        <w:t xml:space="preserve"> </w:t>
      </w:r>
    </w:p>
    <w:p w14:paraId="4373C59D" w14:textId="34ACA247" w:rsidR="005F50F1" w:rsidRDefault="00A11F8B" w:rsidP="00F617B7">
      <w:pPr>
        <w:pStyle w:val="ListParagraph"/>
        <w:numPr>
          <w:ilvl w:val="0"/>
          <w:numId w:val="1"/>
        </w:numPr>
        <w:ind w:left="540"/>
        <w:rPr>
          <w:rFonts w:cstheme="minorHAnsi"/>
          <w:b/>
          <w:i/>
        </w:rPr>
      </w:pPr>
      <w:r w:rsidRPr="002412D8">
        <w:rPr>
          <w:rFonts w:cstheme="minorHAnsi"/>
        </w:rPr>
        <w:t>Pr</w:t>
      </w:r>
      <w:r w:rsidRPr="001C377D">
        <w:rPr>
          <w:rFonts w:cstheme="minorHAnsi"/>
        </w:rPr>
        <w:t>ocurement and</w:t>
      </w:r>
      <w:r>
        <w:t xml:space="preserve"> Human Resources (HR) planning must adhere to the UNDP </w:t>
      </w:r>
      <w:hyperlink r:id="rId15" w:history="1">
        <w:r w:rsidR="007F60BB" w:rsidRPr="007F60BB">
          <w:rPr>
            <w:rStyle w:val="Hyperlink"/>
          </w:rPr>
          <w:t>Procuremen</w:t>
        </w:r>
        <w:r w:rsidR="00B24A66">
          <w:rPr>
            <w:rStyle w:val="Hyperlink"/>
          </w:rPr>
          <w:t>t policies</w:t>
        </w:r>
      </w:hyperlink>
      <w:r w:rsidR="007F60BB">
        <w:t xml:space="preserve"> </w:t>
      </w:r>
      <w:r>
        <w:t>and</w:t>
      </w:r>
      <w:r w:rsidR="003D427A">
        <w:t xml:space="preserve"> to the UNDP</w:t>
      </w:r>
      <w:r>
        <w:t xml:space="preserve"> </w:t>
      </w:r>
      <w:hyperlink r:id="rId16" w:history="1">
        <w:r w:rsidR="00FB0085" w:rsidRPr="00FB0085">
          <w:rPr>
            <w:rStyle w:val="Hyperlink"/>
          </w:rPr>
          <w:t>Human Resources Managemen</w:t>
        </w:r>
        <w:r w:rsidR="00B24A66">
          <w:rPr>
            <w:rStyle w:val="Hyperlink"/>
          </w:rPr>
          <w:t>t policies</w:t>
        </w:r>
      </w:hyperlink>
      <w:r>
        <w:t>.</w:t>
      </w:r>
      <w:r w:rsidR="00345513">
        <w:t xml:space="preserve"> </w:t>
      </w:r>
      <w:r w:rsidR="005F50F1">
        <w:rPr>
          <w:rFonts w:cstheme="minorHAnsi"/>
          <w:b/>
          <w:i/>
        </w:rPr>
        <w:br w:type="page"/>
      </w:r>
    </w:p>
    <w:p w14:paraId="6EE7D386" w14:textId="09D36972" w:rsidR="00DA224F" w:rsidRPr="00F617B7" w:rsidRDefault="00DB5C48" w:rsidP="00F617B7">
      <w:pPr>
        <w:spacing w:after="120" w:line="240" w:lineRule="auto"/>
        <w:rPr>
          <w:rFonts w:cstheme="minorHAnsi"/>
          <w:b/>
          <w:i/>
        </w:rPr>
      </w:pPr>
      <w:r w:rsidRPr="00F617B7">
        <w:rPr>
          <w:rFonts w:cstheme="minorHAnsi"/>
          <w:b/>
          <w:i/>
        </w:rPr>
        <w:lastRenderedPageBreak/>
        <w:t xml:space="preserve">Portfolio </w:t>
      </w:r>
      <w:r>
        <w:rPr>
          <w:rFonts w:cstheme="minorHAnsi"/>
          <w:b/>
          <w:i/>
        </w:rPr>
        <w:t xml:space="preserve">Annual </w:t>
      </w:r>
      <w:r w:rsidRPr="00F617B7">
        <w:rPr>
          <w:rFonts w:cstheme="minorHAnsi"/>
          <w:b/>
          <w:i/>
        </w:rPr>
        <w:t>Planning</w:t>
      </w:r>
      <w:r w:rsidR="006C0FDB">
        <w:rPr>
          <w:rFonts w:cstheme="minorHAnsi"/>
          <w:b/>
          <w:i/>
        </w:rPr>
        <w:t xml:space="preserve"> </w:t>
      </w:r>
      <w:r w:rsidRPr="00F617B7">
        <w:rPr>
          <w:rFonts w:cstheme="minorHAnsi"/>
          <w:b/>
          <w:i/>
        </w:rPr>
        <w:t xml:space="preserve"> </w:t>
      </w:r>
    </w:p>
    <w:p w14:paraId="1F7190E1" w14:textId="6C96F070" w:rsidR="0064469F" w:rsidRDefault="00146CAF" w:rsidP="0064469F">
      <w:pPr>
        <w:pStyle w:val="ListParagraph"/>
        <w:numPr>
          <w:ilvl w:val="0"/>
          <w:numId w:val="1"/>
        </w:numPr>
        <w:spacing w:after="120" w:line="240" w:lineRule="auto"/>
        <w:ind w:left="547"/>
        <w:contextualSpacing w:val="0"/>
        <w:jc w:val="both"/>
      </w:pPr>
      <w:bookmarkStart w:id="0" w:name="_Hlk190709612"/>
      <w:r>
        <w:t>The</w:t>
      </w:r>
      <w:r w:rsidR="32F143A5">
        <w:t xml:space="preserve"> portfolio</w:t>
      </w:r>
      <w:r>
        <w:t xml:space="preserve"> board </w:t>
      </w:r>
      <w:r w:rsidR="005D314E">
        <w:t xml:space="preserve">reviews and </w:t>
      </w:r>
      <w:r>
        <w:t xml:space="preserve">approves the annual work plan for implementing partners, </w:t>
      </w:r>
      <w:r w:rsidR="00464D33">
        <w:t>incorporating</w:t>
      </w:r>
      <w:r>
        <w:t xml:space="preserve"> milestones. These portfolio milestones gain approval on a yearly basis, covering each subsequent 12-month work period. The annual planning for the portfolio may occur at any time throughout the year, and detailed procedures can be found in </w:t>
      </w:r>
      <w:bookmarkEnd w:id="0"/>
      <w:r w:rsidR="0064469F">
        <w:fldChar w:fldCharType="begin"/>
      </w:r>
      <w:r w:rsidR="0064469F">
        <w:instrText>HYPERLINK "https://popp.undp.org/procedure/oversight-review-adjust"</w:instrText>
      </w:r>
      <w:r w:rsidR="0064469F">
        <w:fldChar w:fldCharType="separate"/>
      </w:r>
      <w:r w:rsidR="0064469F" w:rsidRPr="0064469F">
        <w:rPr>
          <w:rStyle w:val="Hyperlink"/>
          <w:rFonts w:cstheme="minorHAnsi"/>
        </w:rPr>
        <w:t>Provide Oversight (Review and Adjust)</w:t>
      </w:r>
      <w:r w:rsidR="0064469F">
        <w:fldChar w:fldCharType="end"/>
      </w:r>
      <w:r>
        <w:t>.</w:t>
      </w:r>
      <w:r w:rsidR="0064469F">
        <w:t xml:space="preserve"> </w:t>
      </w:r>
    </w:p>
    <w:p w14:paraId="1AE5202D" w14:textId="21018469" w:rsidR="00146CAF" w:rsidRPr="0088517A" w:rsidRDefault="00146CAF" w:rsidP="00F617B7">
      <w:pPr>
        <w:pStyle w:val="ListParagraph"/>
        <w:numPr>
          <w:ilvl w:val="0"/>
          <w:numId w:val="1"/>
        </w:numPr>
        <w:spacing w:after="120" w:line="240" w:lineRule="auto"/>
        <w:ind w:left="547"/>
        <w:contextualSpacing w:val="0"/>
        <w:jc w:val="both"/>
      </w:pPr>
      <w:r w:rsidRPr="0088517A">
        <w:t xml:space="preserve">When conducting portfolio annual planning, considerations must be given to </w:t>
      </w:r>
      <w:r w:rsidR="00F06E96">
        <w:t>s</w:t>
      </w:r>
      <w:r w:rsidR="00A65B83">
        <w:t xml:space="preserve">ystem </w:t>
      </w:r>
      <w:r w:rsidR="00F06E96">
        <w:t>m</w:t>
      </w:r>
      <w:r w:rsidRPr="0088517A">
        <w:t xml:space="preserve">omentum, </w:t>
      </w:r>
      <w:r w:rsidR="00A65B83">
        <w:t xml:space="preserve">system </w:t>
      </w:r>
      <w:r w:rsidRPr="0088517A">
        <w:t>learning, and risk management. The plan should reflect adjustments made to respond to newfound insights and changes in the contextual landscape.</w:t>
      </w:r>
    </w:p>
    <w:p w14:paraId="63101C16" w14:textId="0E904BB3" w:rsidR="00146CAF" w:rsidRPr="0088517A" w:rsidRDefault="00146CAF" w:rsidP="00F617B7">
      <w:pPr>
        <w:pStyle w:val="ListParagraph"/>
        <w:numPr>
          <w:ilvl w:val="0"/>
          <w:numId w:val="1"/>
        </w:numPr>
        <w:spacing w:after="120" w:line="240" w:lineRule="auto"/>
        <w:ind w:left="547"/>
        <w:contextualSpacing w:val="0"/>
        <w:jc w:val="both"/>
      </w:pPr>
      <w:r w:rsidRPr="0088517A">
        <w:t>The Portfolio Shared Results Committee (PSRC) convenes at least four times a year</w:t>
      </w:r>
      <w:r w:rsidR="00150289">
        <w:t xml:space="preserve"> to take </w:t>
      </w:r>
      <w:r w:rsidRPr="0088517A">
        <w:t>implementing corrective actions, approving adjustments beyond specified tolerance levels, endorsing substantive revisions (major/minor amendments) to work plans, reallocating resources between work plans, approving associated budget revisions, addressing requests for the suspension or extension of work plans, and making other changes to the work plans</w:t>
      </w:r>
      <w:r w:rsidR="00E46701">
        <w:t xml:space="preserve"> within the threshold set up by the portfolio board</w:t>
      </w:r>
      <w:r w:rsidRPr="0088517A">
        <w:t>. All changes must align with donor agreements and are subject to additional funding.</w:t>
      </w:r>
    </w:p>
    <w:p w14:paraId="580FDC5C" w14:textId="4B32E2C8" w:rsidR="009F35C2" w:rsidRPr="00345513" w:rsidRDefault="005D7BBD" w:rsidP="00F617B7">
      <w:pPr>
        <w:pStyle w:val="ListParagraph"/>
        <w:numPr>
          <w:ilvl w:val="0"/>
          <w:numId w:val="1"/>
        </w:numPr>
        <w:spacing w:after="120" w:line="240" w:lineRule="auto"/>
        <w:ind w:left="547"/>
        <w:contextualSpacing w:val="0"/>
        <w:jc w:val="both"/>
        <w:rPr>
          <w:rFonts w:cstheme="minorHAnsi"/>
        </w:rPr>
      </w:pPr>
      <w:r w:rsidRPr="002412D8">
        <w:rPr>
          <w:rFonts w:cstheme="minorHAnsi"/>
        </w:rPr>
        <w:t>Pr</w:t>
      </w:r>
      <w:r w:rsidRPr="001C377D">
        <w:rPr>
          <w:rFonts w:cstheme="minorHAnsi"/>
        </w:rPr>
        <w:t>ocurement and</w:t>
      </w:r>
      <w:r>
        <w:t xml:space="preserve"> Human Resources (HR) planning must adhere to the UNDP </w:t>
      </w:r>
      <w:hyperlink r:id="rId17" w:history="1">
        <w:r w:rsidRPr="007F60BB">
          <w:rPr>
            <w:rStyle w:val="Hyperlink"/>
          </w:rPr>
          <w:t>Procuremen</w:t>
        </w:r>
        <w:r>
          <w:rPr>
            <w:rStyle w:val="Hyperlink"/>
          </w:rPr>
          <w:t>t policies</w:t>
        </w:r>
      </w:hyperlink>
      <w:r>
        <w:t xml:space="preserve"> and</w:t>
      </w:r>
      <w:r w:rsidR="006C0FDB">
        <w:t xml:space="preserve"> to the</w:t>
      </w:r>
      <w:r>
        <w:t xml:space="preserve"> </w:t>
      </w:r>
      <w:hyperlink r:id="rId18" w:history="1">
        <w:r w:rsidRPr="00FB0085">
          <w:rPr>
            <w:rStyle w:val="Hyperlink"/>
          </w:rPr>
          <w:t>Human Resources Managemen</w:t>
        </w:r>
        <w:r>
          <w:rPr>
            <w:rStyle w:val="Hyperlink"/>
          </w:rPr>
          <w:t>t policies</w:t>
        </w:r>
      </w:hyperlink>
      <w:r>
        <w:t xml:space="preserve">. </w:t>
      </w:r>
      <w:r w:rsidR="00345513">
        <w:t xml:space="preserve"> </w:t>
      </w:r>
    </w:p>
    <w:sectPr w:rsidR="009F35C2" w:rsidRPr="00345513" w:rsidSect="00662578">
      <w:headerReference w:type="default" r:id="rId19"/>
      <w:footerReference w:type="even"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BC4F7" w14:textId="77777777" w:rsidR="0004657E" w:rsidRDefault="0004657E" w:rsidP="0047543A">
      <w:pPr>
        <w:spacing w:after="0" w:line="240" w:lineRule="auto"/>
      </w:pPr>
      <w:r>
        <w:separator/>
      </w:r>
    </w:p>
  </w:endnote>
  <w:endnote w:type="continuationSeparator" w:id="0">
    <w:p w14:paraId="36B588C2" w14:textId="77777777" w:rsidR="0004657E" w:rsidRDefault="0004657E" w:rsidP="0047543A">
      <w:pPr>
        <w:spacing w:after="0" w:line="240" w:lineRule="auto"/>
      </w:pPr>
      <w:r>
        <w:continuationSeparator/>
      </w:r>
    </w:p>
  </w:endnote>
  <w:endnote w:type="continuationNotice" w:id="1">
    <w:p w14:paraId="20718575" w14:textId="77777777" w:rsidR="0004657E" w:rsidRDefault="00046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2E75" w14:textId="77777777" w:rsidR="00C21CCB" w:rsidRDefault="00C21CCB" w:rsidP="00C21C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A2E12" w14:textId="77777777" w:rsidR="00C21CCB" w:rsidRDefault="00C21CCB" w:rsidP="004754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5020" w14:textId="0FCFA87E" w:rsidR="00C21CCB" w:rsidRDefault="006D3277" w:rsidP="006D3277">
    <w:pPr>
      <w:pStyle w:val="Footer"/>
      <w:ind w:right="360"/>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522759">
      <w:t xml:space="preserve">Effective date: </w:t>
    </w:r>
    <w:r>
      <w:t>05/06/2018</w:t>
    </w:r>
    <w:r>
      <w:ptab w:relativeTo="margin" w:alignment="right" w:leader="none"/>
    </w:r>
    <w:r w:rsidR="00522759">
      <w:t>Version #:</w:t>
    </w:r>
    <w:r>
      <w:t xml:space="preserve"> </w:t>
    </w:r>
    <w:r w:rsidR="0052275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861C" w14:textId="77777777" w:rsidR="0004657E" w:rsidRDefault="0004657E" w:rsidP="0047543A">
      <w:pPr>
        <w:spacing w:after="0" w:line="240" w:lineRule="auto"/>
      </w:pPr>
      <w:r>
        <w:separator/>
      </w:r>
    </w:p>
  </w:footnote>
  <w:footnote w:type="continuationSeparator" w:id="0">
    <w:p w14:paraId="1E3C795E" w14:textId="77777777" w:rsidR="0004657E" w:rsidRDefault="0004657E" w:rsidP="0047543A">
      <w:pPr>
        <w:spacing w:after="0" w:line="240" w:lineRule="auto"/>
      </w:pPr>
      <w:r>
        <w:continuationSeparator/>
      </w:r>
    </w:p>
  </w:footnote>
  <w:footnote w:type="continuationNotice" w:id="1">
    <w:p w14:paraId="194EDD3D" w14:textId="77777777" w:rsidR="0004657E" w:rsidRDefault="000465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A1F4" w14:textId="3EA46DBE" w:rsidR="00C21CCB" w:rsidRDefault="003D1D4D" w:rsidP="0047543A">
    <w:pPr>
      <w:pStyle w:val="Header"/>
      <w:jc w:val="right"/>
    </w:pPr>
    <w:r>
      <w:rPr>
        <w:noProof/>
      </w:rPr>
      <w:drawing>
        <wp:inline distT="0" distB="0" distL="0" distR="0" wp14:anchorId="4512D8E8" wp14:editId="62259C4E">
          <wp:extent cx="362324" cy="7200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62324"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700F"/>
    <w:multiLevelType w:val="hybridMultilevel"/>
    <w:tmpl w:val="71C4C6CC"/>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364FC7"/>
    <w:multiLevelType w:val="multilevel"/>
    <w:tmpl w:val="6330820A"/>
    <w:lvl w:ilvl="0">
      <w:start w:val="16"/>
      <w:numFmt w:val="decimal"/>
      <w:lvlText w:val="%1."/>
      <w:lvlJc w:val="left"/>
      <w:pPr>
        <w:tabs>
          <w:tab w:val="num" w:pos="450"/>
        </w:tabs>
        <w:ind w:left="45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86108B"/>
    <w:multiLevelType w:val="hybridMultilevel"/>
    <w:tmpl w:val="97844528"/>
    <w:lvl w:ilvl="0" w:tplc="04090017">
      <w:start w:val="1"/>
      <w:numFmt w:val="lowerLetter"/>
      <w:lvlText w:val="%1)"/>
      <w:lvlJc w:val="lef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3" w15:restartNumberingAfterBreak="0">
    <w:nsid w:val="6D8D18DF"/>
    <w:multiLevelType w:val="hybridMultilevel"/>
    <w:tmpl w:val="C2E43756"/>
    <w:lvl w:ilvl="0" w:tplc="56FC7456">
      <w:start w:val="1"/>
      <w:numFmt w:val="decimal"/>
      <w:lvlText w:val="%1."/>
      <w:lvlJc w:val="left"/>
      <w:pPr>
        <w:ind w:left="720" w:hanging="360"/>
      </w:pPr>
      <w:rPr>
        <w:rFonts w:hint="default"/>
        <w:b w:val="0"/>
        <w:bCs w:val="0"/>
        <w:i w:val="0"/>
        <w:iCs w:val="0"/>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6F3A4337"/>
    <w:multiLevelType w:val="hybridMultilevel"/>
    <w:tmpl w:val="9B5A4B3E"/>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C895E07"/>
    <w:multiLevelType w:val="hybridMultilevel"/>
    <w:tmpl w:val="F17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865877">
    <w:abstractNumId w:val="3"/>
  </w:num>
  <w:num w:numId="2" w16cid:durableId="2095517306">
    <w:abstractNumId w:val="2"/>
  </w:num>
  <w:num w:numId="3" w16cid:durableId="1815638350">
    <w:abstractNumId w:val="4"/>
  </w:num>
  <w:num w:numId="4" w16cid:durableId="831992348">
    <w:abstractNumId w:val="1"/>
  </w:num>
  <w:num w:numId="5" w16cid:durableId="662120833">
    <w:abstractNumId w:val="5"/>
  </w:num>
  <w:num w:numId="6" w16cid:durableId="1252347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43A"/>
    <w:rsid w:val="00017FF0"/>
    <w:rsid w:val="0004657E"/>
    <w:rsid w:val="0008579C"/>
    <w:rsid w:val="00086AF9"/>
    <w:rsid w:val="00090981"/>
    <w:rsid w:val="00097451"/>
    <w:rsid w:val="000D0F80"/>
    <w:rsid w:val="000D4337"/>
    <w:rsid w:val="000F1B51"/>
    <w:rsid w:val="000F1CBB"/>
    <w:rsid w:val="00106564"/>
    <w:rsid w:val="00111FF4"/>
    <w:rsid w:val="00146CAF"/>
    <w:rsid w:val="00150289"/>
    <w:rsid w:val="00180B74"/>
    <w:rsid w:val="00186D29"/>
    <w:rsid w:val="001B0057"/>
    <w:rsid w:val="001C008D"/>
    <w:rsid w:val="001C377D"/>
    <w:rsid w:val="001C5080"/>
    <w:rsid w:val="001E4658"/>
    <w:rsid w:val="00215B55"/>
    <w:rsid w:val="0021786A"/>
    <w:rsid w:val="0023091C"/>
    <w:rsid w:val="002412D8"/>
    <w:rsid w:val="00260E9B"/>
    <w:rsid w:val="00292437"/>
    <w:rsid w:val="00292E00"/>
    <w:rsid w:val="002959F7"/>
    <w:rsid w:val="002D12B5"/>
    <w:rsid w:val="00345513"/>
    <w:rsid w:val="00353DB5"/>
    <w:rsid w:val="00366C55"/>
    <w:rsid w:val="003729BC"/>
    <w:rsid w:val="00375141"/>
    <w:rsid w:val="003A0065"/>
    <w:rsid w:val="003A5825"/>
    <w:rsid w:val="003D1D4D"/>
    <w:rsid w:val="003D2B72"/>
    <w:rsid w:val="003D427A"/>
    <w:rsid w:val="004266D5"/>
    <w:rsid w:val="004271D4"/>
    <w:rsid w:val="00441E9E"/>
    <w:rsid w:val="00464D33"/>
    <w:rsid w:val="0047543A"/>
    <w:rsid w:val="004E1151"/>
    <w:rsid w:val="0050558D"/>
    <w:rsid w:val="00522759"/>
    <w:rsid w:val="00556F47"/>
    <w:rsid w:val="00561087"/>
    <w:rsid w:val="00575BDD"/>
    <w:rsid w:val="005A3572"/>
    <w:rsid w:val="005B7F29"/>
    <w:rsid w:val="005D314E"/>
    <w:rsid w:val="005D7BBD"/>
    <w:rsid w:val="005E1DA7"/>
    <w:rsid w:val="005F0A4D"/>
    <w:rsid w:val="005F50F1"/>
    <w:rsid w:val="00635E2D"/>
    <w:rsid w:val="0064469F"/>
    <w:rsid w:val="00662578"/>
    <w:rsid w:val="006653AF"/>
    <w:rsid w:val="0068444D"/>
    <w:rsid w:val="00685CE7"/>
    <w:rsid w:val="006C0FDB"/>
    <w:rsid w:val="006D3277"/>
    <w:rsid w:val="006D65CB"/>
    <w:rsid w:val="006F79FC"/>
    <w:rsid w:val="00714B69"/>
    <w:rsid w:val="00724FAE"/>
    <w:rsid w:val="00736372"/>
    <w:rsid w:val="00745954"/>
    <w:rsid w:val="00756634"/>
    <w:rsid w:val="00782314"/>
    <w:rsid w:val="00782A13"/>
    <w:rsid w:val="007A21F4"/>
    <w:rsid w:val="007A68BE"/>
    <w:rsid w:val="007D5203"/>
    <w:rsid w:val="007F0A90"/>
    <w:rsid w:val="007F60BB"/>
    <w:rsid w:val="0080106B"/>
    <w:rsid w:val="00804B09"/>
    <w:rsid w:val="00816A55"/>
    <w:rsid w:val="00827FFC"/>
    <w:rsid w:val="008C07B8"/>
    <w:rsid w:val="008C158C"/>
    <w:rsid w:val="008D7A48"/>
    <w:rsid w:val="008E13C0"/>
    <w:rsid w:val="00931270"/>
    <w:rsid w:val="009473CD"/>
    <w:rsid w:val="00980534"/>
    <w:rsid w:val="00980A85"/>
    <w:rsid w:val="00993845"/>
    <w:rsid w:val="009C3FE4"/>
    <w:rsid w:val="009C53C6"/>
    <w:rsid w:val="009D336A"/>
    <w:rsid w:val="009F35C2"/>
    <w:rsid w:val="009F76E7"/>
    <w:rsid w:val="00A11F8B"/>
    <w:rsid w:val="00A13A55"/>
    <w:rsid w:val="00A51CB0"/>
    <w:rsid w:val="00A631D6"/>
    <w:rsid w:val="00A65B83"/>
    <w:rsid w:val="00A95F96"/>
    <w:rsid w:val="00AA7082"/>
    <w:rsid w:val="00AF1858"/>
    <w:rsid w:val="00B04200"/>
    <w:rsid w:val="00B06874"/>
    <w:rsid w:val="00B07D41"/>
    <w:rsid w:val="00B24A66"/>
    <w:rsid w:val="00B319F1"/>
    <w:rsid w:val="00B46850"/>
    <w:rsid w:val="00B62D8E"/>
    <w:rsid w:val="00C039F2"/>
    <w:rsid w:val="00C12E53"/>
    <w:rsid w:val="00C17EC7"/>
    <w:rsid w:val="00C21CCB"/>
    <w:rsid w:val="00C372EB"/>
    <w:rsid w:val="00C67AF8"/>
    <w:rsid w:val="00CB616D"/>
    <w:rsid w:val="00D03F15"/>
    <w:rsid w:val="00D0760D"/>
    <w:rsid w:val="00D419D1"/>
    <w:rsid w:val="00D45C22"/>
    <w:rsid w:val="00D52DC0"/>
    <w:rsid w:val="00D67F58"/>
    <w:rsid w:val="00D854C0"/>
    <w:rsid w:val="00DA1E31"/>
    <w:rsid w:val="00DA224F"/>
    <w:rsid w:val="00DB5C48"/>
    <w:rsid w:val="00DB6899"/>
    <w:rsid w:val="00DC373A"/>
    <w:rsid w:val="00E147EE"/>
    <w:rsid w:val="00E15F3E"/>
    <w:rsid w:val="00E46701"/>
    <w:rsid w:val="00E51E97"/>
    <w:rsid w:val="00E64531"/>
    <w:rsid w:val="00EA0B11"/>
    <w:rsid w:val="00F06E96"/>
    <w:rsid w:val="00F24DD7"/>
    <w:rsid w:val="00F617B7"/>
    <w:rsid w:val="00FA6DAE"/>
    <w:rsid w:val="00FB0085"/>
    <w:rsid w:val="00FC7AE2"/>
    <w:rsid w:val="00FD102A"/>
    <w:rsid w:val="00FE0C0A"/>
    <w:rsid w:val="00FF5BAA"/>
    <w:rsid w:val="32F143A5"/>
    <w:rsid w:val="45275272"/>
    <w:rsid w:val="50436186"/>
    <w:rsid w:val="50D0F66B"/>
    <w:rsid w:val="54307660"/>
    <w:rsid w:val="76BD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7E7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E9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47543A"/>
    <w:pPr>
      <w:ind w:left="720"/>
      <w:contextualSpacing/>
    </w:pPr>
  </w:style>
  <w:style w:type="character" w:styleId="Hyperlink">
    <w:name w:val="Hyperlink"/>
    <w:basedOn w:val="DefaultParagraphFont"/>
    <w:uiPriority w:val="99"/>
    <w:unhideWhenUsed/>
    <w:rsid w:val="0047543A"/>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47543A"/>
    <w:rPr>
      <w:sz w:val="22"/>
      <w:szCs w:val="22"/>
    </w:rPr>
  </w:style>
  <w:style w:type="paragraph" w:styleId="Header">
    <w:name w:val="header"/>
    <w:basedOn w:val="Normal"/>
    <w:link w:val="HeaderChar"/>
    <w:uiPriority w:val="99"/>
    <w:unhideWhenUsed/>
    <w:rsid w:val="00475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43A"/>
    <w:rPr>
      <w:sz w:val="22"/>
      <w:szCs w:val="22"/>
    </w:rPr>
  </w:style>
  <w:style w:type="paragraph" w:styleId="Footer">
    <w:name w:val="footer"/>
    <w:basedOn w:val="Normal"/>
    <w:link w:val="FooterChar"/>
    <w:uiPriority w:val="99"/>
    <w:unhideWhenUsed/>
    <w:rsid w:val="00475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43A"/>
    <w:rPr>
      <w:sz w:val="22"/>
      <w:szCs w:val="22"/>
    </w:rPr>
  </w:style>
  <w:style w:type="character" w:styleId="PageNumber">
    <w:name w:val="page number"/>
    <w:basedOn w:val="DefaultParagraphFont"/>
    <w:uiPriority w:val="99"/>
    <w:semiHidden/>
    <w:unhideWhenUsed/>
    <w:rsid w:val="0047543A"/>
  </w:style>
  <w:style w:type="character" w:styleId="PlaceholderText">
    <w:name w:val="Placeholder Text"/>
    <w:basedOn w:val="DefaultParagraphFont"/>
    <w:uiPriority w:val="99"/>
    <w:semiHidden/>
    <w:rsid w:val="00441E9E"/>
    <w:rPr>
      <w:color w:val="808080"/>
    </w:rPr>
  </w:style>
  <w:style w:type="paragraph" w:styleId="Revision">
    <w:name w:val="Revision"/>
    <w:hidden/>
    <w:uiPriority w:val="99"/>
    <w:semiHidden/>
    <w:rsid w:val="00804B09"/>
    <w:rPr>
      <w:sz w:val="22"/>
      <w:szCs w:val="22"/>
    </w:rPr>
  </w:style>
  <w:style w:type="paragraph" w:styleId="BalloonText">
    <w:name w:val="Balloon Text"/>
    <w:basedOn w:val="Normal"/>
    <w:link w:val="BalloonTextChar"/>
    <w:uiPriority w:val="99"/>
    <w:semiHidden/>
    <w:unhideWhenUsed/>
    <w:rsid w:val="00804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B09"/>
    <w:rPr>
      <w:rFonts w:ascii="Segoe UI" w:hAnsi="Segoe UI" w:cs="Segoe UI"/>
      <w:sz w:val="18"/>
      <w:szCs w:val="18"/>
    </w:rPr>
  </w:style>
  <w:style w:type="character" w:styleId="FollowedHyperlink">
    <w:name w:val="FollowedHyperlink"/>
    <w:basedOn w:val="DefaultParagraphFont"/>
    <w:uiPriority w:val="99"/>
    <w:semiHidden/>
    <w:unhideWhenUsed/>
    <w:rsid w:val="007A21F4"/>
    <w:rPr>
      <w:color w:val="954F72" w:themeColor="followedHyperlink"/>
      <w:u w:val="single"/>
    </w:rPr>
  </w:style>
  <w:style w:type="character" w:styleId="UnresolvedMention">
    <w:name w:val="Unresolved Mention"/>
    <w:basedOn w:val="DefaultParagraphFont"/>
    <w:uiPriority w:val="99"/>
    <w:semiHidden/>
    <w:unhideWhenUsed/>
    <w:rsid w:val="00292437"/>
    <w:rPr>
      <w:color w:val="605E5C"/>
      <w:shd w:val="clear" w:color="auto" w:fill="E1DFDD"/>
    </w:rPr>
  </w:style>
  <w:style w:type="character" w:customStyle="1" w:styleId="None">
    <w:name w:val="None"/>
    <w:rsid w:val="00292437"/>
  </w:style>
  <w:style w:type="paragraph" w:customStyle="1" w:styleId="BodyA">
    <w:name w:val="Body A"/>
    <w:rsid w:val="0029243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pp.undp.org/_layouts/15/WopiFrame.aspx?sourcedoc=/UNDP_POPP_DOCUMENT_LIBRARY/Public/UNDP%20Annual%20Business%20Plan%20(ABP)%202016.docx&amp;action=default&amp;DefaultItemOpen=1" TargetMode="External"/><Relationship Id="rId18" Type="http://schemas.openxmlformats.org/officeDocument/2006/relationships/hyperlink" Target="https://popp.undp.org/human-resources-managemen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popp.undp.org/_layouts/15/WopiFrame.aspx?sourcedoc=/UNDP_POPP_DOCUMENT_LIBRARY/Public/UNDP%20Annual%20Business%20Plan%20(ABP)%202016.docx&amp;action=default&amp;DefaultItemOpen=1" TargetMode="External"/><Relationship Id="rId17" Type="http://schemas.openxmlformats.org/officeDocument/2006/relationships/hyperlink" Target="https://popp.undp.org/procurement" TargetMode="External"/><Relationship Id="rId2" Type="http://schemas.openxmlformats.org/officeDocument/2006/relationships/customXml" Target="../customXml/item2.xml"/><Relationship Id="rId16" Type="http://schemas.openxmlformats.org/officeDocument/2006/relationships/hyperlink" Target="https://popp.undp.org/human-resources-manag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dp.sharepoint.com/SitePages/Integrated-Work-Plan.aspx" TargetMode="External"/><Relationship Id="rId5" Type="http://schemas.openxmlformats.org/officeDocument/2006/relationships/styles" Target="styles.xml"/><Relationship Id="rId15" Type="http://schemas.openxmlformats.org/officeDocument/2006/relationships/hyperlink" Target="https://popp.undp.org/procurement" TargetMode="External"/><Relationship Id="rId23" Type="http://schemas.openxmlformats.org/officeDocument/2006/relationships/theme" Target="theme/theme1.xml"/><Relationship Id="rId10" Type="http://schemas.openxmlformats.org/officeDocument/2006/relationships/hyperlink" Target="https://erc.undp.org/methods-center/guidelines/undp-evaluation-guidelin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procedure/oversight-review-adjus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575598-BCB5-4FDA-983D-28DC46F3CBBA}">
  <ds:schemaRefs>
    <ds:schemaRef ds:uri="http://schemas.microsoft.com/sharepoint/v3/contenttype/forms"/>
  </ds:schemaRefs>
</ds:datastoreItem>
</file>

<file path=customXml/itemProps2.xml><?xml version="1.0" encoding="utf-8"?>
<ds:datastoreItem xmlns:ds="http://schemas.openxmlformats.org/officeDocument/2006/customXml" ds:itemID="{169FA2D5-6ABC-4C0D-A92A-C6C9353BB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164EC-C74C-4A9F-B406-24037657C290}">
  <ds:schemaRefs>
    <ds:schemaRef ds:uri="http://schemas.microsoft.com/office/2006/metadata/properties"/>
    <ds:schemaRef ds:uri="http://schemas.microsoft.com/office/infopath/2007/PartnerControls"/>
    <ds:schemaRef ds:uri="8264c5cc-ec60-4b56-8111-ce635d3d139a"/>
    <ds:schemaRef ds:uri="e560140e-7b2f-4392-90df-e7567e3021a3"/>
    <ds:schemaRef ds:uri="ce7d9834-ad3d-4c59-a3d9-09bc030ecc3a"/>
    <ds:schemaRef ds:uri="6bfe89e3-bbc3-4204-a3a4-851798b7c72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5</cp:revision>
  <dcterms:created xsi:type="dcterms:W3CDTF">2025-02-17T23:08:00Z</dcterms:created>
  <dcterms:modified xsi:type="dcterms:W3CDTF">2025-02-19T18:02:00Z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11daaeb5-dc37-4250-b23e-6d77ed581b03</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MediaServiceImageTags">
    <vt:lpwstr/>
  </property>
</Properties>
</file>