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6732" w14:textId="7157582A" w:rsidR="00471AFA" w:rsidRPr="000156BF" w:rsidRDefault="003B0775" w:rsidP="000156BF">
      <w:pPr>
        <w:pStyle w:val="NoSpacing"/>
        <w:rPr>
          <w:rFonts w:asciiTheme="majorHAnsi" w:hAnsiTheme="majorHAnsi"/>
          <w:b/>
        </w:rPr>
      </w:pPr>
      <w:r>
        <w:rPr>
          <w:rFonts w:asciiTheme="majorHAnsi" w:hAnsiTheme="majorHAnsi"/>
          <w:b/>
          <w:sz w:val="28"/>
        </w:rPr>
        <w:t>Mobility and H</w:t>
      </w:r>
      <w:r w:rsidR="00471AFA" w:rsidRPr="000156BF">
        <w:rPr>
          <w:rFonts w:asciiTheme="majorHAnsi" w:hAnsiTheme="majorHAnsi"/>
          <w:b/>
          <w:sz w:val="28"/>
        </w:rPr>
        <w:t>ardship</w:t>
      </w:r>
    </w:p>
    <w:p w14:paraId="32BC793F" w14:textId="6DCFEBF7" w:rsidR="000156BF" w:rsidRPr="000156BF" w:rsidRDefault="000156BF" w:rsidP="000156BF">
      <w:pPr>
        <w:pStyle w:val="SingleTxt"/>
        <w:ind w:left="0" w:right="0"/>
        <w:rPr>
          <w:rFonts w:asciiTheme="majorHAnsi" w:hAnsiTheme="majorHAnsi"/>
          <w:b/>
          <w:sz w:val="22"/>
          <w:szCs w:val="22"/>
        </w:rPr>
      </w:pPr>
    </w:p>
    <w:p w14:paraId="08AA07B2" w14:textId="40214796" w:rsidR="00471AFA" w:rsidRPr="000156BF"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This policy takes effect on 1 July 2016, and introduces changes to the former allowances of Mobility Allowance and Additional Hardship Allowance, and amends elements of the former version of the Hardship Allowance.</w:t>
      </w:r>
      <w:r w:rsidR="00CF05EC" w:rsidRPr="000156BF">
        <w:rPr>
          <w:rFonts w:asciiTheme="majorHAnsi" w:eastAsiaTheme="minorEastAsia" w:hAnsiTheme="majorHAnsi" w:cs="Arial"/>
          <w:spacing w:val="0"/>
          <w:w w:val="100"/>
          <w:kern w:val="0"/>
          <w:sz w:val="22"/>
          <w:szCs w:val="22"/>
          <w:lang w:val="en-US"/>
        </w:rPr>
        <w:t xml:space="preserve"> It also records the discontinuation of the Non-Removal Allowance on the same date, and addresses transitional arrangements from the old scheme to the new one.</w:t>
      </w:r>
    </w:p>
    <w:p w14:paraId="7DF5E119" w14:textId="77777777" w:rsidR="00471AFA" w:rsidRPr="000156BF" w:rsidRDefault="00471AFA" w:rsidP="000156BF">
      <w:pPr>
        <w:pStyle w:val="SingleTxt"/>
        <w:spacing w:after="0" w:line="120" w:lineRule="exact"/>
        <w:ind w:left="907" w:right="0"/>
        <w:rPr>
          <w:rFonts w:asciiTheme="majorHAnsi" w:hAnsiTheme="majorHAnsi"/>
          <w:sz w:val="22"/>
          <w:szCs w:val="22"/>
        </w:rPr>
      </w:pPr>
    </w:p>
    <w:p w14:paraId="5CC96714" w14:textId="77777777" w:rsidR="00471AFA" w:rsidRPr="000156BF" w:rsidRDefault="00471AFA" w:rsidP="000156BF">
      <w:pPr>
        <w:pStyle w:val="SingleTxt"/>
        <w:ind w:left="0" w:right="0"/>
        <w:rPr>
          <w:rFonts w:asciiTheme="majorHAnsi" w:hAnsiTheme="majorHAnsi"/>
          <w:b/>
          <w:i/>
          <w:sz w:val="22"/>
          <w:szCs w:val="22"/>
        </w:rPr>
      </w:pPr>
      <w:r w:rsidRPr="000156BF">
        <w:rPr>
          <w:rFonts w:asciiTheme="majorHAnsi" w:hAnsiTheme="majorHAnsi"/>
          <w:b/>
          <w:i/>
          <w:sz w:val="22"/>
          <w:szCs w:val="22"/>
        </w:rPr>
        <w:t>Elements of the Scheme</w:t>
      </w:r>
    </w:p>
    <w:p w14:paraId="358452CB" w14:textId="77777777" w:rsidR="00471AFA"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The mobility and hardship scheme consists of the following non-pensionable allowances:</w:t>
      </w:r>
    </w:p>
    <w:p w14:paraId="7B6EC8BD" w14:textId="77777777" w:rsidR="000156BF" w:rsidRPr="000156BF" w:rsidRDefault="000156BF" w:rsidP="000156BF">
      <w:pPr>
        <w:pStyle w:val="SingleTxt"/>
        <w:ind w:left="360" w:right="0"/>
        <w:rPr>
          <w:rFonts w:asciiTheme="majorHAnsi" w:eastAsiaTheme="minorEastAsia" w:hAnsiTheme="majorHAnsi" w:cs="Arial"/>
          <w:spacing w:val="0"/>
          <w:w w:val="100"/>
          <w:kern w:val="0"/>
          <w:sz w:val="22"/>
          <w:szCs w:val="22"/>
          <w:lang w:val="en-US"/>
        </w:rPr>
      </w:pPr>
    </w:p>
    <w:p w14:paraId="3068F822" w14:textId="4B0809E4" w:rsidR="00471AFA" w:rsidRDefault="00471AFA" w:rsidP="000156BF">
      <w:pPr>
        <w:pStyle w:val="SingleTxt"/>
        <w:numPr>
          <w:ilvl w:val="1"/>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A mobility incentive, which varies according to the number of assignments to field duty stations and the purpose of which is to provide an incentive for the geographic mobility of staff in support of field operations;</w:t>
      </w:r>
    </w:p>
    <w:p w14:paraId="3614BD37" w14:textId="77777777" w:rsidR="000156BF" w:rsidRDefault="000156BF" w:rsidP="000156BF">
      <w:pPr>
        <w:pStyle w:val="SingleTxt"/>
        <w:ind w:left="1080" w:right="0"/>
        <w:rPr>
          <w:rFonts w:asciiTheme="majorHAnsi" w:eastAsiaTheme="minorEastAsia" w:hAnsiTheme="majorHAnsi" w:cs="Arial"/>
          <w:spacing w:val="0"/>
          <w:w w:val="100"/>
          <w:kern w:val="0"/>
          <w:sz w:val="22"/>
          <w:szCs w:val="22"/>
          <w:lang w:val="en-US"/>
        </w:rPr>
      </w:pPr>
    </w:p>
    <w:p w14:paraId="354070E2" w14:textId="77777777" w:rsidR="000156BF" w:rsidRDefault="00471AFA" w:rsidP="000156BF">
      <w:pPr>
        <w:pStyle w:val="SingleTxt"/>
        <w:numPr>
          <w:ilvl w:val="1"/>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 xml:space="preserve">A hardship allowance, the purpose of which is to compensate for the varying degrees of hardship at different </w:t>
      </w:r>
      <w:r w:rsidR="00A15633" w:rsidRPr="000156BF">
        <w:rPr>
          <w:rFonts w:asciiTheme="majorHAnsi" w:eastAsiaTheme="minorEastAsia" w:hAnsiTheme="majorHAnsi" w:cs="Arial"/>
          <w:spacing w:val="0"/>
          <w:w w:val="100"/>
          <w:kern w:val="0"/>
          <w:sz w:val="22"/>
          <w:szCs w:val="22"/>
          <w:lang w:val="en-US"/>
        </w:rPr>
        <w:t xml:space="preserve">field </w:t>
      </w:r>
      <w:r w:rsidRPr="000156BF">
        <w:rPr>
          <w:rFonts w:asciiTheme="majorHAnsi" w:eastAsiaTheme="minorEastAsia" w:hAnsiTheme="majorHAnsi" w:cs="Arial"/>
          <w:spacing w:val="0"/>
          <w:w w:val="100"/>
          <w:kern w:val="0"/>
          <w:sz w:val="22"/>
          <w:szCs w:val="22"/>
          <w:lang w:val="en-US"/>
        </w:rPr>
        <w:t xml:space="preserve">duty stations; </w:t>
      </w:r>
    </w:p>
    <w:p w14:paraId="58D8658C" w14:textId="77777777" w:rsidR="000156BF" w:rsidRDefault="000156BF" w:rsidP="000156BF">
      <w:pPr>
        <w:pStyle w:val="ListParagraph"/>
        <w:rPr>
          <w:rFonts w:asciiTheme="majorHAnsi" w:hAnsiTheme="majorHAnsi" w:cs="Arial"/>
          <w:sz w:val="22"/>
          <w:szCs w:val="22"/>
        </w:rPr>
      </w:pPr>
    </w:p>
    <w:p w14:paraId="23A60FDF" w14:textId="04374ED8" w:rsidR="00471AFA" w:rsidRPr="000156BF" w:rsidRDefault="00471AFA" w:rsidP="000156BF">
      <w:pPr>
        <w:pStyle w:val="SingleTxt"/>
        <w:numPr>
          <w:ilvl w:val="1"/>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A non-family service allowance, the purpose of which is to recognize service in non-family duty stations.</w:t>
      </w:r>
    </w:p>
    <w:p w14:paraId="5B3C9761" w14:textId="77777777" w:rsidR="000156BF" w:rsidRDefault="000156BF" w:rsidP="000156BF">
      <w:pPr>
        <w:pStyle w:val="H4"/>
        <w:ind w:left="0" w:right="0" w:firstLine="0"/>
        <w:rPr>
          <w:rFonts w:asciiTheme="majorHAnsi" w:hAnsiTheme="majorHAnsi"/>
          <w:i w:val="0"/>
          <w:spacing w:val="4"/>
          <w:sz w:val="22"/>
          <w:szCs w:val="22"/>
        </w:rPr>
      </w:pPr>
    </w:p>
    <w:p w14:paraId="1E780FAA" w14:textId="77777777" w:rsidR="00471AFA" w:rsidRPr="000156BF" w:rsidRDefault="00471AFA" w:rsidP="000156BF">
      <w:pPr>
        <w:pStyle w:val="NoSpacing"/>
        <w:rPr>
          <w:rFonts w:asciiTheme="majorHAnsi" w:hAnsiTheme="majorHAnsi"/>
          <w:b/>
          <w:i/>
          <w:sz w:val="22"/>
          <w:szCs w:val="22"/>
        </w:rPr>
      </w:pPr>
      <w:r w:rsidRPr="000156BF">
        <w:rPr>
          <w:rFonts w:asciiTheme="majorHAnsi" w:hAnsiTheme="majorHAnsi"/>
          <w:b/>
          <w:i/>
          <w:sz w:val="22"/>
          <w:szCs w:val="22"/>
        </w:rPr>
        <w:t>Eligibility</w:t>
      </w:r>
    </w:p>
    <w:p w14:paraId="00BC84BB" w14:textId="77777777" w:rsidR="000156BF" w:rsidRPr="000156BF" w:rsidRDefault="000156BF" w:rsidP="000156BF">
      <w:pPr>
        <w:pStyle w:val="SingleTxt"/>
        <w:rPr>
          <w:lang w:val="en-US"/>
        </w:rPr>
      </w:pPr>
    </w:p>
    <w:p w14:paraId="7EFDBD27" w14:textId="77777777" w:rsidR="00471AFA" w:rsidRPr="000156BF" w:rsidRDefault="00471AFA" w:rsidP="000156BF">
      <w:pPr>
        <w:pStyle w:val="SingleTxt"/>
        <w:spacing w:after="0" w:line="120" w:lineRule="exact"/>
        <w:ind w:left="187" w:right="0"/>
        <w:rPr>
          <w:rFonts w:asciiTheme="majorHAnsi" w:eastAsiaTheme="minorEastAsia" w:hAnsiTheme="majorHAnsi" w:cs="Arial"/>
          <w:spacing w:val="0"/>
          <w:w w:val="100"/>
          <w:kern w:val="0"/>
          <w:sz w:val="22"/>
          <w:szCs w:val="22"/>
          <w:lang w:val="en-US"/>
        </w:rPr>
      </w:pPr>
    </w:p>
    <w:p w14:paraId="674E7D8C" w14:textId="75AFA520" w:rsidR="00471AFA"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Staff in the Professiona</w:t>
      </w:r>
      <w:r w:rsidR="00CF05EC" w:rsidRPr="000156BF">
        <w:rPr>
          <w:rFonts w:asciiTheme="majorHAnsi" w:eastAsiaTheme="minorEastAsia" w:hAnsiTheme="majorHAnsi" w:cs="Arial"/>
          <w:spacing w:val="0"/>
          <w:w w:val="100"/>
          <w:kern w:val="0"/>
          <w:sz w:val="22"/>
          <w:szCs w:val="22"/>
          <w:lang w:val="en-US"/>
        </w:rPr>
        <w:t>l and higher categories (i.e., I</w:t>
      </w:r>
      <w:r w:rsidRPr="000156BF">
        <w:rPr>
          <w:rFonts w:asciiTheme="majorHAnsi" w:eastAsiaTheme="minorEastAsia" w:hAnsiTheme="majorHAnsi" w:cs="Arial"/>
          <w:spacing w:val="0"/>
          <w:w w:val="100"/>
          <w:kern w:val="0"/>
          <w:sz w:val="22"/>
          <w:szCs w:val="22"/>
          <w:lang w:val="en-US"/>
        </w:rPr>
        <w:t>nternational Professional staff), and staff in the Field Service category are eligible for payment of the allowances under this scheme, provided they meet the requ</w:t>
      </w:r>
      <w:r w:rsidR="00CF05EC" w:rsidRPr="000156BF">
        <w:rPr>
          <w:rFonts w:asciiTheme="majorHAnsi" w:eastAsiaTheme="minorEastAsia" w:hAnsiTheme="majorHAnsi" w:cs="Arial"/>
          <w:spacing w:val="0"/>
          <w:w w:val="100"/>
          <w:kern w:val="0"/>
          <w:sz w:val="22"/>
          <w:szCs w:val="22"/>
          <w:lang w:val="en-US"/>
        </w:rPr>
        <w:t>irements set out</w:t>
      </w:r>
      <w:r w:rsidRPr="000156BF">
        <w:rPr>
          <w:rFonts w:asciiTheme="majorHAnsi" w:eastAsiaTheme="minorEastAsia" w:hAnsiTheme="majorHAnsi" w:cs="Arial"/>
          <w:spacing w:val="0"/>
          <w:w w:val="100"/>
          <w:kern w:val="0"/>
          <w:sz w:val="22"/>
          <w:szCs w:val="22"/>
          <w:lang w:val="en-US"/>
        </w:rPr>
        <w:t xml:space="preserve"> below and </w:t>
      </w:r>
      <w:r w:rsidR="00CF05EC" w:rsidRPr="000156BF">
        <w:rPr>
          <w:rFonts w:asciiTheme="majorHAnsi" w:eastAsiaTheme="minorEastAsia" w:hAnsiTheme="majorHAnsi" w:cs="Arial"/>
          <w:spacing w:val="0"/>
          <w:w w:val="100"/>
          <w:kern w:val="0"/>
          <w:sz w:val="22"/>
          <w:szCs w:val="22"/>
          <w:lang w:val="en-US"/>
        </w:rPr>
        <w:t xml:space="preserve">subject to </w:t>
      </w:r>
      <w:r w:rsidRPr="000156BF">
        <w:rPr>
          <w:rFonts w:asciiTheme="majorHAnsi" w:eastAsiaTheme="minorEastAsia" w:hAnsiTheme="majorHAnsi" w:cs="Arial"/>
          <w:spacing w:val="0"/>
          <w:w w:val="100"/>
          <w:kern w:val="0"/>
          <w:sz w:val="22"/>
          <w:szCs w:val="22"/>
          <w:lang w:val="en-US"/>
        </w:rPr>
        <w:t>the particular conditions governing each allo</w:t>
      </w:r>
      <w:r w:rsidR="00CF05EC" w:rsidRPr="000156BF">
        <w:rPr>
          <w:rFonts w:asciiTheme="majorHAnsi" w:eastAsiaTheme="minorEastAsia" w:hAnsiTheme="majorHAnsi" w:cs="Arial"/>
          <w:spacing w:val="0"/>
          <w:w w:val="100"/>
          <w:kern w:val="0"/>
          <w:sz w:val="22"/>
          <w:szCs w:val="22"/>
          <w:lang w:val="en-US"/>
        </w:rPr>
        <w:t>wance, as described in the following</w:t>
      </w:r>
      <w:r w:rsidR="00CA46EF" w:rsidRPr="000156BF">
        <w:rPr>
          <w:rFonts w:asciiTheme="majorHAnsi" w:eastAsiaTheme="minorEastAsia" w:hAnsiTheme="majorHAnsi" w:cs="Arial"/>
          <w:spacing w:val="0"/>
          <w:w w:val="100"/>
          <w:kern w:val="0"/>
          <w:sz w:val="22"/>
          <w:szCs w:val="22"/>
          <w:lang w:val="en-US"/>
        </w:rPr>
        <w:t xml:space="preserve"> paragraphs</w:t>
      </w:r>
      <w:r w:rsidR="00CF05EC" w:rsidRPr="000156BF">
        <w:rPr>
          <w:rFonts w:asciiTheme="majorHAnsi" w:eastAsiaTheme="minorEastAsia" w:hAnsiTheme="majorHAnsi" w:cs="Arial"/>
          <w:spacing w:val="0"/>
          <w:w w:val="100"/>
          <w:kern w:val="0"/>
          <w:sz w:val="22"/>
          <w:szCs w:val="22"/>
          <w:lang w:val="en-US"/>
        </w:rPr>
        <w:t xml:space="preserve">. </w:t>
      </w:r>
    </w:p>
    <w:p w14:paraId="67B520F4" w14:textId="77777777" w:rsidR="000156BF" w:rsidRPr="000156BF" w:rsidRDefault="000156BF" w:rsidP="000156BF">
      <w:pPr>
        <w:pStyle w:val="SingleTxt"/>
        <w:ind w:left="360" w:right="0"/>
        <w:rPr>
          <w:rFonts w:asciiTheme="majorHAnsi" w:eastAsiaTheme="minorEastAsia" w:hAnsiTheme="majorHAnsi" w:cs="Arial"/>
          <w:spacing w:val="0"/>
          <w:w w:val="100"/>
          <w:kern w:val="0"/>
          <w:sz w:val="22"/>
          <w:szCs w:val="22"/>
          <w:lang w:val="en-US"/>
        </w:rPr>
      </w:pPr>
    </w:p>
    <w:p w14:paraId="4EEC4BE1" w14:textId="77777777" w:rsidR="000156BF"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 xml:space="preserve">Eligibility for the mobility incentive normally requires a geographic move to a new field duty station, for a period </w:t>
      </w:r>
      <w:r w:rsidR="00CF05EC" w:rsidRPr="000156BF">
        <w:rPr>
          <w:rFonts w:asciiTheme="majorHAnsi" w:eastAsiaTheme="minorEastAsia" w:hAnsiTheme="majorHAnsi" w:cs="Arial"/>
          <w:spacing w:val="0"/>
          <w:w w:val="100"/>
          <w:kern w:val="0"/>
          <w:sz w:val="22"/>
          <w:szCs w:val="22"/>
          <w:lang w:val="en-US"/>
        </w:rPr>
        <w:t>of one year or longer (unless otherwise provided)</w:t>
      </w:r>
      <w:r w:rsidRPr="000156BF">
        <w:rPr>
          <w:rFonts w:asciiTheme="majorHAnsi" w:eastAsiaTheme="minorEastAsia" w:hAnsiTheme="majorHAnsi" w:cs="Arial"/>
          <w:spacing w:val="0"/>
          <w:w w:val="100"/>
          <w:kern w:val="0"/>
          <w:sz w:val="22"/>
          <w:szCs w:val="22"/>
          <w:lang w:val="en-US"/>
        </w:rPr>
        <w:t>.</w:t>
      </w:r>
    </w:p>
    <w:p w14:paraId="439679A8" w14:textId="77777777" w:rsidR="000156BF" w:rsidRDefault="000156BF" w:rsidP="000156BF">
      <w:pPr>
        <w:pStyle w:val="ListParagraph"/>
        <w:rPr>
          <w:rFonts w:asciiTheme="majorHAnsi" w:hAnsiTheme="majorHAnsi" w:cs="Arial"/>
          <w:sz w:val="22"/>
          <w:szCs w:val="22"/>
        </w:rPr>
      </w:pPr>
    </w:p>
    <w:p w14:paraId="28109C36" w14:textId="77777777" w:rsidR="000156BF"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The allowances under this scheme are not considered expatriate benefits, and may be paid to eligible staff members serving in their home country.</w:t>
      </w:r>
    </w:p>
    <w:p w14:paraId="26BCA573" w14:textId="77777777" w:rsidR="000156BF" w:rsidRDefault="000156BF" w:rsidP="000156BF">
      <w:pPr>
        <w:pStyle w:val="ListParagraph"/>
        <w:rPr>
          <w:rFonts w:asciiTheme="majorHAnsi" w:hAnsiTheme="majorHAnsi" w:cs="Arial"/>
          <w:sz w:val="22"/>
          <w:szCs w:val="22"/>
        </w:rPr>
      </w:pPr>
    </w:p>
    <w:p w14:paraId="7ECE3E6F" w14:textId="4B35AA71" w:rsidR="003C776B" w:rsidRPr="00B54925" w:rsidRDefault="003C776B" w:rsidP="00B54925">
      <w:pPr>
        <w:pStyle w:val="SingleTxt"/>
        <w:numPr>
          <w:ilvl w:val="0"/>
          <w:numId w:val="6"/>
        </w:numPr>
        <w:ind w:right="0"/>
        <w:rPr>
          <w:rFonts w:asciiTheme="majorHAnsi" w:eastAsiaTheme="minorEastAsia" w:hAnsiTheme="majorHAnsi" w:cs="Arial"/>
          <w:spacing w:val="0"/>
          <w:w w:val="100"/>
          <w:kern w:val="0"/>
          <w:sz w:val="22"/>
          <w:szCs w:val="22"/>
          <w:lang w:val="en-US"/>
        </w:rPr>
      </w:pPr>
      <w:r w:rsidRPr="000156BF">
        <w:rPr>
          <w:rFonts w:asciiTheme="majorHAnsi" w:eastAsiaTheme="minorEastAsia" w:hAnsiTheme="majorHAnsi" w:cs="Arial"/>
          <w:spacing w:val="0"/>
          <w:w w:val="100"/>
          <w:kern w:val="0"/>
          <w:sz w:val="22"/>
          <w:szCs w:val="22"/>
          <w:lang w:val="en-US"/>
        </w:rPr>
        <w:t xml:space="preserve">When staff members eligible for payment of the allowances are on travel status, and receive a daily subsistence allowance as a result, the incentives/allowances under the Mobility and Hardship scheme shall continue to be paid on the basis of their appointment at the parent duty station. Payment of the incentives/allowances is subject to official change of duty station. </w:t>
      </w:r>
    </w:p>
    <w:p w14:paraId="493E29BA" w14:textId="77777777" w:rsidR="00471AFA" w:rsidRPr="00B54925" w:rsidRDefault="00471AFA" w:rsidP="000156BF">
      <w:pPr>
        <w:pStyle w:val="SingleTxt"/>
        <w:spacing w:after="0" w:line="120" w:lineRule="exact"/>
        <w:ind w:left="187" w:right="0"/>
        <w:rPr>
          <w:rFonts w:asciiTheme="majorHAnsi" w:hAnsiTheme="majorHAnsi"/>
          <w:sz w:val="22"/>
          <w:szCs w:val="22"/>
          <w:lang w:val="en-US"/>
        </w:rPr>
      </w:pPr>
    </w:p>
    <w:p w14:paraId="41C969BD" w14:textId="77777777" w:rsidR="00B54925" w:rsidRDefault="00B54925" w:rsidP="000E387E">
      <w:pPr>
        <w:pStyle w:val="NoSpacing"/>
        <w:rPr>
          <w:rFonts w:asciiTheme="majorHAnsi" w:hAnsiTheme="majorHAnsi"/>
          <w:b/>
          <w:i/>
          <w:sz w:val="22"/>
          <w:szCs w:val="22"/>
        </w:rPr>
      </w:pPr>
    </w:p>
    <w:p w14:paraId="4A22D3BB" w14:textId="77777777" w:rsidR="00B54925" w:rsidRDefault="00B54925" w:rsidP="000E387E">
      <w:pPr>
        <w:pStyle w:val="NoSpacing"/>
        <w:rPr>
          <w:rFonts w:asciiTheme="majorHAnsi" w:hAnsiTheme="majorHAnsi"/>
          <w:b/>
          <w:i/>
          <w:sz w:val="22"/>
          <w:szCs w:val="22"/>
        </w:rPr>
      </w:pPr>
    </w:p>
    <w:p w14:paraId="70D392B8" w14:textId="3699ECEB" w:rsidR="00471AFA" w:rsidRDefault="00471AFA" w:rsidP="000E387E">
      <w:pPr>
        <w:pStyle w:val="NoSpacing"/>
        <w:rPr>
          <w:rFonts w:asciiTheme="majorHAnsi" w:hAnsiTheme="majorHAnsi"/>
          <w:sz w:val="22"/>
          <w:szCs w:val="22"/>
        </w:rPr>
      </w:pPr>
      <w:r w:rsidRPr="000E387E">
        <w:rPr>
          <w:rFonts w:asciiTheme="majorHAnsi" w:hAnsiTheme="majorHAnsi"/>
          <w:b/>
          <w:i/>
          <w:sz w:val="22"/>
          <w:szCs w:val="22"/>
        </w:rPr>
        <w:t>Category and designation of duty stations</w:t>
      </w:r>
    </w:p>
    <w:p w14:paraId="464BCDFE" w14:textId="77777777" w:rsidR="000E387E" w:rsidRPr="000E387E" w:rsidRDefault="000E387E" w:rsidP="000E387E">
      <w:pPr>
        <w:pStyle w:val="NoSpacing"/>
        <w:rPr>
          <w:rFonts w:asciiTheme="majorHAnsi" w:hAnsiTheme="majorHAnsi"/>
          <w:sz w:val="22"/>
          <w:szCs w:val="22"/>
        </w:rPr>
      </w:pPr>
    </w:p>
    <w:p w14:paraId="7FB087FD" w14:textId="77777777" w:rsidR="00471AFA" w:rsidRPr="000156BF" w:rsidRDefault="00471AFA" w:rsidP="000156BF">
      <w:pPr>
        <w:pStyle w:val="SingleTxt"/>
        <w:spacing w:after="0" w:line="120" w:lineRule="exact"/>
        <w:ind w:left="187" w:right="0"/>
        <w:rPr>
          <w:rFonts w:asciiTheme="majorHAnsi" w:hAnsiTheme="majorHAnsi"/>
          <w:sz w:val="22"/>
          <w:szCs w:val="22"/>
        </w:rPr>
      </w:pPr>
    </w:p>
    <w:p w14:paraId="175A4B39" w14:textId="77777777" w:rsidR="000E387E"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 xml:space="preserve">All duty stations are </w:t>
      </w:r>
      <w:r w:rsidR="00D215D2" w:rsidRPr="000E387E">
        <w:rPr>
          <w:rFonts w:asciiTheme="majorHAnsi" w:eastAsiaTheme="minorEastAsia" w:hAnsiTheme="majorHAnsi" w:cs="Arial"/>
          <w:spacing w:val="0"/>
          <w:w w:val="100"/>
          <w:kern w:val="0"/>
          <w:sz w:val="22"/>
          <w:szCs w:val="22"/>
          <w:lang w:val="en-US"/>
        </w:rPr>
        <w:t>designated</w:t>
      </w:r>
      <w:r w:rsidRPr="000E387E">
        <w:rPr>
          <w:rFonts w:asciiTheme="majorHAnsi" w:eastAsiaTheme="minorEastAsia" w:hAnsiTheme="majorHAnsi" w:cs="Arial"/>
          <w:spacing w:val="0"/>
          <w:w w:val="100"/>
          <w:kern w:val="0"/>
          <w:sz w:val="22"/>
          <w:szCs w:val="22"/>
          <w:lang w:val="en-US"/>
        </w:rPr>
        <w:t xml:space="preserve"> by the International Civil Service Commission in one of six categories: H, and A to E. Duty stations in category H are headquarters and similarly designated locations where the United Nations has no development or humanitarian assistance </w:t>
      </w:r>
      <w:proofErr w:type="spellStart"/>
      <w:r w:rsidRPr="000E387E">
        <w:rPr>
          <w:rFonts w:asciiTheme="majorHAnsi" w:eastAsiaTheme="minorEastAsia" w:hAnsiTheme="majorHAnsi" w:cs="Arial"/>
          <w:spacing w:val="0"/>
          <w:w w:val="100"/>
          <w:kern w:val="0"/>
          <w:sz w:val="22"/>
          <w:szCs w:val="22"/>
          <w:lang w:val="en-US"/>
        </w:rPr>
        <w:t>programme</w:t>
      </w:r>
      <w:proofErr w:type="spellEnd"/>
      <w:r w:rsidRPr="000E387E">
        <w:rPr>
          <w:rFonts w:asciiTheme="majorHAnsi" w:eastAsiaTheme="minorEastAsia" w:hAnsiTheme="majorHAnsi" w:cs="Arial"/>
          <w:spacing w:val="0"/>
          <w:w w:val="100"/>
          <w:kern w:val="0"/>
          <w:sz w:val="22"/>
          <w:szCs w:val="22"/>
          <w:lang w:val="en-US"/>
        </w:rPr>
        <w:t xml:space="preserve">, or locations in countries that are members of the European Union. The A to E categories comprise all other duty stations, classified by order of difficulty of conditions of life and work. Staff </w:t>
      </w:r>
      <w:r w:rsidR="00A15633" w:rsidRPr="000E387E">
        <w:rPr>
          <w:rFonts w:asciiTheme="majorHAnsi" w:eastAsiaTheme="minorEastAsia" w:hAnsiTheme="majorHAnsi" w:cs="Arial"/>
          <w:spacing w:val="0"/>
          <w:w w:val="100"/>
          <w:kern w:val="0"/>
          <w:sz w:val="22"/>
          <w:szCs w:val="22"/>
          <w:lang w:val="en-US"/>
        </w:rPr>
        <w:t xml:space="preserve">members </w:t>
      </w:r>
      <w:r w:rsidRPr="000E387E">
        <w:rPr>
          <w:rFonts w:asciiTheme="majorHAnsi" w:eastAsiaTheme="minorEastAsia" w:hAnsiTheme="majorHAnsi" w:cs="Arial"/>
          <w:spacing w:val="0"/>
          <w:w w:val="100"/>
          <w:kern w:val="0"/>
          <w:sz w:val="22"/>
          <w:szCs w:val="22"/>
          <w:lang w:val="en-US"/>
        </w:rPr>
        <w:t>are informed of the category of their duty station on an annual basis or more frequently if there is a change in classification.</w:t>
      </w:r>
      <w:r w:rsidR="000E387E" w:rsidRPr="000E387E">
        <w:rPr>
          <w:rFonts w:asciiTheme="majorHAnsi" w:eastAsiaTheme="minorEastAsia" w:hAnsiTheme="majorHAnsi" w:cs="Arial"/>
          <w:spacing w:val="0"/>
          <w:w w:val="100"/>
          <w:kern w:val="0"/>
          <w:sz w:val="22"/>
          <w:szCs w:val="22"/>
          <w:lang w:val="en-US"/>
        </w:rPr>
        <w:t xml:space="preserve"> </w:t>
      </w:r>
    </w:p>
    <w:p w14:paraId="2580BF41" w14:textId="77777777" w:rsidR="000E387E" w:rsidRDefault="000E387E" w:rsidP="000E387E">
      <w:pPr>
        <w:pStyle w:val="SingleTxt"/>
        <w:ind w:left="360" w:right="0"/>
        <w:rPr>
          <w:rFonts w:asciiTheme="majorHAnsi" w:eastAsiaTheme="minorEastAsia" w:hAnsiTheme="majorHAnsi" w:cs="Arial"/>
          <w:spacing w:val="0"/>
          <w:w w:val="100"/>
          <w:kern w:val="0"/>
          <w:sz w:val="22"/>
          <w:szCs w:val="22"/>
          <w:lang w:val="en-US"/>
        </w:rPr>
      </w:pPr>
    </w:p>
    <w:p w14:paraId="58213BD6" w14:textId="7E048C9D" w:rsidR="00471AFA" w:rsidRPr="000E387E"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For</w:t>
      </w:r>
      <w:r w:rsidR="005A4678" w:rsidRPr="000E387E">
        <w:rPr>
          <w:rFonts w:asciiTheme="majorHAnsi" w:eastAsiaTheme="minorEastAsia" w:hAnsiTheme="majorHAnsi" w:cs="Arial"/>
          <w:spacing w:val="0"/>
          <w:w w:val="100"/>
          <w:kern w:val="0"/>
          <w:sz w:val="22"/>
          <w:szCs w:val="22"/>
          <w:lang w:val="en-US"/>
        </w:rPr>
        <w:t xml:space="preserve"> the purpose of payment of the </w:t>
      </w:r>
      <w:r w:rsidRPr="000E387E">
        <w:rPr>
          <w:rFonts w:asciiTheme="majorHAnsi" w:eastAsiaTheme="minorEastAsia" w:hAnsiTheme="majorHAnsi" w:cs="Arial"/>
          <w:spacing w:val="0"/>
          <w:w w:val="100"/>
          <w:kern w:val="0"/>
          <w:sz w:val="22"/>
          <w:szCs w:val="22"/>
          <w:lang w:val="en-US"/>
        </w:rPr>
        <w:t>non-family service al</w:t>
      </w:r>
      <w:r w:rsidR="00B256F4" w:rsidRPr="000E387E">
        <w:rPr>
          <w:rFonts w:asciiTheme="majorHAnsi" w:eastAsiaTheme="minorEastAsia" w:hAnsiTheme="majorHAnsi" w:cs="Arial"/>
          <w:spacing w:val="0"/>
          <w:w w:val="100"/>
          <w:kern w:val="0"/>
          <w:sz w:val="22"/>
          <w:szCs w:val="22"/>
          <w:lang w:val="en-US"/>
        </w:rPr>
        <w:t xml:space="preserve">lowance, a duty station is </w:t>
      </w:r>
      <w:r w:rsidRPr="000E387E">
        <w:rPr>
          <w:rFonts w:asciiTheme="majorHAnsi" w:eastAsiaTheme="minorEastAsia" w:hAnsiTheme="majorHAnsi" w:cs="Arial"/>
          <w:spacing w:val="0"/>
          <w:w w:val="100"/>
          <w:kern w:val="0"/>
          <w:sz w:val="22"/>
          <w:szCs w:val="22"/>
          <w:lang w:val="en-US"/>
        </w:rPr>
        <w:t>designated as “non-family” by the Chairman of the International Civil Service Commission when the medium- or longer-term presence of non</w:t>
      </w:r>
      <w:r w:rsidRPr="000E387E">
        <w:rPr>
          <w:rFonts w:asciiTheme="majorHAnsi" w:eastAsiaTheme="minorEastAsia" w:hAnsiTheme="majorHAnsi" w:cs="Arial"/>
          <w:spacing w:val="0"/>
          <w:w w:val="100"/>
          <w:kern w:val="0"/>
          <w:sz w:val="22"/>
          <w:szCs w:val="22"/>
          <w:lang w:val="en-US"/>
        </w:rPr>
        <w:noBreakHyphen/>
        <w:t>essential staff and/or recognized spouses and/or dependent children in the staff member’s duty station is deemed dangerous or unsuitable for reasons of their safety and security. A decision regarding whether to designate a duty station as “non</w:t>
      </w:r>
      <w:r w:rsidRPr="000E387E">
        <w:rPr>
          <w:rFonts w:asciiTheme="majorHAnsi" w:eastAsiaTheme="minorEastAsia" w:hAnsiTheme="majorHAnsi" w:cs="Arial"/>
          <w:spacing w:val="0"/>
          <w:w w:val="100"/>
          <w:kern w:val="0"/>
          <w:sz w:val="22"/>
          <w:szCs w:val="22"/>
          <w:lang w:val="en-US"/>
        </w:rPr>
        <w:noBreakHyphen/>
        <w:t>family” is normally taken within six months of the declaration of evacuation or relocation of non-essential staff and/or family members.</w:t>
      </w:r>
    </w:p>
    <w:p w14:paraId="0E015783" w14:textId="77777777" w:rsidR="00471AFA" w:rsidRPr="000156BF" w:rsidRDefault="00471AFA" w:rsidP="000156BF">
      <w:pPr>
        <w:pStyle w:val="SingleTxt"/>
        <w:spacing w:after="0" w:line="120" w:lineRule="exact"/>
        <w:ind w:right="0"/>
        <w:rPr>
          <w:rFonts w:asciiTheme="majorHAnsi" w:hAnsiTheme="majorHAnsi"/>
          <w:sz w:val="22"/>
          <w:szCs w:val="22"/>
        </w:rPr>
      </w:pPr>
    </w:p>
    <w:p w14:paraId="6486FD1A" w14:textId="77777777" w:rsidR="00471AFA" w:rsidRPr="000E387E" w:rsidRDefault="00471AFA" w:rsidP="000E387E">
      <w:pPr>
        <w:pStyle w:val="NoSpacing"/>
        <w:rPr>
          <w:rFonts w:asciiTheme="majorHAnsi" w:hAnsiTheme="majorHAnsi"/>
          <w:b/>
          <w:i/>
          <w:sz w:val="22"/>
          <w:szCs w:val="22"/>
        </w:rPr>
      </w:pPr>
      <w:r w:rsidRPr="000E387E">
        <w:rPr>
          <w:rFonts w:asciiTheme="majorHAnsi" w:hAnsiTheme="majorHAnsi"/>
          <w:b/>
          <w:i/>
          <w:sz w:val="22"/>
          <w:szCs w:val="22"/>
        </w:rPr>
        <w:t>Amount</w:t>
      </w:r>
      <w:r w:rsidR="00B256F4" w:rsidRPr="000E387E">
        <w:rPr>
          <w:rFonts w:asciiTheme="majorHAnsi" w:hAnsiTheme="majorHAnsi"/>
          <w:b/>
          <w:i/>
          <w:sz w:val="22"/>
          <w:szCs w:val="22"/>
        </w:rPr>
        <w:t>s</w:t>
      </w:r>
    </w:p>
    <w:p w14:paraId="29A8B759" w14:textId="77777777" w:rsidR="00471AFA" w:rsidRPr="000156BF" w:rsidRDefault="00471AFA" w:rsidP="000156BF">
      <w:pPr>
        <w:pStyle w:val="SingleTxt"/>
        <w:spacing w:after="0" w:line="120" w:lineRule="exact"/>
        <w:ind w:right="0"/>
        <w:rPr>
          <w:rFonts w:asciiTheme="majorHAnsi" w:hAnsiTheme="majorHAnsi"/>
          <w:sz w:val="22"/>
          <w:szCs w:val="22"/>
        </w:rPr>
      </w:pPr>
    </w:p>
    <w:p w14:paraId="488E9032" w14:textId="21C6B159" w:rsidR="00471AFA" w:rsidRPr="000E387E" w:rsidRDefault="00471AFA"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 xml:space="preserve">The amount of the allowances payable to each eligible staff member may vary by grade level and </w:t>
      </w:r>
      <w:r w:rsidR="00B256F4" w:rsidRPr="000E387E">
        <w:rPr>
          <w:rFonts w:asciiTheme="majorHAnsi" w:eastAsiaTheme="minorEastAsia" w:hAnsiTheme="majorHAnsi" w:cs="Arial"/>
          <w:spacing w:val="0"/>
          <w:w w:val="100"/>
          <w:kern w:val="0"/>
          <w:sz w:val="22"/>
          <w:szCs w:val="22"/>
          <w:lang w:val="en-US"/>
        </w:rPr>
        <w:t xml:space="preserve">dependency status. Annex 1 shows the applicable amounts by </w:t>
      </w:r>
      <w:r w:rsidR="00E340B5" w:rsidRPr="000E387E">
        <w:rPr>
          <w:rFonts w:asciiTheme="majorHAnsi" w:eastAsiaTheme="minorEastAsia" w:hAnsiTheme="majorHAnsi" w:cs="Arial"/>
          <w:spacing w:val="0"/>
          <w:w w:val="100"/>
          <w:kern w:val="0"/>
          <w:sz w:val="22"/>
          <w:szCs w:val="22"/>
          <w:lang w:val="en-US"/>
        </w:rPr>
        <w:t>individual</w:t>
      </w:r>
      <w:r w:rsidR="00D215D2" w:rsidRPr="000E387E">
        <w:rPr>
          <w:rFonts w:asciiTheme="majorHAnsi" w:eastAsiaTheme="minorEastAsia" w:hAnsiTheme="majorHAnsi" w:cs="Arial"/>
          <w:spacing w:val="0"/>
          <w:w w:val="100"/>
          <w:kern w:val="0"/>
          <w:sz w:val="22"/>
          <w:szCs w:val="22"/>
          <w:lang w:val="en-US"/>
        </w:rPr>
        <w:t xml:space="preserve"> </w:t>
      </w:r>
      <w:r w:rsidR="00B256F4" w:rsidRPr="000E387E">
        <w:rPr>
          <w:rFonts w:asciiTheme="majorHAnsi" w:eastAsiaTheme="minorEastAsia" w:hAnsiTheme="majorHAnsi" w:cs="Arial"/>
          <w:spacing w:val="0"/>
          <w:w w:val="100"/>
          <w:kern w:val="0"/>
          <w:sz w:val="22"/>
          <w:szCs w:val="22"/>
          <w:lang w:val="en-US"/>
        </w:rPr>
        <w:t>circumstances.</w:t>
      </w:r>
    </w:p>
    <w:p w14:paraId="203EB737" w14:textId="77777777" w:rsidR="004A242B" w:rsidRPr="000156BF" w:rsidRDefault="004A242B" w:rsidP="000156BF">
      <w:pPr>
        <w:pStyle w:val="SingleTxt"/>
        <w:ind w:left="0" w:right="0"/>
        <w:rPr>
          <w:rFonts w:asciiTheme="majorHAnsi" w:hAnsiTheme="majorHAnsi"/>
          <w:sz w:val="22"/>
          <w:szCs w:val="22"/>
        </w:rPr>
      </w:pPr>
    </w:p>
    <w:p w14:paraId="210785C9" w14:textId="77777777" w:rsidR="004A242B" w:rsidRPr="000156BF" w:rsidRDefault="004A242B" w:rsidP="000156BF">
      <w:pPr>
        <w:pStyle w:val="SingleTxt"/>
        <w:ind w:left="0" w:right="0"/>
        <w:rPr>
          <w:rFonts w:asciiTheme="majorHAnsi" w:hAnsiTheme="majorHAnsi"/>
          <w:b/>
          <w:sz w:val="22"/>
          <w:szCs w:val="22"/>
        </w:rPr>
      </w:pPr>
      <w:r w:rsidRPr="000156BF">
        <w:rPr>
          <w:rFonts w:asciiTheme="majorHAnsi" w:hAnsiTheme="majorHAnsi"/>
          <w:b/>
          <w:sz w:val="22"/>
          <w:szCs w:val="22"/>
        </w:rPr>
        <w:t>Mobility Incentive</w:t>
      </w:r>
    </w:p>
    <w:p w14:paraId="38A42A77" w14:textId="77777777" w:rsidR="004A242B" w:rsidRDefault="004A242B" w:rsidP="000E387E">
      <w:pPr>
        <w:pStyle w:val="NoSpacing"/>
        <w:rPr>
          <w:rFonts w:asciiTheme="majorHAnsi" w:hAnsiTheme="majorHAnsi"/>
          <w:b/>
          <w:i/>
          <w:sz w:val="22"/>
          <w:szCs w:val="22"/>
        </w:rPr>
      </w:pPr>
      <w:r w:rsidRPr="000E387E">
        <w:rPr>
          <w:rFonts w:asciiTheme="majorHAnsi" w:hAnsiTheme="majorHAnsi"/>
          <w:b/>
          <w:i/>
          <w:sz w:val="22"/>
          <w:szCs w:val="22"/>
        </w:rPr>
        <w:t>Qualifying service</w:t>
      </w:r>
    </w:p>
    <w:p w14:paraId="5735EF49" w14:textId="77777777" w:rsidR="000E387E" w:rsidRPr="000E387E" w:rsidRDefault="000E387E" w:rsidP="000E387E">
      <w:pPr>
        <w:pStyle w:val="NoSpacing"/>
        <w:rPr>
          <w:rFonts w:asciiTheme="majorHAnsi" w:hAnsiTheme="majorHAnsi"/>
          <w:sz w:val="22"/>
          <w:szCs w:val="22"/>
        </w:rPr>
      </w:pPr>
    </w:p>
    <w:p w14:paraId="0CFDE4C9" w14:textId="77777777" w:rsidR="004A242B" w:rsidRPr="000156BF" w:rsidRDefault="004A242B" w:rsidP="000156BF">
      <w:pPr>
        <w:pStyle w:val="SingleTxt"/>
        <w:spacing w:after="0" w:line="120" w:lineRule="exact"/>
        <w:ind w:right="0"/>
        <w:rPr>
          <w:rFonts w:asciiTheme="majorHAnsi" w:hAnsiTheme="majorHAnsi"/>
          <w:sz w:val="22"/>
          <w:szCs w:val="22"/>
        </w:rPr>
      </w:pPr>
    </w:p>
    <w:p w14:paraId="19758CE3" w14:textId="1BDA2B8B"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 xml:space="preserve">To qualify for payment of the mobility allowance, a staff member must have five years’ prior continuous service on a fixed-term or continuing appointment as a staff member of the United Nations common system. When qualifying service has been broken by separation from service as defined in </w:t>
      </w:r>
      <w:hyperlink r:id="rId13" w:history="1">
        <w:r w:rsidR="000E387E">
          <w:rPr>
            <w:rStyle w:val="Hyperlink"/>
            <w:rFonts w:asciiTheme="majorHAnsi" w:hAnsiTheme="majorHAnsi" w:cs="Arial"/>
            <w:sz w:val="22"/>
            <w:szCs w:val="22"/>
            <w:lang w:val="en-CA"/>
          </w:rPr>
          <w:t>UN Staff Rule 9.1</w:t>
        </w:r>
      </w:hyperlink>
      <w:r w:rsidRPr="000E387E">
        <w:rPr>
          <w:rFonts w:asciiTheme="majorHAnsi" w:eastAsiaTheme="minorEastAsia" w:hAnsiTheme="majorHAnsi" w:cs="Arial"/>
          <w:spacing w:val="0"/>
          <w:w w:val="100"/>
          <w:kern w:val="0"/>
          <w:sz w:val="22"/>
          <w:szCs w:val="22"/>
          <w:lang w:val="en-US"/>
        </w:rPr>
        <w:t xml:space="preserve">, such service accrued before the separation shall be forfeited and a new period shall begin upon the staff member’s re-employment. Service credited towards the five-year service requirement may include service as a staff member in one of the categories eligible for payment </w:t>
      </w:r>
      <w:r w:rsidR="00CF05EC" w:rsidRPr="000E387E">
        <w:rPr>
          <w:rFonts w:asciiTheme="majorHAnsi" w:eastAsiaTheme="minorEastAsia" w:hAnsiTheme="majorHAnsi" w:cs="Arial"/>
          <w:spacing w:val="0"/>
          <w:w w:val="100"/>
          <w:kern w:val="0"/>
          <w:sz w:val="22"/>
          <w:szCs w:val="22"/>
          <w:lang w:val="en-US"/>
        </w:rPr>
        <w:t xml:space="preserve">of the allowance </w:t>
      </w:r>
      <w:r w:rsidRPr="000E387E">
        <w:rPr>
          <w:rFonts w:asciiTheme="majorHAnsi" w:eastAsiaTheme="minorEastAsia" w:hAnsiTheme="majorHAnsi" w:cs="Arial"/>
          <w:spacing w:val="0"/>
          <w:w w:val="100"/>
          <w:kern w:val="0"/>
          <w:sz w:val="22"/>
          <w:szCs w:val="22"/>
          <w:lang w:val="en-US"/>
        </w:rPr>
        <w:t>as well as prior service in a non</w:t>
      </w:r>
      <w:r w:rsidRPr="000E387E">
        <w:rPr>
          <w:rFonts w:asciiTheme="majorHAnsi" w:eastAsiaTheme="minorEastAsia" w:hAnsiTheme="majorHAnsi" w:cs="Arial"/>
          <w:spacing w:val="0"/>
          <w:w w:val="100"/>
          <w:kern w:val="0"/>
          <w:sz w:val="22"/>
          <w:szCs w:val="22"/>
          <w:lang w:val="en-US"/>
        </w:rPr>
        <w:noBreakHyphen/>
        <w:t>eligible category whe</w:t>
      </w:r>
      <w:r w:rsidR="00CF05EC" w:rsidRPr="000E387E">
        <w:rPr>
          <w:rFonts w:asciiTheme="majorHAnsi" w:eastAsiaTheme="minorEastAsia" w:hAnsiTheme="majorHAnsi" w:cs="Arial"/>
          <w:spacing w:val="0"/>
          <w:w w:val="100"/>
          <w:kern w:val="0"/>
          <w:sz w:val="22"/>
          <w:szCs w:val="22"/>
          <w:lang w:val="en-US"/>
        </w:rPr>
        <w:t xml:space="preserve">n allowed under (see section on </w:t>
      </w:r>
      <w:r w:rsidRPr="000E387E">
        <w:rPr>
          <w:rFonts w:asciiTheme="majorHAnsi" w:eastAsiaTheme="minorEastAsia" w:hAnsiTheme="majorHAnsi" w:cs="Arial"/>
          <w:spacing w:val="0"/>
          <w:w w:val="100"/>
          <w:kern w:val="0"/>
          <w:sz w:val="22"/>
          <w:szCs w:val="22"/>
          <w:lang w:val="en-US"/>
        </w:rPr>
        <w:t>counting assignments).</w:t>
      </w:r>
      <w:r w:rsidR="000E387E" w:rsidRPr="000E387E">
        <w:rPr>
          <w:rFonts w:asciiTheme="majorHAnsi" w:eastAsiaTheme="minorEastAsia" w:hAnsiTheme="majorHAnsi" w:cs="Arial"/>
          <w:spacing w:val="0"/>
          <w:w w:val="100"/>
          <w:kern w:val="0"/>
          <w:sz w:val="22"/>
          <w:szCs w:val="22"/>
          <w:lang w:val="en-US"/>
        </w:rPr>
        <w:t xml:space="preserve"> </w:t>
      </w:r>
    </w:p>
    <w:p w14:paraId="23E07763" w14:textId="77777777" w:rsidR="000E387E" w:rsidRDefault="000E387E" w:rsidP="000E387E">
      <w:pPr>
        <w:pStyle w:val="SingleTxt"/>
        <w:ind w:left="360" w:right="0"/>
        <w:rPr>
          <w:rFonts w:asciiTheme="majorHAnsi" w:eastAsiaTheme="minorEastAsia" w:hAnsiTheme="majorHAnsi" w:cs="Arial"/>
          <w:spacing w:val="0"/>
          <w:w w:val="100"/>
          <w:kern w:val="0"/>
          <w:sz w:val="22"/>
          <w:szCs w:val="22"/>
          <w:lang w:val="en-US"/>
        </w:rPr>
      </w:pPr>
    </w:p>
    <w:p w14:paraId="34821F10"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At all duty stations classified in categories A to E, the mobility incentive is payable from the second assignment, provided the requirement of five years’ consecutive service has been met.</w:t>
      </w:r>
      <w:r w:rsidR="000E387E" w:rsidRPr="000E387E">
        <w:rPr>
          <w:rFonts w:asciiTheme="majorHAnsi" w:eastAsiaTheme="minorEastAsia" w:hAnsiTheme="majorHAnsi" w:cs="Arial"/>
          <w:spacing w:val="0"/>
          <w:w w:val="100"/>
          <w:kern w:val="0"/>
          <w:sz w:val="22"/>
          <w:szCs w:val="22"/>
          <w:lang w:val="en-US"/>
        </w:rPr>
        <w:t xml:space="preserve"> </w:t>
      </w:r>
    </w:p>
    <w:p w14:paraId="203C4527" w14:textId="77777777" w:rsidR="000E387E" w:rsidRDefault="000E387E" w:rsidP="000E387E">
      <w:pPr>
        <w:pStyle w:val="ListParagraph"/>
        <w:rPr>
          <w:rFonts w:asciiTheme="majorHAnsi" w:hAnsiTheme="majorHAnsi" w:cs="Arial"/>
          <w:sz w:val="22"/>
          <w:szCs w:val="22"/>
        </w:rPr>
      </w:pPr>
    </w:p>
    <w:p w14:paraId="5DA6B708" w14:textId="77777777" w:rsidR="000E387E" w:rsidRDefault="004A242B" w:rsidP="000E387E">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Service shall not be considered as broken by periods of special leave of less than 30 days, but full months of special leave without pay shall not be credited towards the five-year service requirement.</w:t>
      </w:r>
    </w:p>
    <w:p w14:paraId="2D7F1FDE" w14:textId="77777777" w:rsidR="000E387E" w:rsidRDefault="000E387E" w:rsidP="000E387E">
      <w:pPr>
        <w:pStyle w:val="ListParagraph"/>
        <w:rPr>
          <w:rFonts w:asciiTheme="majorHAnsi" w:hAnsiTheme="majorHAnsi" w:cs="Arial"/>
          <w:sz w:val="22"/>
          <w:szCs w:val="22"/>
        </w:rPr>
      </w:pPr>
    </w:p>
    <w:p w14:paraId="03DA7AE3" w14:textId="5FC89814" w:rsidR="004A242B" w:rsidRDefault="004A242B" w:rsidP="000E387E">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Staff members holding temporary appointments are not eligible to receive the mobility incentive regardless of any exceptional extension of their appointment beyond 364 days.</w:t>
      </w:r>
    </w:p>
    <w:p w14:paraId="1AAE343F" w14:textId="77777777" w:rsidR="000E387E" w:rsidRDefault="000E387E" w:rsidP="000E387E">
      <w:pPr>
        <w:pStyle w:val="ListParagraph"/>
        <w:rPr>
          <w:rFonts w:asciiTheme="majorHAnsi" w:hAnsiTheme="majorHAnsi" w:cs="Arial"/>
          <w:sz w:val="22"/>
          <w:szCs w:val="22"/>
        </w:rPr>
      </w:pPr>
    </w:p>
    <w:p w14:paraId="3FFE161B" w14:textId="77777777" w:rsidR="004A242B" w:rsidRDefault="004A242B" w:rsidP="000E387E">
      <w:pPr>
        <w:pStyle w:val="NoSpacing"/>
        <w:rPr>
          <w:rFonts w:asciiTheme="majorHAnsi" w:hAnsiTheme="majorHAnsi"/>
          <w:b/>
          <w:i/>
          <w:sz w:val="22"/>
          <w:szCs w:val="22"/>
        </w:rPr>
      </w:pPr>
      <w:r w:rsidRPr="000E387E">
        <w:rPr>
          <w:rFonts w:asciiTheme="majorHAnsi" w:hAnsiTheme="majorHAnsi"/>
          <w:b/>
          <w:i/>
          <w:sz w:val="22"/>
          <w:szCs w:val="22"/>
        </w:rPr>
        <w:t>Determining the assignment number</w:t>
      </w:r>
    </w:p>
    <w:p w14:paraId="5A20CF94" w14:textId="77777777" w:rsidR="000E387E" w:rsidRPr="000E387E" w:rsidRDefault="000E387E" w:rsidP="000E387E">
      <w:pPr>
        <w:pStyle w:val="NoSpacing"/>
        <w:rPr>
          <w:rFonts w:asciiTheme="majorHAnsi" w:hAnsiTheme="majorHAnsi"/>
          <w:sz w:val="22"/>
          <w:szCs w:val="22"/>
        </w:rPr>
      </w:pPr>
    </w:p>
    <w:p w14:paraId="11A2E8BF" w14:textId="77777777" w:rsidR="004A242B" w:rsidRPr="000156BF" w:rsidRDefault="004A242B" w:rsidP="000156BF">
      <w:pPr>
        <w:pStyle w:val="SingleTxt"/>
        <w:spacing w:after="0" w:line="120" w:lineRule="exact"/>
        <w:ind w:right="0"/>
        <w:rPr>
          <w:rFonts w:asciiTheme="majorHAnsi" w:hAnsiTheme="majorHAnsi"/>
          <w:sz w:val="22"/>
          <w:szCs w:val="22"/>
        </w:rPr>
      </w:pPr>
    </w:p>
    <w:p w14:paraId="31C7A02F" w14:textId="1E8842E2" w:rsidR="004A242B"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For the purpose of this policy, the term “assignment”, when determining the assignment number of the staff member, shall be understood to mean either the initial appointment of a staff member to a duty station, or</w:t>
      </w:r>
      <w:r w:rsidR="00532DD4" w:rsidRPr="000E387E">
        <w:rPr>
          <w:rFonts w:asciiTheme="majorHAnsi" w:eastAsiaTheme="minorEastAsia" w:hAnsiTheme="majorHAnsi" w:cs="Arial"/>
          <w:spacing w:val="0"/>
          <w:w w:val="100"/>
          <w:kern w:val="0"/>
          <w:sz w:val="22"/>
          <w:szCs w:val="22"/>
          <w:lang w:val="en-US"/>
        </w:rPr>
        <w:t xml:space="preserve"> reassignment</w:t>
      </w:r>
      <w:r w:rsidRPr="000E387E">
        <w:rPr>
          <w:rFonts w:asciiTheme="majorHAnsi" w:eastAsiaTheme="minorEastAsia" w:hAnsiTheme="majorHAnsi" w:cs="Arial"/>
          <w:spacing w:val="0"/>
          <w:w w:val="100"/>
          <w:kern w:val="0"/>
          <w:sz w:val="22"/>
          <w:szCs w:val="22"/>
          <w:lang w:val="en-US"/>
        </w:rPr>
        <w:t xml:space="preserve"> </w:t>
      </w:r>
      <w:r w:rsidR="00EE6F6F" w:rsidRPr="000E387E">
        <w:rPr>
          <w:rFonts w:asciiTheme="majorHAnsi" w:eastAsiaTheme="minorEastAsia" w:hAnsiTheme="majorHAnsi" w:cs="Arial"/>
          <w:spacing w:val="0"/>
          <w:w w:val="100"/>
          <w:kern w:val="0"/>
          <w:sz w:val="22"/>
          <w:szCs w:val="22"/>
          <w:lang w:val="en-US"/>
        </w:rPr>
        <w:t xml:space="preserve">for a period of one year or longer </w:t>
      </w:r>
      <w:r w:rsidRPr="000E387E">
        <w:rPr>
          <w:rFonts w:asciiTheme="majorHAnsi" w:eastAsiaTheme="minorEastAsia" w:hAnsiTheme="majorHAnsi" w:cs="Arial"/>
          <w:spacing w:val="0"/>
          <w:w w:val="100"/>
          <w:kern w:val="0"/>
          <w:sz w:val="22"/>
          <w:szCs w:val="22"/>
          <w:lang w:val="en-US"/>
        </w:rPr>
        <w:t xml:space="preserve">of a staff member to a new </w:t>
      </w:r>
      <w:r w:rsidR="00EE6F6F" w:rsidRPr="000E387E">
        <w:rPr>
          <w:rFonts w:asciiTheme="majorHAnsi" w:eastAsiaTheme="minorEastAsia" w:hAnsiTheme="majorHAnsi" w:cs="Arial"/>
          <w:spacing w:val="0"/>
          <w:w w:val="100"/>
          <w:kern w:val="0"/>
          <w:sz w:val="22"/>
          <w:szCs w:val="22"/>
          <w:lang w:val="en-US"/>
        </w:rPr>
        <w:t>duty station beyond commuting distance</w:t>
      </w:r>
      <w:r w:rsidRPr="000E387E">
        <w:rPr>
          <w:rFonts w:asciiTheme="majorHAnsi" w:eastAsiaTheme="minorEastAsia" w:hAnsiTheme="majorHAnsi" w:cs="Arial"/>
          <w:spacing w:val="0"/>
          <w:w w:val="100"/>
          <w:kern w:val="0"/>
          <w:sz w:val="22"/>
          <w:szCs w:val="22"/>
          <w:lang w:val="en-US"/>
        </w:rPr>
        <w:t xml:space="preserve">, including duty stations classified as headquarters duty stations. </w:t>
      </w:r>
    </w:p>
    <w:p w14:paraId="1BC54313" w14:textId="77777777" w:rsidR="000E387E" w:rsidRPr="000E387E" w:rsidRDefault="000E387E" w:rsidP="000E387E">
      <w:pPr>
        <w:pStyle w:val="SingleTxt"/>
        <w:ind w:left="360" w:right="0"/>
        <w:rPr>
          <w:rFonts w:asciiTheme="majorHAnsi" w:eastAsiaTheme="minorEastAsia" w:hAnsiTheme="majorHAnsi" w:cs="Arial"/>
          <w:spacing w:val="0"/>
          <w:w w:val="100"/>
          <w:kern w:val="0"/>
          <w:sz w:val="22"/>
          <w:szCs w:val="22"/>
          <w:lang w:val="en-US"/>
        </w:rPr>
      </w:pPr>
    </w:p>
    <w:p w14:paraId="2BF1BA8A"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Initial appointments of one year or longer, and assignments of one year or longer which involve a change of duty station, shall each be counted as one assignment, provided the staff member completes a minimum on</w:t>
      </w:r>
      <w:r w:rsidR="00EE6F6F" w:rsidRPr="000E387E">
        <w:rPr>
          <w:rFonts w:asciiTheme="majorHAnsi" w:eastAsiaTheme="minorEastAsia" w:hAnsiTheme="majorHAnsi" w:cs="Arial"/>
          <w:spacing w:val="0"/>
          <w:w w:val="100"/>
          <w:kern w:val="0"/>
          <w:sz w:val="22"/>
          <w:szCs w:val="22"/>
          <w:lang w:val="en-US"/>
        </w:rPr>
        <w:t xml:space="preserve">e year period of service in each of </w:t>
      </w:r>
      <w:r w:rsidR="00CF05EC" w:rsidRPr="000E387E">
        <w:rPr>
          <w:rFonts w:asciiTheme="majorHAnsi" w:eastAsiaTheme="minorEastAsia" w:hAnsiTheme="majorHAnsi" w:cs="Arial"/>
          <w:spacing w:val="0"/>
          <w:w w:val="100"/>
          <w:kern w:val="0"/>
          <w:sz w:val="22"/>
          <w:szCs w:val="22"/>
          <w:lang w:val="en-US"/>
        </w:rPr>
        <w:t xml:space="preserve">the relevant </w:t>
      </w:r>
      <w:r w:rsidRPr="000E387E">
        <w:rPr>
          <w:rFonts w:asciiTheme="majorHAnsi" w:eastAsiaTheme="minorEastAsia" w:hAnsiTheme="majorHAnsi" w:cs="Arial"/>
          <w:spacing w:val="0"/>
          <w:w w:val="100"/>
          <w:kern w:val="0"/>
          <w:sz w:val="22"/>
          <w:szCs w:val="22"/>
          <w:lang w:val="en-US"/>
        </w:rPr>
        <w:t>duty station</w:t>
      </w:r>
      <w:r w:rsidR="00EE6F6F" w:rsidRPr="000E387E">
        <w:rPr>
          <w:rFonts w:asciiTheme="majorHAnsi" w:eastAsiaTheme="minorEastAsia" w:hAnsiTheme="majorHAnsi" w:cs="Arial"/>
          <w:spacing w:val="0"/>
          <w:w w:val="100"/>
          <w:kern w:val="0"/>
          <w:sz w:val="22"/>
          <w:szCs w:val="22"/>
          <w:lang w:val="en-US"/>
        </w:rPr>
        <w:t>s.</w:t>
      </w:r>
    </w:p>
    <w:p w14:paraId="2A203E51" w14:textId="77777777" w:rsidR="000E387E" w:rsidRDefault="000E387E" w:rsidP="000E387E">
      <w:pPr>
        <w:pStyle w:val="ListParagraph"/>
        <w:rPr>
          <w:rFonts w:asciiTheme="majorHAnsi" w:hAnsiTheme="majorHAnsi" w:cs="Arial"/>
          <w:sz w:val="22"/>
          <w:szCs w:val="22"/>
        </w:rPr>
      </w:pPr>
    </w:p>
    <w:p w14:paraId="4204B9C6" w14:textId="77777777"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If a staff member is assigned to a duty station for a period of one year or longer and such time is subsequently reduced at the initiative of the Organization to less than one year, such service may be counted as an assignment on an exceptional basis.</w:t>
      </w:r>
    </w:p>
    <w:p w14:paraId="2203F07C" w14:textId="77777777" w:rsidR="000E387E" w:rsidRDefault="000E387E" w:rsidP="000E387E">
      <w:pPr>
        <w:pStyle w:val="ListParagraph"/>
        <w:rPr>
          <w:rFonts w:asciiTheme="majorHAnsi" w:hAnsiTheme="majorHAnsi" w:cs="Arial"/>
          <w:sz w:val="22"/>
          <w:szCs w:val="22"/>
        </w:rPr>
      </w:pPr>
    </w:p>
    <w:p w14:paraId="2A612851" w14:textId="4A57B693" w:rsidR="004A242B"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 xml:space="preserve">In other cases, counting of assignments shall be made as follows: </w:t>
      </w:r>
    </w:p>
    <w:p w14:paraId="2436495F" w14:textId="77777777" w:rsidR="000E387E" w:rsidRDefault="000E387E" w:rsidP="000E387E">
      <w:pPr>
        <w:pStyle w:val="ListParagraph"/>
        <w:rPr>
          <w:rFonts w:asciiTheme="majorHAnsi" w:hAnsiTheme="majorHAnsi" w:cs="Arial"/>
          <w:sz w:val="22"/>
          <w:szCs w:val="22"/>
        </w:rPr>
      </w:pPr>
    </w:p>
    <w:p w14:paraId="6C546352" w14:textId="2CA79DD0"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Exceptional periods of service on daily subsistence allowance for a period of one year or longer at the same duty station are counted as one assignment, but only upon reassignment to a new parent duty station;</w:t>
      </w:r>
    </w:p>
    <w:p w14:paraId="19E07663" w14:textId="77777777" w:rsidR="000E387E" w:rsidRDefault="000E387E" w:rsidP="000E387E">
      <w:pPr>
        <w:pStyle w:val="SingleTxt"/>
        <w:ind w:left="0" w:right="0"/>
        <w:rPr>
          <w:rFonts w:asciiTheme="majorHAnsi" w:eastAsiaTheme="minorEastAsia" w:hAnsiTheme="majorHAnsi" w:cs="Arial"/>
          <w:spacing w:val="0"/>
          <w:w w:val="100"/>
          <w:kern w:val="0"/>
          <w:sz w:val="22"/>
          <w:szCs w:val="22"/>
          <w:lang w:val="en-US"/>
        </w:rPr>
      </w:pPr>
    </w:p>
    <w:p w14:paraId="7C732DF5" w14:textId="355DF35A"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 xml:space="preserve">All service in the General Service and National Professional Officer category counts for one assignment, irrespective of the number of assignments in those categories. </w:t>
      </w:r>
    </w:p>
    <w:p w14:paraId="532A8603" w14:textId="77777777" w:rsidR="000E387E" w:rsidRDefault="000E387E" w:rsidP="000E387E">
      <w:pPr>
        <w:pStyle w:val="SingleTxt"/>
        <w:ind w:left="0" w:right="0"/>
        <w:rPr>
          <w:rFonts w:asciiTheme="majorHAnsi" w:eastAsiaTheme="minorEastAsia" w:hAnsiTheme="majorHAnsi" w:cs="Arial"/>
          <w:spacing w:val="0"/>
          <w:w w:val="100"/>
          <w:kern w:val="0"/>
          <w:sz w:val="22"/>
          <w:szCs w:val="22"/>
          <w:lang w:val="en-US"/>
        </w:rPr>
      </w:pPr>
    </w:p>
    <w:p w14:paraId="69B702DE" w14:textId="704DA5C6" w:rsidR="004A242B" w:rsidRDefault="004A242B" w:rsidP="000E387E">
      <w:pPr>
        <w:pStyle w:val="SingleTxt"/>
        <w:numPr>
          <w:ilvl w:val="0"/>
          <w:numId w:val="15"/>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Transfers, secondments and loans to other organizations of the United Nations common system shall be counted in the same manner as movements within the Organization;</w:t>
      </w:r>
    </w:p>
    <w:p w14:paraId="73B2F6A8" w14:textId="77777777" w:rsidR="000E387E" w:rsidRDefault="000E387E" w:rsidP="000E387E">
      <w:pPr>
        <w:pStyle w:val="ListParagraph"/>
        <w:rPr>
          <w:rFonts w:asciiTheme="majorHAnsi" w:hAnsiTheme="majorHAnsi" w:cs="Arial"/>
          <w:sz w:val="22"/>
          <w:szCs w:val="22"/>
        </w:rPr>
      </w:pPr>
    </w:p>
    <w:p w14:paraId="2CF5EA06" w14:textId="6DDD9437"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Periods of service under a fixed-term appointment of one year or longer as a Junior Professional Officer, shall be counted in the same way as other internationally recruited staff.  Periods of service as a United Nations Volunteer are not counted.</w:t>
      </w:r>
    </w:p>
    <w:p w14:paraId="2163F6F6" w14:textId="77777777" w:rsidR="000E387E" w:rsidRDefault="000E387E" w:rsidP="000E387E">
      <w:pPr>
        <w:pStyle w:val="SingleTxt"/>
        <w:ind w:left="0" w:right="0"/>
        <w:rPr>
          <w:rFonts w:asciiTheme="majorHAnsi" w:eastAsiaTheme="minorEastAsia" w:hAnsiTheme="majorHAnsi" w:cs="Arial"/>
          <w:spacing w:val="0"/>
          <w:w w:val="100"/>
          <w:kern w:val="0"/>
          <w:sz w:val="22"/>
          <w:szCs w:val="22"/>
          <w:lang w:val="en-US"/>
        </w:rPr>
      </w:pPr>
    </w:p>
    <w:p w14:paraId="711FA6D1" w14:textId="688BE269" w:rsidR="004A242B" w:rsidRPr="000E387E" w:rsidRDefault="004A242B" w:rsidP="000E387E">
      <w:pPr>
        <w:pStyle w:val="SingleTxt"/>
        <w:numPr>
          <w:ilvl w:val="0"/>
          <w:numId w:val="15"/>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Periods of service on a temporary appointment are not counted.</w:t>
      </w:r>
    </w:p>
    <w:p w14:paraId="0015EF9E" w14:textId="0BA4ED63" w:rsidR="005D302B" w:rsidRDefault="005D302B" w:rsidP="006A0601">
      <w:pPr>
        <w:pStyle w:val="H4"/>
        <w:ind w:left="0" w:right="0" w:firstLine="0"/>
        <w:rPr>
          <w:rFonts w:asciiTheme="majorHAnsi" w:hAnsiTheme="majorHAnsi"/>
          <w:b/>
          <w:sz w:val="22"/>
          <w:szCs w:val="22"/>
        </w:rPr>
      </w:pPr>
    </w:p>
    <w:p w14:paraId="16E46D91" w14:textId="50985C33" w:rsidR="004A242B" w:rsidRDefault="004A242B" w:rsidP="000156BF">
      <w:pPr>
        <w:pStyle w:val="H4"/>
        <w:ind w:right="0"/>
        <w:rPr>
          <w:rFonts w:asciiTheme="majorHAnsi" w:hAnsiTheme="majorHAnsi"/>
          <w:b/>
          <w:sz w:val="22"/>
          <w:szCs w:val="22"/>
        </w:rPr>
      </w:pPr>
      <w:r w:rsidRPr="000156BF">
        <w:rPr>
          <w:rFonts w:asciiTheme="majorHAnsi" w:hAnsiTheme="majorHAnsi"/>
          <w:b/>
          <w:sz w:val="22"/>
          <w:szCs w:val="22"/>
        </w:rPr>
        <w:t>Duration</w:t>
      </w:r>
    </w:p>
    <w:p w14:paraId="51A9967B" w14:textId="77777777" w:rsidR="000E387E" w:rsidRPr="000E387E" w:rsidRDefault="000E387E" w:rsidP="000E387E">
      <w:pPr>
        <w:pStyle w:val="SingleTxt"/>
      </w:pPr>
    </w:p>
    <w:p w14:paraId="544C13F7" w14:textId="77777777" w:rsidR="004A242B" w:rsidRPr="000156BF" w:rsidRDefault="004A242B" w:rsidP="000156BF">
      <w:pPr>
        <w:pStyle w:val="SingleTxt"/>
        <w:spacing w:after="0" w:line="120" w:lineRule="exact"/>
        <w:ind w:right="0"/>
        <w:rPr>
          <w:rFonts w:asciiTheme="majorHAnsi" w:hAnsiTheme="majorHAnsi"/>
          <w:sz w:val="22"/>
          <w:szCs w:val="22"/>
        </w:rPr>
      </w:pPr>
    </w:p>
    <w:p w14:paraId="05A6BEBB" w14:textId="77777777" w:rsidR="004A242B"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After five consecutive years at one duty station, payment of the mobility incentive will cease. The count towards the five years begins as of the date of appointment or assignment at the duty station. Periods of service away from the parent duty station on assignment or travel status shall not suspend the counting of five years. Full months of special leave without pay shall suspend the counting of five years, and the count shall resume upon return to service.</w:t>
      </w:r>
    </w:p>
    <w:p w14:paraId="5CA9372D" w14:textId="77777777" w:rsidR="000E387E" w:rsidRPr="000E387E" w:rsidRDefault="000E387E" w:rsidP="000E387E">
      <w:pPr>
        <w:pStyle w:val="SingleTxt"/>
        <w:ind w:left="360" w:right="0"/>
        <w:rPr>
          <w:rFonts w:asciiTheme="majorHAnsi" w:eastAsiaTheme="minorEastAsia" w:hAnsiTheme="majorHAnsi" w:cs="Arial"/>
          <w:spacing w:val="0"/>
          <w:w w:val="100"/>
          <w:kern w:val="0"/>
          <w:sz w:val="22"/>
          <w:szCs w:val="22"/>
          <w:lang w:val="en-US"/>
        </w:rPr>
      </w:pPr>
    </w:p>
    <w:p w14:paraId="68EFB0CC" w14:textId="77777777" w:rsidR="004A242B" w:rsidRP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 xml:space="preserve">In the exceptional case of staff members who remain at the same duty station at the explicit request of the Organization or for compelling humanitarian reasons, the payment of the </w:t>
      </w:r>
      <w:r w:rsidRPr="000E387E">
        <w:rPr>
          <w:rFonts w:asciiTheme="majorHAnsi" w:eastAsiaTheme="minorEastAsia" w:hAnsiTheme="majorHAnsi" w:cs="Arial"/>
          <w:spacing w:val="0"/>
          <w:w w:val="100"/>
          <w:kern w:val="0"/>
          <w:sz w:val="22"/>
          <w:szCs w:val="22"/>
          <w:lang w:val="en-US"/>
        </w:rPr>
        <w:lastRenderedPageBreak/>
        <w:t>mobility incentive may continue for a maximum period of one additional year, for a total of six consecutive years at one duty station.</w:t>
      </w:r>
    </w:p>
    <w:p w14:paraId="4E5E6A09" w14:textId="77777777" w:rsidR="004A242B" w:rsidRPr="000156BF" w:rsidRDefault="004A242B" w:rsidP="000156BF">
      <w:pPr>
        <w:pStyle w:val="SingleTxt"/>
        <w:spacing w:after="0" w:line="120" w:lineRule="exact"/>
        <w:ind w:right="0"/>
        <w:rPr>
          <w:rFonts w:asciiTheme="majorHAnsi" w:hAnsiTheme="majorHAnsi"/>
          <w:sz w:val="22"/>
          <w:szCs w:val="22"/>
        </w:rPr>
      </w:pPr>
    </w:p>
    <w:p w14:paraId="1716B2A4" w14:textId="77777777" w:rsidR="004A242B" w:rsidRPr="000156BF" w:rsidRDefault="004A242B" w:rsidP="000156BF">
      <w:pPr>
        <w:pStyle w:val="SingleTxt"/>
        <w:spacing w:after="0" w:line="120" w:lineRule="exact"/>
        <w:ind w:right="0"/>
        <w:rPr>
          <w:rFonts w:asciiTheme="majorHAnsi" w:hAnsiTheme="majorHAnsi"/>
          <w:sz w:val="22"/>
          <w:szCs w:val="22"/>
        </w:rPr>
      </w:pPr>
    </w:p>
    <w:p w14:paraId="5CCFE91C" w14:textId="77777777" w:rsidR="004A242B" w:rsidRPr="000156BF" w:rsidRDefault="004A242B" w:rsidP="000156BF">
      <w:pPr>
        <w:pStyle w:val="H1"/>
        <w:ind w:right="0"/>
        <w:rPr>
          <w:rFonts w:asciiTheme="majorHAnsi" w:hAnsiTheme="majorHAnsi"/>
          <w:sz w:val="22"/>
          <w:szCs w:val="22"/>
        </w:rPr>
      </w:pPr>
      <w:r w:rsidRPr="000156BF">
        <w:rPr>
          <w:rFonts w:asciiTheme="majorHAnsi" w:hAnsiTheme="majorHAnsi"/>
          <w:sz w:val="22"/>
          <w:szCs w:val="22"/>
        </w:rPr>
        <w:t>Hardship allowance</w:t>
      </w:r>
    </w:p>
    <w:p w14:paraId="2F2EC578" w14:textId="77777777" w:rsidR="004A242B" w:rsidRPr="000156BF" w:rsidRDefault="004A242B" w:rsidP="000156BF">
      <w:pPr>
        <w:pStyle w:val="SingleTxt"/>
        <w:spacing w:after="0" w:line="120" w:lineRule="exact"/>
        <w:ind w:right="0"/>
        <w:rPr>
          <w:rFonts w:asciiTheme="majorHAnsi" w:hAnsiTheme="majorHAnsi"/>
          <w:sz w:val="22"/>
          <w:szCs w:val="22"/>
        </w:rPr>
      </w:pPr>
    </w:p>
    <w:p w14:paraId="305A4E75" w14:textId="77777777" w:rsidR="004A242B" w:rsidRPr="000156BF" w:rsidRDefault="004A242B" w:rsidP="000156BF">
      <w:pPr>
        <w:pStyle w:val="SingleTxt"/>
        <w:spacing w:after="0" w:line="120" w:lineRule="exact"/>
        <w:ind w:right="0"/>
        <w:rPr>
          <w:rFonts w:asciiTheme="majorHAnsi" w:hAnsiTheme="majorHAnsi"/>
          <w:sz w:val="22"/>
          <w:szCs w:val="22"/>
        </w:rPr>
      </w:pPr>
    </w:p>
    <w:p w14:paraId="1380AB62" w14:textId="77777777" w:rsidR="004A242B" w:rsidRPr="000E387E" w:rsidRDefault="00C52AAD"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 xml:space="preserve">The hardship allowance is payable for assignments </w:t>
      </w:r>
      <w:r w:rsidR="004A242B" w:rsidRPr="000E387E">
        <w:rPr>
          <w:rFonts w:asciiTheme="majorHAnsi" w:eastAsiaTheme="minorEastAsia" w:hAnsiTheme="majorHAnsi" w:cs="Arial"/>
          <w:spacing w:val="0"/>
          <w:w w:val="100"/>
          <w:kern w:val="0"/>
          <w:sz w:val="22"/>
          <w:szCs w:val="22"/>
          <w:lang w:val="en-US"/>
        </w:rPr>
        <w:t>to duty stations classifi</w:t>
      </w:r>
      <w:r w:rsidRPr="000E387E">
        <w:rPr>
          <w:rFonts w:asciiTheme="majorHAnsi" w:eastAsiaTheme="minorEastAsia" w:hAnsiTheme="majorHAnsi" w:cs="Arial"/>
          <w:spacing w:val="0"/>
          <w:w w:val="100"/>
          <w:kern w:val="0"/>
          <w:sz w:val="22"/>
          <w:szCs w:val="22"/>
          <w:lang w:val="en-US"/>
        </w:rPr>
        <w:t>ed in categories B, C, D and E,</w:t>
      </w:r>
      <w:r w:rsidR="004A242B" w:rsidRPr="000E387E">
        <w:rPr>
          <w:rFonts w:asciiTheme="majorHAnsi" w:eastAsiaTheme="minorEastAsia" w:hAnsiTheme="majorHAnsi" w:cs="Arial"/>
          <w:spacing w:val="0"/>
          <w:w w:val="100"/>
          <w:kern w:val="0"/>
          <w:sz w:val="22"/>
          <w:szCs w:val="22"/>
          <w:lang w:val="en-US"/>
        </w:rPr>
        <w:t xml:space="preserve"> for the duration of each assignment according to the </w:t>
      </w:r>
      <w:r w:rsidRPr="000E387E">
        <w:rPr>
          <w:rFonts w:asciiTheme="majorHAnsi" w:eastAsiaTheme="minorEastAsia" w:hAnsiTheme="majorHAnsi" w:cs="Arial"/>
          <w:spacing w:val="0"/>
          <w:w w:val="100"/>
          <w:kern w:val="0"/>
          <w:sz w:val="22"/>
          <w:szCs w:val="22"/>
          <w:lang w:val="en-US"/>
        </w:rPr>
        <w:t xml:space="preserve">applicable </w:t>
      </w:r>
      <w:r w:rsidR="004A242B" w:rsidRPr="000E387E">
        <w:rPr>
          <w:rFonts w:asciiTheme="majorHAnsi" w:eastAsiaTheme="minorEastAsia" w:hAnsiTheme="majorHAnsi" w:cs="Arial"/>
          <w:spacing w:val="0"/>
          <w:w w:val="100"/>
          <w:kern w:val="0"/>
          <w:sz w:val="22"/>
          <w:szCs w:val="22"/>
          <w:lang w:val="en-US"/>
        </w:rPr>
        <w:t>level of hardship classification</w:t>
      </w:r>
      <w:r w:rsidRPr="000E387E">
        <w:rPr>
          <w:rFonts w:asciiTheme="majorHAnsi" w:eastAsiaTheme="minorEastAsia" w:hAnsiTheme="majorHAnsi" w:cs="Arial"/>
          <w:spacing w:val="0"/>
          <w:w w:val="100"/>
          <w:kern w:val="0"/>
          <w:sz w:val="22"/>
          <w:szCs w:val="22"/>
          <w:lang w:val="en-US"/>
        </w:rPr>
        <w:t xml:space="preserve"> of the duty station</w:t>
      </w:r>
      <w:r w:rsidR="004A242B" w:rsidRPr="000E387E">
        <w:rPr>
          <w:rFonts w:asciiTheme="majorHAnsi" w:eastAsiaTheme="minorEastAsia" w:hAnsiTheme="majorHAnsi" w:cs="Arial"/>
          <w:spacing w:val="0"/>
          <w:w w:val="100"/>
          <w:kern w:val="0"/>
          <w:sz w:val="22"/>
          <w:szCs w:val="22"/>
          <w:lang w:val="en-US"/>
        </w:rPr>
        <w:t xml:space="preserve">. </w:t>
      </w:r>
    </w:p>
    <w:p w14:paraId="4A3B9003" w14:textId="77777777" w:rsidR="004A242B" w:rsidRPr="000156BF" w:rsidRDefault="004A242B" w:rsidP="000156BF">
      <w:pPr>
        <w:pStyle w:val="SingleTxt"/>
        <w:spacing w:after="0" w:line="120" w:lineRule="exact"/>
        <w:ind w:right="0"/>
        <w:rPr>
          <w:rFonts w:asciiTheme="majorHAnsi" w:hAnsiTheme="majorHAnsi"/>
          <w:sz w:val="22"/>
          <w:szCs w:val="22"/>
        </w:rPr>
      </w:pPr>
    </w:p>
    <w:p w14:paraId="6A10B2E1" w14:textId="77777777" w:rsidR="004A242B" w:rsidRPr="000156BF" w:rsidRDefault="004A242B" w:rsidP="000156BF">
      <w:pPr>
        <w:pStyle w:val="SingleTxt"/>
        <w:spacing w:after="0" w:line="120" w:lineRule="exact"/>
        <w:ind w:right="0"/>
        <w:rPr>
          <w:rFonts w:asciiTheme="majorHAnsi" w:hAnsiTheme="majorHAnsi"/>
          <w:sz w:val="22"/>
          <w:szCs w:val="22"/>
        </w:rPr>
      </w:pPr>
    </w:p>
    <w:p w14:paraId="36CA98EE" w14:textId="77777777" w:rsidR="004A242B" w:rsidRDefault="004A242B" w:rsidP="000156BF">
      <w:pPr>
        <w:pStyle w:val="H1"/>
        <w:ind w:left="0" w:right="0" w:firstLine="0"/>
        <w:rPr>
          <w:rFonts w:asciiTheme="majorHAnsi" w:hAnsiTheme="majorHAnsi"/>
          <w:sz w:val="22"/>
          <w:szCs w:val="22"/>
        </w:rPr>
      </w:pPr>
      <w:r w:rsidRPr="000156BF">
        <w:rPr>
          <w:rFonts w:asciiTheme="majorHAnsi" w:hAnsiTheme="majorHAnsi"/>
          <w:sz w:val="22"/>
          <w:szCs w:val="22"/>
        </w:rPr>
        <w:t>Non-family Service Allowance</w:t>
      </w:r>
    </w:p>
    <w:p w14:paraId="211989FF" w14:textId="77777777" w:rsidR="000E387E" w:rsidRPr="000E387E" w:rsidRDefault="000E387E" w:rsidP="000E387E">
      <w:pPr>
        <w:pStyle w:val="SingleTxt"/>
      </w:pPr>
    </w:p>
    <w:p w14:paraId="69F748DE" w14:textId="18EE1B36" w:rsidR="004A242B" w:rsidRDefault="004A242B" w:rsidP="000156BF">
      <w:pPr>
        <w:pStyle w:val="SingleTxt"/>
        <w:keepNext/>
        <w:keepLines/>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The non-fa</w:t>
      </w:r>
      <w:r w:rsidR="00CF05EC" w:rsidRPr="000E387E">
        <w:rPr>
          <w:rFonts w:asciiTheme="majorHAnsi" w:eastAsiaTheme="minorEastAsia" w:hAnsiTheme="majorHAnsi" w:cs="Arial"/>
          <w:spacing w:val="0"/>
          <w:w w:val="100"/>
          <w:kern w:val="0"/>
          <w:sz w:val="22"/>
          <w:szCs w:val="22"/>
          <w:lang w:val="en-US"/>
        </w:rPr>
        <w:t xml:space="preserve">mily service allowance is </w:t>
      </w:r>
      <w:r w:rsidRPr="000E387E">
        <w:rPr>
          <w:rFonts w:asciiTheme="majorHAnsi" w:eastAsiaTheme="minorEastAsia" w:hAnsiTheme="majorHAnsi" w:cs="Arial"/>
          <w:spacing w:val="0"/>
          <w:w w:val="100"/>
          <w:kern w:val="0"/>
          <w:sz w:val="22"/>
          <w:szCs w:val="22"/>
          <w:lang w:val="en-US"/>
        </w:rPr>
        <w:t xml:space="preserve">payable to eligible staff members who are assigned to duty stations </w:t>
      </w:r>
      <w:r w:rsidR="00CF05EC" w:rsidRPr="000E387E">
        <w:rPr>
          <w:rFonts w:asciiTheme="majorHAnsi" w:eastAsiaTheme="minorEastAsia" w:hAnsiTheme="majorHAnsi" w:cs="Arial"/>
          <w:spacing w:val="0"/>
          <w:w w:val="100"/>
          <w:kern w:val="0"/>
          <w:sz w:val="22"/>
          <w:szCs w:val="22"/>
          <w:lang w:val="en-US"/>
        </w:rPr>
        <w:t xml:space="preserve">officially </w:t>
      </w:r>
      <w:r w:rsidRPr="000E387E">
        <w:rPr>
          <w:rFonts w:asciiTheme="majorHAnsi" w:eastAsiaTheme="minorEastAsia" w:hAnsiTheme="majorHAnsi" w:cs="Arial"/>
          <w:spacing w:val="0"/>
          <w:w w:val="100"/>
          <w:kern w:val="0"/>
          <w:sz w:val="22"/>
          <w:szCs w:val="22"/>
          <w:lang w:val="en-US"/>
        </w:rPr>
        <w:t>designated as non-family. No payment of the allowance shall be made when the presence of a family member is exceptionally approved</w:t>
      </w:r>
      <w:r w:rsidR="00532DD4" w:rsidRPr="000E387E">
        <w:rPr>
          <w:rFonts w:asciiTheme="majorHAnsi" w:eastAsiaTheme="minorEastAsia" w:hAnsiTheme="majorHAnsi" w:cs="Arial"/>
          <w:spacing w:val="0"/>
          <w:w w:val="100"/>
          <w:kern w:val="0"/>
          <w:sz w:val="22"/>
          <w:szCs w:val="22"/>
          <w:lang w:val="en-US"/>
        </w:rPr>
        <w:t xml:space="preserve"> by the designated official</w:t>
      </w:r>
      <w:r w:rsidRPr="000E387E">
        <w:rPr>
          <w:rFonts w:asciiTheme="majorHAnsi" w:eastAsiaTheme="minorEastAsia" w:hAnsiTheme="majorHAnsi" w:cs="Arial"/>
          <w:spacing w:val="0"/>
          <w:w w:val="100"/>
          <w:kern w:val="0"/>
          <w:sz w:val="22"/>
          <w:szCs w:val="22"/>
          <w:lang w:val="en-US"/>
        </w:rPr>
        <w:t xml:space="preserve"> irrespective of whether other eligible family members continue to remain outside of the non-family duty station.</w:t>
      </w:r>
    </w:p>
    <w:p w14:paraId="61BBB4DE" w14:textId="77777777" w:rsidR="000E387E" w:rsidRPr="000E387E" w:rsidRDefault="000E387E" w:rsidP="000E387E">
      <w:pPr>
        <w:pStyle w:val="SingleTxt"/>
        <w:keepNext/>
        <w:keepLines/>
        <w:ind w:left="360" w:right="0"/>
        <w:rPr>
          <w:rFonts w:asciiTheme="majorHAnsi" w:eastAsiaTheme="minorEastAsia" w:hAnsiTheme="majorHAnsi" w:cs="Arial"/>
          <w:spacing w:val="0"/>
          <w:w w:val="100"/>
          <w:kern w:val="0"/>
          <w:sz w:val="22"/>
          <w:szCs w:val="22"/>
          <w:lang w:val="en-US"/>
        </w:rPr>
      </w:pPr>
    </w:p>
    <w:p w14:paraId="6E6AD101" w14:textId="4A8C9A96" w:rsid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If there is a change in the designation of the duty station from family to non</w:t>
      </w:r>
      <w:r w:rsidRPr="000E387E">
        <w:rPr>
          <w:rFonts w:asciiTheme="majorHAnsi" w:eastAsiaTheme="minorEastAsia" w:hAnsiTheme="majorHAnsi" w:cs="Arial"/>
          <w:spacing w:val="0"/>
          <w:w w:val="100"/>
          <w:kern w:val="0"/>
          <w:sz w:val="22"/>
          <w:szCs w:val="22"/>
          <w:lang w:val="en-US"/>
        </w:rPr>
        <w:noBreakHyphen/>
        <w:t>family</w:t>
      </w:r>
      <w:r w:rsidR="00532DD4" w:rsidRPr="000E387E">
        <w:rPr>
          <w:rFonts w:asciiTheme="majorHAnsi" w:eastAsiaTheme="minorEastAsia" w:hAnsiTheme="majorHAnsi" w:cs="Arial"/>
          <w:spacing w:val="0"/>
          <w:w w:val="100"/>
          <w:kern w:val="0"/>
          <w:sz w:val="22"/>
          <w:szCs w:val="22"/>
          <w:lang w:val="en-US"/>
        </w:rPr>
        <w:t xml:space="preserve"> status</w:t>
      </w:r>
      <w:r w:rsidR="006A0601">
        <w:rPr>
          <w:rFonts w:asciiTheme="majorHAnsi" w:eastAsiaTheme="minorEastAsia" w:hAnsiTheme="majorHAnsi" w:cs="Arial"/>
          <w:spacing w:val="0"/>
          <w:w w:val="100"/>
          <w:kern w:val="0"/>
          <w:sz w:val="22"/>
          <w:szCs w:val="22"/>
          <w:lang w:val="en-US"/>
        </w:rPr>
        <w:t xml:space="preserve"> </w:t>
      </w:r>
      <w:r w:rsidRPr="000E387E">
        <w:rPr>
          <w:rFonts w:asciiTheme="majorHAnsi" w:eastAsiaTheme="minorEastAsia" w:hAnsiTheme="majorHAnsi" w:cs="Arial"/>
          <w:spacing w:val="0"/>
          <w:w w:val="100"/>
          <w:kern w:val="0"/>
          <w:sz w:val="22"/>
          <w:szCs w:val="22"/>
          <w:lang w:val="en-US"/>
        </w:rPr>
        <w:t>during the course of a staff member’s appointment or assignment to the duty station, the non-family service allowance shall be payable as of the effective date of the change in the duty station designation.</w:t>
      </w:r>
    </w:p>
    <w:p w14:paraId="5E7961B4" w14:textId="77777777" w:rsidR="000E387E" w:rsidRDefault="000E387E" w:rsidP="000E387E">
      <w:pPr>
        <w:pStyle w:val="ListParagraph"/>
        <w:rPr>
          <w:rFonts w:asciiTheme="majorHAnsi" w:hAnsiTheme="majorHAnsi" w:cs="Arial"/>
          <w:sz w:val="22"/>
          <w:szCs w:val="22"/>
        </w:rPr>
      </w:pPr>
    </w:p>
    <w:p w14:paraId="4F7E7141" w14:textId="12E10B40" w:rsidR="004A242B" w:rsidRPr="000E387E" w:rsidRDefault="004A242B" w:rsidP="000156BF">
      <w:pPr>
        <w:pStyle w:val="SingleTxt"/>
        <w:numPr>
          <w:ilvl w:val="0"/>
          <w:numId w:val="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If there is a change in the designation of the duty station from non-family to family during the course of a staff member’s appointment assignment to the duty station, the allowance shall be discontinued following a transition period:</w:t>
      </w:r>
    </w:p>
    <w:p w14:paraId="40CB9DB6" w14:textId="0BD73D32" w:rsidR="004A242B" w:rsidRDefault="004A242B" w:rsidP="000E387E">
      <w:pPr>
        <w:pStyle w:val="SingleTxt"/>
        <w:numPr>
          <w:ilvl w:val="0"/>
          <w:numId w:val="1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For staff members with no dependents, the allowance is discontinued three months after the effective date of change in the duty station designation;</w:t>
      </w:r>
    </w:p>
    <w:p w14:paraId="4AEAD087" w14:textId="77777777" w:rsidR="000E387E" w:rsidRPr="000E387E" w:rsidRDefault="000E387E" w:rsidP="000E387E">
      <w:pPr>
        <w:pStyle w:val="SingleTxt"/>
        <w:ind w:left="1080" w:right="0"/>
        <w:rPr>
          <w:rFonts w:asciiTheme="majorHAnsi" w:eastAsiaTheme="minorEastAsia" w:hAnsiTheme="majorHAnsi" w:cs="Arial"/>
          <w:spacing w:val="0"/>
          <w:w w:val="100"/>
          <w:kern w:val="0"/>
          <w:sz w:val="22"/>
          <w:szCs w:val="22"/>
          <w:lang w:val="en-US"/>
        </w:rPr>
      </w:pPr>
    </w:p>
    <w:p w14:paraId="5E6E1373" w14:textId="5470DD0A" w:rsidR="004A242B" w:rsidRPr="000E387E" w:rsidRDefault="004A242B" w:rsidP="000E387E">
      <w:pPr>
        <w:pStyle w:val="SingleTxt"/>
        <w:numPr>
          <w:ilvl w:val="0"/>
          <w:numId w:val="16"/>
        </w:numPr>
        <w:ind w:right="0"/>
        <w:rPr>
          <w:rFonts w:asciiTheme="majorHAnsi" w:eastAsiaTheme="minorEastAsia" w:hAnsiTheme="majorHAnsi" w:cs="Arial"/>
          <w:spacing w:val="0"/>
          <w:w w:val="100"/>
          <w:kern w:val="0"/>
          <w:sz w:val="22"/>
          <w:szCs w:val="22"/>
          <w:lang w:val="en-US"/>
        </w:rPr>
      </w:pPr>
      <w:r w:rsidRPr="000E387E">
        <w:rPr>
          <w:rFonts w:asciiTheme="majorHAnsi" w:eastAsiaTheme="minorEastAsia" w:hAnsiTheme="majorHAnsi" w:cs="Arial"/>
          <w:spacing w:val="0"/>
          <w:w w:val="100"/>
          <w:kern w:val="0"/>
          <w:sz w:val="22"/>
          <w:szCs w:val="22"/>
          <w:lang w:val="en-US"/>
        </w:rPr>
        <w:t>For staff members with dependents, the allowance may be paid up to six months following the effective date of change in the duty station designation or until an eligible family member joins the staff member at the duty station, whichever is earlier.</w:t>
      </w:r>
    </w:p>
    <w:p w14:paraId="06FCC229" w14:textId="77777777" w:rsidR="004A242B" w:rsidRPr="000156BF" w:rsidRDefault="004A242B" w:rsidP="000156BF">
      <w:pPr>
        <w:pStyle w:val="SingleTxt"/>
        <w:spacing w:after="0" w:line="120" w:lineRule="exact"/>
        <w:ind w:right="0"/>
        <w:rPr>
          <w:rFonts w:asciiTheme="majorHAnsi" w:hAnsiTheme="majorHAnsi"/>
          <w:sz w:val="22"/>
          <w:szCs w:val="22"/>
        </w:rPr>
      </w:pPr>
    </w:p>
    <w:p w14:paraId="29B16182" w14:textId="77777777" w:rsidR="004A242B" w:rsidRPr="000156BF" w:rsidRDefault="004A242B" w:rsidP="000156BF">
      <w:pPr>
        <w:pStyle w:val="SingleTxt"/>
        <w:spacing w:after="0" w:line="120" w:lineRule="exact"/>
        <w:ind w:right="0"/>
        <w:rPr>
          <w:rFonts w:asciiTheme="majorHAnsi" w:hAnsiTheme="majorHAnsi"/>
          <w:sz w:val="22"/>
          <w:szCs w:val="22"/>
        </w:rPr>
      </w:pPr>
    </w:p>
    <w:p w14:paraId="14F67E10" w14:textId="77777777" w:rsidR="004A242B" w:rsidRPr="000156BF" w:rsidRDefault="004A242B" w:rsidP="000156BF">
      <w:pPr>
        <w:pStyle w:val="H1"/>
        <w:ind w:right="0"/>
        <w:rPr>
          <w:rFonts w:asciiTheme="majorHAnsi" w:hAnsiTheme="majorHAnsi"/>
          <w:sz w:val="22"/>
          <w:szCs w:val="22"/>
        </w:rPr>
      </w:pPr>
      <w:r w:rsidRPr="000156BF">
        <w:rPr>
          <w:rFonts w:asciiTheme="majorHAnsi" w:hAnsiTheme="majorHAnsi"/>
          <w:sz w:val="22"/>
          <w:szCs w:val="22"/>
        </w:rPr>
        <w:t>Relationship to other allowances and entitlements</w:t>
      </w:r>
    </w:p>
    <w:p w14:paraId="4F4EEA61" w14:textId="77777777" w:rsidR="004A242B" w:rsidRPr="000156BF" w:rsidRDefault="004A242B" w:rsidP="000156BF">
      <w:pPr>
        <w:pStyle w:val="SingleTxt"/>
        <w:spacing w:after="0" w:line="120" w:lineRule="exact"/>
        <w:ind w:right="0"/>
        <w:rPr>
          <w:rFonts w:asciiTheme="majorHAnsi" w:hAnsiTheme="majorHAnsi"/>
          <w:sz w:val="22"/>
          <w:szCs w:val="22"/>
        </w:rPr>
      </w:pPr>
    </w:p>
    <w:p w14:paraId="2182586B" w14:textId="77777777" w:rsidR="004A242B" w:rsidRPr="000156BF" w:rsidRDefault="004A242B" w:rsidP="000156BF">
      <w:pPr>
        <w:pStyle w:val="SingleTxt"/>
        <w:spacing w:after="0" w:line="120" w:lineRule="exact"/>
        <w:ind w:right="0"/>
        <w:rPr>
          <w:rFonts w:asciiTheme="majorHAnsi" w:hAnsiTheme="majorHAnsi"/>
          <w:sz w:val="22"/>
          <w:szCs w:val="22"/>
        </w:rPr>
      </w:pPr>
    </w:p>
    <w:p w14:paraId="12795C88" w14:textId="77777777" w:rsidR="005C7AE2" w:rsidRDefault="004A242B" w:rsidP="00C5354F">
      <w:pPr>
        <w:pStyle w:val="SingleTxt"/>
        <w:numPr>
          <w:ilvl w:val="0"/>
          <w:numId w:val="6"/>
        </w:numPr>
        <w:ind w:right="0"/>
        <w:rPr>
          <w:rFonts w:asciiTheme="majorHAnsi" w:eastAsiaTheme="minorEastAsia" w:hAnsiTheme="majorHAnsi" w:cs="Arial"/>
          <w:spacing w:val="0"/>
          <w:w w:val="100"/>
          <w:kern w:val="0"/>
          <w:sz w:val="22"/>
          <w:szCs w:val="22"/>
          <w:lang w:val="en-US"/>
        </w:rPr>
      </w:pPr>
      <w:r w:rsidRPr="005C7AE2">
        <w:rPr>
          <w:rFonts w:asciiTheme="majorHAnsi" w:eastAsiaTheme="minorEastAsia" w:hAnsiTheme="majorHAnsi" w:cs="Arial"/>
          <w:spacing w:val="0"/>
          <w:w w:val="100"/>
          <w:kern w:val="0"/>
          <w:sz w:val="22"/>
          <w:szCs w:val="22"/>
          <w:lang w:val="en-US"/>
        </w:rPr>
        <w:t>Amounts paid on account of the mobility and hardship scheme shall not be taken into account in the calculation of the rental subsidy to which staff members may be entitled.</w:t>
      </w:r>
      <w:r w:rsidR="005C7AE2" w:rsidRPr="005C7AE2">
        <w:rPr>
          <w:rFonts w:asciiTheme="majorHAnsi" w:eastAsiaTheme="minorEastAsia" w:hAnsiTheme="majorHAnsi" w:cs="Arial"/>
          <w:spacing w:val="0"/>
          <w:w w:val="100"/>
          <w:kern w:val="0"/>
          <w:sz w:val="22"/>
          <w:szCs w:val="22"/>
          <w:lang w:val="en-US"/>
        </w:rPr>
        <w:t xml:space="preserve"> </w:t>
      </w:r>
    </w:p>
    <w:p w14:paraId="1F5A1904" w14:textId="77777777" w:rsidR="005C7AE2" w:rsidRDefault="005C7AE2" w:rsidP="00C5354F">
      <w:pPr>
        <w:pStyle w:val="SingleTxt"/>
        <w:ind w:left="360" w:right="0"/>
        <w:rPr>
          <w:rFonts w:asciiTheme="majorHAnsi" w:eastAsiaTheme="minorEastAsia" w:hAnsiTheme="majorHAnsi" w:cs="Arial"/>
          <w:spacing w:val="0"/>
          <w:w w:val="100"/>
          <w:kern w:val="0"/>
          <w:sz w:val="22"/>
          <w:szCs w:val="22"/>
          <w:lang w:val="en-US"/>
        </w:rPr>
      </w:pPr>
    </w:p>
    <w:p w14:paraId="7279B2C0" w14:textId="77777777" w:rsidR="005C7AE2" w:rsidRDefault="00A13914" w:rsidP="00C5354F">
      <w:pPr>
        <w:pStyle w:val="SingleTxt"/>
        <w:numPr>
          <w:ilvl w:val="0"/>
          <w:numId w:val="6"/>
        </w:numPr>
        <w:ind w:right="0"/>
        <w:rPr>
          <w:rFonts w:asciiTheme="majorHAnsi" w:eastAsiaTheme="minorEastAsia" w:hAnsiTheme="majorHAnsi" w:cs="Arial"/>
          <w:spacing w:val="0"/>
          <w:w w:val="100"/>
          <w:kern w:val="0"/>
          <w:sz w:val="22"/>
          <w:szCs w:val="22"/>
          <w:lang w:val="en-US"/>
        </w:rPr>
      </w:pPr>
      <w:r w:rsidRPr="005C7AE2">
        <w:rPr>
          <w:rFonts w:asciiTheme="majorHAnsi" w:eastAsiaTheme="minorEastAsia" w:hAnsiTheme="majorHAnsi" w:cs="Arial"/>
          <w:spacing w:val="0"/>
          <w:w w:val="100"/>
          <w:kern w:val="0"/>
          <w:sz w:val="22"/>
          <w:szCs w:val="22"/>
          <w:lang w:val="en-US"/>
        </w:rPr>
        <w:t xml:space="preserve">A staff member is not </w:t>
      </w:r>
      <w:r w:rsidR="004A242B" w:rsidRPr="005C7AE2">
        <w:rPr>
          <w:rFonts w:asciiTheme="majorHAnsi" w:eastAsiaTheme="minorEastAsia" w:hAnsiTheme="majorHAnsi" w:cs="Arial"/>
          <w:spacing w:val="0"/>
          <w:w w:val="100"/>
          <w:kern w:val="0"/>
          <w:sz w:val="22"/>
          <w:szCs w:val="22"/>
          <w:lang w:val="en-US"/>
        </w:rPr>
        <w:t>eli</w:t>
      </w:r>
      <w:r w:rsidRPr="005C7AE2">
        <w:rPr>
          <w:rFonts w:asciiTheme="majorHAnsi" w:eastAsiaTheme="minorEastAsia" w:hAnsiTheme="majorHAnsi" w:cs="Arial"/>
          <w:spacing w:val="0"/>
          <w:w w:val="100"/>
          <w:kern w:val="0"/>
          <w:sz w:val="22"/>
          <w:szCs w:val="22"/>
          <w:lang w:val="en-US"/>
        </w:rPr>
        <w:t xml:space="preserve">gible </w:t>
      </w:r>
      <w:r w:rsidR="00BE3046" w:rsidRPr="005C7AE2">
        <w:rPr>
          <w:rFonts w:asciiTheme="majorHAnsi" w:eastAsiaTheme="minorEastAsia" w:hAnsiTheme="majorHAnsi" w:cs="Arial"/>
          <w:spacing w:val="0"/>
          <w:w w:val="100"/>
          <w:kern w:val="0"/>
          <w:sz w:val="22"/>
          <w:szCs w:val="22"/>
          <w:lang w:val="en-US"/>
        </w:rPr>
        <w:t>f</w:t>
      </w:r>
      <w:r w:rsidRPr="005C7AE2">
        <w:rPr>
          <w:rFonts w:asciiTheme="majorHAnsi" w:eastAsiaTheme="minorEastAsia" w:hAnsiTheme="majorHAnsi" w:cs="Arial"/>
          <w:spacing w:val="0"/>
          <w:w w:val="100"/>
          <w:kern w:val="0"/>
          <w:sz w:val="22"/>
          <w:szCs w:val="22"/>
          <w:lang w:val="en-US"/>
        </w:rPr>
        <w:t xml:space="preserve">or the </w:t>
      </w:r>
      <w:r w:rsidR="004A242B" w:rsidRPr="005C7AE2">
        <w:rPr>
          <w:rFonts w:asciiTheme="majorHAnsi" w:eastAsiaTheme="minorEastAsia" w:hAnsiTheme="majorHAnsi" w:cs="Arial"/>
          <w:spacing w:val="0"/>
          <w:w w:val="100"/>
          <w:kern w:val="0"/>
          <w:sz w:val="22"/>
          <w:szCs w:val="22"/>
          <w:lang w:val="en-US"/>
        </w:rPr>
        <w:t>non</w:t>
      </w:r>
      <w:r w:rsidR="004A242B" w:rsidRPr="005C7AE2">
        <w:rPr>
          <w:rFonts w:asciiTheme="majorHAnsi" w:eastAsiaTheme="minorEastAsia" w:hAnsiTheme="majorHAnsi" w:cs="Arial"/>
          <w:spacing w:val="0"/>
          <w:w w:val="100"/>
          <w:kern w:val="0"/>
          <w:sz w:val="22"/>
          <w:szCs w:val="22"/>
          <w:lang w:val="en-US"/>
        </w:rPr>
        <w:noBreakHyphen/>
        <w:t>family service allowance while concurrently receiving the security evacuation allowance</w:t>
      </w:r>
      <w:r w:rsidR="00BE3046" w:rsidRPr="005C7AE2">
        <w:rPr>
          <w:rFonts w:asciiTheme="majorHAnsi" w:eastAsiaTheme="minorEastAsia" w:hAnsiTheme="majorHAnsi" w:cs="Arial"/>
          <w:spacing w:val="0"/>
          <w:w w:val="100"/>
          <w:kern w:val="0"/>
          <w:sz w:val="22"/>
          <w:szCs w:val="22"/>
          <w:lang w:val="en-US"/>
        </w:rPr>
        <w:t xml:space="preserve"> (SEA)</w:t>
      </w:r>
      <w:r w:rsidR="004A242B" w:rsidRPr="005C7AE2">
        <w:rPr>
          <w:rFonts w:asciiTheme="majorHAnsi" w:eastAsiaTheme="minorEastAsia" w:hAnsiTheme="majorHAnsi" w:cs="Arial"/>
          <w:spacing w:val="0"/>
          <w:w w:val="100"/>
          <w:kern w:val="0"/>
          <w:sz w:val="22"/>
          <w:szCs w:val="22"/>
          <w:lang w:val="en-US"/>
        </w:rPr>
        <w:t xml:space="preserve"> for eligible family members. Accordingly, payment of the security evacuation allowance shall cease upon payment of the non-family service allowance.</w:t>
      </w:r>
    </w:p>
    <w:p w14:paraId="3419FAD2" w14:textId="77777777" w:rsidR="005C7AE2" w:rsidRDefault="005C7AE2" w:rsidP="00C5354F">
      <w:pPr>
        <w:pStyle w:val="ListParagraph"/>
        <w:jc w:val="both"/>
        <w:rPr>
          <w:rFonts w:asciiTheme="majorHAnsi" w:hAnsiTheme="majorHAnsi" w:cs="Arial"/>
          <w:sz w:val="22"/>
          <w:szCs w:val="22"/>
        </w:rPr>
      </w:pPr>
    </w:p>
    <w:p w14:paraId="6ECBE2B9" w14:textId="41CB6CCE" w:rsidR="004A242B" w:rsidRPr="005C7AE2" w:rsidRDefault="004A242B" w:rsidP="00C5354F">
      <w:pPr>
        <w:pStyle w:val="SingleTxt"/>
        <w:numPr>
          <w:ilvl w:val="0"/>
          <w:numId w:val="6"/>
        </w:numPr>
        <w:ind w:right="0"/>
        <w:rPr>
          <w:rFonts w:asciiTheme="majorHAnsi" w:eastAsiaTheme="minorEastAsia" w:hAnsiTheme="majorHAnsi" w:cs="Arial"/>
          <w:spacing w:val="0"/>
          <w:w w:val="100"/>
          <w:kern w:val="0"/>
          <w:sz w:val="22"/>
          <w:szCs w:val="22"/>
          <w:lang w:val="en-US"/>
        </w:rPr>
      </w:pPr>
      <w:r w:rsidRPr="005C7AE2">
        <w:rPr>
          <w:rFonts w:asciiTheme="majorHAnsi" w:eastAsiaTheme="minorEastAsia" w:hAnsiTheme="majorHAnsi" w:cs="Arial"/>
          <w:spacing w:val="0"/>
          <w:w w:val="100"/>
          <w:kern w:val="0"/>
          <w:sz w:val="22"/>
          <w:szCs w:val="22"/>
          <w:lang w:val="en-US"/>
        </w:rPr>
        <w:t xml:space="preserve">A </w:t>
      </w:r>
      <w:r w:rsidR="00A13914" w:rsidRPr="005C7AE2">
        <w:rPr>
          <w:rFonts w:asciiTheme="majorHAnsi" w:eastAsiaTheme="minorEastAsia" w:hAnsiTheme="majorHAnsi" w:cs="Arial"/>
          <w:spacing w:val="0"/>
          <w:w w:val="100"/>
          <w:kern w:val="0"/>
          <w:sz w:val="22"/>
          <w:szCs w:val="22"/>
          <w:lang w:val="en-US"/>
        </w:rPr>
        <w:t xml:space="preserve">staff member in receipt of the </w:t>
      </w:r>
      <w:r w:rsidRPr="005C7AE2">
        <w:rPr>
          <w:rFonts w:asciiTheme="majorHAnsi" w:eastAsiaTheme="minorEastAsia" w:hAnsiTheme="majorHAnsi" w:cs="Arial"/>
          <w:spacing w:val="0"/>
          <w:w w:val="100"/>
          <w:kern w:val="0"/>
          <w:sz w:val="22"/>
          <w:szCs w:val="22"/>
          <w:lang w:val="en-US"/>
        </w:rPr>
        <w:t>non</w:t>
      </w:r>
      <w:r w:rsidRPr="005C7AE2">
        <w:rPr>
          <w:rFonts w:asciiTheme="majorHAnsi" w:eastAsiaTheme="minorEastAsia" w:hAnsiTheme="majorHAnsi" w:cs="Arial"/>
          <w:spacing w:val="0"/>
          <w:w w:val="100"/>
          <w:kern w:val="0"/>
          <w:sz w:val="22"/>
          <w:szCs w:val="22"/>
          <w:lang w:val="en-US"/>
        </w:rPr>
        <w:noBreakHyphen/>
        <w:t xml:space="preserve">family service allowance who is temporarily relocated or evacuated from a non-family duty station will continue to be eligible for payment of the </w:t>
      </w:r>
      <w:r w:rsidRPr="005C7AE2">
        <w:rPr>
          <w:rFonts w:asciiTheme="majorHAnsi" w:eastAsiaTheme="minorEastAsia" w:hAnsiTheme="majorHAnsi" w:cs="Arial"/>
          <w:spacing w:val="0"/>
          <w:w w:val="100"/>
          <w:kern w:val="0"/>
          <w:sz w:val="22"/>
          <w:szCs w:val="22"/>
          <w:lang w:val="en-US"/>
        </w:rPr>
        <w:lastRenderedPageBreak/>
        <w:t>security evacuation allowance for himself or herself</w:t>
      </w:r>
      <w:r w:rsidR="001020BC" w:rsidRPr="005C7AE2">
        <w:rPr>
          <w:rFonts w:asciiTheme="majorHAnsi" w:eastAsiaTheme="minorEastAsia" w:hAnsiTheme="majorHAnsi" w:cs="Arial"/>
          <w:spacing w:val="0"/>
          <w:w w:val="100"/>
          <w:kern w:val="0"/>
          <w:sz w:val="22"/>
          <w:szCs w:val="22"/>
          <w:lang w:val="en-US"/>
        </w:rPr>
        <w:t xml:space="preserve"> as long as he/she remain assigned to </w:t>
      </w:r>
      <w:r w:rsidR="00CA46EF" w:rsidRPr="005C7AE2">
        <w:rPr>
          <w:rFonts w:asciiTheme="majorHAnsi" w:eastAsiaTheme="minorEastAsia" w:hAnsiTheme="majorHAnsi" w:cs="Arial"/>
          <w:spacing w:val="0"/>
          <w:w w:val="100"/>
          <w:kern w:val="0"/>
          <w:sz w:val="22"/>
          <w:szCs w:val="22"/>
          <w:lang w:val="en-US"/>
        </w:rPr>
        <w:t xml:space="preserve">the </w:t>
      </w:r>
      <w:r w:rsidR="001020BC" w:rsidRPr="005C7AE2">
        <w:rPr>
          <w:rFonts w:asciiTheme="majorHAnsi" w:eastAsiaTheme="minorEastAsia" w:hAnsiTheme="majorHAnsi" w:cs="Arial"/>
          <w:spacing w:val="0"/>
          <w:w w:val="100"/>
          <w:kern w:val="0"/>
          <w:sz w:val="22"/>
          <w:szCs w:val="22"/>
          <w:lang w:val="en-US"/>
        </w:rPr>
        <w:t>non-family duty station</w:t>
      </w:r>
      <w:r w:rsidRPr="005C7AE2">
        <w:rPr>
          <w:rFonts w:asciiTheme="majorHAnsi" w:eastAsiaTheme="minorEastAsia" w:hAnsiTheme="majorHAnsi" w:cs="Arial"/>
          <w:spacing w:val="0"/>
          <w:w w:val="100"/>
          <w:kern w:val="0"/>
          <w:sz w:val="22"/>
          <w:szCs w:val="22"/>
          <w:lang w:val="en-US"/>
        </w:rPr>
        <w:t>.</w:t>
      </w:r>
    </w:p>
    <w:p w14:paraId="2166ED48" w14:textId="77777777" w:rsidR="004A242B" w:rsidRPr="000156BF" w:rsidRDefault="004A242B" w:rsidP="000156BF">
      <w:pPr>
        <w:pStyle w:val="SingleTxt"/>
        <w:keepNext/>
        <w:spacing w:after="0" w:line="240" w:lineRule="auto"/>
        <w:ind w:right="0"/>
        <w:rPr>
          <w:rFonts w:asciiTheme="majorHAnsi" w:hAnsiTheme="majorHAnsi"/>
          <w:b/>
          <w:sz w:val="22"/>
          <w:szCs w:val="22"/>
        </w:rPr>
      </w:pPr>
    </w:p>
    <w:p w14:paraId="04A996DC" w14:textId="77777777" w:rsidR="004A242B" w:rsidRPr="000156BF" w:rsidRDefault="004A242B" w:rsidP="000156BF">
      <w:pPr>
        <w:pStyle w:val="SingleTxt"/>
        <w:keepNext/>
        <w:spacing w:after="0" w:line="240" w:lineRule="auto"/>
        <w:ind w:left="0" w:right="0"/>
        <w:rPr>
          <w:rFonts w:asciiTheme="majorHAnsi" w:hAnsiTheme="majorHAnsi"/>
          <w:b/>
          <w:sz w:val="22"/>
          <w:szCs w:val="22"/>
        </w:rPr>
      </w:pPr>
      <w:r w:rsidRPr="000156BF">
        <w:rPr>
          <w:rFonts w:asciiTheme="majorHAnsi" w:hAnsiTheme="majorHAnsi"/>
          <w:b/>
          <w:sz w:val="22"/>
          <w:szCs w:val="22"/>
        </w:rPr>
        <w:t>Transitional measures</w:t>
      </w:r>
    </w:p>
    <w:p w14:paraId="790D3622" w14:textId="77777777" w:rsidR="004A242B" w:rsidRPr="000156BF" w:rsidRDefault="004A242B" w:rsidP="000156BF">
      <w:pPr>
        <w:pStyle w:val="SingleTxt"/>
        <w:keepNext/>
        <w:spacing w:after="0" w:line="240" w:lineRule="auto"/>
        <w:ind w:right="0"/>
        <w:rPr>
          <w:rFonts w:asciiTheme="majorHAnsi" w:hAnsiTheme="majorHAnsi"/>
          <w:sz w:val="22"/>
          <w:szCs w:val="22"/>
        </w:rPr>
      </w:pPr>
    </w:p>
    <w:p w14:paraId="0AE2A9BF" w14:textId="77777777" w:rsidR="004A242B" w:rsidRDefault="004A242B" w:rsidP="000156BF">
      <w:pPr>
        <w:pStyle w:val="SingleTxt"/>
        <w:keepNext/>
        <w:numPr>
          <w:ilvl w:val="0"/>
          <w:numId w:val="6"/>
        </w:numPr>
        <w:spacing w:after="0" w:line="240" w:lineRule="auto"/>
        <w:ind w:right="0"/>
        <w:rPr>
          <w:rFonts w:asciiTheme="majorHAnsi" w:eastAsiaTheme="minorEastAsia" w:hAnsiTheme="majorHAnsi" w:cs="Arial"/>
          <w:spacing w:val="0"/>
          <w:w w:val="100"/>
          <w:kern w:val="0"/>
          <w:sz w:val="22"/>
          <w:szCs w:val="22"/>
          <w:lang w:val="en-US"/>
        </w:rPr>
      </w:pPr>
      <w:r w:rsidRPr="00C5354F">
        <w:rPr>
          <w:rFonts w:asciiTheme="majorHAnsi" w:eastAsiaTheme="minorEastAsia" w:hAnsiTheme="majorHAnsi" w:cs="Arial"/>
          <w:spacing w:val="0"/>
          <w:w w:val="100"/>
          <w:kern w:val="0"/>
          <w:sz w:val="22"/>
          <w:szCs w:val="22"/>
          <w:lang w:val="en-US"/>
        </w:rPr>
        <w:t xml:space="preserve">As a transitional measure, staff members in receipt of </w:t>
      </w:r>
      <w:r w:rsidR="00A13914" w:rsidRPr="00C5354F">
        <w:rPr>
          <w:rFonts w:asciiTheme="majorHAnsi" w:eastAsiaTheme="minorEastAsia" w:hAnsiTheme="majorHAnsi" w:cs="Arial"/>
          <w:spacing w:val="0"/>
          <w:w w:val="100"/>
          <w:kern w:val="0"/>
          <w:sz w:val="22"/>
          <w:szCs w:val="22"/>
          <w:lang w:val="en-US"/>
        </w:rPr>
        <w:t xml:space="preserve">the former </w:t>
      </w:r>
      <w:r w:rsidRPr="00C5354F">
        <w:rPr>
          <w:rFonts w:asciiTheme="majorHAnsi" w:eastAsiaTheme="minorEastAsia" w:hAnsiTheme="majorHAnsi" w:cs="Arial"/>
          <w:spacing w:val="0"/>
          <w:w w:val="100"/>
          <w:kern w:val="0"/>
          <w:sz w:val="22"/>
          <w:szCs w:val="22"/>
          <w:lang w:val="en-US"/>
        </w:rPr>
        <w:t xml:space="preserve">non-removal allowance on 30 June 2016 shall continue to receive payment of the allowance for up to five years at the same duty station or until the staff member moves to another duty station, whichever is earlier.  </w:t>
      </w:r>
    </w:p>
    <w:p w14:paraId="63EDF217" w14:textId="77777777" w:rsidR="00C5354F" w:rsidRPr="00C5354F" w:rsidRDefault="00C5354F" w:rsidP="00C5354F">
      <w:pPr>
        <w:pStyle w:val="SingleTxt"/>
        <w:keepNext/>
        <w:spacing w:after="0" w:line="240" w:lineRule="auto"/>
        <w:ind w:left="360" w:right="0"/>
        <w:rPr>
          <w:rFonts w:asciiTheme="majorHAnsi" w:eastAsiaTheme="minorEastAsia" w:hAnsiTheme="majorHAnsi" w:cs="Arial"/>
          <w:spacing w:val="0"/>
          <w:w w:val="100"/>
          <w:kern w:val="0"/>
          <w:sz w:val="22"/>
          <w:szCs w:val="22"/>
          <w:lang w:val="en-US"/>
        </w:rPr>
      </w:pPr>
    </w:p>
    <w:p w14:paraId="1385FD11" w14:textId="5F25C09E" w:rsidR="004A242B" w:rsidRPr="00C5354F" w:rsidRDefault="004A242B" w:rsidP="000156BF">
      <w:pPr>
        <w:pStyle w:val="SingleTxt"/>
        <w:keepNext/>
        <w:numPr>
          <w:ilvl w:val="0"/>
          <w:numId w:val="6"/>
        </w:numPr>
        <w:spacing w:after="0" w:line="240" w:lineRule="auto"/>
        <w:ind w:right="0"/>
        <w:rPr>
          <w:rFonts w:asciiTheme="majorHAnsi" w:eastAsiaTheme="minorEastAsia" w:hAnsiTheme="majorHAnsi" w:cs="Arial"/>
          <w:spacing w:val="0"/>
          <w:w w:val="100"/>
          <w:kern w:val="0"/>
          <w:sz w:val="22"/>
          <w:szCs w:val="22"/>
          <w:lang w:val="en-US"/>
        </w:rPr>
      </w:pPr>
      <w:r w:rsidRPr="00C5354F">
        <w:rPr>
          <w:rFonts w:asciiTheme="majorHAnsi" w:eastAsiaTheme="minorEastAsia" w:hAnsiTheme="majorHAnsi" w:cs="Arial"/>
          <w:spacing w:val="0"/>
          <w:w w:val="100"/>
          <w:kern w:val="0"/>
          <w:sz w:val="22"/>
          <w:szCs w:val="22"/>
          <w:lang w:val="en-US"/>
        </w:rPr>
        <w:t xml:space="preserve">Eligible staff </w:t>
      </w:r>
      <w:r w:rsidR="00BE3046" w:rsidRPr="00C5354F">
        <w:rPr>
          <w:rFonts w:asciiTheme="majorHAnsi" w:eastAsiaTheme="minorEastAsia" w:hAnsiTheme="majorHAnsi" w:cs="Arial"/>
          <w:spacing w:val="0"/>
          <w:w w:val="100"/>
          <w:kern w:val="0"/>
          <w:sz w:val="22"/>
          <w:szCs w:val="22"/>
          <w:lang w:val="en-US"/>
        </w:rPr>
        <w:t>members</w:t>
      </w:r>
      <w:r w:rsidR="001020BC" w:rsidRPr="00C5354F">
        <w:rPr>
          <w:rFonts w:asciiTheme="majorHAnsi" w:eastAsiaTheme="minorEastAsia" w:hAnsiTheme="majorHAnsi" w:cs="Arial"/>
          <w:spacing w:val="0"/>
          <w:w w:val="100"/>
          <w:kern w:val="0"/>
          <w:sz w:val="22"/>
          <w:szCs w:val="22"/>
          <w:lang w:val="en-US"/>
        </w:rPr>
        <w:t xml:space="preserve"> </w:t>
      </w:r>
      <w:r w:rsidRPr="00C5354F">
        <w:rPr>
          <w:rFonts w:asciiTheme="majorHAnsi" w:eastAsiaTheme="minorEastAsia" w:hAnsiTheme="majorHAnsi" w:cs="Arial"/>
          <w:spacing w:val="0"/>
          <w:w w:val="100"/>
          <w:kern w:val="0"/>
          <w:sz w:val="22"/>
          <w:szCs w:val="22"/>
          <w:lang w:val="en-US"/>
        </w:rPr>
        <w:t>who moved to their new assignment before 1 July 2016 shall continue to receive current mobility allowance amounts up to 5 years at the same duty station, or until they are re-assigned to another duty station, whichever is earlier.</w:t>
      </w:r>
    </w:p>
    <w:p w14:paraId="164A29B4" w14:textId="77777777" w:rsidR="005A4678" w:rsidRPr="000156BF" w:rsidRDefault="005A4678" w:rsidP="000156BF">
      <w:pPr>
        <w:pStyle w:val="SingleTxt"/>
        <w:ind w:left="0" w:right="0"/>
        <w:rPr>
          <w:rFonts w:asciiTheme="majorHAnsi" w:hAnsiTheme="majorHAnsi"/>
          <w:sz w:val="22"/>
          <w:szCs w:val="22"/>
        </w:rPr>
      </w:pPr>
    </w:p>
    <w:p w14:paraId="3933E1B4" w14:textId="05F3BED6" w:rsidR="009F2A40" w:rsidRPr="000156BF" w:rsidRDefault="009F2A40" w:rsidP="000156BF">
      <w:pPr>
        <w:rPr>
          <w:rFonts w:asciiTheme="majorHAnsi" w:hAnsiTheme="majorHAnsi"/>
          <w:b/>
          <w:sz w:val="22"/>
          <w:szCs w:val="22"/>
        </w:rPr>
      </w:pPr>
      <w:r w:rsidRPr="000156BF">
        <w:rPr>
          <w:rFonts w:asciiTheme="majorHAnsi" w:hAnsiTheme="majorHAnsi"/>
          <w:sz w:val="22"/>
          <w:szCs w:val="22"/>
        </w:rPr>
        <w:br w:type="page"/>
      </w:r>
      <w:r w:rsidRPr="000156BF">
        <w:rPr>
          <w:rFonts w:asciiTheme="majorHAnsi" w:hAnsiTheme="majorHAnsi"/>
          <w:b/>
          <w:sz w:val="22"/>
          <w:szCs w:val="22"/>
        </w:rPr>
        <w:lastRenderedPageBreak/>
        <w:t>Annex 1</w:t>
      </w:r>
    </w:p>
    <w:p w14:paraId="16667735" w14:textId="77777777" w:rsidR="009F2A40" w:rsidRPr="000156BF" w:rsidRDefault="009F2A40" w:rsidP="000156BF">
      <w:pPr>
        <w:rPr>
          <w:rFonts w:asciiTheme="majorHAnsi" w:hAnsiTheme="majorHAnsi"/>
          <w:sz w:val="22"/>
          <w:szCs w:val="22"/>
        </w:rPr>
      </w:pPr>
    </w:p>
    <w:p w14:paraId="73F7E44C" w14:textId="77777777" w:rsidR="009F2A40" w:rsidRPr="000156BF" w:rsidRDefault="009F2A40" w:rsidP="000156BF">
      <w:pPr>
        <w:rPr>
          <w:rFonts w:asciiTheme="majorHAnsi" w:hAnsiTheme="majorHAnsi"/>
          <w:b/>
          <w:sz w:val="22"/>
          <w:szCs w:val="22"/>
        </w:rPr>
      </w:pPr>
      <w:r w:rsidRPr="000156BF">
        <w:rPr>
          <w:rFonts w:asciiTheme="majorHAnsi" w:hAnsiTheme="majorHAnsi"/>
          <w:b/>
          <w:sz w:val="22"/>
          <w:szCs w:val="22"/>
        </w:rPr>
        <w:t>Mobility Incentives</w:t>
      </w:r>
    </w:p>
    <w:p w14:paraId="07FE32B8" w14:textId="77777777" w:rsidR="009F2A40" w:rsidRPr="000156BF" w:rsidRDefault="009F2A40" w:rsidP="000156BF">
      <w:pPr>
        <w:rPr>
          <w:rFonts w:asciiTheme="majorHAnsi" w:hAnsiTheme="majorHAnsi"/>
          <w:b/>
          <w:sz w:val="22"/>
          <w:szCs w:val="22"/>
        </w:rPr>
      </w:pPr>
    </w:p>
    <w:p w14:paraId="3DEC811B" w14:textId="77777777" w:rsidR="009F2A40" w:rsidRPr="00C5354F" w:rsidRDefault="009F2A40" w:rsidP="000156BF">
      <w:pPr>
        <w:rPr>
          <w:rFonts w:asciiTheme="majorHAnsi" w:hAnsiTheme="majorHAnsi" w:cs="Arial"/>
          <w:sz w:val="22"/>
          <w:szCs w:val="22"/>
        </w:rPr>
      </w:pPr>
      <w:r w:rsidRPr="00C5354F">
        <w:rPr>
          <w:rFonts w:asciiTheme="majorHAnsi" w:hAnsiTheme="majorHAnsi" w:cs="Arial"/>
          <w:sz w:val="22"/>
          <w:szCs w:val="22"/>
        </w:rPr>
        <w:t>NOTE: Mobility incentive is not paid for assignments to category H duty stations, and applies only to assignments of a year or longer to category A-E duty stations.</w:t>
      </w:r>
    </w:p>
    <w:p w14:paraId="3521AE7E" w14:textId="77777777" w:rsidR="009F2A40" w:rsidRPr="000156BF" w:rsidRDefault="009F2A40" w:rsidP="000156BF">
      <w:pPr>
        <w:rPr>
          <w:rFonts w:asciiTheme="majorHAnsi" w:hAnsiTheme="majorHAnsi"/>
          <w:sz w:val="22"/>
          <w:szCs w:val="22"/>
        </w:rPr>
      </w:pPr>
    </w:p>
    <w:p w14:paraId="682FEEC3" w14:textId="77777777" w:rsidR="009F2A40" w:rsidRPr="000156BF" w:rsidRDefault="009F2A40" w:rsidP="000156BF">
      <w:pPr>
        <w:rPr>
          <w:rFonts w:asciiTheme="majorHAnsi" w:hAnsiTheme="majorHAnsi"/>
          <w:i/>
          <w:sz w:val="22"/>
          <w:szCs w:val="22"/>
        </w:rPr>
      </w:pPr>
      <w:r w:rsidRPr="000156BF">
        <w:rPr>
          <w:rFonts w:asciiTheme="majorHAnsi" w:hAnsiTheme="majorHAnsi"/>
          <w:i/>
          <w:sz w:val="22"/>
          <w:szCs w:val="22"/>
        </w:rPr>
        <w:t>Annual amounts in US dollars</w:t>
      </w:r>
    </w:p>
    <w:p w14:paraId="11E7AAA0" w14:textId="77777777" w:rsidR="009F2A40" w:rsidRPr="000156BF" w:rsidRDefault="009F2A40" w:rsidP="000156BF">
      <w:pPr>
        <w:rPr>
          <w:rFonts w:asciiTheme="majorHAnsi" w:hAnsiTheme="majorHAnsi"/>
          <w:i/>
          <w:sz w:val="22"/>
          <w:szCs w:val="22"/>
        </w:rPr>
      </w:pPr>
    </w:p>
    <w:p w14:paraId="7F89724B"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1817"/>
        <w:gridCol w:w="1666"/>
        <w:gridCol w:w="1714"/>
        <w:gridCol w:w="1714"/>
        <w:gridCol w:w="1719"/>
      </w:tblGrid>
      <w:tr w:rsidR="009F2A40" w:rsidRPr="000156BF" w14:paraId="37EEC301" w14:textId="77777777" w:rsidTr="004839E2">
        <w:trPr>
          <w:trHeight w:val="283"/>
        </w:trPr>
        <w:tc>
          <w:tcPr>
            <w:tcW w:w="10186" w:type="dxa"/>
            <w:gridSpan w:val="5"/>
          </w:tcPr>
          <w:p w14:paraId="56F2B3F6" w14:textId="77777777" w:rsidR="009F2A40" w:rsidRPr="000156BF" w:rsidRDefault="009F2A40" w:rsidP="000156BF">
            <w:pPr>
              <w:rPr>
                <w:rFonts w:asciiTheme="majorHAnsi" w:hAnsiTheme="majorHAnsi"/>
                <w:b/>
                <w:sz w:val="22"/>
                <w:szCs w:val="22"/>
              </w:rPr>
            </w:pPr>
            <w:r w:rsidRPr="000156BF">
              <w:rPr>
                <w:rFonts w:asciiTheme="majorHAnsi" w:hAnsiTheme="majorHAnsi"/>
                <w:b/>
                <w:sz w:val="22"/>
                <w:szCs w:val="22"/>
              </w:rPr>
              <w:t>P-1 to P-3 and FS-1–FS6</w:t>
            </w:r>
          </w:p>
        </w:tc>
      </w:tr>
      <w:tr w:rsidR="009F2A40" w:rsidRPr="000156BF" w14:paraId="0733679E" w14:textId="77777777" w:rsidTr="004839E2">
        <w:trPr>
          <w:trHeight w:val="304"/>
        </w:trPr>
        <w:tc>
          <w:tcPr>
            <w:tcW w:w="2036" w:type="dxa"/>
            <w:vMerge w:val="restart"/>
          </w:tcPr>
          <w:p w14:paraId="5DBBC0A6" w14:textId="77777777" w:rsidR="009F2A40" w:rsidRPr="000156BF" w:rsidRDefault="009F2A40" w:rsidP="000156BF">
            <w:pPr>
              <w:jc w:val="center"/>
              <w:rPr>
                <w:rFonts w:asciiTheme="majorHAnsi" w:hAnsiTheme="majorHAnsi"/>
                <w:i/>
                <w:sz w:val="22"/>
                <w:szCs w:val="22"/>
              </w:rPr>
            </w:pPr>
            <w:r w:rsidRPr="000156BF">
              <w:rPr>
                <w:rFonts w:asciiTheme="majorHAnsi" w:hAnsiTheme="majorHAnsi"/>
                <w:i/>
                <w:sz w:val="22"/>
                <w:szCs w:val="22"/>
              </w:rPr>
              <w:t>Duty Station Category</w:t>
            </w:r>
          </w:p>
        </w:tc>
        <w:tc>
          <w:tcPr>
            <w:tcW w:w="8150" w:type="dxa"/>
            <w:gridSpan w:val="4"/>
          </w:tcPr>
          <w:p w14:paraId="06DA7E7E" w14:textId="77777777" w:rsidR="009F2A40" w:rsidRPr="000156BF" w:rsidRDefault="009F2A40" w:rsidP="000156BF">
            <w:pPr>
              <w:jc w:val="center"/>
              <w:rPr>
                <w:rFonts w:asciiTheme="majorHAnsi" w:hAnsiTheme="majorHAnsi"/>
                <w:i/>
                <w:sz w:val="22"/>
                <w:szCs w:val="22"/>
              </w:rPr>
            </w:pPr>
            <w:r w:rsidRPr="000156BF">
              <w:rPr>
                <w:rFonts w:asciiTheme="majorHAnsi" w:hAnsiTheme="majorHAnsi"/>
                <w:i/>
                <w:sz w:val="22"/>
                <w:szCs w:val="22"/>
              </w:rPr>
              <w:t>Number of Assignments</w:t>
            </w:r>
          </w:p>
        </w:tc>
      </w:tr>
      <w:tr w:rsidR="009F2A40" w:rsidRPr="000156BF" w14:paraId="569ACB0E" w14:textId="77777777" w:rsidTr="004839E2">
        <w:trPr>
          <w:trHeight w:val="158"/>
        </w:trPr>
        <w:tc>
          <w:tcPr>
            <w:tcW w:w="2036" w:type="dxa"/>
            <w:vMerge/>
          </w:tcPr>
          <w:p w14:paraId="5A1AC295" w14:textId="77777777" w:rsidR="009F2A40" w:rsidRPr="000156BF" w:rsidRDefault="009F2A40" w:rsidP="000156BF">
            <w:pPr>
              <w:jc w:val="center"/>
              <w:rPr>
                <w:rFonts w:asciiTheme="majorHAnsi" w:hAnsiTheme="majorHAnsi"/>
                <w:sz w:val="22"/>
                <w:szCs w:val="22"/>
              </w:rPr>
            </w:pPr>
          </w:p>
        </w:tc>
        <w:tc>
          <w:tcPr>
            <w:tcW w:w="2036" w:type="dxa"/>
          </w:tcPr>
          <w:p w14:paraId="4FA7B215"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1</w:t>
            </w:r>
          </w:p>
        </w:tc>
        <w:tc>
          <w:tcPr>
            <w:tcW w:w="2036" w:type="dxa"/>
          </w:tcPr>
          <w:p w14:paraId="6F67B54E"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2-3</w:t>
            </w:r>
          </w:p>
        </w:tc>
        <w:tc>
          <w:tcPr>
            <w:tcW w:w="2036" w:type="dxa"/>
          </w:tcPr>
          <w:p w14:paraId="78A35DD4"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4-6</w:t>
            </w:r>
          </w:p>
        </w:tc>
        <w:tc>
          <w:tcPr>
            <w:tcW w:w="2042" w:type="dxa"/>
          </w:tcPr>
          <w:p w14:paraId="2E538ED2"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7+</w:t>
            </w:r>
          </w:p>
        </w:tc>
      </w:tr>
      <w:tr w:rsidR="009F2A40" w:rsidRPr="000156BF" w14:paraId="57432769" w14:textId="77777777" w:rsidTr="004839E2">
        <w:trPr>
          <w:trHeight w:val="304"/>
        </w:trPr>
        <w:tc>
          <w:tcPr>
            <w:tcW w:w="2036" w:type="dxa"/>
          </w:tcPr>
          <w:p w14:paraId="0B6CBDD8"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A-E</w:t>
            </w:r>
          </w:p>
        </w:tc>
        <w:tc>
          <w:tcPr>
            <w:tcW w:w="2036" w:type="dxa"/>
          </w:tcPr>
          <w:p w14:paraId="65BBAE34"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0</w:t>
            </w:r>
          </w:p>
        </w:tc>
        <w:tc>
          <w:tcPr>
            <w:tcW w:w="2036" w:type="dxa"/>
          </w:tcPr>
          <w:p w14:paraId="6C16FD92"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6 500</w:t>
            </w:r>
          </w:p>
        </w:tc>
        <w:tc>
          <w:tcPr>
            <w:tcW w:w="2036" w:type="dxa"/>
          </w:tcPr>
          <w:p w14:paraId="490AAD78"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8 125</w:t>
            </w:r>
          </w:p>
        </w:tc>
        <w:tc>
          <w:tcPr>
            <w:tcW w:w="2042" w:type="dxa"/>
          </w:tcPr>
          <w:p w14:paraId="39ADAFEF"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9 750</w:t>
            </w:r>
          </w:p>
        </w:tc>
      </w:tr>
    </w:tbl>
    <w:p w14:paraId="464BBAD7" w14:textId="77777777" w:rsidR="009F2A40" w:rsidRPr="000156BF" w:rsidRDefault="009F2A40" w:rsidP="000156BF">
      <w:pPr>
        <w:rPr>
          <w:rFonts w:asciiTheme="majorHAnsi" w:hAnsiTheme="majorHAnsi"/>
          <w:sz w:val="22"/>
          <w:szCs w:val="22"/>
        </w:rPr>
      </w:pPr>
    </w:p>
    <w:tbl>
      <w:tblPr>
        <w:tblStyle w:val="TableGrid"/>
        <w:tblW w:w="0" w:type="auto"/>
        <w:tblLook w:val="04A0" w:firstRow="1" w:lastRow="0" w:firstColumn="1" w:lastColumn="0" w:noHBand="0" w:noVBand="1"/>
      </w:tblPr>
      <w:tblGrid>
        <w:gridCol w:w="1817"/>
        <w:gridCol w:w="1667"/>
        <w:gridCol w:w="1715"/>
        <w:gridCol w:w="1715"/>
        <w:gridCol w:w="1716"/>
      </w:tblGrid>
      <w:tr w:rsidR="009F2A40" w:rsidRPr="000156BF" w14:paraId="0A3F33B4" w14:textId="77777777" w:rsidTr="004839E2">
        <w:trPr>
          <w:trHeight w:val="297"/>
        </w:trPr>
        <w:tc>
          <w:tcPr>
            <w:tcW w:w="10182" w:type="dxa"/>
            <w:gridSpan w:val="5"/>
          </w:tcPr>
          <w:p w14:paraId="624B9FD2" w14:textId="77777777" w:rsidR="009F2A40" w:rsidRPr="000156BF" w:rsidRDefault="009F2A40" w:rsidP="000156BF">
            <w:pPr>
              <w:rPr>
                <w:rFonts w:asciiTheme="majorHAnsi" w:hAnsiTheme="majorHAnsi"/>
                <w:b/>
                <w:sz w:val="22"/>
                <w:szCs w:val="22"/>
              </w:rPr>
            </w:pPr>
            <w:r w:rsidRPr="000156BF">
              <w:rPr>
                <w:rFonts w:asciiTheme="majorHAnsi" w:hAnsiTheme="majorHAnsi"/>
                <w:b/>
                <w:sz w:val="22"/>
                <w:szCs w:val="22"/>
              </w:rPr>
              <w:t>P-4 to P-5 and FS 7</w:t>
            </w:r>
          </w:p>
        </w:tc>
      </w:tr>
      <w:tr w:rsidR="009F2A40" w:rsidRPr="000156BF" w14:paraId="09BD3FFA" w14:textId="77777777" w:rsidTr="004839E2">
        <w:trPr>
          <w:trHeight w:val="297"/>
        </w:trPr>
        <w:tc>
          <w:tcPr>
            <w:tcW w:w="2036" w:type="dxa"/>
            <w:vMerge w:val="restart"/>
          </w:tcPr>
          <w:p w14:paraId="35AF2FE5" w14:textId="77777777" w:rsidR="009F2A40" w:rsidRPr="000156BF" w:rsidRDefault="009F2A40" w:rsidP="000156BF">
            <w:pPr>
              <w:jc w:val="center"/>
              <w:rPr>
                <w:rFonts w:asciiTheme="majorHAnsi" w:hAnsiTheme="majorHAnsi"/>
                <w:i/>
                <w:sz w:val="22"/>
                <w:szCs w:val="22"/>
              </w:rPr>
            </w:pPr>
            <w:r w:rsidRPr="000156BF">
              <w:rPr>
                <w:rFonts w:asciiTheme="majorHAnsi" w:hAnsiTheme="majorHAnsi"/>
                <w:i/>
                <w:sz w:val="22"/>
                <w:szCs w:val="22"/>
              </w:rPr>
              <w:t>Duty Station Category</w:t>
            </w:r>
          </w:p>
        </w:tc>
        <w:tc>
          <w:tcPr>
            <w:tcW w:w="8146" w:type="dxa"/>
            <w:gridSpan w:val="4"/>
          </w:tcPr>
          <w:p w14:paraId="1CCD442D" w14:textId="77777777" w:rsidR="009F2A40" w:rsidRPr="000156BF" w:rsidRDefault="009F2A40" w:rsidP="000156BF">
            <w:pPr>
              <w:jc w:val="center"/>
              <w:rPr>
                <w:rFonts w:asciiTheme="majorHAnsi" w:hAnsiTheme="majorHAnsi"/>
                <w:i/>
                <w:sz w:val="22"/>
                <w:szCs w:val="22"/>
              </w:rPr>
            </w:pPr>
            <w:r w:rsidRPr="000156BF">
              <w:rPr>
                <w:rFonts w:asciiTheme="majorHAnsi" w:hAnsiTheme="majorHAnsi"/>
                <w:i/>
                <w:sz w:val="22"/>
                <w:szCs w:val="22"/>
              </w:rPr>
              <w:t>Number of Assignments</w:t>
            </w:r>
          </w:p>
        </w:tc>
      </w:tr>
      <w:tr w:rsidR="009F2A40" w:rsidRPr="000156BF" w14:paraId="63F01FC1" w14:textId="77777777" w:rsidTr="004839E2">
        <w:trPr>
          <w:trHeight w:val="155"/>
        </w:trPr>
        <w:tc>
          <w:tcPr>
            <w:tcW w:w="2036" w:type="dxa"/>
            <w:vMerge/>
          </w:tcPr>
          <w:p w14:paraId="3C4C1431" w14:textId="77777777" w:rsidR="009F2A40" w:rsidRPr="000156BF" w:rsidRDefault="009F2A40" w:rsidP="000156BF">
            <w:pPr>
              <w:jc w:val="center"/>
              <w:rPr>
                <w:rFonts w:asciiTheme="majorHAnsi" w:hAnsiTheme="majorHAnsi"/>
                <w:sz w:val="22"/>
                <w:szCs w:val="22"/>
              </w:rPr>
            </w:pPr>
          </w:p>
        </w:tc>
        <w:tc>
          <w:tcPr>
            <w:tcW w:w="2036" w:type="dxa"/>
          </w:tcPr>
          <w:p w14:paraId="4DAF6262"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1</w:t>
            </w:r>
          </w:p>
        </w:tc>
        <w:tc>
          <w:tcPr>
            <w:tcW w:w="2036" w:type="dxa"/>
          </w:tcPr>
          <w:p w14:paraId="5C5E277C"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2-3</w:t>
            </w:r>
          </w:p>
        </w:tc>
        <w:tc>
          <w:tcPr>
            <w:tcW w:w="2036" w:type="dxa"/>
          </w:tcPr>
          <w:p w14:paraId="231DB0BE"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4-6</w:t>
            </w:r>
          </w:p>
        </w:tc>
        <w:tc>
          <w:tcPr>
            <w:tcW w:w="2038" w:type="dxa"/>
          </w:tcPr>
          <w:p w14:paraId="451223B1"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7+</w:t>
            </w:r>
          </w:p>
        </w:tc>
      </w:tr>
      <w:tr w:rsidR="009F2A40" w:rsidRPr="000156BF" w14:paraId="0118DC87" w14:textId="77777777" w:rsidTr="004839E2">
        <w:trPr>
          <w:trHeight w:val="297"/>
        </w:trPr>
        <w:tc>
          <w:tcPr>
            <w:tcW w:w="2036" w:type="dxa"/>
          </w:tcPr>
          <w:p w14:paraId="0DFF22E2"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A-E</w:t>
            </w:r>
          </w:p>
        </w:tc>
        <w:tc>
          <w:tcPr>
            <w:tcW w:w="2036" w:type="dxa"/>
          </w:tcPr>
          <w:p w14:paraId="0FE9DD92"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0</w:t>
            </w:r>
          </w:p>
        </w:tc>
        <w:tc>
          <w:tcPr>
            <w:tcW w:w="2036" w:type="dxa"/>
          </w:tcPr>
          <w:p w14:paraId="19E5D6A0"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8 125</w:t>
            </w:r>
          </w:p>
        </w:tc>
        <w:tc>
          <w:tcPr>
            <w:tcW w:w="2036" w:type="dxa"/>
          </w:tcPr>
          <w:p w14:paraId="21676E86"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10 156</w:t>
            </w:r>
          </w:p>
        </w:tc>
        <w:tc>
          <w:tcPr>
            <w:tcW w:w="2038" w:type="dxa"/>
          </w:tcPr>
          <w:p w14:paraId="1807DF94"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12 188</w:t>
            </w:r>
          </w:p>
        </w:tc>
      </w:tr>
    </w:tbl>
    <w:p w14:paraId="31D0DD84" w14:textId="77777777" w:rsidR="009F2A40" w:rsidRPr="000156BF" w:rsidRDefault="009F2A40" w:rsidP="000156BF">
      <w:pPr>
        <w:rPr>
          <w:rFonts w:asciiTheme="majorHAnsi" w:hAnsiTheme="majorHAnsi"/>
          <w:sz w:val="22"/>
          <w:szCs w:val="22"/>
        </w:rPr>
      </w:pPr>
    </w:p>
    <w:tbl>
      <w:tblPr>
        <w:tblStyle w:val="TableGrid"/>
        <w:tblW w:w="0" w:type="auto"/>
        <w:tblLook w:val="04A0" w:firstRow="1" w:lastRow="0" w:firstColumn="1" w:lastColumn="0" w:noHBand="0" w:noVBand="1"/>
      </w:tblPr>
      <w:tblGrid>
        <w:gridCol w:w="1816"/>
        <w:gridCol w:w="1666"/>
        <w:gridCol w:w="1715"/>
        <w:gridCol w:w="1715"/>
        <w:gridCol w:w="1718"/>
      </w:tblGrid>
      <w:tr w:rsidR="009F2A40" w:rsidRPr="000156BF" w14:paraId="015FE76F" w14:textId="77777777" w:rsidTr="004839E2">
        <w:trPr>
          <w:trHeight w:val="473"/>
        </w:trPr>
        <w:tc>
          <w:tcPr>
            <w:tcW w:w="10184" w:type="dxa"/>
            <w:gridSpan w:val="5"/>
          </w:tcPr>
          <w:p w14:paraId="34CEECD1" w14:textId="77777777" w:rsidR="009F2A40" w:rsidRPr="000156BF" w:rsidRDefault="009F2A40" w:rsidP="000156BF">
            <w:pPr>
              <w:rPr>
                <w:rFonts w:asciiTheme="majorHAnsi" w:hAnsiTheme="majorHAnsi"/>
                <w:b/>
                <w:sz w:val="22"/>
                <w:szCs w:val="22"/>
              </w:rPr>
            </w:pPr>
            <w:r w:rsidRPr="000156BF">
              <w:rPr>
                <w:rFonts w:asciiTheme="majorHAnsi" w:hAnsiTheme="majorHAnsi"/>
                <w:b/>
                <w:sz w:val="22"/>
                <w:szCs w:val="22"/>
              </w:rPr>
              <w:t>D-1 and above</w:t>
            </w:r>
          </w:p>
        </w:tc>
      </w:tr>
      <w:tr w:rsidR="009F2A40" w:rsidRPr="000156BF" w14:paraId="31D28505" w14:textId="77777777" w:rsidTr="004839E2">
        <w:trPr>
          <w:trHeight w:val="473"/>
        </w:trPr>
        <w:tc>
          <w:tcPr>
            <w:tcW w:w="2036" w:type="dxa"/>
            <w:vMerge w:val="restart"/>
          </w:tcPr>
          <w:p w14:paraId="573E2C75" w14:textId="77777777" w:rsidR="009F2A40" w:rsidRPr="000156BF" w:rsidRDefault="009F2A40" w:rsidP="000156BF">
            <w:pPr>
              <w:jc w:val="center"/>
              <w:rPr>
                <w:rFonts w:asciiTheme="majorHAnsi" w:hAnsiTheme="majorHAnsi"/>
                <w:i/>
                <w:sz w:val="22"/>
                <w:szCs w:val="22"/>
              </w:rPr>
            </w:pPr>
            <w:r w:rsidRPr="000156BF">
              <w:rPr>
                <w:rFonts w:asciiTheme="majorHAnsi" w:hAnsiTheme="majorHAnsi"/>
                <w:i/>
                <w:sz w:val="22"/>
                <w:szCs w:val="22"/>
              </w:rPr>
              <w:t>Duty Station Category</w:t>
            </w:r>
          </w:p>
        </w:tc>
        <w:tc>
          <w:tcPr>
            <w:tcW w:w="8148" w:type="dxa"/>
            <w:gridSpan w:val="4"/>
          </w:tcPr>
          <w:p w14:paraId="073C5D43" w14:textId="77777777" w:rsidR="009F2A40" w:rsidRPr="000156BF" w:rsidRDefault="009F2A40" w:rsidP="000156BF">
            <w:pPr>
              <w:jc w:val="center"/>
              <w:rPr>
                <w:rFonts w:asciiTheme="majorHAnsi" w:hAnsiTheme="majorHAnsi"/>
                <w:i/>
                <w:sz w:val="22"/>
                <w:szCs w:val="22"/>
              </w:rPr>
            </w:pPr>
            <w:r w:rsidRPr="000156BF">
              <w:rPr>
                <w:rFonts w:asciiTheme="majorHAnsi" w:hAnsiTheme="majorHAnsi"/>
                <w:i/>
                <w:sz w:val="22"/>
                <w:szCs w:val="22"/>
              </w:rPr>
              <w:t>Number of Assignments</w:t>
            </w:r>
          </w:p>
        </w:tc>
      </w:tr>
      <w:tr w:rsidR="009F2A40" w:rsidRPr="000156BF" w14:paraId="26DB4F27" w14:textId="77777777" w:rsidTr="004839E2">
        <w:trPr>
          <w:trHeight w:val="247"/>
        </w:trPr>
        <w:tc>
          <w:tcPr>
            <w:tcW w:w="2036" w:type="dxa"/>
            <w:vMerge/>
          </w:tcPr>
          <w:p w14:paraId="7445D4B3" w14:textId="77777777" w:rsidR="009F2A40" w:rsidRPr="000156BF" w:rsidRDefault="009F2A40" w:rsidP="000156BF">
            <w:pPr>
              <w:jc w:val="center"/>
              <w:rPr>
                <w:rFonts w:asciiTheme="majorHAnsi" w:hAnsiTheme="majorHAnsi"/>
                <w:sz w:val="22"/>
                <w:szCs w:val="22"/>
              </w:rPr>
            </w:pPr>
          </w:p>
        </w:tc>
        <w:tc>
          <w:tcPr>
            <w:tcW w:w="2036" w:type="dxa"/>
          </w:tcPr>
          <w:p w14:paraId="35FDC699"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1</w:t>
            </w:r>
          </w:p>
        </w:tc>
        <w:tc>
          <w:tcPr>
            <w:tcW w:w="2036" w:type="dxa"/>
          </w:tcPr>
          <w:p w14:paraId="63B8A0E4"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2-3</w:t>
            </w:r>
          </w:p>
        </w:tc>
        <w:tc>
          <w:tcPr>
            <w:tcW w:w="2036" w:type="dxa"/>
          </w:tcPr>
          <w:p w14:paraId="3D012558"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4-6</w:t>
            </w:r>
          </w:p>
        </w:tc>
        <w:tc>
          <w:tcPr>
            <w:tcW w:w="2040" w:type="dxa"/>
          </w:tcPr>
          <w:p w14:paraId="700264A0"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7+</w:t>
            </w:r>
          </w:p>
        </w:tc>
      </w:tr>
      <w:tr w:rsidR="009F2A40" w:rsidRPr="000156BF" w14:paraId="2336B5F6" w14:textId="77777777" w:rsidTr="004839E2">
        <w:trPr>
          <w:trHeight w:val="473"/>
        </w:trPr>
        <w:tc>
          <w:tcPr>
            <w:tcW w:w="2036" w:type="dxa"/>
          </w:tcPr>
          <w:p w14:paraId="46785CEA"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A-E</w:t>
            </w:r>
          </w:p>
        </w:tc>
        <w:tc>
          <w:tcPr>
            <w:tcW w:w="2036" w:type="dxa"/>
          </w:tcPr>
          <w:p w14:paraId="12915D5E"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0</w:t>
            </w:r>
          </w:p>
        </w:tc>
        <w:tc>
          <w:tcPr>
            <w:tcW w:w="2036" w:type="dxa"/>
          </w:tcPr>
          <w:p w14:paraId="6DB7A940"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9 750</w:t>
            </w:r>
          </w:p>
        </w:tc>
        <w:tc>
          <w:tcPr>
            <w:tcW w:w="2036" w:type="dxa"/>
          </w:tcPr>
          <w:p w14:paraId="39E4EEBE"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12 188</w:t>
            </w:r>
          </w:p>
        </w:tc>
        <w:tc>
          <w:tcPr>
            <w:tcW w:w="2040" w:type="dxa"/>
          </w:tcPr>
          <w:p w14:paraId="1EA7B77B"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14 625</w:t>
            </w:r>
          </w:p>
        </w:tc>
      </w:tr>
    </w:tbl>
    <w:p w14:paraId="04EF74C3" w14:textId="77777777" w:rsidR="009F2A40" w:rsidRPr="000156BF" w:rsidRDefault="009F2A40" w:rsidP="000156BF">
      <w:pPr>
        <w:rPr>
          <w:rFonts w:asciiTheme="majorHAnsi" w:hAnsiTheme="majorHAnsi"/>
          <w:sz w:val="22"/>
          <w:szCs w:val="22"/>
        </w:rPr>
      </w:pPr>
    </w:p>
    <w:p w14:paraId="697D0884" w14:textId="77777777" w:rsidR="009F2A40" w:rsidRPr="000156BF" w:rsidRDefault="009F2A40" w:rsidP="000156BF">
      <w:pPr>
        <w:rPr>
          <w:rFonts w:asciiTheme="majorHAnsi" w:hAnsiTheme="majorHAnsi"/>
          <w:b/>
          <w:sz w:val="22"/>
          <w:szCs w:val="22"/>
        </w:rPr>
      </w:pPr>
      <w:r w:rsidRPr="000156BF">
        <w:rPr>
          <w:rFonts w:asciiTheme="majorHAnsi" w:hAnsiTheme="majorHAnsi"/>
          <w:b/>
          <w:sz w:val="22"/>
          <w:szCs w:val="22"/>
        </w:rPr>
        <w:t>Hardship Allowances</w:t>
      </w:r>
    </w:p>
    <w:p w14:paraId="7CBC9361" w14:textId="77777777" w:rsidR="009F2A40" w:rsidRPr="000156BF" w:rsidRDefault="009F2A40" w:rsidP="000156BF">
      <w:pPr>
        <w:rPr>
          <w:rFonts w:asciiTheme="majorHAnsi" w:hAnsiTheme="majorHAnsi"/>
          <w:b/>
          <w:sz w:val="22"/>
          <w:szCs w:val="22"/>
        </w:rPr>
      </w:pPr>
    </w:p>
    <w:p w14:paraId="696EF1DD" w14:textId="77777777" w:rsidR="009F2A40" w:rsidRPr="00C5354F" w:rsidRDefault="009F2A40" w:rsidP="000156BF">
      <w:pPr>
        <w:rPr>
          <w:rFonts w:asciiTheme="majorHAnsi" w:hAnsiTheme="majorHAnsi" w:cs="Arial"/>
          <w:sz w:val="22"/>
          <w:szCs w:val="22"/>
        </w:rPr>
      </w:pPr>
      <w:r w:rsidRPr="00C5354F">
        <w:rPr>
          <w:rFonts w:asciiTheme="majorHAnsi" w:hAnsiTheme="majorHAnsi" w:cs="Arial"/>
          <w:sz w:val="22"/>
          <w:szCs w:val="22"/>
        </w:rPr>
        <w:t>NOTE:  Hardship allowances do not apply to assignments to categories H and A, and only apply to assignments to duty stations in categories B-E.</w:t>
      </w:r>
    </w:p>
    <w:p w14:paraId="60418E6A" w14:textId="77777777" w:rsidR="009F2A40" w:rsidRPr="000156BF" w:rsidRDefault="009F2A40" w:rsidP="000156BF">
      <w:pPr>
        <w:rPr>
          <w:rFonts w:asciiTheme="majorHAnsi" w:hAnsiTheme="majorHAnsi"/>
          <w:sz w:val="22"/>
          <w:szCs w:val="22"/>
        </w:rPr>
      </w:pPr>
    </w:p>
    <w:p w14:paraId="2589FD71" w14:textId="77777777" w:rsidR="009F2A40" w:rsidRPr="000156BF" w:rsidRDefault="009F2A40" w:rsidP="000156BF">
      <w:pPr>
        <w:rPr>
          <w:rFonts w:asciiTheme="majorHAnsi" w:hAnsiTheme="majorHAnsi"/>
          <w:i/>
          <w:sz w:val="22"/>
          <w:szCs w:val="22"/>
        </w:rPr>
      </w:pPr>
      <w:r w:rsidRPr="000156BF">
        <w:rPr>
          <w:rFonts w:asciiTheme="majorHAnsi" w:hAnsiTheme="majorHAnsi"/>
          <w:i/>
          <w:sz w:val="22"/>
          <w:szCs w:val="22"/>
        </w:rPr>
        <w:t>Annual amounts in US dollars</w:t>
      </w:r>
    </w:p>
    <w:p w14:paraId="39CCAE5E"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1945"/>
        <w:gridCol w:w="2049"/>
        <w:gridCol w:w="2271"/>
        <w:gridCol w:w="2365"/>
      </w:tblGrid>
      <w:tr w:rsidR="009F2A40" w:rsidRPr="000156BF" w14:paraId="7E012776" w14:textId="77777777" w:rsidTr="004839E2">
        <w:trPr>
          <w:trHeight w:val="304"/>
        </w:trPr>
        <w:tc>
          <w:tcPr>
            <w:tcW w:w="2201" w:type="dxa"/>
          </w:tcPr>
          <w:p w14:paraId="7C4A2F93"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Duty Station Category</w:t>
            </w:r>
          </w:p>
        </w:tc>
        <w:tc>
          <w:tcPr>
            <w:tcW w:w="2438" w:type="dxa"/>
          </w:tcPr>
          <w:p w14:paraId="45101C07"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P-1 to P-3</w:t>
            </w:r>
          </w:p>
          <w:p w14:paraId="16101BAD"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and FS1–FS6</w:t>
            </w:r>
          </w:p>
        </w:tc>
        <w:tc>
          <w:tcPr>
            <w:tcW w:w="2746" w:type="dxa"/>
          </w:tcPr>
          <w:p w14:paraId="03027B3E"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P-4 to P-5</w:t>
            </w:r>
          </w:p>
          <w:p w14:paraId="113EA044"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and FS-7</w:t>
            </w:r>
          </w:p>
        </w:tc>
        <w:tc>
          <w:tcPr>
            <w:tcW w:w="2808" w:type="dxa"/>
          </w:tcPr>
          <w:p w14:paraId="2A9700A9"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D-1 and above</w:t>
            </w:r>
          </w:p>
        </w:tc>
      </w:tr>
      <w:tr w:rsidR="009F2A40" w:rsidRPr="000156BF" w14:paraId="18FD15F6" w14:textId="77777777" w:rsidTr="004839E2">
        <w:trPr>
          <w:trHeight w:val="304"/>
        </w:trPr>
        <w:tc>
          <w:tcPr>
            <w:tcW w:w="2201" w:type="dxa"/>
          </w:tcPr>
          <w:p w14:paraId="0D53D26E"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B</w:t>
            </w:r>
          </w:p>
        </w:tc>
        <w:tc>
          <w:tcPr>
            <w:tcW w:w="2438" w:type="dxa"/>
          </w:tcPr>
          <w:p w14:paraId="63BC837A"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5 810</w:t>
            </w:r>
          </w:p>
        </w:tc>
        <w:tc>
          <w:tcPr>
            <w:tcW w:w="2746" w:type="dxa"/>
          </w:tcPr>
          <w:p w14:paraId="520CBE07"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 xml:space="preserve">6 970 </w:t>
            </w:r>
          </w:p>
        </w:tc>
        <w:tc>
          <w:tcPr>
            <w:tcW w:w="2808" w:type="dxa"/>
          </w:tcPr>
          <w:p w14:paraId="4DE30329"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8 140</w:t>
            </w:r>
          </w:p>
        </w:tc>
      </w:tr>
      <w:tr w:rsidR="009F2A40" w:rsidRPr="000156BF" w14:paraId="369CCCA4" w14:textId="77777777" w:rsidTr="004839E2">
        <w:trPr>
          <w:trHeight w:val="304"/>
        </w:trPr>
        <w:tc>
          <w:tcPr>
            <w:tcW w:w="2201" w:type="dxa"/>
          </w:tcPr>
          <w:p w14:paraId="40403E95"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C</w:t>
            </w:r>
          </w:p>
        </w:tc>
        <w:tc>
          <w:tcPr>
            <w:tcW w:w="2438" w:type="dxa"/>
          </w:tcPr>
          <w:p w14:paraId="7BADA727"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10 470</w:t>
            </w:r>
          </w:p>
        </w:tc>
        <w:tc>
          <w:tcPr>
            <w:tcW w:w="2746" w:type="dxa"/>
          </w:tcPr>
          <w:p w14:paraId="4FF278E1"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12 780</w:t>
            </w:r>
          </w:p>
        </w:tc>
        <w:tc>
          <w:tcPr>
            <w:tcW w:w="2808" w:type="dxa"/>
          </w:tcPr>
          <w:p w14:paraId="2414375E"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15 110</w:t>
            </w:r>
          </w:p>
        </w:tc>
      </w:tr>
      <w:tr w:rsidR="009F2A40" w:rsidRPr="000156BF" w14:paraId="1461741F" w14:textId="77777777" w:rsidTr="004839E2">
        <w:trPr>
          <w:trHeight w:val="304"/>
        </w:trPr>
        <w:tc>
          <w:tcPr>
            <w:tcW w:w="2201" w:type="dxa"/>
          </w:tcPr>
          <w:p w14:paraId="386391F6"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D</w:t>
            </w:r>
          </w:p>
        </w:tc>
        <w:tc>
          <w:tcPr>
            <w:tcW w:w="2438" w:type="dxa"/>
          </w:tcPr>
          <w:p w14:paraId="5EE350CC"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13 950</w:t>
            </w:r>
          </w:p>
        </w:tc>
        <w:tc>
          <w:tcPr>
            <w:tcW w:w="2746" w:type="dxa"/>
          </w:tcPr>
          <w:p w14:paraId="519F986C"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16 280</w:t>
            </w:r>
          </w:p>
        </w:tc>
        <w:tc>
          <w:tcPr>
            <w:tcW w:w="2808" w:type="dxa"/>
          </w:tcPr>
          <w:p w14:paraId="72A739CD"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18 590</w:t>
            </w:r>
          </w:p>
        </w:tc>
      </w:tr>
      <w:tr w:rsidR="009F2A40" w:rsidRPr="000156BF" w14:paraId="19AADB7E" w14:textId="77777777" w:rsidTr="004839E2">
        <w:trPr>
          <w:trHeight w:val="304"/>
        </w:trPr>
        <w:tc>
          <w:tcPr>
            <w:tcW w:w="2201" w:type="dxa"/>
          </w:tcPr>
          <w:p w14:paraId="79B08C78"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E</w:t>
            </w:r>
          </w:p>
        </w:tc>
        <w:tc>
          <w:tcPr>
            <w:tcW w:w="2438" w:type="dxa"/>
          </w:tcPr>
          <w:p w14:paraId="0509D52D"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17 440</w:t>
            </w:r>
          </w:p>
        </w:tc>
        <w:tc>
          <w:tcPr>
            <w:tcW w:w="2746" w:type="dxa"/>
          </w:tcPr>
          <w:p w14:paraId="6543E34E"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20 920</w:t>
            </w:r>
          </w:p>
        </w:tc>
        <w:tc>
          <w:tcPr>
            <w:tcW w:w="2808" w:type="dxa"/>
          </w:tcPr>
          <w:p w14:paraId="78741DDF"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23 250</w:t>
            </w:r>
          </w:p>
        </w:tc>
      </w:tr>
    </w:tbl>
    <w:p w14:paraId="4AB31E68" w14:textId="77777777" w:rsidR="009F2A40" w:rsidRPr="000156BF" w:rsidRDefault="009F2A40" w:rsidP="000156BF">
      <w:pPr>
        <w:rPr>
          <w:rFonts w:asciiTheme="majorHAnsi" w:hAnsiTheme="majorHAnsi"/>
          <w:b/>
          <w:sz w:val="22"/>
          <w:szCs w:val="22"/>
        </w:rPr>
      </w:pPr>
    </w:p>
    <w:p w14:paraId="54A24702" w14:textId="77777777" w:rsidR="009F2A40" w:rsidRPr="000156BF" w:rsidRDefault="009F2A40" w:rsidP="000156BF">
      <w:pPr>
        <w:rPr>
          <w:rFonts w:asciiTheme="majorHAnsi" w:hAnsiTheme="majorHAnsi"/>
          <w:b/>
          <w:sz w:val="22"/>
          <w:szCs w:val="22"/>
        </w:rPr>
      </w:pPr>
    </w:p>
    <w:p w14:paraId="708AFFA6" w14:textId="77777777" w:rsidR="009F2A40" w:rsidRPr="000156BF" w:rsidRDefault="009F2A40" w:rsidP="000156BF">
      <w:pPr>
        <w:rPr>
          <w:rFonts w:asciiTheme="majorHAnsi" w:hAnsiTheme="majorHAnsi"/>
          <w:b/>
          <w:sz w:val="22"/>
          <w:szCs w:val="22"/>
        </w:rPr>
      </w:pPr>
    </w:p>
    <w:p w14:paraId="1F7E8109" w14:textId="77777777" w:rsidR="009F2A40" w:rsidRPr="000156BF" w:rsidRDefault="009F2A40" w:rsidP="000156BF">
      <w:pPr>
        <w:rPr>
          <w:rFonts w:asciiTheme="majorHAnsi" w:hAnsiTheme="majorHAnsi"/>
          <w:b/>
          <w:sz w:val="22"/>
          <w:szCs w:val="22"/>
        </w:rPr>
      </w:pPr>
      <w:r w:rsidRPr="000156BF">
        <w:rPr>
          <w:rFonts w:asciiTheme="majorHAnsi" w:hAnsiTheme="majorHAnsi"/>
          <w:b/>
          <w:sz w:val="22"/>
          <w:szCs w:val="22"/>
        </w:rPr>
        <w:lastRenderedPageBreak/>
        <w:t>Non-family Service Allowances</w:t>
      </w:r>
      <w:r w:rsidRPr="000156BF">
        <w:rPr>
          <w:rStyle w:val="FootnoteReference"/>
          <w:rFonts w:asciiTheme="majorHAnsi" w:hAnsiTheme="majorHAnsi"/>
          <w:b/>
          <w:sz w:val="22"/>
          <w:szCs w:val="22"/>
        </w:rPr>
        <w:footnoteReference w:id="1"/>
      </w:r>
    </w:p>
    <w:p w14:paraId="53290851" w14:textId="77777777" w:rsidR="009F2A40" w:rsidRPr="000156BF" w:rsidRDefault="009F2A40" w:rsidP="000156BF">
      <w:pPr>
        <w:rPr>
          <w:rFonts w:asciiTheme="majorHAnsi" w:hAnsiTheme="majorHAnsi"/>
          <w:b/>
          <w:sz w:val="22"/>
          <w:szCs w:val="22"/>
        </w:rPr>
      </w:pPr>
    </w:p>
    <w:p w14:paraId="6830E14B" w14:textId="77777777" w:rsidR="009F2A40" w:rsidRPr="000156BF" w:rsidRDefault="009F2A40" w:rsidP="000156BF">
      <w:pPr>
        <w:rPr>
          <w:rFonts w:asciiTheme="majorHAnsi" w:hAnsiTheme="majorHAnsi"/>
          <w:i/>
          <w:sz w:val="22"/>
          <w:szCs w:val="22"/>
        </w:rPr>
      </w:pPr>
      <w:r w:rsidRPr="000156BF">
        <w:rPr>
          <w:rFonts w:asciiTheme="majorHAnsi" w:hAnsiTheme="majorHAnsi"/>
          <w:i/>
          <w:sz w:val="22"/>
          <w:szCs w:val="22"/>
        </w:rPr>
        <w:t>Payable to staff members assigned to duty stations designated by the ICSC as non-family</w:t>
      </w:r>
    </w:p>
    <w:p w14:paraId="363FDA3B" w14:textId="77777777" w:rsidR="009F2A40" w:rsidRPr="000156BF" w:rsidRDefault="009F2A40" w:rsidP="000156BF">
      <w:pPr>
        <w:rPr>
          <w:rFonts w:asciiTheme="majorHAnsi" w:hAnsiTheme="majorHAnsi"/>
          <w:i/>
          <w:sz w:val="22"/>
          <w:szCs w:val="22"/>
        </w:rPr>
      </w:pPr>
    </w:p>
    <w:p w14:paraId="4AA3D70F" w14:textId="77777777" w:rsidR="009F2A40" w:rsidRPr="000156BF" w:rsidRDefault="009F2A40" w:rsidP="000156BF">
      <w:pPr>
        <w:rPr>
          <w:rFonts w:asciiTheme="majorHAnsi" w:hAnsiTheme="majorHAnsi"/>
          <w:i/>
          <w:sz w:val="22"/>
          <w:szCs w:val="22"/>
        </w:rPr>
      </w:pPr>
      <w:r w:rsidRPr="000156BF">
        <w:rPr>
          <w:rFonts w:asciiTheme="majorHAnsi" w:hAnsiTheme="majorHAnsi"/>
          <w:i/>
          <w:sz w:val="22"/>
          <w:szCs w:val="22"/>
        </w:rPr>
        <w:t>Monthly amounts in US dollars</w:t>
      </w:r>
    </w:p>
    <w:p w14:paraId="0A7E3B2F" w14:textId="77777777" w:rsidR="009F2A40" w:rsidRPr="000156BF" w:rsidRDefault="009F2A40" w:rsidP="000156BF">
      <w:pPr>
        <w:rPr>
          <w:rFonts w:asciiTheme="majorHAnsi" w:hAnsiTheme="majorHAnsi"/>
          <w:i/>
          <w:sz w:val="22"/>
          <w:szCs w:val="22"/>
        </w:rPr>
      </w:pPr>
    </w:p>
    <w:p w14:paraId="27B140A9" w14:textId="77777777" w:rsidR="009F2A40" w:rsidRPr="000156BF" w:rsidRDefault="009F2A40" w:rsidP="000156BF">
      <w:pPr>
        <w:rPr>
          <w:rFonts w:asciiTheme="majorHAnsi" w:hAnsiTheme="majorHAnsi"/>
          <w:i/>
          <w:sz w:val="22"/>
          <w:szCs w:val="22"/>
        </w:rPr>
      </w:pPr>
    </w:p>
    <w:tbl>
      <w:tblPr>
        <w:tblStyle w:val="TableGrid"/>
        <w:tblW w:w="0" w:type="auto"/>
        <w:tblLook w:val="04A0" w:firstRow="1" w:lastRow="0" w:firstColumn="1" w:lastColumn="0" w:noHBand="0" w:noVBand="1"/>
      </w:tblPr>
      <w:tblGrid>
        <w:gridCol w:w="4315"/>
        <w:gridCol w:w="4315"/>
      </w:tblGrid>
      <w:tr w:rsidR="009F2A40" w:rsidRPr="000156BF" w14:paraId="78742B0E" w14:textId="77777777" w:rsidTr="004839E2">
        <w:trPr>
          <w:trHeight w:val="323"/>
        </w:trPr>
        <w:tc>
          <w:tcPr>
            <w:tcW w:w="5091" w:type="dxa"/>
          </w:tcPr>
          <w:p w14:paraId="560A4AEA"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Staff members with a dependent</w:t>
            </w:r>
          </w:p>
        </w:tc>
        <w:tc>
          <w:tcPr>
            <w:tcW w:w="5091" w:type="dxa"/>
          </w:tcPr>
          <w:p w14:paraId="63E8E3B3" w14:textId="77777777" w:rsidR="009F2A40" w:rsidRPr="000156BF" w:rsidRDefault="009F2A40" w:rsidP="000156BF">
            <w:pPr>
              <w:jc w:val="center"/>
              <w:rPr>
                <w:rFonts w:asciiTheme="majorHAnsi" w:hAnsiTheme="majorHAnsi"/>
                <w:sz w:val="22"/>
                <w:szCs w:val="22"/>
              </w:rPr>
            </w:pPr>
            <w:r w:rsidRPr="000156BF">
              <w:rPr>
                <w:rFonts w:asciiTheme="majorHAnsi" w:hAnsiTheme="majorHAnsi"/>
                <w:sz w:val="22"/>
                <w:szCs w:val="22"/>
              </w:rPr>
              <w:t>Staff member without a dependent</w:t>
            </w:r>
          </w:p>
        </w:tc>
      </w:tr>
      <w:tr w:rsidR="009F2A40" w:rsidRPr="000156BF" w14:paraId="21153225" w14:textId="77777777" w:rsidTr="004839E2">
        <w:trPr>
          <w:trHeight w:val="257"/>
        </w:trPr>
        <w:tc>
          <w:tcPr>
            <w:tcW w:w="5091" w:type="dxa"/>
          </w:tcPr>
          <w:p w14:paraId="1BA4C0E8"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1 650</w:t>
            </w:r>
          </w:p>
        </w:tc>
        <w:tc>
          <w:tcPr>
            <w:tcW w:w="5091" w:type="dxa"/>
          </w:tcPr>
          <w:p w14:paraId="1A8951D6" w14:textId="77777777" w:rsidR="009F2A40" w:rsidRPr="000156BF" w:rsidRDefault="009F2A40" w:rsidP="000156BF">
            <w:pPr>
              <w:jc w:val="center"/>
              <w:rPr>
                <w:rFonts w:asciiTheme="majorHAnsi" w:hAnsiTheme="majorHAnsi"/>
                <w:b/>
                <w:sz w:val="22"/>
                <w:szCs w:val="22"/>
              </w:rPr>
            </w:pPr>
            <w:r w:rsidRPr="000156BF">
              <w:rPr>
                <w:rFonts w:asciiTheme="majorHAnsi" w:hAnsiTheme="majorHAnsi"/>
                <w:b/>
                <w:sz w:val="22"/>
                <w:szCs w:val="22"/>
              </w:rPr>
              <w:t>625</w:t>
            </w:r>
          </w:p>
        </w:tc>
      </w:tr>
    </w:tbl>
    <w:p w14:paraId="45318025" w14:textId="77777777" w:rsidR="009F2A40" w:rsidRPr="000156BF" w:rsidRDefault="009F2A40" w:rsidP="000156BF">
      <w:pPr>
        <w:rPr>
          <w:rFonts w:asciiTheme="majorHAnsi" w:hAnsiTheme="majorHAnsi"/>
          <w:sz w:val="22"/>
          <w:szCs w:val="22"/>
        </w:rPr>
      </w:pPr>
    </w:p>
    <w:p w14:paraId="170DE8F4" w14:textId="77777777" w:rsidR="009F2A40" w:rsidRPr="000156BF" w:rsidRDefault="009F2A40" w:rsidP="000156BF">
      <w:pPr>
        <w:rPr>
          <w:rFonts w:asciiTheme="majorHAnsi" w:hAnsiTheme="majorHAnsi"/>
          <w:sz w:val="22"/>
          <w:szCs w:val="22"/>
        </w:rPr>
      </w:pPr>
    </w:p>
    <w:p w14:paraId="0BAEA67F" w14:textId="77777777" w:rsidR="009F2A40" w:rsidRPr="000156BF" w:rsidRDefault="009F2A40" w:rsidP="000156BF">
      <w:pPr>
        <w:pStyle w:val="SingleTxt"/>
        <w:ind w:left="0" w:right="0"/>
        <w:rPr>
          <w:rFonts w:asciiTheme="majorHAnsi" w:hAnsiTheme="majorHAnsi"/>
          <w:sz w:val="22"/>
          <w:szCs w:val="22"/>
        </w:rPr>
      </w:pPr>
    </w:p>
    <w:p w14:paraId="4635FF0C" w14:textId="77777777" w:rsidR="009F2A40" w:rsidRPr="000156BF" w:rsidRDefault="009F2A40" w:rsidP="000156BF">
      <w:pPr>
        <w:pStyle w:val="SingleTxt"/>
        <w:tabs>
          <w:tab w:val="left" w:pos="7830"/>
        </w:tabs>
        <w:ind w:left="0" w:right="0"/>
        <w:rPr>
          <w:rFonts w:asciiTheme="majorHAnsi" w:hAnsiTheme="majorHAnsi"/>
          <w:sz w:val="22"/>
          <w:szCs w:val="22"/>
        </w:rPr>
      </w:pPr>
    </w:p>
    <w:p w14:paraId="20864FF2" w14:textId="77777777" w:rsidR="009F2A40" w:rsidRPr="000156BF" w:rsidRDefault="009F2A40" w:rsidP="000156BF">
      <w:pPr>
        <w:rPr>
          <w:rFonts w:asciiTheme="majorHAnsi" w:hAnsiTheme="majorHAnsi"/>
          <w:sz w:val="22"/>
          <w:szCs w:val="22"/>
        </w:rPr>
      </w:pPr>
    </w:p>
    <w:p w14:paraId="5BB5AF8F" w14:textId="77777777" w:rsidR="00471AFA" w:rsidRPr="000156BF" w:rsidRDefault="00471AFA" w:rsidP="000156BF">
      <w:pPr>
        <w:rPr>
          <w:rFonts w:asciiTheme="majorHAnsi" w:hAnsiTheme="majorHAnsi"/>
          <w:sz w:val="22"/>
          <w:szCs w:val="22"/>
        </w:rPr>
      </w:pPr>
    </w:p>
    <w:sectPr w:rsidR="00471AFA" w:rsidRPr="000156BF" w:rsidSect="00FD201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DCC5" w14:textId="77777777" w:rsidR="00BC730D" w:rsidRDefault="00BC730D" w:rsidP="009F2A40">
      <w:r>
        <w:separator/>
      </w:r>
    </w:p>
  </w:endnote>
  <w:endnote w:type="continuationSeparator" w:id="0">
    <w:p w14:paraId="76A37387" w14:textId="77777777" w:rsidR="00BC730D" w:rsidRDefault="00BC730D" w:rsidP="009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B6E4" w14:textId="77777777" w:rsidR="009F2A40" w:rsidRDefault="009F2A40" w:rsidP="00D12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60C1D" w14:textId="77777777" w:rsidR="009F2A40" w:rsidRDefault="009F2A40" w:rsidP="009F2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3E9" w14:textId="5299EB3B" w:rsidR="009F2A40" w:rsidRPr="005D302B" w:rsidRDefault="00303665" w:rsidP="005D302B">
    <w:pPr>
      <w:pStyle w:val="Footer"/>
      <w:rPr>
        <w:rFonts w:ascii="Calibri" w:hAnsi="Calibri"/>
        <w:sz w:val="22"/>
      </w:rPr>
    </w:pPr>
    <w:sdt>
      <w:sdtPr>
        <w:rPr>
          <w:rFonts w:ascii="Calibri" w:hAnsi="Calibri"/>
          <w:sz w:val="22"/>
        </w:rPr>
        <w:id w:val="1007181623"/>
        <w:docPartObj>
          <w:docPartGallery w:val="Page Numbers (Bottom of Page)"/>
          <w:docPartUnique/>
        </w:docPartObj>
      </w:sdtPr>
      <w:sdtEndPr/>
      <w:sdtContent>
        <w:sdt>
          <w:sdtPr>
            <w:rPr>
              <w:rFonts w:ascii="Calibri" w:hAnsi="Calibri"/>
              <w:sz w:val="22"/>
            </w:rPr>
            <w:id w:val="-1705238520"/>
            <w:docPartObj>
              <w:docPartGallery w:val="Page Numbers (Top of Page)"/>
              <w:docPartUnique/>
            </w:docPartObj>
          </w:sdtPr>
          <w:sdtEndPr/>
          <w:sdtContent>
            <w:r w:rsidR="005D302B" w:rsidRPr="005D302B">
              <w:rPr>
                <w:rFonts w:ascii="Calibri" w:hAnsi="Calibri"/>
                <w:sz w:val="22"/>
              </w:rPr>
              <w:t xml:space="preserve">Page </w:t>
            </w:r>
            <w:r w:rsidR="005D302B" w:rsidRPr="005D302B">
              <w:rPr>
                <w:rFonts w:ascii="Calibri" w:hAnsi="Calibri"/>
                <w:b/>
                <w:bCs/>
                <w:sz w:val="22"/>
              </w:rPr>
              <w:fldChar w:fldCharType="begin"/>
            </w:r>
            <w:r w:rsidR="005D302B" w:rsidRPr="005D302B">
              <w:rPr>
                <w:rFonts w:ascii="Calibri" w:hAnsi="Calibri"/>
                <w:b/>
                <w:bCs/>
                <w:sz w:val="22"/>
              </w:rPr>
              <w:instrText xml:space="preserve"> PAGE </w:instrText>
            </w:r>
            <w:r w:rsidR="005D302B" w:rsidRPr="005D302B">
              <w:rPr>
                <w:rFonts w:ascii="Calibri" w:hAnsi="Calibri"/>
                <w:b/>
                <w:bCs/>
                <w:sz w:val="22"/>
              </w:rPr>
              <w:fldChar w:fldCharType="separate"/>
            </w:r>
            <w:r w:rsidR="008E725A">
              <w:rPr>
                <w:rFonts w:ascii="Calibri" w:hAnsi="Calibri"/>
                <w:b/>
                <w:bCs/>
                <w:noProof/>
                <w:sz w:val="22"/>
              </w:rPr>
              <w:t>7</w:t>
            </w:r>
            <w:r w:rsidR="005D302B" w:rsidRPr="005D302B">
              <w:rPr>
                <w:rFonts w:ascii="Calibri" w:hAnsi="Calibri"/>
                <w:b/>
                <w:bCs/>
                <w:sz w:val="22"/>
              </w:rPr>
              <w:fldChar w:fldCharType="end"/>
            </w:r>
            <w:r w:rsidR="005D302B" w:rsidRPr="005D302B">
              <w:rPr>
                <w:rFonts w:ascii="Calibri" w:hAnsi="Calibri"/>
                <w:b/>
                <w:sz w:val="22"/>
              </w:rPr>
              <w:t xml:space="preserve"> </w:t>
            </w:r>
            <w:r w:rsidR="005D302B" w:rsidRPr="005D302B">
              <w:rPr>
                <w:rFonts w:ascii="Calibri" w:hAnsi="Calibri"/>
                <w:sz w:val="22"/>
              </w:rPr>
              <w:t xml:space="preserve">of </w:t>
            </w:r>
            <w:r w:rsidR="005D302B" w:rsidRPr="005D302B">
              <w:rPr>
                <w:rFonts w:ascii="Calibri" w:hAnsi="Calibri"/>
                <w:b/>
                <w:bCs/>
                <w:sz w:val="22"/>
              </w:rPr>
              <w:fldChar w:fldCharType="begin"/>
            </w:r>
            <w:r w:rsidR="005D302B" w:rsidRPr="005D302B">
              <w:rPr>
                <w:rFonts w:ascii="Calibri" w:hAnsi="Calibri"/>
                <w:b/>
                <w:bCs/>
                <w:sz w:val="22"/>
              </w:rPr>
              <w:instrText xml:space="preserve"> NUMPAGES  </w:instrText>
            </w:r>
            <w:r w:rsidR="005D302B" w:rsidRPr="005D302B">
              <w:rPr>
                <w:rFonts w:ascii="Calibri" w:hAnsi="Calibri"/>
                <w:b/>
                <w:bCs/>
                <w:sz w:val="22"/>
              </w:rPr>
              <w:fldChar w:fldCharType="separate"/>
            </w:r>
            <w:r w:rsidR="008E725A">
              <w:rPr>
                <w:rFonts w:ascii="Calibri" w:hAnsi="Calibri"/>
                <w:b/>
                <w:bCs/>
                <w:noProof/>
                <w:sz w:val="22"/>
              </w:rPr>
              <w:t>7</w:t>
            </w:r>
            <w:r w:rsidR="005D302B" w:rsidRPr="005D302B">
              <w:rPr>
                <w:rFonts w:ascii="Calibri" w:hAnsi="Calibri"/>
                <w:b/>
                <w:bCs/>
                <w:sz w:val="22"/>
              </w:rPr>
              <w:fldChar w:fldCharType="end"/>
            </w:r>
            <w:r w:rsidR="005D302B" w:rsidRPr="005D302B">
              <w:rPr>
                <w:rFonts w:ascii="Calibri" w:hAnsi="Calibri"/>
                <w:bCs/>
                <w:sz w:val="22"/>
              </w:rPr>
              <w:tab/>
              <w:t xml:space="preserve">Effective Date: </w:t>
            </w:r>
            <w:sdt>
              <w:sdtPr>
                <w:rPr>
                  <w:rFonts w:ascii="Calibri" w:hAnsi="Calibri"/>
                  <w:bCs/>
                  <w:sz w:val="22"/>
                </w:rPr>
                <w:alias w:val="Effective Date"/>
                <w:tag w:val="UNDP_POPP_EFFECTIVEDATE"/>
                <w:id w:val="146176403"/>
                <w:placeholder>
                  <w:docPart w:val="C372EC1F25594DA8992DA020F576100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307EF1E-DE7D-41A2-9D27-B3B2C20392B7}"/>
                <w:date w:fullDate="2016-07-01T00:00:00Z">
                  <w:dateFormat w:val="dd/MM/yyyy"/>
                  <w:lid w:val="en-GB"/>
                  <w:storeMappedDataAs w:val="dateTime"/>
                  <w:calendar w:val="gregorian"/>
                </w:date>
              </w:sdtPr>
              <w:sdtEndPr/>
              <w:sdtContent>
                <w:r>
                  <w:rPr>
                    <w:rFonts w:ascii="Calibri" w:hAnsi="Calibri"/>
                    <w:bCs/>
                    <w:sz w:val="22"/>
                    <w:lang w:val="en-GB"/>
                  </w:rPr>
                  <w:t>01/07/2016</w:t>
                </w:r>
              </w:sdtContent>
            </w:sdt>
          </w:sdtContent>
        </w:sdt>
      </w:sdtContent>
    </w:sdt>
    <w:r w:rsidR="005D302B">
      <w:rPr>
        <w:rFonts w:ascii="Calibri" w:hAnsi="Calibri"/>
        <w:sz w:val="22"/>
      </w:rPr>
      <w:tab/>
    </w:r>
    <w:r w:rsidR="005D302B" w:rsidRPr="005D302B">
      <w:rPr>
        <w:rFonts w:ascii="Calibri" w:hAnsi="Calibri"/>
        <w:sz w:val="22"/>
      </w:rPr>
      <w:t>Version #:</w:t>
    </w:r>
    <w:sdt>
      <w:sdtPr>
        <w:rPr>
          <w:rFonts w:ascii="Calibri" w:hAnsi="Calibri"/>
          <w:sz w:val="22"/>
        </w:rPr>
        <w:alias w:val="POPPRefItemVersion"/>
        <w:tag w:val="UNDP_POPP_REFITEM_VERSION"/>
        <w:id w:val="1031069668"/>
        <w:placeholder>
          <w:docPart w:val="CF6D0CBEEFB64707A4864A625961C97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307EF1E-DE7D-41A2-9D27-B3B2C20392B7}"/>
        <w:text/>
      </w:sdtPr>
      <w:sdtEndPr/>
      <w:sdtContent>
        <w:r w:rsidR="008E725A">
          <w:rPr>
            <w:rFonts w:ascii="Calibri" w:hAnsi="Calibri"/>
            <w:sz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CF52" w14:textId="77777777" w:rsidR="00303665" w:rsidRDefault="0030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8785" w14:textId="77777777" w:rsidR="00BC730D" w:rsidRDefault="00BC730D" w:rsidP="009F2A40">
      <w:r>
        <w:separator/>
      </w:r>
    </w:p>
  </w:footnote>
  <w:footnote w:type="continuationSeparator" w:id="0">
    <w:p w14:paraId="472D2E8F" w14:textId="77777777" w:rsidR="00BC730D" w:rsidRDefault="00BC730D" w:rsidP="009F2A40">
      <w:r>
        <w:continuationSeparator/>
      </w:r>
    </w:p>
  </w:footnote>
  <w:footnote w:id="1">
    <w:p w14:paraId="4AD86C74" w14:textId="77777777" w:rsidR="009F2A40" w:rsidRPr="00C5354F" w:rsidRDefault="009F2A40" w:rsidP="009F2A40">
      <w:pPr>
        <w:pStyle w:val="SingleTxt"/>
        <w:tabs>
          <w:tab w:val="left" w:pos="7830"/>
        </w:tabs>
        <w:ind w:left="0" w:right="0"/>
        <w:rPr>
          <w:rFonts w:asciiTheme="majorHAnsi" w:eastAsiaTheme="minorEastAsia" w:hAnsiTheme="majorHAnsi" w:cs="Arial"/>
          <w:spacing w:val="0"/>
          <w:w w:val="100"/>
          <w:kern w:val="0"/>
          <w:sz w:val="22"/>
          <w:szCs w:val="22"/>
          <w:lang w:val="en-US"/>
        </w:rPr>
      </w:pPr>
      <w:r w:rsidRPr="00C5354F">
        <w:rPr>
          <w:rStyle w:val="FootnoteReference"/>
          <w:rFonts w:asciiTheme="majorHAnsi" w:hAnsiTheme="majorHAnsi"/>
          <w:sz w:val="22"/>
          <w:szCs w:val="22"/>
        </w:rPr>
        <w:footnoteRef/>
      </w:r>
      <w:r w:rsidRPr="00C5354F">
        <w:rPr>
          <w:rFonts w:asciiTheme="majorHAnsi" w:hAnsiTheme="majorHAnsi"/>
          <w:sz w:val="22"/>
          <w:szCs w:val="22"/>
        </w:rPr>
        <w:t xml:space="preserve"> </w:t>
      </w:r>
      <w:r w:rsidRPr="00C5354F">
        <w:rPr>
          <w:rFonts w:asciiTheme="majorHAnsi" w:eastAsiaTheme="minorEastAsia" w:hAnsiTheme="majorHAnsi" w:cs="Arial"/>
          <w:spacing w:val="0"/>
          <w:w w:val="100"/>
          <w:kern w:val="0"/>
          <w:sz w:val="22"/>
          <w:szCs w:val="22"/>
          <w:lang w:val="en-US"/>
        </w:rPr>
        <w:t xml:space="preserve">When two staff members are married to each other and each is entitled to the non-family service allowance, each shall be paid at the rate applicable to a staff member without a dependent. If there are one or more dependent children, the non-family service allowance shall be paid at the rate applicable to a staff member with a dependent to the staff member in respect of whom the child or children are recognized as dependants. The same provision shall apply when one of the spouses is a staff member of another organization of the United Nations common system. </w:t>
      </w:r>
    </w:p>
    <w:p w14:paraId="6BC57894" w14:textId="77777777" w:rsidR="009F2A40" w:rsidRDefault="009F2A40" w:rsidP="009F2A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6A2E" w14:textId="77777777" w:rsidR="00303665" w:rsidRDefault="0030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4A32" w14:textId="3C9D0FF8" w:rsidR="000156BF" w:rsidRDefault="000156BF" w:rsidP="000156BF">
    <w:pPr>
      <w:pStyle w:val="Header"/>
      <w:jc w:val="right"/>
    </w:pPr>
    <w:r>
      <w:rPr>
        <w:noProof/>
      </w:rPr>
      <w:drawing>
        <wp:inline distT="0" distB="0" distL="0" distR="0" wp14:anchorId="45DB6729" wp14:editId="3818402B">
          <wp:extent cx="345233" cy="660522"/>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040"/>
                  <a:stretch/>
                </pic:blipFill>
                <pic:spPr bwMode="auto">
                  <a:xfrm>
                    <a:off x="0" y="0"/>
                    <a:ext cx="351803" cy="6730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9282" w14:textId="77777777" w:rsidR="00303665" w:rsidRDefault="00303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5EA"/>
    <w:multiLevelType w:val="hybridMultilevel"/>
    <w:tmpl w:val="DF14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55C5"/>
    <w:multiLevelType w:val="hybridMultilevel"/>
    <w:tmpl w:val="51DC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6AB2"/>
    <w:multiLevelType w:val="hybridMultilevel"/>
    <w:tmpl w:val="1A12730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F4CB5"/>
    <w:multiLevelType w:val="hybridMultilevel"/>
    <w:tmpl w:val="74DA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30FB"/>
    <w:multiLevelType w:val="hybridMultilevel"/>
    <w:tmpl w:val="8B469F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7647B"/>
    <w:multiLevelType w:val="hybridMultilevel"/>
    <w:tmpl w:val="08227C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8B04F6"/>
    <w:multiLevelType w:val="multilevel"/>
    <w:tmpl w:val="3BC41A32"/>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244261"/>
    <w:multiLevelType w:val="hybridMultilevel"/>
    <w:tmpl w:val="8564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662AB"/>
    <w:multiLevelType w:val="hybridMultilevel"/>
    <w:tmpl w:val="658C2838"/>
    <w:lvl w:ilvl="0" w:tplc="E188A796">
      <w:start w:val="1"/>
      <w:numFmt w:val="decimal"/>
      <w:lvlText w:val="%1."/>
      <w:lvlJc w:val="left"/>
      <w:pPr>
        <w:ind w:left="360" w:hanging="360"/>
      </w:pPr>
      <w:rPr>
        <w:b w:val="0"/>
        <w:color w:val="auto"/>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C4991"/>
    <w:multiLevelType w:val="hybridMultilevel"/>
    <w:tmpl w:val="216A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4645"/>
    <w:multiLevelType w:val="hybridMultilevel"/>
    <w:tmpl w:val="FBFC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07B9E"/>
    <w:multiLevelType w:val="hybridMultilevel"/>
    <w:tmpl w:val="3E5E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05D18"/>
    <w:multiLevelType w:val="hybridMultilevel"/>
    <w:tmpl w:val="328C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57788"/>
    <w:multiLevelType w:val="hybridMultilevel"/>
    <w:tmpl w:val="DE0E7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62093"/>
    <w:multiLevelType w:val="hybridMultilevel"/>
    <w:tmpl w:val="A068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621A2"/>
    <w:multiLevelType w:val="hybridMultilevel"/>
    <w:tmpl w:val="052CE5A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383012">
    <w:abstractNumId w:val="15"/>
  </w:num>
  <w:num w:numId="2" w16cid:durableId="406344003">
    <w:abstractNumId w:val="1"/>
  </w:num>
  <w:num w:numId="3" w16cid:durableId="134876382">
    <w:abstractNumId w:val="6"/>
  </w:num>
  <w:num w:numId="4" w16cid:durableId="1002510014">
    <w:abstractNumId w:val="3"/>
  </w:num>
  <w:num w:numId="5" w16cid:durableId="1193180126">
    <w:abstractNumId w:val="12"/>
  </w:num>
  <w:num w:numId="6" w16cid:durableId="1697076201">
    <w:abstractNumId w:val="8"/>
  </w:num>
  <w:num w:numId="7" w16cid:durableId="1491868909">
    <w:abstractNumId w:val="10"/>
  </w:num>
  <w:num w:numId="8" w16cid:durableId="569121935">
    <w:abstractNumId w:val="9"/>
  </w:num>
  <w:num w:numId="9" w16cid:durableId="1959869832">
    <w:abstractNumId w:val="7"/>
  </w:num>
  <w:num w:numId="10" w16cid:durableId="151071418">
    <w:abstractNumId w:val="0"/>
  </w:num>
  <w:num w:numId="11" w16cid:durableId="995692944">
    <w:abstractNumId w:val="11"/>
  </w:num>
  <w:num w:numId="12" w16cid:durableId="1258321035">
    <w:abstractNumId w:val="14"/>
  </w:num>
  <w:num w:numId="13" w16cid:durableId="1132165911">
    <w:abstractNumId w:val="4"/>
  </w:num>
  <w:num w:numId="14" w16cid:durableId="2010399536">
    <w:abstractNumId w:val="2"/>
  </w:num>
  <w:num w:numId="15" w16cid:durableId="1504397723">
    <w:abstractNumId w:val="13"/>
  </w:num>
  <w:num w:numId="16" w16cid:durableId="315230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FA"/>
    <w:rsid w:val="000156BF"/>
    <w:rsid w:val="00091CD7"/>
    <w:rsid w:val="00092005"/>
    <w:rsid w:val="000A155C"/>
    <w:rsid w:val="000E387E"/>
    <w:rsid w:val="001020BC"/>
    <w:rsid w:val="001173F6"/>
    <w:rsid w:val="00117BD4"/>
    <w:rsid w:val="001265C9"/>
    <w:rsid w:val="00196919"/>
    <w:rsid w:val="001C1B99"/>
    <w:rsid w:val="00236DF3"/>
    <w:rsid w:val="002666D3"/>
    <w:rsid w:val="00270D3A"/>
    <w:rsid w:val="0028514F"/>
    <w:rsid w:val="00303665"/>
    <w:rsid w:val="00340949"/>
    <w:rsid w:val="00345A8F"/>
    <w:rsid w:val="0039692E"/>
    <w:rsid w:val="003B0775"/>
    <w:rsid w:val="003C776B"/>
    <w:rsid w:val="0046765D"/>
    <w:rsid w:val="00471AFA"/>
    <w:rsid w:val="004A242B"/>
    <w:rsid w:val="00532DD4"/>
    <w:rsid w:val="005A4678"/>
    <w:rsid w:val="005A79F6"/>
    <w:rsid w:val="005C7AE2"/>
    <w:rsid w:val="005D302B"/>
    <w:rsid w:val="006A0601"/>
    <w:rsid w:val="008106EF"/>
    <w:rsid w:val="0085411B"/>
    <w:rsid w:val="008E725A"/>
    <w:rsid w:val="009F2A40"/>
    <w:rsid w:val="00A13914"/>
    <w:rsid w:val="00A15633"/>
    <w:rsid w:val="00B256F4"/>
    <w:rsid w:val="00B54925"/>
    <w:rsid w:val="00BA531D"/>
    <w:rsid w:val="00BC730D"/>
    <w:rsid w:val="00BD4D9C"/>
    <w:rsid w:val="00BE3046"/>
    <w:rsid w:val="00C52AAD"/>
    <w:rsid w:val="00C5354F"/>
    <w:rsid w:val="00CA0D5D"/>
    <w:rsid w:val="00CA46EF"/>
    <w:rsid w:val="00CF05EC"/>
    <w:rsid w:val="00CF3B61"/>
    <w:rsid w:val="00D0306C"/>
    <w:rsid w:val="00D215D2"/>
    <w:rsid w:val="00D65D61"/>
    <w:rsid w:val="00E231AD"/>
    <w:rsid w:val="00E340B5"/>
    <w:rsid w:val="00EE6F6F"/>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0DECDD"/>
  <w14:defaultImageDpi w14:val="300"/>
  <w15:docId w15:val="{7D609671-BA81-46A1-9909-44B81CA6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471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imes New Roman" w:hAnsi="Times New Roman" w:cs="Times New Roman"/>
      <w:b/>
      <w:spacing w:val="4"/>
      <w:w w:val="103"/>
      <w:kern w:val="14"/>
      <w:szCs w:val="20"/>
      <w:lang w:val="en-GB"/>
    </w:rPr>
  </w:style>
  <w:style w:type="paragraph" w:customStyle="1" w:styleId="H4">
    <w:name w:val="_ H_4"/>
    <w:basedOn w:val="Normal"/>
    <w:next w:val="SingleTxt"/>
    <w:rsid w:val="00471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cs="Times New Roman"/>
      <w:i/>
      <w:spacing w:val="3"/>
      <w:w w:val="103"/>
      <w:kern w:val="14"/>
      <w:sz w:val="20"/>
      <w:szCs w:val="20"/>
      <w:lang w:val="en-GB"/>
    </w:rPr>
  </w:style>
  <w:style w:type="paragraph" w:customStyle="1" w:styleId="SingleTxt">
    <w:name w:val="__Single Txt"/>
    <w:basedOn w:val="Normal"/>
    <w:rsid w:val="00471AF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styleId="CommentReference">
    <w:name w:val="annotation reference"/>
    <w:semiHidden/>
    <w:rsid w:val="00471AFA"/>
    <w:rPr>
      <w:sz w:val="6"/>
    </w:rPr>
  </w:style>
  <w:style w:type="paragraph" w:styleId="CommentText">
    <w:name w:val="annotation text"/>
    <w:basedOn w:val="Normal"/>
    <w:link w:val="CommentTextChar"/>
    <w:semiHidden/>
    <w:rsid w:val="00471AFA"/>
    <w:pPr>
      <w:suppressAutoHyphens/>
      <w:spacing w:line="240" w:lineRule="exact"/>
    </w:pPr>
    <w:rPr>
      <w:rFonts w:ascii="Times New Roman" w:eastAsia="Times New Roman" w:hAnsi="Times New Roman" w:cs="Times New Roman"/>
      <w:spacing w:val="4"/>
      <w:w w:val="103"/>
      <w:kern w:val="14"/>
      <w:sz w:val="20"/>
      <w:szCs w:val="20"/>
      <w:lang w:val="en-GB"/>
    </w:rPr>
  </w:style>
  <w:style w:type="character" w:customStyle="1" w:styleId="CommentTextChar">
    <w:name w:val="Comment Text Char"/>
    <w:basedOn w:val="DefaultParagraphFont"/>
    <w:link w:val="CommentText"/>
    <w:semiHidden/>
    <w:rsid w:val="00471AFA"/>
    <w:rPr>
      <w:rFonts w:ascii="Times New Roman" w:eastAsia="Times New Roman" w:hAnsi="Times New Roman" w:cs="Times New Roman"/>
      <w:spacing w:val="4"/>
      <w:w w:val="103"/>
      <w:kern w:val="14"/>
      <w:sz w:val="20"/>
      <w:szCs w:val="20"/>
      <w:lang w:val="en-GB"/>
    </w:rPr>
  </w:style>
  <w:style w:type="paragraph" w:styleId="BalloonText">
    <w:name w:val="Balloon Text"/>
    <w:basedOn w:val="Normal"/>
    <w:link w:val="BalloonTextChar"/>
    <w:uiPriority w:val="99"/>
    <w:semiHidden/>
    <w:unhideWhenUsed/>
    <w:rsid w:val="00471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AF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A4678"/>
    <w:pPr>
      <w:suppressAutoHyphens w:val="0"/>
      <w:spacing w:line="240" w:lineRule="auto"/>
    </w:pPr>
    <w:rPr>
      <w:rFonts w:asciiTheme="minorHAnsi" w:eastAsiaTheme="minorEastAsia" w:hAnsiTheme="minorHAnsi" w:cstheme="minorBidi"/>
      <w:b/>
      <w:bCs/>
      <w:spacing w:val="0"/>
      <w:w w:val="100"/>
      <w:kern w:val="0"/>
      <w:lang w:val="en-US"/>
    </w:rPr>
  </w:style>
  <w:style w:type="character" w:customStyle="1" w:styleId="CommentSubjectChar">
    <w:name w:val="Comment Subject Char"/>
    <w:basedOn w:val="CommentTextChar"/>
    <w:link w:val="CommentSubject"/>
    <w:uiPriority w:val="99"/>
    <w:semiHidden/>
    <w:rsid w:val="005A4678"/>
    <w:rPr>
      <w:rFonts w:ascii="Times New Roman" w:eastAsia="Times New Roman" w:hAnsi="Times New Roman" w:cs="Times New Roman"/>
      <w:b/>
      <w:bCs/>
      <w:spacing w:val="4"/>
      <w:w w:val="103"/>
      <w:kern w:val="14"/>
      <w:sz w:val="20"/>
      <w:szCs w:val="20"/>
      <w:lang w:val="en-GB"/>
    </w:rPr>
  </w:style>
  <w:style w:type="table" w:styleId="TableGrid">
    <w:name w:val="Table Grid"/>
    <w:basedOn w:val="TableNormal"/>
    <w:uiPriority w:val="59"/>
    <w:rsid w:val="009F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F2A40"/>
  </w:style>
  <w:style w:type="character" w:customStyle="1" w:styleId="FootnoteTextChar">
    <w:name w:val="Footnote Text Char"/>
    <w:basedOn w:val="DefaultParagraphFont"/>
    <w:link w:val="FootnoteText"/>
    <w:uiPriority w:val="99"/>
    <w:rsid w:val="009F2A40"/>
  </w:style>
  <w:style w:type="character" w:styleId="FootnoteReference">
    <w:name w:val="footnote reference"/>
    <w:basedOn w:val="DefaultParagraphFont"/>
    <w:uiPriority w:val="99"/>
    <w:unhideWhenUsed/>
    <w:rsid w:val="009F2A40"/>
    <w:rPr>
      <w:vertAlign w:val="superscript"/>
    </w:rPr>
  </w:style>
  <w:style w:type="paragraph" w:styleId="Footer">
    <w:name w:val="footer"/>
    <w:basedOn w:val="Normal"/>
    <w:link w:val="FooterChar"/>
    <w:uiPriority w:val="99"/>
    <w:unhideWhenUsed/>
    <w:rsid w:val="009F2A40"/>
    <w:pPr>
      <w:tabs>
        <w:tab w:val="center" w:pos="4320"/>
        <w:tab w:val="right" w:pos="8640"/>
      </w:tabs>
    </w:pPr>
  </w:style>
  <w:style w:type="character" w:customStyle="1" w:styleId="FooterChar">
    <w:name w:val="Footer Char"/>
    <w:basedOn w:val="DefaultParagraphFont"/>
    <w:link w:val="Footer"/>
    <w:uiPriority w:val="99"/>
    <w:rsid w:val="009F2A40"/>
  </w:style>
  <w:style w:type="character" w:styleId="PageNumber">
    <w:name w:val="page number"/>
    <w:basedOn w:val="DefaultParagraphFont"/>
    <w:uiPriority w:val="99"/>
    <w:semiHidden/>
    <w:unhideWhenUsed/>
    <w:rsid w:val="009F2A40"/>
  </w:style>
  <w:style w:type="character" w:styleId="Hyperlink">
    <w:name w:val="Hyperlink"/>
    <w:basedOn w:val="DefaultParagraphFont"/>
    <w:uiPriority w:val="99"/>
    <w:unhideWhenUsed/>
    <w:rsid w:val="0028514F"/>
    <w:rPr>
      <w:color w:val="0000FF" w:themeColor="hyperlink"/>
      <w:u w:val="single"/>
    </w:rPr>
  </w:style>
  <w:style w:type="paragraph" w:styleId="NoSpacing">
    <w:name w:val="No Spacing"/>
    <w:uiPriority w:val="1"/>
    <w:qFormat/>
    <w:rsid w:val="000156BF"/>
  </w:style>
  <w:style w:type="paragraph" w:styleId="Header">
    <w:name w:val="header"/>
    <w:basedOn w:val="Normal"/>
    <w:link w:val="HeaderChar"/>
    <w:uiPriority w:val="99"/>
    <w:unhideWhenUsed/>
    <w:rsid w:val="000156BF"/>
    <w:pPr>
      <w:tabs>
        <w:tab w:val="center" w:pos="4680"/>
        <w:tab w:val="right" w:pos="9360"/>
      </w:tabs>
    </w:pPr>
  </w:style>
  <w:style w:type="character" w:customStyle="1" w:styleId="HeaderChar">
    <w:name w:val="Header Char"/>
    <w:basedOn w:val="DefaultParagraphFont"/>
    <w:link w:val="Header"/>
    <w:uiPriority w:val="99"/>
    <w:rsid w:val="000156BF"/>
  </w:style>
  <w:style w:type="paragraph" w:styleId="ListParagraph">
    <w:name w:val="List Paragraph"/>
    <w:basedOn w:val="Normal"/>
    <w:uiPriority w:val="34"/>
    <w:qFormat/>
    <w:rsid w:val="000156BF"/>
    <w:pPr>
      <w:ind w:left="720"/>
      <w:contextualSpacing/>
    </w:pPr>
  </w:style>
  <w:style w:type="character" w:styleId="FollowedHyperlink">
    <w:name w:val="FollowedHyperlink"/>
    <w:basedOn w:val="DefaultParagraphFont"/>
    <w:uiPriority w:val="99"/>
    <w:semiHidden/>
    <w:unhideWhenUsed/>
    <w:rsid w:val="000E387E"/>
    <w:rPr>
      <w:color w:val="800080" w:themeColor="followedHyperlink"/>
      <w:u w:val="single"/>
    </w:rPr>
  </w:style>
  <w:style w:type="character" w:styleId="PlaceholderText">
    <w:name w:val="Placeholder Text"/>
    <w:basedOn w:val="DefaultParagraphFont"/>
    <w:uiPriority w:val="99"/>
    <w:semiHidden/>
    <w:rsid w:val="005D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r.un.org/handbook/staff-ru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2EC1F25594DA8992DA020F576100D"/>
        <w:category>
          <w:name w:val="General"/>
          <w:gallery w:val="placeholder"/>
        </w:category>
        <w:types>
          <w:type w:val="bbPlcHdr"/>
        </w:types>
        <w:behaviors>
          <w:behavior w:val="content"/>
        </w:behaviors>
        <w:guid w:val="{67054395-E9E5-496B-A0B9-89D49B538740}"/>
      </w:docPartPr>
      <w:docPartBody>
        <w:p w:rsidR="00CE7F52" w:rsidRDefault="00F84DDA">
          <w:r w:rsidRPr="00E941E8">
            <w:rPr>
              <w:rStyle w:val="PlaceholderText"/>
            </w:rPr>
            <w:t>[Effective Date]</w:t>
          </w:r>
        </w:p>
      </w:docPartBody>
    </w:docPart>
    <w:docPart>
      <w:docPartPr>
        <w:name w:val="CF6D0CBEEFB64707A4864A625961C973"/>
        <w:category>
          <w:name w:val="General"/>
          <w:gallery w:val="placeholder"/>
        </w:category>
        <w:types>
          <w:type w:val="bbPlcHdr"/>
        </w:types>
        <w:behaviors>
          <w:behavior w:val="content"/>
        </w:behaviors>
        <w:guid w:val="{40103C64-EEC9-4C84-915E-3EA20474DB73}"/>
      </w:docPartPr>
      <w:docPartBody>
        <w:p w:rsidR="00CE7F52" w:rsidRDefault="00F84DDA">
          <w:r w:rsidRPr="00E941E8">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DA"/>
    <w:rsid w:val="00CE7F52"/>
    <w:rsid w:val="00F84D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D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POPP-11-2067</_dlc_DocId>
    <TaxCatchAll xmlns="8264c5cc-ec60-4b56-8111-ce635d3d139a">
      <Value>349</Value>
    </TaxCatchAll>
    <_dlc_DocIdUrl xmlns="8264c5cc-ec60-4b56-8111-ce635d3d139a">
      <Url>https://popp.undp.org/_layouts/15/DocIdRedir.aspx?ID=POPP-11-2067</Url>
      <Description>POPP-11-2067</Description>
    </_dlc_DocIdUr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EFFECTIVEDATE xmlns="8264c5cc-ec60-4b56-8111-ce635d3d139a">2016-06-30T22:00:00+00:00</UNDP_POPP_EFFECTIVEDATE>
    <DLCPolicyLabelValue xmlns="e560140e-7b2f-4392-90df-e7567e3021a3">Effective Date: 01/07/2016                                                Version #: 2</DLCPolicyLabelValue>
    <UNDP_POPP_TITLE_EN xmlns="8264c5cc-ec60-4b56-8111-ce635d3d139a">Mobility and Hardship</UNDP_POPP_TITLE_EN>
    <UNDP_POPP_ISACTIVE xmlns="8264c5cc-ec60-4b56-8111-ce635d3d139a">true</UNDP_POPP_ISACTIVE>
    <UNDP_POPP_FILEVERSION xmlns="8264c5cc-ec60-4b56-8111-ce635d3d139a">4096</UNDP_POPP_FILEVERSION>
    <DLCPolicyLabelClientValue xmlns="e560140e-7b2f-4392-90df-e7567e3021a3">Effective Date: 01/07/2016                                                Version #: 2.0</DLCPolicyLabelClientValue>
    <UNDP_POPP_REFITEM_VERSION xmlns="8264c5cc-ec60-4b56-8111-ce635d3d139a">2</UNDP_POPP_REFITEM_VERSION>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49BE4-E8CC-47B1-B519-52011C725801}">
  <ds:schemaRefs>
    <ds:schemaRef ds:uri="http://schemas.openxmlformats.org/officeDocument/2006/bibliography"/>
  </ds:schemaRefs>
</ds:datastoreItem>
</file>

<file path=customXml/itemProps2.xml><?xml version="1.0" encoding="utf-8"?>
<ds:datastoreItem xmlns:ds="http://schemas.openxmlformats.org/officeDocument/2006/customXml" ds:itemID="{7307EF1E-DE7D-41A2-9D27-B3B2C20392B7}">
  <ds:schemaRefs>
    <ds:schemaRef ds:uri="http://purl.org/dc/terms/"/>
    <ds:schemaRef ds:uri="8264c5cc-ec60-4b56-8111-ce635d3d139a"/>
    <ds:schemaRef ds:uri="http://purl.org/dc/elements/1.1/"/>
    <ds:schemaRef ds:uri="http://schemas.microsoft.com/office/2006/metadata/properties"/>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26ADA7F-0BBE-4986-AE3E-E9D1C7CA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C0E1F-963A-4FE6-8D5D-C6EE1093C304}">
  <ds:schemaRefs>
    <ds:schemaRef ds:uri="http://schemas.microsoft.com/sharepoint/events"/>
  </ds:schemaRefs>
</ds:datastoreItem>
</file>

<file path=customXml/itemProps5.xml><?xml version="1.0" encoding="utf-8"?>
<ds:datastoreItem xmlns:ds="http://schemas.openxmlformats.org/officeDocument/2006/customXml" ds:itemID="{5E35078D-A4EB-4F42-94B2-7D8BDC56964C}">
  <ds:schemaRefs>
    <ds:schemaRef ds:uri="office.server.policy"/>
  </ds:schemaRefs>
</ds:datastoreItem>
</file>

<file path=customXml/itemProps6.xml><?xml version="1.0" encoding="utf-8"?>
<ds:datastoreItem xmlns:ds="http://schemas.openxmlformats.org/officeDocument/2006/customXml" ds:itemID="{7AD8CA80-29A7-430F-AAD3-013539857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Pablo Morete</cp:lastModifiedBy>
  <cp:revision>3</cp:revision>
  <cp:lastPrinted>2016-06-22T10:22:00Z</cp:lastPrinted>
  <dcterms:created xsi:type="dcterms:W3CDTF">2020-07-13T20:33:00Z</dcterms:created>
  <dcterms:modified xsi:type="dcterms:W3CDTF">2022-10-06T16:51:00Z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0c3fc9c4-d692-450b-9399-741fa69f079d</vt:lpwstr>
  </property>
  <property fmtid="{D5CDD505-2E9C-101B-9397-08002B2CF9AE}" pid="5" name="UNDP_POPP_BUSINESSUNIT">
    <vt:lpwstr>349;#Human Resources Management|1f57ad6b-760b-4b5a-be19-36e6fe76fd85</vt:lpwstr>
  </property>
</Properties>
</file>