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6AC4" w14:textId="77777777" w:rsidR="00B438EE" w:rsidRPr="00B438EE" w:rsidRDefault="00B438EE" w:rsidP="00B438EE">
      <w:pPr>
        <w:rPr>
          <w:b/>
          <w:lang w:val="en-US"/>
        </w:rPr>
      </w:pPr>
      <w:r w:rsidRPr="00B438EE">
        <w:rPr>
          <w:b/>
          <w:lang w:val="en-US"/>
        </w:rPr>
        <w:t>Mobility and Hardship</w:t>
      </w:r>
    </w:p>
    <w:p w14:paraId="10759F2C" w14:textId="77777777" w:rsidR="00B438EE" w:rsidRPr="00B438EE" w:rsidRDefault="00B438EE" w:rsidP="00B438EE">
      <w:pPr>
        <w:rPr>
          <w:b/>
          <w:lang w:val="en-GB"/>
        </w:rPr>
      </w:pPr>
    </w:p>
    <w:p w14:paraId="0B6816C8" w14:textId="77777777" w:rsidR="00B438EE" w:rsidRPr="00B438EE" w:rsidRDefault="00B438EE" w:rsidP="00B438EE">
      <w:pPr>
        <w:numPr>
          <w:ilvl w:val="0"/>
          <w:numId w:val="1"/>
        </w:numPr>
        <w:rPr>
          <w:lang w:val="en-US"/>
        </w:rPr>
      </w:pPr>
      <w:r w:rsidRPr="00B438EE">
        <w:rPr>
          <w:lang w:val="en-US"/>
        </w:rPr>
        <w:t>This policy takes effect on 1 July 2016 and introduces changes to the former allowances of Mobility Allowance and Additional Hardship Allowance, and amends elements of the former version of the Hardship Allowance. It also records the discontinuation of the Non-Removal Allowance on the same date and addresses transitional arrangements from the old scheme to the new one.</w:t>
      </w:r>
    </w:p>
    <w:p w14:paraId="333EA82F" w14:textId="77777777" w:rsidR="00B438EE" w:rsidRPr="00B438EE" w:rsidRDefault="00B438EE" w:rsidP="00B438EE">
      <w:pPr>
        <w:rPr>
          <w:lang w:val="en-GB"/>
        </w:rPr>
      </w:pPr>
    </w:p>
    <w:p w14:paraId="05C6EF64" w14:textId="77777777" w:rsidR="00B438EE" w:rsidRPr="00B438EE" w:rsidRDefault="00B438EE" w:rsidP="00B438EE">
      <w:pPr>
        <w:rPr>
          <w:b/>
          <w:i/>
          <w:lang w:val="en-GB"/>
        </w:rPr>
      </w:pPr>
      <w:r w:rsidRPr="00B438EE">
        <w:rPr>
          <w:b/>
          <w:i/>
          <w:lang w:val="en-GB"/>
        </w:rPr>
        <w:t>Elements of the Scheme</w:t>
      </w:r>
    </w:p>
    <w:p w14:paraId="3BDA7A6A" w14:textId="77777777" w:rsidR="00B438EE" w:rsidRPr="00B438EE" w:rsidRDefault="00B438EE" w:rsidP="00B438EE">
      <w:pPr>
        <w:numPr>
          <w:ilvl w:val="0"/>
          <w:numId w:val="1"/>
        </w:numPr>
        <w:rPr>
          <w:lang w:val="en-US"/>
        </w:rPr>
      </w:pPr>
      <w:r w:rsidRPr="00B438EE">
        <w:rPr>
          <w:lang w:val="en-US"/>
        </w:rPr>
        <w:t>The mobility and hardship scheme consists of the following non-pensionable allowances:</w:t>
      </w:r>
    </w:p>
    <w:p w14:paraId="4796F8FE" w14:textId="77777777" w:rsidR="00B438EE" w:rsidRPr="00B438EE" w:rsidRDefault="00B438EE" w:rsidP="00B438EE">
      <w:pPr>
        <w:rPr>
          <w:lang w:val="en-US"/>
        </w:rPr>
      </w:pPr>
    </w:p>
    <w:p w14:paraId="05DB02DE" w14:textId="77777777" w:rsidR="00B438EE" w:rsidRPr="00B438EE" w:rsidRDefault="00B438EE" w:rsidP="00B438EE">
      <w:pPr>
        <w:numPr>
          <w:ilvl w:val="1"/>
          <w:numId w:val="1"/>
        </w:numPr>
        <w:rPr>
          <w:lang w:val="en-US"/>
        </w:rPr>
      </w:pPr>
      <w:r w:rsidRPr="00B438EE">
        <w:rPr>
          <w:lang w:val="en-US"/>
        </w:rPr>
        <w:t xml:space="preserve">A mobility incentive, which varies according to the number of assignments to field duty stations and the purpose of which is to provide an incentive for the geographic mobility of staff in support of field </w:t>
      </w:r>
      <w:proofErr w:type="gramStart"/>
      <w:r w:rsidRPr="00B438EE">
        <w:rPr>
          <w:lang w:val="en-US"/>
        </w:rPr>
        <w:t>operations;</w:t>
      </w:r>
      <w:proofErr w:type="gramEnd"/>
    </w:p>
    <w:p w14:paraId="3E09A2EA" w14:textId="77777777" w:rsidR="00B438EE" w:rsidRPr="00B438EE" w:rsidRDefault="00B438EE" w:rsidP="00B438EE">
      <w:pPr>
        <w:rPr>
          <w:lang w:val="en-US"/>
        </w:rPr>
      </w:pPr>
    </w:p>
    <w:p w14:paraId="12BBC18E" w14:textId="77777777" w:rsidR="00B438EE" w:rsidRPr="00B438EE" w:rsidRDefault="00B438EE" w:rsidP="00B438EE">
      <w:pPr>
        <w:numPr>
          <w:ilvl w:val="1"/>
          <w:numId w:val="1"/>
        </w:numPr>
        <w:rPr>
          <w:lang w:val="en-US"/>
        </w:rPr>
      </w:pPr>
      <w:r w:rsidRPr="00B438EE">
        <w:rPr>
          <w:lang w:val="en-US"/>
        </w:rPr>
        <w:t xml:space="preserve">A hardship allowance, the purpose of which is to compensate for the varying degrees of hardship at different field duty </w:t>
      </w:r>
      <w:proofErr w:type="gramStart"/>
      <w:r w:rsidRPr="00B438EE">
        <w:rPr>
          <w:lang w:val="en-US"/>
        </w:rPr>
        <w:t>stations;</w:t>
      </w:r>
      <w:proofErr w:type="gramEnd"/>
      <w:r w:rsidRPr="00B438EE">
        <w:rPr>
          <w:lang w:val="en-US"/>
        </w:rPr>
        <w:t xml:space="preserve"> </w:t>
      </w:r>
    </w:p>
    <w:p w14:paraId="47FD1032" w14:textId="77777777" w:rsidR="00B438EE" w:rsidRPr="00B438EE" w:rsidRDefault="00B438EE" w:rsidP="00B438EE">
      <w:pPr>
        <w:rPr>
          <w:lang w:val="en-US"/>
        </w:rPr>
      </w:pPr>
    </w:p>
    <w:p w14:paraId="52631D10" w14:textId="77777777" w:rsidR="00B438EE" w:rsidRPr="00B438EE" w:rsidRDefault="00B438EE" w:rsidP="00B438EE">
      <w:pPr>
        <w:numPr>
          <w:ilvl w:val="1"/>
          <w:numId w:val="1"/>
        </w:numPr>
        <w:rPr>
          <w:lang w:val="en-US"/>
        </w:rPr>
      </w:pPr>
      <w:r w:rsidRPr="00B438EE">
        <w:rPr>
          <w:lang w:val="en-US"/>
        </w:rPr>
        <w:t>A non-family service allowance, the purpose of which is to recognize service in non-family duty stations.</w:t>
      </w:r>
    </w:p>
    <w:p w14:paraId="3F5ED2EB" w14:textId="77777777" w:rsidR="00B438EE" w:rsidRPr="00B438EE" w:rsidRDefault="00B438EE" w:rsidP="00B438EE">
      <w:pPr>
        <w:rPr>
          <w:lang w:val="en-GB"/>
        </w:rPr>
      </w:pPr>
    </w:p>
    <w:p w14:paraId="33CE4EA0" w14:textId="77777777" w:rsidR="00B438EE" w:rsidRPr="00B438EE" w:rsidRDefault="00B438EE" w:rsidP="00B438EE">
      <w:pPr>
        <w:rPr>
          <w:b/>
          <w:i/>
          <w:lang w:val="en-US"/>
        </w:rPr>
      </w:pPr>
      <w:r w:rsidRPr="00B438EE">
        <w:rPr>
          <w:b/>
          <w:i/>
          <w:lang w:val="en-US"/>
        </w:rPr>
        <w:t>Eligibility</w:t>
      </w:r>
    </w:p>
    <w:p w14:paraId="0CAB0E05" w14:textId="77777777" w:rsidR="00B438EE" w:rsidRPr="00B438EE" w:rsidRDefault="00B438EE" w:rsidP="00B438EE">
      <w:pPr>
        <w:rPr>
          <w:lang w:val="en-US"/>
        </w:rPr>
      </w:pPr>
    </w:p>
    <w:p w14:paraId="19458AA5" w14:textId="77777777" w:rsidR="00B438EE" w:rsidRPr="00B438EE" w:rsidRDefault="00B438EE" w:rsidP="00B438EE">
      <w:pPr>
        <w:rPr>
          <w:lang w:val="en-US"/>
        </w:rPr>
      </w:pPr>
    </w:p>
    <w:p w14:paraId="1BE49198" w14:textId="77777777" w:rsidR="00B438EE" w:rsidRPr="00B438EE" w:rsidRDefault="00B438EE" w:rsidP="00B438EE">
      <w:pPr>
        <w:numPr>
          <w:ilvl w:val="0"/>
          <w:numId w:val="1"/>
        </w:numPr>
        <w:rPr>
          <w:lang w:val="en-US"/>
        </w:rPr>
      </w:pPr>
      <w:r w:rsidRPr="00B438EE">
        <w:rPr>
          <w:lang w:val="en-US"/>
        </w:rPr>
        <w:t xml:space="preserve">Staff in the Professional and higher categories (i.e., International Professional staff), and staff in the Field Service category are eligible for payment of the allowances under this scheme, provided they meet the requirements set out below and subject to the </w:t>
      </w:r>
      <w:proofErr w:type="gramStart"/>
      <w:r w:rsidRPr="00B438EE">
        <w:rPr>
          <w:lang w:val="en-US"/>
        </w:rPr>
        <w:t>particular conditions</w:t>
      </w:r>
      <w:proofErr w:type="gramEnd"/>
      <w:r w:rsidRPr="00B438EE">
        <w:rPr>
          <w:lang w:val="en-US"/>
        </w:rPr>
        <w:t xml:space="preserve"> governing each allowance, as described in the following paragraphs. </w:t>
      </w:r>
    </w:p>
    <w:p w14:paraId="2AB229CB" w14:textId="77777777" w:rsidR="00B438EE" w:rsidRPr="00B438EE" w:rsidRDefault="00B438EE" w:rsidP="00B438EE">
      <w:pPr>
        <w:rPr>
          <w:lang w:val="en-US"/>
        </w:rPr>
      </w:pPr>
    </w:p>
    <w:p w14:paraId="0FFA25B8" w14:textId="77777777" w:rsidR="00B438EE" w:rsidRPr="00B438EE" w:rsidRDefault="00B438EE" w:rsidP="00B438EE">
      <w:pPr>
        <w:numPr>
          <w:ilvl w:val="0"/>
          <w:numId w:val="1"/>
        </w:numPr>
        <w:rPr>
          <w:lang w:val="en-US"/>
        </w:rPr>
      </w:pPr>
      <w:r w:rsidRPr="00B438EE">
        <w:rPr>
          <w:lang w:val="en-US"/>
        </w:rPr>
        <w:t>Eligibility for the mobility incentive normally requires a geographic move to a new field duty station, for a period of one year or longer (unless otherwise provided).</w:t>
      </w:r>
    </w:p>
    <w:p w14:paraId="0A85B693" w14:textId="77777777" w:rsidR="00B438EE" w:rsidRPr="00B438EE" w:rsidRDefault="00B438EE" w:rsidP="00B438EE">
      <w:pPr>
        <w:rPr>
          <w:lang w:val="en-US"/>
        </w:rPr>
      </w:pPr>
    </w:p>
    <w:p w14:paraId="46B9D7C1" w14:textId="77777777" w:rsidR="00B438EE" w:rsidRPr="00B438EE" w:rsidRDefault="00B438EE" w:rsidP="00B438EE">
      <w:pPr>
        <w:numPr>
          <w:ilvl w:val="0"/>
          <w:numId w:val="1"/>
        </w:numPr>
        <w:rPr>
          <w:lang w:val="en-US"/>
        </w:rPr>
      </w:pPr>
      <w:r w:rsidRPr="00B438EE">
        <w:rPr>
          <w:lang w:val="en-US"/>
        </w:rPr>
        <w:t>The allowances under this scheme are not considered expatriate benefits and may be paid to eligible staff members serving in their home country.</w:t>
      </w:r>
    </w:p>
    <w:p w14:paraId="6296E359" w14:textId="77777777" w:rsidR="00B438EE" w:rsidRPr="00B438EE" w:rsidRDefault="00B438EE" w:rsidP="00B438EE">
      <w:pPr>
        <w:rPr>
          <w:lang w:val="en-US"/>
        </w:rPr>
      </w:pPr>
    </w:p>
    <w:p w14:paraId="519CBE2C" w14:textId="77777777" w:rsidR="00B438EE" w:rsidRPr="00B438EE" w:rsidRDefault="00B438EE" w:rsidP="00B438EE">
      <w:pPr>
        <w:numPr>
          <w:ilvl w:val="0"/>
          <w:numId w:val="1"/>
        </w:numPr>
        <w:rPr>
          <w:lang w:val="en-US"/>
        </w:rPr>
      </w:pPr>
      <w:r w:rsidRPr="00B438EE">
        <w:rPr>
          <w:lang w:val="en-US"/>
        </w:rPr>
        <w:t xml:space="preserve">When staff members eligible for payment of the allowances are on travel status, and receive a daily subsistence allowance as a result, the incentives/allowances under the Mobility and Hardship scheme shall continue to be paid </w:t>
      </w:r>
      <w:proofErr w:type="gramStart"/>
      <w:r w:rsidRPr="00B438EE">
        <w:rPr>
          <w:lang w:val="en-US"/>
        </w:rPr>
        <w:t>on the basis of</w:t>
      </w:r>
      <w:proofErr w:type="gramEnd"/>
      <w:r w:rsidRPr="00B438EE">
        <w:rPr>
          <w:lang w:val="en-US"/>
        </w:rPr>
        <w:t xml:space="preserve"> their appointment at the parent duty station. Payment of the incentives/allowances is subject to official change of duty station. </w:t>
      </w:r>
    </w:p>
    <w:p w14:paraId="05388CF5" w14:textId="77777777" w:rsidR="00B438EE" w:rsidRPr="00B438EE" w:rsidRDefault="00B438EE" w:rsidP="00B438EE">
      <w:pPr>
        <w:rPr>
          <w:lang w:val="en-US"/>
        </w:rPr>
      </w:pPr>
    </w:p>
    <w:p w14:paraId="658446DA" w14:textId="77777777" w:rsidR="00B438EE" w:rsidRPr="00B438EE" w:rsidRDefault="00B438EE" w:rsidP="00B438EE">
      <w:pPr>
        <w:rPr>
          <w:b/>
          <w:i/>
          <w:lang w:val="en-US"/>
        </w:rPr>
      </w:pPr>
    </w:p>
    <w:p w14:paraId="1E9F0DB6" w14:textId="77777777" w:rsidR="00B438EE" w:rsidRPr="00B438EE" w:rsidRDefault="00B438EE" w:rsidP="00B438EE">
      <w:pPr>
        <w:rPr>
          <w:b/>
          <w:i/>
          <w:lang w:val="en-US"/>
        </w:rPr>
      </w:pPr>
    </w:p>
    <w:p w14:paraId="56DDC3E6" w14:textId="77777777" w:rsidR="00B438EE" w:rsidRPr="00B438EE" w:rsidRDefault="00B438EE" w:rsidP="00B438EE">
      <w:pPr>
        <w:rPr>
          <w:b/>
          <w:i/>
          <w:lang w:val="en-US"/>
        </w:rPr>
      </w:pPr>
    </w:p>
    <w:p w14:paraId="14B14505" w14:textId="77777777" w:rsidR="00B438EE" w:rsidRPr="00B438EE" w:rsidRDefault="00B438EE" w:rsidP="00B438EE">
      <w:pPr>
        <w:rPr>
          <w:b/>
          <w:i/>
          <w:lang w:val="en-US"/>
        </w:rPr>
      </w:pPr>
    </w:p>
    <w:p w14:paraId="6FB18AF5" w14:textId="77777777" w:rsidR="00B438EE" w:rsidRPr="00B438EE" w:rsidRDefault="00B438EE" w:rsidP="00B438EE">
      <w:pPr>
        <w:rPr>
          <w:lang w:val="en-US"/>
        </w:rPr>
      </w:pPr>
      <w:r w:rsidRPr="00B438EE">
        <w:rPr>
          <w:b/>
          <w:i/>
          <w:lang w:val="en-US"/>
        </w:rPr>
        <w:t>Category and designation of duty stations</w:t>
      </w:r>
    </w:p>
    <w:p w14:paraId="092CD769" w14:textId="77777777" w:rsidR="00B438EE" w:rsidRPr="00B438EE" w:rsidRDefault="00B438EE" w:rsidP="00B438EE">
      <w:pPr>
        <w:rPr>
          <w:lang w:val="en-US"/>
        </w:rPr>
      </w:pPr>
    </w:p>
    <w:p w14:paraId="18509B1B" w14:textId="77777777" w:rsidR="00B438EE" w:rsidRPr="00B438EE" w:rsidRDefault="00B438EE" w:rsidP="00B438EE">
      <w:pPr>
        <w:rPr>
          <w:lang w:val="en-GB"/>
        </w:rPr>
      </w:pPr>
    </w:p>
    <w:p w14:paraId="675B2AFB" w14:textId="77777777" w:rsidR="00B438EE" w:rsidRPr="00B438EE" w:rsidRDefault="00B438EE" w:rsidP="00B438EE">
      <w:pPr>
        <w:numPr>
          <w:ilvl w:val="0"/>
          <w:numId w:val="1"/>
        </w:numPr>
        <w:rPr>
          <w:lang w:val="en-US"/>
        </w:rPr>
      </w:pPr>
      <w:r w:rsidRPr="00B438EE">
        <w:rPr>
          <w:lang w:val="en-US"/>
        </w:rPr>
        <w:t xml:space="preserve">All duty stations are designated by the International Civil Service Commission in one of six categories: H, and A to E. Duty stations in category H are headquarters and similarly designated locations where the United Nations has no development or humanitarian assistance </w:t>
      </w:r>
      <w:proofErr w:type="spellStart"/>
      <w:r w:rsidRPr="00B438EE">
        <w:rPr>
          <w:lang w:val="en-US"/>
        </w:rPr>
        <w:t>programme</w:t>
      </w:r>
      <w:proofErr w:type="spellEnd"/>
      <w:r w:rsidRPr="00B438EE">
        <w:rPr>
          <w:lang w:val="en-US"/>
        </w:rPr>
        <w:t xml:space="preserve">, or locations in countries that are members of the European Union. The A to E categories comprise all other duty stations, classified by order of difficulty of conditions of life and work. Staff members are informed of the category of their duty station on an annual basis or more frequently if there is a change in classification. </w:t>
      </w:r>
    </w:p>
    <w:p w14:paraId="2F8CC6A9" w14:textId="77777777" w:rsidR="00B438EE" w:rsidRPr="00B438EE" w:rsidRDefault="00B438EE" w:rsidP="00B438EE">
      <w:pPr>
        <w:rPr>
          <w:lang w:val="en-US"/>
        </w:rPr>
      </w:pPr>
    </w:p>
    <w:p w14:paraId="46AE1550" w14:textId="77777777" w:rsidR="00B438EE" w:rsidRPr="00B438EE" w:rsidRDefault="00B438EE" w:rsidP="00B438EE">
      <w:pPr>
        <w:numPr>
          <w:ilvl w:val="0"/>
          <w:numId w:val="1"/>
        </w:numPr>
        <w:rPr>
          <w:lang w:val="en-US"/>
        </w:rPr>
      </w:pPr>
      <w:proofErr w:type="gramStart"/>
      <w:r w:rsidRPr="00B438EE">
        <w:rPr>
          <w:lang w:val="en-US"/>
        </w:rPr>
        <w:t>For the purpose of</w:t>
      </w:r>
      <w:proofErr w:type="gramEnd"/>
      <w:r w:rsidRPr="00B438EE">
        <w:rPr>
          <w:lang w:val="en-US"/>
        </w:rPr>
        <w:t xml:space="preserve"> payment of the non-family service allowance, a duty station is designated as “non-family” by the Chairman of the International Civil Service Commission when the medium- or longer-term presence of non</w:t>
      </w:r>
      <w:r w:rsidRPr="00B438EE">
        <w:rPr>
          <w:lang w:val="en-US"/>
        </w:rPr>
        <w:noBreakHyphen/>
        <w:t>essential staff and/or recognized spouses and/or dependent children in the staff member’s duty station is deemed dangerous or unsuitable for reasons of their safety and security. A decision regarding whether to designate a duty station as “non</w:t>
      </w:r>
      <w:r w:rsidRPr="00B438EE">
        <w:rPr>
          <w:lang w:val="en-US"/>
        </w:rPr>
        <w:noBreakHyphen/>
        <w:t>family” is normally taken within six months of the declaration of evacuation or relocation of non-essential staff and/or family members.</w:t>
      </w:r>
    </w:p>
    <w:p w14:paraId="1F7488B0" w14:textId="77777777" w:rsidR="00B438EE" w:rsidRPr="00B438EE" w:rsidRDefault="00B438EE" w:rsidP="00B438EE">
      <w:pPr>
        <w:rPr>
          <w:lang w:val="en-GB"/>
        </w:rPr>
      </w:pPr>
    </w:p>
    <w:p w14:paraId="54AC8D9F" w14:textId="77777777" w:rsidR="00B438EE" w:rsidRPr="00B438EE" w:rsidRDefault="00B438EE" w:rsidP="00B438EE">
      <w:pPr>
        <w:rPr>
          <w:b/>
          <w:i/>
          <w:lang w:val="en-US"/>
        </w:rPr>
      </w:pPr>
      <w:r w:rsidRPr="00B438EE">
        <w:rPr>
          <w:b/>
          <w:i/>
          <w:lang w:val="en-US"/>
        </w:rPr>
        <w:lastRenderedPageBreak/>
        <w:t>Amounts</w:t>
      </w:r>
    </w:p>
    <w:p w14:paraId="7AC1E3C0" w14:textId="77777777" w:rsidR="00B438EE" w:rsidRPr="00B438EE" w:rsidRDefault="00B438EE" w:rsidP="00B438EE">
      <w:pPr>
        <w:rPr>
          <w:lang w:val="en-GB"/>
        </w:rPr>
      </w:pPr>
    </w:p>
    <w:p w14:paraId="7B4B3887" w14:textId="77777777" w:rsidR="00B438EE" w:rsidRPr="00B438EE" w:rsidRDefault="00B438EE" w:rsidP="00B438EE">
      <w:pPr>
        <w:numPr>
          <w:ilvl w:val="0"/>
          <w:numId w:val="1"/>
        </w:numPr>
        <w:rPr>
          <w:lang w:val="en-US"/>
        </w:rPr>
      </w:pPr>
      <w:r w:rsidRPr="00B438EE">
        <w:rPr>
          <w:lang w:val="en-US"/>
        </w:rPr>
        <w:t>The amount of the allowances payable to each eligible staff member may vary by grade level and dependency status. Annex 1 shows the applicable amounts by individual circumstances.</w:t>
      </w:r>
    </w:p>
    <w:p w14:paraId="0FC495F2" w14:textId="77777777" w:rsidR="00B438EE" w:rsidRPr="00B438EE" w:rsidRDefault="00B438EE" w:rsidP="00B438EE">
      <w:pPr>
        <w:rPr>
          <w:lang w:val="en-GB"/>
        </w:rPr>
      </w:pPr>
    </w:p>
    <w:p w14:paraId="03B924FB" w14:textId="77777777" w:rsidR="00B438EE" w:rsidRPr="00B438EE" w:rsidRDefault="00B438EE" w:rsidP="00B438EE">
      <w:pPr>
        <w:rPr>
          <w:b/>
          <w:lang w:val="en-GB"/>
        </w:rPr>
      </w:pPr>
      <w:r w:rsidRPr="00B438EE">
        <w:rPr>
          <w:b/>
          <w:lang w:val="en-GB"/>
        </w:rPr>
        <w:t>Mobility Incentive</w:t>
      </w:r>
    </w:p>
    <w:p w14:paraId="70CC7045" w14:textId="77777777" w:rsidR="00B438EE" w:rsidRPr="00B438EE" w:rsidRDefault="00B438EE" w:rsidP="00B438EE">
      <w:pPr>
        <w:rPr>
          <w:b/>
          <w:i/>
          <w:lang w:val="en-US"/>
        </w:rPr>
      </w:pPr>
      <w:r w:rsidRPr="00B438EE">
        <w:rPr>
          <w:b/>
          <w:i/>
          <w:lang w:val="en-US"/>
        </w:rPr>
        <w:t>Qualifying service</w:t>
      </w:r>
    </w:p>
    <w:p w14:paraId="6DFC0505" w14:textId="77777777" w:rsidR="00B438EE" w:rsidRPr="00B438EE" w:rsidRDefault="00B438EE" w:rsidP="00B438EE">
      <w:pPr>
        <w:rPr>
          <w:lang w:val="en-US"/>
        </w:rPr>
      </w:pPr>
    </w:p>
    <w:p w14:paraId="785977B1" w14:textId="77777777" w:rsidR="00B438EE" w:rsidRPr="00B438EE" w:rsidRDefault="00B438EE" w:rsidP="00B438EE">
      <w:pPr>
        <w:rPr>
          <w:lang w:val="en-GB"/>
        </w:rPr>
      </w:pPr>
    </w:p>
    <w:p w14:paraId="1B51AA47" w14:textId="77777777" w:rsidR="00B438EE" w:rsidRPr="00B438EE" w:rsidRDefault="00B438EE" w:rsidP="00B438EE">
      <w:pPr>
        <w:numPr>
          <w:ilvl w:val="0"/>
          <w:numId w:val="1"/>
        </w:numPr>
        <w:rPr>
          <w:lang w:val="en-US"/>
        </w:rPr>
      </w:pPr>
      <w:r w:rsidRPr="00B438EE">
        <w:rPr>
          <w:lang w:val="en-US"/>
        </w:rPr>
        <w:t xml:space="preserve">To qualify for payment of the mobility allowance, a staff member must have five years’ prior continuous service on a fixed-term or continuing appointment as a staff member of the United Nations common system. When qualifying service has been broken by separation from service as defined in </w:t>
      </w:r>
      <w:hyperlink r:id="rId7" w:anchor="Rule%209.1" w:history="1">
        <w:r w:rsidRPr="00B438EE">
          <w:rPr>
            <w:rStyle w:val="Hyperlink"/>
            <w:lang w:val="en-US"/>
          </w:rPr>
          <w:t>UN Staff Rule 9.1</w:t>
        </w:r>
      </w:hyperlink>
      <w:r w:rsidRPr="00B438EE">
        <w:rPr>
          <w:lang w:val="en-US"/>
        </w:rPr>
        <w:t>, such service accrued before the separation shall be forfeited and a new period shall begin upon the staff member’s re-employment. Service credited towards the five-year service requirement may include service as a staff member in one of the categories eligible for payment of the allowance as well as prior service in a non</w:t>
      </w:r>
      <w:r w:rsidRPr="00B438EE">
        <w:rPr>
          <w:lang w:val="en-US"/>
        </w:rPr>
        <w:noBreakHyphen/>
        <w:t xml:space="preserve">eligible category when allowed under (see section on counting assignments). </w:t>
      </w:r>
    </w:p>
    <w:p w14:paraId="26FE2BB4" w14:textId="77777777" w:rsidR="00B438EE" w:rsidRPr="00B438EE" w:rsidRDefault="00B438EE" w:rsidP="00B438EE">
      <w:pPr>
        <w:rPr>
          <w:lang w:val="en-US"/>
        </w:rPr>
      </w:pPr>
    </w:p>
    <w:p w14:paraId="7FDF5DEC" w14:textId="77777777" w:rsidR="00B438EE" w:rsidRPr="00B438EE" w:rsidRDefault="00B438EE" w:rsidP="00B438EE">
      <w:pPr>
        <w:numPr>
          <w:ilvl w:val="0"/>
          <w:numId w:val="1"/>
        </w:numPr>
        <w:rPr>
          <w:lang w:val="en-US"/>
        </w:rPr>
      </w:pPr>
      <w:r w:rsidRPr="00B438EE">
        <w:rPr>
          <w:lang w:val="en-US"/>
        </w:rPr>
        <w:t xml:space="preserve">At all duty stations classified in categories A to E, the mobility incentive is payable from the second assignment, provided the requirement of five years’ consecutive service has been met. </w:t>
      </w:r>
    </w:p>
    <w:p w14:paraId="37231627" w14:textId="77777777" w:rsidR="00B438EE" w:rsidRPr="00B438EE" w:rsidRDefault="00B438EE" w:rsidP="00B438EE">
      <w:pPr>
        <w:rPr>
          <w:lang w:val="en-US"/>
        </w:rPr>
      </w:pPr>
    </w:p>
    <w:p w14:paraId="5815B3E7" w14:textId="77777777" w:rsidR="00B438EE" w:rsidRPr="00B438EE" w:rsidRDefault="00B438EE" w:rsidP="00B438EE">
      <w:pPr>
        <w:numPr>
          <w:ilvl w:val="0"/>
          <w:numId w:val="1"/>
        </w:numPr>
        <w:rPr>
          <w:lang w:val="en-US"/>
        </w:rPr>
      </w:pPr>
      <w:r w:rsidRPr="00B438EE">
        <w:rPr>
          <w:lang w:val="en-US"/>
        </w:rPr>
        <w:t>Service shall not be considered as broken by periods of special leave of less than 30 days, but full months of special leave without pay shall not be credited towards the five-year service requirement.</w:t>
      </w:r>
    </w:p>
    <w:p w14:paraId="53A387AC" w14:textId="77777777" w:rsidR="00B438EE" w:rsidRPr="00B438EE" w:rsidRDefault="00B438EE" w:rsidP="00B438EE">
      <w:pPr>
        <w:rPr>
          <w:lang w:val="en-US"/>
        </w:rPr>
      </w:pPr>
    </w:p>
    <w:p w14:paraId="4398BAC2" w14:textId="77777777" w:rsidR="00B438EE" w:rsidRPr="00B438EE" w:rsidRDefault="00B438EE" w:rsidP="00B438EE">
      <w:pPr>
        <w:numPr>
          <w:ilvl w:val="0"/>
          <w:numId w:val="1"/>
        </w:numPr>
        <w:rPr>
          <w:lang w:val="en-US"/>
        </w:rPr>
      </w:pPr>
      <w:r w:rsidRPr="00B438EE">
        <w:rPr>
          <w:lang w:val="en-US"/>
        </w:rPr>
        <w:t>Staff members holding temporary appointments are not eligible to receive the mobility incentive regardless of any exceptional extension of their appointment beyond 364 days.</w:t>
      </w:r>
    </w:p>
    <w:p w14:paraId="5541862F" w14:textId="77777777" w:rsidR="00B438EE" w:rsidRPr="00B438EE" w:rsidRDefault="00B438EE" w:rsidP="00B438EE">
      <w:pPr>
        <w:rPr>
          <w:lang w:val="en-US"/>
        </w:rPr>
      </w:pPr>
    </w:p>
    <w:p w14:paraId="4DC58D85" w14:textId="77777777" w:rsidR="00B438EE" w:rsidRPr="00B438EE" w:rsidRDefault="00B438EE" w:rsidP="00B438EE">
      <w:pPr>
        <w:rPr>
          <w:b/>
          <w:i/>
          <w:lang w:val="en-US"/>
        </w:rPr>
      </w:pPr>
      <w:r w:rsidRPr="00B438EE">
        <w:rPr>
          <w:b/>
          <w:i/>
          <w:lang w:val="en-US"/>
        </w:rPr>
        <w:t>Determining the assignment number</w:t>
      </w:r>
    </w:p>
    <w:p w14:paraId="2ED2F5FE" w14:textId="77777777" w:rsidR="00B438EE" w:rsidRPr="00B438EE" w:rsidRDefault="00B438EE" w:rsidP="00B438EE">
      <w:pPr>
        <w:rPr>
          <w:lang w:val="en-US"/>
        </w:rPr>
      </w:pPr>
    </w:p>
    <w:p w14:paraId="6E33E078" w14:textId="77777777" w:rsidR="00B438EE" w:rsidRPr="00B438EE" w:rsidRDefault="00B438EE" w:rsidP="00B438EE">
      <w:pPr>
        <w:rPr>
          <w:lang w:val="en-GB"/>
        </w:rPr>
      </w:pPr>
    </w:p>
    <w:p w14:paraId="57375B92" w14:textId="77777777" w:rsidR="00B438EE" w:rsidRPr="00B438EE" w:rsidRDefault="00B438EE" w:rsidP="00B438EE">
      <w:pPr>
        <w:numPr>
          <w:ilvl w:val="0"/>
          <w:numId w:val="1"/>
        </w:numPr>
        <w:rPr>
          <w:lang w:val="en-US"/>
        </w:rPr>
      </w:pPr>
      <w:proofErr w:type="gramStart"/>
      <w:r w:rsidRPr="00B438EE">
        <w:rPr>
          <w:lang w:val="en-US"/>
        </w:rPr>
        <w:t>For the purpose of</w:t>
      </w:r>
      <w:proofErr w:type="gramEnd"/>
      <w:r w:rsidRPr="00B438EE">
        <w:rPr>
          <w:lang w:val="en-US"/>
        </w:rPr>
        <w:t xml:space="preserve"> this policy, the term “assignment”, when determining the assignment number of the staff member, shall be understood to mean either the initial appointment of a staff member to a duty station, or reassignment for a period of one year or longer of a staff member to a new duty station beyond commuting distance, including duty stations classified as headquarters duty stations. </w:t>
      </w:r>
    </w:p>
    <w:p w14:paraId="01C0D32C" w14:textId="77777777" w:rsidR="00B438EE" w:rsidRPr="00B438EE" w:rsidRDefault="00B438EE" w:rsidP="00B438EE">
      <w:pPr>
        <w:rPr>
          <w:lang w:val="en-US"/>
        </w:rPr>
      </w:pPr>
    </w:p>
    <w:p w14:paraId="5D71FE5F" w14:textId="77777777" w:rsidR="00B438EE" w:rsidRPr="00B438EE" w:rsidRDefault="00B438EE" w:rsidP="00B438EE">
      <w:pPr>
        <w:numPr>
          <w:ilvl w:val="0"/>
          <w:numId w:val="1"/>
        </w:numPr>
        <w:rPr>
          <w:lang w:val="en-US"/>
        </w:rPr>
      </w:pPr>
      <w:r w:rsidRPr="00B438EE">
        <w:rPr>
          <w:lang w:val="en-US"/>
        </w:rPr>
        <w:t>Initial appointments of one year or longer, and assignments of one year or longer which involve a change of duty station, shall each be counted as one assignment, provided the staff member completes a minimum one-year period of service in each of the relevant duty stations.</w:t>
      </w:r>
    </w:p>
    <w:p w14:paraId="793875FA" w14:textId="77777777" w:rsidR="00B438EE" w:rsidRPr="00B438EE" w:rsidRDefault="00B438EE" w:rsidP="00B438EE">
      <w:pPr>
        <w:rPr>
          <w:lang w:val="en-US"/>
        </w:rPr>
      </w:pPr>
    </w:p>
    <w:p w14:paraId="0612E525" w14:textId="77777777" w:rsidR="00B438EE" w:rsidRPr="00B438EE" w:rsidRDefault="00B438EE" w:rsidP="00B438EE">
      <w:pPr>
        <w:numPr>
          <w:ilvl w:val="0"/>
          <w:numId w:val="1"/>
        </w:numPr>
        <w:rPr>
          <w:lang w:val="en-US"/>
        </w:rPr>
      </w:pPr>
      <w:r w:rsidRPr="00B438EE">
        <w:rPr>
          <w:lang w:val="en-US"/>
        </w:rPr>
        <w:t>If a staff member is assigned to a duty station for a period of one year or longer and such time is subsequently reduced at the initiative of the Organization to less than one year, such service may be counted as an assignment on an exceptional basis.</w:t>
      </w:r>
    </w:p>
    <w:p w14:paraId="1DED7085" w14:textId="77777777" w:rsidR="00B438EE" w:rsidRPr="00B438EE" w:rsidRDefault="00B438EE" w:rsidP="00B438EE">
      <w:pPr>
        <w:rPr>
          <w:lang w:val="en-US"/>
        </w:rPr>
      </w:pPr>
    </w:p>
    <w:p w14:paraId="39025B02" w14:textId="77777777" w:rsidR="00B438EE" w:rsidRPr="00B438EE" w:rsidRDefault="00B438EE" w:rsidP="00B438EE">
      <w:pPr>
        <w:numPr>
          <w:ilvl w:val="0"/>
          <w:numId w:val="1"/>
        </w:numPr>
        <w:rPr>
          <w:lang w:val="en-US"/>
        </w:rPr>
      </w:pPr>
      <w:r w:rsidRPr="00B438EE">
        <w:rPr>
          <w:lang w:val="en-US"/>
        </w:rPr>
        <w:t xml:space="preserve">In other cases, counting of assignments shall be made as follows: </w:t>
      </w:r>
    </w:p>
    <w:p w14:paraId="2A6A3A83" w14:textId="77777777" w:rsidR="00B438EE" w:rsidRPr="00B438EE" w:rsidRDefault="00B438EE" w:rsidP="00B438EE">
      <w:pPr>
        <w:rPr>
          <w:lang w:val="en-US"/>
        </w:rPr>
      </w:pPr>
    </w:p>
    <w:p w14:paraId="485384D0" w14:textId="77777777" w:rsidR="00B438EE" w:rsidRPr="00B438EE" w:rsidRDefault="00B438EE" w:rsidP="00B438EE">
      <w:pPr>
        <w:numPr>
          <w:ilvl w:val="0"/>
          <w:numId w:val="2"/>
        </w:numPr>
        <w:rPr>
          <w:lang w:val="en-US"/>
        </w:rPr>
      </w:pPr>
      <w:r w:rsidRPr="00B438EE">
        <w:rPr>
          <w:lang w:val="en-US"/>
        </w:rPr>
        <w:t xml:space="preserve">Exceptional periods of service on daily subsistence allowance for a period of one year or longer at the same duty station are counted as one assignment, but only upon reassignment to a new parent duty </w:t>
      </w:r>
      <w:proofErr w:type="gramStart"/>
      <w:r w:rsidRPr="00B438EE">
        <w:rPr>
          <w:lang w:val="en-US"/>
        </w:rPr>
        <w:t>station;</w:t>
      </w:r>
      <w:proofErr w:type="gramEnd"/>
    </w:p>
    <w:p w14:paraId="471AF581" w14:textId="77777777" w:rsidR="00B438EE" w:rsidRPr="00B438EE" w:rsidRDefault="00B438EE" w:rsidP="00B438EE">
      <w:pPr>
        <w:rPr>
          <w:lang w:val="en-US"/>
        </w:rPr>
      </w:pPr>
    </w:p>
    <w:p w14:paraId="70493CD0" w14:textId="77777777" w:rsidR="00B438EE" w:rsidRPr="00B438EE" w:rsidRDefault="00B438EE" w:rsidP="00B438EE">
      <w:pPr>
        <w:numPr>
          <w:ilvl w:val="0"/>
          <w:numId w:val="2"/>
        </w:numPr>
        <w:rPr>
          <w:lang w:val="en-US"/>
        </w:rPr>
      </w:pPr>
      <w:r w:rsidRPr="00B438EE">
        <w:rPr>
          <w:lang w:val="en-US"/>
        </w:rPr>
        <w:t xml:space="preserve">All </w:t>
      </w:r>
      <w:proofErr w:type="gramStart"/>
      <w:r w:rsidRPr="00B438EE">
        <w:rPr>
          <w:lang w:val="en-US"/>
        </w:rPr>
        <w:t>service</w:t>
      </w:r>
      <w:proofErr w:type="gramEnd"/>
      <w:r w:rsidRPr="00B438EE">
        <w:rPr>
          <w:lang w:val="en-US"/>
        </w:rPr>
        <w:t xml:space="preserve"> in the General Service and National Professional Officer category counts for one assignment, irrespective of the number of assignments in those categories. </w:t>
      </w:r>
    </w:p>
    <w:p w14:paraId="44AEE76E" w14:textId="77777777" w:rsidR="00B438EE" w:rsidRPr="00B438EE" w:rsidRDefault="00B438EE" w:rsidP="00B438EE">
      <w:pPr>
        <w:rPr>
          <w:lang w:val="en-US"/>
        </w:rPr>
      </w:pPr>
    </w:p>
    <w:p w14:paraId="04F14826" w14:textId="77777777" w:rsidR="00B438EE" w:rsidRPr="00B438EE" w:rsidRDefault="00B438EE" w:rsidP="00B438EE">
      <w:pPr>
        <w:numPr>
          <w:ilvl w:val="0"/>
          <w:numId w:val="2"/>
        </w:numPr>
        <w:rPr>
          <w:lang w:val="en-US"/>
        </w:rPr>
      </w:pPr>
      <w:r w:rsidRPr="00B438EE">
        <w:rPr>
          <w:lang w:val="en-US"/>
        </w:rPr>
        <w:t xml:space="preserve">Transfers, secondments and loans to other organizations of the United Nations common system shall be counted in the same manner as movements within the </w:t>
      </w:r>
      <w:proofErr w:type="gramStart"/>
      <w:r w:rsidRPr="00B438EE">
        <w:rPr>
          <w:lang w:val="en-US"/>
        </w:rPr>
        <w:t>Organization;</w:t>
      </w:r>
      <w:proofErr w:type="gramEnd"/>
    </w:p>
    <w:p w14:paraId="37697D79" w14:textId="77777777" w:rsidR="00B438EE" w:rsidRPr="00B438EE" w:rsidRDefault="00B438EE" w:rsidP="00B438EE">
      <w:pPr>
        <w:rPr>
          <w:lang w:val="en-US"/>
        </w:rPr>
      </w:pPr>
    </w:p>
    <w:p w14:paraId="64FF501D" w14:textId="77777777" w:rsidR="00B438EE" w:rsidRPr="00B438EE" w:rsidRDefault="00B438EE" w:rsidP="00B438EE">
      <w:pPr>
        <w:numPr>
          <w:ilvl w:val="0"/>
          <w:numId w:val="2"/>
        </w:numPr>
        <w:rPr>
          <w:lang w:val="en-US"/>
        </w:rPr>
      </w:pPr>
      <w:r w:rsidRPr="00B438EE">
        <w:rPr>
          <w:lang w:val="en-US"/>
        </w:rPr>
        <w:t>Periods of service under a fixed-term appointment of one year or longer as a Junior Professional Officer shall be counted in the same way as other internationally recruited staff.  Periods of service as a United Nations Volunteer are not counted.</w:t>
      </w:r>
    </w:p>
    <w:p w14:paraId="31B15B7A" w14:textId="77777777" w:rsidR="00B438EE" w:rsidRPr="00B438EE" w:rsidRDefault="00B438EE" w:rsidP="00B438EE">
      <w:pPr>
        <w:rPr>
          <w:lang w:val="en-US"/>
        </w:rPr>
      </w:pPr>
    </w:p>
    <w:p w14:paraId="7C0F2338" w14:textId="77777777" w:rsidR="00B438EE" w:rsidRPr="00B438EE" w:rsidRDefault="00B438EE" w:rsidP="00B438EE">
      <w:pPr>
        <w:numPr>
          <w:ilvl w:val="0"/>
          <w:numId w:val="2"/>
        </w:numPr>
        <w:rPr>
          <w:lang w:val="en-US"/>
        </w:rPr>
      </w:pPr>
      <w:r w:rsidRPr="00B438EE">
        <w:rPr>
          <w:lang w:val="en-US"/>
        </w:rPr>
        <w:t>Periods of service on a temporary appointment are not counted.</w:t>
      </w:r>
    </w:p>
    <w:p w14:paraId="6BC71B9E" w14:textId="77777777" w:rsidR="00B438EE" w:rsidRPr="00B438EE" w:rsidRDefault="00B438EE" w:rsidP="00B438EE">
      <w:pPr>
        <w:rPr>
          <w:b/>
          <w:i/>
          <w:lang w:val="en-GB"/>
        </w:rPr>
      </w:pPr>
    </w:p>
    <w:p w14:paraId="507B7B67" w14:textId="77777777" w:rsidR="00B438EE" w:rsidRPr="00B438EE" w:rsidRDefault="00B438EE" w:rsidP="00B438EE">
      <w:pPr>
        <w:rPr>
          <w:b/>
          <w:i/>
          <w:lang w:val="en-GB"/>
        </w:rPr>
      </w:pPr>
      <w:r w:rsidRPr="00B438EE">
        <w:rPr>
          <w:b/>
          <w:i/>
          <w:lang w:val="en-GB"/>
        </w:rPr>
        <w:t>Duration</w:t>
      </w:r>
    </w:p>
    <w:p w14:paraId="2C39F3C3" w14:textId="77777777" w:rsidR="00B438EE" w:rsidRPr="00B438EE" w:rsidRDefault="00B438EE" w:rsidP="00B438EE">
      <w:pPr>
        <w:rPr>
          <w:lang w:val="en-GB"/>
        </w:rPr>
      </w:pPr>
    </w:p>
    <w:p w14:paraId="46495568" w14:textId="77777777" w:rsidR="00B438EE" w:rsidRPr="00B438EE" w:rsidRDefault="00B438EE" w:rsidP="00B438EE">
      <w:pPr>
        <w:rPr>
          <w:lang w:val="en-GB"/>
        </w:rPr>
      </w:pPr>
    </w:p>
    <w:p w14:paraId="065E6142" w14:textId="77777777" w:rsidR="00B438EE" w:rsidRPr="00B438EE" w:rsidRDefault="00B438EE" w:rsidP="00B438EE">
      <w:pPr>
        <w:numPr>
          <w:ilvl w:val="0"/>
          <w:numId w:val="1"/>
        </w:numPr>
        <w:rPr>
          <w:lang w:val="en-US"/>
        </w:rPr>
      </w:pPr>
      <w:r w:rsidRPr="00B438EE">
        <w:rPr>
          <w:lang w:val="en-US"/>
        </w:rPr>
        <w:t>After five consecutive years at one duty station, payment of the mobility incentive will cease. The count towards the five years begins as of the date of appointment or assignment at the duty station. Periods of service away from the parent duty station on assignment or travel status shall not suspend the counting of five years. Full months of special leave without pay shall suspend the counting of five years, and the count shall resume upon return to service.</w:t>
      </w:r>
    </w:p>
    <w:p w14:paraId="6DC5D8B9" w14:textId="77777777" w:rsidR="00B438EE" w:rsidRPr="00B438EE" w:rsidRDefault="00B438EE" w:rsidP="00B438EE">
      <w:pPr>
        <w:rPr>
          <w:lang w:val="en-US"/>
        </w:rPr>
      </w:pPr>
    </w:p>
    <w:p w14:paraId="5A181071" w14:textId="77777777" w:rsidR="00B438EE" w:rsidRPr="00B438EE" w:rsidRDefault="00B438EE" w:rsidP="00B438EE">
      <w:pPr>
        <w:numPr>
          <w:ilvl w:val="0"/>
          <w:numId w:val="1"/>
        </w:numPr>
        <w:rPr>
          <w:lang w:val="en-US"/>
        </w:rPr>
      </w:pPr>
      <w:r w:rsidRPr="00B438EE">
        <w:rPr>
          <w:lang w:val="en-US"/>
        </w:rPr>
        <w:t>In the exceptional case of staff members who remain at the same duty station at the explicit request of the Organization or for compelling humanitarian reasons, the payment of the mobility incentive may continue for a maximum period of one additional year, for a total of six consecutive years at one duty station.</w:t>
      </w:r>
    </w:p>
    <w:p w14:paraId="683B93CB" w14:textId="77777777" w:rsidR="00B438EE" w:rsidRPr="00B438EE" w:rsidRDefault="00B438EE" w:rsidP="00B438EE">
      <w:pPr>
        <w:rPr>
          <w:lang w:val="en-GB"/>
        </w:rPr>
      </w:pPr>
    </w:p>
    <w:p w14:paraId="50A1BD4B" w14:textId="77777777" w:rsidR="00B438EE" w:rsidRPr="00B438EE" w:rsidRDefault="00B438EE" w:rsidP="00B438EE">
      <w:pPr>
        <w:rPr>
          <w:lang w:val="en-GB"/>
        </w:rPr>
      </w:pPr>
    </w:p>
    <w:p w14:paraId="67E7CB52" w14:textId="77777777" w:rsidR="00B438EE" w:rsidRPr="00B438EE" w:rsidRDefault="00B438EE" w:rsidP="00B438EE">
      <w:pPr>
        <w:rPr>
          <w:b/>
          <w:lang w:val="en-GB"/>
        </w:rPr>
      </w:pPr>
      <w:r w:rsidRPr="00B438EE">
        <w:rPr>
          <w:b/>
          <w:lang w:val="en-GB"/>
        </w:rPr>
        <w:t>Hardship allowance</w:t>
      </w:r>
    </w:p>
    <w:p w14:paraId="42700A44" w14:textId="77777777" w:rsidR="00B438EE" w:rsidRPr="00B438EE" w:rsidRDefault="00B438EE" w:rsidP="00B438EE">
      <w:pPr>
        <w:rPr>
          <w:lang w:val="en-GB"/>
        </w:rPr>
      </w:pPr>
    </w:p>
    <w:p w14:paraId="5F46A7BF" w14:textId="77777777" w:rsidR="00B438EE" w:rsidRPr="00B438EE" w:rsidRDefault="00B438EE" w:rsidP="00B438EE">
      <w:pPr>
        <w:rPr>
          <w:lang w:val="en-GB"/>
        </w:rPr>
      </w:pPr>
    </w:p>
    <w:p w14:paraId="349E2A72" w14:textId="77777777" w:rsidR="00B438EE" w:rsidRPr="00B438EE" w:rsidRDefault="00B438EE" w:rsidP="00B438EE">
      <w:pPr>
        <w:numPr>
          <w:ilvl w:val="0"/>
          <w:numId w:val="1"/>
        </w:numPr>
        <w:rPr>
          <w:lang w:val="en-US"/>
        </w:rPr>
      </w:pPr>
      <w:r w:rsidRPr="00B438EE">
        <w:rPr>
          <w:lang w:val="en-US"/>
        </w:rPr>
        <w:t xml:space="preserve">The hardship allowance is payable for assignments to duty stations classified in categories B, C, D and E, for the duration of each assignment according to the applicable level of hardship classification of the duty station. </w:t>
      </w:r>
    </w:p>
    <w:p w14:paraId="32CF2C02" w14:textId="77777777" w:rsidR="00B438EE" w:rsidRPr="00B438EE" w:rsidRDefault="00B438EE" w:rsidP="00B438EE">
      <w:pPr>
        <w:rPr>
          <w:lang w:val="en-GB"/>
        </w:rPr>
      </w:pPr>
    </w:p>
    <w:p w14:paraId="50D82556" w14:textId="77777777" w:rsidR="00B438EE" w:rsidRPr="00B438EE" w:rsidRDefault="00B438EE" w:rsidP="00B438EE">
      <w:pPr>
        <w:rPr>
          <w:lang w:val="en-GB"/>
        </w:rPr>
      </w:pPr>
    </w:p>
    <w:p w14:paraId="0F1D4191" w14:textId="77777777" w:rsidR="00B438EE" w:rsidRPr="00B438EE" w:rsidRDefault="00B438EE" w:rsidP="00B438EE">
      <w:pPr>
        <w:rPr>
          <w:b/>
          <w:lang w:val="en-GB"/>
        </w:rPr>
      </w:pPr>
      <w:r w:rsidRPr="00B438EE">
        <w:rPr>
          <w:b/>
          <w:lang w:val="en-GB"/>
        </w:rPr>
        <w:t>Non-family Service Allowance</w:t>
      </w:r>
    </w:p>
    <w:p w14:paraId="70690BAC" w14:textId="77777777" w:rsidR="00B438EE" w:rsidRPr="00B438EE" w:rsidRDefault="00B438EE" w:rsidP="00B438EE">
      <w:pPr>
        <w:rPr>
          <w:lang w:val="en-GB"/>
        </w:rPr>
      </w:pPr>
    </w:p>
    <w:p w14:paraId="08F1C7F0" w14:textId="77777777" w:rsidR="00B438EE" w:rsidRPr="00B438EE" w:rsidRDefault="00B438EE" w:rsidP="00B438EE">
      <w:pPr>
        <w:numPr>
          <w:ilvl w:val="0"/>
          <w:numId w:val="1"/>
        </w:numPr>
        <w:rPr>
          <w:lang w:val="en-US"/>
        </w:rPr>
      </w:pPr>
      <w:r w:rsidRPr="00B438EE">
        <w:rPr>
          <w:lang w:val="en-US"/>
        </w:rPr>
        <w:t>The non-family service allowance is payable to eligible staff members who are assigned to duty stations officially designated as non-family. No payment of the allowance shall be made when the presence of a family member is exceptionally approved by the designated official irrespective of whether other eligible family members continue to remain outside of the non-family duty station.</w:t>
      </w:r>
    </w:p>
    <w:p w14:paraId="3E8FFECE" w14:textId="77777777" w:rsidR="00B438EE" w:rsidRPr="00B438EE" w:rsidRDefault="00B438EE" w:rsidP="00B438EE">
      <w:pPr>
        <w:rPr>
          <w:lang w:val="en-US"/>
        </w:rPr>
      </w:pPr>
    </w:p>
    <w:p w14:paraId="352EFCA7" w14:textId="77777777" w:rsidR="00B438EE" w:rsidRPr="00B438EE" w:rsidRDefault="00B438EE" w:rsidP="00B438EE">
      <w:pPr>
        <w:numPr>
          <w:ilvl w:val="0"/>
          <w:numId w:val="1"/>
        </w:numPr>
        <w:rPr>
          <w:lang w:val="en-US"/>
        </w:rPr>
      </w:pPr>
      <w:r w:rsidRPr="00B438EE">
        <w:rPr>
          <w:lang w:val="en-US"/>
        </w:rPr>
        <w:lastRenderedPageBreak/>
        <w:t>If there is a change in the designation of the duty station from family to non</w:t>
      </w:r>
      <w:r w:rsidRPr="00B438EE">
        <w:rPr>
          <w:lang w:val="en-US"/>
        </w:rPr>
        <w:noBreakHyphen/>
        <w:t xml:space="preserve">family status </w:t>
      </w:r>
      <w:proofErr w:type="gramStart"/>
      <w:r w:rsidRPr="00B438EE">
        <w:rPr>
          <w:lang w:val="en-US"/>
        </w:rPr>
        <w:t>during the course of</w:t>
      </w:r>
      <w:proofErr w:type="gramEnd"/>
      <w:r w:rsidRPr="00B438EE">
        <w:rPr>
          <w:lang w:val="en-US"/>
        </w:rPr>
        <w:t xml:space="preserve"> a staff member’s appointment or assignment to the duty station, the non-family service allowance shall be payable as of the effective date of the change in the duty station designation.</w:t>
      </w:r>
    </w:p>
    <w:p w14:paraId="669F6802" w14:textId="77777777" w:rsidR="00B438EE" w:rsidRPr="00B438EE" w:rsidRDefault="00B438EE" w:rsidP="00B438EE">
      <w:pPr>
        <w:rPr>
          <w:lang w:val="en-US"/>
        </w:rPr>
      </w:pPr>
    </w:p>
    <w:p w14:paraId="0C6610A9" w14:textId="77777777" w:rsidR="00B438EE" w:rsidRPr="00B438EE" w:rsidRDefault="00B438EE" w:rsidP="00B438EE">
      <w:pPr>
        <w:numPr>
          <w:ilvl w:val="0"/>
          <w:numId w:val="1"/>
        </w:numPr>
        <w:rPr>
          <w:lang w:val="en-US"/>
        </w:rPr>
      </w:pPr>
      <w:r w:rsidRPr="00B438EE">
        <w:rPr>
          <w:lang w:val="en-US"/>
        </w:rPr>
        <w:t xml:space="preserve">If there is a change in the designation of the duty station from non-family to family </w:t>
      </w:r>
      <w:proofErr w:type="gramStart"/>
      <w:r w:rsidRPr="00B438EE">
        <w:rPr>
          <w:lang w:val="en-US"/>
        </w:rPr>
        <w:t>during the course of</w:t>
      </w:r>
      <w:proofErr w:type="gramEnd"/>
      <w:r w:rsidRPr="00B438EE">
        <w:rPr>
          <w:lang w:val="en-US"/>
        </w:rPr>
        <w:t xml:space="preserve"> a staff member’s appointment assignment to the duty station, the allowance shall be discontinued following a transition period:</w:t>
      </w:r>
    </w:p>
    <w:p w14:paraId="4299E781" w14:textId="77777777" w:rsidR="00B438EE" w:rsidRPr="00B438EE" w:rsidRDefault="00B438EE" w:rsidP="00B438EE">
      <w:pPr>
        <w:numPr>
          <w:ilvl w:val="0"/>
          <w:numId w:val="3"/>
        </w:numPr>
        <w:rPr>
          <w:lang w:val="en-US"/>
        </w:rPr>
      </w:pPr>
      <w:r w:rsidRPr="00B438EE">
        <w:rPr>
          <w:lang w:val="en-US"/>
        </w:rPr>
        <w:t xml:space="preserve">For staff members with no dependents, the allowance is discontinued three months after the effective date of change in the duty station </w:t>
      </w:r>
      <w:proofErr w:type="gramStart"/>
      <w:r w:rsidRPr="00B438EE">
        <w:rPr>
          <w:lang w:val="en-US"/>
        </w:rPr>
        <w:t>designation;</w:t>
      </w:r>
      <w:proofErr w:type="gramEnd"/>
    </w:p>
    <w:p w14:paraId="25531DFA" w14:textId="77777777" w:rsidR="00B438EE" w:rsidRPr="00B438EE" w:rsidRDefault="00B438EE" w:rsidP="00B438EE">
      <w:pPr>
        <w:rPr>
          <w:lang w:val="en-US"/>
        </w:rPr>
      </w:pPr>
    </w:p>
    <w:p w14:paraId="00B1B8B2" w14:textId="77777777" w:rsidR="00B438EE" w:rsidRPr="00B438EE" w:rsidRDefault="00B438EE" w:rsidP="00B438EE">
      <w:pPr>
        <w:numPr>
          <w:ilvl w:val="0"/>
          <w:numId w:val="3"/>
        </w:numPr>
        <w:rPr>
          <w:lang w:val="en-US"/>
        </w:rPr>
      </w:pPr>
      <w:r w:rsidRPr="00B438EE">
        <w:rPr>
          <w:lang w:val="en-US"/>
        </w:rPr>
        <w:t>For staff members with dependents, the allowance may be paid up to six months following the effective date of change in the duty station designation or until an eligible family member joins the staff member at the duty station, whichever is earlier.</w:t>
      </w:r>
    </w:p>
    <w:p w14:paraId="3D0732F8" w14:textId="77777777" w:rsidR="00B438EE" w:rsidRPr="00B438EE" w:rsidRDefault="00B438EE" w:rsidP="00B438EE">
      <w:pPr>
        <w:rPr>
          <w:lang w:val="en-GB"/>
        </w:rPr>
      </w:pPr>
    </w:p>
    <w:p w14:paraId="583B37AC" w14:textId="77777777" w:rsidR="00B438EE" w:rsidRPr="00B438EE" w:rsidRDefault="00B438EE" w:rsidP="00B438EE">
      <w:pPr>
        <w:rPr>
          <w:lang w:val="en-GB"/>
        </w:rPr>
      </w:pPr>
    </w:p>
    <w:p w14:paraId="72D3B625" w14:textId="77777777" w:rsidR="00B438EE" w:rsidRPr="00B438EE" w:rsidRDefault="00B438EE" w:rsidP="00B438EE">
      <w:pPr>
        <w:rPr>
          <w:b/>
          <w:lang w:val="en-GB"/>
        </w:rPr>
      </w:pPr>
      <w:r w:rsidRPr="00B438EE">
        <w:rPr>
          <w:b/>
          <w:lang w:val="en-GB"/>
        </w:rPr>
        <w:t>Relationship to other allowances and entitlements</w:t>
      </w:r>
    </w:p>
    <w:p w14:paraId="3EFFA287" w14:textId="77777777" w:rsidR="00B438EE" w:rsidRPr="00B438EE" w:rsidRDefault="00B438EE" w:rsidP="00B438EE">
      <w:pPr>
        <w:rPr>
          <w:lang w:val="en-GB"/>
        </w:rPr>
      </w:pPr>
    </w:p>
    <w:p w14:paraId="700ADCE6" w14:textId="77777777" w:rsidR="00B438EE" w:rsidRPr="00B438EE" w:rsidRDefault="00B438EE" w:rsidP="00B438EE">
      <w:pPr>
        <w:rPr>
          <w:lang w:val="en-GB"/>
        </w:rPr>
      </w:pPr>
    </w:p>
    <w:p w14:paraId="6BC944CF" w14:textId="77777777" w:rsidR="00B438EE" w:rsidRPr="00B438EE" w:rsidRDefault="00B438EE" w:rsidP="00B438EE">
      <w:pPr>
        <w:numPr>
          <w:ilvl w:val="0"/>
          <w:numId w:val="1"/>
        </w:numPr>
        <w:rPr>
          <w:lang w:val="en-US"/>
        </w:rPr>
      </w:pPr>
      <w:r w:rsidRPr="00B438EE">
        <w:rPr>
          <w:lang w:val="en-US"/>
        </w:rPr>
        <w:t xml:space="preserve">Amounts paid on account of the mobility and hardship scheme shall not be </w:t>
      </w:r>
      <w:proofErr w:type="gramStart"/>
      <w:r w:rsidRPr="00B438EE">
        <w:rPr>
          <w:lang w:val="en-US"/>
        </w:rPr>
        <w:t>taken into account</w:t>
      </w:r>
      <w:proofErr w:type="gramEnd"/>
      <w:r w:rsidRPr="00B438EE">
        <w:rPr>
          <w:lang w:val="en-US"/>
        </w:rPr>
        <w:t xml:space="preserve"> in the calculation of the rental subsidy to which staff members may be entitled. </w:t>
      </w:r>
    </w:p>
    <w:p w14:paraId="2361B0B6" w14:textId="77777777" w:rsidR="00B438EE" w:rsidRPr="00B438EE" w:rsidRDefault="00B438EE" w:rsidP="00B438EE">
      <w:pPr>
        <w:rPr>
          <w:lang w:val="en-US"/>
        </w:rPr>
      </w:pPr>
    </w:p>
    <w:p w14:paraId="75C5052A" w14:textId="77777777" w:rsidR="00B438EE" w:rsidRPr="00B438EE" w:rsidRDefault="00B438EE" w:rsidP="00B438EE">
      <w:pPr>
        <w:numPr>
          <w:ilvl w:val="0"/>
          <w:numId w:val="1"/>
        </w:numPr>
        <w:rPr>
          <w:lang w:val="en-US"/>
        </w:rPr>
      </w:pPr>
      <w:r w:rsidRPr="00B438EE">
        <w:rPr>
          <w:lang w:val="en-US"/>
        </w:rPr>
        <w:t>A staff member is not eligible for the non</w:t>
      </w:r>
      <w:r w:rsidRPr="00B438EE">
        <w:rPr>
          <w:lang w:val="en-US"/>
        </w:rPr>
        <w:noBreakHyphen/>
        <w:t>family service allowance while concurrently receiving the security evacuation allowance (SEA) for eligible family members. Accordingly, payment of the security evacuation allowance shall cease upon payment of the non-family service allowance.</w:t>
      </w:r>
    </w:p>
    <w:p w14:paraId="22640E4D" w14:textId="77777777" w:rsidR="00B438EE" w:rsidRPr="00B438EE" w:rsidRDefault="00B438EE" w:rsidP="00B438EE">
      <w:pPr>
        <w:rPr>
          <w:lang w:val="en-US"/>
        </w:rPr>
      </w:pPr>
    </w:p>
    <w:p w14:paraId="73856521" w14:textId="77777777" w:rsidR="00B438EE" w:rsidRPr="00B438EE" w:rsidRDefault="00B438EE" w:rsidP="00B438EE">
      <w:pPr>
        <w:numPr>
          <w:ilvl w:val="0"/>
          <w:numId w:val="1"/>
        </w:numPr>
        <w:rPr>
          <w:lang w:val="en-US"/>
        </w:rPr>
      </w:pPr>
      <w:r w:rsidRPr="00B438EE">
        <w:rPr>
          <w:lang w:val="en-US"/>
        </w:rPr>
        <w:t>Staff members in receipt of the non</w:t>
      </w:r>
      <w:r w:rsidRPr="00B438EE">
        <w:rPr>
          <w:lang w:val="en-US"/>
        </w:rPr>
        <w:noBreakHyphen/>
        <w:t>family service allowance who are temporarily relocated or evacuated from a non-family duty station will continue to be eligible for payment of the security evacuation allowance for themself as long as they remain assigned to the non-family duty station.</w:t>
      </w:r>
    </w:p>
    <w:p w14:paraId="5F8595ED" w14:textId="77777777" w:rsidR="00B438EE" w:rsidRPr="00B438EE" w:rsidRDefault="00B438EE" w:rsidP="00B438EE">
      <w:pPr>
        <w:rPr>
          <w:b/>
          <w:lang w:val="en-GB"/>
        </w:rPr>
      </w:pPr>
    </w:p>
    <w:p w14:paraId="22D59784" w14:textId="77777777" w:rsidR="00B438EE" w:rsidRPr="00B438EE" w:rsidRDefault="00B438EE" w:rsidP="00B438EE">
      <w:pPr>
        <w:rPr>
          <w:b/>
          <w:lang w:val="en-GB"/>
        </w:rPr>
      </w:pPr>
      <w:r w:rsidRPr="00B438EE">
        <w:rPr>
          <w:b/>
          <w:lang w:val="en-GB"/>
        </w:rPr>
        <w:t>Transitional measures</w:t>
      </w:r>
    </w:p>
    <w:p w14:paraId="77226470" w14:textId="77777777" w:rsidR="00B438EE" w:rsidRPr="00B438EE" w:rsidRDefault="00B438EE" w:rsidP="00B438EE">
      <w:pPr>
        <w:rPr>
          <w:lang w:val="en-GB"/>
        </w:rPr>
      </w:pPr>
    </w:p>
    <w:p w14:paraId="7D741372" w14:textId="77777777" w:rsidR="00B438EE" w:rsidRPr="00B438EE" w:rsidRDefault="00B438EE" w:rsidP="00B438EE">
      <w:pPr>
        <w:numPr>
          <w:ilvl w:val="0"/>
          <w:numId w:val="1"/>
        </w:numPr>
        <w:rPr>
          <w:lang w:val="en-US"/>
        </w:rPr>
      </w:pPr>
      <w:r w:rsidRPr="00B438EE">
        <w:rPr>
          <w:lang w:val="en-US"/>
        </w:rPr>
        <w:t xml:space="preserve">As a transitional measure, staff members in receipt of the former non-removal allowance on 30 June 2016 shall continue to receive payment of the allowance for up to five years at the same duty station or until the staff member moves to another duty station, whichever is earlier.  </w:t>
      </w:r>
    </w:p>
    <w:p w14:paraId="691AF8DE" w14:textId="77777777" w:rsidR="00B438EE" w:rsidRPr="00B438EE" w:rsidRDefault="00B438EE" w:rsidP="00B438EE">
      <w:pPr>
        <w:rPr>
          <w:lang w:val="en-US"/>
        </w:rPr>
      </w:pPr>
    </w:p>
    <w:p w14:paraId="4ACA519C" w14:textId="77777777" w:rsidR="00B438EE" w:rsidRPr="00B438EE" w:rsidRDefault="00B438EE" w:rsidP="00B438EE">
      <w:pPr>
        <w:numPr>
          <w:ilvl w:val="0"/>
          <w:numId w:val="1"/>
        </w:numPr>
        <w:rPr>
          <w:lang w:val="en-US"/>
        </w:rPr>
      </w:pPr>
      <w:r w:rsidRPr="00B438EE">
        <w:rPr>
          <w:lang w:val="en-US"/>
        </w:rPr>
        <w:t>Eligible staff members who moved to their new assignment before 1 July 2016 shall continue to receive current mobility allowance amounts up to 5 years at the same duty station, or until they are re-assigned to another duty station, whichever is earlier.</w:t>
      </w:r>
    </w:p>
    <w:p w14:paraId="4EA9BC44" w14:textId="77777777" w:rsidR="00B438EE" w:rsidRPr="00B438EE" w:rsidRDefault="00B438EE" w:rsidP="00B438EE">
      <w:pPr>
        <w:rPr>
          <w:lang w:val="en-GB"/>
        </w:rPr>
      </w:pPr>
    </w:p>
    <w:p w14:paraId="60A85A70" w14:textId="77777777" w:rsidR="00B438EE" w:rsidRPr="00B438EE" w:rsidRDefault="00B438EE" w:rsidP="00B438EE">
      <w:pPr>
        <w:rPr>
          <w:b/>
          <w:lang w:val="en-US"/>
        </w:rPr>
      </w:pPr>
      <w:r w:rsidRPr="00B438EE">
        <w:rPr>
          <w:lang w:val="en-US"/>
        </w:rPr>
        <w:br w:type="page"/>
      </w:r>
      <w:r w:rsidRPr="00B438EE">
        <w:rPr>
          <w:b/>
          <w:lang w:val="en-US"/>
        </w:rPr>
        <w:lastRenderedPageBreak/>
        <w:t>Annex 1</w:t>
      </w:r>
    </w:p>
    <w:p w14:paraId="35A25D72" w14:textId="77777777" w:rsidR="00B438EE" w:rsidRPr="00B438EE" w:rsidRDefault="00B438EE" w:rsidP="00B438EE">
      <w:pPr>
        <w:rPr>
          <w:lang w:val="en-US"/>
        </w:rPr>
      </w:pPr>
    </w:p>
    <w:p w14:paraId="30E7A154" w14:textId="77777777" w:rsidR="00B438EE" w:rsidRPr="00B438EE" w:rsidRDefault="00B438EE" w:rsidP="00B438EE">
      <w:pPr>
        <w:rPr>
          <w:b/>
          <w:lang w:val="en-US"/>
        </w:rPr>
      </w:pPr>
      <w:r w:rsidRPr="00B438EE">
        <w:rPr>
          <w:b/>
          <w:lang w:val="en-US"/>
        </w:rPr>
        <w:t>Mobility Incentives</w:t>
      </w:r>
    </w:p>
    <w:p w14:paraId="4124CEDC" w14:textId="77777777" w:rsidR="00B438EE" w:rsidRPr="00B438EE" w:rsidRDefault="00B438EE" w:rsidP="00B438EE">
      <w:pPr>
        <w:rPr>
          <w:b/>
          <w:lang w:val="en-US"/>
        </w:rPr>
      </w:pPr>
    </w:p>
    <w:p w14:paraId="3C20A25E" w14:textId="77777777" w:rsidR="00B438EE" w:rsidRPr="00B438EE" w:rsidRDefault="00B438EE" w:rsidP="00B438EE">
      <w:pPr>
        <w:rPr>
          <w:lang w:val="en-US"/>
        </w:rPr>
      </w:pPr>
      <w:r w:rsidRPr="00B438EE">
        <w:rPr>
          <w:lang w:val="en-US"/>
        </w:rPr>
        <w:t xml:space="preserve">NOTE: Mobility incentive is not paid for assignments to category H duty </w:t>
      </w:r>
      <w:proofErr w:type="gramStart"/>
      <w:r w:rsidRPr="00B438EE">
        <w:rPr>
          <w:lang w:val="en-US"/>
        </w:rPr>
        <w:t>stations, and</w:t>
      </w:r>
      <w:proofErr w:type="gramEnd"/>
      <w:r w:rsidRPr="00B438EE">
        <w:rPr>
          <w:lang w:val="en-US"/>
        </w:rPr>
        <w:t xml:space="preserve"> applies only to assignments of a year or longer to category A-E duty stations.</w:t>
      </w:r>
    </w:p>
    <w:p w14:paraId="4B01BED3" w14:textId="77777777" w:rsidR="00B438EE" w:rsidRPr="00B438EE" w:rsidRDefault="00B438EE" w:rsidP="00B438EE">
      <w:pPr>
        <w:rPr>
          <w:lang w:val="en-US"/>
        </w:rPr>
      </w:pPr>
    </w:p>
    <w:p w14:paraId="1D0273DB" w14:textId="77777777" w:rsidR="00B438EE" w:rsidRPr="00B438EE" w:rsidRDefault="00B438EE" w:rsidP="00B438EE">
      <w:pPr>
        <w:rPr>
          <w:i/>
          <w:lang w:val="en-US"/>
        </w:rPr>
      </w:pPr>
      <w:r w:rsidRPr="00B438EE">
        <w:rPr>
          <w:i/>
          <w:lang w:val="en-US"/>
        </w:rPr>
        <w:t>Annual amounts in US dollars</w:t>
      </w:r>
    </w:p>
    <w:p w14:paraId="02234BD0" w14:textId="77777777" w:rsidR="00B438EE" w:rsidRPr="00B438EE" w:rsidRDefault="00B438EE" w:rsidP="00B438EE">
      <w:pPr>
        <w:rPr>
          <w:i/>
          <w:lang w:val="en-US"/>
        </w:rPr>
      </w:pPr>
    </w:p>
    <w:p w14:paraId="1F202755" w14:textId="77777777" w:rsidR="00B438EE" w:rsidRPr="00B438EE" w:rsidRDefault="00B438EE" w:rsidP="00B438EE">
      <w:pPr>
        <w:rPr>
          <w:i/>
          <w:lang w:val="en-US"/>
        </w:rPr>
      </w:pPr>
    </w:p>
    <w:tbl>
      <w:tblPr>
        <w:tblStyle w:val="TableGrid"/>
        <w:tblW w:w="0" w:type="auto"/>
        <w:tblLook w:val="04A0" w:firstRow="1" w:lastRow="0" w:firstColumn="1" w:lastColumn="0" w:noHBand="0" w:noVBand="1"/>
      </w:tblPr>
      <w:tblGrid>
        <w:gridCol w:w="1836"/>
        <w:gridCol w:w="1654"/>
        <w:gridCol w:w="1712"/>
        <w:gridCol w:w="1712"/>
        <w:gridCol w:w="1716"/>
      </w:tblGrid>
      <w:tr w:rsidR="00B438EE" w:rsidRPr="00B438EE" w14:paraId="01CAE62D" w14:textId="77777777" w:rsidTr="000D412A">
        <w:trPr>
          <w:trHeight w:val="283"/>
        </w:trPr>
        <w:tc>
          <w:tcPr>
            <w:tcW w:w="10186" w:type="dxa"/>
            <w:gridSpan w:val="5"/>
          </w:tcPr>
          <w:p w14:paraId="2F91A746" w14:textId="77777777" w:rsidR="00B438EE" w:rsidRPr="00B438EE" w:rsidRDefault="00B438EE" w:rsidP="00B438EE">
            <w:pPr>
              <w:spacing w:after="160" w:line="259" w:lineRule="auto"/>
              <w:rPr>
                <w:b/>
              </w:rPr>
            </w:pPr>
            <w:r w:rsidRPr="00B438EE">
              <w:rPr>
                <w:b/>
              </w:rPr>
              <w:t>P-1 to P-3 and FS-1–FS6</w:t>
            </w:r>
          </w:p>
        </w:tc>
      </w:tr>
      <w:tr w:rsidR="00B438EE" w:rsidRPr="00B438EE" w14:paraId="3EFFC9EA" w14:textId="77777777" w:rsidTr="000D412A">
        <w:trPr>
          <w:trHeight w:val="304"/>
        </w:trPr>
        <w:tc>
          <w:tcPr>
            <w:tcW w:w="2036" w:type="dxa"/>
            <w:vMerge w:val="restart"/>
          </w:tcPr>
          <w:p w14:paraId="5FECF33C" w14:textId="77777777" w:rsidR="00B438EE" w:rsidRPr="00B438EE" w:rsidRDefault="00B438EE" w:rsidP="00B438EE">
            <w:pPr>
              <w:spacing w:after="160" w:line="259" w:lineRule="auto"/>
              <w:rPr>
                <w:i/>
              </w:rPr>
            </w:pPr>
            <w:r w:rsidRPr="00B438EE">
              <w:rPr>
                <w:i/>
              </w:rPr>
              <w:t>Duty Station Category</w:t>
            </w:r>
          </w:p>
        </w:tc>
        <w:tc>
          <w:tcPr>
            <w:tcW w:w="8150" w:type="dxa"/>
            <w:gridSpan w:val="4"/>
          </w:tcPr>
          <w:p w14:paraId="203C290E" w14:textId="77777777" w:rsidR="00B438EE" w:rsidRPr="00B438EE" w:rsidRDefault="00B438EE" w:rsidP="00B438EE">
            <w:pPr>
              <w:spacing w:after="160" w:line="259" w:lineRule="auto"/>
              <w:rPr>
                <w:i/>
              </w:rPr>
            </w:pPr>
            <w:r w:rsidRPr="00B438EE">
              <w:rPr>
                <w:i/>
              </w:rPr>
              <w:t>Number of Assignments</w:t>
            </w:r>
          </w:p>
        </w:tc>
      </w:tr>
      <w:tr w:rsidR="00B438EE" w:rsidRPr="00B438EE" w14:paraId="5AD0F1E9" w14:textId="77777777" w:rsidTr="000D412A">
        <w:trPr>
          <w:trHeight w:val="158"/>
        </w:trPr>
        <w:tc>
          <w:tcPr>
            <w:tcW w:w="2036" w:type="dxa"/>
            <w:vMerge/>
          </w:tcPr>
          <w:p w14:paraId="75F1E8F3" w14:textId="77777777" w:rsidR="00B438EE" w:rsidRPr="00B438EE" w:rsidRDefault="00B438EE" w:rsidP="00B438EE">
            <w:pPr>
              <w:spacing w:after="160" w:line="259" w:lineRule="auto"/>
            </w:pPr>
          </w:p>
        </w:tc>
        <w:tc>
          <w:tcPr>
            <w:tcW w:w="2036" w:type="dxa"/>
          </w:tcPr>
          <w:p w14:paraId="5C82B567" w14:textId="77777777" w:rsidR="00B438EE" w:rsidRPr="00B438EE" w:rsidRDefault="00B438EE" w:rsidP="00B438EE">
            <w:pPr>
              <w:spacing w:after="160" w:line="259" w:lineRule="auto"/>
            </w:pPr>
            <w:r w:rsidRPr="00B438EE">
              <w:t>1</w:t>
            </w:r>
          </w:p>
        </w:tc>
        <w:tc>
          <w:tcPr>
            <w:tcW w:w="2036" w:type="dxa"/>
          </w:tcPr>
          <w:p w14:paraId="1D760577" w14:textId="77777777" w:rsidR="00B438EE" w:rsidRPr="00B438EE" w:rsidRDefault="00B438EE" w:rsidP="00B438EE">
            <w:pPr>
              <w:spacing w:after="160" w:line="259" w:lineRule="auto"/>
            </w:pPr>
            <w:r w:rsidRPr="00B438EE">
              <w:t>2-3</w:t>
            </w:r>
          </w:p>
        </w:tc>
        <w:tc>
          <w:tcPr>
            <w:tcW w:w="2036" w:type="dxa"/>
          </w:tcPr>
          <w:p w14:paraId="53BC5FED" w14:textId="77777777" w:rsidR="00B438EE" w:rsidRPr="00B438EE" w:rsidRDefault="00B438EE" w:rsidP="00B438EE">
            <w:pPr>
              <w:spacing w:after="160" w:line="259" w:lineRule="auto"/>
            </w:pPr>
            <w:r w:rsidRPr="00B438EE">
              <w:t>4-6</w:t>
            </w:r>
          </w:p>
        </w:tc>
        <w:tc>
          <w:tcPr>
            <w:tcW w:w="2042" w:type="dxa"/>
          </w:tcPr>
          <w:p w14:paraId="7CB8DBB0" w14:textId="77777777" w:rsidR="00B438EE" w:rsidRPr="00B438EE" w:rsidRDefault="00B438EE" w:rsidP="00B438EE">
            <w:pPr>
              <w:spacing w:after="160" w:line="259" w:lineRule="auto"/>
            </w:pPr>
            <w:r w:rsidRPr="00B438EE">
              <w:t>7+</w:t>
            </w:r>
          </w:p>
        </w:tc>
      </w:tr>
      <w:tr w:rsidR="00B438EE" w:rsidRPr="00B438EE" w14:paraId="7281D25D" w14:textId="77777777" w:rsidTr="000D412A">
        <w:trPr>
          <w:trHeight w:val="304"/>
        </w:trPr>
        <w:tc>
          <w:tcPr>
            <w:tcW w:w="2036" w:type="dxa"/>
          </w:tcPr>
          <w:p w14:paraId="1CDD64F8" w14:textId="77777777" w:rsidR="00B438EE" w:rsidRPr="00B438EE" w:rsidRDefault="00B438EE" w:rsidP="00B438EE">
            <w:pPr>
              <w:spacing w:after="160" w:line="259" w:lineRule="auto"/>
            </w:pPr>
            <w:r w:rsidRPr="00B438EE">
              <w:t>A-E</w:t>
            </w:r>
          </w:p>
        </w:tc>
        <w:tc>
          <w:tcPr>
            <w:tcW w:w="2036" w:type="dxa"/>
          </w:tcPr>
          <w:p w14:paraId="74773217" w14:textId="77777777" w:rsidR="00B438EE" w:rsidRPr="00B438EE" w:rsidRDefault="00B438EE" w:rsidP="00B438EE">
            <w:pPr>
              <w:spacing w:after="160" w:line="259" w:lineRule="auto"/>
            </w:pPr>
            <w:r w:rsidRPr="00B438EE">
              <w:t>0</w:t>
            </w:r>
          </w:p>
        </w:tc>
        <w:tc>
          <w:tcPr>
            <w:tcW w:w="2036" w:type="dxa"/>
          </w:tcPr>
          <w:p w14:paraId="1BC99ECF" w14:textId="77777777" w:rsidR="00B438EE" w:rsidRPr="00B438EE" w:rsidRDefault="00B438EE" w:rsidP="00B438EE">
            <w:pPr>
              <w:spacing w:after="160" w:line="259" w:lineRule="auto"/>
              <w:rPr>
                <w:b/>
              </w:rPr>
            </w:pPr>
            <w:r w:rsidRPr="00B438EE">
              <w:rPr>
                <w:b/>
              </w:rPr>
              <w:t>6 500</w:t>
            </w:r>
          </w:p>
        </w:tc>
        <w:tc>
          <w:tcPr>
            <w:tcW w:w="2036" w:type="dxa"/>
          </w:tcPr>
          <w:p w14:paraId="20DE27D2" w14:textId="77777777" w:rsidR="00B438EE" w:rsidRPr="00B438EE" w:rsidRDefault="00B438EE" w:rsidP="00B438EE">
            <w:pPr>
              <w:spacing w:after="160" w:line="259" w:lineRule="auto"/>
              <w:rPr>
                <w:b/>
              </w:rPr>
            </w:pPr>
            <w:r w:rsidRPr="00B438EE">
              <w:rPr>
                <w:b/>
              </w:rPr>
              <w:t>8 125</w:t>
            </w:r>
          </w:p>
        </w:tc>
        <w:tc>
          <w:tcPr>
            <w:tcW w:w="2042" w:type="dxa"/>
          </w:tcPr>
          <w:p w14:paraId="05AA54BF" w14:textId="77777777" w:rsidR="00B438EE" w:rsidRPr="00B438EE" w:rsidRDefault="00B438EE" w:rsidP="00B438EE">
            <w:pPr>
              <w:spacing w:after="160" w:line="259" w:lineRule="auto"/>
              <w:rPr>
                <w:b/>
              </w:rPr>
            </w:pPr>
            <w:r w:rsidRPr="00B438EE">
              <w:rPr>
                <w:b/>
              </w:rPr>
              <w:t>9 750</w:t>
            </w:r>
          </w:p>
        </w:tc>
      </w:tr>
    </w:tbl>
    <w:p w14:paraId="797035B7" w14:textId="77777777" w:rsidR="00B438EE" w:rsidRPr="00B438EE" w:rsidRDefault="00B438EE" w:rsidP="00B438EE">
      <w:pPr>
        <w:rPr>
          <w:lang w:val="en-US"/>
        </w:rPr>
      </w:pPr>
    </w:p>
    <w:tbl>
      <w:tblPr>
        <w:tblStyle w:val="TableGrid"/>
        <w:tblW w:w="0" w:type="auto"/>
        <w:tblLook w:val="04A0" w:firstRow="1" w:lastRow="0" w:firstColumn="1" w:lastColumn="0" w:noHBand="0" w:noVBand="1"/>
      </w:tblPr>
      <w:tblGrid>
        <w:gridCol w:w="1837"/>
        <w:gridCol w:w="1655"/>
        <w:gridCol w:w="1712"/>
        <w:gridCol w:w="1712"/>
        <w:gridCol w:w="1714"/>
      </w:tblGrid>
      <w:tr w:rsidR="00B438EE" w:rsidRPr="00B438EE" w14:paraId="30DD0991" w14:textId="77777777" w:rsidTr="000D412A">
        <w:trPr>
          <w:trHeight w:val="297"/>
        </w:trPr>
        <w:tc>
          <w:tcPr>
            <w:tcW w:w="10182" w:type="dxa"/>
            <w:gridSpan w:val="5"/>
          </w:tcPr>
          <w:p w14:paraId="60C9981A" w14:textId="77777777" w:rsidR="00B438EE" w:rsidRPr="00B438EE" w:rsidRDefault="00B438EE" w:rsidP="00B438EE">
            <w:pPr>
              <w:spacing w:after="160" w:line="259" w:lineRule="auto"/>
              <w:rPr>
                <w:b/>
              </w:rPr>
            </w:pPr>
            <w:r w:rsidRPr="00B438EE">
              <w:rPr>
                <w:b/>
              </w:rPr>
              <w:t>P-4 to P-5 and FS 7</w:t>
            </w:r>
          </w:p>
        </w:tc>
      </w:tr>
      <w:tr w:rsidR="00B438EE" w:rsidRPr="00B438EE" w14:paraId="4D968980" w14:textId="77777777" w:rsidTr="000D412A">
        <w:trPr>
          <w:trHeight w:val="297"/>
        </w:trPr>
        <w:tc>
          <w:tcPr>
            <w:tcW w:w="2036" w:type="dxa"/>
            <w:vMerge w:val="restart"/>
          </w:tcPr>
          <w:p w14:paraId="2AC4DDA3" w14:textId="77777777" w:rsidR="00B438EE" w:rsidRPr="00B438EE" w:rsidRDefault="00B438EE" w:rsidP="00B438EE">
            <w:pPr>
              <w:spacing w:after="160" w:line="259" w:lineRule="auto"/>
              <w:rPr>
                <w:i/>
              </w:rPr>
            </w:pPr>
            <w:r w:rsidRPr="00B438EE">
              <w:rPr>
                <w:i/>
              </w:rPr>
              <w:t>Duty Station Category</w:t>
            </w:r>
          </w:p>
        </w:tc>
        <w:tc>
          <w:tcPr>
            <w:tcW w:w="8146" w:type="dxa"/>
            <w:gridSpan w:val="4"/>
          </w:tcPr>
          <w:p w14:paraId="5D778783" w14:textId="77777777" w:rsidR="00B438EE" w:rsidRPr="00B438EE" w:rsidRDefault="00B438EE" w:rsidP="00B438EE">
            <w:pPr>
              <w:spacing w:after="160" w:line="259" w:lineRule="auto"/>
              <w:rPr>
                <w:i/>
              </w:rPr>
            </w:pPr>
            <w:r w:rsidRPr="00B438EE">
              <w:rPr>
                <w:i/>
              </w:rPr>
              <w:t>Number of Assignments</w:t>
            </w:r>
          </w:p>
        </w:tc>
      </w:tr>
      <w:tr w:rsidR="00B438EE" w:rsidRPr="00B438EE" w14:paraId="30819928" w14:textId="77777777" w:rsidTr="000D412A">
        <w:trPr>
          <w:trHeight w:val="155"/>
        </w:trPr>
        <w:tc>
          <w:tcPr>
            <w:tcW w:w="2036" w:type="dxa"/>
            <w:vMerge/>
          </w:tcPr>
          <w:p w14:paraId="2325D655" w14:textId="77777777" w:rsidR="00B438EE" w:rsidRPr="00B438EE" w:rsidRDefault="00B438EE" w:rsidP="00B438EE">
            <w:pPr>
              <w:spacing w:after="160" w:line="259" w:lineRule="auto"/>
            </w:pPr>
          </w:p>
        </w:tc>
        <w:tc>
          <w:tcPr>
            <w:tcW w:w="2036" w:type="dxa"/>
          </w:tcPr>
          <w:p w14:paraId="7D9C44C1" w14:textId="77777777" w:rsidR="00B438EE" w:rsidRPr="00B438EE" w:rsidRDefault="00B438EE" w:rsidP="00B438EE">
            <w:pPr>
              <w:spacing w:after="160" w:line="259" w:lineRule="auto"/>
            </w:pPr>
            <w:r w:rsidRPr="00B438EE">
              <w:t>1</w:t>
            </w:r>
          </w:p>
        </w:tc>
        <w:tc>
          <w:tcPr>
            <w:tcW w:w="2036" w:type="dxa"/>
          </w:tcPr>
          <w:p w14:paraId="6F06A40F" w14:textId="77777777" w:rsidR="00B438EE" w:rsidRPr="00B438EE" w:rsidRDefault="00B438EE" w:rsidP="00B438EE">
            <w:pPr>
              <w:spacing w:after="160" w:line="259" w:lineRule="auto"/>
            </w:pPr>
            <w:r w:rsidRPr="00B438EE">
              <w:t>2-3</w:t>
            </w:r>
          </w:p>
        </w:tc>
        <w:tc>
          <w:tcPr>
            <w:tcW w:w="2036" w:type="dxa"/>
          </w:tcPr>
          <w:p w14:paraId="6CD0CEB4" w14:textId="77777777" w:rsidR="00B438EE" w:rsidRPr="00B438EE" w:rsidRDefault="00B438EE" w:rsidP="00B438EE">
            <w:pPr>
              <w:spacing w:after="160" w:line="259" w:lineRule="auto"/>
            </w:pPr>
            <w:r w:rsidRPr="00B438EE">
              <w:t>4-6</w:t>
            </w:r>
          </w:p>
        </w:tc>
        <w:tc>
          <w:tcPr>
            <w:tcW w:w="2038" w:type="dxa"/>
          </w:tcPr>
          <w:p w14:paraId="2196C7F4" w14:textId="77777777" w:rsidR="00B438EE" w:rsidRPr="00B438EE" w:rsidRDefault="00B438EE" w:rsidP="00B438EE">
            <w:pPr>
              <w:spacing w:after="160" w:line="259" w:lineRule="auto"/>
            </w:pPr>
            <w:r w:rsidRPr="00B438EE">
              <w:t>7+</w:t>
            </w:r>
          </w:p>
        </w:tc>
      </w:tr>
      <w:tr w:rsidR="00B438EE" w:rsidRPr="00B438EE" w14:paraId="5F814713" w14:textId="77777777" w:rsidTr="000D412A">
        <w:trPr>
          <w:trHeight w:val="297"/>
        </w:trPr>
        <w:tc>
          <w:tcPr>
            <w:tcW w:w="2036" w:type="dxa"/>
          </w:tcPr>
          <w:p w14:paraId="76DD723D" w14:textId="77777777" w:rsidR="00B438EE" w:rsidRPr="00B438EE" w:rsidRDefault="00B438EE" w:rsidP="00B438EE">
            <w:pPr>
              <w:spacing w:after="160" w:line="259" w:lineRule="auto"/>
            </w:pPr>
            <w:r w:rsidRPr="00B438EE">
              <w:t>A-E</w:t>
            </w:r>
          </w:p>
        </w:tc>
        <w:tc>
          <w:tcPr>
            <w:tcW w:w="2036" w:type="dxa"/>
          </w:tcPr>
          <w:p w14:paraId="28747EC7" w14:textId="77777777" w:rsidR="00B438EE" w:rsidRPr="00B438EE" w:rsidRDefault="00B438EE" w:rsidP="00B438EE">
            <w:pPr>
              <w:spacing w:after="160" w:line="259" w:lineRule="auto"/>
            </w:pPr>
            <w:r w:rsidRPr="00B438EE">
              <w:t>0</w:t>
            </w:r>
          </w:p>
        </w:tc>
        <w:tc>
          <w:tcPr>
            <w:tcW w:w="2036" w:type="dxa"/>
          </w:tcPr>
          <w:p w14:paraId="1830726F" w14:textId="77777777" w:rsidR="00B438EE" w:rsidRPr="00B438EE" w:rsidRDefault="00B438EE" w:rsidP="00B438EE">
            <w:pPr>
              <w:spacing w:after="160" w:line="259" w:lineRule="auto"/>
              <w:rPr>
                <w:b/>
              </w:rPr>
            </w:pPr>
            <w:r w:rsidRPr="00B438EE">
              <w:rPr>
                <w:b/>
              </w:rPr>
              <w:t>8 125</w:t>
            </w:r>
          </w:p>
        </w:tc>
        <w:tc>
          <w:tcPr>
            <w:tcW w:w="2036" w:type="dxa"/>
          </w:tcPr>
          <w:p w14:paraId="15A2D382" w14:textId="77777777" w:rsidR="00B438EE" w:rsidRPr="00B438EE" w:rsidRDefault="00B438EE" w:rsidP="00B438EE">
            <w:pPr>
              <w:spacing w:after="160" w:line="259" w:lineRule="auto"/>
              <w:rPr>
                <w:b/>
              </w:rPr>
            </w:pPr>
            <w:r w:rsidRPr="00B438EE">
              <w:rPr>
                <w:b/>
              </w:rPr>
              <w:t>10 156</w:t>
            </w:r>
          </w:p>
        </w:tc>
        <w:tc>
          <w:tcPr>
            <w:tcW w:w="2038" w:type="dxa"/>
          </w:tcPr>
          <w:p w14:paraId="2298EB22" w14:textId="77777777" w:rsidR="00B438EE" w:rsidRPr="00B438EE" w:rsidRDefault="00B438EE" w:rsidP="00B438EE">
            <w:pPr>
              <w:spacing w:after="160" w:line="259" w:lineRule="auto"/>
              <w:rPr>
                <w:b/>
              </w:rPr>
            </w:pPr>
            <w:r w:rsidRPr="00B438EE">
              <w:rPr>
                <w:b/>
              </w:rPr>
              <w:t>12 188</w:t>
            </w:r>
          </w:p>
        </w:tc>
      </w:tr>
    </w:tbl>
    <w:p w14:paraId="7D9087EE" w14:textId="77777777" w:rsidR="00B438EE" w:rsidRPr="00B438EE" w:rsidRDefault="00B438EE" w:rsidP="00B438EE">
      <w:pPr>
        <w:rPr>
          <w:lang w:val="en-US"/>
        </w:rPr>
      </w:pPr>
    </w:p>
    <w:tbl>
      <w:tblPr>
        <w:tblStyle w:val="TableGrid"/>
        <w:tblW w:w="0" w:type="auto"/>
        <w:tblLook w:val="04A0" w:firstRow="1" w:lastRow="0" w:firstColumn="1" w:lastColumn="0" w:noHBand="0" w:noVBand="1"/>
      </w:tblPr>
      <w:tblGrid>
        <w:gridCol w:w="1837"/>
        <w:gridCol w:w="1654"/>
        <w:gridCol w:w="1712"/>
        <w:gridCol w:w="1712"/>
        <w:gridCol w:w="1715"/>
      </w:tblGrid>
      <w:tr w:rsidR="00B438EE" w:rsidRPr="00B438EE" w14:paraId="3546CE56" w14:textId="77777777" w:rsidTr="000D412A">
        <w:trPr>
          <w:trHeight w:val="473"/>
        </w:trPr>
        <w:tc>
          <w:tcPr>
            <w:tcW w:w="10184" w:type="dxa"/>
            <w:gridSpan w:val="5"/>
          </w:tcPr>
          <w:p w14:paraId="2CBBA21C" w14:textId="77777777" w:rsidR="00B438EE" w:rsidRPr="00B438EE" w:rsidRDefault="00B438EE" w:rsidP="00B438EE">
            <w:pPr>
              <w:spacing w:after="160" w:line="259" w:lineRule="auto"/>
              <w:rPr>
                <w:b/>
              </w:rPr>
            </w:pPr>
            <w:r w:rsidRPr="00B438EE">
              <w:rPr>
                <w:b/>
              </w:rPr>
              <w:t>D-1 and above</w:t>
            </w:r>
          </w:p>
        </w:tc>
      </w:tr>
      <w:tr w:rsidR="00B438EE" w:rsidRPr="00B438EE" w14:paraId="6A8811A8" w14:textId="77777777" w:rsidTr="000D412A">
        <w:trPr>
          <w:trHeight w:val="473"/>
        </w:trPr>
        <w:tc>
          <w:tcPr>
            <w:tcW w:w="2036" w:type="dxa"/>
            <w:vMerge w:val="restart"/>
          </w:tcPr>
          <w:p w14:paraId="78667BA0" w14:textId="77777777" w:rsidR="00B438EE" w:rsidRPr="00B438EE" w:rsidRDefault="00B438EE" w:rsidP="00B438EE">
            <w:pPr>
              <w:spacing w:after="160" w:line="259" w:lineRule="auto"/>
              <w:rPr>
                <w:i/>
              </w:rPr>
            </w:pPr>
            <w:r w:rsidRPr="00B438EE">
              <w:rPr>
                <w:i/>
              </w:rPr>
              <w:t>Duty Station Category</w:t>
            </w:r>
          </w:p>
        </w:tc>
        <w:tc>
          <w:tcPr>
            <w:tcW w:w="8148" w:type="dxa"/>
            <w:gridSpan w:val="4"/>
          </w:tcPr>
          <w:p w14:paraId="0EA1A6C8" w14:textId="77777777" w:rsidR="00B438EE" w:rsidRPr="00B438EE" w:rsidRDefault="00B438EE" w:rsidP="00B438EE">
            <w:pPr>
              <w:spacing w:after="160" w:line="259" w:lineRule="auto"/>
              <w:rPr>
                <w:i/>
              </w:rPr>
            </w:pPr>
            <w:r w:rsidRPr="00B438EE">
              <w:rPr>
                <w:i/>
              </w:rPr>
              <w:t>Number of Assignments</w:t>
            </w:r>
          </w:p>
        </w:tc>
      </w:tr>
      <w:tr w:rsidR="00B438EE" w:rsidRPr="00B438EE" w14:paraId="798ECF26" w14:textId="77777777" w:rsidTr="000D412A">
        <w:trPr>
          <w:trHeight w:val="247"/>
        </w:trPr>
        <w:tc>
          <w:tcPr>
            <w:tcW w:w="2036" w:type="dxa"/>
            <w:vMerge/>
          </w:tcPr>
          <w:p w14:paraId="011A536B" w14:textId="77777777" w:rsidR="00B438EE" w:rsidRPr="00B438EE" w:rsidRDefault="00B438EE" w:rsidP="00B438EE">
            <w:pPr>
              <w:spacing w:after="160" w:line="259" w:lineRule="auto"/>
            </w:pPr>
          </w:p>
        </w:tc>
        <w:tc>
          <w:tcPr>
            <w:tcW w:w="2036" w:type="dxa"/>
          </w:tcPr>
          <w:p w14:paraId="69FEED3C" w14:textId="77777777" w:rsidR="00B438EE" w:rsidRPr="00B438EE" w:rsidRDefault="00B438EE" w:rsidP="00B438EE">
            <w:pPr>
              <w:spacing w:after="160" w:line="259" w:lineRule="auto"/>
            </w:pPr>
            <w:r w:rsidRPr="00B438EE">
              <w:t>1</w:t>
            </w:r>
          </w:p>
        </w:tc>
        <w:tc>
          <w:tcPr>
            <w:tcW w:w="2036" w:type="dxa"/>
          </w:tcPr>
          <w:p w14:paraId="73E00DEE" w14:textId="77777777" w:rsidR="00B438EE" w:rsidRPr="00B438EE" w:rsidRDefault="00B438EE" w:rsidP="00B438EE">
            <w:pPr>
              <w:spacing w:after="160" w:line="259" w:lineRule="auto"/>
            </w:pPr>
            <w:r w:rsidRPr="00B438EE">
              <w:t>2-3</w:t>
            </w:r>
          </w:p>
        </w:tc>
        <w:tc>
          <w:tcPr>
            <w:tcW w:w="2036" w:type="dxa"/>
          </w:tcPr>
          <w:p w14:paraId="758367C8" w14:textId="77777777" w:rsidR="00B438EE" w:rsidRPr="00B438EE" w:rsidRDefault="00B438EE" w:rsidP="00B438EE">
            <w:pPr>
              <w:spacing w:after="160" w:line="259" w:lineRule="auto"/>
            </w:pPr>
            <w:r w:rsidRPr="00B438EE">
              <w:t>4-6</w:t>
            </w:r>
          </w:p>
        </w:tc>
        <w:tc>
          <w:tcPr>
            <w:tcW w:w="2040" w:type="dxa"/>
          </w:tcPr>
          <w:p w14:paraId="4D315B77" w14:textId="77777777" w:rsidR="00B438EE" w:rsidRPr="00B438EE" w:rsidRDefault="00B438EE" w:rsidP="00B438EE">
            <w:pPr>
              <w:spacing w:after="160" w:line="259" w:lineRule="auto"/>
            </w:pPr>
            <w:r w:rsidRPr="00B438EE">
              <w:t>7+</w:t>
            </w:r>
          </w:p>
        </w:tc>
      </w:tr>
      <w:tr w:rsidR="00B438EE" w:rsidRPr="00B438EE" w14:paraId="4B955A29" w14:textId="77777777" w:rsidTr="000D412A">
        <w:trPr>
          <w:trHeight w:val="473"/>
        </w:trPr>
        <w:tc>
          <w:tcPr>
            <w:tcW w:w="2036" w:type="dxa"/>
          </w:tcPr>
          <w:p w14:paraId="76ADECB9" w14:textId="77777777" w:rsidR="00B438EE" w:rsidRPr="00B438EE" w:rsidRDefault="00B438EE" w:rsidP="00B438EE">
            <w:pPr>
              <w:spacing w:after="160" w:line="259" w:lineRule="auto"/>
            </w:pPr>
            <w:r w:rsidRPr="00B438EE">
              <w:t>A-E</w:t>
            </w:r>
          </w:p>
        </w:tc>
        <w:tc>
          <w:tcPr>
            <w:tcW w:w="2036" w:type="dxa"/>
          </w:tcPr>
          <w:p w14:paraId="095F623B" w14:textId="77777777" w:rsidR="00B438EE" w:rsidRPr="00B438EE" w:rsidRDefault="00B438EE" w:rsidP="00B438EE">
            <w:pPr>
              <w:spacing w:after="160" w:line="259" w:lineRule="auto"/>
            </w:pPr>
            <w:r w:rsidRPr="00B438EE">
              <w:t>0</w:t>
            </w:r>
          </w:p>
        </w:tc>
        <w:tc>
          <w:tcPr>
            <w:tcW w:w="2036" w:type="dxa"/>
          </w:tcPr>
          <w:p w14:paraId="2B483000" w14:textId="77777777" w:rsidR="00B438EE" w:rsidRPr="00B438EE" w:rsidRDefault="00B438EE" w:rsidP="00B438EE">
            <w:pPr>
              <w:spacing w:after="160" w:line="259" w:lineRule="auto"/>
              <w:rPr>
                <w:b/>
              </w:rPr>
            </w:pPr>
            <w:r w:rsidRPr="00B438EE">
              <w:rPr>
                <w:b/>
              </w:rPr>
              <w:t>9 750</w:t>
            </w:r>
          </w:p>
        </w:tc>
        <w:tc>
          <w:tcPr>
            <w:tcW w:w="2036" w:type="dxa"/>
          </w:tcPr>
          <w:p w14:paraId="0B663D2E" w14:textId="77777777" w:rsidR="00B438EE" w:rsidRPr="00B438EE" w:rsidRDefault="00B438EE" w:rsidP="00B438EE">
            <w:pPr>
              <w:spacing w:after="160" w:line="259" w:lineRule="auto"/>
              <w:rPr>
                <w:b/>
              </w:rPr>
            </w:pPr>
            <w:r w:rsidRPr="00B438EE">
              <w:rPr>
                <w:b/>
              </w:rPr>
              <w:t>12 188</w:t>
            </w:r>
          </w:p>
        </w:tc>
        <w:tc>
          <w:tcPr>
            <w:tcW w:w="2040" w:type="dxa"/>
          </w:tcPr>
          <w:p w14:paraId="6C45C4A2" w14:textId="77777777" w:rsidR="00B438EE" w:rsidRPr="00B438EE" w:rsidRDefault="00B438EE" w:rsidP="00B438EE">
            <w:pPr>
              <w:spacing w:after="160" w:line="259" w:lineRule="auto"/>
              <w:rPr>
                <w:b/>
              </w:rPr>
            </w:pPr>
            <w:r w:rsidRPr="00B438EE">
              <w:rPr>
                <w:b/>
              </w:rPr>
              <w:t>14 625</w:t>
            </w:r>
          </w:p>
        </w:tc>
      </w:tr>
    </w:tbl>
    <w:p w14:paraId="3BB0B288" w14:textId="77777777" w:rsidR="00B438EE" w:rsidRPr="00B438EE" w:rsidRDefault="00B438EE" w:rsidP="00B438EE">
      <w:pPr>
        <w:rPr>
          <w:lang w:val="en-US"/>
        </w:rPr>
      </w:pPr>
    </w:p>
    <w:p w14:paraId="04BDEADE" w14:textId="77777777" w:rsidR="00B438EE" w:rsidRPr="00B438EE" w:rsidRDefault="00B438EE" w:rsidP="00B438EE">
      <w:pPr>
        <w:rPr>
          <w:b/>
          <w:lang w:val="en-US"/>
        </w:rPr>
      </w:pPr>
      <w:r w:rsidRPr="00B438EE">
        <w:rPr>
          <w:b/>
          <w:lang w:val="en-US"/>
        </w:rPr>
        <w:t>Hardship Allowances</w:t>
      </w:r>
    </w:p>
    <w:p w14:paraId="04E809DD" w14:textId="77777777" w:rsidR="00B438EE" w:rsidRPr="00B438EE" w:rsidRDefault="00B438EE" w:rsidP="00B438EE">
      <w:pPr>
        <w:rPr>
          <w:b/>
          <w:lang w:val="en-US"/>
        </w:rPr>
      </w:pPr>
    </w:p>
    <w:p w14:paraId="54CF1423" w14:textId="77777777" w:rsidR="00B438EE" w:rsidRPr="00B438EE" w:rsidRDefault="00B438EE" w:rsidP="00B438EE">
      <w:pPr>
        <w:rPr>
          <w:lang w:val="en-US"/>
        </w:rPr>
      </w:pPr>
      <w:r w:rsidRPr="00B438EE">
        <w:rPr>
          <w:lang w:val="en-US"/>
        </w:rPr>
        <w:lastRenderedPageBreak/>
        <w:t>NOTE:  Hardship allowances do not apply to assignments to categories H and A, and only apply to assignments to duty stations in categories B-E.</w:t>
      </w:r>
    </w:p>
    <w:p w14:paraId="27446D0A" w14:textId="77777777" w:rsidR="00B438EE" w:rsidRPr="00B438EE" w:rsidRDefault="00B438EE" w:rsidP="00B438EE">
      <w:pPr>
        <w:rPr>
          <w:lang w:val="en-US"/>
        </w:rPr>
      </w:pPr>
    </w:p>
    <w:p w14:paraId="0717E8CF" w14:textId="77777777" w:rsidR="00B438EE" w:rsidRPr="00B438EE" w:rsidRDefault="00B438EE" w:rsidP="00B438EE">
      <w:pPr>
        <w:rPr>
          <w:i/>
          <w:lang w:val="en-US"/>
        </w:rPr>
      </w:pPr>
      <w:r w:rsidRPr="00B438EE">
        <w:rPr>
          <w:i/>
          <w:lang w:val="en-US"/>
        </w:rPr>
        <w:t>Annual amounts in US dollars</w:t>
      </w:r>
    </w:p>
    <w:p w14:paraId="3B4B0E50" w14:textId="77777777" w:rsidR="00B438EE" w:rsidRPr="00B438EE" w:rsidRDefault="00B438EE" w:rsidP="00B438EE">
      <w:pPr>
        <w:rPr>
          <w:i/>
          <w:lang w:val="en-US"/>
        </w:rPr>
      </w:pPr>
    </w:p>
    <w:tbl>
      <w:tblPr>
        <w:tblStyle w:val="TableGrid"/>
        <w:tblW w:w="0" w:type="auto"/>
        <w:tblLook w:val="04A0" w:firstRow="1" w:lastRow="0" w:firstColumn="1" w:lastColumn="0" w:noHBand="0" w:noVBand="1"/>
      </w:tblPr>
      <w:tblGrid>
        <w:gridCol w:w="1963"/>
        <w:gridCol w:w="2046"/>
        <w:gridCol w:w="2260"/>
        <w:gridCol w:w="2361"/>
      </w:tblGrid>
      <w:tr w:rsidR="00B438EE" w:rsidRPr="00B438EE" w14:paraId="44F18E9A" w14:textId="77777777" w:rsidTr="000D412A">
        <w:trPr>
          <w:trHeight w:val="304"/>
        </w:trPr>
        <w:tc>
          <w:tcPr>
            <w:tcW w:w="2201" w:type="dxa"/>
          </w:tcPr>
          <w:p w14:paraId="4970E6FB" w14:textId="77777777" w:rsidR="00B438EE" w:rsidRPr="00B438EE" w:rsidRDefault="00B438EE" w:rsidP="00B438EE">
            <w:pPr>
              <w:spacing w:after="160" w:line="259" w:lineRule="auto"/>
            </w:pPr>
            <w:r w:rsidRPr="00B438EE">
              <w:t>Duty Station Category</w:t>
            </w:r>
          </w:p>
        </w:tc>
        <w:tc>
          <w:tcPr>
            <w:tcW w:w="2438" w:type="dxa"/>
          </w:tcPr>
          <w:p w14:paraId="0B5A15CF" w14:textId="77777777" w:rsidR="00B438EE" w:rsidRPr="00B438EE" w:rsidRDefault="00B438EE" w:rsidP="00B438EE">
            <w:pPr>
              <w:spacing w:after="160" w:line="259" w:lineRule="auto"/>
            </w:pPr>
            <w:r w:rsidRPr="00B438EE">
              <w:t>P-1 to P-3</w:t>
            </w:r>
          </w:p>
          <w:p w14:paraId="1A036BE3" w14:textId="77777777" w:rsidR="00B438EE" w:rsidRPr="00B438EE" w:rsidRDefault="00B438EE" w:rsidP="00B438EE">
            <w:pPr>
              <w:spacing w:after="160" w:line="259" w:lineRule="auto"/>
            </w:pPr>
            <w:r w:rsidRPr="00B438EE">
              <w:t>and FS1–FS6</w:t>
            </w:r>
          </w:p>
        </w:tc>
        <w:tc>
          <w:tcPr>
            <w:tcW w:w="2746" w:type="dxa"/>
          </w:tcPr>
          <w:p w14:paraId="104E9419" w14:textId="77777777" w:rsidR="00B438EE" w:rsidRPr="00B438EE" w:rsidRDefault="00B438EE" w:rsidP="00B438EE">
            <w:pPr>
              <w:spacing w:after="160" w:line="259" w:lineRule="auto"/>
            </w:pPr>
            <w:r w:rsidRPr="00B438EE">
              <w:t>P-4 to P-5</w:t>
            </w:r>
          </w:p>
          <w:p w14:paraId="31943223" w14:textId="77777777" w:rsidR="00B438EE" w:rsidRPr="00B438EE" w:rsidRDefault="00B438EE" w:rsidP="00B438EE">
            <w:pPr>
              <w:spacing w:after="160" w:line="259" w:lineRule="auto"/>
            </w:pPr>
            <w:r w:rsidRPr="00B438EE">
              <w:t>and FS-7</w:t>
            </w:r>
          </w:p>
        </w:tc>
        <w:tc>
          <w:tcPr>
            <w:tcW w:w="2808" w:type="dxa"/>
          </w:tcPr>
          <w:p w14:paraId="1D544541" w14:textId="77777777" w:rsidR="00B438EE" w:rsidRPr="00B438EE" w:rsidRDefault="00B438EE" w:rsidP="00B438EE">
            <w:pPr>
              <w:spacing w:after="160" w:line="259" w:lineRule="auto"/>
            </w:pPr>
            <w:r w:rsidRPr="00B438EE">
              <w:t>D-1 and above</w:t>
            </w:r>
          </w:p>
        </w:tc>
      </w:tr>
      <w:tr w:rsidR="00B438EE" w:rsidRPr="00B438EE" w14:paraId="0D4465F9" w14:textId="77777777" w:rsidTr="000D412A">
        <w:trPr>
          <w:trHeight w:val="304"/>
        </w:trPr>
        <w:tc>
          <w:tcPr>
            <w:tcW w:w="2201" w:type="dxa"/>
          </w:tcPr>
          <w:p w14:paraId="01F8886F" w14:textId="77777777" w:rsidR="00B438EE" w:rsidRPr="00B438EE" w:rsidRDefault="00B438EE" w:rsidP="00B438EE">
            <w:pPr>
              <w:spacing w:after="160" w:line="259" w:lineRule="auto"/>
            </w:pPr>
            <w:r w:rsidRPr="00B438EE">
              <w:t>B</w:t>
            </w:r>
          </w:p>
        </w:tc>
        <w:tc>
          <w:tcPr>
            <w:tcW w:w="2438" w:type="dxa"/>
          </w:tcPr>
          <w:p w14:paraId="3696BFAD" w14:textId="77777777" w:rsidR="00B438EE" w:rsidRPr="00B438EE" w:rsidRDefault="00B438EE" w:rsidP="00B438EE">
            <w:pPr>
              <w:spacing w:after="160" w:line="259" w:lineRule="auto"/>
              <w:rPr>
                <w:b/>
              </w:rPr>
            </w:pPr>
            <w:r w:rsidRPr="00B438EE">
              <w:rPr>
                <w:b/>
              </w:rPr>
              <w:t>5 810</w:t>
            </w:r>
          </w:p>
        </w:tc>
        <w:tc>
          <w:tcPr>
            <w:tcW w:w="2746" w:type="dxa"/>
          </w:tcPr>
          <w:p w14:paraId="50440FEA" w14:textId="77777777" w:rsidR="00B438EE" w:rsidRPr="00B438EE" w:rsidRDefault="00B438EE" w:rsidP="00B438EE">
            <w:pPr>
              <w:spacing w:after="160" w:line="259" w:lineRule="auto"/>
              <w:rPr>
                <w:b/>
              </w:rPr>
            </w:pPr>
            <w:r w:rsidRPr="00B438EE">
              <w:rPr>
                <w:b/>
              </w:rPr>
              <w:t xml:space="preserve">6 970 </w:t>
            </w:r>
          </w:p>
        </w:tc>
        <w:tc>
          <w:tcPr>
            <w:tcW w:w="2808" w:type="dxa"/>
          </w:tcPr>
          <w:p w14:paraId="5E235A19" w14:textId="77777777" w:rsidR="00B438EE" w:rsidRPr="00B438EE" w:rsidRDefault="00B438EE" w:rsidP="00B438EE">
            <w:pPr>
              <w:spacing w:after="160" w:line="259" w:lineRule="auto"/>
              <w:rPr>
                <w:b/>
              </w:rPr>
            </w:pPr>
            <w:r w:rsidRPr="00B438EE">
              <w:rPr>
                <w:b/>
              </w:rPr>
              <w:t>8 140</w:t>
            </w:r>
          </w:p>
        </w:tc>
      </w:tr>
      <w:tr w:rsidR="00B438EE" w:rsidRPr="00B438EE" w14:paraId="3D36FAB7" w14:textId="77777777" w:rsidTr="000D412A">
        <w:trPr>
          <w:trHeight w:val="304"/>
        </w:trPr>
        <w:tc>
          <w:tcPr>
            <w:tcW w:w="2201" w:type="dxa"/>
          </w:tcPr>
          <w:p w14:paraId="1408C2B9" w14:textId="77777777" w:rsidR="00B438EE" w:rsidRPr="00B438EE" w:rsidRDefault="00B438EE" w:rsidP="00B438EE">
            <w:pPr>
              <w:spacing w:after="160" w:line="259" w:lineRule="auto"/>
            </w:pPr>
            <w:r w:rsidRPr="00B438EE">
              <w:t>C</w:t>
            </w:r>
          </w:p>
        </w:tc>
        <w:tc>
          <w:tcPr>
            <w:tcW w:w="2438" w:type="dxa"/>
          </w:tcPr>
          <w:p w14:paraId="2F22EEB4" w14:textId="77777777" w:rsidR="00B438EE" w:rsidRPr="00B438EE" w:rsidRDefault="00B438EE" w:rsidP="00B438EE">
            <w:pPr>
              <w:spacing w:after="160" w:line="259" w:lineRule="auto"/>
              <w:rPr>
                <w:b/>
              </w:rPr>
            </w:pPr>
            <w:r w:rsidRPr="00B438EE">
              <w:rPr>
                <w:b/>
              </w:rPr>
              <w:t>10 470</w:t>
            </w:r>
          </w:p>
        </w:tc>
        <w:tc>
          <w:tcPr>
            <w:tcW w:w="2746" w:type="dxa"/>
          </w:tcPr>
          <w:p w14:paraId="6A2C2B68" w14:textId="77777777" w:rsidR="00B438EE" w:rsidRPr="00B438EE" w:rsidRDefault="00B438EE" w:rsidP="00B438EE">
            <w:pPr>
              <w:spacing w:after="160" w:line="259" w:lineRule="auto"/>
              <w:rPr>
                <w:b/>
              </w:rPr>
            </w:pPr>
            <w:r w:rsidRPr="00B438EE">
              <w:rPr>
                <w:b/>
              </w:rPr>
              <w:t>12 780</w:t>
            </w:r>
          </w:p>
        </w:tc>
        <w:tc>
          <w:tcPr>
            <w:tcW w:w="2808" w:type="dxa"/>
          </w:tcPr>
          <w:p w14:paraId="3B8A2194" w14:textId="77777777" w:rsidR="00B438EE" w:rsidRPr="00B438EE" w:rsidRDefault="00B438EE" w:rsidP="00B438EE">
            <w:pPr>
              <w:spacing w:after="160" w:line="259" w:lineRule="auto"/>
              <w:rPr>
                <w:b/>
              </w:rPr>
            </w:pPr>
            <w:r w:rsidRPr="00B438EE">
              <w:rPr>
                <w:b/>
              </w:rPr>
              <w:t>15 110</w:t>
            </w:r>
          </w:p>
        </w:tc>
      </w:tr>
      <w:tr w:rsidR="00B438EE" w:rsidRPr="00B438EE" w14:paraId="1A05C90A" w14:textId="77777777" w:rsidTr="000D412A">
        <w:trPr>
          <w:trHeight w:val="304"/>
        </w:trPr>
        <w:tc>
          <w:tcPr>
            <w:tcW w:w="2201" w:type="dxa"/>
          </w:tcPr>
          <w:p w14:paraId="013D110E" w14:textId="77777777" w:rsidR="00B438EE" w:rsidRPr="00B438EE" w:rsidRDefault="00B438EE" w:rsidP="00B438EE">
            <w:pPr>
              <w:spacing w:after="160" w:line="259" w:lineRule="auto"/>
            </w:pPr>
            <w:r w:rsidRPr="00B438EE">
              <w:t>D</w:t>
            </w:r>
          </w:p>
        </w:tc>
        <w:tc>
          <w:tcPr>
            <w:tcW w:w="2438" w:type="dxa"/>
          </w:tcPr>
          <w:p w14:paraId="1EC40002" w14:textId="77777777" w:rsidR="00B438EE" w:rsidRPr="00B438EE" w:rsidRDefault="00B438EE" w:rsidP="00B438EE">
            <w:pPr>
              <w:spacing w:after="160" w:line="259" w:lineRule="auto"/>
              <w:rPr>
                <w:b/>
              </w:rPr>
            </w:pPr>
            <w:r w:rsidRPr="00B438EE">
              <w:rPr>
                <w:b/>
              </w:rPr>
              <w:t>13 950</w:t>
            </w:r>
          </w:p>
        </w:tc>
        <w:tc>
          <w:tcPr>
            <w:tcW w:w="2746" w:type="dxa"/>
          </w:tcPr>
          <w:p w14:paraId="60410FDD" w14:textId="77777777" w:rsidR="00B438EE" w:rsidRPr="00B438EE" w:rsidRDefault="00B438EE" w:rsidP="00B438EE">
            <w:pPr>
              <w:spacing w:after="160" w:line="259" w:lineRule="auto"/>
              <w:rPr>
                <w:b/>
              </w:rPr>
            </w:pPr>
            <w:r w:rsidRPr="00B438EE">
              <w:rPr>
                <w:b/>
              </w:rPr>
              <w:t>16 280</w:t>
            </w:r>
          </w:p>
        </w:tc>
        <w:tc>
          <w:tcPr>
            <w:tcW w:w="2808" w:type="dxa"/>
          </w:tcPr>
          <w:p w14:paraId="3B0A6D09" w14:textId="77777777" w:rsidR="00B438EE" w:rsidRPr="00B438EE" w:rsidRDefault="00B438EE" w:rsidP="00B438EE">
            <w:pPr>
              <w:spacing w:after="160" w:line="259" w:lineRule="auto"/>
              <w:rPr>
                <w:b/>
              </w:rPr>
            </w:pPr>
            <w:r w:rsidRPr="00B438EE">
              <w:rPr>
                <w:b/>
              </w:rPr>
              <w:t>18 590</w:t>
            </w:r>
          </w:p>
        </w:tc>
      </w:tr>
      <w:tr w:rsidR="00B438EE" w:rsidRPr="00B438EE" w14:paraId="7545C3C2" w14:textId="77777777" w:rsidTr="000D412A">
        <w:trPr>
          <w:trHeight w:val="304"/>
        </w:trPr>
        <w:tc>
          <w:tcPr>
            <w:tcW w:w="2201" w:type="dxa"/>
          </w:tcPr>
          <w:p w14:paraId="6AFE4525" w14:textId="77777777" w:rsidR="00B438EE" w:rsidRPr="00B438EE" w:rsidRDefault="00B438EE" w:rsidP="00B438EE">
            <w:pPr>
              <w:spacing w:after="160" w:line="259" w:lineRule="auto"/>
            </w:pPr>
            <w:r w:rsidRPr="00B438EE">
              <w:t>E</w:t>
            </w:r>
          </w:p>
        </w:tc>
        <w:tc>
          <w:tcPr>
            <w:tcW w:w="2438" w:type="dxa"/>
          </w:tcPr>
          <w:p w14:paraId="37AF8558" w14:textId="77777777" w:rsidR="00B438EE" w:rsidRPr="00B438EE" w:rsidRDefault="00B438EE" w:rsidP="00B438EE">
            <w:pPr>
              <w:spacing w:after="160" w:line="259" w:lineRule="auto"/>
              <w:rPr>
                <w:b/>
              </w:rPr>
            </w:pPr>
            <w:r w:rsidRPr="00B438EE">
              <w:rPr>
                <w:b/>
              </w:rPr>
              <w:t>17 440</w:t>
            </w:r>
          </w:p>
        </w:tc>
        <w:tc>
          <w:tcPr>
            <w:tcW w:w="2746" w:type="dxa"/>
          </w:tcPr>
          <w:p w14:paraId="639B3FD5" w14:textId="77777777" w:rsidR="00B438EE" w:rsidRPr="00B438EE" w:rsidRDefault="00B438EE" w:rsidP="00B438EE">
            <w:pPr>
              <w:spacing w:after="160" w:line="259" w:lineRule="auto"/>
              <w:rPr>
                <w:b/>
              </w:rPr>
            </w:pPr>
            <w:r w:rsidRPr="00B438EE">
              <w:rPr>
                <w:b/>
              </w:rPr>
              <w:t>20 920</w:t>
            </w:r>
          </w:p>
        </w:tc>
        <w:tc>
          <w:tcPr>
            <w:tcW w:w="2808" w:type="dxa"/>
          </w:tcPr>
          <w:p w14:paraId="55ECB76D" w14:textId="77777777" w:rsidR="00B438EE" w:rsidRPr="00B438EE" w:rsidRDefault="00B438EE" w:rsidP="00B438EE">
            <w:pPr>
              <w:spacing w:after="160" w:line="259" w:lineRule="auto"/>
              <w:rPr>
                <w:b/>
              </w:rPr>
            </w:pPr>
            <w:r w:rsidRPr="00B438EE">
              <w:rPr>
                <w:b/>
              </w:rPr>
              <w:t>23 250</w:t>
            </w:r>
          </w:p>
        </w:tc>
      </w:tr>
    </w:tbl>
    <w:p w14:paraId="1073F0A7" w14:textId="77777777" w:rsidR="00B438EE" w:rsidRPr="00B438EE" w:rsidRDefault="00B438EE" w:rsidP="00B438EE">
      <w:pPr>
        <w:rPr>
          <w:b/>
          <w:lang w:val="en-US"/>
        </w:rPr>
      </w:pPr>
    </w:p>
    <w:p w14:paraId="4AE3DDDB" w14:textId="77777777" w:rsidR="00B438EE" w:rsidRPr="00B438EE" w:rsidRDefault="00B438EE" w:rsidP="00B438EE">
      <w:pPr>
        <w:rPr>
          <w:b/>
          <w:lang w:val="en-US"/>
        </w:rPr>
      </w:pPr>
    </w:p>
    <w:p w14:paraId="22C2F453" w14:textId="77777777" w:rsidR="00B438EE" w:rsidRPr="00B438EE" w:rsidRDefault="00B438EE" w:rsidP="00B438EE">
      <w:pPr>
        <w:rPr>
          <w:b/>
          <w:lang w:val="en-US"/>
        </w:rPr>
      </w:pPr>
    </w:p>
    <w:p w14:paraId="2C23DEDB" w14:textId="77777777" w:rsidR="00B438EE" w:rsidRPr="00B438EE" w:rsidRDefault="00B438EE" w:rsidP="00B438EE">
      <w:pPr>
        <w:rPr>
          <w:b/>
          <w:lang w:val="en-US"/>
        </w:rPr>
      </w:pPr>
      <w:r w:rsidRPr="00B438EE">
        <w:rPr>
          <w:b/>
          <w:lang w:val="en-US"/>
        </w:rPr>
        <w:t>Non-family Service Allowances</w:t>
      </w:r>
      <w:r w:rsidRPr="00B438EE">
        <w:rPr>
          <w:b/>
          <w:vertAlign w:val="superscript"/>
          <w:lang w:val="en-US"/>
        </w:rPr>
        <w:footnoteReference w:id="1"/>
      </w:r>
    </w:p>
    <w:p w14:paraId="77295511" w14:textId="77777777" w:rsidR="00B438EE" w:rsidRPr="00B438EE" w:rsidRDefault="00B438EE" w:rsidP="00B438EE">
      <w:pPr>
        <w:rPr>
          <w:b/>
          <w:lang w:val="en-US"/>
        </w:rPr>
      </w:pPr>
    </w:p>
    <w:p w14:paraId="07B16165" w14:textId="77777777" w:rsidR="00B438EE" w:rsidRPr="00B438EE" w:rsidRDefault="00B438EE" w:rsidP="00B438EE">
      <w:pPr>
        <w:rPr>
          <w:i/>
          <w:lang w:val="en-US"/>
        </w:rPr>
      </w:pPr>
      <w:r w:rsidRPr="00B438EE">
        <w:rPr>
          <w:i/>
          <w:lang w:val="en-US"/>
        </w:rPr>
        <w:t>Payable to staff members assigned to duty stations designated by the ICSC as non-family</w:t>
      </w:r>
    </w:p>
    <w:p w14:paraId="3AF208AE" w14:textId="77777777" w:rsidR="00B438EE" w:rsidRPr="00B438EE" w:rsidRDefault="00B438EE" w:rsidP="00B438EE">
      <w:pPr>
        <w:rPr>
          <w:i/>
          <w:lang w:val="en-US"/>
        </w:rPr>
      </w:pPr>
    </w:p>
    <w:p w14:paraId="7243BC65" w14:textId="77777777" w:rsidR="00B438EE" w:rsidRPr="00B438EE" w:rsidRDefault="00B438EE" w:rsidP="00B438EE">
      <w:pPr>
        <w:rPr>
          <w:i/>
          <w:lang w:val="en-US"/>
        </w:rPr>
      </w:pPr>
      <w:r w:rsidRPr="00B438EE">
        <w:rPr>
          <w:i/>
          <w:lang w:val="en-US"/>
        </w:rPr>
        <w:t>Monthly amounts in US dollars</w:t>
      </w:r>
    </w:p>
    <w:p w14:paraId="1E965721" w14:textId="77777777" w:rsidR="00B438EE" w:rsidRPr="00B438EE" w:rsidRDefault="00B438EE" w:rsidP="00B438EE">
      <w:pPr>
        <w:rPr>
          <w:i/>
          <w:lang w:val="en-US"/>
        </w:rPr>
      </w:pPr>
    </w:p>
    <w:tbl>
      <w:tblPr>
        <w:tblStyle w:val="TableGrid"/>
        <w:tblW w:w="0" w:type="auto"/>
        <w:tblLook w:val="04A0" w:firstRow="1" w:lastRow="0" w:firstColumn="1" w:lastColumn="0" w:noHBand="0" w:noVBand="1"/>
      </w:tblPr>
      <w:tblGrid>
        <w:gridCol w:w="4315"/>
        <w:gridCol w:w="4315"/>
      </w:tblGrid>
      <w:tr w:rsidR="00B438EE" w:rsidRPr="00B438EE" w14:paraId="0A541207" w14:textId="77777777" w:rsidTr="000D412A">
        <w:trPr>
          <w:trHeight w:val="323"/>
        </w:trPr>
        <w:tc>
          <w:tcPr>
            <w:tcW w:w="5091" w:type="dxa"/>
          </w:tcPr>
          <w:p w14:paraId="08995A05" w14:textId="77777777" w:rsidR="00B438EE" w:rsidRPr="00B438EE" w:rsidRDefault="00B438EE" w:rsidP="00B438EE">
            <w:pPr>
              <w:spacing w:after="160" w:line="259" w:lineRule="auto"/>
            </w:pPr>
            <w:r w:rsidRPr="00B438EE">
              <w:t>Staff members with a dependent</w:t>
            </w:r>
          </w:p>
        </w:tc>
        <w:tc>
          <w:tcPr>
            <w:tcW w:w="5091" w:type="dxa"/>
          </w:tcPr>
          <w:p w14:paraId="7E1F1ACC" w14:textId="77777777" w:rsidR="00B438EE" w:rsidRPr="00B438EE" w:rsidRDefault="00B438EE" w:rsidP="00B438EE">
            <w:pPr>
              <w:spacing w:after="160" w:line="259" w:lineRule="auto"/>
            </w:pPr>
            <w:r w:rsidRPr="00B438EE">
              <w:t>Staff member without a dependent</w:t>
            </w:r>
          </w:p>
        </w:tc>
      </w:tr>
      <w:tr w:rsidR="00B438EE" w:rsidRPr="00B438EE" w14:paraId="3339FA0D" w14:textId="77777777" w:rsidTr="000D412A">
        <w:trPr>
          <w:trHeight w:val="257"/>
        </w:trPr>
        <w:tc>
          <w:tcPr>
            <w:tcW w:w="5091" w:type="dxa"/>
          </w:tcPr>
          <w:p w14:paraId="56444B37" w14:textId="77777777" w:rsidR="00B438EE" w:rsidRPr="00B438EE" w:rsidRDefault="00B438EE" w:rsidP="00B438EE">
            <w:pPr>
              <w:spacing w:after="160" w:line="259" w:lineRule="auto"/>
              <w:rPr>
                <w:b/>
              </w:rPr>
            </w:pPr>
            <w:r w:rsidRPr="00B438EE">
              <w:rPr>
                <w:b/>
              </w:rPr>
              <w:t>1 650</w:t>
            </w:r>
          </w:p>
        </w:tc>
        <w:tc>
          <w:tcPr>
            <w:tcW w:w="5091" w:type="dxa"/>
          </w:tcPr>
          <w:p w14:paraId="1506716C" w14:textId="77777777" w:rsidR="00B438EE" w:rsidRPr="00B438EE" w:rsidRDefault="00B438EE" w:rsidP="00B438EE">
            <w:pPr>
              <w:spacing w:after="160" w:line="259" w:lineRule="auto"/>
              <w:rPr>
                <w:b/>
              </w:rPr>
            </w:pPr>
            <w:r w:rsidRPr="00B438EE">
              <w:rPr>
                <w:b/>
              </w:rPr>
              <w:t>625</w:t>
            </w:r>
          </w:p>
        </w:tc>
      </w:tr>
    </w:tbl>
    <w:p w14:paraId="523A98F1" w14:textId="77777777" w:rsidR="00B438EE" w:rsidRPr="00B438EE" w:rsidRDefault="00B438EE" w:rsidP="00B438EE">
      <w:pPr>
        <w:rPr>
          <w:lang w:val="en-US"/>
        </w:rPr>
      </w:pPr>
    </w:p>
    <w:p w14:paraId="2D0A35AF" w14:textId="77777777" w:rsidR="00B438EE" w:rsidRPr="00B438EE" w:rsidRDefault="00B438EE" w:rsidP="00B438EE">
      <w:pPr>
        <w:rPr>
          <w:lang w:val="en-US"/>
        </w:rPr>
      </w:pPr>
    </w:p>
    <w:p w14:paraId="7BBA5622" w14:textId="77777777" w:rsidR="00B438EE" w:rsidRPr="00B438EE" w:rsidRDefault="00B438EE" w:rsidP="00B438EE">
      <w:pPr>
        <w:rPr>
          <w:lang w:val="en-GB"/>
        </w:rPr>
      </w:pPr>
    </w:p>
    <w:p w14:paraId="36875535" w14:textId="77777777" w:rsidR="00B438EE" w:rsidRPr="00B438EE" w:rsidRDefault="00B438EE" w:rsidP="00B438EE">
      <w:pPr>
        <w:rPr>
          <w:lang w:val="en-GB"/>
        </w:rPr>
      </w:pPr>
    </w:p>
    <w:p w14:paraId="00DC99AA" w14:textId="77777777" w:rsidR="00B438EE" w:rsidRPr="00B438EE" w:rsidRDefault="00B438EE" w:rsidP="00B438EE">
      <w:pPr>
        <w:rPr>
          <w:lang w:val="en-US"/>
        </w:rPr>
      </w:pPr>
    </w:p>
    <w:p w14:paraId="29FFC635" w14:textId="77777777" w:rsidR="00B438EE" w:rsidRPr="00B438EE" w:rsidRDefault="00B438EE" w:rsidP="00B438EE">
      <w:pPr>
        <w:rPr>
          <w:lang w:val="en-US"/>
        </w:rPr>
      </w:pPr>
    </w:p>
    <w:p w14:paraId="1872B784" w14:textId="77777777" w:rsidR="00A31C56" w:rsidRDefault="00A31C56"/>
    <w:sectPr w:rsidR="00A31C56" w:rsidSect="00B438E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9820" w14:textId="77777777" w:rsidR="00F74A07" w:rsidRDefault="00F74A07" w:rsidP="00B438EE">
      <w:pPr>
        <w:spacing w:after="0" w:line="240" w:lineRule="auto"/>
      </w:pPr>
      <w:r>
        <w:separator/>
      </w:r>
    </w:p>
  </w:endnote>
  <w:endnote w:type="continuationSeparator" w:id="0">
    <w:p w14:paraId="039DB0A0" w14:textId="77777777" w:rsidR="00F74A07" w:rsidRDefault="00F74A07" w:rsidP="00B4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2C5" w14:textId="77777777" w:rsidR="00000000" w:rsidRDefault="00000000" w:rsidP="00D12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08354" w14:textId="77777777" w:rsidR="00000000" w:rsidRDefault="00000000" w:rsidP="009F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5B4" w14:textId="77777777" w:rsidR="00000000" w:rsidRPr="005D302B" w:rsidRDefault="00000000" w:rsidP="005D302B">
    <w:pPr>
      <w:pStyle w:val="Footer"/>
      <w:rPr>
        <w:rFonts w:ascii="Calibri" w:hAnsi="Calibri"/>
      </w:rPr>
    </w:pPr>
    <w:sdt>
      <w:sdtPr>
        <w:rPr>
          <w:rFonts w:ascii="Calibri" w:hAnsi="Calibri"/>
        </w:rPr>
        <w:id w:val="1007181623"/>
        <w:docPartObj>
          <w:docPartGallery w:val="Page Numbers (Bottom of Page)"/>
          <w:docPartUnique/>
        </w:docPartObj>
      </w:sdtPr>
      <w:sdtContent>
        <w:sdt>
          <w:sdtPr>
            <w:rPr>
              <w:rFonts w:ascii="Calibri" w:hAnsi="Calibri"/>
            </w:rPr>
            <w:id w:val="-1705238520"/>
            <w:docPartObj>
              <w:docPartGallery w:val="Page Numbers (Top of Page)"/>
              <w:docPartUnique/>
            </w:docPartObj>
          </w:sdtPr>
          <w:sdtContent>
            <w:r w:rsidRPr="005D302B">
              <w:rPr>
                <w:rFonts w:ascii="Calibri" w:hAnsi="Calibri"/>
              </w:rPr>
              <w:t xml:space="preserve">Page </w:t>
            </w:r>
            <w:r w:rsidRPr="005D302B">
              <w:rPr>
                <w:rFonts w:ascii="Calibri" w:hAnsi="Calibri"/>
                <w:b/>
                <w:bCs/>
              </w:rPr>
              <w:fldChar w:fldCharType="begin"/>
            </w:r>
            <w:r w:rsidRPr="005D302B">
              <w:rPr>
                <w:rFonts w:ascii="Calibri" w:hAnsi="Calibri"/>
                <w:b/>
                <w:bCs/>
              </w:rPr>
              <w:instrText xml:space="preserve"> PAGE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rsidRPr="005D302B">
              <w:rPr>
                <w:rFonts w:ascii="Calibri" w:hAnsi="Calibri"/>
                <w:b/>
              </w:rPr>
              <w:t xml:space="preserve"> </w:t>
            </w:r>
            <w:r w:rsidRPr="005D302B">
              <w:rPr>
                <w:rFonts w:ascii="Calibri" w:hAnsi="Calibri"/>
              </w:rPr>
              <w:t xml:space="preserve">of </w:t>
            </w:r>
            <w:r w:rsidRPr="005D302B">
              <w:rPr>
                <w:rFonts w:ascii="Calibri" w:hAnsi="Calibri"/>
                <w:b/>
                <w:bCs/>
              </w:rPr>
              <w:fldChar w:fldCharType="begin"/>
            </w:r>
            <w:r w:rsidRPr="005D302B">
              <w:rPr>
                <w:rFonts w:ascii="Calibri" w:hAnsi="Calibri"/>
                <w:b/>
                <w:bCs/>
              </w:rPr>
              <w:instrText xml:space="preserve"> NUMPAGES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rsidRPr="005D302B">
              <w:rPr>
                <w:rFonts w:ascii="Calibri" w:hAnsi="Calibri"/>
                <w:bCs/>
              </w:rPr>
              <w:tab/>
            </w:r>
            <w:r w:rsidRPr="005D302B">
              <w:rPr>
                <w:rFonts w:ascii="Calibri" w:hAnsi="Calibri"/>
                <w:bCs/>
              </w:rPr>
              <w:t xml:space="preserve">Effective Date: </w:t>
            </w:r>
            <w:r>
              <w:rPr>
                <w:rFonts w:ascii="Calibri" w:hAnsi="Calibri"/>
                <w:bCs/>
              </w:rPr>
              <w:t>01/01/2025</w:t>
            </w:r>
          </w:sdtContent>
        </w:sdt>
      </w:sdtContent>
    </w:sdt>
    <w:r>
      <w:rPr>
        <w:rFonts w:ascii="Calibri" w:hAnsi="Calibri"/>
      </w:rPr>
      <w:tab/>
    </w:r>
    <w:r w:rsidRPr="005D302B">
      <w:rPr>
        <w:rFonts w:ascii="Calibri" w:hAnsi="Calibri"/>
      </w:rPr>
      <w:t>Version #:</w:t>
    </w:r>
    <w:r>
      <w:rPr>
        <w:rFonts w:ascii="Calibri" w:hAnsi="Calibri"/>
      </w:rPr>
      <w:t xml:space="preserve"> </w:t>
    </w:r>
    <w:r w:rsidRPr="00DD16DC">
      <w:rPr>
        <w:rFonts w:ascii="Calibri" w:hAnsi="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D850" w14:textId="77777777" w:rsidR="00F74A07" w:rsidRDefault="00F74A07" w:rsidP="00B438EE">
      <w:pPr>
        <w:spacing w:after="0" w:line="240" w:lineRule="auto"/>
      </w:pPr>
      <w:r>
        <w:separator/>
      </w:r>
    </w:p>
  </w:footnote>
  <w:footnote w:type="continuationSeparator" w:id="0">
    <w:p w14:paraId="7400481E" w14:textId="77777777" w:rsidR="00F74A07" w:rsidRDefault="00F74A07" w:rsidP="00B438EE">
      <w:pPr>
        <w:spacing w:after="0" w:line="240" w:lineRule="auto"/>
      </w:pPr>
      <w:r>
        <w:continuationSeparator/>
      </w:r>
    </w:p>
  </w:footnote>
  <w:footnote w:id="1">
    <w:p w14:paraId="5463A29D" w14:textId="77777777" w:rsidR="00B438EE" w:rsidRPr="00C5354F" w:rsidRDefault="00B438EE" w:rsidP="00B438EE">
      <w:pPr>
        <w:tabs>
          <w:tab w:val="left" w:pos="7830"/>
        </w:tabs>
        <w:rPr>
          <w:rFonts w:asciiTheme="majorHAnsi" w:eastAsiaTheme="minorEastAsia" w:hAnsiTheme="majorHAnsi" w:cs="Arial"/>
          <w:kern w:val="0"/>
          <w:lang w:val="en-US"/>
        </w:rPr>
      </w:pPr>
      <w:r w:rsidRPr="00C5354F">
        <w:rPr>
          <w:rStyle w:val="FootnoteReference"/>
          <w:rFonts w:asciiTheme="majorHAnsi" w:hAnsiTheme="majorHAnsi"/>
        </w:rPr>
        <w:footnoteRef/>
      </w:r>
      <w:r w:rsidRPr="00C5354F">
        <w:rPr>
          <w:rFonts w:asciiTheme="majorHAnsi" w:hAnsiTheme="majorHAnsi"/>
        </w:rPr>
        <w:t xml:space="preserve"> </w:t>
      </w:r>
      <w:r w:rsidRPr="00C5354F">
        <w:rPr>
          <w:rFonts w:asciiTheme="majorHAnsi" w:eastAsiaTheme="minorEastAsia" w:hAnsiTheme="majorHAnsi" w:cs="Arial"/>
          <w:kern w:val="0"/>
          <w:lang w:val="en-US"/>
        </w:rPr>
        <w:t xml:space="preserve">When two staff members are married to each other and each is entitled to the non-family service allowance, each shall be paid at the rate applicable to a staff member without a dependent. If there are one or more dependent children, the non-family service allowance shall be paid at the rate applicable to a staff member with a dependent to the staff member in respect of whom the child or children are recognized as </w:t>
      </w:r>
      <w:proofErr w:type="spellStart"/>
      <w:r w:rsidRPr="00C5354F">
        <w:rPr>
          <w:rFonts w:asciiTheme="majorHAnsi" w:eastAsiaTheme="minorEastAsia" w:hAnsiTheme="majorHAnsi" w:cs="Arial"/>
          <w:kern w:val="0"/>
          <w:lang w:val="en-US"/>
        </w:rPr>
        <w:t>dependants</w:t>
      </w:r>
      <w:proofErr w:type="spellEnd"/>
      <w:r w:rsidRPr="00C5354F">
        <w:rPr>
          <w:rFonts w:asciiTheme="majorHAnsi" w:eastAsiaTheme="minorEastAsia" w:hAnsiTheme="majorHAnsi" w:cs="Arial"/>
          <w:kern w:val="0"/>
          <w:lang w:val="en-US"/>
        </w:rPr>
        <w:t xml:space="preserve">. The same provision shall apply when one of the spouses is a staff member of another organization of the United Nations common system. </w:t>
      </w:r>
    </w:p>
    <w:p w14:paraId="0D6251B1" w14:textId="77777777" w:rsidR="00B438EE" w:rsidRDefault="00B438EE" w:rsidP="00B438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BDA2" w14:textId="77777777" w:rsidR="00000000" w:rsidRDefault="00000000" w:rsidP="000156BF">
    <w:pPr>
      <w:pStyle w:val="Header"/>
      <w:jc w:val="right"/>
    </w:pPr>
    <w:r>
      <w:rPr>
        <w:noProof/>
      </w:rPr>
      <w:drawing>
        <wp:inline distT="0" distB="0" distL="0" distR="0" wp14:anchorId="67564A46" wp14:editId="746C57E9">
          <wp:extent cx="345233" cy="660522"/>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51803" cy="673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47B"/>
    <w:multiLevelType w:val="hybridMultilevel"/>
    <w:tmpl w:val="08227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662AB"/>
    <w:multiLevelType w:val="hybridMultilevel"/>
    <w:tmpl w:val="658C2838"/>
    <w:lvl w:ilvl="0" w:tplc="E188A796">
      <w:start w:val="1"/>
      <w:numFmt w:val="decimal"/>
      <w:lvlText w:val="%1."/>
      <w:lvlJc w:val="left"/>
      <w:pPr>
        <w:ind w:left="360" w:hanging="360"/>
      </w:pPr>
      <w:rPr>
        <w:b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257788"/>
    <w:multiLevelType w:val="hybridMultilevel"/>
    <w:tmpl w:val="DE0E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076201">
    <w:abstractNumId w:val="1"/>
  </w:num>
  <w:num w:numId="2" w16cid:durableId="1504397723">
    <w:abstractNumId w:val="2"/>
  </w:num>
  <w:num w:numId="3" w16cid:durableId="31523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EE"/>
    <w:rsid w:val="000C0236"/>
    <w:rsid w:val="001577BB"/>
    <w:rsid w:val="00487C63"/>
    <w:rsid w:val="00A31C56"/>
    <w:rsid w:val="00A9366F"/>
    <w:rsid w:val="00B438EE"/>
    <w:rsid w:val="00E1356D"/>
    <w:rsid w:val="00E561C2"/>
    <w:rsid w:val="00F036CA"/>
    <w:rsid w:val="00F74A07"/>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8639"/>
  <w15:chartTrackingRefBased/>
  <w15:docId w15:val="{2CE4E4BD-2A1E-4BC2-9536-87575EC7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EE"/>
    <w:rPr>
      <w:rFonts w:eastAsiaTheme="majorEastAsia" w:cstheme="majorBidi"/>
      <w:color w:val="272727" w:themeColor="text1" w:themeTint="D8"/>
    </w:rPr>
  </w:style>
  <w:style w:type="paragraph" w:styleId="Title">
    <w:name w:val="Title"/>
    <w:basedOn w:val="Normal"/>
    <w:next w:val="Normal"/>
    <w:link w:val="TitleChar"/>
    <w:uiPriority w:val="10"/>
    <w:qFormat/>
    <w:rsid w:val="00B43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EE"/>
    <w:pPr>
      <w:spacing w:before="160"/>
      <w:jc w:val="center"/>
    </w:pPr>
    <w:rPr>
      <w:i/>
      <w:iCs/>
      <w:color w:val="404040" w:themeColor="text1" w:themeTint="BF"/>
    </w:rPr>
  </w:style>
  <w:style w:type="character" w:customStyle="1" w:styleId="QuoteChar">
    <w:name w:val="Quote Char"/>
    <w:basedOn w:val="DefaultParagraphFont"/>
    <w:link w:val="Quote"/>
    <w:uiPriority w:val="29"/>
    <w:rsid w:val="00B438EE"/>
    <w:rPr>
      <w:i/>
      <w:iCs/>
      <w:color w:val="404040" w:themeColor="text1" w:themeTint="BF"/>
    </w:rPr>
  </w:style>
  <w:style w:type="paragraph" w:styleId="ListParagraph">
    <w:name w:val="List Paragraph"/>
    <w:basedOn w:val="Normal"/>
    <w:uiPriority w:val="34"/>
    <w:qFormat/>
    <w:rsid w:val="00B438EE"/>
    <w:pPr>
      <w:ind w:left="720"/>
      <w:contextualSpacing/>
    </w:pPr>
  </w:style>
  <w:style w:type="character" w:styleId="IntenseEmphasis">
    <w:name w:val="Intense Emphasis"/>
    <w:basedOn w:val="DefaultParagraphFont"/>
    <w:uiPriority w:val="21"/>
    <w:qFormat/>
    <w:rsid w:val="00B438EE"/>
    <w:rPr>
      <w:i/>
      <w:iCs/>
      <w:color w:val="0F4761" w:themeColor="accent1" w:themeShade="BF"/>
    </w:rPr>
  </w:style>
  <w:style w:type="paragraph" w:styleId="IntenseQuote">
    <w:name w:val="Intense Quote"/>
    <w:basedOn w:val="Normal"/>
    <w:next w:val="Normal"/>
    <w:link w:val="IntenseQuoteChar"/>
    <w:uiPriority w:val="30"/>
    <w:qFormat/>
    <w:rsid w:val="00B43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8EE"/>
    <w:rPr>
      <w:i/>
      <w:iCs/>
      <w:color w:val="0F4761" w:themeColor="accent1" w:themeShade="BF"/>
    </w:rPr>
  </w:style>
  <w:style w:type="character" w:styleId="IntenseReference">
    <w:name w:val="Intense Reference"/>
    <w:basedOn w:val="DefaultParagraphFont"/>
    <w:uiPriority w:val="32"/>
    <w:qFormat/>
    <w:rsid w:val="00B438EE"/>
    <w:rPr>
      <w:b/>
      <w:bCs/>
      <w:smallCaps/>
      <w:color w:val="0F4761" w:themeColor="accent1" w:themeShade="BF"/>
      <w:spacing w:val="5"/>
    </w:rPr>
  </w:style>
  <w:style w:type="paragraph" w:styleId="FootnoteText">
    <w:name w:val="footnote text"/>
    <w:basedOn w:val="Normal"/>
    <w:link w:val="FootnoteTextChar"/>
    <w:uiPriority w:val="99"/>
    <w:semiHidden/>
    <w:unhideWhenUsed/>
    <w:rsid w:val="00B43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8EE"/>
    <w:rPr>
      <w:sz w:val="20"/>
      <w:szCs w:val="20"/>
    </w:rPr>
  </w:style>
  <w:style w:type="paragraph" w:styleId="Footer">
    <w:name w:val="footer"/>
    <w:basedOn w:val="Normal"/>
    <w:link w:val="FooterChar"/>
    <w:uiPriority w:val="99"/>
    <w:semiHidden/>
    <w:unhideWhenUsed/>
    <w:rsid w:val="00B438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38EE"/>
  </w:style>
  <w:style w:type="paragraph" w:styleId="Header">
    <w:name w:val="header"/>
    <w:basedOn w:val="Normal"/>
    <w:link w:val="HeaderChar"/>
    <w:uiPriority w:val="99"/>
    <w:semiHidden/>
    <w:unhideWhenUsed/>
    <w:rsid w:val="00B438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38EE"/>
  </w:style>
  <w:style w:type="table" w:styleId="TableGrid">
    <w:name w:val="Table Grid"/>
    <w:basedOn w:val="TableNormal"/>
    <w:uiPriority w:val="59"/>
    <w:rsid w:val="00B438EE"/>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438EE"/>
    <w:rPr>
      <w:vertAlign w:val="superscript"/>
    </w:rPr>
  </w:style>
  <w:style w:type="character" w:styleId="PageNumber">
    <w:name w:val="page number"/>
    <w:basedOn w:val="DefaultParagraphFont"/>
    <w:uiPriority w:val="99"/>
    <w:semiHidden/>
    <w:unhideWhenUsed/>
    <w:rsid w:val="00B438EE"/>
  </w:style>
  <w:style w:type="character" w:styleId="Hyperlink">
    <w:name w:val="Hyperlink"/>
    <w:basedOn w:val="DefaultParagraphFont"/>
    <w:uiPriority w:val="99"/>
    <w:unhideWhenUsed/>
    <w:rsid w:val="00B438EE"/>
    <w:rPr>
      <w:color w:val="467886" w:themeColor="hyperlink"/>
      <w:u w:val="single"/>
    </w:rPr>
  </w:style>
  <w:style w:type="character" w:styleId="UnresolvedMention">
    <w:name w:val="Unresolved Mention"/>
    <w:basedOn w:val="DefaultParagraphFont"/>
    <w:uiPriority w:val="99"/>
    <w:semiHidden/>
    <w:unhideWhenUsed/>
    <w:rsid w:val="00B4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n.org/browse-by-source/staff-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2025-01-17T17:52:00Z</dcterms:created>
  <dcterms:modified xsi:type="dcterms:W3CDTF">2025-01-17T17:54:00Z</dcterms:modified>
</cp:coreProperties>
</file>