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CC402" w14:textId="77777777" w:rsidR="000534B4" w:rsidRPr="000534B4" w:rsidRDefault="000534B4" w:rsidP="000534B4">
      <w:pPr>
        <w:spacing w:after="0" w:line="259" w:lineRule="auto"/>
        <w:rPr>
          <w:rFonts w:ascii="Calibri" w:eastAsia="Calibri" w:hAnsi="Calibri" w:cs="Calibri"/>
          <w:color w:val="000000"/>
          <w:kern w:val="0"/>
          <w:sz w:val="22"/>
          <w:szCs w:val="22"/>
          <w:lang w:val="en-GB" w:eastAsia="en-GB"/>
          <w14:ligatures w14:val="none"/>
        </w:rPr>
      </w:pPr>
      <w:r w:rsidRPr="000534B4">
        <w:rPr>
          <w:rFonts w:ascii="Calibri" w:eastAsia="Calibri" w:hAnsi="Calibri" w:cs="Calibri"/>
          <w:b/>
          <w:color w:val="000000"/>
          <w:kern w:val="0"/>
          <w:sz w:val="28"/>
          <w:szCs w:val="22"/>
          <w:lang w:val="en-GB" w:eastAsia="en-GB"/>
          <w14:ligatures w14:val="none"/>
        </w:rPr>
        <w:t xml:space="preserve">Salary Surveys </w:t>
      </w:r>
    </w:p>
    <w:p w14:paraId="02384597" w14:textId="77777777" w:rsidR="000534B4" w:rsidRPr="000534B4" w:rsidRDefault="000534B4" w:rsidP="000534B4">
      <w:pPr>
        <w:spacing w:after="12" w:line="259" w:lineRule="auto"/>
        <w:rPr>
          <w:rFonts w:ascii="Calibri" w:eastAsia="Calibri" w:hAnsi="Calibri" w:cs="Calibri"/>
          <w:color w:val="000000"/>
          <w:kern w:val="0"/>
          <w:sz w:val="22"/>
          <w:szCs w:val="22"/>
          <w:lang w:val="en-GB" w:eastAsia="en-GB"/>
          <w14:ligatures w14:val="none"/>
        </w:rPr>
      </w:pPr>
      <w:r w:rsidRPr="000534B4">
        <w:rPr>
          <w:rFonts w:ascii="Calibri" w:eastAsia="Calibri" w:hAnsi="Calibri" w:cs="Calibri"/>
          <w:b/>
          <w:color w:val="000000"/>
          <w:kern w:val="0"/>
          <w:sz w:val="22"/>
          <w:szCs w:val="22"/>
          <w:lang w:val="en-GB" w:eastAsia="en-GB"/>
          <w14:ligatures w14:val="none"/>
        </w:rPr>
        <w:t xml:space="preserve"> </w:t>
      </w:r>
    </w:p>
    <w:p w14:paraId="43D2628F" w14:textId="77777777" w:rsidR="000534B4" w:rsidRPr="000534B4" w:rsidRDefault="000534B4" w:rsidP="000534B4">
      <w:pPr>
        <w:spacing w:after="0" w:line="239" w:lineRule="auto"/>
        <w:ind w:left="715" w:right="-12" w:hanging="370"/>
        <w:jc w:val="both"/>
        <w:rPr>
          <w:rFonts w:ascii="Calibri" w:eastAsia="Calibri" w:hAnsi="Calibri" w:cs="Calibri"/>
          <w:color w:val="000000"/>
          <w:kern w:val="0"/>
          <w:sz w:val="22"/>
          <w:szCs w:val="22"/>
          <w:lang w:val="en-GB" w:eastAsia="en-GB"/>
          <w14:ligatures w14:val="none"/>
        </w:rPr>
      </w:pPr>
      <w:r w:rsidRPr="000534B4">
        <w:rPr>
          <w:rFonts w:ascii="Calibri" w:eastAsia="Calibri" w:hAnsi="Calibri" w:cs="Calibri"/>
          <w:color w:val="000000"/>
          <w:kern w:val="0"/>
          <w:sz w:val="22"/>
          <w:szCs w:val="22"/>
          <w:lang w:val="en-GB" w:eastAsia="en-GB"/>
          <w14:ligatures w14:val="none"/>
        </w:rPr>
        <w:t>1.</w:t>
      </w:r>
      <w:r w:rsidRPr="000534B4">
        <w:rPr>
          <w:rFonts w:ascii="Arial" w:eastAsia="Arial" w:hAnsi="Arial" w:cs="Arial"/>
          <w:color w:val="000000"/>
          <w:kern w:val="0"/>
          <w:sz w:val="22"/>
          <w:szCs w:val="22"/>
          <w:lang w:val="en-GB" w:eastAsia="en-GB"/>
          <w14:ligatures w14:val="none"/>
        </w:rPr>
        <w:t xml:space="preserve"> </w:t>
      </w:r>
      <w:r w:rsidRPr="000534B4">
        <w:rPr>
          <w:rFonts w:ascii="Calibri" w:eastAsia="Calibri" w:hAnsi="Calibri" w:cs="Calibri"/>
          <w:color w:val="000000"/>
          <w:kern w:val="0"/>
          <w:sz w:val="22"/>
          <w:szCs w:val="22"/>
          <w:lang w:val="en-GB" w:eastAsia="en-GB"/>
          <w14:ligatures w14:val="none"/>
        </w:rPr>
        <w:t xml:space="preserve"> This section describes the different features in the setting of the salary scales between staff members in the Professional and higher categories and staff members in the General Service category under Permanent, Continuing or Fixed-Term appointments governed by the UN Staff Regulations and Staff Rules.  </w:t>
      </w:r>
    </w:p>
    <w:p w14:paraId="791BE456" w14:textId="77777777" w:rsidR="000534B4" w:rsidRPr="000534B4" w:rsidRDefault="000534B4" w:rsidP="000534B4">
      <w:pPr>
        <w:spacing w:after="0" w:line="259" w:lineRule="auto"/>
        <w:rPr>
          <w:rFonts w:ascii="Calibri" w:eastAsia="Calibri" w:hAnsi="Calibri" w:cs="Calibri"/>
          <w:color w:val="000000"/>
          <w:kern w:val="0"/>
          <w:sz w:val="22"/>
          <w:szCs w:val="22"/>
          <w:lang w:val="en-GB" w:eastAsia="en-GB"/>
          <w14:ligatures w14:val="none"/>
        </w:rPr>
      </w:pPr>
      <w:r w:rsidRPr="000534B4">
        <w:rPr>
          <w:rFonts w:ascii="Calibri" w:eastAsia="Calibri" w:hAnsi="Calibri" w:cs="Calibri"/>
          <w:b/>
          <w:color w:val="000000"/>
          <w:kern w:val="0"/>
          <w:sz w:val="22"/>
          <w:szCs w:val="22"/>
          <w:lang w:val="en-GB" w:eastAsia="en-GB"/>
          <w14:ligatures w14:val="none"/>
        </w:rPr>
        <w:t xml:space="preserve"> </w:t>
      </w:r>
    </w:p>
    <w:p w14:paraId="3E13A6A9" w14:textId="77777777" w:rsidR="000534B4" w:rsidRPr="000534B4" w:rsidRDefault="000534B4" w:rsidP="000534B4">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0534B4">
        <w:rPr>
          <w:rFonts w:ascii="Calibri" w:eastAsia="Calibri" w:hAnsi="Calibri" w:cs="Calibri"/>
          <w:b/>
          <w:color w:val="000000"/>
          <w:kern w:val="0"/>
          <w:sz w:val="22"/>
          <w:szCs w:val="22"/>
          <w:lang w:val="en-GB" w:eastAsia="en-GB"/>
          <w14:ligatures w14:val="none"/>
        </w:rPr>
        <w:t xml:space="preserve">Professional and Higher Levels  </w:t>
      </w:r>
    </w:p>
    <w:p w14:paraId="12ED7F22" w14:textId="77777777" w:rsidR="000534B4" w:rsidRPr="000534B4" w:rsidRDefault="000534B4" w:rsidP="000534B4">
      <w:pPr>
        <w:spacing w:after="12" w:line="259" w:lineRule="auto"/>
        <w:rPr>
          <w:rFonts w:ascii="Calibri" w:eastAsia="Calibri" w:hAnsi="Calibri" w:cs="Calibri"/>
          <w:color w:val="000000"/>
          <w:kern w:val="0"/>
          <w:sz w:val="22"/>
          <w:szCs w:val="22"/>
          <w:lang w:val="en-GB" w:eastAsia="en-GB"/>
          <w14:ligatures w14:val="none"/>
        </w:rPr>
      </w:pPr>
      <w:r w:rsidRPr="000534B4">
        <w:rPr>
          <w:rFonts w:ascii="Calibri" w:eastAsia="Calibri" w:hAnsi="Calibri" w:cs="Calibri"/>
          <w:color w:val="000000"/>
          <w:kern w:val="0"/>
          <w:sz w:val="22"/>
          <w:szCs w:val="22"/>
          <w:lang w:val="en-GB" w:eastAsia="en-GB"/>
          <w14:ligatures w14:val="none"/>
        </w:rPr>
        <w:t xml:space="preserve"> </w:t>
      </w:r>
    </w:p>
    <w:p w14:paraId="3C32F7BF" w14:textId="77777777" w:rsidR="000534B4" w:rsidRPr="000534B4" w:rsidRDefault="000534B4" w:rsidP="000534B4">
      <w:pPr>
        <w:spacing w:after="0" w:line="239" w:lineRule="auto"/>
        <w:ind w:left="715" w:right="-12" w:hanging="370"/>
        <w:jc w:val="both"/>
        <w:rPr>
          <w:rFonts w:ascii="Calibri" w:eastAsia="Calibri" w:hAnsi="Calibri" w:cs="Calibri"/>
          <w:color w:val="000000"/>
          <w:kern w:val="0"/>
          <w:sz w:val="22"/>
          <w:szCs w:val="22"/>
          <w:lang w:val="en-GB" w:eastAsia="en-GB"/>
          <w14:ligatures w14:val="none"/>
        </w:rPr>
      </w:pPr>
      <w:r w:rsidRPr="000534B4">
        <w:rPr>
          <w:rFonts w:ascii="Calibri" w:eastAsia="Calibri" w:hAnsi="Calibri" w:cs="Calibri"/>
          <w:color w:val="000000"/>
          <w:kern w:val="0"/>
          <w:sz w:val="22"/>
          <w:szCs w:val="22"/>
          <w:lang w:val="en-GB" w:eastAsia="en-GB"/>
          <w14:ligatures w14:val="none"/>
        </w:rPr>
        <w:t>2.</w:t>
      </w:r>
      <w:r w:rsidRPr="000534B4">
        <w:rPr>
          <w:rFonts w:ascii="Arial" w:eastAsia="Arial" w:hAnsi="Arial" w:cs="Arial"/>
          <w:color w:val="000000"/>
          <w:kern w:val="0"/>
          <w:sz w:val="22"/>
          <w:szCs w:val="22"/>
          <w:lang w:val="en-GB" w:eastAsia="en-GB"/>
          <w14:ligatures w14:val="none"/>
        </w:rPr>
        <w:t xml:space="preserve"> </w:t>
      </w:r>
      <w:r w:rsidRPr="000534B4">
        <w:rPr>
          <w:rFonts w:ascii="Calibri" w:eastAsia="Calibri" w:hAnsi="Calibri" w:cs="Calibri"/>
          <w:color w:val="000000"/>
          <w:kern w:val="0"/>
          <w:sz w:val="22"/>
          <w:szCs w:val="22"/>
          <w:lang w:val="en-GB" w:eastAsia="en-GB"/>
          <w14:ligatures w14:val="none"/>
        </w:rPr>
        <w:t xml:space="preserve">The level of salaries for Professional staff is determined on the basis of the Noblemaire Principle, which states that the international civil service should be able to recruit staff from its member states, including the highest-paid ones. Therefore, the salaries of Professional staff are set by reference to the highest-paying national civil service. </w:t>
      </w:r>
    </w:p>
    <w:p w14:paraId="0A571D4D" w14:textId="77777777" w:rsidR="000534B4" w:rsidRPr="000534B4" w:rsidRDefault="000534B4" w:rsidP="000534B4">
      <w:pPr>
        <w:spacing w:after="0" w:line="259" w:lineRule="auto"/>
        <w:rPr>
          <w:rFonts w:ascii="Calibri" w:eastAsia="Calibri" w:hAnsi="Calibri" w:cs="Calibri"/>
          <w:color w:val="000000"/>
          <w:kern w:val="0"/>
          <w:sz w:val="22"/>
          <w:szCs w:val="22"/>
          <w:lang w:val="en-GB" w:eastAsia="en-GB"/>
          <w14:ligatures w14:val="none"/>
        </w:rPr>
      </w:pPr>
      <w:r w:rsidRPr="000534B4">
        <w:rPr>
          <w:rFonts w:ascii="Calibri" w:eastAsia="Calibri" w:hAnsi="Calibri" w:cs="Calibri"/>
          <w:b/>
          <w:color w:val="000000"/>
          <w:kern w:val="0"/>
          <w:sz w:val="22"/>
          <w:szCs w:val="22"/>
          <w:lang w:val="en-GB" w:eastAsia="en-GB"/>
          <w14:ligatures w14:val="none"/>
        </w:rPr>
        <w:t xml:space="preserve"> </w:t>
      </w:r>
    </w:p>
    <w:p w14:paraId="4B0BCE51" w14:textId="77777777" w:rsidR="000534B4" w:rsidRPr="000534B4" w:rsidRDefault="000534B4" w:rsidP="000534B4">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0534B4">
        <w:rPr>
          <w:rFonts w:ascii="Calibri" w:eastAsia="Calibri" w:hAnsi="Calibri" w:cs="Calibri"/>
          <w:b/>
          <w:color w:val="000000"/>
          <w:kern w:val="0"/>
          <w:sz w:val="22"/>
          <w:szCs w:val="22"/>
          <w:lang w:val="en-GB" w:eastAsia="en-GB"/>
          <w14:ligatures w14:val="none"/>
        </w:rPr>
        <w:t xml:space="preserve">The General Service and Related Categories  </w:t>
      </w:r>
    </w:p>
    <w:p w14:paraId="1EF6CDDF" w14:textId="77777777" w:rsidR="000534B4" w:rsidRPr="000534B4" w:rsidRDefault="000534B4" w:rsidP="000534B4">
      <w:pPr>
        <w:spacing w:after="12" w:line="259" w:lineRule="auto"/>
        <w:ind w:left="720"/>
        <w:rPr>
          <w:rFonts w:ascii="Calibri" w:eastAsia="Calibri" w:hAnsi="Calibri" w:cs="Calibri"/>
          <w:color w:val="000000"/>
          <w:kern w:val="0"/>
          <w:sz w:val="22"/>
          <w:szCs w:val="22"/>
          <w:lang w:val="en-GB" w:eastAsia="en-GB"/>
          <w14:ligatures w14:val="none"/>
        </w:rPr>
      </w:pPr>
      <w:r w:rsidRPr="000534B4">
        <w:rPr>
          <w:rFonts w:ascii="Calibri" w:eastAsia="Calibri" w:hAnsi="Calibri" w:cs="Calibri"/>
          <w:color w:val="000000"/>
          <w:kern w:val="0"/>
          <w:sz w:val="22"/>
          <w:szCs w:val="22"/>
          <w:lang w:val="en-GB" w:eastAsia="en-GB"/>
          <w14:ligatures w14:val="none"/>
        </w:rPr>
        <w:t xml:space="preserve"> </w:t>
      </w:r>
    </w:p>
    <w:p w14:paraId="7D44B2AF" w14:textId="77777777" w:rsidR="000534B4" w:rsidRPr="000534B4" w:rsidRDefault="000534B4" w:rsidP="000534B4">
      <w:pPr>
        <w:numPr>
          <w:ilvl w:val="0"/>
          <w:numId w:val="1"/>
        </w:numPr>
        <w:spacing w:after="0" w:line="239" w:lineRule="auto"/>
        <w:ind w:right="-12" w:hanging="360"/>
        <w:jc w:val="both"/>
        <w:rPr>
          <w:rFonts w:ascii="Calibri" w:eastAsia="Calibri" w:hAnsi="Calibri" w:cs="Calibri"/>
          <w:color w:val="000000"/>
          <w:kern w:val="0"/>
          <w:sz w:val="22"/>
          <w:szCs w:val="22"/>
          <w:lang w:val="en-GB" w:eastAsia="en-GB"/>
          <w14:ligatures w14:val="none"/>
        </w:rPr>
      </w:pPr>
      <w:r w:rsidRPr="000534B4">
        <w:rPr>
          <w:rFonts w:ascii="Calibri" w:eastAsia="Calibri" w:hAnsi="Calibri" w:cs="Calibri"/>
          <w:color w:val="000000"/>
          <w:kern w:val="0"/>
          <w:sz w:val="22"/>
          <w:szCs w:val="22"/>
          <w:lang w:val="en-GB" w:eastAsia="en-GB"/>
          <w14:ligatures w14:val="none"/>
        </w:rPr>
        <w:t xml:space="preserve">Staff in these categories are paid on a local basis. The level of salaries is established in accordance with the Flemming Principle, which provides that the conditions of service for locally recruited staff should reflect the best prevailing conditions found locally for similar work, with the aim of ensuring that the United Nations remains a competitive employer able to attract and retain high-calibre staff. In practice, this means that the salaries and conditions of service of locally recruited staff are established by reference to those of the presumed best employers in the locality, identified by means of a survey.  </w:t>
      </w:r>
    </w:p>
    <w:p w14:paraId="4F87D923" w14:textId="77777777" w:rsidR="000534B4" w:rsidRPr="000534B4" w:rsidRDefault="000534B4" w:rsidP="000534B4">
      <w:pPr>
        <w:spacing w:after="12" w:line="259" w:lineRule="auto"/>
        <w:ind w:left="720"/>
        <w:rPr>
          <w:rFonts w:ascii="Calibri" w:eastAsia="Calibri" w:hAnsi="Calibri" w:cs="Calibri"/>
          <w:color w:val="000000"/>
          <w:kern w:val="0"/>
          <w:sz w:val="22"/>
          <w:szCs w:val="22"/>
          <w:lang w:val="en-GB" w:eastAsia="en-GB"/>
          <w14:ligatures w14:val="none"/>
        </w:rPr>
      </w:pPr>
      <w:r w:rsidRPr="000534B4">
        <w:rPr>
          <w:rFonts w:ascii="Calibri" w:eastAsia="Calibri" w:hAnsi="Calibri" w:cs="Calibri"/>
          <w:color w:val="000000"/>
          <w:kern w:val="0"/>
          <w:sz w:val="22"/>
          <w:szCs w:val="22"/>
          <w:lang w:val="en-GB" w:eastAsia="en-GB"/>
          <w14:ligatures w14:val="none"/>
        </w:rPr>
        <w:t xml:space="preserve"> </w:t>
      </w:r>
    </w:p>
    <w:p w14:paraId="29A1ED68" w14:textId="77777777" w:rsidR="000534B4" w:rsidRPr="000534B4" w:rsidRDefault="000534B4" w:rsidP="000534B4">
      <w:pPr>
        <w:numPr>
          <w:ilvl w:val="0"/>
          <w:numId w:val="1"/>
        </w:numPr>
        <w:spacing w:after="0" w:line="239" w:lineRule="auto"/>
        <w:ind w:right="-12" w:hanging="360"/>
        <w:jc w:val="both"/>
        <w:rPr>
          <w:rFonts w:ascii="Calibri" w:eastAsia="Calibri" w:hAnsi="Calibri" w:cs="Calibri"/>
          <w:color w:val="000000"/>
          <w:kern w:val="0"/>
          <w:sz w:val="22"/>
          <w:szCs w:val="22"/>
          <w:lang w:val="en-GB" w:eastAsia="en-GB"/>
          <w14:ligatures w14:val="none"/>
        </w:rPr>
      </w:pPr>
      <w:r w:rsidRPr="000534B4">
        <w:rPr>
          <w:rFonts w:ascii="Calibri" w:eastAsia="Calibri" w:hAnsi="Calibri" w:cs="Calibri"/>
          <w:color w:val="000000"/>
          <w:kern w:val="0"/>
          <w:sz w:val="22"/>
          <w:szCs w:val="22"/>
          <w:lang w:val="en-GB" w:eastAsia="en-GB"/>
          <w14:ligatures w14:val="none"/>
        </w:rPr>
        <w:t>Consequently, the local salaries are established on the basis of salary surveys that facilitate the identification of the best prevailing conditions. The local salary surveys (non-headquarters duty stations) are conducted in accordance with a salary survey methodology approved by the International Civil Service Commission (</w:t>
      </w:r>
      <w:hyperlink r:id="rId7">
        <w:r w:rsidRPr="000534B4">
          <w:rPr>
            <w:rFonts w:ascii="Calibri" w:eastAsia="Calibri" w:hAnsi="Calibri" w:cs="Calibri"/>
            <w:color w:val="0000FF"/>
            <w:kern w:val="0"/>
            <w:sz w:val="22"/>
            <w:szCs w:val="22"/>
            <w:u w:val="single" w:color="0000FF"/>
            <w:lang w:val="en-GB" w:eastAsia="en-GB"/>
            <w14:ligatures w14:val="none"/>
          </w:rPr>
          <w:t>ICSC</w:t>
        </w:r>
      </w:hyperlink>
      <w:hyperlink r:id="rId8">
        <w:r w:rsidRPr="000534B4">
          <w:rPr>
            <w:rFonts w:ascii="Calibri" w:eastAsia="Calibri" w:hAnsi="Calibri" w:cs="Calibri"/>
            <w:color w:val="0000FF"/>
            <w:kern w:val="0"/>
            <w:sz w:val="22"/>
            <w:szCs w:val="22"/>
            <w:u w:val="single" w:color="0000FF"/>
            <w:lang w:val="en-GB" w:eastAsia="en-GB"/>
            <w14:ligatures w14:val="none"/>
          </w:rPr>
          <w:t>)</w:t>
        </w:r>
      </w:hyperlink>
      <w:r w:rsidRPr="000534B4">
        <w:rPr>
          <w:rFonts w:ascii="Calibri" w:eastAsia="Calibri" w:hAnsi="Calibri" w:cs="Calibri"/>
          <w:color w:val="000000"/>
          <w:kern w:val="0"/>
          <w:sz w:val="22"/>
          <w:szCs w:val="22"/>
          <w:lang w:val="en-GB" w:eastAsia="en-GB"/>
          <w14:ligatures w14:val="none"/>
        </w:rPr>
        <w:t xml:space="preserve">.  </w:t>
      </w:r>
    </w:p>
    <w:p w14:paraId="441D7284" w14:textId="77777777" w:rsidR="000534B4" w:rsidRPr="000534B4" w:rsidRDefault="000534B4" w:rsidP="000534B4">
      <w:pPr>
        <w:spacing w:after="0" w:line="259" w:lineRule="auto"/>
        <w:rPr>
          <w:rFonts w:ascii="Calibri" w:eastAsia="Calibri" w:hAnsi="Calibri" w:cs="Calibri"/>
          <w:color w:val="000000"/>
          <w:kern w:val="0"/>
          <w:sz w:val="22"/>
          <w:szCs w:val="22"/>
          <w:lang w:val="en-GB" w:eastAsia="en-GB"/>
          <w14:ligatures w14:val="none"/>
        </w:rPr>
      </w:pPr>
      <w:r w:rsidRPr="000534B4">
        <w:rPr>
          <w:rFonts w:ascii="Calibri" w:eastAsia="Calibri" w:hAnsi="Calibri" w:cs="Calibri"/>
          <w:b/>
          <w:color w:val="000000"/>
          <w:kern w:val="0"/>
          <w:sz w:val="22"/>
          <w:szCs w:val="22"/>
          <w:lang w:val="en-GB" w:eastAsia="en-GB"/>
          <w14:ligatures w14:val="none"/>
        </w:rPr>
        <w:t xml:space="preserve"> </w:t>
      </w:r>
    </w:p>
    <w:p w14:paraId="38BF1396" w14:textId="77777777" w:rsidR="000534B4" w:rsidRPr="000534B4" w:rsidRDefault="000534B4" w:rsidP="000534B4">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0534B4">
        <w:rPr>
          <w:rFonts w:ascii="Calibri" w:eastAsia="Calibri" w:hAnsi="Calibri" w:cs="Calibri"/>
          <w:b/>
          <w:color w:val="000000"/>
          <w:kern w:val="0"/>
          <w:sz w:val="22"/>
          <w:szCs w:val="22"/>
          <w:lang w:val="en-GB" w:eastAsia="en-GB"/>
          <w14:ligatures w14:val="none"/>
        </w:rPr>
        <w:t xml:space="preserve">Professional and Higher Levels  </w:t>
      </w:r>
    </w:p>
    <w:p w14:paraId="155F2EF9" w14:textId="77777777" w:rsidR="000534B4" w:rsidRPr="000534B4" w:rsidRDefault="000534B4" w:rsidP="000534B4">
      <w:pPr>
        <w:spacing w:after="12" w:line="259" w:lineRule="auto"/>
        <w:rPr>
          <w:rFonts w:ascii="Calibri" w:eastAsia="Calibri" w:hAnsi="Calibri" w:cs="Calibri"/>
          <w:color w:val="000000"/>
          <w:kern w:val="0"/>
          <w:sz w:val="22"/>
          <w:szCs w:val="22"/>
          <w:lang w:val="en-GB" w:eastAsia="en-GB"/>
          <w14:ligatures w14:val="none"/>
        </w:rPr>
      </w:pPr>
      <w:r w:rsidRPr="000534B4">
        <w:rPr>
          <w:rFonts w:ascii="Calibri" w:eastAsia="Calibri" w:hAnsi="Calibri" w:cs="Calibri"/>
          <w:color w:val="000000"/>
          <w:kern w:val="0"/>
          <w:sz w:val="22"/>
          <w:szCs w:val="22"/>
          <w:lang w:val="en-GB" w:eastAsia="en-GB"/>
          <w14:ligatures w14:val="none"/>
        </w:rPr>
        <w:t xml:space="preserve"> </w:t>
      </w:r>
    </w:p>
    <w:p w14:paraId="7F99B2E3" w14:textId="77777777" w:rsidR="000534B4" w:rsidRPr="000534B4" w:rsidRDefault="000534B4" w:rsidP="000534B4">
      <w:pPr>
        <w:spacing w:after="0" w:line="239" w:lineRule="auto"/>
        <w:ind w:left="715" w:right="-12" w:hanging="370"/>
        <w:jc w:val="both"/>
        <w:rPr>
          <w:rFonts w:ascii="Calibri" w:eastAsia="Calibri" w:hAnsi="Calibri" w:cs="Calibri"/>
          <w:color w:val="000000"/>
          <w:kern w:val="0"/>
          <w:sz w:val="22"/>
          <w:szCs w:val="22"/>
          <w:lang w:val="en-GB" w:eastAsia="en-GB"/>
          <w14:ligatures w14:val="none"/>
        </w:rPr>
      </w:pPr>
      <w:r w:rsidRPr="000534B4">
        <w:rPr>
          <w:rFonts w:ascii="Calibri" w:eastAsia="Calibri" w:hAnsi="Calibri" w:cs="Calibri"/>
          <w:color w:val="000000"/>
          <w:kern w:val="0"/>
          <w:sz w:val="22"/>
          <w:szCs w:val="22"/>
          <w:lang w:val="en-GB" w:eastAsia="en-GB"/>
          <w14:ligatures w14:val="none"/>
        </w:rPr>
        <w:t>5.</w:t>
      </w:r>
      <w:r w:rsidRPr="000534B4">
        <w:rPr>
          <w:rFonts w:ascii="Arial" w:eastAsia="Arial" w:hAnsi="Arial" w:cs="Arial"/>
          <w:color w:val="000000"/>
          <w:kern w:val="0"/>
          <w:sz w:val="22"/>
          <w:szCs w:val="22"/>
          <w:lang w:val="en-GB" w:eastAsia="en-GB"/>
          <w14:ligatures w14:val="none"/>
        </w:rPr>
        <w:t xml:space="preserve"> </w:t>
      </w:r>
      <w:r w:rsidRPr="000534B4">
        <w:rPr>
          <w:rFonts w:ascii="Calibri" w:eastAsia="Calibri" w:hAnsi="Calibri" w:cs="Calibri"/>
          <w:color w:val="000000"/>
          <w:kern w:val="0"/>
          <w:sz w:val="22"/>
          <w:szCs w:val="22"/>
          <w:lang w:val="en-GB" w:eastAsia="en-GB"/>
          <w14:ligatures w14:val="none"/>
        </w:rPr>
        <w:t xml:space="preserve">The </w:t>
      </w:r>
      <w:hyperlink r:id="rId9">
        <w:r w:rsidRPr="000534B4">
          <w:rPr>
            <w:rFonts w:ascii="Calibri" w:eastAsia="Calibri" w:hAnsi="Calibri" w:cs="Calibri"/>
            <w:color w:val="0000FF"/>
            <w:kern w:val="0"/>
            <w:sz w:val="22"/>
            <w:szCs w:val="22"/>
            <w:u w:val="single" w:color="0000FF"/>
            <w:lang w:val="en-GB" w:eastAsia="en-GB"/>
            <w14:ligatures w14:val="none"/>
          </w:rPr>
          <w:t>ICSC</w:t>
        </w:r>
      </w:hyperlink>
      <w:hyperlink r:id="rId10">
        <w:r w:rsidRPr="000534B4">
          <w:rPr>
            <w:rFonts w:ascii="Calibri" w:eastAsia="Calibri" w:hAnsi="Calibri" w:cs="Calibri"/>
            <w:color w:val="000000"/>
            <w:kern w:val="0"/>
            <w:sz w:val="22"/>
            <w:szCs w:val="22"/>
            <w:lang w:val="en-GB" w:eastAsia="en-GB"/>
            <w14:ligatures w14:val="none"/>
          </w:rPr>
          <w:t xml:space="preserve"> </w:t>
        </w:r>
      </w:hyperlink>
      <w:r w:rsidRPr="000534B4">
        <w:rPr>
          <w:rFonts w:ascii="Calibri" w:eastAsia="Calibri" w:hAnsi="Calibri" w:cs="Calibri"/>
          <w:color w:val="000000"/>
          <w:kern w:val="0"/>
          <w:sz w:val="22"/>
          <w:szCs w:val="22"/>
          <w:lang w:val="en-GB" w:eastAsia="en-GB"/>
          <w14:ligatures w14:val="none"/>
        </w:rPr>
        <w:t xml:space="preserve">makes a periodic check to identify the national civil service of the Member State that has the highest pay levels and that, by its size and structure, lends itself to a significant comparison. The federal civil service of the United States of America has to date been taken as the highest paid national civil service.  </w:t>
      </w:r>
    </w:p>
    <w:p w14:paraId="4670A3A7" w14:textId="77777777" w:rsidR="000534B4" w:rsidRPr="000534B4" w:rsidRDefault="000534B4" w:rsidP="000534B4">
      <w:pPr>
        <w:spacing w:after="0" w:line="259" w:lineRule="auto"/>
        <w:rPr>
          <w:rFonts w:ascii="Calibri" w:eastAsia="Calibri" w:hAnsi="Calibri" w:cs="Calibri"/>
          <w:color w:val="000000"/>
          <w:kern w:val="0"/>
          <w:sz w:val="22"/>
          <w:szCs w:val="22"/>
          <w:lang w:val="en-GB" w:eastAsia="en-GB"/>
          <w14:ligatures w14:val="none"/>
        </w:rPr>
      </w:pPr>
      <w:r w:rsidRPr="000534B4">
        <w:rPr>
          <w:rFonts w:ascii="Calibri" w:eastAsia="Calibri" w:hAnsi="Calibri" w:cs="Calibri"/>
          <w:b/>
          <w:color w:val="000000"/>
          <w:kern w:val="0"/>
          <w:sz w:val="22"/>
          <w:szCs w:val="22"/>
          <w:lang w:val="en-GB" w:eastAsia="en-GB"/>
          <w14:ligatures w14:val="none"/>
        </w:rPr>
        <w:t xml:space="preserve"> </w:t>
      </w:r>
    </w:p>
    <w:p w14:paraId="6A431ACD" w14:textId="77777777" w:rsidR="000534B4" w:rsidRPr="000534B4" w:rsidRDefault="000534B4" w:rsidP="000534B4">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0534B4">
        <w:rPr>
          <w:rFonts w:ascii="Calibri" w:eastAsia="Calibri" w:hAnsi="Calibri" w:cs="Calibri"/>
          <w:b/>
          <w:color w:val="000000"/>
          <w:kern w:val="0"/>
          <w:sz w:val="22"/>
          <w:szCs w:val="22"/>
          <w:lang w:val="en-GB" w:eastAsia="en-GB"/>
          <w14:ligatures w14:val="none"/>
        </w:rPr>
        <w:t xml:space="preserve">The General Service and Related Categories  </w:t>
      </w:r>
    </w:p>
    <w:p w14:paraId="2B682236" w14:textId="77777777" w:rsidR="000534B4" w:rsidRPr="000534B4" w:rsidRDefault="000534B4" w:rsidP="000534B4">
      <w:pPr>
        <w:spacing w:after="12" w:line="259" w:lineRule="auto"/>
        <w:rPr>
          <w:rFonts w:ascii="Calibri" w:eastAsia="Calibri" w:hAnsi="Calibri" w:cs="Calibri"/>
          <w:color w:val="000000"/>
          <w:kern w:val="0"/>
          <w:sz w:val="22"/>
          <w:szCs w:val="22"/>
          <w:lang w:val="en-GB" w:eastAsia="en-GB"/>
          <w14:ligatures w14:val="none"/>
        </w:rPr>
      </w:pPr>
      <w:r w:rsidRPr="000534B4">
        <w:rPr>
          <w:rFonts w:ascii="Calibri" w:eastAsia="Calibri" w:hAnsi="Calibri" w:cs="Calibri"/>
          <w:b/>
          <w:color w:val="000000"/>
          <w:kern w:val="0"/>
          <w:sz w:val="22"/>
          <w:szCs w:val="22"/>
          <w:lang w:val="en-GB" w:eastAsia="en-GB"/>
          <w14:ligatures w14:val="none"/>
        </w:rPr>
        <w:t xml:space="preserve"> </w:t>
      </w:r>
    </w:p>
    <w:p w14:paraId="54F52F22" w14:textId="77777777" w:rsidR="000534B4" w:rsidRPr="000534B4" w:rsidRDefault="000534B4" w:rsidP="000534B4">
      <w:pPr>
        <w:numPr>
          <w:ilvl w:val="0"/>
          <w:numId w:val="2"/>
        </w:numPr>
        <w:spacing w:after="0" w:line="239" w:lineRule="auto"/>
        <w:ind w:right="-12" w:hanging="360"/>
        <w:jc w:val="both"/>
        <w:rPr>
          <w:rFonts w:ascii="Calibri" w:eastAsia="Calibri" w:hAnsi="Calibri" w:cs="Calibri"/>
          <w:color w:val="000000"/>
          <w:kern w:val="0"/>
          <w:sz w:val="22"/>
          <w:szCs w:val="22"/>
          <w:lang w:val="en-GB" w:eastAsia="en-GB"/>
          <w14:ligatures w14:val="none"/>
        </w:rPr>
      </w:pPr>
      <w:r w:rsidRPr="000534B4">
        <w:rPr>
          <w:rFonts w:ascii="Calibri" w:eastAsia="Calibri" w:hAnsi="Calibri" w:cs="Calibri"/>
          <w:color w:val="000000"/>
          <w:kern w:val="0"/>
          <w:sz w:val="22"/>
          <w:szCs w:val="22"/>
          <w:lang w:val="en-GB" w:eastAsia="en-GB"/>
          <w14:ligatures w14:val="none"/>
        </w:rPr>
        <w:t xml:space="preserve">At non-headquarters duty stations, salary surveys are conducted by the responsible agencies and coordinated by the United Nations. In the large majority of locations, UNDP acts as the designated agency. However, the promulgation of all authorized local salary scales is the responsibility of the United Nations Steering Committee on Local Salary Surveys. </w:t>
      </w:r>
    </w:p>
    <w:p w14:paraId="5D1E0A0F" w14:textId="537EE022" w:rsidR="000534B4" w:rsidRPr="000534B4" w:rsidRDefault="000534B4" w:rsidP="00CC2A4F">
      <w:pPr>
        <w:spacing w:after="12" w:line="259" w:lineRule="auto"/>
        <w:rPr>
          <w:rFonts w:ascii="Calibri" w:eastAsia="Calibri" w:hAnsi="Calibri" w:cs="Calibri"/>
          <w:color w:val="000000"/>
          <w:kern w:val="0"/>
          <w:sz w:val="22"/>
          <w:szCs w:val="22"/>
          <w:lang w:val="en-GB" w:eastAsia="en-GB"/>
          <w14:ligatures w14:val="none"/>
        </w:rPr>
      </w:pPr>
    </w:p>
    <w:p w14:paraId="6474D211" w14:textId="77777777" w:rsidR="000534B4" w:rsidRPr="000534B4" w:rsidRDefault="000534B4" w:rsidP="000534B4">
      <w:pPr>
        <w:numPr>
          <w:ilvl w:val="0"/>
          <w:numId w:val="2"/>
        </w:numPr>
        <w:spacing w:after="0" w:line="239" w:lineRule="auto"/>
        <w:ind w:right="-12" w:hanging="360"/>
        <w:jc w:val="both"/>
        <w:rPr>
          <w:rFonts w:ascii="Calibri" w:eastAsia="Calibri" w:hAnsi="Calibri" w:cs="Calibri"/>
          <w:color w:val="000000"/>
          <w:kern w:val="0"/>
          <w:sz w:val="22"/>
          <w:szCs w:val="22"/>
          <w:lang w:val="en-GB" w:eastAsia="en-GB"/>
          <w14:ligatures w14:val="none"/>
        </w:rPr>
      </w:pPr>
      <w:r w:rsidRPr="000534B4">
        <w:rPr>
          <w:rFonts w:ascii="Calibri" w:eastAsia="Calibri" w:hAnsi="Calibri" w:cs="Calibri"/>
          <w:color w:val="000000"/>
          <w:kern w:val="0"/>
          <w:sz w:val="22"/>
          <w:szCs w:val="22"/>
          <w:lang w:val="en-GB" w:eastAsia="en-GB"/>
          <w14:ligatures w14:val="none"/>
        </w:rPr>
        <w:lastRenderedPageBreak/>
        <w:t xml:space="preserve">At headquarters duty stations, the  ICSC is responsible for conducting salary surveys and for recommending salary scales for final approval by the organizations concerned.  </w:t>
      </w:r>
    </w:p>
    <w:p w14:paraId="5B864C3B" w14:textId="77777777" w:rsidR="00DA504D" w:rsidRDefault="00DA504D" w:rsidP="00CC2A4F">
      <w:pPr>
        <w:spacing w:after="777" w:line="259" w:lineRule="auto"/>
      </w:pPr>
    </w:p>
    <w:sectPr w:rsidR="00DA504D" w:rsidSect="00CC2A4F">
      <w:headerReference w:type="default" r:id="rId11"/>
      <w:footerReference w:type="default" r:id="rId12"/>
      <w:pgSz w:w="12240" w:h="15840"/>
      <w:pgMar w:top="1350" w:right="1796"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5DCDA" w14:textId="77777777" w:rsidR="00155A6E" w:rsidRDefault="00155A6E" w:rsidP="000534B4">
      <w:pPr>
        <w:spacing w:after="0" w:line="240" w:lineRule="auto"/>
      </w:pPr>
      <w:r>
        <w:separator/>
      </w:r>
    </w:p>
  </w:endnote>
  <w:endnote w:type="continuationSeparator" w:id="0">
    <w:p w14:paraId="17D5B885" w14:textId="77777777" w:rsidR="00155A6E" w:rsidRDefault="00155A6E" w:rsidP="00053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BF38" w14:textId="77777777" w:rsidR="000534B4" w:rsidRPr="00CC2A4F" w:rsidRDefault="000534B4">
    <w:pPr>
      <w:pStyle w:val="Footer"/>
      <w:rPr>
        <w:rFonts w:ascii="Calibri" w:hAnsi="Calibri" w:cs="Calibri"/>
        <w:sz w:val="22"/>
        <w:szCs w:val="22"/>
      </w:rPr>
    </w:pPr>
    <w:r w:rsidRPr="00CC2A4F">
      <w:rPr>
        <w:rFonts w:ascii="Calibri" w:hAnsi="Calibri" w:cs="Calibri"/>
        <w:sz w:val="22"/>
        <w:szCs w:val="22"/>
      </w:rPr>
      <w:t xml:space="preserve">Page </w:t>
    </w:r>
    <w:r w:rsidRPr="00CC2A4F">
      <w:rPr>
        <w:rFonts w:ascii="Calibri" w:hAnsi="Calibri" w:cs="Calibri"/>
        <w:b/>
        <w:bCs/>
        <w:sz w:val="22"/>
        <w:szCs w:val="22"/>
      </w:rPr>
      <w:fldChar w:fldCharType="begin"/>
    </w:r>
    <w:r w:rsidRPr="00CC2A4F">
      <w:rPr>
        <w:rFonts w:ascii="Calibri" w:hAnsi="Calibri" w:cs="Calibri"/>
        <w:b/>
        <w:bCs/>
        <w:sz w:val="22"/>
        <w:szCs w:val="22"/>
      </w:rPr>
      <w:instrText xml:space="preserve"> PAGE  \* Arabic  \* MERGEFORMAT </w:instrText>
    </w:r>
    <w:r w:rsidRPr="00CC2A4F">
      <w:rPr>
        <w:rFonts w:ascii="Calibri" w:hAnsi="Calibri" w:cs="Calibri"/>
        <w:b/>
        <w:bCs/>
        <w:sz w:val="22"/>
        <w:szCs w:val="22"/>
      </w:rPr>
      <w:fldChar w:fldCharType="separate"/>
    </w:r>
    <w:r w:rsidRPr="00CC2A4F">
      <w:rPr>
        <w:rFonts w:ascii="Calibri" w:hAnsi="Calibri" w:cs="Calibri"/>
        <w:b/>
        <w:bCs/>
        <w:noProof/>
        <w:sz w:val="22"/>
        <w:szCs w:val="22"/>
      </w:rPr>
      <w:t>1</w:t>
    </w:r>
    <w:r w:rsidRPr="00CC2A4F">
      <w:rPr>
        <w:rFonts w:ascii="Calibri" w:hAnsi="Calibri" w:cs="Calibri"/>
        <w:b/>
        <w:bCs/>
        <w:sz w:val="22"/>
        <w:szCs w:val="22"/>
      </w:rPr>
      <w:fldChar w:fldCharType="end"/>
    </w:r>
    <w:r w:rsidRPr="00CC2A4F">
      <w:rPr>
        <w:rFonts w:ascii="Calibri" w:hAnsi="Calibri" w:cs="Calibri"/>
        <w:sz w:val="22"/>
        <w:szCs w:val="22"/>
      </w:rPr>
      <w:t xml:space="preserve"> of </w:t>
    </w:r>
    <w:r w:rsidRPr="00CC2A4F">
      <w:rPr>
        <w:rFonts w:ascii="Calibri" w:hAnsi="Calibri" w:cs="Calibri"/>
        <w:b/>
        <w:bCs/>
        <w:sz w:val="22"/>
        <w:szCs w:val="22"/>
      </w:rPr>
      <w:fldChar w:fldCharType="begin"/>
    </w:r>
    <w:r w:rsidRPr="00CC2A4F">
      <w:rPr>
        <w:rFonts w:ascii="Calibri" w:hAnsi="Calibri" w:cs="Calibri"/>
        <w:b/>
        <w:bCs/>
        <w:sz w:val="22"/>
        <w:szCs w:val="22"/>
      </w:rPr>
      <w:instrText xml:space="preserve"> NUMPAGES  \* Arabic  \* MERGEFORMAT </w:instrText>
    </w:r>
    <w:r w:rsidRPr="00CC2A4F">
      <w:rPr>
        <w:rFonts w:ascii="Calibri" w:hAnsi="Calibri" w:cs="Calibri"/>
        <w:b/>
        <w:bCs/>
        <w:sz w:val="22"/>
        <w:szCs w:val="22"/>
      </w:rPr>
      <w:fldChar w:fldCharType="separate"/>
    </w:r>
    <w:r w:rsidRPr="00CC2A4F">
      <w:rPr>
        <w:rFonts w:ascii="Calibri" w:hAnsi="Calibri" w:cs="Calibri"/>
        <w:b/>
        <w:bCs/>
        <w:noProof/>
        <w:sz w:val="22"/>
        <w:szCs w:val="22"/>
      </w:rPr>
      <w:t>2</w:t>
    </w:r>
    <w:r w:rsidRPr="00CC2A4F">
      <w:rPr>
        <w:rFonts w:ascii="Calibri" w:hAnsi="Calibri" w:cs="Calibri"/>
        <w:b/>
        <w:bCs/>
        <w:sz w:val="22"/>
        <w:szCs w:val="22"/>
      </w:rPr>
      <w:fldChar w:fldCharType="end"/>
    </w:r>
    <w:r w:rsidRPr="00CC2A4F">
      <w:rPr>
        <w:rFonts w:ascii="Calibri" w:hAnsi="Calibri" w:cs="Calibri"/>
        <w:sz w:val="22"/>
        <w:szCs w:val="22"/>
      </w:rPr>
      <w:ptab w:relativeTo="margin" w:alignment="center" w:leader="none"/>
    </w:r>
    <w:r w:rsidRPr="00CC2A4F">
      <w:rPr>
        <w:rFonts w:ascii="Calibri" w:hAnsi="Calibri" w:cs="Calibri"/>
        <w:sz w:val="22"/>
        <w:szCs w:val="22"/>
      </w:rPr>
      <w:t xml:space="preserve">Effective Date: 01/07/2009 </w:t>
    </w:r>
    <w:r w:rsidRPr="00CC2A4F">
      <w:rPr>
        <w:rFonts w:ascii="Calibri" w:hAnsi="Calibri" w:cs="Calibri"/>
        <w:sz w:val="22"/>
        <w:szCs w:val="22"/>
      </w:rPr>
      <w:ptab w:relativeTo="margin" w:alignment="right" w:leader="none"/>
    </w:r>
    <w:r w:rsidRPr="00CC2A4F">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267235169"/>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8BDDCC1-1317-4B2A-8E1A-2377DEE8A8ED}"/>
        <w:text/>
      </w:sdtPr>
      <w:sdtContent>
        <w:r w:rsidRPr="00CC2A4F">
          <w:rPr>
            <w:rFonts w:ascii="Calibri" w:hAnsi="Calibri" w:cs="Calibri"/>
            <w:sz w:val="22"/>
            <w:szCs w:val="22"/>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1B799" w14:textId="77777777" w:rsidR="00155A6E" w:rsidRDefault="00155A6E" w:rsidP="000534B4">
      <w:pPr>
        <w:spacing w:after="0" w:line="240" w:lineRule="auto"/>
      </w:pPr>
      <w:r>
        <w:separator/>
      </w:r>
    </w:p>
  </w:footnote>
  <w:footnote w:type="continuationSeparator" w:id="0">
    <w:p w14:paraId="687E7FBF" w14:textId="77777777" w:rsidR="00155A6E" w:rsidRDefault="00155A6E" w:rsidP="00053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F1B4" w14:textId="77777777" w:rsidR="000534B4" w:rsidRDefault="000534B4" w:rsidP="00C46206">
    <w:pPr>
      <w:pStyle w:val="Header"/>
      <w:ind w:left="9010"/>
    </w:pPr>
    <w:r>
      <w:rPr>
        <w:noProof/>
      </w:rPr>
      <w:drawing>
        <wp:inline distT="0" distB="0" distL="0" distR="0" wp14:anchorId="1B6398B1" wp14:editId="56E59059">
          <wp:extent cx="309245" cy="596900"/>
          <wp:effectExtent l="0" t="0" r="0" b="0"/>
          <wp:docPr id="1063756264" name="Picture 106375626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1" t="1" b="16429"/>
                  <a:stretch/>
                </pic:blipFill>
                <pic:spPr bwMode="auto">
                  <a:xfrm>
                    <a:off x="0" y="0"/>
                    <a:ext cx="309245" cy="596900"/>
                  </a:xfrm>
                  <a:prstGeom prst="rect">
                    <a:avLst/>
                  </a:prstGeom>
                  <a:ln>
                    <a:noFill/>
                  </a:ln>
                  <a:extLst>
                    <a:ext uri="{53640926-AAD7-44D8-BBD7-CCE9431645EC}">
                      <a14:shadowObscured xmlns:a14="http://schemas.microsoft.com/office/drawing/2010/main"/>
                    </a:ext>
                  </a:extLst>
                </pic:spPr>
              </pic:pic>
            </a:graphicData>
          </a:graphic>
        </wp:inline>
      </w:drawing>
    </w:r>
  </w:p>
  <w:p w14:paraId="45907057" w14:textId="77777777" w:rsidR="000534B4" w:rsidRDefault="000534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F3AAA"/>
    <w:multiLevelType w:val="hybridMultilevel"/>
    <w:tmpl w:val="787E0364"/>
    <w:lvl w:ilvl="0" w:tplc="50DA557A">
      <w:start w:val="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1AF92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041C3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74EE2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AA38E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B0C6E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96705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9A6D3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B4EE3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7D331A6"/>
    <w:multiLevelType w:val="hybridMultilevel"/>
    <w:tmpl w:val="B5261B4A"/>
    <w:lvl w:ilvl="0" w:tplc="4BBE3A28">
      <w:start w:val="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32243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FE203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B4AA2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8AD91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389A3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EA155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860E2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405BF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6628616">
    <w:abstractNumId w:val="0"/>
  </w:num>
  <w:num w:numId="2" w16cid:durableId="238946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B4"/>
    <w:rsid w:val="000534B4"/>
    <w:rsid w:val="00155A6E"/>
    <w:rsid w:val="0059531B"/>
    <w:rsid w:val="007779BA"/>
    <w:rsid w:val="00C61B9D"/>
    <w:rsid w:val="00C87658"/>
    <w:rsid w:val="00CC2A4F"/>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02440"/>
  <w15:chartTrackingRefBased/>
  <w15:docId w15:val="{1A3969F2-B28A-4A20-B429-089814C5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34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34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34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34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34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34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4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4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4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4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34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34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34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34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34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4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4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4B4"/>
    <w:rPr>
      <w:rFonts w:eastAsiaTheme="majorEastAsia" w:cstheme="majorBidi"/>
      <w:color w:val="272727" w:themeColor="text1" w:themeTint="D8"/>
    </w:rPr>
  </w:style>
  <w:style w:type="paragraph" w:styleId="Title">
    <w:name w:val="Title"/>
    <w:basedOn w:val="Normal"/>
    <w:next w:val="Normal"/>
    <w:link w:val="TitleChar"/>
    <w:uiPriority w:val="10"/>
    <w:qFormat/>
    <w:rsid w:val="000534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4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4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4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4B4"/>
    <w:pPr>
      <w:spacing w:before="160"/>
      <w:jc w:val="center"/>
    </w:pPr>
    <w:rPr>
      <w:i/>
      <w:iCs/>
      <w:color w:val="404040" w:themeColor="text1" w:themeTint="BF"/>
    </w:rPr>
  </w:style>
  <w:style w:type="character" w:customStyle="1" w:styleId="QuoteChar">
    <w:name w:val="Quote Char"/>
    <w:basedOn w:val="DefaultParagraphFont"/>
    <w:link w:val="Quote"/>
    <w:uiPriority w:val="29"/>
    <w:rsid w:val="000534B4"/>
    <w:rPr>
      <w:i/>
      <w:iCs/>
      <w:color w:val="404040" w:themeColor="text1" w:themeTint="BF"/>
    </w:rPr>
  </w:style>
  <w:style w:type="paragraph" w:styleId="ListParagraph">
    <w:name w:val="List Paragraph"/>
    <w:basedOn w:val="Normal"/>
    <w:uiPriority w:val="34"/>
    <w:qFormat/>
    <w:rsid w:val="000534B4"/>
    <w:pPr>
      <w:ind w:left="720"/>
      <w:contextualSpacing/>
    </w:pPr>
  </w:style>
  <w:style w:type="character" w:styleId="IntenseEmphasis">
    <w:name w:val="Intense Emphasis"/>
    <w:basedOn w:val="DefaultParagraphFont"/>
    <w:uiPriority w:val="21"/>
    <w:qFormat/>
    <w:rsid w:val="000534B4"/>
    <w:rPr>
      <w:i/>
      <w:iCs/>
      <w:color w:val="0F4761" w:themeColor="accent1" w:themeShade="BF"/>
    </w:rPr>
  </w:style>
  <w:style w:type="paragraph" w:styleId="IntenseQuote">
    <w:name w:val="Intense Quote"/>
    <w:basedOn w:val="Normal"/>
    <w:next w:val="Normal"/>
    <w:link w:val="IntenseQuoteChar"/>
    <w:uiPriority w:val="30"/>
    <w:qFormat/>
    <w:rsid w:val="000534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34B4"/>
    <w:rPr>
      <w:i/>
      <w:iCs/>
      <w:color w:val="0F4761" w:themeColor="accent1" w:themeShade="BF"/>
    </w:rPr>
  </w:style>
  <w:style w:type="character" w:styleId="IntenseReference">
    <w:name w:val="Intense Reference"/>
    <w:basedOn w:val="DefaultParagraphFont"/>
    <w:uiPriority w:val="32"/>
    <w:qFormat/>
    <w:rsid w:val="000534B4"/>
    <w:rPr>
      <w:b/>
      <w:bCs/>
      <w:smallCaps/>
      <w:color w:val="0F4761" w:themeColor="accent1" w:themeShade="BF"/>
      <w:spacing w:val="5"/>
    </w:rPr>
  </w:style>
  <w:style w:type="paragraph" w:styleId="Header">
    <w:name w:val="header"/>
    <w:basedOn w:val="Normal"/>
    <w:link w:val="HeaderChar"/>
    <w:uiPriority w:val="99"/>
    <w:unhideWhenUsed/>
    <w:rsid w:val="00053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4B4"/>
  </w:style>
  <w:style w:type="paragraph" w:styleId="Footer">
    <w:name w:val="footer"/>
    <w:basedOn w:val="Normal"/>
    <w:link w:val="FooterChar"/>
    <w:uiPriority w:val="99"/>
    <w:unhideWhenUsed/>
    <w:rsid w:val="00053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4B4"/>
  </w:style>
  <w:style w:type="paragraph" w:styleId="Revision">
    <w:name w:val="Revision"/>
    <w:hidden/>
    <w:uiPriority w:val="99"/>
    <w:semiHidden/>
    <w:rsid w:val="000534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csc.u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csc.un.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icsc.un.org/" TargetMode="External"/><Relationship Id="rId4" Type="http://schemas.openxmlformats.org/officeDocument/2006/relationships/webSettings" Target="webSettings.xml"/><Relationship Id="rId9" Type="http://schemas.openxmlformats.org/officeDocument/2006/relationships/hyperlink" Target="http://icsc.un.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2415</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2026-05-13T22:08:00Z</dcterms:created>
  <dcterms:modified xsi:type="dcterms:W3CDTF">2026-05-13T22:11:00Z</dcterms:modified>
</cp:coreProperties>
</file>