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8F93" w14:textId="7FA886F2" w:rsidR="001721EA" w:rsidRPr="00A12630" w:rsidRDefault="00FB218C" w:rsidP="00945D0B">
      <w:pPr>
        <w:jc w:val="both"/>
        <w:rPr>
          <w:rFonts w:asciiTheme="majorHAnsi" w:hAnsiTheme="majorHAnsi" w:cs="Arial"/>
          <w:b/>
          <w:bCs/>
          <w:sz w:val="22"/>
          <w:szCs w:val="22"/>
        </w:rPr>
      </w:pPr>
      <w:r>
        <w:rPr>
          <w:rFonts w:asciiTheme="majorHAnsi" w:hAnsiTheme="majorHAnsi"/>
          <w:b/>
          <w:bCs/>
          <w:sz w:val="22"/>
          <w:szCs w:val="22"/>
        </w:rPr>
        <w:t>Politique de détachement de personnel à titre gracieux</w:t>
      </w:r>
    </w:p>
    <w:p w14:paraId="12680A5C" w14:textId="77777777" w:rsidR="001721EA" w:rsidRPr="00A12630" w:rsidRDefault="001721EA" w:rsidP="00945D0B">
      <w:pPr>
        <w:jc w:val="both"/>
        <w:rPr>
          <w:rFonts w:asciiTheme="majorHAnsi" w:hAnsiTheme="majorHAnsi" w:cs="Arial"/>
          <w:b/>
          <w:bCs/>
          <w:sz w:val="22"/>
          <w:szCs w:val="22"/>
        </w:rPr>
      </w:pPr>
    </w:p>
    <w:p w14:paraId="633740B6" w14:textId="342572A4" w:rsidR="005B48A2" w:rsidRPr="00A12630" w:rsidRDefault="005B48A2" w:rsidP="00945D0B">
      <w:pPr>
        <w:jc w:val="both"/>
        <w:rPr>
          <w:rFonts w:asciiTheme="majorHAnsi" w:hAnsiTheme="majorHAnsi" w:cs="Arial"/>
          <w:b/>
          <w:bCs/>
          <w:sz w:val="22"/>
          <w:szCs w:val="22"/>
          <w:u w:val="single"/>
        </w:rPr>
      </w:pPr>
      <w:r>
        <w:rPr>
          <w:rFonts w:asciiTheme="majorHAnsi" w:hAnsiTheme="majorHAnsi"/>
          <w:b/>
          <w:bCs/>
          <w:sz w:val="22"/>
          <w:szCs w:val="22"/>
        </w:rPr>
        <w:t>1.0</w:t>
      </w:r>
      <w:r>
        <w:rPr>
          <w:rFonts w:asciiTheme="majorHAnsi" w:hAnsiTheme="majorHAnsi"/>
          <w:b/>
          <w:bCs/>
          <w:sz w:val="22"/>
          <w:szCs w:val="22"/>
        </w:rPr>
        <w:tab/>
      </w:r>
      <w:r w:rsidR="008426D0">
        <w:rPr>
          <w:rFonts w:asciiTheme="majorHAnsi" w:hAnsiTheme="majorHAnsi"/>
          <w:b/>
          <w:bCs/>
          <w:sz w:val="22"/>
          <w:szCs w:val="22"/>
        </w:rPr>
        <w:t>Statut et Règlement</w:t>
      </w:r>
    </w:p>
    <w:p w14:paraId="0C7237AB" w14:textId="77777777" w:rsidR="00E775BC" w:rsidRPr="00A12630" w:rsidRDefault="00E775BC" w:rsidP="00945D0B">
      <w:pPr>
        <w:pStyle w:val="Default"/>
        <w:jc w:val="both"/>
        <w:rPr>
          <w:rFonts w:asciiTheme="majorHAnsi" w:hAnsiTheme="majorHAnsi"/>
          <w:sz w:val="22"/>
          <w:szCs w:val="22"/>
        </w:rPr>
      </w:pPr>
    </w:p>
    <w:p w14:paraId="14CE4FCC" w14:textId="135BEC40" w:rsidR="00E775BC" w:rsidRPr="00A12630" w:rsidRDefault="000E14EA"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La présente politique énonce les conditions dans lesquelles le PNUD peut accepter des détachements à titre gracieux de personnes de gouvernements, de donateurs ou d’autres sources extérieures au PNUD sous réserve de l’application de l’</w:t>
      </w:r>
      <w:r>
        <w:rPr>
          <w:rFonts w:asciiTheme="majorHAnsi" w:hAnsiTheme="majorHAnsi"/>
          <w:b/>
          <w:color w:val="auto"/>
          <w:sz w:val="22"/>
          <w:szCs w:val="22"/>
        </w:rPr>
        <w:t>article 5.07</w:t>
      </w:r>
      <w:r>
        <w:rPr>
          <w:rFonts w:asciiTheme="majorHAnsi" w:hAnsiTheme="majorHAnsi"/>
          <w:color w:val="auto"/>
          <w:sz w:val="22"/>
          <w:szCs w:val="22"/>
        </w:rPr>
        <w:t xml:space="preserve"> </w:t>
      </w:r>
      <w:r>
        <w:rPr>
          <w:rFonts w:asciiTheme="majorHAnsi" w:hAnsiTheme="majorHAnsi"/>
          <w:b/>
          <w:color w:val="auto"/>
          <w:sz w:val="22"/>
          <w:szCs w:val="22"/>
        </w:rPr>
        <w:t>du</w:t>
      </w:r>
      <w:r>
        <w:rPr>
          <w:rFonts w:asciiTheme="majorHAnsi" w:hAnsiTheme="majorHAnsi"/>
          <w:color w:val="auto"/>
          <w:sz w:val="22"/>
          <w:szCs w:val="22"/>
        </w:rPr>
        <w:t xml:space="preserve"> </w:t>
      </w:r>
      <w:r>
        <w:rPr>
          <w:rFonts w:asciiTheme="majorHAnsi" w:hAnsiTheme="majorHAnsi"/>
          <w:b/>
          <w:color w:val="auto"/>
          <w:sz w:val="22"/>
          <w:szCs w:val="22"/>
        </w:rPr>
        <w:t>Règlement financier du PNUD</w:t>
      </w:r>
      <w:r>
        <w:rPr>
          <w:rFonts w:asciiTheme="majorHAnsi" w:hAnsiTheme="majorHAnsi"/>
          <w:color w:val="auto"/>
          <w:sz w:val="22"/>
          <w:szCs w:val="22"/>
        </w:rPr>
        <w:t>.</w:t>
      </w:r>
      <w:r>
        <w:rPr>
          <w:rFonts w:asciiTheme="majorHAnsi" w:hAnsiTheme="majorHAnsi"/>
          <w:b/>
          <w:bCs/>
          <w:color w:val="auto"/>
          <w:sz w:val="22"/>
          <w:szCs w:val="22"/>
        </w:rPr>
        <w:t xml:space="preserve"> </w:t>
      </w:r>
    </w:p>
    <w:p w14:paraId="70926208" w14:textId="77777777" w:rsidR="00215D6F" w:rsidRPr="00A12630" w:rsidRDefault="00215D6F" w:rsidP="00945D0B">
      <w:pPr>
        <w:jc w:val="both"/>
        <w:rPr>
          <w:rFonts w:asciiTheme="majorHAnsi" w:hAnsiTheme="majorHAnsi" w:cs="Arial"/>
          <w:sz w:val="22"/>
          <w:szCs w:val="22"/>
        </w:rPr>
      </w:pPr>
    </w:p>
    <w:p w14:paraId="5FB7D7E3" w14:textId="3BCFA729" w:rsidR="005B48A2" w:rsidRPr="00A12630" w:rsidRDefault="005B48A2" w:rsidP="00945D0B">
      <w:pPr>
        <w:jc w:val="both"/>
        <w:rPr>
          <w:rFonts w:asciiTheme="majorHAnsi" w:hAnsiTheme="majorHAnsi" w:cs="Arial"/>
          <w:b/>
          <w:bCs/>
          <w:sz w:val="22"/>
          <w:szCs w:val="22"/>
          <w:u w:val="single"/>
        </w:rPr>
      </w:pPr>
      <w:r>
        <w:rPr>
          <w:rFonts w:asciiTheme="majorHAnsi" w:hAnsiTheme="majorHAnsi"/>
          <w:b/>
          <w:bCs/>
          <w:sz w:val="22"/>
          <w:szCs w:val="22"/>
        </w:rPr>
        <w:t>2.0</w:t>
      </w:r>
      <w:r>
        <w:rPr>
          <w:rFonts w:asciiTheme="majorHAnsi" w:hAnsiTheme="majorHAnsi"/>
          <w:b/>
          <w:bCs/>
          <w:sz w:val="22"/>
          <w:szCs w:val="22"/>
        </w:rPr>
        <w:tab/>
        <w:t>Politique</w:t>
      </w:r>
      <w:r>
        <w:rPr>
          <w:rFonts w:asciiTheme="majorHAnsi" w:hAnsiTheme="majorHAnsi"/>
          <w:b/>
          <w:bCs/>
          <w:sz w:val="22"/>
          <w:szCs w:val="22"/>
          <w:u w:val="single"/>
        </w:rPr>
        <w:t xml:space="preserve"> </w:t>
      </w:r>
    </w:p>
    <w:p w14:paraId="70C4E42A" w14:textId="77777777" w:rsidR="0067705B" w:rsidRPr="00A12630" w:rsidRDefault="0067705B" w:rsidP="00945D0B">
      <w:pPr>
        <w:jc w:val="both"/>
        <w:rPr>
          <w:rFonts w:asciiTheme="majorHAnsi" w:hAnsiTheme="majorHAnsi" w:cs="Arial"/>
          <w:bCs/>
          <w:sz w:val="22"/>
          <w:szCs w:val="22"/>
        </w:rPr>
      </w:pPr>
    </w:p>
    <w:p w14:paraId="43C68E73" w14:textId="77777777" w:rsidR="0067705B" w:rsidRPr="00A12630" w:rsidRDefault="0067705B" w:rsidP="00945D0B">
      <w:pPr>
        <w:pStyle w:val="Default"/>
        <w:jc w:val="both"/>
        <w:rPr>
          <w:rFonts w:asciiTheme="majorHAnsi" w:hAnsiTheme="majorHAnsi"/>
          <w:color w:val="auto"/>
          <w:sz w:val="22"/>
          <w:szCs w:val="22"/>
          <w:u w:val="single"/>
        </w:rPr>
      </w:pPr>
      <w:r>
        <w:rPr>
          <w:rFonts w:asciiTheme="majorHAnsi" w:hAnsiTheme="majorHAnsi"/>
          <w:color w:val="auto"/>
          <w:sz w:val="22"/>
          <w:szCs w:val="22"/>
          <w:u w:val="single"/>
        </w:rPr>
        <w:t>Introduction</w:t>
      </w:r>
    </w:p>
    <w:p w14:paraId="33539896" w14:textId="77777777" w:rsidR="0067705B" w:rsidRPr="00A12630" w:rsidRDefault="0067705B" w:rsidP="00945D0B">
      <w:pPr>
        <w:pStyle w:val="Default"/>
        <w:jc w:val="both"/>
        <w:rPr>
          <w:rFonts w:asciiTheme="majorHAnsi" w:hAnsiTheme="majorHAnsi"/>
          <w:color w:val="auto"/>
          <w:sz w:val="22"/>
          <w:szCs w:val="22"/>
        </w:rPr>
      </w:pPr>
    </w:p>
    <w:p w14:paraId="29117EEC" w14:textId="4B6BD102"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La présente politique a pour objet de clarifier les dispositions relatives à l’accueil du personnel dans le cadre d’un détachement à titre gracieux. L’annexe à la présente politique contient un modèle du mémorandum d’accord pour ces détachements, qui devrait être établi entre le gouvernement, le donateur ou l’entité publique extérieure au PNUD (Entité[s] partenaire[s]) et le bureau bénéficiaire. Le mémorandum d’accord est la base juridique de l’accord et doit être conclu entre l’Entité partenaire et le bureau bénéficiaire. (LIEN vers le MÉMORANDUM D’ACCORD)</w:t>
      </w:r>
    </w:p>
    <w:p w14:paraId="1F3EE1B4" w14:textId="77777777" w:rsidR="0067705B" w:rsidRPr="00A12630" w:rsidRDefault="0067705B" w:rsidP="00945D0B">
      <w:pPr>
        <w:tabs>
          <w:tab w:val="left" w:pos="691"/>
          <w:tab w:val="left" w:pos="1286"/>
        </w:tabs>
        <w:spacing w:line="238" w:lineRule="exact"/>
        <w:jc w:val="both"/>
        <w:rPr>
          <w:rFonts w:asciiTheme="majorHAnsi" w:hAnsiTheme="majorHAnsi" w:cs="Arial"/>
          <w:sz w:val="22"/>
          <w:szCs w:val="22"/>
        </w:rPr>
      </w:pPr>
    </w:p>
    <w:p w14:paraId="4A65722F" w14:textId="7806797A"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Le détachement à titre gracieux de personnes provenant d’Entités partenaires est autorisé, sous réserve des dispositions de l’article 5.07 du Règlement financier et des procédures applicables du Bureau des ressources humaines et de la présente politique.</w:t>
      </w:r>
    </w:p>
    <w:p w14:paraId="30DA4CF7" w14:textId="77777777" w:rsidR="0067705B" w:rsidRPr="00A12630" w:rsidRDefault="0067705B" w:rsidP="00945D0B">
      <w:pPr>
        <w:tabs>
          <w:tab w:val="left" w:pos="691"/>
          <w:tab w:val="left" w:pos="1286"/>
        </w:tabs>
        <w:spacing w:line="238" w:lineRule="exact"/>
        <w:jc w:val="both"/>
        <w:rPr>
          <w:rFonts w:asciiTheme="majorHAnsi" w:hAnsiTheme="majorHAnsi" w:cs="Arial"/>
          <w:sz w:val="22"/>
          <w:szCs w:val="22"/>
        </w:rPr>
      </w:pPr>
    </w:p>
    <w:p w14:paraId="41C77C0B" w14:textId="1BABD792"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Un détachement à titre gracieux est défini comme un détachement d’une personne</w:t>
      </w:r>
      <w:r w:rsidR="008426D0">
        <w:rPr>
          <w:rFonts w:asciiTheme="majorHAnsi" w:hAnsiTheme="majorHAnsi"/>
          <w:color w:val="auto"/>
          <w:sz w:val="22"/>
          <w:szCs w:val="22"/>
        </w:rPr>
        <w:t xml:space="preserve"> fournissant ses services</w:t>
      </w:r>
      <w:r>
        <w:rPr>
          <w:rFonts w:asciiTheme="majorHAnsi" w:hAnsiTheme="majorHAnsi"/>
          <w:color w:val="auto"/>
          <w:sz w:val="22"/>
          <w:szCs w:val="22"/>
        </w:rPr>
        <w:t xml:space="preserve">, sans frais pour le PNUD au titre de son salaire ou de sa rémunération, de ses allocations, de son assurance médicale ou dentaire et de son assurance vie ou autres prestations. </w:t>
      </w:r>
    </w:p>
    <w:p w14:paraId="4A41B612" w14:textId="77777777" w:rsidR="00945D0B" w:rsidRPr="00A12630" w:rsidRDefault="00945D0B" w:rsidP="00945D0B">
      <w:pPr>
        <w:jc w:val="both"/>
        <w:rPr>
          <w:rFonts w:asciiTheme="majorHAnsi" w:hAnsiTheme="majorHAnsi" w:cs="Arial"/>
          <w:bCs/>
          <w:sz w:val="22"/>
          <w:szCs w:val="22"/>
        </w:rPr>
      </w:pPr>
    </w:p>
    <w:p w14:paraId="10E74256" w14:textId="77777777" w:rsidR="0067705B" w:rsidRPr="00A12630" w:rsidRDefault="0067705B" w:rsidP="00945D0B">
      <w:pPr>
        <w:pStyle w:val="Default"/>
        <w:jc w:val="both"/>
        <w:rPr>
          <w:rFonts w:asciiTheme="majorHAnsi" w:hAnsiTheme="majorHAnsi"/>
          <w:color w:val="auto"/>
          <w:sz w:val="22"/>
          <w:szCs w:val="22"/>
          <w:u w:val="single"/>
        </w:rPr>
      </w:pPr>
      <w:r>
        <w:rPr>
          <w:rFonts w:asciiTheme="majorHAnsi" w:hAnsiTheme="majorHAnsi"/>
          <w:color w:val="auto"/>
          <w:sz w:val="22"/>
          <w:szCs w:val="22"/>
          <w:u w:val="single"/>
        </w:rPr>
        <w:t>Objets pour lesquels des détachements à titre gracieux peuvent être négociés</w:t>
      </w:r>
    </w:p>
    <w:p w14:paraId="12E8979D" w14:textId="77777777" w:rsidR="0067705B" w:rsidRPr="00A12630" w:rsidRDefault="0067705B" w:rsidP="00945D0B">
      <w:pPr>
        <w:pStyle w:val="Default"/>
        <w:jc w:val="both"/>
        <w:rPr>
          <w:rFonts w:asciiTheme="majorHAnsi" w:hAnsiTheme="majorHAnsi"/>
          <w:color w:val="auto"/>
          <w:sz w:val="22"/>
          <w:szCs w:val="22"/>
        </w:rPr>
      </w:pPr>
    </w:p>
    <w:p w14:paraId="273611DA" w14:textId="7C71A578" w:rsidR="00F21244"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Des détachements à titre gracieux peuvent être négociés entre une Entité Partenaire et le PNUD pour la fourniture de services au PNUD nécessaires à l’exécution d’activités de nature technique ou pour des activités de partage des connaissances lorsqu’une bonne pratique a été établie.</w:t>
      </w:r>
    </w:p>
    <w:p w14:paraId="1999D339" w14:textId="77777777" w:rsidR="00DA70FE" w:rsidRPr="00A12630" w:rsidRDefault="00DA70FE" w:rsidP="00945D0B">
      <w:pPr>
        <w:pStyle w:val="Default"/>
        <w:ind w:left="720"/>
        <w:jc w:val="both"/>
        <w:rPr>
          <w:rFonts w:asciiTheme="majorHAnsi" w:hAnsiTheme="majorHAnsi"/>
          <w:color w:val="auto"/>
          <w:sz w:val="22"/>
          <w:szCs w:val="22"/>
        </w:rPr>
      </w:pPr>
    </w:p>
    <w:p w14:paraId="49EE4054" w14:textId="2EE5F617" w:rsidR="00D75ED1" w:rsidRPr="00A12630" w:rsidRDefault="006A67C6"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Lorsque le PNUD n’a pas été approché par une Entité partenaire et qu’il a besoin d’une assistance de nature technique et choisit d’utiliser la modalité de détachement à titre gracieux, il doit présenter sa demande collectivement à ses Entités partenaires connues.</w:t>
      </w:r>
    </w:p>
    <w:p w14:paraId="13DC1349" w14:textId="77777777" w:rsidR="0067705B" w:rsidRPr="00A12630" w:rsidRDefault="0067705B" w:rsidP="00945D0B">
      <w:pPr>
        <w:pStyle w:val="Default"/>
        <w:jc w:val="both"/>
        <w:rPr>
          <w:rFonts w:asciiTheme="majorHAnsi" w:hAnsiTheme="majorHAnsi"/>
          <w:color w:val="auto"/>
          <w:sz w:val="22"/>
          <w:szCs w:val="22"/>
        </w:rPr>
      </w:pPr>
    </w:p>
    <w:p w14:paraId="74222F1D" w14:textId="36A1F8EC" w:rsidR="00F21244"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sz w:val="22"/>
          <w:szCs w:val="22"/>
        </w:rPr>
        <w:t>Ces détachements peuvent être négociés pour l</w:t>
      </w:r>
      <w:r w:rsidR="008426D0">
        <w:rPr>
          <w:rFonts w:asciiTheme="majorHAnsi" w:hAnsiTheme="majorHAnsi"/>
          <w:sz w:val="22"/>
          <w:szCs w:val="22"/>
        </w:rPr>
        <w:t>a fourniture de</w:t>
      </w:r>
      <w:r w:rsidR="001452A7">
        <w:rPr>
          <w:rFonts w:asciiTheme="majorHAnsi" w:hAnsiTheme="majorHAnsi"/>
          <w:sz w:val="22"/>
          <w:szCs w:val="22"/>
        </w:rPr>
        <w:t xml:space="preserve"> </w:t>
      </w:r>
      <w:r>
        <w:rPr>
          <w:rFonts w:asciiTheme="majorHAnsi" w:hAnsiTheme="majorHAnsi"/>
          <w:sz w:val="22"/>
          <w:szCs w:val="22"/>
        </w:rPr>
        <w:t xml:space="preserve">services </w:t>
      </w:r>
      <w:r w:rsidR="008426D0">
        <w:rPr>
          <w:rFonts w:asciiTheme="majorHAnsi" w:hAnsiTheme="majorHAnsi"/>
          <w:sz w:val="22"/>
          <w:szCs w:val="22"/>
        </w:rPr>
        <w:t>pour</w:t>
      </w:r>
      <w:r>
        <w:rPr>
          <w:rFonts w:asciiTheme="majorHAnsi" w:hAnsiTheme="majorHAnsi"/>
          <w:sz w:val="22"/>
          <w:szCs w:val="22"/>
        </w:rPr>
        <w:t xml:space="preserve"> tous les Bureaux du PNUD qui se trouvent dans un lieu d’affectation familial, toute exception devant être approuvée par le Bureau de la sécurité du PNUD.</w:t>
      </w:r>
    </w:p>
    <w:p w14:paraId="69AF9B3E" w14:textId="77777777" w:rsidR="00DD67C9" w:rsidRPr="001F7890" w:rsidRDefault="00DD67C9" w:rsidP="00945D0B">
      <w:pPr>
        <w:pStyle w:val="ListParagraph"/>
        <w:jc w:val="both"/>
        <w:rPr>
          <w:rFonts w:asciiTheme="majorHAnsi" w:hAnsiTheme="majorHAnsi" w:cs="Arial"/>
          <w:sz w:val="22"/>
          <w:szCs w:val="22"/>
        </w:rPr>
      </w:pPr>
    </w:p>
    <w:p w14:paraId="2F1D4D79" w14:textId="257EA4E0" w:rsidR="00E82325" w:rsidRPr="00A12630" w:rsidRDefault="00473FB4" w:rsidP="00945D0B">
      <w:pPr>
        <w:pStyle w:val="Default"/>
        <w:numPr>
          <w:ilvl w:val="0"/>
          <w:numId w:val="12"/>
        </w:numPr>
        <w:jc w:val="both"/>
        <w:rPr>
          <w:rFonts w:asciiTheme="majorHAnsi" w:hAnsiTheme="majorHAnsi"/>
          <w:sz w:val="22"/>
          <w:szCs w:val="22"/>
        </w:rPr>
      </w:pPr>
      <w:r>
        <w:rPr>
          <w:rFonts w:asciiTheme="majorHAnsi" w:hAnsiTheme="majorHAnsi"/>
          <w:color w:val="auto"/>
          <w:sz w:val="22"/>
          <w:szCs w:val="22"/>
        </w:rPr>
        <w:t>L’utilisation de détachements à titre gracieux devrait être de nature temporaire,</w:t>
      </w:r>
      <w:r w:rsidR="008426D0">
        <w:rPr>
          <w:rFonts w:asciiTheme="majorHAnsi" w:hAnsiTheme="majorHAnsi"/>
          <w:color w:val="auto"/>
          <w:sz w:val="22"/>
          <w:szCs w:val="22"/>
        </w:rPr>
        <w:t xml:space="preserve"> tout détachement </w:t>
      </w:r>
      <w:r>
        <w:rPr>
          <w:rFonts w:asciiTheme="majorHAnsi" w:hAnsiTheme="majorHAnsi"/>
          <w:color w:val="auto"/>
          <w:sz w:val="22"/>
          <w:szCs w:val="22"/>
        </w:rPr>
        <w:t>l</w:t>
      </w:r>
      <w:r w:rsidR="00964AB5">
        <w:rPr>
          <w:rFonts w:asciiTheme="majorHAnsi" w:hAnsiTheme="majorHAnsi"/>
          <w:color w:val="auto"/>
          <w:sz w:val="22"/>
          <w:szCs w:val="22"/>
        </w:rPr>
        <w:t xml:space="preserve"> </w:t>
      </w:r>
      <w:r>
        <w:rPr>
          <w:rFonts w:asciiTheme="majorHAnsi" w:hAnsiTheme="majorHAnsi"/>
          <w:color w:val="auto"/>
          <w:sz w:val="22"/>
          <w:szCs w:val="22"/>
        </w:rPr>
        <w:t>détachements i</w:t>
      </w:r>
      <w:r w:rsidR="00964AB5">
        <w:rPr>
          <w:rFonts w:asciiTheme="majorHAnsi" w:hAnsiTheme="majorHAnsi"/>
          <w:color w:val="auto"/>
          <w:sz w:val="22"/>
          <w:szCs w:val="22"/>
        </w:rPr>
        <w:t xml:space="preserve"> initial </w:t>
      </w:r>
      <w:r>
        <w:rPr>
          <w:rFonts w:asciiTheme="majorHAnsi" w:hAnsiTheme="majorHAnsi"/>
          <w:color w:val="auto"/>
          <w:sz w:val="22"/>
          <w:szCs w:val="22"/>
        </w:rPr>
        <w:t xml:space="preserve"> n’excédant pas </w:t>
      </w:r>
      <w:r w:rsidR="00964AB5">
        <w:rPr>
          <w:rFonts w:asciiTheme="majorHAnsi" w:hAnsiTheme="majorHAnsi"/>
          <w:color w:val="auto"/>
          <w:sz w:val="22"/>
          <w:szCs w:val="22"/>
        </w:rPr>
        <w:t>deux</w:t>
      </w:r>
      <w:r>
        <w:rPr>
          <w:rFonts w:asciiTheme="majorHAnsi" w:hAnsiTheme="majorHAnsi"/>
          <w:color w:val="auto"/>
          <w:sz w:val="22"/>
          <w:szCs w:val="22"/>
        </w:rPr>
        <w:t> ans</w:t>
      </w:r>
      <w:r w:rsidR="00964AB5">
        <w:rPr>
          <w:rFonts w:asciiTheme="majorHAnsi" w:hAnsiTheme="majorHAnsi"/>
          <w:color w:val="auto"/>
          <w:sz w:val="22"/>
          <w:szCs w:val="22"/>
        </w:rPr>
        <w:t>, et renouvelable pour une période cumulative maximale de 5 ans</w:t>
      </w:r>
      <w:r>
        <w:rPr>
          <w:rFonts w:asciiTheme="majorHAnsi" w:hAnsiTheme="majorHAnsi"/>
          <w:color w:val="auto"/>
          <w:sz w:val="22"/>
          <w:szCs w:val="22"/>
        </w:rPr>
        <w:t>.</w:t>
      </w:r>
    </w:p>
    <w:p w14:paraId="434F3EC7" w14:textId="77777777" w:rsidR="003C2398" w:rsidRPr="00A12630" w:rsidRDefault="003C2398" w:rsidP="00945D0B">
      <w:pPr>
        <w:pStyle w:val="Default"/>
        <w:ind w:left="720"/>
        <w:jc w:val="both"/>
        <w:rPr>
          <w:rFonts w:asciiTheme="majorHAnsi" w:hAnsiTheme="majorHAnsi"/>
          <w:color w:val="auto"/>
          <w:sz w:val="22"/>
          <w:szCs w:val="22"/>
        </w:rPr>
      </w:pPr>
    </w:p>
    <w:p w14:paraId="1DA48874" w14:textId="77777777" w:rsidR="002B64D2" w:rsidRPr="00A12630" w:rsidRDefault="00E82325"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 xml:space="preserve">En aucun cas, un détachement à titre gracieux ne peut être utilisé pour engager une personne en tant que membre du personnel, ou pour renforcer les compétences professionnelles de cette </w:t>
      </w:r>
      <w:r>
        <w:rPr>
          <w:rFonts w:asciiTheme="majorHAnsi" w:hAnsiTheme="majorHAnsi"/>
          <w:color w:val="auto"/>
          <w:sz w:val="22"/>
          <w:szCs w:val="22"/>
        </w:rPr>
        <w:lastRenderedPageBreak/>
        <w:t xml:space="preserve">personne de manière à la placer ou à lui permettre d’être prise en considération ultérieurement pour une nomination ou un contrat de consultant. Ces détachements ne peuvent pas être utilisés pour acquérir des services auprès d’entités privées, mais doivent faire l’objet d’un accord </w:t>
      </w:r>
      <w:r>
        <w:rPr>
          <w:rFonts w:asciiTheme="majorHAnsi" w:hAnsiTheme="majorHAnsi"/>
          <w:i/>
          <w:color w:val="auto"/>
          <w:sz w:val="22"/>
          <w:szCs w:val="22"/>
        </w:rPr>
        <w:t xml:space="preserve">pro </w:t>
      </w:r>
      <w:proofErr w:type="spellStart"/>
      <w:r>
        <w:rPr>
          <w:rFonts w:asciiTheme="majorHAnsi" w:hAnsiTheme="majorHAnsi"/>
          <w:i/>
          <w:color w:val="auto"/>
          <w:sz w:val="22"/>
          <w:szCs w:val="22"/>
        </w:rPr>
        <w:t>bono</w:t>
      </w:r>
      <w:proofErr w:type="spellEnd"/>
      <w:r>
        <w:rPr>
          <w:rFonts w:asciiTheme="majorHAnsi" w:hAnsiTheme="majorHAnsi"/>
          <w:color w:val="auto"/>
          <w:sz w:val="22"/>
          <w:szCs w:val="22"/>
        </w:rPr>
        <w:t xml:space="preserve"> négocié à cet effet.  </w:t>
      </w:r>
    </w:p>
    <w:p w14:paraId="62A3AFE5" w14:textId="5FB5262F" w:rsidR="003C2398" w:rsidRPr="00A12630" w:rsidRDefault="003C2398" w:rsidP="00945D0B">
      <w:pPr>
        <w:pStyle w:val="Default"/>
        <w:ind w:left="720"/>
        <w:jc w:val="both"/>
        <w:rPr>
          <w:rFonts w:asciiTheme="majorHAnsi" w:hAnsiTheme="majorHAnsi"/>
          <w:color w:val="auto"/>
          <w:sz w:val="22"/>
          <w:szCs w:val="22"/>
        </w:rPr>
      </w:pPr>
    </w:p>
    <w:p w14:paraId="3FE9B2B7" w14:textId="5146BD41" w:rsidR="00473FB4" w:rsidRPr="00A12630" w:rsidRDefault="00397429" w:rsidP="00945D0B">
      <w:pPr>
        <w:pStyle w:val="Default"/>
        <w:numPr>
          <w:ilvl w:val="0"/>
          <w:numId w:val="12"/>
        </w:numPr>
        <w:ind w:left="720"/>
        <w:jc w:val="both"/>
        <w:rPr>
          <w:rFonts w:asciiTheme="majorHAnsi" w:hAnsiTheme="majorHAnsi"/>
          <w:color w:val="auto"/>
          <w:sz w:val="22"/>
          <w:szCs w:val="22"/>
        </w:rPr>
      </w:pPr>
      <w:r>
        <w:rPr>
          <w:rFonts w:asciiTheme="majorHAnsi" w:hAnsiTheme="majorHAnsi"/>
          <w:color w:val="auto"/>
          <w:sz w:val="22"/>
          <w:szCs w:val="22"/>
        </w:rPr>
        <w:t xml:space="preserve">Le PNUD peut limiter le nombre de détachements à titre gracieux d’une Entité Partenaire à tout moment. </w:t>
      </w:r>
    </w:p>
    <w:p w14:paraId="3739F085" w14:textId="77777777" w:rsidR="0067705B" w:rsidRPr="003A7DB8" w:rsidRDefault="0067705B" w:rsidP="00945D0B">
      <w:pPr>
        <w:tabs>
          <w:tab w:val="left" w:pos="691"/>
        </w:tabs>
        <w:spacing w:line="238" w:lineRule="exact"/>
        <w:jc w:val="both"/>
        <w:rPr>
          <w:rFonts w:asciiTheme="majorHAnsi" w:hAnsiTheme="majorHAnsi" w:cs="Arial"/>
          <w:sz w:val="22"/>
          <w:szCs w:val="22"/>
        </w:rPr>
      </w:pPr>
    </w:p>
    <w:p w14:paraId="44CCFB4D" w14:textId="77777777" w:rsidR="0067705B" w:rsidRPr="00A12630" w:rsidRDefault="0067705B" w:rsidP="00A12630">
      <w:pPr>
        <w:pStyle w:val="Default"/>
        <w:ind w:firstLine="284"/>
        <w:jc w:val="both"/>
        <w:rPr>
          <w:rFonts w:asciiTheme="majorHAnsi" w:hAnsiTheme="majorHAnsi"/>
          <w:color w:val="auto"/>
          <w:sz w:val="22"/>
          <w:szCs w:val="22"/>
          <w:u w:val="single"/>
        </w:rPr>
      </w:pPr>
      <w:r>
        <w:rPr>
          <w:rFonts w:asciiTheme="majorHAnsi" w:hAnsiTheme="majorHAnsi"/>
          <w:color w:val="auto"/>
          <w:sz w:val="22"/>
          <w:szCs w:val="22"/>
          <w:u w:val="single"/>
        </w:rPr>
        <w:t>Statut juridique et obligations des personnes détachées à titre gracieux</w:t>
      </w:r>
    </w:p>
    <w:p w14:paraId="06D1A2C6" w14:textId="77777777" w:rsidR="0067705B" w:rsidRPr="00A12630" w:rsidRDefault="0067705B" w:rsidP="00945D0B">
      <w:pPr>
        <w:pStyle w:val="Default"/>
        <w:jc w:val="both"/>
        <w:rPr>
          <w:rFonts w:asciiTheme="majorHAnsi" w:hAnsiTheme="majorHAnsi"/>
          <w:color w:val="auto"/>
          <w:sz w:val="22"/>
          <w:szCs w:val="22"/>
        </w:rPr>
      </w:pPr>
    </w:p>
    <w:p w14:paraId="335E4BB0" w14:textId="0687E8BD" w:rsidR="0067705B" w:rsidRPr="00A12630" w:rsidRDefault="0067705B" w:rsidP="00945D0B">
      <w:pPr>
        <w:pStyle w:val="Default"/>
        <w:numPr>
          <w:ilvl w:val="0"/>
          <w:numId w:val="12"/>
        </w:numPr>
        <w:jc w:val="both"/>
        <w:rPr>
          <w:rFonts w:asciiTheme="majorHAnsi" w:hAnsiTheme="majorHAnsi"/>
          <w:color w:val="auto"/>
          <w:sz w:val="22"/>
          <w:szCs w:val="22"/>
        </w:rPr>
      </w:pPr>
      <w:r>
        <w:rPr>
          <w:rFonts w:asciiTheme="majorHAnsi" w:hAnsiTheme="majorHAnsi"/>
          <w:color w:val="auto"/>
          <w:sz w:val="22"/>
          <w:szCs w:val="22"/>
        </w:rPr>
        <w:t>Les personnes dont les services sont acceptés dans le cadre d’un détachement à titre gracieux ne sont pas des membres du personnel du PNUD ni des employés ou contractuels du PNUD.</w:t>
      </w:r>
      <w:r>
        <w:rPr>
          <w:rFonts w:asciiTheme="majorHAnsi" w:hAnsiTheme="majorHAnsi"/>
          <w:sz w:val="22"/>
          <w:szCs w:val="22"/>
        </w:rPr>
        <w:t xml:space="preserve"> </w:t>
      </w:r>
      <w:r>
        <w:rPr>
          <w:rFonts w:asciiTheme="majorHAnsi" w:hAnsiTheme="majorHAnsi"/>
          <w:color w:val="auto"/>
          <w:sz w:val="22"/>
          <w:szCs w:val="22"/>
        </w:rPr>
        <w:t xml:space="preserve">La relation contractuelle de ces personnes avec le PNUD est établie par un mémorandum d’accord entre </w:t>
      </w:r>
      <w:r w:rsidRPr="001F7890">
        <w:rPr>
          <w:rFonts w:asciiTheme="majorHAnsi" w:hAnsiTheme="majorHAnsi" w:cstheme="majorHAnsi"/>
          <w:color w:val="auto"/>
          <w:sz w:val="22"/>
          <w:szCs w:val="22"/>
        </w:rPr>
        <w:t>l’entité qui fournit la personne et le PNUD.  Leurs relations sont uniquement soumises aux dispositions de cet accord et non aux</w:t>
      </w:r>
      <w:r w:rsidR="00964AB5">
        <w:rPr>
          <w:rFonts w:asciiTheme="majorHAnsi" w:hAnsiTheme="majorHAnsi" w:cstheme="majorHAnsi"/>
          <w:color w:val="auto"/>
          <w:sz w:val="22"/>
          <w:szCs w:val="22"/>
        </w:rPr>
        <w:t xml:space="preserve"> Statut et</w:t>
      </w:r>
      <w:r w:rsidRPr="001F7890">
        <w:rPr>
          <w:rFonts w:asciiTheme="majorHAnsi" w:hAnsiTheme="majorHAnsi" w:cstheme="majorHAnsi"/>
          <w:color w:val="auto"/>
          <w:sz w:val="22"/>
          <w:szCs w:val="22"/>
        </w:rPr>
        <w:t xml:space="preserve"> Règlement du personnel des Nations Unies. </w:t>
      </w:r>
      <w:r w:rsidRPr="001F7890">
        <w:rPr>
          <w:rFonts w:asciiTheme="majorHAnsi" w:hAnsiTheme="majorHAnsi" w:cstheme="majorHAnsi"/>
          <w:sz w:val="22"/>
          <w:szCs w:val="22"/>
        </w:rPr>
        <w:t xml:space="preserve">Aux fins de la Convention sur les privilèges et immunités des Nations Unies, ces personnes sont considérées comme des « experts en mission » au sens de l’article VI, </w:t>
      </w:r>
      <w:hyperlink r:id="rId13" w:history="1">
        <w:r w:rsidRPr="001F7890">
          <w:rPr>
            <w:rFonts w:asciiTheme="majorHAnsi" w:hAnsiTheme="majorHAnsi" w:cstheme="majorHAnsi"/>
            <w:color w:val="auto"/>
            <w:sz w:val="22"/>
            <w:szCs w:val="22"/>
          </w:rPr>
          <w:t>sections 22</w:t>
        </w:r>
      </w:hyperlink>
      <w:r w:rsidRPr="001F7890">
        <w:rPr>
          <w:rFonts w:asciiTheme="majorHAnsi" w:hAnsiTheme="majorHAnsi" w:cstheme="majorHAnsi"/>
          <w:color w:val="auto"/>
          <w:sz w:val="22"/>
          <w:szCs w:val="22"/>
        </w:rPr>
        <w:t xml:space="preserve"> et </w:t>
      </w:r>
      <w:hyperlink r:id="rId14" w:history="1">
        <w:r w:rsidRPr="001F7890">
          <w:rPr>
            <w:rFonts w:asciiTheme="majorHAnsi" w:hAnsiTheme="majorHAnsi" w:cstheme="majorHAnsi"/>
            <w:color w:val="auto"/>
            <w:sz w:val="22"/>
            <w:szCs w:val="22"/>
          </w:rPr>
          <w:t>23</w:t>
        </w:r>
      </w:hyperlink>
      <w:r w:rsidRPr="001F7890">
        <w:rPr>
          <w:rFonts w:asciiTheme="majorHAnsi" w:hAnsiTheme="majorHAnsi" w:cstheme="majorHAnsi"/>
          <w:color w:val="auto"/>
          <w:sz w:val="22"/>
          <w:szCs w:val="22"/>
        </w:rPr>
        <w:t xml:space="preserve">, </w:t>
      </w:r>
      <w:r w:rsidRPr="001F7890">
        <w:rPr>
          <w:rFonts w:asciiTheme="majorHAnsi" w:hAnsiTheme="majorHAnsi" w:cstheme="majorHAnsi"/>
          <w:sz w:val="22"/>
          <w:szCs w:val="22"/>
        </w:rPr>
        <w:t>de cette Convention lorsqu’elles exercent des fonctions pour le PNUD.</w:t>
      </w:r>
      <w:r w:rsidRPr="001F7890">
        <w:rPr>
          <w:rFonts w:asciiTheme="majorHAnsi" w:hAnsiTheme="majorHAnsi" w:cstheme="majorHAnsi"/>
          <w:color w:val="auto"/>
          <w:sz w:val="22"/>
          <w:szCs w:val="22"/>
        </w:rPr>
        <w:t xml:space="preserve"> Si le PNUD le leur demande, elles peuvent recevoir un certificat de voyage des Nations Unies.</w:t>
      </w:r>
    </w:p>
    <w:p w14:paraId="438A7CE6" w14:textId="77777777" w:rsidR="0067705B" w:rsidRPr="00A12630" w:rsidRDefault="0067705B" w:rsidP="00945D0B">
      <w:pPr>
        <w:tabs>
          <w:tab w:val="left" w:pos="691"/>
        </w:tabs>
        <w:spacing w:line="238" w:lineRule="exact"/>
        <w:jc w:val="both"/>
        <w:rPr>
          <w:rFonts w:asciiTheme="majorHAnsi" w:hAnsiTheme="majorHAnsi" w:cs="Arial"/>
          <w:sz w:val="22"/>
          <w:szCs w:val="22"/>
        </w:rPr>
      </w:pPr>
    </w:p>
    <w:p w14:paraId="32E654DA" w14:textId="63A21D50" w:rsidR="0067705B" w:rsidRPr="00A12630" w:rsidRDefault="0067705B" w:rsidP="001F7890">
      <w:pPr>
        <w:pStyle w:val="p9"/>
        <w:numPr>
          <w:ilvl w:val="0"/>
          <w:numId w:val="12"/>
        </w:numPr>
        <w:spacing w:line="240" w:lineRule="auto"/>
        <w:ind w:left="641" w:hanging="357"/>
        <w:jc w:val="both"/>
        <w:rPr>
          <w:rFonts w:asciiTheme="majorHAnsi" w:eastAsiaTheme="minorEastAsia" w:hAnsiTheme="majorHAnsi" w:cs="Arial"/>
          <w:sz w:val="22"/>
          <w:szCs w:val="22"/>
        </w:rPr>
      </w:pPr>
      <w:r>
        <w:rPr>
          <w:rFonts w:asciiTheme="majorHAnsi" w:hAnsiTheme="majorHAnsi"/>
          <w:sz w:val="22"/>
          <w:szCs w:val="22"/>
        </w:rPr>
        <w:t>Dans l’exercice de leurs fonctions au PNUD, les personnes détachées à titre gracieux sont tenues de respecter les normes de conduite énoncées dans la circulaire ST/SGB/2002/9, qui lient les experts en mission</w:t>
      </w:r>
      <w:r w:rsidR="00473FB4" w:rsidRPr="00A12630">
        <w:rPr>
          <w:rStyle w:val="FootnoteReference"/>
          <w:rFonts w:asciiTheme="majorHAnsi" w:eastAsiaTheme="minorEastAsia" w:hAnsiTheme="majorHAnsi" w:cs="Arial"/>
          <w:sz w:val="22"/>
          <w:szCs w:val="22"/>
          <w:lang w:val="en-CA"/>
        </w:rPr>
        <w:footnoteReference w:id="1"/>
      </w:r>
      <w:r>
        <w:rPr>
          <w:rFonts w:asciiTheme="majorHAnsi" w:hAnsiTheme="majorHAnsi"/>
          <w:sz w:val="22"/>
          <w:szCs w:val="22"/>
        </w:rPr>
        <w:t>, et toute disposition convenue par l’entité partenaire dans le mémorandum d’accord. Les personnes détachées à titre gracieux ne doivent solliciter ni accepter d’instructions d’aucun gouvernement ni d’aucune autre autorité extérieure au PNUD. Elles ne doivent se livrer à aucune activité incompatible avec la bonne exécution de leurs termes de référence. Elles sont tenues de faire preuve de la plus grande discrétion dans l’exercice de leurs fonctions officielles et ne peuvent communiquer à nul autre personne, gouvernement ou autorité des informations dont elles ont connaissance du fait de leur travail avec le PNUD et qui n’ont pas été rendues publiques, sauf dans l’exercice de leurs fonctions ou par autorisation explicite du PNUD. Elles n’utiliseront à aucun moment ces informations à des fins privées. Ces obligations ne prennent pas fin à l’issue de leur service.</w:t>
      </w:r>
    </w:p>
    <w:p w14:paraId="658BE422" w14:textId="77777777" w:rsidR="00E50B89" w:rsidRPr="001F7890" w:rsidRDefault="00E50B89" w:rsidP="00945D0B">
      <w:pPr>
        <w:pStyle w:val="ListParagraph"/>
        <w:jc w:val="both"/>
        <w:rPr>
          <w:rFonts w:asciiTheme="majorHAnsi" w:eastAsiaTheme="minorEastAsia" w:hAnsiTheme="majorHAnsi" w:cs="Arial"/>
          <w:sz w:val="22"/>
          <w:szCs w:val="22"/>
        </w:rPr>
      </w:pPr>
    </w:p>
    <w:p w14:paraId="3FBF9A7F" w14:textId="77777777" w:rsidR="00140F90" w:rsidRPr="00A12630" w:rsidRDefault="00E50B89"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Les personnes détachées à titre gracieux :</w:t>
      </w:r>
    </w:p>
    <w:p w14:paraId="16AE4DC2" w14:textId="77777777" w:rsidR="00140F90" w:rsidRPr="003A7DB8" w:rsidRDefault="00140F90" w:rsidP="00945D0B">
      <w:pPr>
        <w:pStyle w:val="p9"/>
        <w:spacing w:line="238" w:lineRule="exact"/>
        <w:jc w:val="both"/>
        <w:rPr>
          <w:rFonts w:asciiTheme="majorHAnsi" w:eastAsiaTheme="minorEastAsia" w:hAnsiTheme="majorHAnsi" w:cs="Arial"/>
          <w:sz w:val="22"/>
          <w:szCs w:val="22"/>
        </w:rPr>
      </w:pPr>
    </w:p>
    <w:p w14:paraId="16F4C3A0" w14:textId="5ECDC9A2" w:rsidR="006B7780" w:rsidRPr="00A12630" w:rsidRDefault="001F7890" w:rsidP="001F7890">
      <w:pPr>
        <w:pStyle w:val="p9"/>
        <w:numPr>
          <w:ilvl w:val="1"/>
          <w:numId w:val="12"/>
        </w:numPr>
        <w:spacing w:line="240" w:lineRule="auto"/>
        <w:ind w:left="1434" w:hanging="357"/>
        <w:jc w:val="both"/>
        <w:rPr>
          <w:rFonts w:asciiTheme="majorHAnsi" w:eastAsiaTheme="minorEastAsia" w:hAnsiTheme="majorHAnsi" w:cs="Arial"/>
          <w:sz w:val="22"/>
          <w:szCs w:val="22"/>
        </w:rPr>
      </w:pPr>
      <w:r w:rsidRPr="003A7DB8">
        <w:rPr>
          <w:rFonts w:asciiTheme="majorHAnsi" w:hAnsiTheme="majorHAnsi"/>
          <w:sz w:val="22"/>
          <w:szCs w:val="22"/>
        </w:rPr>
        <w:t>D</w:t>
      </w:r>
      <w:r w:rsidR="006B7780">
        <w:rPr>
          <w:rFonts w:asciiTheme="majorHAnsi" w:hAnsiTheme="majorHAnsi"/>
          <w:sz w:val="22"/>
          <w:szCs w:val="22"/>
        </w:rPr>
        <w:t xml:space="preserve">evront avoir accès aux locaux et aux systèmes du PNUD conformément à la politique du PNUD. </w:t>
      </w:r>
    </w:p>
    <w:p w14:paraId="745B6F2A" w14:textId="04E6C646" w:rsidR="00C3215F" w:rsidRPr="00A12630" w:rsidRDefault="001F7890" w:rsidP="001F7890">
      <w:pPr>
        <w:pStyle w:val="p9"/>
        <w:numPr>
          <w:ilvl w:val="1"/>
          <w:numId w:val="12"/>
        </w:numPr>
        <w:spacing w:line="240" w:lineRule="auto"/>
        <w:ind w:left="1434" w:hanging="357"/>
        <w:jc w:val="both"/>
        <w:rPr>
          <w:rFonts w:asciiTheme="majorHAnsi" w:eastAsiaTheme="minorEastAsia" w:hAnsiTheme="majorHAnsi" w:cs="Arial"/>
          <w:sz w:val="22"/>
          <w:szCs w:val="22"/>
        </w:rPr>
      </w:pPr>
      <w:r>
        <w:rPr>
          <w:rFonts w:asciiTheme="majorHAnsi" w:hAnsiTheme="majorHAnsi"/>
          <w:sz w:val="22"/>
          <w:szCs w:val="22"/>
        </w:rPr>
        <w:t>N</w:t>
      </w:r>
      <w:r w:rsidR="00FA5498">
        <w:rPr>
          <w:rFonts w:asciiTheme="majorHAnsi" w:hAnsiTheme="majorHAnsi"/>
          <w:sz w:val="22"/>
          <w:szCs w:val="22"/>
        </w:rPr>
        <w:t>’exerceront pas de fonctions de supervision sur les membres du personnel du PNUD et n’engageront pas le PNUD financièrement ou autrement ;</w:t>
      </w:r>
    </w:p>
    <w:p w14:paraId="6973FFE3" w14:textId="262C85C0" w:rsidR="001F7890" w:rsidRDefault="001F7890" w:rsidP="001F7890">
      <w:pPr>
        <w:pStyle w:val="p9"/>
        <w:numPr>
          <w:ilvl w:val="1"/>
          <w:numId w:val="12"/>
        </w:numPr>
        <w:spacing w:line="240" w:lineRule="auto"/>
        <w:ind w:left="1434" w:hanging="357"/>
        <w:jc w:val="both"/>
        <w:rPr>
          <w:rFonts w:asciiTheme="majorHAnsi" w:hAnsiTheme="majorHAnsi"/>
          <w:sz w:val="22"/>
          <w:szCs w:val="22"/>
        </w:rPr>
      </w:pPr>
      <w:r>
        <w:rPr>
          <w:rFonts w:asciiTheme="majorHAnsi" w:hAnsiTheme="majorHAnsi"/>
          <w:sz w:val="22"/>
          <w:szCs w:val="22"/>
        </w:rPr>
        <w:t>N</w:t>
      </w:r>
      <w:r w:rsidR="004277A6">
        <w:rPr>
          <w:rFonts w:asciiTheme="majorHAnsi" w:hAnsiTheme="majorHAnsi"/>
          <w:sz w:val="22"/>
          <w:szCs w:val="22"/>
        </w:rPr>
        <w:t xml:space="preserve">e seront pas prises en considération pour un emploi au PNUD pendant une période de six mois après la fin du détachement.   </w:t>
      </w:r>
      <w:r>
        <w:rPr>
          <w:rFonts w:asciiTheme="majorHAnsi" w:hAnsiTheme="majorHAnsi"/>
          <w:sz w:val="22"/>
          <w:szCs w:val="22"/>
        </w:rPr>
        <w:br w:type="page"/>
      </w:r>
    </w:p>
    <w:p w14:paraId="6BA74AA3" w14:textId="56B06D06" w:rsidR="0067705B" w:rsidRPr="00A12630" w:rsidRDefault="00A12630" w:rsidP="001F7890">
      <w:pPr>
        <w:pStyle w:val="p9"/>
        <w:spacing w:line="240" w:lineRule="auto"/>
        <w:jc w:val="both"/>
        <w:rPr>
          <w:rFonts w:asciiTheme="majorHAnsi" w:eastAsiaTheme="minorEastAsia" w:hAnsiTheme="majorHAnsi" w:cs="Arial"/>
          <w:sz w:val="22"/>
          <w:szCs w:val="22"/>
          <w:u w:val="single"/>
        </w:rPr>
      </w:pPr>
      <w:r>
        <w:rPr>
          <w:rFonts w:asciiTheme="majorHAnsi" w:hAnsiTheme="majorHAnsi"/>
          <w:sz w:val="22"/>
          <w:szCs w:val="22"/>
        </w:rPr>
        <w:lastRenderedPageBreak/>
        <w:tab/>
      </w:r>
      <w:r>
        <w:rPr>
          <w:rFonts w:asciiTheme="majorHAnsi" w:hAnsiTheme="majorHAnsi"/>
          <w:sz w:val="22"/>
          <w:szCs w:val="22"/>
          <w:u w:val="single"/>
        </w:rPr>
        <w:t>Droits de propriété intellectuelle</w:t>
      </w:r>
    </w:p>
    <w:p w14:paraId="0BE73F76" w14:textId="77777777" w:rsidR="0067705B" w:rsidRPr="00A12630" w:rsidRDefault="0067705B" w:rsidP="001F7890">
      <w:pPr>
        <w:pStyle w:val="p9"/>
        <w:spacing w:line="240" w:lineRule="auto"/>
        <w:jc w:val="both"/>
        <w:rPr>
          <w:rFonts w:asciiTheme="majorHAnsi" w:eastAsiaTheme="minorEastAsia" w:hAnsiTheme="majorHAnsi" w:cs="Arial"/>
          <w:sz w:val="22"/>
          <w:szCs w:val="22"/>
          <w:lang w:val="en-CA"/>
        </w:rPr>
      </w:pPr>
    </w:p>
    <w:p w14:paraId="417A493D" w14:textId="20F359C4" w:rsidR="0067705B" w:rsidRPr="00A12630" w:rsidRDefault="0067705B" w:rsidP="001F7890">
      <w:pPr>
        <w:pStyle w:val="p9"/>
        <w:numPr>
          <w:ilvl w:val="0"/>
          <w:numId w:val="12"/>
        </w:numPr>
        <w:spacing w:line="240" w:lineRule="auto"/>
        <w:jc w:val="both"/>
        <w:rPr>
          <w:rFonts w:asciiTheme="majorHAnsi" w:eastAsiaTheme="minorEastAsia" w:hAnsiTheme="majorHAnsi" w:cs="Arial"/>
          <w:sz w:val="22"/>
          <w:szCs w:val="22"/>
        </w:rPr>
      </w:pPr>
      <w:r>
        <w:rPr>
          <w:rFonts w:asciiTheme="majorHAnsi" w:hAnsiTheme="majorHAnsi"/>
          <w:sz w:val="22"/>
          <w:szCs w:val="22"/>
        </w:rPr>
        <w:t>Les droits de propriété intellectuelle, les droits d’auteur et tous les autres droits intellectuels et/ou droits de propriété sur tout matériel produit par la personne détachée à titre gracieux sont dévolus exclusivement au PNUD et demeurent sa propriété.</w:t>
      </w:r>
    </w:p>
    <w:p w14:paraId="0B588BEB" w14:textId="77777777" w:rsidR="0067705B" w:rsidRPr="00A12630" w:rsidRDefault="0067705B" w:rsidP="00945D0B">
      <w:pPr>
        <w:tabs>
          <w:tab w:val="left" w:pos="691"/>
        </w:tabs>
        <w:spacing w:line="238" w:lineRule="exact"/>
        <w:jc w:val="both"/>
        <w:rPr>
          <w:rFonts w:asciiTheme="majorHAnsi" w:hAnsiTheme="majorHAnsi" w:cs="Arial"/>
          <w:sz w:val="22"/>
          <w:szCs w:val="22"/>
        </w:rPr>
      </w:pPr>
    </w:p>
    <w:p w14:paraId="6E20D451" w14:textId="77777777" w:rsidR="00945D0B" w:rsidRPr="006A207F" w:rsidRDefault="00945D0B" w:rsidP="00945D0B">
      <w:pPr>
        <w:pStyle w:val="p9"/>
        <w:spacing w:line="238" w:lineRule="exact"/>
        <w:jc w:val="both"/>
        <w:rPr>
          <w:rFonts w:asciiTheme="majorHAnsi" w:eastAsiaTheme="minorEastAsia" w:hAnsiTheme="majorHAnsi" w:cs="Arial"/>
          <w:sz w:val="22"/>
          <w:szCs w:val="22"/>
          <w:u w:val="single"/>
          <w:lang w:val="fr-CA"/>
        </w:rPr>
      </w:pPr>
    </w:p>
    <w:p w14:paraId="5EFC7948" w14:textId="495369CD" w:rsidR="0067705B" w:rsidRPr="00A12630" w:rsidRDefault="00A12630" w:rsidP="00945D0B">
      <w:pPr>
        <w:pStyle w:val="p9"/>
        <w:spacing w:line="238" w:lineRule="exact"/>
        <w:jc w:val="both"/>
        <w:rPr>
          <w:rFonts w:asciiTheme="majorHAnsi" w:eastAsiaTheme="minorEastAsia" w:hAnsiTheme="majorHAnsi" w:cs="Arial"/>
          <w:sz w:val="22"/>
          <w:szCs w:val="22"/>
          <w:u w:val="single"/>
        </w:rPr>
      </w:pPr>
      <w:r>
        <w:rPr>
          <w:rFonts w:asciiTheme="majorHAnsi" w:hAnsiTheme="majorHAnsi"/>
          <w:sz w:val="22"/>
          <w:szCs w:val="22"/>
        </w:rPr>
        <w:tab/>
      </w:r>
      <w:r>
        <w:rPr>
          <w:rFonts w:asciiTheme="majorHAnsi" w:hAnsiTheme="majorHAnsi"/>
          <w:sz w:val="22"/>
          <w:szCs w:val="22"/>
          <w:u w:val="single"/>
        </w:rPr>
        <w:t>Exigences pour l’acceptation des services à titre gracieux</w:t>
      </w:r>
    </w:p>
    <w:p w14:paraId="16C5A0DE" w14:textId="77777777" w:rsidR="0067705B" w:rsidRPr="006A207F" w:rsidRDefault="0067705B" w:rsidP="00945D0B">
      <w:pPr>
        <w:pStyle w:val="p9"/>
        <w:spacing w:line="238" w:lineRule="exact"/>
        <w:jc w:val="both"/>
        <w:rPr>
          <w:rFonts w:asciiTheme="majorHAnsi" w:eastAsiaTheme="minorEastAsia" w:hAnsiTheme="majorHAnsi" w:cs="Arial"/>
          <w:sz w:val="22"/>
          <w:szCs w:val="22"/>
          <w:lang w:val="fr-CA"/>
        </w:rPr>
      </w:pPr>
    </w:p>
    <w:p w14:paraId="36B912BB" w14:textId="63770D71" w:rsidR="0067705B" w:rsidRPr="00A12630" w:rsidRDefault="0067705B" w:rsidP="00945D0B">
      <w:pPr>
        <w:pStyle w:val="p9"/>
        <w:numPr>
          <w:ilvl w:val="0"/>
          <w:numId w:val="12"/>
        </w:numPr>
        <w:spacing w:line="238" w:lineRule="exact"/>
        <w:jc w:val="both"/>
        <w:rPr>
          <w:rFonts w:asciiTheme="majorHAnsi" w:eastAsiaTheme="minorEastAsia" w:hAnsiTheme="majorHAnsi" w:cs="Arial"/>
          <w:sz w:val="22"/>
          <w:szCs w:val="22"/>
        </w:rPr>
      </w:pPr>
      <w:r>
        <w:rPr>
          <w:rFonts w:asciiTheme="majorHAnsi" w:hAnsiTheme="majorHAnsi"/>
          <w:sz w:val="22"/>
          <w:szCs w:val="22"/>
        </w:rPr>
        <w:t>Les exigences pour l’acceptation de services à titre gracieux sont les suivantes :</w:t>
      </w:r>
    </w:p>
    <w:p w14:paraId="174A58F7" w14:textId="77777777" w:rsidR="00E14462" w:rsidRPr="003A7DB8" w:rsidRDefault="00E14462" w:rsidP="001F7890">
      <w:pPr>
        <w:pStyle w:val="p9"/>
        <w:spacing w:line="240" w:lineRule="auto"/>
        <w:jc w:val="both"/>
        <w:rPr>
          <w:rFonts w:asciiTheme="majorHAnsi" w:eastAsiaTheme="minorEastAsia" w:hAnsiTheme="majorHAnsi" w:cs="Arial"/>
          <w:sz w:val="22"/>
          <w:szCs w:val="22"/>
        </w:rPr>
      </w:pPr>
    </w:p>
    <w:p w14:paraId="4CB3198C" w14:textId="6E637154" w:rsidR="003C36BE" w:rsidRPr="00A12630" w:rsidRDefault="00423A17" w:rsidP="001F7890">
      <w:pPr>
        <w:pStyle w:val="p9"/>
        <w:numPr>
          <w:ilvl w:val="0"/>
          <w:numId w:val="7"/>
        </w:numPr>
        <w:spacing w:line="240" w:lineRule="auto"/>
        <w:jc w:val="both"/>
        <w:rPr>
          <w:rFonts w:asciiTheme="majorHAnsi" w:eastAsiaTheme="minorEastAsia" w:hAnsiTheme="majorHAnsi" w:cs="Arial"/>
          <w:sz w:val="22"/>
          <w:szCs w:val="22"/>
        </w:rPr>
      </w:pPr>
      <w:r>
        <w:rPr>
          <w:rFonts w:asciiTheme="majorHAnsi" w:hAnsiTheme="majorHAnsi"/>
          <w:sz w:val="22"/>
          <w:szCs w:val="22"/>
        </w:rPr>
        <w:t>En coordination avec le Partenaire de gestion de l’OHR, le Bureau concerné prépare les Termes de référence qui répertorient les obligations, les fonctions et la durée du détachement. Si nécessaire, le partenaire de gestion de l’OHR participera à la stratégie de sélection fondée sur la concurrence et la nécessité d’assurer les normes les plus élevées en matière d’efficacité, de compétence et d’intégrité ;</w:t>
      </w:r>
    </w:p>
    <w:p w14:paraId="74C537BD" w14:textId="77777777" w:rsidR="00D015BE" w:rsidRPr="003A7DB8" w:rsidRDefault="00D015BE" w:rsidP="00945D0B">
      <w:pPr>
        <w:pStyle w:val="p9"/>
        <w:spacing w:line="238" w:lineRule="exact"/>
        <w:jc w:val="both"/>
        <w:rPr>
          <w:rFonts w:asciiTheme="majorHAnsi" w:eastAsiaTheme="minorEastAsia" w:hAnsiTheme="majorHAnsi" w:cs="Arial"/>
          <w:sz w:val="22"/>
          <w:szCs w:val="22"/>
        </w:rPr>
      </w:pPr>
    </w:p>
    <w:p w14:paraId="14D50B83" w14:textId="53ADC65A" w:rsidR="003C36BE" w:rsidRPr="00A12630" w:rsidRDefault="003C36BE" w:rsidP="001F7890">
      <w:pPr>
        <w:pStyle w:val="p9"/>
        <w:numPr>
          <w:ilvl w:val="0"/>
          <w:numId w:val="7"/>
        </w:numPr>
        <w:spacing w:line="240" w:lineRule="auto"/>
        <w:jc w:val="both"/>
        <w:rPr>
          <w:rFonts w:asciiTheme="majorHAnsi" w:eastAsiaTheme="minorEastAsia" w:hAnsiTheme="majorHAnsi" w:cs="Arial"/>
          <w:sz w:val="22"/>
          <w:szCs w:val="22"/>
        </w:rPr>
      </w:pPr>
      <w:r>
        <w:rPr>
          <w:rFonts w:asciiTheme="majorHAnsi" w:hAnsiTheme="majorHAnsi"/>
          <w:sz w:val="22"/>
          <w:szCs w:val="22"/>
        </w:rPr>
        <w:t xml:space="preserve">Une communication de l’Entité Partenaire potentielle convenant de : </w:t>
      </w:r>
    </w:p>
    <w:p w14:paraId="4C2766F2" w14:textId="77777777" w:rsidR="003C36BE" w:rsidRPr="006A207F" w:rsidRDefault="003C36BE" w:rsidP="001F7890">
      <w:pPr>
        <w:pStyle w:val="p9"/>
        <w:spacing w:line="240" w:lineRule="auto"/>
        <w:jc w:val="both"/>
        <w:rPr>
          <w:rFonts w:asciiTheme="majorHAnsi" w:eastAsiaTheme="minorEastAsia" w:hAnsiTheme="majorHAnsi" w:cs="Arial"/>
          <w:sz w:val="22"/>
          <w:szCs w:val="22"/>
          <w:lang w:val="fr-CA"/>
        </w:rPr>
      </w:pPr>
    </w:p>
    <w:p w14:paraId="1EA54143" w14:textId="02DADC9C" w:rsidR="003C36BE" w:rsidRPr="00A12630" w:rsidRDefault="003C36BE" w:rsidP="001F7890">
      <w:pPr>
        <w:pStyle w:val="p9"/>
        <w:numPr>
          <w:ilvl w:val="0"/>
          <w:numId w:val="10"/>
        </w:numPr>
        <w:spacing w:line="240" w:lineRule="auto"/>
        <w:ind w:left="1620" w:hanging="180"/>
        <w:jc w:val="both"/>
        <w:rPr>
          <w:rFonts w:asciiTheme="majorHAnsi" w:eastAsiaTheme="minorEastAsia" w:hAnsiTheme="majorHAnsi" w:cs="Arial"/>
          <w:sz w:val="22"/>
          <w:szCs w:val="22"/>
        </w:rPr>
      </w:pPr>
      <w:r>
        <w:rPr>
          <w:rFonts w:asciiTheme="majorHAnsi" w:hAnsiTheme="majorHAnsi"/>
          <w:sz w:val="22"/>
          <w:szCs w:val="22"/>
        </w:rPr>
        <w:t>Fournir les services demandés à l’alinéa (a) ci-dessus, sans frais pour le PNUD ;</w:t>
      </w:r>
    </w:p>
    <w:p w14:paraId="7251EF8F" w14:textId="77777777" w:rsidR="00DA7D35" w:rsidRPr="006A207F" w:rsidRDefault="00DA7D35" w:rsidP="001F7890">
      <w:pPr>
        <w:pStyle w:val="p9"/>
        <w:spacing w:line="240" w:lineRule="auto"/>
        <w:ind w:left="1620"/>
        <w:jc w:val="both"/>
        <w:rPr>
          <w:rFonts w:asciiTheme="majorHAnsi" w:eastAsiaTheme="minorEastAsia" w:hAnsiTheme="majorHAnsi" w:cs="Arial"/>
          <w:sz w:val="22"/>
          <w:szCs w:val="22"/>
          <w:lang w:val="fr-CA"/>
        </w:rPr>
      </w:pPr>
    </w:p>
    <w:p w14:paraId="387B6EAF" w14:textId="77777777" w:rsidR="00DA7D35" w:rsidRPr="00A12630" w:rsidRDefault="00DA7D35" w:rsidP="001F7890">
      <w:pPr>
        <w:pStyle w:val="p9"/>
        <w:numPr>
          <w:ilvl w:val="0"/>
          <w:numId w:val="10"/>
        </w:numPr>
        <w:spacing w:line="240" w:lineRule="auto"/>
        <w:ind w:left="1620" w:hanging="180"/>
        <w:jc w:val="both"/>
        <w:rPr>
          <w:rFonts w:asciiTheme="majorHAnsi" w:eastAsiaTheme="minorEastAsia" w:hAnsiTheme="majorHAnsi" w:cs="Arial"/>
          <w:sz w:val="22"/>
          <w:szCs w:val="22"/>
        </w:rPr>
      </w:pPr>
      <w:r>
        <w:rPr>
          <w:rFonts w:asciiTheme="majorHAnsi" w:hAnsiTheme="majorHAnsi"/>
          <w:sz w:val="22"/>
          <w:szCs w:val="22"/>
        </w:rPr>
        <w:t>La valeur établie des services sera basée sur les coûts standard du PNUD pour des fonctions de niveau similaire.</w:t>
      </w:r>
    </w:p>
    <w:p w14:paraId="44C557AB" w14:textId="77777777" w:rsidR="003C36BE" w:rsidRPr="003A7DB8" w:rsidRDefault="003C36BE" w:rsidP="001F7890">
      <w:pPr>
        <w:pStyle w:val="p9"/>
        <w:spacing w:line="240" w:lineRule="auto"/>
        <w:ind w:left="1620" w:hanging="180"/>
        <w:jc w:val="both"/>
        <w:rPr>
          <w:rFonts w:asciiTheme="majorHAnsi" w:eastAsiaTheme="minorEastAsia" w:hAnsiTheme="majorHAnsi" w:cs="Arial"/>
          <w:sz w:val="22"/>
          <w:szCs w:val="22"/>
        </w:rPr>
      </w:pPr>
    </w:p>
    <w:p w14:paraId="61C11B07" w14:textId="79CFF825" w:rsidR="003C36BE" w:rsidRPr="00A12630" w:rsidRDefault="00727471" w:rsidP="001F7890">
      <w:pPr>
        <w:pStyle w:val="p9"/>
        <w:numPr>
          <w:ilvl w:val="0"/>
          <w:numId w:val="10"/>
        </w:numPr>
        <w:spacing w:line="240" w:lineRule="auto"/>
        <w:ind w:left="1620" w:hanging="180"/>
        <w:jc w:val="both"/>
        <w:rPr>
          <w:rFonts w:asciiTheme="majorHAnsi" w:eastAsiaTheme="minorEastAsia" w:hAnsiTheme="majorHAnsi" w:cs="Arial"/>
          <w:sz w:val="22"/>
          <w:szCs w:val="22"/>
        </w:rPr>
      </w:pPr>
      <w:r>
        <w:rPr>
          <w:rFonts w:asciiTheme="majorHAnsi" w:hAnsiTheme="majorHAnsi"/>
          <w:sz w:val="22"/>
          <w:szCs w:val="22"/>
        </w:rPr>
        <w:t>Conformément aux principes du recouvrement intégral des coûts des contributions en nature, verser huit pour cent (8 %) de la valeur des services au crédit d’un compte précisé par l’OFM ;</w:t>
      </w:r>
    </w:p>
    <w:p w14:paraId="5CAB0A02" w14:textId="77777777" w:rsidR="000272CC" w:rsidRPr="003A7DB8" w:rsidRDefault="000272CC" w:rsidP="00945D0B">
      <w:pPr>
        <w:pStyle w:val="ListParagraph"/>
        <w:jc w:val="both"/>
        <w:rPr>
          <w:rFonts w:asciiTheme="majorHAnsi" w:eastAsiaTheme="minorEastAsia" w:hAnsiTheme="majorHAnsi" w:cs="Arial"/>
          <w:sz w:val="22"/>
          <w:szCs w:val="22"/>
        </w:rPr>
      </w:pPr>
    </w:p>
    <w:p w14:paraId="78B9212A" w14:textId="27ED06FA" w:rsidR="003C36BE" w:rsidRPr="00A12630" w:rsidRDefault="003C36BE" w:rsidP="001F7890">
      <w:pPr>
        <w:pStyle w:val="p9"/>
        <w:numPr>
          <w:ilvl w:val="0"/>
          <w:numId w:val="7"/>
        </w:numPr>
        <w:spacing w:line="240" w:lineRule="auto"/>
        <w:jc w:val="both"/>
        <w:rPr>
          <w:rFonts w:asciiTheme="majorHAnsi" w:eastAsiaTheme="minorEastAsia" w:hAnsiTheme="majorHAnsi" w:cs="Arial"/>
          <w:sz w:val="22"/>
          <w:szCs w:val="22"/>
        </w:rPr>
      </w:pPr>
      <w:r>
        <w:rPr>
          <w:rFonts w:asciiTheme="majorHAnsi" w:hAnsiTheme="majorHAnsi"/>
          <w:sz w:val="22"/>
          <w:szCs w:val="22"/>
        </w:rPr>
        <w:t xml:space="preserve">Certification par le bureau demandeur que la proposition n’entraîne pas, directement ou indirectement, de responsabilité financière supplémentaire pour le PNUD, sauf comme convenu dans le mémorandum d’accord ; </w:t>
      </w:r>
    </w:p>
    <w:p w14:paraId="713A34D4" w14:textId="77777777" w:rsidR="003C36BE" w:rsidRPr="003A7DB8" w:rsidRDefault="003C36BE" w:rsidP="001F7890">
      <w:pPr>
        <w:pStyle w:val="p9"/>
        <w:spacing w:line="240" w:lineRule="auto"/>
        <w:jc w:val="both"/>
        <w:rPr>
          <w:rFonts w:asciiTheme="majorHAnsi" w:eastAsiaTheme="minorEastAsia" w:hAnsiTheme="majorHAnsi" w:cs="Arial"/>
          <w:sz w:val="22"/>
          <w:szCs w:val="22"/>
        </w:rPr>
      </w:pPr>
    </w:p>
    <w:p w14:paraId="4B5584A6" w14:textId="4C5B9D6F" w:rsidR="0089508B" w:rsidRPr="00A12630" w:rsidRDefault="0089508B" w:rsidP="001F7890">
      <w:pPr>
        <w:pStyle w:val="p9"/>
        <w:numPr>
          <w:ilvl w:val="0"/>
          <w:numId w:val="7"/>
        </w:numPr>
        <w:spacing w:line="240" w:lineRule="auto"/>
        <w:jc w:val="both"/>
        <w:rPr>
          <w:rFonts w:asciiTheme="majorHAnsi" w:eastAsiaTheme="minorEastAsia" w:hAnsiTheme="majorHAnsi" w:cs="Arial"/>
          <w:sz w:val="22"/>
          <w:szCs w:val="22"/>
        </w:rPr>
      </w:pPr>
      <w:r>
        <w:rPr>
          <w:rFonts w:asciiTheme="majorHAnsi" w:hAnsiTheme="majorHAnsi"/>
          <w:sz w:val="22"/>
          <w:szCs w:val="22"/>
        </w:rPr>
        <w:t xml:space="preserve">Examen du mémorandum d’accord par le Bureau juridique, si des changements sont apportés au modèle de mémorandum d’accord ; </w:t>
      </w:r>
    </w:p>
    <w:p w14:paraId="4613101D" w14:textId="77777777" w:rsidR="003C36BE" w:rsidRPr="003A7DB8" w:rsidRDefault="003C36BE" w:rsidP="001F7890">
      <w:pPr>
        <w:pStyle w:val="p9"/>
        <w:spacing w:line="240" w:lineRule="auto"/>
        <w:jc w:val="both"/>
        <w:rPr>
          <w:rFonts w:asciiTheme="majorHAnsi" w:eastAsiaTheme="minorEastAsia" w:hAnsiTheme="majorHAnsi" w:cs="Arial"/>
          <w:sz w:val="22"/>
          <w:szCs w:val="22"/>
        </w:rPr>
      </w:pPr>
    </w:p>
    <w:p w14:paraId="645E0A8A" w14:textId="675C50E9" w:rsidR="003C36BE" w:rsidRPr="00A12630" w:rsidRDefault="002F29A6" w:rsidP="001F7890">
      <w:pPr>
        <w:pStyle w:val="p9"/>
        <w:numPr>
          <w:ilvl w:val="0"/>
          <w:numId w:val="7"/>
        </w:numPr>
        <w:spacing w:line="240" w:lineRule="auto"/>
        <w:jc w:val="both"/>
        <w:rPr>
          <w:rFonts w:asciiTheme="majorHAnsi" w:eastAsiaTheme="minorEastAsia" w:hAnsiTheme="majorHAnsi" w:cs="Arial"/>
          <w:sz w:val="22"/>
          <w:szCs w:val="22"/>
        </w:rPr>
      </w:pPr>
      <w:r>
        <w:rPr>
          <w:rFonts w:asciiTheme="majorHAnsi" w:hAnsiTheme="majorHAnsi"/>
          <w:sz w:val="22"/>
          <w:szCs w:val="22"/>
        </w:rPr>
        <w:t>Le cas échéant, l’approbation du candidat ou des candidats par le Bureau des ressources humaines conformément aux politiques et procédures établies de ce Bureau, à la stratégie de sélection convenue ou à la procédure de sélection spécifique détaillée dans le mémorandum d’accord entre l’Entité partenaire et le bureau bénéficiaire ;</w:t>
      </w:r>
    </w:p>
    <w:p w14:paraId="06C74074" w14:textId="77777777" w:rsidR="003C36BE" w:rsidRPr="003A7DB8" w:rsidRDefault="003C36BE" w:rsidP="001F7890">
      <w:pPr>
        <w:pStyle w:val="p9"/>
        <w:spacing w:line="240" w:lineRule="auto"/>
        <w:jc w:val="both"/>
        <w:rPr>
          <w:rFonts w:asciiTheme="majorHAnsi" w:eastAsiaTheme="minorEastAsia" w:hAnsiTheme="majorHAnsi" w:cs="Arial"/>
          <w:sz w:val="22"/>
          <w:szCs w:val="22"/>
        </w:rPr>
      </w:pPr>
    </w:p>
    <w:p w14:paraId="25006055" w14:textId="7E85D766" w:rsidR="003C36BE" w:rsidRPr="00A12630" w:rsidRDefault="003C36BE" w:rsidP="001F7890">
      <w:pPr>
        <w:pStyle w:val="p9"/>
        <w:numPr>
          <w:ilvl w:val="0"/>
          <w:numId w:val="7"/>
        </w:numPr>
        <w:spacing w:line="240" w:lineRule="auto"/>
        <w:jc w:val="both"/>
        <w:rPr>
          <w:rFonts w:asciiTheme="majorHAnsi" w:eastAsiaTheme="minorEastAsia" w:hAnsiTheme="majorHAnsi" w:cs="Arial"/>
          <w:sz w:val="22"/>
          <w:szCs w:val="22"/>
        </w:rPr>
      </w:pPr>
      <w:r>
        <w:rPr>
          <w:rFonts w:asciiTheme="majorHAnsi" w:hAnsiTheme="majorHAnsi"/>
          <w:sz w:val="22"/>
          <w:szCs w:val="22"/>
        </w:rPr>
        <w:t>Acceptation des candidats par les gouvernements ou les autorités auxquels ils peuvent être affectés pendant la durée du détachement à titre gracieux, le cas échéant.</w:t>
      </w:r>
    </w:p>
    <w:p w14:paraId="1A7C6D94" w14:textId="77777777" w:rsidR="003C36BE" w:rsidRPr="003A7DB8" w:rsidRDefault="003C36BE" w:rsidP="001F7890">
      <w:pPr>
        <w:pStyle w:val="p9"/>
        <w:spacing w:line="240" w:lineRule="auto"/>
        <w:jc w:val="both"/>
        <w:rPr>
          <w:rFonts w:asciiTheme="majorHAnsi" w:eastAsiaTheme="minorEastAsia" w:hAnsiTheme="majorHAnsi" w:cs="Arial"/>
          <w:sz w:val="22"/>
          <w:szCs w:val="22"/>
        </w:rPr>
      </w:pPr>
    </w:p>
    <w:p w14:paraId="3284924B" w14:textId="5C59E3B5" w:rsidR="003C36BE" w:rsidRPr="00A12630" w:rsidRDefault="00A9683F" w:rsidP="001F7890">
      <w:pPr>
        <w:pStyle w:val="p9"/>
        <w:numPr>
          <w:ilvl w:val="0"/>
          <w:numId w:val="12"/>
        </w:numPr>
        <w:spacing w:line="240" w:lineRule="auto"/>
        <w:jc w:val="both"/>
        <w:rPr>
          <w:rFonts w:asciiTheme="majorHAnsi" w:eastAsiaTheme="minorEastAsia" w:hAnsiTheme="majorHAnsi" w:cs="Arial"/>
          <w:sz w:val="22"/>
          <w:szCs w:val="22"/>
        </w:rPr>
      </w:pPr>
      <w:r>
        <w:rPr>
          <w:rFonts w:asciiTheme="majorHAnsi" w:hAnsiTheme="majorHAnsi"/>
          <w:sz w:val="22"/>
          <w:szCs w:val="22"/>
        </w:rPr>
        <w:t>Les exigences du paragraphe 1</w:t>
      </w:r>
      <w:r w:rsidR="009E4B95">
        <w:rPr>
          <w:rFonts w:asciiTheme="majorHAnsi" w:hAnsiTheme="majorHAnsi"/>
          <w:sz w:val="22"/>
          <w:szCs w:val="22"/>
        </w:rPr>
        <w:t>5</w:t>
      </w:r>
      <w:r>
        <w:rPr>
          <w:rFonts w:asciiTheme="majorHAnsi" w:hAnsiTheme="majorHAnsi"/>
          <w:sz w:val="22"/>
          <w:szCs w:val="22"/>
        </w:rPr>
        <w:t xml:space="preserve"> (b) seront énoncées dans le mémorandum d’accord signé entre le PNUD et l’Entité Partenaire.</w:t>
      </w:r>
    </w:p>
    <w:p w14:paraId="22ED24AF" w14:textId="515A7C4B" w:rsidR="003C36BE" w:rsidRPr="003A7DB8" w:rsidRDefault="003C36BE" w:rsidP="00945D0B">
      <w:pPr>
        <w:pStyle w:val="p9"/>
        <w:spacing w:line="238" w:lineRule="exact"/>
        <w:jc w:val="both"/>
        <w:rPr>
          <w:rFonts w:asciiTheme="majorHAnsi" w:eastAsiaTheme="minorEastAsia" w:hAnsiTheme="majorHAnsi" w:cs="Arial"/>
          <w:sz w:val="22"/>
          <w:szCs w:val="22"/>
        </w:rPr>
      </w:pPr>
    </w:p>
    <w:p w14:paraId="175F23B0" w14:textId="4CE94DE8" w:rsidR="001F7890" w:rsidRPr="003A7DB8" w:rsidRDefault="001F7890" w:rsidP="00945D0B">
      <w:pPr>
        <w:pStyle w:val="p9"/>
        <w:spacing w:line="238" w:lineRule="exact"/>
        <w:jc w:val="both"/>
        <w:rPr>
          <w:rFonts w:asciiTheme="majorHAnsi" w:eastAsiaTheme="minorEastAsia" w:hAnsiTheme="majorHAnsi" w:cs="Arial"/>
          <w:sz w:val="22"/>
          <w:szCs w:val="22"/>
        </w:rPr>
      </w:pPr>
    </w:p>
    <w:p w14:paraId="2D5E8969" w14:textId="77777777" w:rsidR="001F7890" w:rsidRPr="003A7DB8" w:rsidRDefault="001F7890" w:rsidP="00945D0B">
      <w:pPr>
        <w:pStyle w:val="p9"/>
        <w:spacing w:line="238" w:lineRule="exact"/>
        <w:jc w:val="both"/>
        <w:rPr>
          <w:rFonts w:asciiTheme="majorHAnsi" w:eastAsiaTheme="minorEastAsia" w:hAnsiTheme="majorHAnsi" w:cs="Arial"/>
          <w:sz w:val="22"/>
          <w:szCs w:val="22"/>
        </w:rPr>
      </w:pPr>
    </w:p>
    <w:p w14:paraId="7EA51474" w14:textId="77777777" w:rsidR="003C36BE" w:rsidRPr="00A12630" w:rsidRDefault="003C36BE" w:rsidP="001F7890">
      <w:pPr>
        <w:pStyle w:val="p9"/>
        <w:spacing w:line="240" w:lineRule="auto"/>
        <w:jc w:val="both"/>
        <w:rPr>
          <w:rFonts w:asciiTheme="majorHAnsi" w:eastAsiaTheme="minorEastAsia" w:hAnsiTheme="majorHAnsi" w:cs="Arial"/>
          <w:sz w:val="22"/>
          <w:szCs w:val="22"/>
          <w:u w:val="single"/>
        </w:rPr>
      </w:pPr>
      <w:r>
        <w:rPr>
          <w:rFonts w:asciiTheme="majorHAnsi" w:hAnsiTheme="majorHAnsi"/>
          <w:sz w:val="22"/>
          <w:szCs w:val="22"/>
          <w:u w:val="single"/>
        </w:rPr>
        <w:lastRenderedPageBreak/>
        <w:t>Durée du service et résiliation des accords</w:t>
      </w:r>
    </w:p>
    <w:p w14:paraId="1E0E9FE7" w14:textId="14F40290" w:rsidR="003C36BE" w:rsidRPr="00A12630" w:rsidRDefault="00946ED9" w:rsidP="001F7890">
      <w:pPr>
        <w:pStyle w:val="p9"/>
        <w:tabs>
          <w:tab w:val="clear" w:pos="691"/>
          <w:tab w:val="left" w:pos="4890"/>
        </w:tabs>
        <w:spacing w:line="240" w:lineRule="auto"/>
        <w:jc w:val="both"/>
        <w:rPr>
          <w:rFonts w:asciiTheme="majorHAnsi" w:eastAsiaTheme="minorEastAsia" w:hAnsiTheme="majorHAnsi" w:cs="Arial"/>
          <w:sz w:val="22"/>
          <w:szCs w:val="22"/>
        </w:rPr>
      </w:pPr>
      <w:r>
        <w:rPr>
          <w:rFonts w:asciiTheme="majorHAnsi" w:hAnsiTheme="majorHAnsi"/>
          <w:sz w:val="22"/>
          <w:szCs w:val="22"/>
        </w:rPr>
        <w:tab/>
      </w:r>
    </w:p>
    <w:p w14:paraId="32191AD7" w14:textId="5EF71B0C" w:rsidR="003C36BE" w:rsidRPr="00A12630" w:rsidRDefault="00803AF4" w:rsidP="001F7890">
      <w:pPr>
        <w:pStyle w:val="p9"/>
        <w:numPr>
          <w:ilvl w:val="0"/>
          <w:numId w:val="12"/>
        </w:numPr>
        <w:spacing w:line="240" w:lineRule="auto"/>
        <w:jc w:val="both"/>
        <w:rPr>
          <w:rFonts w:asciiTheme="majorHAnsi" w:eastAsiaTheme="minorEastAsia" w:hAnsiTheme="majorHAnsi" w:cs="Arial"/>
          <w:sz w:val="22"/>
          <w:szCs w:val="22"/>
        </w:rPr>
      </w:pPr>
      <w:r>
        <w:rPr>
          <w:rFonts w:asciiTheme="majorHAnsi" w:hAnsiTheme="majorHAnsi"/>
          <w:sz w:val="22"/>
          <w:szCs w:val="22"/>
        </w:rPr>
        <w:t xml:space="preserve">Les détachements à titre gracieux sont négociés pour une période n’excédant pas cinq ans. Un détachement à titre gracieux peut être résilié à n’importe quelle date avant son expiration prévue à la demande de la personne détachée, de l’Entité Partenaire ou du PNUD donnant l’avis convenu dans le mémorandum d’accord. </w:t>
      </w:r>
    </w:p>
    <w:p w14:paraId="24CF92DC" w14:textId="77777777" w:rsidR="00945D0B" w:rsidRPr="001F7890" w:rsidRDefault="00945D0B" w:rsidP="001F7890">
      <w:pPr>
        <w:pStyle w:val="p9"/>
        <w:spacing w:line="240" w:lineRule="auto"/>
        <w:jc w:val="both"/>
        <w:rPr>
          <w:rFonts w:asciiTheme="majorHAnsi" w:eastAsiaTheme="minorEastAsia" w:hAnsiTheme="majorHAnsi" w:cs="Arial"/>
          <w:sz w:val="22"/>
          <w:szCs w:val="22"/>
        </w:rPr>
      </w:pPr>
    </w:p>
    <w:p w14:paraId="2E4D5191" w14:textId="77777777" w:rsidR="003C36BE" w:rsidRPr="00A12630" w:rsidRDefault="003C36BE" w:rsidP="001F7890">
      <w:pPr>
        <w:pStyle w:val="p9"/>
        <w:spacing w:line="240" w:lineRule="auto"/>
        <w:jc w:val="both"/>
        <w:rPr>
          <w:rFonts w:asciiTheme="majorHAnsi" w:eastAsiaTheme="minorEastAsia" w:hAnsiTheme="majorHAnsi" w:cs="Arial"/>
          <w:sz w:val="22"/>
          <w:szCs w:val="22"/>
          <w:u w:val="single"/>
        </w:rPr>
      </w:pPr>
      <w:r>
        <w:rPr>
          <w:rFonts w:asciiTheme="majorHAnsi" w:hAnsiTheme="majorHAnsi"/>
          <w:sz w:val="22"/>
          <w:szCs w:val="22"/>
          <w:u w:val="single"/>
        </w:rPr>
        <w:t>Évaluation</w:t>
      </w:r>
    </w:p>
    <w:p w14:paraId="673EFEAA" w14:textId="77777777" w:rsidR="003C36BE" w:rsidRPr="00A12630" w:rsidRDefault="003C36BE" w:rsidP="001F7890">
      <w:pPr>
        <w:pStyle w:val="p9"/>
        <w:spacing w:line="240" w:lineRule="auto"/>
        <w:jc w:val="both"/>
        <w:rPr>
          <w:rFonts w:asciiTheme="majorHAnsi" w:eastAsiaTheme="minorEastAsia" w:hAnsiTheme="majorHAnsi" w:cs="Arial"/>
          <w:sz w:val="22"/>
          <w:szCs w:val="22"/>
          <w:lang w:val="en-CA"/>
        </w:rPr>
      </w:pPr>
    </w:p>
    <w:p w14:paraId="76BCBB89" w14:textId="39F496A9" w:rsidR="003C36BE" w:rsidRPr="00A12630" w:rsidRDefault="003C36BE" w:rsidP="001F7890">
      <w:pPr>
        <w:pStyle w:val="p9"/>
        <w:numPr>
          <w:ilvl w:val="0"/>
          <w:numId w:val="12"/>
        </w:numPr>
        <w:spacing w:line="240" w:lineRule="auto"/>
        <w:jc w:val="both"/>
        <w:rPr>
          <w:rFonts w:asciiTheme="majorHAnsi" w:eastAsiaTheme="minorEastAsia" w:hAnsiTheme="majorHAnsi" w:cs="Arial"/>
          <w:sz w:val="22"/>
          <w:szCs w:val="22"/>
        </w:rPr>
      </w:pPr>
      <w:r>
        <w:rPr>
          <w:rFonts w:asciiTheme="majorHAnsi" w:hAnsiTheme="majorHAnsi"/>
          <w:sz w:val="22"/>
          <w:szCs w:val="22"/>
        </w:rPr>
        <w:t>Une évaluation écrite des services rendus par des personnes détachées à titre gracieux sera effectuée par le Bureau responsable et sera transmise, sur demande, à l’Entité partenaire, avec copie au Bureau des ressources humaines.</w:t>
      </w:r>
    </w:p>
    <w:p w14:paraId="053570E7" w14:textId="77777777" w:rsidR="0067705B" w:rsidRPr="00A12630" w:rsidRDefault="0067705B" w:rsidP="00945D0B">
      <w:pPr>
        <w:jc w:val="both"/>
        <w:rPr>
          <w:rFonts w:asciiTheme="majorHAnsi" w:hAnsiTheme="majorHAnsi" w:cs="Arial"/>
          <w:bCs/>
          <w:sz w:val="20"/>
          <w:szCs w:val="20"/>
        </w:rPr>
      </w:pPr>
    </w:p>
    <w:p w14:paraId="079EEE29" w14:textId="77777777" w:rsidR="005B48A2" w:rsidRPr="00A12630" w:rsidRDefault="005B48A2" w:rsidP="001721EA">
      <w:pPr>
        <w:rPr>
          <w:rFonts w:asciiTheme="majorHAnsi" w:hAnsiTheme="majorHAnsi" w:cs="Arial"/>
          <w:b/>
          <w:bCs/>
          <w:sz w:val="20"/>
          <w:szCs w:val="20"/>
        </w:rPr>
      </w:pPr>
    </w:p>
    <w:p w14:paraId="4FEBCBE8" w14:textId="30B77121" w:rsidR="001721EA" w:rsidRPr="00A12630" w:rsidRDefault="001721EA" w:rsidP="001721EA">
      <w:pPr>
        <w:rPr>
          <w:rFonts w:asciiTheme="majorHAnsi" w:hAnsiTheme="majorHAnsi" w:cs="Arial"/>
          <w:bCs/>
          <w:sz w:val="20"/>
          <w:szCs w:val="20"/>
        </w:rPr>
      </w:pPr>
    </w:p>
    <w:p w14:paraId="0B6C6841" w14:textId="77777777" w:rsidR="005B48A2" w:rsidRPr="00A12630" w:rsidRDefault="005B48A2" w:rsidP="00F21244">
      <w:pPr>
        <w:rPr>
          <w:rFonts w:asciiTheme="majorHAnsi" w:hAnsiTheme="majorHAnsi"/>
        </w:rPr>
      </w:pPr>
    </w:p>
    <w:p w14:paraId="70CC7A73" w14:textId="77777777" w:rsidR="002C093F" w:rsidRPr="00A12630" w:rsidRDefault="002C093F" w:rsidP="00C2526E">
      <w:pPr>
        <w:rPr>
          <w:rFonts w:asciiTheme="majorHAnsi" w:hAnsiTheme="majorHAnsi" w:cs="Arial"/>
          <w:sz w:val="20"/>
          <w:szCs w:val="20"/>
        </w:rPr>
      </w:pPr>
    </w:p>
    <w:p w14:paraId="7F204168" w14:textId="77777777" w:rsidR="002C093F" w:rsidRPr="00A12630" w:rsidRDefault="002C093F" w:rsidP="00C2526E">
      <w:pPr>
        <w:rPr>
          <w:rFonts w:asciiTheme="majorHAnsi" w:hAnsiTheme="majorHAnsi" w:cs="Arial"/>
          <w:sz w:val="20"/>
          <w:szCs w:val="20"/>
        </w:rPr>
      </w:pPr>
    </w:p>
    <w:sectPr w:rsidR="002C093F" w:rsidRPr="00A12630" w:rsidSect="00945D0B">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1899" w14:textId="77777777" w:rsidR="000858AD" w:rsidRDefault="000858AD" w:rsidP="006A295A">
      <w:r>
        <w:separator/>
      </w:r>
    </w:p>
  </w:endnote>
  <w:endnote w:type="continuationSeparator" w:id="0">
    <w:p w14:paraId="06E303D6" w14:textId="77777777" w:rsidR="000858AD" w:rsidRDefault="000858AD"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51A2" w14:textId="77777777" w:rsidR="000C27CF" w:rsidRDefault="000C2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243107"/>
      <w:docPartObj>
        <w:docPartGallery w:val="Page Numbers (Bottom of Page)"/>
        <w:docPartUnique/>
      </w:docPartObj>
    </w:sdtPr>
    <w:sdtEndPr>
      <w:rPr>
        <w:rFonts w:asciiTheme="majorHAnsi" w:hAnsiTheme="majorHAnsi" w:cstheme="majorHAnsi"/>
        <w:sz w:val="22"/>
        <w:szCs w:val="22"/>
      </w:rPr>
    </w:sdtEndPr>
    <w:sdtContent>
      <w:sdt>
        <w:sdtPr>
          <w:rPr>
            <w:rFonts w:asciiTheme="majorHAnsi" w:hAnsiTheme="majorHAnsi" w:cstheme="majorHAnsi"/>
            <w:sz w:val="22"/>
            <w:szCs w:val="22"/>
          </w:rPr>
          <w:id w:val="-1769616900"/>
          <w:docPartObj>
            <w:docPartGallery w:val="Page Numbers (Top of Page)"/>
            <w:docPartUnique/>
          </w:docPartObj>
        </w:sdtPr>
        <w:sdtContent>
          <w:p w14:paraId="185C32C7" w14:textId="62E57828" w:rsidR="00263B0C" w:rsidRPr="001F7890" w:rsidRDefault="00263B0C" w:rsidP="00263B0C">
            <w:pPr>
              <w:pStyle w:val="Footer"/>
              <w:rPr>
                <w:rFonts w:asciiTheme="majorHAnsi" w:hAnsiTheme="majorHAnsi" w:cstheme="majorHAnsi"/>
                <w:sz w:val="22"/>
                <w:szCs w:val="22"/>
              </w:rPr>
            </w:pPr>
            <w:r w:rsidRPr="001F7890">
              <w:rPr>
                <w:rFonts w:asciiTheme="majorHAnsi" w:hAnsiTheme="majorHAnsi" w:cstheme="majorHAnsi"/>
                <w:sz w:val="22"/>
                <w:szCs w:val="22"/>
              </w:rPr>
              <w:t xml:space="preserve">Page </w:t>
            </w:r>
            <w:r w:rsidRPr="001F7890">
              <w:rPr>
                <w:rFonts w:asciiTheme="majorHAnsi" w:hAnsiTheme="majorHAnsi" w:cstheme="majorHAnsi"/>
                <w:b/>
                <w:bCs/>
                <w:sz w:val="22"/>
                <w:szCs w:val="22"/>
              </w:rPr>
              <w:fldChar w:fldCharType="begin"/>
            </w:r>
            <w:r w:rsidRPr="001F7890">
              <w:rPr>
                <w:rFonts w:asciiTheme="majorHAnsi" w:hAnsiTheme="majorHAnsi" w:cstheme="majorHAnsi"/>
                <w:b/>
                <w:bCs/>
                <w:sz w:val="22"/>
                <w:szCs w:val="22"/>
              </w:rPr>
              <w:instrText xml:space="preserve"> PAGE </w:instrText>
            </w:r>
            <w:r w:rsidRPr="001F7890">
              <w:rPr>
                <w:rFonts w:asciiTheme="majorHAnsi" w:hAnsiTheme="majorHAnsi" w:cstheme="majorHAnsi"/>
                <w:b/>
                <w:bCs/>
                <w:sz w:val="22"/>
                <w:szCs w:val="22"/>
              </w:rPr>
              <w:fldChar w:fldCharType="separate"/>
            </w:r>
            <w:r w:rsidR="001F7890">
              <w:rPr>
                <w:rFonts w:asciiTheme="majorHAnsi" w:hAnsiTheme="majorHAnsi" w:cstheme="majorHAnsi"/>
                <w:b/>
                <w:bCs/>
                <w:noProof/>
                <w:sz w:val="22"/>
                <w:szCs w:val="22"/>
              </w:rPr>
              <w:t>4</w:t>
            </w:r>
            <w:r w:rsidRPr="001F7890">
              <w:rPr>
                <w:rFonts w:asciiTheme="majorHAnsi" w:hAnsiTheme="majorHAnsi" w:cstheme="majorHAnsi"/>
                <w:b/>
                <w:bCs/>
                <w:sz w:val="22"/>
                <w:szCs w:val="22"/>
              </w:rPr>
              <w:fldChar w:fldCharType="end"/>
            </w:r>
            <w:r w:rsidRPr="001F7890">
              <w:rPr>
                <w:rFonts w:asciiTheme="majorHAnsi" w:hAnsiTheme="majorHAnsi" w:cstheme="majorHAnsi"/>
                <w:sz w:val="22"/>
                <w:szCs w:val="22"/>
              </w:rPr>
              <w:t xml:space="preserve"> sur </w:t>
            </w:r>
            <w:r w:rsidRPr="001F7890">
              <w:rPr>
                <w:rFonts w:asciiTheme="majorHAnsi" w:hAnsiTheme="majorHAnsi" w:cstheme="majorHAnsi"/>
                <w:b/>
                <w:bCs/>
                <w:sz w:val="22"/>
                <w:szCs w:val="22"/>
              </w:rPr>
              <w:fldChar w:fldCharType="begin"/>
            </w:r>
            <w:r w:rsidRPr="001F7890">
              <w:rPr>
                <w:rFonts w:asciiTheme="majorHAnsi" w:hAnsiTheme="majorHAnsi" w:cstheme="majorHAnsi"/>
                <w:b/>
                <w:bCs/>
                <w:sz w:val="22"/>
                <w:szCs w:val="22"/>
              </w:rPr>
              <w:instrText xml:space="preserve"> NUMPAGES  </w:instrText>
            </w:r>
            <w:r w:rsidRPr="001F7890">
              <w:rPr>
                <w:rFonts w:asciiTheme="majorHAnsi" w:hAnsiTheme="majorHAnsi" w:cstheme="majorHAnsi"/>
                <w:b/>
                <w:bCs/>
                <w:sz w:val="22"/>
                <w:szCs w:val="22"/>
              </w:rPr>
              <w:fldChar w:fldCharType="separate"/>
            </w:r>
            <w:r w:rsidR="001F7890">
              <w:rPr>
                <w:rFonts w:asciiTheme="majorHAnsi" w:hAnsiTheme="majorHAnsi" w:cstheme="majorHAnsi"/>
                <w:b/>
                <w:bCs/>
                <w:noProof/>
                <w:sz w:val="22"/>
                <w:szCs w:val="22"/>
              </w:rPr>
              <w:t>4</w:t>
            </w:r>
            <w:r w:rsidRPr="001F7890">
              <w:rPr>
                <w:rFonts w:asciiTheme="majorHAnsi" w:hAnsiTheme="majorHAnsi" w:cstheme="majorHAnsi"/>
                <w:b/>
                <w:bCs/>
                <w:sz w:val="22"/>
                <w:szCs w:val="22"/>
              </w:rPr>
              <w:fldChar w:fldCharType="end"/>
            </w:r>
            <w:r w:rsidR="001F7890" w:rsidRPr="001F7890">
              <w:rPr>
                <w:rFonts w:asciiTheme="majorHAnsi" w:hAnsiTheme="majorHAnsi" w:cstheme="majorHAnsi"/>
                <w:b/>
                <w:bCs/>
                <w:sz w:val="22"/>
                <w:szCs w:val="22"/>
              </w:rPr>
              <w:tab/>
            </w:r>
            <w:r w:rsidRPr="001F7890">
              <w:rPr>
                <w:rFonts w:asciiTheme="majorHAnsi" w:hAnsiTheme="majorHAnsi" w:cstheme="majorHAnsi"/>
                <w:b/>
                <w:bCs/>
                <w:sz w:val="22"/>
                <w:szCs w:val="22"/>
              </w:rPr>
              <w:t>Date d’entrée en vigueur :</w:t>
            </w:r>
            <w:r w:rsidR="008E6B0A" w:rsidRPr="008E6B0A">
              <w:t xml:space="preserve"> </w:t>
            </w:r>
            <w:r w:rsidR="008E6B0A" w:rsidRPr="008E6B0A">
              <w:rPr>
                <w:rFonts w:asciiTheme="majorHAnsi" w:hAnsiTheme="majorHAnsi" w:cstheme="majorHAnsi"/>
                <w:b/>
                <w:bCs/>
                <w:sz w:val="22"/>
                <w:szCs w:val="22"/>
              </w:rPr>
              <w:t>25/01/2018</w:t>
            </w:r>
            <w:r w:rsidR="001F7890" w:rsidRPr="001F7890">
              <w:rPr>
                <w:rFonts w:asciiTheme="majorHAnsi" w:hAnsiTheme="majorHAnsi" w:cstheme="majorHAnsi"/>
                <w:b/>
                <w:bCs/>
                <w:sz w:val="22"/>
                <w:szCs w:val="22"/>
              </w:rPr>
              <w:tab/>
            </w:r>
            <w:r w:rsidRPr="001F7890">
              <w:rPr>
                <w:rFonts w:asciiTheme="majorHAnsi" w:hAnsiTheme="majorHAnsi" w:cstheme="majorHAnsi"/>
                <w:b/>
                <w:bCs/>
                <w:sz w:val="22"/>
                <w:szCs w:val="22"/>
              </w:rPr>
              <w:t xml:space="preserve">Version : </w:t>
            </w:r>
            <w:sdt>
              <w:sdtPr>
                <w:rPr>
                  <w:rFonts w:asciiTheme="majorHAnsi" w:hAnsiTheme="majorHAnsi" w:cstheme="majorHAnsi"/>
                  <w:b/>
                  <w:bCs/>
                  <w:sz w:val="22"/>
                  <w:szCs w:val="22"/>
                </w:rPr>
                <w:alias w:val="FileVersionID"/>
                <w:tag w:val="UNDP_POPP_FILEVERSION"/>
                <w:id w:val="10045551"/>
                <w:placeholder>
                  <w:docPart w:val="A24F842AB7E847468DD20DAC8DD9556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FILEVERSION[1]" w:storeItemID="{15B243C3-A726-4697-A075-A6D3D6EC7181}"/>
                <w:text/>
              </w:sdtPr>
              <w:sdtContent>
                <w:r w:rsidR="000C27CF">
                  <w:rPr>
                    <w:rFonts w:asciiTheme="majorHAnsi" w:hAnsiTheme="majorHAnsi" w:cstheme="majorHAnsi"/>
                    <w:b/>
                    <w:bCs/>
                    <w:sz w:val="22"/>
                    <w:szCs w:val="22"/>
                  </w:rPr>
                  <w:t>3</w:t>
                </w:r>
              </w:sdtContent>
            </w:sdt>
          </w:p>
        </w:sdtContent>
      </w:sdt>
    </w:sdtContent>
  </w:sdt>
  <w:p w14:paraId="232E6EE8" w14:textId="28D54246" w:rsidR="00F820D3" w:rsidRPr="00263B0C" w:rsidRDefault="00F820D3" w:rsidP="00263B0C">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14E7" w14:textId="77777777" w:rsidR="000C27CF" w:rsidRDefault="000C2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B930" w14:textId="77777777" w:rsidR="000858AD" w:rsidRDefault="000858AD" w:rsidP="006A295A">
      <w:r>
        <w:separator/>
      </w:r>
    </w:p>
  </w:footnote>
  <w:footnote w:type="continuationSeparator" w:id="0">
    <w:p w14:paraId="643E4792" w14:textId="77777777" w:rsidR="000858AD" w:rsidRDefault="000858AD" w:rsidP="006A295A">
      <w:r>
        <w:continuationSeparator/>
      </w:r>
    </w:p>
  </w:footnote>
  <w:footnote w:id="1">
    <w:p w14:paraId="766BE4BB" w14:textId="5E4C4520" w:rsidR="00473FB4" w:rsidRPr="00945D0B" w:rsidRDefault="00473FB4" w:rsidP="00945D0B">
      <w:pPr>
        <w:pStyle w:val="FootnoteText"/>
        <w:jc w:val="both"/>
        <w:rPr>
          <w:rFonts w:ascii="Arial" w:hAnsi="Arial" w:cs="Arial"/>
        </w:rPr>
      </w:pPr>
      <w:r>
        <w:rPr>
          <w:rStyle w:val="FootnoteReference"/>
          <w:rFonts w:ascii="Arial" w:hAnsi="Arial" w:cs="Arial"/>
        </w:rPr>
        <w:footnoteRef/>
      </w:r>
      <w:r>
        <w:rPr>
          <w:rFonts w:ascii="Arial" w:hAnsi="Arial"/>
        </w:rPr>
        <w:t xml:space="preserve"> </w:t>
      </w:r>
      <w:r>
        <w:rPr>
          <w:rFonts w:asciiTheme="majorHAnsi" w:hAnsiTheme="majorHAnsi"/>
        </w:rPr>
        <w:tab/>
        <w:t>« Règlement régissant le statut, les droits et obligations élémentaires des personnalités au service de l’ONU non-fonctionnaires du Secrétariat et des experts en 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567F" w14:textId="77777777" w:rsidR="000C27CF" w:rsidRDefault="000C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4E3E" w14:textId="5BF4B194" w:rsidR="00263B0C" w:rsidRDefault="00263B0C" w:rsidP="00263B0C">
    <w:pPr>
      <w:pStyle w:val="Header"/>
      <w:jc w:val="right"/>
    </w:pPr>
    <w:r>
      <w:rPr>
        <w:noProof/>
        <w:lang w:val="en-US"/>
      </w:rPr>
      <w:drawing>
        <wp:inline distT="0" distB="0" distL="0" distR="0" wp14:anchorId="61DEAB39" wp14:editId="310195E4">
          <wp:extent cx="30480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6495"/>
                  <a:stretch/>
                </pic:blipFill>
                <pic:spPr bwMode="auto">
                  <a:xfrm>
                    <a:off x="0" y="0"/>
                    <a:ext cx="304800" cy="6172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F036" w14:textId="77777777" w:rsidR="000C27CF" w:rsidRDefault="000C2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50D"/>
    <w:multiLevelType w:val="hybridMultilevel"/>
    <w:tmpl w:val="7CA8BBD6"/>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0D7F"/>
    <w:multiLevelType w:val="hybridMultilevel"/>
    <w:tmpl w:val="04AC7C90"/>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D4565"/>
    <w:multiLevelType w:val="hybridMultilevel"/>
    <w:tmpl w:val="5F7A23CE"/>
    <w:lvl w:ilvl="0" w:tplc="51C0C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A4565"/>
    <w:multiLevelType w:val="hybridMultilevel"/>
    <w:tmpl w:val="F43AF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573FF"/>
    <w:multiLevelType w:val="hybridMultilevel"/>
    <w:tmpl w:val="07BE7FC2"/>
    <w:lvl w:ilvl="0" w:tplc="CA441A3E">
      <w:start w:val="1"/>
      <w:numFmt w:val="decimal"/>
      <w:lvlText w:val="%1."/>
      <w:lvlJc w:val="left"/>
      <w:pPr>
        <w:ind w:left="81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97E3F"/>
    <w:multiLevelType w:val="hybridMultilevel"/>
    <w:tmpl w:val="DD4E9F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80715"/>
    <w:multiLevelType w:val="hybridMultilevel"/>
    <w:tmpl w:val="5D167A5E"/>
    <w:lvl w:ilvl="0" w:tplc="B40CA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00F66"/>
    <w:multiLevelType w:val="hybridMultilevel"/>
    <w:tmpl w:val="E7FC6EEA"/>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566B6"/>
    <w:multiLevelType w:val="hybridMultilevel"/>
    <w:tmpl w:val="267E2D70"/>
    <w:lvl w:ilvl="0" w:tplc="0AB05592">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41925"/>
    <w:multiLevelType w:val="hybridMultilevel"/>
    <w:tmpl w:val="9710A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CD5D37"/>
    <w:multiLevelType w:val="hybridMultilevel"/>
    <w:tmpl w:val="B958DCEC"/>
    <w:lvl w:ilvl="0" w:tplc="1009000F">
      <w:start w:val="1"/>
      <w:numFmt w:val="decimal"/>
      <w:lvlText w:val="%1."/>
      <w:lvlJc w:val="left"/>
      <w:pPr>
        <w:ind w:left="644"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1C21C1"/>
    <w:multiLevelType w:val="hybridMultilevel"/>
    <w:tmpl w:val="4CEA01EC"/>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84320">
    <w:abstractNumId w:val="4"/>
  </w:num>
  <w:num w:numId="2" w16cid:durableId="846287356">
    <w:abstractNumId w:val="6"/>
  </w:num>
  <w:num w:numId="3" w16cid:durableId="664169122">
    <w:abstractNumId w:val="1"/>
  </w:num>
  <w:num w:numId="4" w16cid:durableId="403378130">
    <w:abstractNumId w:val="0"/>
  </w:num>
  <w:num w:numId="5" w16cid:durableId="259415471">
    <w:abstractNumId w:val="7"/>
  </w:num>
  <w:num w:numId="6" w16cid:durableId="1666080844">
    <w:abstractNumId w:val="11"/>
  </w:num>
  <w:num w:numId="7" w16cid:durableId="376855845">
    <w:abstractNumId w:val="5"/>
  </w:num>
  <w:num w:numId="8" w16cid:durableId="309096129">
    <w:abstractNumId w:val="8"/>
  </w:num>
  <w:num w:numId="9" w16cid:durableId="1909026648">
    <w:abstractNumId w:val="3"/>
  </w:num>
  <w:num w:numId="10" w16cid:durableId="224336784">
    <w:abstractNumId w:val="9"/>
  </w:num>
  <w:num w:numId="11" w16cid:durableId="2069113219">
    <w:abstractNumId w:val="2"/>
  </w:num>
  <w:num w:numId="12" w16cid:durableId="8159484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32B1"/>
    <w:rsid w:val="000272CC"/>
    <w:rsid w:val="000310DF"/>
    <w:rsid w:val="0003229B"/>
    <w:rsid w:val="0003635E"/>
    <w:rsid w:val="000417A0"/>
    <w:rsid w:val="00041E6A"/>
    <w:rsid w:val="00061CF4"/>
    <w:rsid w:val="00062064"/>
    <w:rsid w:val="00065BF8"/>
    <w:rsid w:val="00066C36"/>
    <w:rsid w:val="00077DAE"/>
    <w:rsid w:val="000858AD"/>
    <w:rsid w:val="00093844"/>
    <w:rsid w:val="00094833"/>
    <w:rsid w:val="00096091"/>
    <w:rsid w:val="000A7ACF"/>
    <w:rsid w:val="000C27CF"/>
    <w:rsid w:val="000E14EA"/>
    <w:rsid w:val="000E7113"/>
    <w:rsid w:val="000F1930"/>
    <w:rsid w:val="00100532"/>
    <w:rsid w:val="00106DBB"/>
    <w:rsid w:val="00110F56"/>
    <w:rsid w:val="00113F8B"/>
    <w:rsid w:val="001353DF"/>
    <w:rsid w:val="00135985"/>
    <w:rsid w:val="00140F90"/>
    <w:rsid w:val="00143010"/>
    <w:rsid w:val="001452A7"/>
    <w:rsid w:val="00150F0B"/>
    <w:rsid w:val="00157EE7"/>
    <w:rsid w:val="00160BC9"/>
    <w:rsid w:val="00164378"/>
    <w:rsid w:val="001721EA"/>
    <w:rsid w:val="00174956"/>
    <w:rsid w:val="001758AE"/>
    <w:rsid w:val="001769F5"/>
    <w:rsid w:val="00183B75"/>
    <w:rsid w:val="00191BBF"/>
    <w:rsid w:val="00192536"/>
    <w:rsid w:val="00195A93"/>
    <w:rsid w:val="001A65ED"/>
    <w:rsid w:val="001A66C2"/>
    <w:rsid w:val="001B1050"/>
    <w:rsid w:val="001B73B4"/>
    <w:rsid w:val="001C2408"/>
    <w:rsid w:val="001C2635"/>
    <w:rsid w:val="001C3DE7"/>
    <w:rsid w:val="001E677A"/>
    <w:rsid w:val="001F1AFC"/>
    <w:rsid w:val="001F749E"/>
    <w:rsid w:val="001F7890"/>
    <w:rsid w:val="002103F1"/>
    <w:rsid w:val="00211F9B"/>
    <w:rsid w:val="00215D6F"/>
    <w:rsid w:val="00220B70"/>
    <w:rsid w:val="00223746"/>
    <w:rsid w:val="00227F40"/>
    <w:rsid w:val="00230AF2"/>
    <w:rsid w:val="00233CA0"/>
    <w:rsid w:val="00243A3C"/>
    <w:rsid w:val="0025026B"/>
    <w:rsid w:val="002545E5"/>
    <w:rsid w:val="00262872"/>
    <w:rsid w:val="00262C6D"/>
    <w:rsid w:val="00263B0C"/>
    <w:rsid w:val="0026783C"/>
    <w:rsid w:val="00274531"/>
    <w:rsid w:val="002756E1"/>
    <w:rsid w:val="002772F6"/>
    <w:rsid w:val="00280A4D"/>
    <w:rsid w:val="00284B85"/>
    <w:rsid w:val="0029649C"/>
    <w:rsid w:val="002975FB"/>
    <w:rsid w:val="002B5C83"/>
    <w:rsid w:val="002B64D2"/>
    <w:rsid w:val="002B7A1B"/>
    <w:rsid w:val="002C093F"/>
    <w:rsid w:val="002D07E6"/>
    <w:rsid w:val="002D1000"/>
    <w:rsid w:val="002E1476"/>
    <w:rsid w:val="002E6F44"/>
    <w:rsid w:val="002F29A6"/>
    <w:rsid w:val="002F5AB8"/>
    <w:rsid w:val="0030458A"/>
    <w:rsid w:val="00304E99"/>
    <w:rsid w:val="00305F31"/>
    <w:rsid w:val="00305F84"/>
    <w:rsid w:val="00325B4B"/>
    <w:rsid w:val="00330380"/>
    <w:rsid w:val="003317F3"/>
    <w:rsid w:val="003324CE"/>
    <w:rsid w:val="00332CE9"/>
    <w:rsid w:val="00334857"/>
    <w:rsid w:val="00335F4F"/>
    <w:rsid w:val="00366363"/>
    <w:rsid w:val="00367FD8"/>
    <w:rsid w:val="00375E95"/>
    <w:rsid w:val="00382FA3"/>
    <w:rsid w:val="0038462C"/>
    <w:rsid w:val="00397429"/>
    <w:rsid w:val="0039776F"/>
    <w:rsid w:val="003A01C3"/>
    <w:rsid w:val="003A0676"/>
    <w:rsid w:val="003A2129"/>
    <w:rsid w:val="003A5B8B"/>
    <w:rsid w:val="003A750B"/>
    <w:rsid w:val="003A7DB8"/>
    <w:rsid w:val="003C2398"/>
    <w:rsid w:val="003C36BE"/>
    <w:rsid w:val="003C6EED"/>
    <w:rsid w:val="003D48A7"/>
    <w:rsid w:val="003E4F38"/>
    <w:rsid w:val="003E64D1"/>
    <w:rsid w:val="003E6DEC"/>
    <w:rsid w:val="003F0E28"/>
    <w:rsid w:val="003F3A87"/>
    <w:rsid w:val="004022C0"/>
    <w:rsid w:val="00404489"/>
    <w:rsid w:val="00406F0E"/>
    <w:rsid w:val="00423A17"/>
    <w:rsid w:val="00423F81"/>
    <w:rsid w:val="0042460F"/>
    <w:rsid w:val="0042497F"/>
    <w:rsid w:val="00424CED"/>
    <w:rsid w:val="004277A6"/>
    <w:rsid w:val="00436BCA"/>
    <w:rsid w:val="0044119F"/>
    <w:rsid w:val="00441BE3"/>
    <w:rsid w:val="00444B04"/>
    <w:rsid w:val="00444FB4"/>
    <w:rsid w:val="00445DC6"/>
    <w:rsid w:val="0044662D"/>
    <w:rsid w:val="00451165"/>
    <w:rsid w:val="00473FB4"/>
    <w:rsid w:val="00481E14"/>
    <w:rsid w:val="00490A35"/>
    <w:rsid w:val="004931DF"/>
    <w:rsid w:val="0049499C"/>
    <w:rsid w:val="004954B0"/>
    <w:rsid w:val="004A4992"/>
    <w:rsid w:val="004A52C2"/>
    <w:rsid w:val="004B7DEB"/>
    <w:rsid w:val="004C0017"/>
    <w:rsid w:val="004C4D48"/>
    <w:rsid w:val="004D1B93"/>
    <w:rsid w:val="004D7DEE"/>
    <w:rsid w:val="004E3AD4"/>
    <w:rsid w:val="004F57B4"/>
    <w:rsid w:val="00502F55"/>
    <w:rsid w:val="00503DE2"/>
    <w:rsid w:val="0051161D"/>
    <w:rsid w:val="005123D1"/>
    <w:rsid w:val="00513366"/>
    <w:rsid w:val="00526433"/>
    <w:rsid w:val="0053145F"/>
    <w:rsid w:val="00545752"/>
    <w:rsid w:val="005472FF"/>
    <w:rsid w:val="0055287D"/>
    <w:rsid w:val="005652C4"/>
    <w:rsid w:val="00575CB3"/>
    <w:rsid w:val="005763E0"/>
    <w:rsid w:val="00587B0A"/>
    <w:rsid w:val="00596264"/>
    <w:rsid w:val="005A4CF6"/>
    <w:rsid w:val="005B0874"/>
    <w:rsid w:val="005B48A2"/>
    <w:rsid w:val="005B5FCE"/>
    <w:rsid w:val="005D4E8D"/>
    <w:rsid w:val="005D58ED"/>
    <w:rsid w:val="005D7317"/>
    <w:rsid w:val="005E2BD3"/>
    <w:rsid w:val="005F1DEA"/>
    <w:rsid w:val="005F3CB1"/>
    <w:rsid w:val="005F5ECB"/>
    <w:rsid w:val="005F5F45"/>
    <w:rsid w:val="006030BD"/>
    <w:rsid w:val="00603870"/>
    <w:rsid w:val="00603F47"/>
    <w:rsid w:val="00610F7A"/>
    <w:rsid w:val="00613891"/>
    <w:rsid w:val="0063669D"/>
    <w:rsid w:val="006411DD"/>
    <w:rsid w:val="00650679"/>
    <w:rsid w:val="0065617D"/>
    <w:rsid w:val="00670082"/>
    <w:rsid w:val="0067705B"/>
    <w:rsid w:val="00690825"/>
    <w:rsid w:val="00691F10"/>
    <w:rsid w:val="006930F4"/>
    <w:rsid w:val="006A207F"/>
    <w:rsid w:val="006A295A"/>
    <w:rsid w:val="006A34A2"/>
    <w:rsid w:val="006A67C6"/>
    <w:rsid w:val="006A7479"/>
    <w:rsid w:val="006B45C4"/>
    <w:rsid w:val="006B7090"/>
    <w:rsid w:val="006B7780"/>
    <w:rsid w:val="006C2FAF"/>
    <w:rsid w:val="006C350F"/>
    <w:rsid w:val="006C42B3"/>
    <w:rsid w:val="006D3C6D"/>
    <w:rsid w:val="006E059A"/>
    <w:rsid w:val="006E0989"/>
    <w:rsid w:val="006E268A"/>
    <w:rsid w:val="006E376C"/>
    <w:rsid w:val="006F3AC4"/>
    <w:rsid w:val="007010B6"/>
    <w:rsid w:val="0070226D"/>
    <w:rsid w:val="00703197"/>
    <w:rsid w:val="0070350B"/>
    <w:rsid w:val="00705BB8"/>
    <w:rsid w:val="00706357"/>
    <w:rsid w:val="00715300"/>
    <w:rsid w:val="0072103B"/>
    <w:rsid w:val="00727471"/>
    <w:rsid w:val="0074377C"/>
    <w:rsid w:val="0075595F"/>
    <w:rsid w:val="00755FF2"/>
    <w:rsid w:val="007817A3"/>
    <w:rsid w:val="007831A3"/>
    <w:rsid w:val="0078327E"/>
    <w:rsid w:val="00797735"/>
    <w:rsid w:val="007A6321"/>
    <w:rsid w:val="007A6BA9"/>
    <w:rsid w:val="007C29A0"/>
    <w:rsid w:val="007C2F5D"/>
    <w:rsid w:val="007D1FFB"/>
    <w:rsid w:val="007D7F37"/>
    <w:rsid w:val="007E3624"/>
    <w:rsid w:val="007F4DD6"/>
    <w:rsid w:val="008029E8"/>
    <w:rsid w:val="00803AF4"/>
    <w:rsid w:val="00806AF2"/>
    <w:rsid w:val="00827877"/>
    <w:rsid w:val="008278C0"/>
    <w:rsid w:val="0083398D"/>
    <w:rsid w:val="008344AC"/>
    <w:rsid w:val="008426D0"/>
    <w:rsid w:val="00845E91"/>
    <w:rsid w:val="00855AFA"/>
    <w:rsid w:val="00866899"/>
    <w:rsid w:val="00867D24"/>
    <w:rsid w:val="00875100"/>
    <w:rsid w:val="00877E6E"/>
    <w:rsid w:val="008831FC"/>
    <w:rsid w:val="00884443"/>
    <w:rsid w:val="0089508B"/>
    <w:rsid w:val="00896A1D"/>
    <w:rsid w:val="00897087"/>
    <w:rsid w:val="008A1C09"/>
    <w:rsid w:val="008A1C4E"/>
    <w:rsid w:val="008A2E47"/>
    <w:rsid w:val="008B19DB"/>
    <w:rsid w:val="008B6C81"/>
    <w:rsid w:val="008C3344"/>
    <w:rsid w:val="008D110A"/>
    <w:rsid w:val="008D41FB"/>
    <w:rsid w:val="008D5F10"/>
    <w:rsid w:val="008E6B0A"/>
    <w:rsid w:val="008F5620"/>
    <w:rsid w:val="008F58AD"/>
    <w:rsid w:val="00913139"/>
    <w:rsid w:val="00916DE8"/>
    <w:rsid w:val="00924244"/>
    <w:rsid w:val="009260BB"/>
    <w:rsid w:val="0092723A"/>
    <w:rsid w:val="00930A9B"/>
    <w:rsid w:val="00933CE3"/>
    <w:rsid w:val="00935E00"/>
    <w:rsid w:val="00941600"/>
    <w:rsid w:val="00942575"/>
    <w:rsid w:val="00945D0B"/>
    <w:rsid w:val="00946ED9"/>
    <w:rsid w:val="00956154"/>
    <w:rsid w:val="00964AB5"/>
    <w:rsid w:val="009651EE"/>
    <w:rsid w:val="00966B62"/>
    <w:rsid w:val="00970ADE"/>
    <w:rsid w:val="009716EB"/>
    <w:rsid w:val="0098120F"/>
    <w:rsid w:val="00981247"/>
    <w:rsid w:val="00995142"/>
    <w:rsid w:val="009A109A"/>
    <w:rsid w:val="009A1991"/>
    <w:rsid w:val="009A4D8C"/>
    <w:rsid w:val="009A5852"/>
    <w:rsid w:val="009B01D6"/>
    <w:rsid w:val="009B2C7F"/>
    <w:rsid w:val="009C5B56"/>
    <w:rsid w:val="009D0715"/>
    <w:rsid w:val="009D485F"/>
    <w:rsid w:val="009E4B95"/>
    <w:rsid w:val="009F6094"/>
    <w:rsid w:val="00A03301"/>
    <w:rsid w:val="00A12630"/>
    <w:rsid w:val="00A25163"/>
    <w:rsid w:val="00A30C6A"/>
    <w:rsid w:val="00A3399E"/>
    <w:rsid w:val="00A41D22"/>
    <w:rsid w:val="00A510E6"/>
    <w:rsid w:val="00A5247B"/>
    <w:rsid w:val="00A60B1C"/>
    <w:rsid w:val="00A71657"/>
    <w:rsid w:val="00A7766D"/>
    <w:rsid w:val="00A92BC2"/>
    <w:rsid w:val="00A93CF9"/>
    <w:rsid w:val="00A9683F"/>
    <w:rsid w:val="00AA03D3"/>
    <w:rsid w:val="00AA38F7"/>
    <w:rsid w:val="00AB36F8"/>
    <w:rsid w:val="00AB5C74"/>
    <w:rsid w:val="00AC3F36"/>
    <w:rsid w:val="00AC4D80"/>
    <w:rsid w:val="00AE13D6"/>
    <w:rsid w:val="00AE3F8A"/>
    <w:rsid w:val="00B2646B"/>
    <w:rsid w:val="00B272AE"/>
    <w:rsid w:val="00B339E4"/>
    <w:rsid w:val="00B40043"/>
    <w:rsid w:val="00B41379"/>
    <w:rsid w:val="00B45CD4"/>
    <w:rsid w:val="00B5456D"/>
    <w:rsid w:val="00B6476B"/>
    <w:rsid w:val="00B70603"/>
    <w:rsid w:val="00B71771"/>
    <w:rsid w:val="00B71C90"/>
    <w:rsid w:val="00B750AF"/>
    <w:rsid w:val="00B7602D"/>
    <w:rsid w:val="00B76415"/>
    <w:rsid w:val="00B8069A"/>
    <w:rsid w:val="00B92CEB"/>
    <w:rsid w:val="00B9368B"/>
    <w:rsid w:val="00B9404F"/>
    <w:rsid w:val="00B969A3"/>
    <w:rsid w:val="00BA7887"/>
    <w:rsid w:val="00BB758D"/>
    <w:rsid w:val="00BC5E91"/>
    <w:rsid w:val="00BE3400"/>
    <w:rsid w:val="00BE366D"/>
    <w:rsid w:val="00BF0FDC"/>
    <w:rsid w:val="00C01D33"/>
    <w:rsid w:val="00C21356"/>
    <w:rsid w:val="00C22F37"/>
    <w:rsid w:val="00C2526E"/>
    <w:rsid w:val="00C26A7F"/>
    <w:rsid w:val="00C3215F"/>
    <w:rsid w:val="00C328EC"/>
    <w:rsid w:val="00C329D5"/>
    <w:rsid w:val="00C51A0E"/>
    <w:rsid w:val="00C55CD8"/>
    <w:rsid w:val="00C63312"/>
    <w:rsid w:val="00C703BF"/>
    <w:rsid w:val="00C70F9D"/>
    <w:rsid w:val="00C80061"/>
    <w:rsid w:val="00C808DD"/>
    <w:rsid w:val="00C80B5E"/>
    <w:rsid w:val="00C9252D"/>
    <w:rsid w:val="00C927C9"/>
    <w:rsid w:val="00C9352A"/>
    <w:rsid w:val="00C93B64"/>
    <w:rsid w:val="00C96526"/>
    <w:rsid w:val="00C97B4A"/>
    <w:rsid w:val="00CA48F9"/>
    <w:rsid w:val="00CC0745"/>
    <w:rsid w:val="00CC69D5"/>
    <w:rsid w:val="00CC7EB3"/>
    <w:rsid w:val="00CD0014"/>
    <w:rsid w:val="00CD0E7F"/>
    <w:rsid w:val="00CD6846"/>
    <w:rsid w:val="00CE6DD4"/>
    <w:rsid w:val="00CF08BB"/>
    <w:rsid w:val="00CF4B6C"/>
    <w:rsid w:val="00CF6CE4"/>
    <w:rsid w:val="00CF7D32"/>
    <w:rsid w:val="00D007FB"/>
    <w:rsid w:val="00D015BE"/>
    <w:rsid w:val="00D0722B"/>
    <w:rsid w:val="00D47BDC"/>
    <w:rsid w:val="00D537A2"/>
    <w:rsid w:val="00D5679F"/>
    <w:rsid w:val="00D62808"/>
    <w:rsid w:val="00D726D2"/>
    <w:rsid w:val="00D75ED1"/>
    <w:rsid w:val="00D7725C"/>
    <w:rsid w:val="00D8447D"/>
    <w:rsid w:val="00D91F65"/>
    <w:rsid w:val="00DA0B73"/>
    <w:rsid w:val="00DA269C"/>
    <w:rsid w:val="00DA70FE"/>
    <w:rsid w:val="00DA7D35"/>
    <w:rsid w:val="00DA7D83"/>
    <w:rsid w:val="00DC2958"/>
    <w:rsid w:val="00DD67C9"/>
    <w:rsid w:val="00DE03FF"/>
    <w:rsid w:val="00DE1D47"/>
    <w:rsid w:val="00DE4B1D"/>
    <w:rsid w:val="00DF029C"/>
    <w:rsid w:val="00DF0531"/>
    <w:rsid w:val="00E052B8"/>
    <w:rsid w:val="00E1290B"/>
    <w:rsid w:val="00E14462"/>
    <w:rsid w:val="00E1609B"/>
    <w:rsid w:val="00E2224D"/>
    <w:rsid w:val="00E236DD"/>
    <w:rsid w:val="00E400D3"/>
    <w:rsid w:val="00E45C50"/>
    <w:rsid w:val="00E50B89"/>
    <w:rsid w:val="00E53C39"/>
    <w:rsid w:val="00E55AFC"/>
    <w:rsid w:val="00E55E7F"/>
    <w:rsid w:val="00E61D67"/>
    <w:rsid w:val="00E74EC5"/>
    <w:rsid w:val="00E772EE"/>
    <w:rsid w:val="00E775BC"/>
    <w:rsid w:val="00E82325"/>
    <w:rsid w:val="00E86424"/>
    <w:rsid w:val="00E93544"/>
    <w:rsid w:val="00E95E58"/>
    <w:rsid w:val="00EA4C9D"/>
    <w:rsid w:val="00EB33F1"/>
    <w:rsid w:val="00EC23EA"/>
    <w:rsid w:val="00EC79E4"/>
    <w:rsid w:val="00ED00DC"/>
    <w:rsid w:val="00ED153D"/>
    <w:rsid w:val="00ED1A0D"/>
    <w:rsid w:val="00ED56B4"/>
    <w:rsid w:val="00EE3804"/>
    <w:rsid w:val="00EE3C43"/>
    <w:rsid w:val="00EF32B5"/>
    <w:rsid w:val="00EF32C9"/>
    <w:rsid w:val="00EF6337"/>
    <w:rsid w:val="00F1185B"/>
    <w:rsid w:val="00F12F89"/>
    <w:rsid w:val="00F152BE"/>
    <w:rsid w:val="00F21244"/>
    <w:rsid w:val="00F31A23"/>
    <w:rsid w:val="00F32626"/>
    <w:rsid w:val="00F33538"/>
    <w:rsid w:val="00F3368A"/>
    <w:rsid w:val="00F35E1C"/>
    <w:rsid w:val="00F639CF"/>
    <w:rsid w:val="00F6726E"/>
    <w:rsid w:val="00F82010"/>
    <w:rsid w:val="00F820D3"/>
    <w:rsid w:val="00FA3E21"/>
    <w:rsid w:val="00FA3E22"/>
    <w:rsid w:val="00FA5498"/>
    <w:rsid w:val="00FB218C"/>
    <w:rsid w:val="00FB57F5"/>
    <w:rsid w:val="00FC47B0"/>
    <w:rsid w:val="00FC62B1"/>
    <w:rsid w:val="00FD1302"/>
    <w:rsid w:val="00FD6D48"/>
    <w:rsid w:val="00FF6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69253"/>
  <w15:docId w15:val="{34C2A1F1-586A-4E1F-8378-C81C530A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customStyle="1" w:styleId="p2">
    <w:name w:val="p2"/>
    <w:basedOn w:val="Normal"/>
    <w:rsid w:val="0067705B"/>
    <w:pPr>
      <w:widowControl w:val="0"/>
      <w:tabs>
        <w:tab w:val="left" w:pos="691"/>
        <w:tab w:val="left" w:pos="1286"/>
      </w:tabs>
      <w:autoSpaceDE w:val="0"/>
      <w:autoSpaceDN w:val="0"/>
      <w:adjustRightInd w:val="0"/>
      <w:spacing w:line="238" w:lineRule="atLeast"/>
      <w:ind w:left="313"/>
    </w:pPr>
    <w:rPr>
      <w:sz w:val="20"/>
    </w:rPr>
  </w:style>
  <w:style w:type="paragraph" w:customStyle="1" w:styleId="p6">
    <w:name w:val="p6"/>
    <w:basedOn w:val="Normal"/>
    <w:rsid w:val="0067705B"/>
    <w:pPr>
      <w:widowControl w:val="0"/>
      <w:tabs>
        <w:tab w:val="left" w:pos="691"/>
      </w:tabs>
      <w:autoSpaceDE w:val="0"/>
      <w:autoSpaceDN w:val="0"/>
      <w:adjustRightInd w:val="0"/>
      <w:spacing w:line="240" w:lineRule="atLeast"/>
      <w:ind w:left="313"/>
    </w:pPr>
    <w:rPr>
      <w:sz w:val="20"/>
    </w:rPr>
  </w:style>
  <w:style w:type="paragraph" w:customStyle="1" w:styleId="p8">
    <w:name w:val="p8"/>
    <w:basedOn w:val="Normal"/>
    <w:rsid w:val="0067705B"/>
    <w:pPr>
      <w:widowControl w:val="0"/>
      <w:tabs>
        <w:tab w:val="left" w:pos="204"/>
      </w:tabs>
      <w:autoSpaceDE w:val="0"/>
      <w:autoSpaceDN w:val="0"/>
      <w:adjustRightInd w:val="0"/>
      <w:spacing w:line="240" w:lineRule="atLeast"/>
    </w:pPr>
    <w:rPr>
      <w:sz w:val="20"/>
    </w:rPr>
  </w:style>
  <w:style w:type="paragraph" w:customStyle="1" w:styleId="p9">
    <w:name w:val="p9"/>
    <w:basedOn w:val="Normal"/>
    <w:rsid w:val="0067705B"/>
    <w:pPr>
      <w:widowControl w:val="0"/>
      <w:tabs>
        <w:tab w:val="left" w:pos="691"/>
      </w:tabs>
      <w:autoSpaceDE w:val="0"/>
      <w:autoSpaceDN w:val="0"/>
      <w:adjustRightInd w:val="0"/>
      <w:spacing w:line="238" w:lineRule="atLeast"/>
    </w:pPr>
    <w:rPr>
      <w:sz w:val="20"/>
    </w:rPr>
  </w:style>
  <w:style w:type="paragraph" w:customStyle="1" w:styleId="p7">
    <w:name w:val="p7"/>
    <w:basedOn w:val="Normal"/>
    <w:rsid w:val="003C36BE"/>
    <w:pPr>
      <w:widowControl w:val="0"/>
      <w:tabs>
        <w:tab w:val="left" w:pos="204"/>
      </w:tabs>
      <w:autoSpaceDE w:val="0"/>
      <w:autoSpaceDN w:val="0"/>
      <w:adjustRightInd w:val="0"/>
      <w:spacing w:line="243" w:lineRule="atLeast"/>
    </w:pPr>
    <w:rPr>
      <w:sz w:val="20"/>
    </w:rPr>
  </w:style>
  <w:style w:type="paragraph" w:customStyle="1" w:styleId="p12">
    <w:name w:val="p12"/>
    <w:basedOn w:val="Normal"/>
    <w:rsid w:val="003C36BE"/>
    <w:pPr>
      <w:widowControl w:val="0"/>
      <w:tabs>
        <w:tab w:val="left" w:pos="617"/>
        <w:tab w:val="left" w:pos="1196"/>
      </w:tabs>
      <w:autoSpaceDE w:val="0"/>
      <w:autoSpaceDN w:val="0"/>
      <w:adjustRightInd w:val="0"/>
      <w:spacing w:line="243" w:lineRule="atLeast"/>
      <w:ind w:firstLine="618"/>
    </w:pPr>
    <w:rPr>
      <w:sz w:val="20"/>
    </w:rPr>
  </w:style>
  <w:style w:type="paragraph" w:customStyle="1" w:styleId="p13">
    <w:name w:val="p13"/>
    <w:basedOn w:val="Normal"/>
    <w:rsid w:val="003C36BE"/>
    <w:pPr>
      <w:widowControl w:val="0"/>
      <w:tabs>
        <w:tab w:val="left" w:pos="617"/>
        <w:tab w:val="left" w:pos="1196"/>
      </w:tabs>
      <w:autoSpaceDE w:val="0"/>
      <w:autoSpaceDN w:val="0"/>
      <w:adjustRightInd w:val="0"/>
      <w:spacing w:line="243" w:lineRule="atLeast"/>
      <w:ind w:left="1197" w:hanging="579"/>
    </w:pPr>
    <w:rPr>
      <w:sz w:val="20"/>
    </w:rPr>
  </w:style>
  <w:style w:type="paragraph" w:customStyle="1" w:styleId="p18">
    <w:name w:val="p18"/>
    <w:basedOn w:val="Normal"/>
    <w:rsid w:val="003C36BE"/>
    <w:pPr>
      <w:widowControl w:val="0"/>
      <w:tabs>
        <w:tab w:val="left" w:pos="1196"/>
      </w:tabs>
      <w:autoSpaceDE w:val="0"/>
      <w:autoSpaceDN w:val="0"/>
      <w:adjustRightInd w:val="0"/>
      <w:spacing w:line="240" w:lineRule="atLeast"/>
      <w:ind w:left="818"/>
    </w:pPr>
    <w:rPr>
      <w:sz w:val="20"/>
    </w:rPr>
  </w:style>
  <w:style w:type="paragraph" w:customStyle="1" w:styleId="p19">
    <w:name w:val="p19"/>
    <w:basedOn w:val="Normal"/>
    <w:rsid w:val="003C36BE"/>
    <w:pPr>
      <w:widowControl w:val="0"/>
      <w:tabs>
        <w:tab w:val="left" w:pos="1196"/>
        <w:tab w:val="left" w:pos="1797"/>
      </w:tabs>
      <w:autoSpaceDE w:val="0"/>
      <w:autoSpaceDN w:val="0"/>
      <w:adjustRightInd w:val="0"/>
      <w:spacing w:line="243" w:lineRule="atLeast"/>
      <w:ind w:left="818"/>
    </w:pPr>
    <w:rPr>
      <w:sz w:val="20"/>
    </w:rPr>
  </w:style>
  <w:style w:type="paragraph" w:customStyle="1" w:styleId="Default">
    <w:name w:val="Default"/>
    <w:rsid w:val="00E775BC"/>
    <w:pPr>
      <w:autoSpaceDE w:val="0"/>
      <w:autoSpaceDN w:val="0"/>
      <w:adjustRightInd w:val="0"/>
    </w:pPr>
    <w:rPr>
      <w:rFonts w:ascii="Arial" w:hAnsi="Arial" w:cs="Arial"/>
      <w:color w:val="000000"/>
    </w:rPr>
  </w:style>
  <w:style w:type="paragraph" w:styleId="ListParagraph">
    <w:name w:val="List Paragraph"/>
    <w:basedOn w:val="Normal"/>
    <w:uiPriority w:val="34"/>
    <w:qFormat/>
    <w:rsid w:val="00DD67C9"/>
    <w:pPr>
      <w:ind w:left="720"/>
      <w:contextualSpacing/>
    </w:pPr>
  </w:style>
  <w:style w:type="character" w:styleId="CommentReference">
    <w:name w:val="annotation reference"/>
    <w:basedOn w:val="DefaultParagraphFont"/>
    <w:uiPriority w:val="99"/>
    <w:semiHidden/>
    <w:unhideWhenUsed/>
    <w:rsid w:val="003C6EED"/>
    <w:rPr>
      <w:sz w:val="16"/>
      <w:szCs w:val="16"/>
    </w:rPr>
  </w:style>
  <w:style w:type="paragraph" w:styleId="CommentText">
    <w:name w:val="annotation text"/>
    <w:basedOn w:val="Normal"/>
    <w:link w:val="CommentTextChar"/>
    <w:uiPriority w:val="99"/>
    <w:semiHidden/>
    <w:unhideWhenUsed/>
    <w:rsid w:val="003C6EED"/>
    <w:rPr>
      <w:sz w:val="20"/>
      <w:szCs w:val="20"/>
    </w:rPr>
  </w:style>
  <w:style w:type="character" w:customStyle="1" w:styleId="CommentTextChar">
    <w:name w:val="Comment Text Char"/>
    <w:basedOn w:val="DefaultParagraphFont"/>
    <w:link w:val="CommentText"/>
    <w:uiPriority w:val="99"/>
    <w:semiHidden/>
    <w:rsid w:val="003C6E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EED"/>
    <w:rPr>
      <w:b/>
      <w:bCs/>
    </w:rPr>
  </w:style>
  <w:style w:type="character" w:customStyle="1" w:styleId="CommentSubjectChar">
    <w:name w:val="Comment Subject Char"/>
    <w:basedOn w:val="CommentTextChar"/>
    <w:link w:val="CommentSubject"/>
    <w:uiPriority w:val="99"/>
    <w:semiHidden/>
    <w:rsid w:val="003C6EED"/>
    <w:rPr>
      <w:rFonts w:ascii="Times New Roman" w:eastAsia="Times New Roman" w:hAnsi="Times New Roman" w:cs="Times New Roman"/>
      <w:b/>
      <w:bCs/>
      <w:sz w:val="20"/>
      <w:szCs w:val="20"/>
    </w:rPr>
  </w:style>
  <w:style w:type="paragraph" w:styleId="Revision">
    <w:name w:val="Revision"/>
    <w:hidden/>
    <w:uiPriority w:val="99"/>
    <w:semiHidden/>
    <w:rsid w:val="00ED00DC"/>
    <w:rPr>
      <w:rFonts w:ascii="Times New Roman" w:eastAsia="Times New Roman" w:hAnsi="Times New Roman" w:cs="Times New Roman"/>
    </w:rPr>
  </w:style>
  <w:style w:type="character" w:styleId="PlaceholderText">
    <w:name w:val="Placeholder Text"/>
    <w:basedOn w:val="DefaultParagraphFont"/>
    <w:uiPriority w:val="99"/>
    <w:semiHidden/>
    <w:rsid w:val="00263B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org/hr_handbook/English/sourcedocuments_/09administrativ_/02%20PRIVILEGES%20AND%20IMMUNITIES/Section%202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org/hr_handbook/English/sourcedocuments_/09administrativ_/02%20PRIVILEGES%20AND%20IMMUNITIES/Section%2023.doc"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4F842AB7E847468DD20DAC8DD95568"/>
        <w:category>
          <w:name w:val="General"/>
          <w:gallery w:val="placeholder"/>
        </w:category>
        <w:types>
          <w:type w:val="bbPlcHdr"/>
        </w:types>
        <w:behaviors>
          <w:behavior w:val="content"/>
        </w:behaviors>
        <w:guid w:val="{4A7F3AD3-D5CE-44F1-AD1A-8AA8A0EB8FB6}"/>
      </w:docPartPr>
      <w:docPartBody>
        <w:p w:rsidR="00FF065A" w:rsidRDefault="00593F41">
          <w:r w:rsidRPr="00994078">
            <w:rPr>
              <w:rStyle w:val="PlaceholderText"/>
            </w:rPr>
            <w:t>[FileVersionID]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F41"/>
    <w:rsid w:val="000A191A"/>
    <w:rsid w:val="004A0235"/>
    <w:rsid w:val="00593F41"/>
    <w:rsid w:val="00FF065A"/>
    <w:rsid w:val="00FF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F4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Template</UNDP_POPP_DOCUMENT_TYPE>
    <UNDP_POPP_DOCUMENT_TEMPLATE xmlns="8264c5cc-ec60-4b56-8111-ce635d3d139a" xsi:nil="true"/>
    <UNDP_POPP_FILEVERSION xmlns="8264c5cc-ec60-4b56-8111-ce635d3d139a">3</UNDP_POPP_FILEVERSION>
    <UNDP_POPP_ISACTIVE xmlns="8264c5cc-ec60-4b56-8111-ce635d3d139a">true</UNDP_POPP_ISACTIVE>
    <UNDP_POPP_TITLE_EN xmlns="8264c5cc-ec60-4b56-8111-ce635d3d139a">Politique de détachement de personnel à titre gracieux</UNDP_POPP_TITLE_EN>
    <TaxCatchAll xmlns="8264c5cc-ec60-4b56-8111-ce635d3d139a">
      <Value>349</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2018-01-24T23:00:00+00:00</UNDP_POPP_EFFECTIVEDATE>
    <DLCPolicyLabelLock xmlns="e560140e-7b2f-4392-90df-e7567e3021a3" xsi:nil="true"/>
    <DLCPolicyLabelClientValue xmlns="e560140e-7b2f-4392-90df-e7567e3021a3">Effective Date: 25/01/2018                                                Version #: 1.0</DLCPolicyLabelClientValue>
    <UNDP_POPP_BUSINESSUNITID_HIDDEN xmlns="8264c5cc-ec60-4b56-8111-ce635d3d139a" xsi:nil="true"/>
    <_dlc_DocId xmlns="8264c5cc-ec60-4b56-8111-ce635d3d139a">POPP-11-3682</_dlc_DocId>
    <_dlc_DocIdUrl xmlns="8264c5cc-ec60-4b56-8111-ce635d3d139a">
      <Url>https://popp.undp.org/_layouts/15/DocIdRedir.aspx?ID=POPP-11-3682</Url>
      <Description>POPP-11-3682</Description>
    </_dlc_DocIdUrl>
    <DLCPolicyLabelValue xmlns="e560140e-7b2f-4392-90df-e7567e3021a3">Effective Date: 25/01/2018                                                Version #: 1.0</DLCPolicyLabelValue>
  </documentManagement>
</p:properties>
</file>

<file path=customXml/itemProps1.xml><?xml version="1.0" encoding="utf-8"?>
<ds:datastoreItem xmlns:ds="http://schemas.openxmlformats.org/officeDocument/2006/customXml" ds:itemID="{F749CD0C-1D00-4CF5-AF81-24514E6AE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FA32E-5309-4EF1-BE2B-276FA3C6B2B9}">
  <ds:schemaRefs>
    <ds:schemaRef ds:uri="http://schemas.microsoft.com/sharepoint/events"/>
  </ds:schemaRefs>
</ds:datastoreItem>
</file>

<file path=customXml/itemProps3.xml><?xml version="1.0" encoding="utf-8"?>
<ds:datastoreItem xmlns:ds="http://schemas.openxmlformats.org/officeDocument/2006/customXml" ds:itemID="{5391D567-B343-4407-BA90-440448308BC8}">
  <ds:schemaRefs>
    <ds:schemaRef ds:uri="http://schemas.openxmlformats.org/officeDocument/2006/bibliography"/>
  </ds:schemaRefs>
</ds:datastoreItem>
</file>

<file path=customXml/itemProps4.xml><?xml version="1.0" encoding="utf-8"?>
<ds:datastoreItem xmlns:ds="http://schemas.openxmlformats.org/officeDocument/2006/customXml" ds:itemID="{63B2A449-F6CA-4358-A8BB-323246A4CA13}">
  <ds:schemaRefs>
    <ds:schemaRef ds:uri="office.server.policy"/>
  </ds:schemaRefs>
</ds:datastoreItem>
</file>

<file path=customXml/itemProps5.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6.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1299</Words>
  <Characters>7407</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LEVEL 3 PROCESSES and SUB PROCESSES</vt:lpstr>
      <vt:lpstr>TEMPLATE FOR LEVEL 3 PROCESSES and SUB PROCESSES</vt:lpstr>
    </vt:vector>
  </TitlesOfParts>
  <Company>Microsoft</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6</cp:revision>
  <cp:lastPrinted>2015-10-16T20:38:00Z</cp:lastPrinted>
  <dcterms:created xsi:type="dcterms:W3CDTF">2023-10-03T07:09:00Z</dcterms:created>
  <dcterms:modified xsi:type="dcterms:W3CDTF">2023-10-03T16:12:00Z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65b31764-90e6-41ad-90c1-26fa81d7de5b</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UNDP_POPP_BUSINESSPROCESS_HIDDEN">
    <vt:lpwstr/>
  </property>
  <property fmtid="{D5CDD505-2E9C-101B-9397-08002B2CF9AE}" pid="7" name="l0e6ef0c43e74560bd7f3acd1f5e8571">
    <vt:lpwstr/>
  </property>
  <property fmtid="{D5CDD505-2E9C-101B-9397-08002B2CF9AE}" pid="8" name="Location">
    <vt:lpwstr>Public</vt:lpwstr>
  </property>
  <property fmtid="{D5CDD505-2E9C-101B-9397-08002B2CF9AE}" pid="9" name="TaxCatchAll">
    <vt:lpwstr/>
  </property>
</Properties>
</file>