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2FF8" w14:textId="77777777" w:rsidR="00A82020" w:rsidRPr="00A82020" w:rsidRDefault="00A82020" w:rsidP="00A82020">
      <w:pPr>
        <w:jc w:val="both"/>
        <w:rPr>
          <w:rFonts w:asciiTheme="majorHAnsi" w:hAnsiTheme="majorHAnsi" w:cs="Arial"/>
          <w:bCs/>
          <w:sz w:val="22"/>
          <w:szCs w:val="22"/>
        </w:rPr>
      </w:pPr>
    </w:p>
    <w:p w14:paraId="5FA0F118" w14:textId="77777777" w:rsidR="00A82020" w:rsidRPr="00A82020" w:rsidRDefault="00A82020" w:rsidP="00A82020">
      <w:pPr>
        <w:jc w:val="both"/>
        <w:rPr>
          <w:rFonts w:asciiTheme="majorHAnsi" w:hAnsiTheme="majorHAnsi" w:cs="Arial"/>
          <w:b/>
          <w:bCs/>
        </w:rPr>
      </w:pPr>
      <w:r w:rsidRPr="00A82020">
        <w:rPr>
          <w:rFonts w:asciiTheme="majorHAnsi" w:hAnsiTheme="majorHAnsi" w:cs="Arial"/>
          <w:b/>
          <w:bCs/>
        </w:rPr>
        <w:t>Non-Reimbursable Loan Policy</w:t>
      </w:r>
    </w:p>
    <w:p w14:paraId="3C4E01CE" w14:textId="77777777" w:rsidR="00A82020" w:rsidRPr="00A82020" w:rsidRDefault="00A82020" w:rsidP="00A82020">
      <w:pPr>
        <w:jc w:val="both"/>
        <w:rPr>
          <w:rFonts w:asciiTheme="majorHAnsi" w:hAnsiTheme="majorHAnsi" w:cs="Arial"/>
          <w:b/>
          <w:bCs/>
          <w:sz w:val="22"/>
          <w:szCs w:val="22"/>
        </w:rPr>
      </w:pPr>
    </w:p>
    <w:p w14:paraId="17A81EBE" w14:textId="77777777" w:rsidR="00A82020" w:rsidRPr="00A82020" w:rsidRDefault="00A82020" w:rsidP="00A82020">
      <w:pPr>
        <w:jc w:val="both"/>
        <w:rPr>
          <w:rFonts w:asciiTheme="majorHAnsi" w:hAnsiTheme="majorHAnsi" w:cs="Arial"/>
          <w:b/>
          <w:bCs/>
          <w:sz w:val="22"/>
          <w:szCs w:val="22"/>
          <w:u w:val="single"/>
        </w:rPr>
      </w:pPr>
      <w:r w:rsidRPr="00A82020">
        <w:rPr>
          <w:rFonts w:asciiTheme="majorHAnsi" w:hAnsiTheme="majorHAnsi" w:cs="Arial"/>
          <w:b/>
          <w:bCs/>
          <w:sz w:val="22"/>
          <w:szCs w:val="22"/>
        </w:rPr>
        <w:t>1.0</w:t>
      </w:r>
      <w:r w:rsidRPr="00A82020">
        <w:rPr>
          <w:rFonts w:asciiTheme="majorHAnsi" w:hAnsiTheme="majorHAnsi" w:cs="Arial"/>
          <w:b/>
          <w:bCs/>
          <w:sz w:val="22"/>
          <w:szCs w:val="22"/>
        </w:rPr>
        <w:tab/>
      </w:r>
      <w:r w:rsidRPr="00A82020">
        <w:rPr>
          <w:rFonts w:asciiTheme="majorHAnsi" w:hAnsiTheme="majorHAnsi" w:cs="Arial"/>
          <w:b/>
          <w:bCs/>
          <w:sz w:val="22"/>
          <w:szCs w:val="22"/>
          <w:u w:val="single"/>
        </w:rPr>
        <w:t>Regulations and Rules</w:t>
      </w:r>
    </w:p>
    <w:p w14:paraId="27B02FDF" w14:textId="77777777" w:rsidR="00A82020" w:rsidRPr="00A82020" w:rsidRDefault="00A82020" w:rsidP="00A82020">
      <w:pPr>
        <w:pStyle w:val="Default"/>
        <w:jc w:val="both"/>
        <w:rPr>
          <w:rFonts w:asciiTheme="majorHAnsi" w:hAnsiTheme="majorHAnsi"/>
          <w:sz w:val="22"/>
          <w:szCs w:val="22"/>
        </w:rPr>
      </w:pPr>
    </w:p>
    <w:p w14:paraId="2D29577A"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 xml:space="preserve">This policy sets out the conditions for UNDP to accept Non-Reimbursable Loans of persons from Governments, donors or from other sources external to UNDP subject to the application of </w:t>
      </w:r>
      <w:r w:rsidRPr="00A82020">
        <w:rPr>
          <w:rFonts w:asciiTheme="majorHAnsi" w:hAnsiTheme="majorHAnsi"/>
          <w:b/>
          <w:bCs/>
          <w:color w:val="auto"/>
          <w:sz w:val="22"/>
          <w:szCs w:val="22"/>
        </w:rPr>
        <w:t xml:space="preserve">UNDP Financial Regulation 5.07. </w:t>
      </w:r>
    </w:p>
    <w:p w14:paraId="776C6795" w14:textId="77777777" w:rsidR="00A82020" w:rsidRPr="00A82020" w:rsidRDefault="00A82020" w:rsidP="00A82020">
      <w:pPr>
        <w:jc w:val="both"/>
        <w:rPr>
          <w:rFonts w:asciiTheme="majorHAnsi" w:hAnsiTheme="majorHAnsi" w:cs="Arial"/>
          <w:b/>
          <w:bCs/>
          <w:sz w:val="22"/>
          <w:szCs w:val="22"/>
        </w:rPr>
      </w:pPr>
    </w:p>
    <w:p w14:paraId="14CEB1D9" w14:textId="77777777" w:rsidR="00A82020" w:rsidRPr="00A82020" w:rsidRDefault="00A82020" w:rsidP="00A82020">
      <w:pPr>
        <w:jc w:val="both"/>
        <w:rPr>
          <w:rFonts w:asciiTheme="majorHAnsi" w:hAnsiTheme="majorHAnsi" w:cs="Arial"/>
          <w:b/>
          <w:bCs/>
          <w:sz w:val="22"/>
          <w:szCs w:val="22"/>
          <w:u w:val="single"/>
        </w:rPr>
      </w:pPr>
      <w:r w:rsidRPr="00A82020">
        <w:rPr>
          <w:rFonts w:asciiTheme="majorHAnsi" w:hAnsiTheme="majorHAnsi" w:cs="Arial"/>
          <w:b/>
          <w:bCs/>
          <w:sz w:val="22"/>
          <w:szCs w:val="22"/>
        </w:rPr>
        <w:t>2.0</w:t>
      </w:r>
      <w:r w:rsidRPr="00A82020">
        <w:rPr>
          <w:rFonts w:asciiTheme="majorHAnsi" w:hAnsiTheme="majorHAnsi" w:cs="Arial"/>
          <w:b/>
          <w:bCs/>
          <w:sz w:val="22"/>
          <w:szCs w:val="22"/>
        </w:rPr>
        <w:tab/>
      </w:r>
      <w:r w:rsidRPr="00A82020">
        <w:rPr>
          <w:rFonts w:asciiTheme="majorHAnsi" w:hAnsiTheme="majorHAnsi" w:cs="Arial"/>
          <w:b/>
          <w:bCs/>
          <w:sz w:val="22"/>
          <w:szCs w:val="22"/>
          <w:u w:val="single"/>
        </w:rPr>
        <w:t xml:space="preserve">Policy </w:t>
      </w:r>
    </w:p>
    <w:p w14:paraId="2F55F32A" w14:textId="77777777" w:rsidR="00A82020" w:rsidRPr="00A82020" w:rsidRDefault="00A82020" w:rsidP="00A82020">
      <w:pPr>
        <w:jc w:val="both"/>
        <w:rPr>
          <w:rFonts w:asciiTheme="majorHAnsi" w:hAnsiTheme="majorHAnsi" w:cs="Arial"/>
          <w:bCs/>
          <w:sz w:val="22"/>
          <w:szCs w:val="22"/>
        </w:rPr>
      </w:pPr>
    </w:p>
    <w:p w14:paraId="0F5E65A8" w14:textId="77777777" w:rsidR="00A82020" w:rsidRPr="00A82020" w:rsidRDefault="00A82020" w:rsidP="00A82020">
      <w:pPr>
        <w:pStyle w:val="Default"/>
        <w:jc w:val="both"/>
        <w:rPr>
          <w:rFonts w:asciiTheme="majorHAnsi" w:hAnsiTheme="majorHAnsi"/>
          <w:color w:val="auto"/>
          <w:sz w:val="22"/>
          <w:szCs w:val="22"/>
          <w:u w:val="single"/>
        </w:rPr>
      </w:pPr>
      <w:r w:rsidRPr="00A82020">
        <w:rPr>
          <w:rFonts w:asciiTheme="majorHAnsi" w:hAnsiTheme="majorHAnsi"/>
          <w:color w:val="auto"/>
          <w:sz w:val="22"/>
          <w:szCs w:val="22"/>
          <w:u w:val="single"/>
        </w:rPr>
        <w:t>Introduction</w:t>
      </w:r>
    </w:p>
    <w:p w14:paraId="336E97E1" w14:textId="77777777" w:rsidR="00A82020" w:rsidRPr="00A82020" w:rsidRDefault="00A82020" w:rsidP="00A82020">
      <w:pPr>
        <w:pStyle w:val="Default"/>
        <w:jc w:val="both"/>
        <w:rPr>
          <w:rFonts w:asciiTheme="majorHAnsi" w:hAnsiTheme="majorHAnsi"/>
          <w:color w:val="auto"/>
          <w:sz w:val="22"/>
          <w:szCs w:val="22"/>
        </w:rPr>
      </w:pPr>
    </w:p>
    <w:p w14:paraId="34C54EE8"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The purpose of this policy is to clarify the provisions relating to receiving personnel under non-reimbursable loan modality. The annex to the present policy contains a model of the memorandum of agreement (MOA) for such loans, which should be drawn up between the government, donor or public entity external to UNDP (Partner Entity (ies)) and the recipient office. The MOA is the legal basis of the arrangement and is to be concluded between the Partner Entity and the recipient office. (LINK to MOA)</w:t>
      </w:r>
    </w:p>
    <w:p w14:paraId="1070EEA7" w14:textId="77777777" w:rsidR="00A82020" w:rsidRPr="00A82020" w:rsidRDefault="00A82020" w:rsidP="00A82020">
      <w:pPr>
        <w:tabs>
          <w:tab w:val="left" w:pos="691"/>
          <w:tab w:val="left" w:pos="1286"/>
        </w:tabs>
        <w:spacing w:line="238" w:lineRule="exact"/>
        <w:jc w:val="both"/>
        <w:rPr>
          <w:rFonts w:asciiTheme="majorHAnsi" w:hAnsiTheme="majorHAnsi" w:cs="Arial"/>
          <w:sz w:val="22"/>
          <w:szCs w:val="22"/>
        </w:rPr>
      </w:pPr>
    </w:p>
    <w:p w14:paraId="57804460"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The non-reimbursable loan of persons from Partner Entities is permissible, subject to the provisions of Financial Regulation 5.07 and applicable procedures of the Office of Human Resources and this policy.</w:t>
      </w:r>
    </w:p>
    <w:p w14:paraId="6ECBEA31" w14:textId="77777777" w:rsidR="00A82020" w:rsidRPr="00A82020" w:rsidRDefault="00A82020" w:rsidP="00A82020">
      <w:pPr>
        <w:tabs>
          <w:tab w:val="left" w:pos="691"/>
          <w:tab w:val="left" w:pos="1286"/>
        </w:tabs>
        <w:spacing w:line="238" w:lineRule="exact"/>
        <w:jc w:val="both"/>
        <w:rPr>
          <w:rFonts w:asciiTheme="majorHAnsi" w:hAnsiTheme="majorHAnsi" w:cs="Arial"/>
          <w:sz w:val="22"/>
          <w:szCs w:val="22"/>
        </w:rPr>
      </w:pPr>
    </w:p>
    <w:p w14:paraId="1FE45968"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 xml:space="preserve">A non-reimbursable loan is defined as a loan of the services of a person without any cost to UNDP for his or her salary or remuneration, allowances, medical, dental and life insurance or other benefits. </w:t>
      </w:r>
    </w:p>
    <w:p w14:paraId="1646AB26" w14:textId="77777777" w:rsidR="00A82020" w:rsidRPr="00A82020" w:rsidRDefault="00A82020" w:rsidP="00A82020">
      <w:pPr>
        <w:jc w:val="both"/>
        <w:rPr>
          <w:rFonts w:asciiTheme="majorHAnsi" w:hAnsiTheme="majorHAnsi" w:cs="Arial"/>
          <w:bCs/>
          <w:sz w:val="22"/>
          <w:szCs w:val="22"/>
        </w:rPr>
      </w:pPr>
    </w:p>
    <w:p w14:paraId="30208568" w14:textId="77777777" w:rsidR="00A82020" w:rsidRPr="00A82020" w:rsidRDefault="00A82020" w:rsidP="00A82020">
      <w:pPr>
        <w:jc w:val="both"/>
        <w:rPr>
          <w:rFonts w:asciiTheme="majorHAnsi" w:hAnsiTheme="majorHAnsi" w:cs="Arial"/>
          <w:bCs/>
          <w:sz w:val="22"/>
          <w:szCs w:val="22"/>
        </w:rPr>
      </w:pPr>
    </w:p>
    <w:p w14:paraId="6AAAADE3" w14:textId="77777777" w:rsidR="00A82020" w:rsidRPr="00A82020" w:rsidRDefault="00A82020" w:rsidP="00A82020">
      <w:pPr>
        <w:pStyle w:val="Default"/>
        <w:jc w:val="both"/>
        <w:rPr>
          <w:rFonts w:asciiTheme="majorHAnsi" w:hAnsiTheme="majorHAnsi"/>
          <w:color w:val="auto"/>
          <w:sz w:val="22"/>
          <w:szCs w:val="22"/>
          <w:u w:val="single"/>
        </w:rPr>
      </w:pPr>
      <w:r w:rsidRPr="00A82020">
        <w:rPr>
          <w:rFonts w:asciiTheme="majorHAnsi" w:hAnsiTheme="majorHAnsi"/>
          <w:color w:val="auto"/>
          <w:sz w:val="22"/>
          <w:szCs w:val="22"/>
          <w:u w:val="single"/>
        </w:rPr>
        <w:t>Purposes for which non-reimbursable loans may be negotiated</w:t>
      </w:r>
    </w:p>
    <w:p w14:paraId="30DDC5C4" w14:textId="77777777" w:rsidR="00A82020" w:rsidRPr="00A82020" w:rsidRDefault="00A82020" w:rsidP="00A82020">
      <w:pPr>
        <w:pStyle w:val="Default"/>
        <w:jc w:val="both"/>
        <w:rPr>
          <w:rFonts w:asciiTheme="majorHAnsi" w:hAnsiTheme="majorHAnsi"/>
          <w:color w:val="auto"/>
          <w:sz w:val="22"/>
          <w:szCs w:val="22"/>
        </w:rPr>
      </w:pPr>
    </w:p>
    <w:p w14:paraId="46F8C40C"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Non-reimbursable loans may be negotiated between a Partner Entity and UNDP for the provision of services to UNDP required to assist in the execution of activities of a technical nature or for knowledge sharing activities where a best practice has been established.</w:t>
      </w:r>
    </w:p>
    <w:p w14:paraId="5085E403" w14:textId="77777777" w:rsidR="00A82020" w:rsidRPr="00A82020" w:rsidRDefault="00A82020" w:rsidP="00A82020">
      <w:pPr>
        <w:pStyle w:val="Default"/>
        <w:ind w:left="720"/>
        <w:jc w:val="both"/>
        <w:rPr>
          <w:rFonts w:asciiTheme="majorHAnsi" w:hAnsiTheme="majorHAnsi"/>
          <w:color w:val="auto"/>
          <w:sz w:val="22"/>
          <w:szCs w:val="22"/>
        </w:rPr>
      </w:pPr>
    </w:p>
    <w:p w14:paraId="3B893742"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Where UNDP has not been approached by a Partner Entity and requires assistance of a technical nature and chooses to use the non-reimbursable loan modality, it should present its request collectively to its known Partner Entities.</w:t>
      </w:r>
    </w:p>
    <w:p w14:paraId="1A19B599" w14:textId="77777777" w:rsidR="00A82020" w:rsidRPr="00A82020" w:rsidRDefault="00A82020" w:rsidP="00A82020">
      <w:pPr>
        <w:pStyle w:val="Default"/>
        <w:jc w:val="both"/>
        <w:rPr>
          <w:rFonts w:asciiTheme="majorHAnsi" w:hAnsiTheme="majorHAnsi"/>
          <w:color w:val="auto"/>
          <w:sz w:val="22"/>
          <w:szCs w:val="22"/>
        </w:rPr>
      </w:pPr>
    </w:p>
    <w:p w14:paraId="67586128"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 xml:space="preserve">Such loans may be negotiated in respect of services for </w:t>
      </w:r>
      <w:r w:rsidRPr="00A82020">
        <w:rPr>
          <w:rFonts w:asciiTheme="majorHAnsi" w:eastAsia="Times New Roman" w:hAnsiTheme="majorHAnsi"/>
          <w:sz w:val="22"/>
          <w:szCs w:val="22"/>
        </w:rPr>
        <w:t>any UNDP Office that is in a family duty station</w:t>
      </w:r>
      <w:r w:rsidRPr="00A82020">
        <w:rPr>
          <w:rFonts w:asciiTheme="majorHAnsi" w:hAnsiTheme="majorHAnsi"/>
          <w:color w:val="auto"/>
          <w:sz w:val="22"/>
          <w:szCs w:val="22"/>
        </w:rPr>
        <w:t>, any exception must be approved by the UNDP Security Office.</w:t>
      </w:r>
    </w:p>
    <w:p w14:paraId="44942CAC" w14:textId="77777777" w:rsidR="00A82020" w:rsidRPr="00A82020" w:rsidRDefault="00A82020" w:rsidP="00A82020">
      <w:pPr>
        <w:pStyle w:val="ListParagraph"/>
        <w:jc w:val="both"/>
        <w:rPr>
          <w:rFonts w:asciiTheme="majorHAnsi" w:hAnsiTheme="majorHAnsi" w:cs="Arial"/>
          <w:sz w:val="22"/>
          <w:szCs w:val="22"/>
          <w:lang w:val="en-CA"/>
        </w:rPr>
      </w:pPr>
    </w:p>
    <w:p w14:paraId="0382A6F8" w14:textId="77777777" w:rsidR="00A82020" w:rsidRPr="00A82020" w:rsidRDefault="00A82020" w:rsidP="00A82020">
      <w:pPr>
        <w:pStyle w:val="Default"/>
        <w:numPr>
          <w:ilvl w:val="0"/>
          <w:numId w:val="12"/>
        </w:numPr>
        <w:jc w:val="both"/>
        <w:rPr>
          <w:rFonts w:asciiTheme="majorHAnsi" w:hAnsiTheme="majorHAnsi"/>
          <w:sz w:val="22"/>
          <w:szCs w:val="22"/>
        </w:rPr>
      </w:pPr>
      <w:r w:rsidRPr="00A82020">
        <w:rPr>
          <w:rFonts w:asciiTheme="majorHAnsi" w:hAnsiTheme="majorHAnsi"/>
          <w:color w:val="auto"/>
          <w:sz w:val="22"/>
          <w:szCs w:val="22"/>
        </w:rPr>
        <w:t>The use of non-reimbursable loans should be temporary in nature with initial individual loans not exceeding a duration of two years and cumulatively, not exceeding five years.</w:t>
      </w:r>
    </w:p>
    <w:p w14:paraId="464C1B76" w14:textId="77777777" w:rsidR="00A82020" w:rsidRPr="00A82020" w:rsidRDefault="00A82020" w:rsidP="00A82020">
      <w:pPr>
        <w:pStyle w:val="Default"/>
        <w:ind w:left="720"/>
        <w:jc w:val="both"/>
        <w:rPr>
          <w:rFonts w:asciiTheme="majorHAnsi" w:hAnsiTheme="majorHAnsi"/>
          <w:color w:val="auto"/>
          <w:sz w:val="22"/>
          <w:szCs w:val="22"/>
        </w:rPr>
      </w:pPr>
      <w:r w:rsidRPr="00A82020">
        <w:rPr>
          <w:rFonts w:asciiTheme="majorHAnsi" w:hAnsiTheme="majorHAnsi"/>
          <w:color w:val="auto"/>
          <w:sz w:val="22"/>
          <w:szCs w:val="22"/>
        </w:rPr>
        <w:t xml:space="preserve"> </w:t>
      </w:r>
    </w:p>
    <w:p w14:paraId="70C64D83"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 xml:space="preserve">Under no circumstances shall a non-reimbursable loan be used to engage a person as a staff member, or build professional skills in that person so as to position or enable that person to be later considered for a staff appointment, or a consultant contract. </w:t>
      </w:r>
      <w:r w:rsidRPr="00A82020">
        <w:rPr>
          <w:rFonts w:asciiTheme="majorHAnsi" w:hAnsiTheme="majorHAnsi"/>
          <w:color w:val="auto"/>
          <w:sz w:val="22"/>
          <w:szCs w:val="22"/>
          <w:lang w:val="en-US"/>
        </w:rPr>
        <w:t xml:space="preserve">Such loans </w:t>
      </w:r>
      <w:r w:rsidRPr="00A82020">
        <w:rPr>
          <w:rFonts w:asciiTheme="majorHAnsi" w:hAnsiTheme="majorHAnsi"/>
          <w:color w:val="auto"/>
          <w:sz w:val="22"/>
          <w:szCs w:val="22"/>
          <w:u w:val="single"/>
          <w:lang w:val="en-US"/>
        </w:rPr>
        <w:t>may not</w:t>
      </w:r>
      <w:r w:rsidRPr="00A82020">
        <w:rPr>
          <w:rFonts w:asciiTheme="majorHAnsi" w:hAnsiTheme="majorHAnsi"/>
          <w:color w:val="auto"/>
          <w:sz w:val="22"/>
          <w:szCs w:val="22"/>
          <w:lang w:val="en-US"/>
        </w:rPr>
        <w:t xml:space="preserve"> be used to </w:t>
      </w:r>
      <w:r w:rsidRPr="00A82020">
        <w:rPr>
          <w:rFonts w:asciiTheme="majorHAnsi" w:hAnsiTheme="majorHAnsi"/>
          <w:color w:val="auto"/>
          <w:sz w:val="22"/>
          <w:szCs w:val="22"/>
          <w:lang w:val="en-US"/>
        </w:rPr>
        <w:lastRenderedPageBreak/>
        <w:t xml:space="preserve">acquire services from private entities, instead a </w:t>
      </w:r>
      <w:r w:rsidRPr="00A82020">
        <w:rPr>
          <w:rFonts w:asciiTheme="majorHAnsi" w:hAnsiTheme="majorHAnsi"/>
          <w:i/>
          <w:color w:val="auto"/>
          <w:sz w:val="22"/>
          <w:szCs w:val="22"/>
          <w:lang w:val="en-US"/>
        </w:rPr>
        <w:t>pro-bono</w:t>
      </w:r>
      <w:r w:rsidRPr="00A82020">
        <w:rPr>
          <w:rFonts w:asciiTheme="majorHAnsi" w:hAnsiTheme="majorHAnsi"/>
          <w:color w:val="auto"/>
          <w:sz w:val="22"/>
          <w:szCs w:val="22"/>
          <w:lang w:val="en-US"/>
        </w:rPr>
        <w:t xml:space="preserve"> agreement must be negotiated to that effect.  </w:t>
      </w:r>
    </w:p>
    <w:p w14:paraId="02989E05" w14:textId="77777777" w:rsidR="00A82020" w:rsidRPr="00A82020" w:rsidRDefault="00A82020" w:rsidP="00A82020">
      <w:pPr>
        <w:pStyle w:val="Default"/>
        <w:ind w:left="720"/>
        <w:jc w:val="both"/>
        <w:rPr>
          <w:rFonts w:asciiTheme="majorHAnsi" w:hAnsiTheme="majorHAnsi"/>
          <w:color w:val="auto"/>
          <w:sz w:val="22"/>
          <w:szCs w:val="22"/>
        </w:rPr>
      </w:pPr>
    </w:p>
    <w:p w14:paraId="33F2CA02" w14:textId="77777777" w:rsidR="00A82020" w:rsidRPr="00A82020" w:rsidRDefault="00A82020" w:rsidP="00A82020">
      <w:pPr>
        <w:pStyle w:val="Default"/>
        <w:numPr>
          <w:ilvl w:val="0"/>
          <w:numId w:val="12"/>
        </w:numPr>
        <w:ind w:left="720"/>
        <w:jc w:val="both"/>
        <w:rPr>
          <w:rFonts w:asciiTheme="majorHAnsi" w:hAnsiTheme="majorHAnsi"/>
          <w:color w:val="auto"/>
          <w:sz w:val="22"/>
          <w:szCs w:val="22"/>
        </w:rPr>
      </w:pPr>
      <w:r w:rsidRPr="00A82020">
        <w:rPr>
          <w:rFonts w:asciiTheme="majorHAnsi" w:hAnsiTheme="majorHAnsi"/>
          <w:color w:val="auto"/>
          <w:sz w:val="22"/>
          <w:szCs w:val="22"/>
        </w:rPr>
        <w:t xml:space="preserve">UNDP may limit the number of non-reimbursable loans from a Partner Entity at any given time. </w:t>
      </w:r>
    </w:p>
    <w:p w14:paraId="043C7E4F" w14:textId="77777777" w:rsidR="00A82020" w:rsidRPr="00A82020" w:rsidRDefault="00A82020" w:rsidP="00A82020">
      <w:pPr>
        <w:tabs>
          <w:tab w:val="left" w:pos="691"/>
        </w:tabs>
        <w:spacing w:line="238" w:lineRule="exact"/>
        <w:jc w:val="both"/>
        <w:rPr>
          <w:rFonts w:asciiTheme="majorHAnsi" w:hAnsiTheme="majorHAnsi" w:cs="Arial"/>
          <w:sz w:val="22"/>
          <w:szCs w:val="22"/>
          <w:lang w:val="en-CA"/>
        </w:rPr>
      </w:pPr>
    </w:p>
    <w:p w14:paraId="1FC63D12" w14:textId="77777777" w:rsidR="00A82020" w:rsidRPr="00A82020" w:rsidRDefault="00A82020" w:rsidP="00A82020">
      <w:pPr>
        <w:tabs>
          <w:tab w:val="left" w:pos="691"/>
        </w:tabs>
        <w:spacing w:line="238" w:lineRule="exact"/>
        <w:jc w:val="both"/>
        <w:rPr>
          <w:rFonts w:asciiTheme="majorHAnsi" w:hAnsiTheme="majorHAnsi" w:cs="Arial"/>
          <w:sz w:val="22"/>
          <w:szCs w:val="22"/>
          <w:lang w:val="en-CA"/>
        </w:rPr>
      </w:pPr>
    </w:p>
    <w:p w14:paraId="1321A100" w14:textId="77777777" w:rsidR="00A82020" w:rsidRPr="00A82020" w:rsidRDefault="00A82020" w:rsidP="00A82020">
      <w:pPr>
        <w:pStyle w:val="Default"/>
        <w:jc w:val="both"/>
        <w:rPr>
          <w:rFonts w:asciiTheme="majorHAnsi" w:hAnsiTheme="majorHAnsi"/>
          <w:color w:val="auto"/>
          <w:sz w:val="22"/>
          <w:szCs w:val="22"/>
          <w:u w:val="single"/>
        </w:rPr>
      </w:pPr>
      <w:r w:rsidRPr="00A82020">
        <w:rPr>
          <w:rFonts w:asciiTheme="majorHAnsi" w:hAnsiTheme="majorHAnsi"/>
          <w:color w:val="auto"/>
          <w:sz w:val="22"/>
          <w:szCs w:val="22"/>
          <w:u w:val="single"/>
        </w:rPr>
        <w:t>Legal status and obligations of persons serving on non-reimbursable loan</w:t>
      </w:r>
    </w:p>
    <w:p w14:paraId="0C2A3F17" w14:textId="77777777" w:rsidR="00A82020" w:rsidRPr="00A82020" w:rsidRDefault="00A82020" w:rsidP="00A82020">
      <w:pPr>
        <w:pStyle w:val="Default"/>
        <w:jc w:val="both"/>
        <w:rPr>
          <w:rFonts w:asciiTheme="majorHAnsi" w:hAnsiTheme="majorHAnsi"/>
          <w:color w:val="auto"/>
          <w:sz w:val="22"/>
          <w:szCs w:val="22"/>
        </w:rPr>
      </w:pPr>
    </w:p>
    <w:p w14:paraId="4BC310C6" w14:textId="77777777" w:rsidR="00A82020" w:rsidRPr="00A82020" w:rsidRDefault="00A82020" w:rsidP="00A82020">
      <w:pPr>
        <w:pStyle w:val="Default"/>
        <w:numPr>
          <w:ilvl w:val="0"/>
          <w:numId w:val="12"/>
        </w:numPr>
        <w:jc w:val="both"/>
        <w:rPr>
          <w:rFonts w:asciiTheme="majorHAnsi" w:hAnsiTheme="majorHAnsi"/>
          <w:color w:val="auto"/>
          <w:sz w:val="22"/>
          <w:szCs w:val="22"/>
        </w:rPr>
      </w:pPr>
      <w:r w:rsidRPr="00A82020">
        <w:rPr>
          <w:rFonts w:asciiTheme="majorHAnsi" w:hAnsiTheme="majorHAnsi"/>
          <w:color w:val="auto"/>
          <w:sz w:val="22"/>
          <w:szCs w:val="22"/>
        </w:rPr>
        <w:t>Persons whose services are accepted on a non-reimbursable loan are not staff members of UNDP or otherwise employed or contracted by UNDP.</w:t>
      </w:r>
      <w:r w:rsidRPr="00A82020">
        <w:rPr>
          <w:rFonts w:asciiTheme="majorHAnsi" w:hAnsiTheme="majorHAnsi"/>
          <w:sz w:val="22"/>
          <w:szCs w:val="22"/>
        </w:rPr>
        <w:t xml:space="preserve"> </w:t>
      </w:r>
      <w:r w:rsidRPr="00A82020">
        <w:rPr>
          <w:rFonts w:asciiTheme="majorHAnsi" w:hAnsiTheme="majorHAnsi"/>
          <w:color w:val="auto"/>
          <w:sz w:val="22"/>
          <w:szCs w:val="22"/>
        </w:rPr>
        <w:t xml:space="preserve">The contractual relationship of such persons to UNDP is established by MOA between the entity providing the person, and UNDP.  Their relationship is subject only to the terms of that agreement and not to the United Nations Staff Regulations or Rules. For the purpose of the Convention on Privileges and Immunities of the United Nations, such persons are considered ‘experts on mission’ within the meaning of article VI, </w:t>
      </w:r>
      <w:hyperlink r:id="rId13" w:history="1">
        <w:r w:rsidRPr="00A82020">
          <w:rPr>
            <w:rFonts w:asciiTheme="majorHAnsi" w:hAnsiTheme="majorHAnsi"/>
            <w:color w:val="auto"/>
            <w:sz w:val="22"/>
            <w:szCs w:val="22"/>
          </w:rPr>
          <w:t>sections 22</w:t>
        </w:r>
      </w:hyperlink>
      <w:r w:rsidRPr="00A82020">
        <w:rPr>
          <w:rFonts w:asciiTheme="majorHAnsi" w:hAnsiTheme="majorHAnsi"/>
          <w:color w:val="auto"/>
          <w:sz w:val="22"/>
          <w:szCs w:val="22"/>
        </w:rPr>
        <w:t xml:space="preserve"> and </w:t>
      </w:r>
      <w:hyperlink r:id="rId14" w:history="1">
        <w:r w:rsidRPr="00A82020">
          <w:rPr>
            <w:rFonts w:asciiTheme="majorHAnsi" w:hAnsiTheme="majorHAnsi"/>
            <w:color w:val="auto"/>
            <w:sz w:val="22"/>
            <w:szCs w:val="22"/>
          </w:rPr>
          <w:t>23</w:t>
        </w:r>
      </w:hyperlink>
      <w:r w:rsidRPr="00A82020">
        <w:rPr>
          <w:rFonts w:asciiTheme="majorHAnsi" w:hAnsiTheme="majorHAnsi"/>
          <w:color w:val="auto"/>
          <w:sz w:val="22"/>
          <w:szCs w:val="22"/>
        </w:rPr>
        <w:t>, of that Convention when performing functions for UNDP. If required by UNDP to travel, they may receive a United Nations travel certificate.</w:t>
      </w:r>
    </w:p>
    <w:p w14:paraId="15675758" w14:textId="77777777" w:rsidR="00A82020" w:rsidRPr="00A82020" w:rsidRDefault="00A82020" w:rsidP="00A82020">
      <w:pPr>
        <w:tabs>
          <w:tab w:val="left" w:pos="691"/>
        </w:tabs>
        <w:spacing w:line="238" w:lineRule="exact"/>
        <w:jc w:val="both"/>
        <w:rPr>
          <w:rFonts w:asciiTheme="majorHAnsi" w:hAnsiTheme="majorHAnsi" w:cs="Arial"/>
          <w:sz w:val="22"/>
          <w:szCs w:val="22"/>
        </w:rPr>
      </w:pPr>
    </w:p>
    <w:p w14:paraId="388E9586"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During the performance of their services with UNDP, persons on non-reimbursable loans shall be bound by the Standards of Conduct set out in ST/SGB/2002/9, binding on experts on mission</w:t>
      </w:r>
      <w:r w:rsidRPr="00A82020">
        <w:rPr>
          <w:rStyle w:val="FootnoteReference"/>
          <w:rFonts w:asciiTheme="majorHAnsi" w:eastAsiaTheme="minorEastAsia" w:hAnsiTheme="majorHAnsi" w:cs="Arial"/>
          <w:sz w:val="22"/>
          <w:szCs w:val="22"/>
          <w:lang w:val="en-CA"/>
        </w:rPr>
        <w:footnoteReference w:id="2"/>
      </w:r>
      <w:r w:rsidRPr="00A82020">
        <w:rPr>
          <w:rFonts w:asciiTheme="majorHAnsi" w:eastAsiaTheme="minorEastAsia" w:hAnsiTheme="majorHAnsi" w:cs="Arial"/>
          <w:sz w:val="22"/>
          <w:szCs w:val="22"/>
          <w:lang w:val="en-CA"/>
        </w:rPr>
        <w:t>, and any provisions agreed to by the Partner Entity in the MOA. Persons on a non-reimbursable loan shall neither seek nor accept instructions from any Government or any other authority external to UNDP. They shall not engage in any activity that is incompatible with the proper discharge of their terms of reference. They are required to exercise the utmost discretion in all official business and may not communicate to any other person, Government or authority information known to them by reason of their work with UNDP that has not been made public, except in the course of their duties or by explicit authorization of UNDP. Nor shall they at any time use such information to private advantage. These obligations do not cease upon completion of their service.</w:t>
      </w:r>
    </w:p>
    <w:p w14:paraId="510B0541" w14:textId="77777777" w:rsidR="00A82020" w:rsidRPr="00A82020" w:rsidRDefault="00A82020" w:rsidP="00A82020">
      <w:pPr>
        <w:pStyle w:val="ListParagraph"/>
        <w:jc w:val="both"/>
        <w:rPr>
          <w:rFonts w:asciiTheme="majorHAnsi" w:eastAsiaTheme="minorEastAsia" w:hAnsiTheme="majorHAnsi" w:cs="Arial"/>
          <w:sz w:val="22"/>
          <w:szCs w:val="22"/>
          <w:lang w:val="en-CA"/>
        </w:rPr>
      </w:pPr>
    </w:p>
    <w:p w14:paraId="2ED564B5"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Persons on non-reimbursable loans shall:</w:t>
      </w:r>
    </w:p>
    <w:p w14:paraId="4B854247"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524C856B" w14:textId="77777777" w:rsidR="00A82020" w:rsidRPr="00A82020" w:rsidRDefault="00A82020" w:rsidP="00A82020">
      <w:pPr>
        <w:pStyle w:val="p9"/>
        <w:numPr>
          <w:ilvl w:val="1"/>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be given access to UNDP premises and systems in accordance with UNDP’s policy;</w:t>
      </w:r>
    </w:p>
    <w:p w14:paraId="5CA73BBA" w14:textId="77777777" w:rsidR="00A82020" w:rsidRPr="00A82020" w:rsidRDefault="00A82020" w:rsidP="00A82020">
      <w:pPr>
        <w:pStyle w:val="p9"/>
        <w:numPr>
          <w:ilvl w:val="1"/>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complete all training courses deemed mandatory by UNDP; </w:t>
      </w:r>
    </w:p>
    <w:p w14:paraId="16AB30F4" w14:textId="77777777" w:rsidR="00A82020" w:rsidRPr="00A82020" w:rsidRDefault="00A82020" w:rsidP="00A82020">
      <w:pPr>
        <w:pStyle w:val="p9"/>
        <w:numPr>
          <w:ilvl w:val="1"/>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neither exercise supervisory functions on UNDP staff members nor commit UNDP financially or otherwise;</w:t>
      </w:r>
    </w:p>
    <w:p w14:paraId="4081C713" w14:textId="77777777" w:rsidR="00A82020" w:rsidRPr="00A82020" w:rsidRDefault="00A82020" w:rsidP="00A82020">
      <w:pPr>
        <w:pStyle w:val="p9"/>
        <w:numPr>
          <w:ilvl w:val="1"/>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not be considered for employment by UNDP for a period of six months following the conclusion of the loan.   </w:t>
      </w:r>
    </w:p>
    <w:p w14:paraId="4DBEF3DA" w14:textId="77777777" w:rsidR="00A82020" w:rsidRPr="00A82020" w:rsidRDefault="00A82020" w:rsidP="00A82020">
      <w:pPr>
        <w:pStyle w:val="p9"/>
        <w:spacing w:line="238" w:lineRule="exact"/>
        <w:ind w:left="644"/>
        <w:jc w:val="both"/>
        <w:rPr>
          <w:rFonts w:asciiTheme="majorHAnsi" w:hAnsiTheme="majorHAnsi" w:cs="Arial"/>
          <w:sz w:val="22"/>
          <w:szCs w:val="22"/>
        </w:rPr>
      </w:pPr>
    </w:p>
    <w:p w14:paraId="319DC4C4"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p>
    <w:p w14:paraId="0C92737D"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r w:rsidRPr="00A82020">
        <w:rPr>
          <w:rFonts w:asciiTheme="majorHAnsi" w:eastAsiaTheme="minorEastAsia" w:hAnsiTheme="majorHAnsi" w:cs="Arial"/>
          <w:sz w:val="22"/>
          <w:szCs w:val="22"/>
          <w:u w:val="single"/>
          <w:lang w:val="en-CA"/>
        </w:rPr>
        <w:t>Title rights</w:t>
      </w:r>
    </w:p>
    <w:p w14:paraId="6965458B"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6D29DC1B"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The title rights, copyright rights and all other intellectual and/or ownership rights in any material produced by the person serving on a non-reimbursable loan basis shall be vested exclusively in, and remain with UNDP.</w:t>
      </w:r>
    </w:p>
    <w:p w14:paraId="79EDE640" w14:textId="77777777" w:rsidR="00A82020" w:rsidRPr="00A82020" w:rsidRDefault="00A82020" w:rsidP="00A82020">
      <w:pPr>
        <w:tabs>
          <w:tab w:val="left" w:pos="691"/>
        </w:tabs>
        <w:spacing w:line="238" w:lineRule="exact"/>
        <w:jc w:val="both"/>
        <w:rPr>
          <w:rFonts w:asciiTheme="majorHAnsi" w:hAnsiTheme="majorHAnsi" w:cs="Arial"/>
          <w:sz w:val="22"/>
          <w:szCs w:val="22"/>
        </w:rPr>
      </w:pPr>
    </w:p>
    <w:p w14:paraId="36A71B90"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p>
    <w:p w14:paraId="43D935F5"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r w:rsidRPr="00A82020">
        <w:rPr>
          <w:rFonts w:asciiTheme="majorHAnsi" w:eastAsiaTheme="minorEastAsia" w:hAnsiTheme="majorHAnsi" w:cs="Arial"/>
          <w:sz w:val="22"/>
          <w:szCs w:val="22"/>
          <w:u w:val="single"/>
          <w:lang w:val="en-CA"/>
        </w:rPr>
        <w:t>Requisites for acceptance of services on a non-reimbursable basis</w:t>
      </w:r>
    </w:p>
    <w:p w14:paraId="7EF7DF40"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063CA5FF"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The requisites for acceptance of services on a non-reimbursable basis include:</w:t>
      </w:r>
    </w:p>
    <w:p w14:paraId="5FB8D1F8"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505C08FC"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lastRenderedPageBreak/>
        <w:t>In coordination with the OHR Business Partner, the Bureau or Office concerned  prepares the Terms of Reference (ToRs) listing the duties and functions and duration of the loan. When necessary, the OHR Business partner will assist with the selection strategy based on competition and the need to secure the highest standards of efficiency, competence and integrity;</w:t>
      </w:r>
    </w:p>
    <w:p w14:paraId="75D188FB"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0280F26F"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A communication from the prospective Partner Entity agreeing: </w:t>
      </w:r>
    </w:p>
    <w:p w14:paraId="27E13982"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0667F804" w14:textId="77777777" w:rsidR="00A82020" w:rsidRPr="00A82020" w:rsidRDefault="00A82020" w:rsidP="00A82020">
      <w:pPr>
        <w:pStyle w:val="p9"/>
        <w:numPr>
          <w:ilvl w:val="0"/>
          <w:numId w:val="10"/>
        </w:numPr>
        <w:spacing w:line="238" w:lineRule="exact"/>
        <w:ind w:left="1620" w:hanging="180"/>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To provide the services requested under subparagraph (a) above, free of all costs to UNDP;</w:t>
      </w:r>
    </w:p>
    <w:p w14:paraId="5DA25604" w14:textId="77777777" w:rsidR="00A82020" w:rsidRPr="00A82020" w:rsidRDefault="00A82020" w:rsidP="00A82020">
      <w:pPr>
        <w:pStyle w:val="p9"/>
        <w:spacing w:line="238" w:lineRule="exact"/>
        <w:ind w:left="1620"/>
        <w:jc w:val="both"/>
        <w:rPr>
          <w:rFonts w:asciiTheme="majorHAnsi" w:eastAsiaTheme="minorEastAsia" w:hAnsiTheme="majorHAnsi" w:cs="Arial"/>
          <w:sz w:val="22"/>
          <w:szCs w:val="22"/>
          <w:lang w:val="en-CA"/>
        </w:rPr>
      </w:pPr>
    </w:p>
    <w:p w14:paraId="37CAC9DF" w14:textId="77777777" w:rsidR="00A82020" w:rsidRPr="00A82020" w:rsidRDefault="00A82020" w:rsidP="00A82020">
      <w:pPr>
        <w:pStyle w:val="p9"/>
        <w:numPr>
          <w:ilvl w:val="0"/>
          <w:numId w:val="10"/>
        </w:numPr>
        <w:spacing w:line="238" w:lineRule="exact"/>
        <w:ind w:left="1620" w:hanging="180"/>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To the established value of the services to be based on UNDP’s pro-forma costs for functions at a similar level.</w:t>
      </w:r>
    </w:p>
    <w:p w14:paraId="79AF317F" w14:textId="77777777" w:rsidR="00A82020" w:rsidRPr="00A82020" w:rsidRDefault="00A82020" w:rsidP="00A82020">
      <w:pPr>
        <w:pStyle w:val="p9"/>
        <w:spacing w:line="238" w:lineRule="exact"/>
        <w:ind w:left="1620" w:hanging="180"/>
        <w:jc w:val="both"/>
        <w:rPr>
          <w:rFonts w:asciiTheme="majorHAnsi" w:eastAsiaTheme="minorEastAsia" w:hAnsiTheme="majorHAnsi" w:cs="Arial"/>
          <w:sz w:val="22"/>
          <w:szCs w:val="22"/>
          <w:lang w:val="en-CA"/>
        </w:rPr>
      </w:pPr>
    </w:p>
    <w:p w14:paraId="510ACBE6" w14:textId="2056D31C" w:rsidR="00A82020" w:rsidRPr="00A82020" w:rsidRDefault="00A82020" w:rsidP="00A82020">
      <w:pPr>
        <w:pStyle w:val="p9"/>
        <w:numPr>
          <w:ilvl w:val="0"/>
          <w:numId w:val="10"/>
        </w:numPr>
        <w:spacing w:line="238" w:lineRule="exact"/>
        <w:ind w:left="1620" w:hanging="180"/>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In accordance with the principles of full cost recovery on in-kind contributions, to pay eight percent (8%) per cent of the value of the services to the credit of an account specified by OFM;</w:t>
      </w:r>
    </w:p>
    <w:p w14:paraId="263D0CA6" w14:textId="77777777" w:rsidR="00A82020" w:rsidRPr="00A82020" w:rsidRDefault="00A82020" w:rsidP="00A82020">
      <w:pPr>
        <w:pStyle w:val="ListParagraph"/>
        <w:jc w:val="both"/>
        <w:rPr>
          <w:rFonts w:asciiTheme="majorHAnsi" w:eastAsiaTheme="minorEastAsia" w:hAnsiTheme="majorHAnsi" w:cs="Arial"/>
          <w:sz w:val="22"/>
          <w:szCs w:val="22"/>
          <w:lang w:val="en-CA"/>
        </w:rPr>
      </w:pPr>
    </w:p>
    <w:p w14:paraId="0F1B0AD5"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Certification by the requesting office that the proposal does not directly or indirectly involve additional financial liability for UNDP, except as agreed in the MOA; </w:t>
      </w:r>
    </w:p>
    <w:p w14:paraId="1B7B4EA5"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6484CB6F"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Review of the MOA by the Legal Office (LO), if any changes to the MOA template are made; </w:t>
      </w:r>
    </w:p>
    <w:p w14:paraId="557D43B4"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419B3D30"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If applicable, approval of the candidate(s) by the Office of Human Resources in accordance with the established policies and procedures of that Office, the selection strategy agreed to or the specific selection procedure detailed in the MOA between the Partner Entity and the recipient office;</w:t>
      </w:r>
    </w:p>
    <w:p w14:paraId="7B872A62"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0B71EA8A" w14:textId="77777777" w:rsidR="00A82020" w:rsidRPr="00A82020" w:rsidRDefault="00A82020" w:rsidP="00A82020">
      <w:pPr>
        <w:pStyle w:val="p9"/>
        <w:numPr>
          <w:ilvl w:val="0"/>
          <w:numId w:val="7"/>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Acceptance of the candidates by any Governments or authorities to which they may be assigned during the period of the non-reimbursable loan, if applicable.</w:t>
      </w:r>
    </w:p>
    <w:p w14:paraId="2C3F6A34"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17DA1DF7"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The requisites of paragraph 15 (b) shall be set out in the MOA signed between UNDP and the Partner Entity.</w:t>
      </w:r>
    </w:p>
    <w:p w14:paraId="25BC54BD"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450B9F7E"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69F26D87"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r w:rsidRPr="00A82020">
        <w:rPr>
          <w:rFonts w:asciiTheme="majorHAnsi" w:eastAsiaTheme="minorEastAsia" w:hAnsiTheme="majorHAnsi" w:cs="Arial"/>
          <w:sz w:val="22"/>
          <w:szCs w:val="22"/>
          <w:u w:val="single"/>
          <w:lang w:val="en-CA"/>
        </w:rPr>
        <w:t>Duration of service and termination of agreements</w:t>
      </w:r>
    </w:p>
    <w:p w14:paraId="1460BC32" w14:textId="77777777" w:rsidR="00A82020" w:rsidRPr="00A82020" w:rsidRDefault="00A82020" w:rsidP="00A82020">
      <w:pPr>
        <w:pStyle w:val="p9"/>
        <w:tabs>
          <w:tab w:val="clear" w:pos="691"/>
          <w:tab w:val="left" w:pos="4890"/>
        </w:tabs>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ab/>
      </w:r>
    </w:p>
    <w:p w14:paraId="5E209012"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 xml:space="preserve">Individual non-reimbursable loans are negotiated for a period not to exceed five years. A non-reimbursable loan may be terminated at any date prior to its scheduled expiration at the request of the person serving on loan, the Partner Entity or UNDP giving the notice agreed upon in the MOA. </w:t>
      </w:r>
    </w:p>
    <w:p w14:paraId="2243EE70"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231F07BF"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7878E1AE" w14:textId="77777777" w:rsidR="00A82020" w:rsidRPr="00A82020" w:rsidRDefault="00A82020" w:rsidP="00A82020">
      <w:pPr>
        <w:pStyle w:val="p9"/>
        <w:spacing w:line="238" w:lineRule="exact"/>
        <w:jc w:val="both"/>
        <w:rPr>
          <w:rFonts w:asciiTheme="majorHAnsi" w:eastAsiaTheme="minorEastAsia" w:hAnsiTheme="majorHAnsi" w:cs="Arial"/>
          <w:sz w:val="22"/>
          <w:szCs w:val="22"/>
          <w:u w:val="single"/>
          <w:lang w:val="en-CA"/>
        </w:rPr>
      </w:pPr>
      <w:r w:rsidRPr="00A82020">
        <w:rPr>
          <w:rFonts w:asciiTheme="majorHAnsi" w:eastAsiaTheme="minorEastAsia" w:hAnsiTheme="majorHAnsi" w:cs="Arial"/>
          <w:sz w:val="22"/>
          <w:szCs w:val="22"/>
          <w:u w:val="single"/>
          <w:lang w:val="en-CA"/>
        </w:rPr>
        <w:t>Evaluation</w:t>
      </w:r>
    </w:p>
    <w:p w14:paraId="5076D25C" w14:textId="77777777" w:rsidR="00A82020" w:rsidRPr="00A82020" w:rsidRDefault="00A82020" w:rsidP="00A82020">
      <w:pPr>
        <w:pStyle w:val="p9"/>
        <w:spacing w:line="238" w:lineRule="exact"/>
        <w:jc w:val="both"/>
        <w:rPr>
          <w:rFonts w:asciiTheme="majorHAnsi" w:eastAsiaTheme="minorEastAsia" w:hAnsiTheme="majorHAnsi" w:cs="Arial"/>
          <w:sz w:val="22"/>
          <w:szCs w:val="22"/>
          <w:lang w:val="en-CA"/>
        </w:rPr>
      </w:pPr>
    </w:p>
    <w:p w14:paraId="797100E4" w14:textId="77777777" w:rsidR="00A82020" w:rsidRPr="00A82020" w:rsidRDefault="00A82020" w:rsidP="00A82020">
      <w:pPr>
        <w:pStyle w:val="p9"/>
        <w:numPr>
          <w:ilvl w:val="0"/>
          <w:numId w:val="12"/>
        </w:numPr>
        <w:spacing w:line="238" w:lineRule="exact"/>
        <w:jc w:val="both"/>
        <w:rPr>
          <w:rFonts w:asciiTheme="majorHAnsi" w:eastAsiaTheme="minorEastAsia" w:hAnsiTheme="majorHAnsi" w:cs="Arial"/>
          <w:sz w:val="22"/>
          <w:szCs w:val="22"/>
          <w:lang w:val="en-CA"/>
        </w:rPr>
      </w:pPr>
      <w:r w:rsidRPr="00A82020">
        <w:rPr>
          <w:rFonts w:asciiTheme="majorHAnsi" w:eastAsiaTheme="minorEastAsia" w:hAnsiTheme="majorHAnsi" w:cs="Arial"/>
          <w:sz w:val="22"/>
          <w:szCs w:val="22"/>
          <w:lang w:val="en-CA"/>
        </w:rPr>
        <w:t>A written evaluation of services performed by persons on a non-reimbursable loan will be made by the responsible Office and transmitted, on request, to the Partner Entity, with a copy to the Office of Human Resources.</w:t>
      </w:r>
    </w:p>
    <w:p w14:paraId="7F204168" w14:textId="77777777" w:rsidR="002C093F" w:rsidRPr="00A82020" w:rsidRDefault="002C093F" w:rsidP="00C2526E">
      <w:pPr>
        <w:rPr>
          <w:rFonts w:asciiTheme="majorHAnsi" w:hAnsiTheme="majorHAnsi" w:cs="Arial"/>
          <w:sz w:val="22"/>
          <w:szCs w:val="22"/>
        </w:rPr>
      </w:pPr>
    </w:p>
    <w:sectPr w:rsidR="002C093F" w:rsidRPr="00A82020" w:rsidSect="00945D0B">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9541" w14:textId="77777777" w:rsidR="00631AFB" w:rsidRDefault="00631AFB" w:rsidP="006A295A">
      <w:r>
        <w:separator/>
      </w:r>
    </w:p>
  </w:endnote>
  <w:endnote w:type="continuationSeparator" w:id="0">
    <w:p w14:paraId="70B14C42" w14:textId="77777777" w:rsidR="00631AFB" w:rsidRDefault="00631AFB" w:rsidP="006A295A">
      <w:r>
        <w:continuationSeparator/>
      </w:r>
    </w:p>
  </w:endnote>
  <w:endnote w:type="continuationNotice" w:id="1">
    <w:p w14:paraId="68A203AA" w14:textId="77777777" w:rsidR="00631AFB" w:rsidRDefault="00631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34CF" w14:textId="77777777" w:rsidR="00E20E2F" w:rsidRDefault="00E20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243107"/>
      <w:docPartObj>
        <w:docPartGallery w:val="Page Numbers (Bottom of Page)"/>
        <w:docPartUnique/>
      </w:docPartObj>
    </w:sdtPr>
    <w:sdtContent>
      <w:sdt>
        <w:sdtPr>
          <w:id w:val="-1769616900"/>
          <w:docPartObj>
            <w:docPartGallery w:val="Page Numbers (Top of Page)"/>
            <w:docPartUnique/>
          </w:docPartObj>
        </w:sdtPr>
        <w:sdtContent>
          <w:p w14:paraId="185C32C7" w14:textId="3DE71891" w:rsidR="00263B0C" w:rsidRDefault="00263B0C" w:rsidP="00263B0C">
            <w:pPr>
              <w:pStyle w:val="Footer"/>
            </w:pPr>
            <w:r>
              <w:t xml:space="preserve">Page </w:t>
            </w:r>
            <w:r>
              <w:rPr>
                <w:b/>
                <w:bCs/>
              </w:rPr>
              <w:fldChar w:fldCharType="begin"/>
            </w:r>
            <w:r>
              <w:rPr>
                <w:b/>
                <w:bCs/>
              </w:rPr>
              <w:instrText xml:space="preserve"> PAGE </w:instrText>
            </w:r>
            <w:r>
              <w:rPr>
                <w:b/>
                <w:bCs/>
              </w:rPr>
              <w:fldChar w:fldCharType="separate"/>
            </w:r>
            <w:r w:rsidR="00E8705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8705E">
              <w:rPr>
                <w:b/>
                <w:bCs/>
                <w:noProof/>
              </w:rPr>
              <w:t>3</w:t>
            </w:r>
            <w:r>
              <w:rPr>
                <w:b/>
                <w:bCs/>
              </w:rPr>
              <w:fldChar w:fldCharType="end"/>
            </w:r>
            <w:r>
              <w:rPr>
                <w:b/>
                <w:bCs/>
              </w:rPr>
              <w:t xml:space="preserve">                                    Effective Date:</w:t>
            </w:r>
            <w:r w:rsidR="00DB72A3">
              <w:rPr>
                <w:b/>
                <w:bCs/>
              </w:rPr>
              <w:t>25/01/2018</w:t>
            </w:r>
            <w:r>
              <w:rPr>
                <w:b/>
                <w:bCs/>
              </w:rPr>
              <w:t xml:space="preserve">                            Version: </w:t>
            </w:r>
            <w:sdt>
              <w:sdtPr>
                <w:rPr>
                  <w:b/>
                  <w:bCs/>
                </w:rPr>
                <w:alias w:val="FileVersionID"/>
                <w:tag w:val="UNDP_POPP_FILEVERSION"/>
                <w:id w:val="100455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FILEVERSION[1]" w:storeItemID="{15B243C3-A726-4697-A075-A6D3D6EC7181}"/>
                <w:text/>
              </w:sdtPr>
              <w:sdtContent>
                <w:r w:rsidR="00964AC3">
                  <w:rPr>
                    <w:b/>
                    <w:bCs/>
                  </w:rPr>
                  <w:t>3</w:t>
                </w:r>
              </w:sdtContent>
            </w:sdt>
            <w:r>
              <w:rPr>
                <w:b/>
                <w:bCs/>
              </w:rPr>
              <w:t xml:space="preserve">            </w:t>
            </w:r>
          </w:p>
        </w:sdtContent>
      </w:sdt>
    </w:sdtContent>
  </w:sdt>
  <w:p w14:paraId="232E6EE8" w14:textId="28D54246" w:rsidR="00F820D3" w:rsidRPr="00263B0C" w:rsidRDefault="00F820D3" w:rsidP="00263B0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4962" w14:textId="77777777" w:rsidR="00E20E2F" w:rsidRDefault="00E20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D71" w14:textId="77777777" w:rsidR="00631AFB" w:rsidRDefault="00631AFB" w:rsidP="006A295A">
      <w:r>
        <w:separator/>
      </w:r>
    </w:p>
  </w:footnote>
  <w:footnote w:type="continuationSeparator" w:id="0">
    <w:p w14:paraId="0F85520A" w14:textId="77777777" w:rsidR="00631AFB" w:rsidRDefault="00631AFB" w:rsidP="006A295A">
      <w:r>
        <w:continuationSeparator/>
      </w:r>
    </w:p>
  </w:footnote>
  <w:footnote w:type="continuationNotice" w:id="1">
    <w:p w14:paraId="5675E7AB" w14:textId="77777777" w:rsidR="00631AFB" w:rsidRDefault="00631AFB"/>
  </w:footnote>
  <w:footnote w:id="2">
    <w:p w14:paraId="7F3C1320" w14:textId="77777777" w:rsidR="00A82020" w:rsidRPr="00945D0B" w:rsidRDefault="00A82020" w:rsidP="00A82020">
      <w:pPr>
        <w:pStyle w:val="FootnoteText"/>
        <w:jc w:val="both"/>
        <w:rPr>
          <w:rFonts w:ascii="Arial" w:hAnsi="Arial" w:cs="Arial"/>
        </w:rPr>
      </w:pPr>
      <w:r w:rsidRPr="00945D0B">
        <w:rPr>
          <w:rStyle w:val="FootnoteReference"/>
          <w:rFonts w:ascii="Arial" w:hAnsi="Arial" w:cs="Arial"/>
        </w:rPr>
        <w:footnoteRef/>
      </w:r>
      <w:r w:rsidRPr="00945D0B">
        <w:rPr>
          <w:rFonts w:ascii="Arial" w:hAnsi="Arial" w:cs="Arial"/>
        </w:rPr>
        <w:t xml:space="preserve"> </w:t>
      </w:r>
      <w:r>
        <w:rPr>
          <w:rFonts w:ascii="Arial" w:hAnsi="Arial" w:cs="Arial"/>
        </w:rPr>
        <w:tab/>
      </w:r>
      <w:r w:rsidRPr="00945D0B">
        <w:rPr>
          <w:rFonts w:ascii="Arial" w:hAnsi="Arial" w:cs="Arial"/>
          <w:noProof/>
        </w:rPr>
        <w:t>"Regulations Governing the Status, Basic Rights and Duties of Officials other than Secretariat Officials, and Experts on 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0B0" w14:textId="77777777" w:rsidR="00E20E2F" w:rsidRDefault="00E20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4E3E" w14:textId="5BF4B194" w:rsidR="00263B0C" w:rsidRDefault="00263B0C" w:rsidP="00263B0C">
    <w:pPr>
      <w:pStyle w:val="Header"/>
      <w:jc w:val="right"/>
    </w:pPr>
    <w:r>
      <w:rPr>
        <w:noProof/>
      </w:rPr>
      <w:drawing>
        <wp:inline distT="0" distB="0" distL="0" distR="0" wp14:anchorId="61DEAB39" wp14:editId="24743C9E">
          <wp:extent cx="294847" cy="58223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266" b="16948"/>
                  <a:stretch/>
                </pic:blipFill>
                <pic:spPr bwMode="auto">
                  <a:xfrm>
                    <a:off x="0" y="0"/>
                    <a:ext cx="294847" cy="5822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86C1" w14:textId="77777777" w:rsidR="00E20E2F" w:rsidRDefault="00E20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0D"/>
    <w:multiLevelType w:val="hybridMultilevel"/>
    <w:tmpl w:val="7CA8BBD6"/>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D7F"/>
    <w:multiLevelType w:val="hybridMultilevel"/>
    <w:tmpl w:val="04AC7C9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D4565"/>
    <w:multiLevelType w:val="hybridMultilevel"/>
    <w:tmpl w:val="5F7A23CE"/>
    <w:lvl w:ilvl="0" w:tplc="51C0C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A4565"/>
    <w:multiLevelType w:val="hybridMultilevel"/>
    <w:tmpl w:val="F43AF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573FF"/>
    <w:multiLevelType w:val="hybridMultilevel"/>
    <w:tmpl w:val="07BE7FC2"/>
    <w:lvl w:ilvl="0" w:tplc="CA441A3E">
      <w:start w:val="1"/>
      <w:numFmt w:val="decimal"/>
      <w:lvlText w:val="%1."/>
      <w:lvlJc w:val="left"/>
      <w:pPr>
        <w:ind w:left="81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7E3F"/>
    <w:multiLevelType w:val="hybridMultilevel"/>
    <w:tmpl w:val="DD4E9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80715"/>
    <w:multiLevelType w:val="hybridMultilevel"/>
    <w:tmpl w:val="5D167A5E"/>
    <w:lvl w:ilvl="0" w:tplc="B40C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0F66"/>
    <w:multiLevelType w:val="hybridMultilevel"/>
    <w:tmpl w:val="E7FC6EEA"/>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566B6"/>
    <w:multiLevelType w:val="hybridMultilevel"/>
    <w:tmpl w:val="267E2D70"/>
    <w:lvl w:ilvl="0" w:tplc="0AB05592">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41925"/>
    <w:multiLevelType w:val="hybridMultilevel"/>
    <w:tmpl w:val="9710A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D5D37"/>
    <w:multiLevelType w:val="hybridMultilevel"/>
    <w:tmpl w:val="B958DCE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1C21C1"/>
    <w:multiLevelType w:val="hybridMultilevel"/>
    <w:tmpl w:val="4CEA01EC"/>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712596">
    <w:abstractNumId w:val="4"/>
  </w:num>
  <w:num w:numId="2" w16cid:durableId="1389260997">
    <w:abstractNumId w:val="6"/>
  </w:num>
  <w:num w:numId="3" w16cid:durableId="720641395">
    <w:abstractNumId w:val="1"/>
  </w:num>
  <w:num w:numId="4" w16cid:durableId="1916889463">
    <w:abstractNumId w:val="0"/>
  </w:num>
  <w:num w:numId="5" w16cid:durableId="1710642798">
    <w:abstractNumId w:val="7"/>
  </w:num>
  <w:num w:numId="6" w16cid:durableId="2137333395">
    <w:abstractNumId w:val="11"/>
  </w:num>
  <w:num w:numId="7" w16cid:durableId="587929259">
    <w:abstractNumId w:val="5"/>
  </w:num>
  <w:num w:numId="8" w16cid:durableId="1872455813">
    <w:abstractNumId w:val="8"/>
  </w:num>
  <w:num w:numId="9" w16cid:durableId="308244177">
    <w:abstractNumId w:val="3"/>
  </w:num>
  <w:num w:numId="10" w16cid:durableId="1243878257">
    <w:abstractNumId w:val="9"/>
  </w:num>
  <w:num w:numId="11" w16cid:durableId="640303358">
    <w:abstractNumId w:val="2"/>
  </w:num>
  <w:num w:numId="12" w16cid:durableId="272790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32B1"/>
    <w:rsid w:val="000272CC"/>
    <w:rsid w:val="000310DF"/>
    <w:rsid w:val="0003229B"/>
    <w:rsid w:val="0003635E"/>
    <w:rsid w:val="000417A0"/>
    <w:rsid w:val="00041E6A"/>
    <w:rsid w:val="00061CF4"/>
    <w:rsid w:val="00062064"/>
    <w:rsid w:val="00065BF8"/>
    <w:rsid w:val="00066C36"/>
    <w:rsid w:val="00077DAE"/>
    <w:rsid w:val="00093844"/>
    <w:rsid w:val="00094833"/>
    <w:rsid w:val="00096091"/>
    <w:rsid w:val="000A7ACF"/>
    <w:rsid w:val="000D47AB"/>
    <w:rsid w:val="000E14EA"/>
    <w:rsid w:val="000E7113"/>
    <w:rsid w:val="000F1930"/>
    <w:rsid w:val="00100532"/>
    <w:rsid w:val="00106DBB"/>
    <w:rsid w:val="00110F56"/>
    <w:rsid w:val="00113F8B"/>
    <w:rsid w:val="001353DF"/>
    <w:rsid w:val="00135985"/>
    <w:rsid w:val="00140F90"/>
    <w:rsid w:val="00143010"/>
    <w:rsid w:val="00150F0B"/>
    <w:rsid w:val="00157EE7"/>
    <w:rsid w:val="00160BC9"/>
    <w:rsid w:val="00164378"/>
    <w:rsid w:val="001721EA"/>
    <w:rsid w:val="00174956"/>
    <w:rsid w:val="001758AE"/>
    <w:rsid w:val="001769F5"/>
    <w:rsid w:val="00183B75"/>
    <w:rsid w:val="00185D15"/>
    <w:rsid w:val="00191BBF"/>
    <w:rsid w:val="00192536"/>
    <w:rsid w:val="00195A93"/>
    <w:rsid w:val="001A65ED"/>
    <w:rsid w:val="001A66C2"/>
    <w:rsid w:val="001B1050"/>
    <w:rsid w:val="001B73B4"/>
    <w:rsid w:val="001C2408"/>
    <w:rsid w:val="001C2635"/>
    <w:rsid w:val="001E677A"/>
    <w:rsid w:val="001F1AFC"/>
    <w:rsid w:val="001F749E"/>
    <w:rsid w:val="002103F1"/>
    <w:rsid w:val="00211F9B"/>
    <w:rsid w:val="00215D6F"/>
    <w:rsid w:val="00220B70"/>
    <w:rsid w:val="00223746"/>
    <w:rsid w:val="00227F40"/>
    <w:rsid w:val="00230AF2"/>
    <w:rsid w:val="00233CA0"/>
    <w:rsid w:val="00243A3C"/>
    <w:rsid w:val="0025026B"/>
    <w:rsid w:val="002545E5"/>
    <w:rsid w:val="00262872"/>
    <w:rsid w:val="00262C6D"/>
    <w:rsid w:val="00263B0C"/>
    <w:rsid w:val="00266284"/>
    <w:rsid w:val="0026783C"/>
    <w:rsid w:val="00274531"/>
    <w:rsid w:val="002756E1"/>
    <w:rsid w:val="002772F6"/>
    <w:rsid w:val="00284B85"/>
    <w:rsid w:val="0029649C"/>
    <w:rsid w:val="002975FB"/>
    <w:rsid w:val="002B5C83"/>
    <w:rsid w:val="002B64D2"/>
    <w:rsid w:val="002B7A1B"/>
    <w:rsid w:val="002C093F"/>
    <w:rsid w:val="002D07E6"/>
    <w:rsid w:val="002D1000"/>
    <w:rsid w:val="002E1476"/>
    <w:rsid w:val="002E6F44"/>
    <w:rsid w:val="002F29A6"/>
    <w:rsid w:val="002F5AB8"/>
    <w:rsid w:val="0030458A"/>
    <w:rsid w:val="00304E99"/>
    <w:rsid w:val="00305F31"/>
    <w:rsid w:val="00305F84"/>
    <w:rsid w:val="00325B4B"/>
    <w:rsid w:val="00330380"/>
    <w:rsid w:val="003317F3"/>
    <w:rsid w:val="003324CE"/>
    <w:rsid w:val="00332CE9"/>
    <w:rsid w:val="00334857"/>
    <w:rsid w:val="00335F4F"/>
    <w:rsid w:val="00366363"/>
    <w:rsid w:val="00367FD8"/>
    <w:rsid w:val="00375E95"/>
    <w:rsid w:val="00382FA3"/>
    <w:rsid w:val="0038462C"/>
    <w:rsid w:val="00397429"/>
    <w:rsid w:val="0039776F"/>
    <w:rsid w:val="003A01C3"/>
    <w:rsid w:val="003A0676"/>
    <w:rsid w:val="003A2129"/>
    <w:rsid w:val="003A5B8B"/>
    <w:rsid w:val="003A750B"/>
    <w:rsid w:val="003C2398"/>
    <w:rsid w:val="003C36BE"/>
    <w:rsid w:val="003C6EED"/>
    <w:rsid w:val="003D48A7"/>
    <w:rsid w:val="003E4F38"/>
    <w:rsid w:val="003E64D1"/>
    <w:rsid w:val="003E6DEC"/>
    <w:rsid w:val="003F0E28"/>
    <w:rsid w:val="003F3A87"/>
    <w:rsid w:val="004022C0"/>
    <w:rsid w:val="00404489"/>
    <w:rsid w:val="00406F0E"/>
    <w:rsid w:val="00423A17"/>
    <w:rsid w:val="00423F81"/>
    <w:rsid w:val="0042460F"/>
    <w:rsid w:val="0042497F"/>
    <w:rsid w:val="00424CED"/>
    <w:rsid w:val="004277A6"/>
    <w:rsid w:val="00436BCA"/>
    <w:rsid w:val="0044119F"/>
    <w:rsid w:val="00441BE3"/>
    <w:rsid w:val="00444B04"/>
    <w:rsid w:val="00444FB4"/>
    <w:rsid w:val="00445DC6"/>
    <w:rsid w:val="0044662D"/>
    <w:rsid w:val="00451165"/>
    <w:rsid w:val="00473FB4"/>
    <w:rsid w:val="00481E14"/>
    <w:rsid w:val="00490A35"/>
    <w:rsid w:val="004931DF"/>
    <w:rsid w:val="0049499C"/>
    <w:rsid w:val="004954B0"/>
    <w:rsid w:val="004A4992"/>
    <w:rsid w:val="004A52C2"/>
    <w:rsid w:val="004B7DEB"/>
    <w:rsid w:val="004C0017"/>
    <w:rsid w:val="004C4D48"/>
    <w:rsid w:val="004D1B93"/>
    <w:rsid w:val="004D7DEE"/>
    <w:rsid w:val="004E3AD4"/>
    <w:rsid w:val="004F57B4"/>
    <w:rsid w:val="00502F55"/>
    <w:rsid w:val="00503DE2"/>
    <w:rsid w:val="0051161D"/>
    <w:rsid w:val="005123D1"/>
    <w:rsid w:val="00513366"/>
    <w:rsid w:val="00526433"/>
    <w:rsid w:val="0053145F"/>
    <w:rsid w:val="00545752"/>
    <w:rsid w:val="005472FF"/>
    <w:rsid w:val="0055287D"/>
    <w:rsid w:val="005652C4"/>
    <w:rsid w:val="00575CB3"/>
    <w:rsid w:val="00587B0A"/>
    <w:rsid w:val="00596264"/>
    <w:rsid w:val="005A4CF6"/>
    <w:rsid w:val="005B0874"/>
    <w:rsid w:val="005B48A2"/>
    <w:rsid w:val="005B5FCE"/>
    <w:rsid w:val="005D4E8D"/>
    <w:rsid w:val="005D58ED"/>
    <w:rsid w:val="005D7317"/>
    <w:rsid w:val="005E2BD3"/>
    <w:rsid w:val="005F1DEA"/>
    <w:rsid w:val="005F3CB1"/>
    <w:rsid w:val="005F5ECB"/>
    <w:rsid w:val="005F5F45"/>
    <w:rsid w:val="006030BD"/>
    <w:rsid w:val="00603870"/>
    <w:rsid w:val="00603F47"/>
    <w:rsid w:val="00610F7A"/>
    <w:rsid w:val="00613891"/>
    <w:rsid w:val="00631AFB"/>
    <w:rsid w:val="0063669D"/>
    <w:rsid w:val="006411DD"/>
    <w:rsid w:val="00650679"/>
    <w:rsid w:val="0065617D"/>
    <w:rsid w:val="00670082"/>
    <w:rsid w:val="0067705B"/>
    <w:rsid w:val="00690825"/>
    <w:rsid w:val="00691F10"/>
    <w:rsid w:val="006930F4"/>
    <w:rsid w:val="006A295A"/>
    <w:rsid w:val="006A34A2"/>
    <w:rsid w:val="006A67C6"/>
    <w:rsid w:val="006A7479"/>
    <w:rsid w:val="006B45C4"/>
    <w:rsid w:val="006B7090"/>
    <w:rsid w:val="006B7780"/>
    <w:rsid w:val="006C2FAF"/>
    <w:rsid w:val="006C350F"/>
    <w:rsid w:val="006C42B3"/>
    <w:rsid w:val="006D3C6D"/>
    <w:rsid w:val="006E059A"/>
    <w:rsid w:val="006E0989"/>
    <w:rsid w:val="006E268A"/>
    <w:rsid w:val="006E376C"/>
    <w:rsid w:val="006F3AC4"/>
    <w:rsid w:val="007010B6"/>
    <w:rsid w:val="0070226D"/>
    <w:rsid w:val="00703197"/>
    <w:rsid w:val="0070350B"/>
    <w:rsid w:val="00705BB8"/>
    <w:rsid w:val="00706357"/>
    <w:rsid w:val="0072103B"/>
    <w:rsid w:val="00727471"/>
    <w:rsid w:val="0074377C"/>
    <w:rsid w:val="0075595F"/>
    <w:rsid w:val="00755FF2"/>
    <w:rsid w:val="007817A3"/>
    <w:rsid w:val="007831A3"/>
    <w:rsid w:val="0078327E"/>
    <w:rsid w:val="00797735"/>
    <w:rsid w:val="007A6321"/>
    <w:rsid w:val="007A6BA9"/>
    <w:rsid w:val="007B50CE"/>
    <w:rsid w:val="007B7E46"/>
    <w:rsid w:val="007C29A0"/>
    <w:rsid w:val="007C2F5D"/>
    <w:rsid w:val="007D1FFB"/>
    <w:rsid w:val="007D7F37"/>
    <w:rsid w:val="007E3624"/>
    <w:rsid w:val="007F4DD6"/>
    <w:rsid w:val="008029E8"/>
    <w:rsid w:val="00803AF4"/>
    <w:rsid w:val="00806AF2"/>
    <w:rsid w:val="00827877"/>
    <w:rsid w:val="008278C0"/>
    <w:rsid w:val="0083398D"/>
    <w:rsid w:val="008344AC"/>
    <w:rsid w:val="00845E91"/>
    <w:rsid w:val="00855AFA"/>
    <w:rsid w:val="00866899"/>
    <w:rsid w:val="00867D24"/>
    <w:rsid w:val="00875100"/>
    <w:rsid w:val="00877E6E"/>
    <w:rsid w:val="008831FC"/>
    <w:rsid w:val="00884443"/>
    <w:rsid w:val="0089508B"/>
    <w:rsid w:val="00896A1D"/>
    <w:rsid w:val="00897087"/>
    <w:rsid w:val="008A1C09"/>
    <w:rsid w:val="008A1C4E"/>
    <w:rsid w:val="008A2E47"/>
    <w:rsid w:val="008B19DB"/>
    <w:rsid w:val="008B6C81"/>
    <w:rsid w:val="008C3344"/>
    <w:rsid w:val="008D110A"/>
    <w:rsid w:val="008D41FB"/>
    <w:rsid w:val="008D5F10"/>
    <w:rsid w:val="008F5620"/>
    <w:rsid w:val="008F58AD"/>
    <w:rsid w:val="00913139"/>
    <w:rsid w:val="00916DE8"/>
    <w:rsid w:val="00924244"/>
    <w:rsid w:val="009260BB"/>
    <w:rsid w:val="0092723A"/>
    <w:rsid w:val="00930A9B"/>
    <w:rsid w:val="00933CE3"/>
    <w:rsid w:val="00935E00"/>
    <w:rsid w:val="00941600"/>
    <w:rsid w:val="00942575"/>
    <w:rsid w:val="00945D0B"/>
    <w:rsid w:val="00946ED9"/>
    <w:rsid w:val="00956154"/>
    <w:rsid w:val="00964AC3"/>
    <w:rsid w:val="009651EE"/>
    <w:rsid w:val="00966B62"/>
    <w:rsid w:val="00970ADE"/>
    <w:rsid w:val="009716EB"/>
    <w:rsid w:val="0098120F"/>
    <w:rsid w:val="00981247"/>
    <w:rsid w:val="00995142"/>
    <w:rsid w:val="009A109A"/>
    <w:rsid w:val="009A1991"/>
    <w:rsid w:val="009A4D8C"/>
    <w:rsid w:val="009A5852"/>
    <w:rsid w:val="009B01D6"/>
    <w:rsid w:val="009B2C7F"/>
    <w:rsid w:val="009C5B56"/>
    <w:rsid w:val="009D0715"/>
    <w:rsid w:val="009D485F"/>
    <w:rsid w:val="009F13E9"/>
    <w:rsid w:val="009F6094"/>
    <w:rsid w:val="00A03301"/>
    <w:rsid w:val="00A12630"/>
    <w:rsid w:val="00A25163"/>
    <w:rsid w:val="00A30C6A"/>
    <w:rsid w:val="00A3399E"/>
    <w:rsid w:val="00A41D22"/>
    <w:rsid w:val="00A510E6"/>
    <w:rsid w:val="00A5247B"/>
    <w:rsid w:val="00A60B1C"/>
    <w:rsid w:val="00A71657"/>
    <w:rsid w:val="00A7766D"/>
    <w:rsid w:val="00A82020"/>
    <w:rsid w:val="00A92BC2"/>
    <w:rsid w:val="00A93CF9"/>
    <w:rsid w:val="00A9683F"/>
    <w:rsid w:val="00AA03D3"/>
    <w:rsid w:val="00AA38F7"/>
    <w:rsid w:val="00AA657A"/>
    <w:rsid w:val="00AB36F8"/>
    <w:rsid w:val="00AB5C74"/>
    <w:rsid w:val="00AC3F36"/>
    <w:rsid w:val="00AC4D80"/>
    <w:rsid w:val="00AE13D6"/>
    <w:rsid w:val="00AE3F8A"/>
    <w:rsid w:val="00B04313"/>
    <w:rsid w:val="00B2646B"/>
    <w:rsid w:val="00B272AE"/>
    <w:rsid w:val="00B339E4"/>
    <w:rsid w:val="00B40043"/>
    <w:rsid w:val="00B41379"/>
    <w:rsid w:val="00B45CD4"/>
    <w:rsid w:val="00B5456D"/>
    <w:rsid w:val="00B6476B"/>
    <w:rsid w:val="00B70603"/>
    <w:rsid w:val="00B71C90"/>
    <w:rsid w:val="00B750AF"/>
    <w:rsid w:val="00B7602D"/>
    <w:rsid w:val="00B76415"/>
    <w:rsid w:val="00B8069A"/>
    <w:rsid w:val="00B92CEB"/>
    <w:rsid w:val="00B9368B"/>
    <w:rsid w:val="00B9404F"/>
    <w:rsid w:val="00B969A3"/>
    <w:rsid w:val="00BA7887"/>
    <w:rsid w:val="00BB758D"/>
    <w:rsid w:val="00BC5E91"/>
    <w:rsid w:val="00BE3400"/>
    <w:rsid w:val="00BE366D"/>
    <w:rsid w:val="00BF0FDC"/>
    <w:rsid w:val="00C01D33"/>
    <w:rsid w:val="00C21356"/>
    <w:rsid w:val="00C22F37"/>
    <w:rsid w:val="00C2526E"/>
    <w:rsid w:val="00C26A7F"/>
    <w:rsid w:val="00C3215F"/>
    <w:rsid w:val="00C328EC"/>
    <w:rsid w:val="00C329D5"/>
    <w:rsid w:val="00C51A0E"/>
    <w:rsid w:val="00C55CD8"/>
    <w:rsid w:val="00C63312"/>
    <w:rsid w:val="00C703BF"/>
    <w:rsid w:val="00C70F9D"/>
    <w:rsid w:val="00C80061"/>
    <w:rsid w:val="00C808DD"/>
    <w:rsid w:val="00C80B5E"/>
    <w:rsid w:val="00C9252D"/>
    <w:rsid w:val="00C927C9"/>
    <w:rsid w:val="00C9352A"/>
    <w:rsid w:val="00C93B64"/>
    <w:rsid w:val="00C96526"/>
    <w:rsid w:val="00C97B4A"/>
    <w:rsid w:val="00CA48F9"/>
    <w:rsid w:val="00CC0745"/>
    <w:rsid w:val="00CC69D5"/>
    <w:rsid w:val="00CC7EB3"/>
    <w:rsid w:val="00CD0014"/>
    <w:rsid w:val="00CD0E7F"/>
    <w:rsid w:val="00CD6846"/>
    <w:rsid w:val="00CE6DD4"/>
    <w:rsid w:val="00CF08BB"/>
    <w:rsid w:val="00CF4B6C"/>
    <w:rsid w:val="00CF6CE4"/>
    <w:rsid w:val="00CF7D32"/>
    <w:rsid w:val="00D007FB"/>
    <w:rsid w:val="00D015BE"/>
    <w:rsid w:val="00D0722B"/>
    <w:rsid w:val="00D47BDC"/>
    <w:rsid w:val="00D537A2"/>
    <w:rsid w:val="00D5679F"/>
    <w:rsid w:val="00D62808"/>
    <w:rsid w:val="00D726D2"/>
    <w:rsid w:val="00D75ED1"/>
    <w:rsid w:val="00D7725C"/>
    <w:rsid w:val="00D8447D"/>
    <w:rsid w:val="00D91F65"/>
    <w:rsid w:val="00DA0B73"/>
    <w:rsid w:val="00DA269C"/>
    <w:rsid w:val="00DA70FE"/>
    <w:rsid w:val="00DA7D35"/>
    <w:rsid w:val="00DB72A3"/>
    <w:rsid w:val="00DC2958"/>
    <w:rsid w:val="00DD67C9"/>
    <w:rsid w:val="00DE1D47"/>
    <w:rsid w:val="00DE4B1D"/>
    <w:rsid w:val="00DF029C"/>
    <w:rsid w:val="00DF0531"/>
    <w:rsid w:val="00E052B8"/>
    <w:rsid w:val="00E1290B"/>
    <w:rsid w:val="00E14462"/>
    <w:rsid w:val="00E1609B"/>
    <w:rsid w:val="00E20E2F"/>
    <w:rsid w:val="00E2224D"/>
    <w:rsid w:val="00E400D3"/>
    <w:rsid w:val="00E45C50"/>
    <w:rsid w:val="00E50B89"/>
    <w:rsid w:val="00E53C39"/>
    <w:rsid w:val="00E55AFC"/>
    <w:rsid w:val="00E55E7F"/>
    <w:rsid w:val="00E61D67"/>
    <w:rsid w:val="00E74EC5"/>
    <w:rsid w:val="00E772EE"/>
    <w:rsid w:val="00E775BC"/>
    <w:rsid w:val="00E82325"/>
    <w:rsid w:val="00E86424"/>
    <w:rsid w:val="00E8705E"/>
    <w:rsid w:val="00E93544"/>
    <w:rsid w:val="00E95E58"/>
    <w:rsid w:val="00EA4C9D"/>
    <w:rsid w:val="00EB33F1"/>
    <w:rsid w:val="00EC23EA"/>
    <w:rsid w:val="00EC79E4"/>
    <w:rsid w:val="00ED00DC"/>
    <w:rsid w:val="00ED153D"/>
    <w:rsid w:val="00ED1A0D"/>
    <w:rsid w:val="00ED56B4"/>
    <w:rsid w:val="00EE3804"/>
    <w:rsid w:val="00EE3C43"/>
    <w:rsid w:val="00EF32B5"/>
    <w:rsid w:val="00EF32C9"/>
    <w:rsid w:val="00EF6337"/>
    <w:rsid w:val="00F1185B"/>
    <w:rsid w:val="00F12F89"/>
    <w:rsid w:val="00F152BE"/>
    <w:rsid w:val="00F21244"/>
    <w:rsid w:val="00F31A23"/>
    <w:rsid w:val="00F32626"/>
    <w:rsid w:val="00F33538"/>
    <w:rsid w:val="00F3368A"/>
    <w:rsid w:val="00F35E1C"/>
    <w:rsid w:val="00F639CF"/>
    <w:rsid w:val="00F6726E"/>
    <w:rsid w:val="00F82010"/>
    <w:rsid w:val="00F820D3"/>
    <w:rsid w:val="00FA3E21"/>
    <w:rsid w:val="00FA3E22"/>
    <w:rsid w:val="00FA5498"/>
    <w:rsid w:val="00FB218C"/>
    <w:rsid w:val="00FB57F5"/>
    <w:rsid w:val="00FC47B0"/>
    <w:rsid w:val="00FC62B1"/>
    <w:rsid w:val="00FD1302"/>
    <w:rsid w:val="00FD6D48"/>
    <w:rsid w:val="00FF6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69253"/>
  <w15:docId w15:val="{34C2A1F1-586A-4E1F-8378-C81C530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customStyle="1" w:styleId="p2">
    <w:name w:val="p2"/>
    <w:basedOn w:val="Normal"/>
    <w:rsid w:val="0067705B"/>
    <w:pPr>
      <w:widowControl w:val="0"/>
      <w:tabs>
        <w:tab w:val="left" w:pos="691"/>
        <w:tab w:val="left" w:pos="1286"/>
      </w:tabs>
      <w:autoSpaceDE w:val="0"/>
      <w:autoSpaceDN w:val="0"/>
      <w:adjustRightInd w:val="0"/>
      <w:spacing w:line="238" w:lineRule="atLeast"/>
      <w:ind w:left="313"/>
    </w:pPr>
    <w:rPr>
      <w:sz w:val="20"/>
    </w:rPr>
  </w:style>
  <w:style w:type="paragraph" w:customStyle="1" w:styleId="p6">
    <w:name w:val="p6"/>
    <w:basedOn w:val="Normal"/>
    <w:rsid w:val="0067705B"/>
    <w:pPr>
      <w:widowControl w:val="0"/>
      <w:tabs>
        <w:tab w:val="left" w:pos="691"/>
      </w:tabs>
      <w:autoSpaceDE w:val="0"/>
      <w:autoSpaceDN w:val="0"/>
      <w:adjustRightInd w:val="0"/>
      <w:spacing w:line="240" w:lineRule="atLeast"/>
      <w:ind w:left="313"/>
    </w:pPr>
    <w:rPr>
      <w:sz w:val="20"/>
    </w:rPr>
  </w:style>
  <w:style w:type="paragraph" w:customStyle="1" w:styleId="p8">
    <w:name w:val="p8"/>
    <w:basedOn w:val="Normal"/>
    <w:rsid w:val="0067705B"/>
    <w:pPr>
      <w:widowControl w:val="0"/>
      <w:tabs>
        <w:tab w:val="left" w:pos="204"/>
      </w:tabs>
      <w:autoSpaceDE w:val="0"/>
      <w:autoSpaceDN w:val="0"/>
      <w:adjustRightInd w:val="0"/>
      <w:spacing w:line="240" w:lineRule="atLeast"/>
    </w:pPr>
    <w:rPr>
      <w:sz w:val="20"/>
    </w:rPr>
  </w:style>
  <w:style w:type="paragraph" w:customStyle="1" w:styleId="p9">
    <w:name w:val="p9"/>
    <w:basedOn w:val="Normal"/>
    <w:rsid w:val="0067705B"/>
    <w:pPr>
      <w:widowControl w:val="0"/>
      <w:tabs>
        <w:tab w:val="left" w:pos="691"/>
      </w:tabs>
      <w:autoSpaceDE w:val="0"/>
      <w:autoSpaceDN w:val="0"/>
      <w:adjustRightInd w:val="0"/>
      <w:spacing w:line="238" w:lineRule="atLeast"/>
    </w:pPr>
    <w:rPr>
      <w:sz w:val="20"/>
    </w:rPr>
  </w:style>
  <w:style w:type="paragraph" w:customStyle="1" w:styleId="p7">
    <w:name w:val="p7"/>
    <w:basedOn w:val="Normal"/>
    <w:rsid w:val="003C36BE"/>
    <w:pPr>
      <w:widowControl w:val="0"/>
      <w:tabs>
        <w:tab w:val="left" w:pos="204"/>
      </w:tabs>
      <w:autoSpaceDE w:val="0"/>
      <w:autoSpaceDN w:val="0"/>
      <w:adjustRightInd w:val="0"/>
      <w:spacing w:line="243" w:lineRule="atLeast"/>
    </w:pPr>
    <w:rPr>
      <w:sz w:val="20"/>
    </w:rPr>
  </w:style>
  <w:style w:type="paragraph" w:customStyle="1" w:styleId="p12">
    <w:name w:val="p12"/>
    <w:basedOn w:val="Normal"/>
    <w:rsid w:val="003C36BE"/>
    <w:pPr>
      <w:widowControl w:val="0"/>
      <w:tabs>
        <w:tab w:val="left" w:pos="617"/>
        <w:tab w:val="left" w:pos="1196"/>
      </w:tabs>
      <w:autoSpaceDE w:val="0"/>
      <w:autoSpaceDN w:val="0"/>
      <w:adjustRightInd w:val="0"/>
      <w:spacing w:line="243" w:lineRule="atLeast"/>
      <w:ind w:firstLine="618"/>
    </w:pPr>
    <w:rPr>
      <w:sz w:val="20"/>
    </w:rPr>
  </w:style>
  <w:style w:type="paragraph" w:customStyle="1" w:styleId="p13">
    <w:name w:val="p13"/>
    <w:basedOn w:val="Normal"/>
    <w:rsid w:val="003C36BE"/>
    <w:pPr>
      <w:widowControl w:val="0"/>
      <w:tabs>
        <w:tab w:val="left" w:pos="617"/>
        <w:tab w:val="left" w:pos="1196"/>
      </w:tabs>
      <w:autoSpaceDE w:val="0"/>
      <w:autoSpaceDN w:val="0"/>
      <w:adjustRightInd w:val="0"/>
      <w:spacing w:line="243" w:lineRule="atLeast"/>
      <w:ind w:left="1197" w:hanging="579"/>
    </w:pPr>
    <w:rPr>
      <w:sz w:val="20"/>
    </w:rPr>
  </w:style>
  <w:style w:type="paragraph" w:customStyle="1" w:styleId="p18">
    <w:name w:val="p18"/>
    <w:basedOn w:val="Normal"/>
    <w:rsid w:val="003C36BE"/>
    <w:pPr>
      <w:widowControl w:val="0"/>
      <w:tabs>
        <w:tab w:val="left" w:pos="1196"/>
      </w:tabs>
      <w:autoSpaceDE w:val="0"/>
      <w:autoSpaceDN w:val="0"/>
      <w:adjustRightInd w:val="0"/>
      <w:spacing w:line="240" w:lineRule="atLeast"/>
      <w:ind w:left="818"/>
    </w:pPr>
    <w:rPr>
      <w:sz w:val="20"/>
    </w:rPr>
  </w:style>
  <w:style w:type="paragraph" w:customStyle="1" w:styleId="p19">
    <w:name w:val="p19"/>
    <w:basedOn w:val="Normal"/>
    <w:rsid w:val="003C36BE"/>
    <w:pPr>
      <w:widowControl w:val="0"/>
      <w:tabs>
        <w:tab w:val="left" w:pos="1196"/>
        <w:tab w:val="left" w:pos="1797"/>
      </w:tabs>
      <w:autoSpaceDE w:val="0"/>
      <w:autoSpaceDN w:val="0"/>
      <w:adjustRightInd w:val="0"/>
      <w:spacing w:line="243" w:lineRule="atLeast"/>
      <w:ind w:left="818"/>
    </w:pPr>
    <w:rPr>
      <w:sz w:val="20"/>
    </w:rPr>
  </w:style>
  <w:style w:type="paragraph" w:customStyle="1" w:styleId="Default">
    <w:name w:val="Default"/>
    <w:rsid w:val="00E775BC"/>
    <w:pPr>
      <w:autoSpaceDE w:val="0"/>
      <w:autoSpaceDN w:val="0"/>
      <w:adjustRightInd w:val="0"/>
    </w:pPr>
    <w:rPr>
      <w:rFonts w:ascii="Arial" w:hAnsi="Arial" w:cs="Arial"/>
      <w:color w:val="000000"/>
      <w:lang w:val="en-CA"/>
    </w:rPr>
  </w:style>
  <w:style w:type="paragraph" w:styleId="ListParagraph">
    <w:name w:val="List Paragraph"/>
    <w:basedOn w:val="Normal"/>
    <w:uiPriority w:val="34"/>
    <w:qFormat/>
    <w:rsid w:val="00DD67C9"/>
    <w:pPr>
      <w:ind w:left="720"/>
      <w:contextualSpacing/>
    </w:pPr>
  </w:style>
  <w:style w:type="character" w:styleId="CommentReference">
    <w:name w:val="annotation reference"/>
    <w:basedOn w:val="DefaultParagraphFont"/>
    <w:uiPriority w:val="99"/>
    <w:semiHidden/>
    <w:unhideWhenUsed/>
    <w:rsid w:val="003C6EED"/>
    <w:rPr>
      <w:sz w:val="16"/>
      <w:szCs w:val="16"/>
    </w:rPr>
  </w:style>
  <w:style w:type="paragraph" w:styleId="CommentText">
    <w:name w:val="annotation text"/>
    <w:basedOn w:val="Normal"/>
    <w:link w:val="CommentTextChar"/>
    <w:uiPriority w:val="99"/>
    <w:semiHidden/>
    <w:unhideWhenUsed/>
    <w:rsid w:val="003C6EED"/>
    <w:rPr>
      <w:sz w:val="20"/>
      <w:szCs w:val="20"/>
    </w:rPr>
  </w:style>
  <w:style w:type="character" w:customStyle="1" w:styleId="CommentTextChar">
    <w:name w:val="Comment Text Char"/>
    <w:basedOn w:val="DefaultParagraphFont"/>
    <w:link w:val="CommentText"/>
    <w:uiPriority w:val="99"/>
    <w:semiHidden/>
    <w:rsid w:val="003C6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EED"/>
    <w:rPr>
      <w:b/>
      <w:bCs/>
    </w:rPr>
  </w:style>
  <w:style w:type="character" w:customStyle="1" w:styleId="CommentSubjectChar">
    <w:name w:val="Comment Subject Char"/>
    <w:basedOn w:val="CommentTextChar"/>
    <w:link w:val="CommentSubject"/>
    <w:uiPriority w:val="99"/>
    <w:semiHidden/>
    <w:rsid w:val="003C6EED"/>
    <w:rPr>
      <w:rFonts w:ascii="Times New Roman" w:eastAsia="Times New Roman" w:hAnsi="Times New Roman" w:cs="Times New Roman"/>
      <w:b/>
      <w:bCs/>
      <w:sz w:val="20"/>
      <w:szCs w:val="20"/>
    </w:rPr>
  </w:style>
  <w:style w:type="paragraph" w:styleId="Revision">
    <w:name w:val="Revision"/>
    <w:hidden/>
    <w:uiPriority w:val="99"/>
    <w:semiHidden/>
    <w:rsid w:val="00ED00DC"/>
    <w:rPr>
      <w:rFonts w:ascii="Times New Roman" w:eastAsia="Times New Roman" w:hAnsi="Times New Roman" w:cs="Times New Roman"/>
    </w:rPr>
  </w:style>
  <w:style w:type="character" w:styleId="PlaceholderText">
    <w:name w:val="Placeholder Text"/>
    <w:basedOn w:val="DefaultParagraphFont"/>
    <w:uiPriority w:val="99"/>
    <w:semiHidden/>
    <w:rsid w:val="00263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hr_handbook/English/sourcedocuments_/09administrativ_/02%20PRIVILEGES%20AND%20IMMUNITIES/Section%202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org/hr_handbook/English/sourcedocuments_/09administrativ_/02%20PRIVILEGES%20AND%20IMMUNITIES/Section%2023.d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POPP-11-2538</_dlc_DocId>
    <_dlc_DocIdUrl xmlns="8264c5cc-ec60-4b56-8111-ce635d3d139a">
      <Url>https://popp.undp.org/_layouts/15/DocIdRedir.aspx?ID=POPP-11-2538</Url>
      <Description>POPP-11-2538</Description>
    </_dlc_DocIdUrl>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25/01/2018                                                Version #: 3.0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2018-01-24T23:00:00+00:00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Non-Reimbursable Loan Agreement</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3</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25/01/2018                                                Version #: 3</DLCPolicyLabelVal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ABF9A6-ADD7-44BE-A960-D9393070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FABF5013-A0F5-40B1-B5D9-3B3EA66A48CB}">
  <ds:schemaRefs>
    <ds:schemaRef ds:uri="office.server.policy"/>
  </ds:schemaRefs>
</ds:datastoreItem>
</file>

<file path=customXml/itemProps4.xml><?xml version="1.0" encoding="utf-8"?>
<ds:datastoreItem xmlns:ds="http://schemas.openxmlformats.org/officeDocument/2006/customXml" ds:itemID="{9620A615-E387-A64C-9A38-514DED0CC57B}">
  <ds:schemaRefs>
    <ds:schemaRef ds:uri="http://schemas.openxmlformats.org/officeDocument/2006/bibliography"/>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C49F0386-1BAA-469A-A717-AA0E2F584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Microsoft</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9</cp:revision>
  <cp:lastPrinted>2015-10-16T20:38:00Z</cp:lastPrinted>
  <dcterms:created xsi:type="dcterms:W3CDTF">2019-10-24T13:20:00Z</dcterms:created>
  <dcterms:modified xsi:type="dcterms:W3CDTF">2023-10-03T07:46:00Z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3388894f-77c8-4cfc-aeff-890090de0f0f</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