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92"/>
        <w:gridCol w:w="3192"/>
        <w:gridCol w:w="3192"/>
      </w:tblGrid>
      <w:tr w:rsidR="0088641B" w:rsidRPr="0088641B" w:rsidTr="001B4FEF">
        <w:tc>
          <w:tcPr>
            <w:tcW w:w="3192" w:type="dxa"/>
            <w:shd w:val="clear" w:color="auto" w:fill="auto"/>
          </w:tcPr>
          <w:p w:rsidR="001B4FEF" w:rsidRPr="001B4FEF" w:rsidRDefault="001B4FEF" w:rsidP="001B4FEF">
            <w:pPr>
              <w:spacing w:after="0" w:line="240" w:lineRule="auto"/>
              <w:rPr>
                <w:rFonts w:ascii="Times New Roman" w:eastAsia="Times New Roman" w:hAnsi="Times New Roman"/>
                <w:b/>
                <w:sz w:val="20"/>
                <w:szCs w:val="20"/>
                <w:lang w:bidi="en-US"/>
              </w:rPr>
            </w:pPr>
            <w:bookmarkStart w:id="0" w:name="_GoBack"/>
            <w:bookmarkEnd w:id="0"/>
            <w:r w:rsidRPr="001B4FEF">
              <w:rPr>
                <w:rFonts w:ascii="Times New Roman" w:eastAsia="Times New Roman" w:hAnsi="Times New Roman"/>
                <w:b/>
                <w:sz w:val="20"/>
                <w:szCs w:val="20"/>
                <w:lang w:bidi="en-US"/>
              </w:rPr>
              <w:t>United Nations Entity for Gender</w:t>
            </w:r>
          </w:p>
          <w:p w:rsidR="001B4FEF" w:rsidRPr="001B4FEF" w:rsidRDefault="001B4FEF" w:rsidP="001B4FEF">
            <w:pPr>
              <w:spacing w:after="0" w:line="240" w:lineRule="auto"/>
              <w:rPr>
                <w:rFonts w:ascii="Times New Roman" w:eastAsia="Times New Roman" w:hAnsi="Times New Roman"/>
                <w:b/>
                <w:sz w:val="20"/>
                <w:szCs w:val="20"/>
                <w:lang w:bidi="en-US"/>
              </w:rPr>
            </w:pPr>
            <w:r w:rsidRPr="001B4FEF">
              <w:rPr>
                <w:rFonts w:ascii="Times New Roman" w:eastAsia="Times New Roman" w:hAnsi="Times New Roman"/>
                <w:b/>
                <w:sz w:val="20"/>
                <w:szCs w:val="20"/>
                <w:lang w:bidi="en-US"/>
              </w:rPr>
              <w:t>Equality and the Empowerment</w:t>
            </w:r>
          </w:p>
          <w:p w:rsidR="0088641B" w:rsidRDefault="001B4FEF" w:rsidP="001B4FEF">
            <w:pPr>
              <w:spacing w:after="0" w:line="240" w:lineRule="auto"/>
              <w:rPr>
                <w:rFonts w:ascii="Times New Roman" w:eastAsia="Times New Roman" w:hAnsi="Times New Roman"/>
                <w:b/>
                <w:sz w:val="20"/>
                <w:szCs w:val="20"/>
                <w:lang w:bidi="en-US"/>
              </w:rPr>
            </w:pPr>
            <w:r w:rsidRPr="001B4FEF">
              <w:rPr>
                <w:rFonts w:ascii="Times New Roman" w:eastAsia="Times New Roman" w:hAnsi="Times New Roman"/>
                <w:b/>
                <w:sz w:val="20"/>
                <w:szCs w:val="20"/>
                <w:lang w:bidi="en-US"/>
              </w:rPr>
              <w:t>of Women</w:t>
            </w:r>
          </w:p>
          <w:p w:rsidR="001B4FEF" w:rsidRDefault="001B4FEF" w:rsidP="001B4FEF">
            <w:pPr>
              <w:spacing w:after="0" w:line="240" w:lineRule="auto"/>
              <w:rPr>
                <w:rFonts w:ascii="Times New Roman" w:eastAsia="Times New Roman" w:hAnsi="Times New Roman"/>
                <w:b/>
                <w:sz w:val="20"/>
                <w:szCs w:val="20"/>
                <w:lang w:bidi="en-US"/>
              </w:rPr>
            </w:pPr>
            <w:r>
              <w:rPr>
                <w:rFonts w:ascii="Times New Roman" w:eastAsia="Times New Roman" w:hAnsi="Times New Roman"/>
                <w:b/>
                <w:sz w:val="20"/>
                <w:szCs w:val="20"/>
                <w:lang w:bidi="en-US"/>
              </w:rPr>
              <w:t>Executive Board</w:t>
            </w:r>
          </w:p>
          <w:p w:rsidR="001B4FEF" w:rsidRDefault="001B4FEF" w:rsidP="001B4FEF">
            <w:pPr>
              <w:spacing w:after="0" w:line="240" w:lineRule="auto"/>
              <w:rPr>
                <w:rFonts w:ascii="Times New Roman" w:eastAsia="Times New Roman" w:hAnsi="Times New Roman"/>
                <w:b/>
                <w:sz w:val="20"/>
                <w:szCs w:val="20"/>
                <w:lang w:bidi="en-US"/>
              </w:rPr>
            </w:pPr>
            <w:r>
              <w:rPr>
                <w:rFonts w:ascii="Times New Roman" w:eastAsia="Times New Roman" w:hAnsi="Times New Roman"/>
                <w:b/>
                <w:sz w:val="20"/>
                <w:szCs w:val="20"/>
                <w:lang w:bidi="en-US"/>
              </w:rPr>
              <w:t>First regular session 2013</w:t>
            </w:r>
          </w:p>
          <w:p w:rsidR="001B4FEF" w:rsidRDefault="001B4FEF" w:rsidP="001B4FEF">
            <w:pPr>
              <w:spacing w:after="0" w:line="240" w:lineRule="auto"/>
              <w:rPr>
                <w:rFonts w:ascii="Times New Roman" w:eastAsia="Times New Roman" w:hAnsi="Times New Roman"/>
                <w:sz w:val="20"/>
                <w:szCs w:val="20"/>
                <w:lang w:bidi="en-US"/>
              </w:rPr>
            </w:pPr>
            <w:r w:rsidRPr="001B4FEF">
              <w:rPr>
                <w:rFonts w:ascii="Times New Roman" w:eastAsia="Times New Roman" w:hAnsi="Times New Roman"/>
                <w:sz w:val="20"/>
                <w:szCs w:val="20"/>
                <w:lang w:bidi="en-US"/>
              </w:rPr>
              <w:t>23 – 24 January 2013</w:t>
            </w:r>
          </w:p>
          <w:p w:rsidR="001B4FEF" w:rsidRDefault="001B4FEF" w:rsidP="001B4FEF">
            <w:pPr>
              <w:spacing w:after="0" w:line="240" w:lineRule="auto"/>
              <w:rPr>
                <w:rFonts w:ascii="Times New Roman" w:eastAsia="Times New Roman" w:hAnsi="Times New Roman"/>
                <w:sz w:val="20"/>
                <w:szCs w:val="20"/>
                <w:lang w:bidi="en-US"/>
              </w:rPr>
            </w:pPr>
            <w:r>
              <w:rPr>
                <w:rFonts w:ascii="Times New Roman" w:eastAsia="Times New Roman" w:hAnsi="Times New Roman"/>
                <w:sz w:val="20"/>
                <w:szCs w:val="20"/>
                <w:lang w:bidi="en-US"/>
              </w:rPr>
              <w:t xml:space="preserve">Item </w:t>
            </w:r>
            <w:r w:rsidR="003D1D3E">
              <w:rPr>
                <w:rFonts w:ascii="Times New Roman" w:eastAsia="Times New Roman" w:hAnsi="Times New Roman"/>
                <w:sz w:val="20"/>
                <w:szCs w:val="20"/>
                <w:lang w:bidi="en-US"/>
              </w:rPr>
              <w:t>2</w:t>
            </w:r>
            <w:r>
              <w:rPr>
                <w:rFonts w:ascii="Times New Roman" w:eastAsia="Times New Roman" w:hAnsi="Times New Roman"/>
                <w:sz w:val="20"/>
                <w:szCs w:val="20"/>
                <w:lang w:bidi="en-US"/>
              </w:rPr>
              <w:t xml:space="preserve"> of the provisional agenda</w:t>
            </w:r>
          </w:p>
          <w:p w:rsidR="001B4FEF" w:rsidRPr="001B4FEF" w:rsidRDefault="003D1D3E" w:rsidP="003D1D3E">
            <w:pPr>
              <w:spacing w:after="0" w:line="240" w:lineRule="auto"/>
              <w:rPr>
                <w:rFonts w:ascii="Times New Roman" w:eastAsia="Times New Roman" w:hAnsi="Times New Roman"/>
                <w:sz w:val="20"/>
                <w:szCs w:val="20"/>
                <w:lang w:bidi="en-US"/>
              </w:rPr>
            </w:pPr>
            <w:r w:rsidRPr="003D1D3E">
              <w:rPr>
                <w:rFonts w:ascii="Times New Roman" w:hAnsi="Times New Roman"/>
                <w:b/>
                <w:bCs/>
                <w:sz w:val="20"/>
                <w:szCs w:val="20"/>
              </w:rPr>
              <w:t>Operational activities</w:t>
            </w:r>
          </w:p>
        </w:tc>
        <w:tc>
          <w:tcPr>
            <w:tcW w:w="3192" w:type="dxa"/>
            <w:shd w:val="clear" w:color="auto" w:fill="auto"/>
            <w:vAlign w:val="center"/>
          </w:tcPr>
          <w:p w:rsidR="000D5891" w:rsidRDefault="0088641B" w:rsidP="0088641B">
            <w:pPr>
              <w:spacing w:after="0" w:line="240" w:lineRule="auto"/>
              <w:rPr>
                <w:rFonts w:ascii="Times New Roman" w:eastAsia="SimSun" w:hAnsi="Times New Roman"/>
                <w:b/>
                <w:sz w:val="20"/>
                <w:szCs w:val="20"/>
                <w:lang w:eastAsia="zh-CN"/>
              </w:rPr>
            </w:pPr>
            <w:r w:rsidRPr="0088641B">
              <w:rPr>
                <w:rFonts w:ascii="Times New Roman" w:eastAsia="SimSun" w:hAnsi="Times New Roman"/>
                <w:b/>
                <w:sz w:val="20"/>
                <w:szCs w:val="20"/>
                <w:lang w:eastAsia="zh-CN"/>
              </w:rPr>
              <w:t>United Nations Development Programme/</w:t>
            </w:r>
            <w:r w:rsidR="000D5891" w:rsidRPr="005C4A2B">
              <w:rPr>
                <w:rFonts w:ascii="Times New Roman" w:eastAsia="SimSun" w:hAnsi="Times New Roman"/>
                <w:b/>
                <w:sz w:val="20"/>
                <w:szCs w:val="20"/>
                <w:lang w:eastAsia="zh-CN"/>
              </w:rPr>
              <w:t xml:space="preserve"> United Nations Population Fund/</w:t>
            </w:r>
            <w:r w:rsidR="000D5891">
              <w:t xml:space="preserve"> </w:t>
            </w:r>
            <w:r w:rsidR="000D5891" w:rsidRPr="000D5891">
              <w:rPr>
                <w:rFonts w:ascii="Times New Roman" w:eastAsia="SimSun" w:hAnsi="Times New Roman"/>
                <w:b/>
                <w:sz w:val="20"/>
                <w:szCs w:val="20"/>
                <w:lang w:eastAsia="zh-CN"/>
              </w:rPr>
              <w:t>United Nations Office for Project Services</w:t>
            </w:r>
          </w:p>
          <w:p w:rsidR="0088641B" w:rsidRDefault="000D5891" w:rsidP="0088641B">
            <w:pPr>
              <w:spacing w:after="0" w:line="240" w:lineRule="auto"/>
              <w:rPr>
                <w:rFonts w:ascii="Times New Roman" w:eastAsia="SimSun" w:hAnsi="Times New Roman"/>
                <w:b/>
                <w:sz w:val="20"/>
                <w:szCs w:val="20"/>
                <w:lang w:eastAsia="zh-CN"/>
              </w:rPr>
            </w:pPr>
            <w:r w:rsidRPr="000D5891">
              <w:rPr>
                <w:rFonts w:ascii="Times New Roman" w:eastAsia="SimSun" w:hAnsi="Times New Roman"/>
                <w:b/>
                <w:sz w:val="20"/>
                <w:szCs w:val="20"/>
                <w:lang w:eastAsia="zh-CN"/>
              </w:rPr>
              <w:t>Executive Board</w:t>
            </w:r>
            <w:r w:rsidRPr="005C4A2B">
              <w:rPr>
                <w:rFonts w:ascii="Times New Roman" w:eastAsia="SimSun" w:hAnsi="Times New Roman"/>
                <w:b/>
                <w:sz w:val="20"/>
                <w:szCs w:val="20"/>
                <w:lang w:eastAsia="zh-CN"/>
              </w:rPr>
              <w:tab/>
            </w:r>
          </w:p>
          <w:p w:rsidR="000D5891" w:rsidRDefault="000D5891" w:rsidP="0088641B">
            <w:pPr>
              <w:spacing w:after="0" w:line="240" w:lineRule="auto"/>
              <w:rPr>
                <w:rFonts w:ascii="Times New Roman" w:eastAsia="SimSun" w:hAnsi="Times New Roman"/>
                <w:b/>
                <w:sz w:val="20"/>
                <w:szCs w:val="20"/>
                <w:lang w:eastAsia="zh-CN"/>
              </w:rPr>
            </w:pPr>
            <w:r>
              <w:rPr>
                <w:rFonts w:ascii="Times New Roman" w:eastAsia="SimSun" w:hAnsi="Times New Roman"/>
                <w:b/>
                <w:sz w:val="20"/>
                <w:szCs w:val="20"/>
                <w:lang w:eastAsia="zh-CN"/>
              </w:rPr>
              <w:t>First regular session 2013</w:t>
            </w:r>
          </w:p>
          <w:p w:rsidR="000D5891" w:rsidRPr="000D5891" w:rsidRDefault="000D5891" w:rsidP="0088641B">
            <w:pPr>
              <w:spacing w:after="0" w:line="240" w:lineRule="auto"/>
              <w:rPr>
                <w:rFonts w:ascii="Times New Roman" w:eastAsia="SimSun" w:hAnsi="Times New Roman"/>
                <w:sz w:val="20"/>
                <w:szCs w:val="20"/>
                <w:lang w:eastAsia="zh-CN"/>
              </w:rPr>
            </w:pPr>
            <w:r w:rsidRPr="000D5891">
              <w:rPr>
                <w:rFonts w:ascii="Times New Roman" w:eastAsia="SimSun" w:hAnsi="Times New Roman"/>
                <w:sz w:val="20"/>
                <w:szCs w:val="20"/>
                <w:lang w:eastAsia="zh-CN"/>
              </w:rPr>
              <w:t xml:space="preserve">28 January – 1 </w:t>
            </w:r>
            <w:r>
              <w:rPr>
                <w:rFonts w:ascii="Times New Roman" w:eastAsia="SimSun" w:hAnsi="Times New Roman"/>
                <w:sz w:val="20"/>
                <w:szCs w:val="20"/>
                <w:lang w:eastAsia="zh-CN"/>
              </w:rPr>
              <w:t>February 20</w:t>
            </w:r>
            <w:r w:rsidRPr="000D5891">
              <w:rPr>
                <w:rFonts w:ascii="Times New Roman" w:eastAsia="SimSun" w:hAnsi="Times New Roman"/>
                <w:sz w:val="20"/>
                <w:szCs w:val="20"/>
                <w:lang w:eastAsia="zh-CN"/>
              </w:rPr>
              <w:t>13</w:t>
            </w:r>
          </w:p>
          <w:p w:rsidR="000D5891" w:rsidRPr="000D5891" w:rsidRDefault="000D5891" w:rsidP="000D5891">
            <w:pPr>
              <w:tabs>
                <w:tab w:val="left" w:pos="1440"/>
              </w:tabs>
              <w:spacing w:after="0" w:line="240" w:lineRule="auto"/>
              <w:rPr>
                <w:rFonts w:ascii="Times New Roman" w:eastAsia="Times New Roman" w:hAnsi="Times New Roman"/>
                <w:sz w:val="20"/>
                <w:szCs w:val="24"/>
                <w:lang w:val="en-GB"/>
              </w:rPr>
            </w:pPr>
            <w:r w:rsidRPr="000D5891">
              <w:rPr>
                <w:rFonts w:ascii="Times New Roman" w:eastAsia="Times New Roman" w:hAnsi="Times New Roman"/>
                <w:sz w:val="20"/>
                <w:szCs w:val="24"/>
                <w:lang w:val="en-GB"/>
              </w:rPr>
              <w:t>Item 9 of the provisional agenda</w:t>
            </w:r>
          </w:p>
          <w:p w:rsidR="000D5891" w:rsidRPr="000D5891" w:rsidRDefault="000D5891" w:rsidP="000D5891">
            <w:pPr>
              <w:keepNext/>
              <w:tabs>
                <w:tab w:val="left" w:pos="1440"/>
              </w:tabs>
              <w:spacing w:after="0" w:line="240" w:lineRule="auto"/>
              <w:outlineLvl w:val="3"/>
              <w:rPr>
                <w:rFonts w:ascii="Times New Roman" w:eastAsia="Times New Roman" w:hAnsi="Times New Roman"/>
                <w:b/>
                <w:sz w:val="20"/>
                <w:szCs w:val="24"/>
                <w:lang w:val="en-GB"/>
              </w:rPr>
            </w:pPr>
            <w:r w:rsidRPr="000D5891">
              <w:rPr>
                <w:rFonts w:ascii="Times New Roman" w:eastAsia="Times New Roman" w:hAnsi="Times New Roman"/>
                <w:b/>
                <w:sz w:val="20"/>
                <w:szCs w:val="24"/>
                <w:lang w:val="en-GB"/>
              </w:rPr>
              <w:t>Financial, budgetary and administrative matters</w:t>
            </w:r>
          </w:p>
          <w:p w:rsidR="000D5891" w:rsidRPr="000D5891" w:rsidRDefault="000D5891" w:rsidP="0088641B">
            <w:pPr>
              <w:spacing w:after="0" w:line="240" w:lineRule="auto"/>
              <w:rPr>
                <w:rFonts w:ascii="Times New Roman" w:eastAsia="SimSun" w:hAnsi="Times New Roman"/>
                <w:b/>
                <w:sz w:val="20"/>
                <w:szCs w:val="20"/>
                <w:lang w:val="en-GB" w:eastAsia="zh-CN"/>
              </w:rPr>
            </w:pPr>
          </w:p>
          <w:p w:rsidR="0088641B" w:rsidRPr="0088641B" w:rsidRDefault="0088641B" w:rsidP="0088641B">
            <w:pPr>
              <w:spacing w:after="0" w:line="240" w:lineRule="auto"/>
              <w:rPr>
                <w:rFonts w:ascii="Times New Roman" w:eastAsia="Times New Roman" w:hAnsi="Times New Roman"/>
                <w:b/>
                <w:sz w:val="32"/>
                <w:szCs w:val="32"/>
                <w:lang w:bidi="en-US"/>
              </w:rPr>
            </w:pPr>
          </w:p>
        </w:tc>
        <w:tc>
          <w:tcPr>
            <w:tcW w:w="3192" w:type="dxa"/>
            <w:shd w:val="clear" w:color="auto" w:fill="auto"/>
          </w:tcPr>
          <w:p w:rsidR="000D5891" w:rsidRPr="000D5891" w:rsidRDefault="000D5891" w:rsidP="000D5891">
            <w:pPr>
              <w:spacing w:after="0" w:line="240" w:lineRule="auto"/>
              <w:rPr>
                <w:rFonts w:ascii="Times New Roman" w:eastAsia="SimSun" w:hAnsi="Times New Roman"/>
                <w:b/>
                <w:sz w:val="20"/>
                <w:szCs w:val="20"/>
                <w:lang w:eastAsia="zh-CN"/>
              </w:rPr>
            </w:pPr>
            <w:r w:rsidRPr="000D5891">
              <w:rPr>
                <w:rFonts w:ascii="Times New Roman" w:eastAsia="SimSun" w:hAnsi="Times New Roman"/>
                <w:b/>
                <w:sz w:val="20"/>
                <w:szCs w:val="20"/>
                <w:lang w:eastAsia="zh-CN"/>
              </w:rPr>
              <w:t>United Nations Children’s Fund</w:t>
            </w:r>
          </w:p>
          <w:p w:rsidR="0088641B" w:rsidRDefault="000D5891" w:rsidP="000D5891">
            <w:pPr>
              <w:spacing w:after="0" w:line="240" w:lineRule="auto"/>
              <w:rPr>
                <w:rFonts w:ascii="Times New Roman" w:eastAsia="SimSun" w:hAnsi="Times New Roman"/>
                <w:b/>
                <w:sz w:val="20"/>
                <w:szCs w:val="20"/>
                <w:lang w:eastAsia="zh-CN"/>
              </w:rPr>
            </w:pPr>
            <w:r>
              <w:rPr>
                <w:rFonts w:ascii="Times New Roman" w:eastAsia="SimSun" w:hAnsi="Times New Roman"/>
                <w:b/>
                <w:sz w:val="20"/>
                <w:szCs w:val="20"/>
                <w:lang w:eastAsia="zh-CN"/>
              </w:rPr>
              <w:t>Executive Board</w:t>
            </w:r>
          </w:p>
          <w:p w:rsidR="000D5891" w:rsidRDefault="000D5891" w:rsidP="000D5891">
            <w:pPr>
              <w:spacing w:after="0" w:line="240" w:lineRule="auto"/>
              <w:rPr>
                <w:rFonts w:ascii="Times New Roman" w:eastAsia="SimSun" w:hAnsi="Times New Roman"/>
                <w:b/>
                <w:sz w:val="20"/>
                <w:szCs w:val="20"/>
                <w:lang w:eastAsia="zh-CN"/>
              </w:rPr>
            </w:pPr>
            <w:r>
              <w:rPr>
                <w:rFonts w:ascii="Times New Roman" w:eastAsia="SimSun" w:hAnsi="Times New Roman"/>
                <w:b/>
                <w:sz w:val="20"/>
                <w:szCs w:val="20"/>
                <w:lang w:eastAsia="zh-CN"/>
              </w:rPr>
              <w:t>First regular session 2013</w:t>
            </w:r>
          </w:p>
          <w:p w:rsidR="000D5891" w:rsidRPr="000D5891" w:rsidRDefault="000D5891" w:rsidP="000D5891">
            <w:pPr>
              <w:spacing w:after="0" w:line="240" w:lineRule="auto"/>
              <w:rPr>
                <w:rFonts w:ascii="Times New Roman" w:eastAsia="SimSun" w:hAnsi="Times New Roman"/>
                <w:sz w:val="20"/>
                <w:szCs w:val="20"/>
                <w:lang w:eastAsia="zh-CN"/>
              </w:rPr>
            </w:pPr>
            <w:r w:rsidRPr="000D5891">
              <w:rPr>
                <w:rFonts w:ascii="Times New Roman" w:eastAsia="SimSun" w:hAnsi="Times New Roman"/>
                <w:sz w:val="20"/>
                <w:szCs w:val="20"/>
                <w:lang w:eastAsia="zh-CN"/>
              </w:rPr>
              <w:t>5 – 8 February</w:t>
            </w:r>
            <w:r>
              <w:rPr>
                <w:rFonts w:ascii="Times New Roman" w:eastAsia="SimSun" w:hAnsi="Times New Roman"/>
                <w:sz w:val="20"/>
                <w:szCs w:val="20"/>
                <w:lang w:eastAsia="zh-CN"/>
              </w:rPr>
              <w:t xml:space="preserve"> 2013</w:t>
            </w:r>
          </w:p>
          <w:p w:rsidR="000D5891" w:rsidRPr="000D5891" w:rsidRDefault="000D5891" w:rsidP="000D5891">
            <w:pPr>
              <w:spacing w:after="0" w:line="240" w:lineRule="auto"/>
              <w:rPr>
                <w:rFonts w:ascii="Times New Roman" w:eastAsia="SimSun" w:hAnsi="Times New Roman"/>
                <w:b/>
                <w:sz w:val="20"/>
                <w:szCs w:val="20"/>
                <w:lang w:eastAsia="zh-CN"/>
              </w:rPr>
            </w:pPr>
            <w:r w:rsidRPr="000D5891">
              <w:rPr>
                <w:rFonts w:ascii="Times New Roman" w:eastAsia="SimSun" w:hAnsi="Times New Roman"/>
                <w:sz w:val="20"/>
                <w:szCs w:val="20"/>
                <w:lang w:eastAsia="zh-CN"/>
              </w:rPr>
              <w:t xml:space="preserve">Item </w:t>
            </w:r>
            <w:r w:rsidR="00ED4E51">
              <w:rPr>
                <w:rFonts w:ascii="Times New Roman" w:eastAsia="SimSun" w:hAnsi="Times New Roman"/>
                <w:sz w:val="20"/>
                <w:szCs w:val="20"/>
                <w:lang w:eastAsia="zh-CN"/>
              </w:rPr>
              <w:t>10</w:t>
            </w:r>
            <w:r w:rsidRPr="000D5891">
              <w:rPr>
                <w:rFonts w:ascii="Times New Roman" w:eastAsia="SimSun" w:hAnsi="Times New Roman"/>
                <w:sz w:val="20"/>
                <w:szCs w:val="20"/>
                <w:lang w:eastAsia="zh-CN"/>
              </w:rPr>
              <w:t xml:space="preserve"> of the provisional agenda</w:t>
            </w:r>
          </w:p>
          <w:p w:rsidR="000D5891" w:rsidRPr="000D5891" w:rsidRDefault="00ED4E51" w:rsidP="000D5891">
            <w:pPr>
              <w:spacing w:after="0" w:line="240" w:lineRule="auto"/>
              <w:rPr>
                <w:rFonts w:ascii="Times New Roman" w:eastAsia="SimSun" w:hAnsi="Times New Roman"/>
                <w:b/>
                <w:sz w:val="20"/>
                <w:szCs w:val="20"/>
                <w:lang w:eastAsia="zh-CN"/>
              </w:rPr>
            </w:pPr>
            <w:r>
              <w:rPr>
                <w:rFonts w:ascii="Times New Roman" w:eastAsia="SimSun" w:hAnsi="Times New Roman"/>
                <w:b/>
                <w:sz w:val="20"/>
                <w:szCs w:val="20"/>
                <w:lang w:eastAsia="zh-CN"/>
              </w:rPr>
              <w:t>Resource, f</w:t>
            </w:r>
            <w:r w:rsidRPr="000D5891">
              <w:rPr>
                <w:rFonts w:ascii="Times New Roman" w:eastAsia="SimSun" w:hAnsi="Times New Roman"/>
                <w:b/>
                <w:sz w:val="20"/>
                <w:szCs w:val="20"/>
                <w:lang w:eastAsia="zh-CN"/>
              </w:rPr>
              <w:t>inancial</w:t>
            </w:r>
            <w:r>
              <w:rPr>
                <w:rFonts w:ascii="Times New Roman" w:eastAsia="SimSun" w:hAnsi="Times New Roman"/>
                <w:b/>
                <w:sz w:val="20"/>
                <w:szCs w:val="20"/>
                <w:lang w:eastAsia="zh-CN"/>
              </w:rPr>
              <w:t xml:space="preserve"> and </w:t>
            </w:r>
            <w:r>
              <w:rPr>
                <w:rFonts w:ascii="Times New Roman" w:eastAsia="SimSun" w:hAnsi="Times New Roman"/>
                <w:b/>
                <w:sz w:val="20"/>
                <w:szCs w:val="20"/>
                <w:lang w:eastAsia="zh-CN"/>
              </w:rPr>
              <w:br/>
              <w:t>budgetary</w:t>
            </w:r>
            <w:r w:rsidRPr="000D5891">
              <w:rPr>
                <w:rFonts w:ascii="Times New Roman" w:eastAsia="SimSun" w:hAnsi="Times New Roman"/>
                <w:b/>
                <w:sz w:val="20"/>
                <w:szCs w:val="20"/>
                <w:lang w:eastAsia="zh-CN"/>
              </w:rPr>
              <w:t xml:space="preserve"> matters</w:t>
            </w:r>
          </w:p>
        </w:tc>
      </w:tr>
    </w:tbl>
    <w:p w:rsidR="001B4FEF" w:rsidRDefault="002A1594" w:rsidP="0088641B">
      <w:pPr>
        <w:spacing w:after="0" w:line="240" w:lineRule="auto"/>
        <w:rPr>
          <w:rFonts w:ascii="Times New Roman" w:hAnsi="Times New Roman"/>
          <w:b/>
          <w:sz w:val="32"/>
          <w:szCs w:val="32"/>
          <w:lang w:bidi="en-US"/>
        </w:rPr>
      </w:pPr>
      <w:r w:rsidRPr="007E03C9">
        <w:rPr>
          <w:rFonts w:ascii="Times New Roman" w:hAnsi="Times New Roman"/>
          <w:b/>
          <w:sz w:val="32"/>
          <w:szCs w:val="32"/>
          <w:lang w:bidi="en-US"/>
        </w:rPr>
        <w:t>The road map to an integrated budget:</w:t>
      </w:r>
      <w:r w:rsidR="0088641B">
        <w:rPr>
          <w:rFonts w:ascii="Times New Roman" w:hAnsi="Times New Roman"/>
          <w:b/>
          <w:sz w:val="32"/>
          <w:szCs w:val="32"/>
          <w:lang w:bidi="en-US"/>
        </w:rPr>
        <w:t xml:space="preserve"> j</w:t>
      </w:r>
      <w:r w:rsidRPr="007E03C9">
        <w:rPr>
          <w:rFonts w:ascii="Times New Roman" w:hAnsi="Times New Roman"/>
          <w:b/>
          <w:sz w:val="32"/>
          <w:szCs w:val="32"/>
          <w:lang w:bidi="en-US"/>
        </w:rPr>
        <w:t>oint review of the impact of cost definitions and classifications of activities on the harmonized cost recovery rates</w:t>
      </w:r>
    </w:p>
    <w:p w:rsidR="002A1594" w:rsidRDefault="002A1594" w:rsidP="0088641B">
      <w:pPr>
        <w:spacing w:after="0" w:line="240" w:lineRule="auto"/>
        <w:rPr>
          <w:rFonts w:ascii="Times New Roman" w:hAnsi="Times New Roman"/>
          <w:b/>
          <w:sz w:val="32"/>
          <w:szCs w:val="32"/>
          <w:lang w:bidi="en-US"/>
        </w:rPr>
      </w:pPr>
    </w:p>
    <w:p w:rsidR="002A1594" w:rsidRPr="001B4FEF" w:rsidRDefault="002A1594" w:rsidP="002A1594">
      <w:pPr>
        <w:spacing w:after="0" w:line="240" w:lineRule="auto"/>
        <w:jc w:val="center"/>
        <w:rPr>
          <w:rFonts w:ascii="Times New Roman" w:hAnsi="Times New Roman"/>
          <w:sz w:val="16"/>
          <w:szCs w:val="16"/>
          <w:lang w:bidi="en-US"/>
        </w:rPr>
      </w:pPr>
    </w:p>
    <w:p w:rsidR="004F7C32" w:rsidRPr="00A53EFA" w:rsidRDefault="002C4552" w:rsidP="0095240F">
      <w:pPr>
        <w:rPr>
          <w:rFonts w:ascii="Times New Roman" w:hAnsi="Times New Roman"/>
          <w:u w:val="single"/>
        </w:rPr>
      </w:pPr>
      <w:r>
        <w:rPr>
          <w:noProof/>
          <w:lang w:val="ru-RU" w:eastAsia="ru-RU"/>
        </w:rPr>
        <mc:AlternateContent>
          <mc:Choice Requires="wps">
            <w:drawing>
              <wp:anchor distT="0" distB="0" distL="114300" distR="114300" simplePos="0" relativeHeight="251657216" behindDoc="0" locked="0" layoutInCell="1" allowOverlap="1">
                <wp:simplePos x="0" y="0"/>
                <wp:positionH relativeFrom="column">
                  <wp:posOffset>36830</wp:posOffset>
                </wp:positionH>
                <wp:positionV relativeFrom="paragraph">
                  <wp:posOffset>20320</wp:posOffset>
                </wp:positionV>
                <wp:extent cx="6143625" cy="3391535"/>
                <wp:effectExtent l="0" t="0" r="28575" b="184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391535"/>
                        </a:xfrm>
                        <a:prstGeom prst="rect">
                          <a:avLst/>
                        </a:prstGeom>
                        <a:solidFill>
                          <a:srgbClr val="FFFFFF"/>
                        </a:solidFill>
                        <a:ln w="9525">
                          <a:solidFill>
                            <a:srgbClr val="000000"/>
                          </a:solidFill>
                          <a:miter lim="800000"/>
                          <a:headEnd/>
                          <a:tailEnd/>
                        </a:ln>
                      </wps:spPr>
                      <wps:txbx>
                        <w:txbxContent>
                          <w:p w:rsidR="00D21F06" w:rsidRPr="0088641B" w:rsidRDefault="00D21F06" w:rsidP="001B4FEF">
                            <w:pPr>
                              <w:pStyle w:val="a3"/>
                              <w:ind w:left="0"/>
                              <w:contextualSpacing w:val="0"/>
                              <w:jc w:val="both"/>
                              <w:rPr>
                                <w:rFonts w:ascii="Times New Roman" w:hAnsi="Times New Roman"/>
                              </w:rPr>
                            </w:pPr>
                            <w:r w:rsidRPr="0088641B">
                              <w:rPr>
                                <w:rFonts w:ascii="Times New Roman" w:hAnsi="Times New Roman"/>
                                <w:i/>
                              </w:rPr>
                              <w:t>Summary</w:t>
                            </w:r>
                            <w:r w:rsidRPr="0088641B">
                              <w:rPr>
                                <w:rFonts w:ascii="Times New Roman" w:hAnsi="Times New Roman"/>
                              </w:rPr>
                              <w:t xml:space="preserve"> </w:t>
                            </w:r>
                          </w:p>
                          <w:p w:rsidR="00D21F06" w:rsidRPr="001B4FEF" w:rsidRDefault="00D21F06" w:rsidP="002173F8">
                            <w:pPr>
                              <w:jc w:val="both"/>
                              <w:rPr>
                                <w:rFonts w:ascii="Times New Roman" w:hAnsi="Times New Roman"/>
                                <w:sz w:val="20"/>
                                <w:szCs w:val="20"/>
                              </w:rPr>
                            </w:pPr>
                            <w:r w:rsidRPr="001B4FEF">
                              <w:rPr>
                                <w:rFonts w:ascii="Times New Roman" w:hAnsi="Times New Roman"/>
                                <w:sz w:val="20"/>
                                <w:szCs w:val="20"/>
                              </w:rPr>
                              <w:t xml:space="preserve">As part of the joint Roadmap to the Integrated Budget, UNDP, UNFPA and UNICEF were requested to review their harmonized cost recovery rate and propose a transparent methodology for its calculation, aligned with the new harmonized cost classifications. The agencies submitted the requested report in September 2012 (reference </w:t>
                            </w:r>
                            <w:r w:rsidR="001B4FEF">
                              <w:rPr>
                                <w:rFonts w:ascii="Times New Roman" w:hAnsi="Times New Roman"/>
                                <w:sz w:val="20"/>
                                <w:szCs w:val="20"/>
                              </w:rPr>
                              <w:t xml:space="preserve">           </w:t>
                            </w:r>
                            <w:r w:rsidRPr="001B4FEF">
                              <w:rPr>
                                <w:rFonts w:ascii="Times New Roman" w:hAnsi="Times New Roman"/>
                                <w:sz w:val="20"/>
                                <w:szCs w:val="20"/>
                              </w:rPr>
                              <w:t>DP-FPA/2012/1 and E/ICEF/2012/AB/L.6).  The Executive Boards requested the agencies in decision 2012/27 (UNDP/UNFPA) and 2012/20 (UNICEF) to provide additional information so that the Executive Boards could decide on a final cost recovery rate(s) to apply within the context of the Agencies’ respective integrated budgets beginning in 2014. At its November 2012 session, the Executive Board of UN Women requested the agency in decision 2012/7 to join in the harmonized work of UNDP, UNFPA and UNICEF. As a result, the present paper is submitted as a joint work of the four agencies.</w:t>
                            </w:r>
                          </w:p>
                          <w:p w:rsidR="00D21F06" w:rsidRPr="001B4FEF" w:rsidRDefault="00D21F06" w:rsidP="002A1594">
                            <w:pPr>
                              <w:jc w:val="both"/>
                              <w:rPr>
                                <w:rFonts w:ascii="Times New Roman" w:hAnsi="Times New Roman"/>
                                <w:sz w:val="20"/>
                                <w:szCs w:val="20"/>
                              </w:rPr>
                            </w:pPr>
                            <w:r w:rsidRPr="001B4FEF">
                              <w:rPr>
                                <w:rFonts w:ascii="Times New Roman" w:hAnsi="Times New Roman"/>
                                <w:sz w:val="20"/>
                                <w:szCs w:val="20"/>
                              </w:rPr>
                              <w:t>On 14</w:t>
                            </w:r>
                            <w:r w:rsidRPr="001B4FEF">
                              <w:rPr>
                                <w:rFonts w:ascii="Times New Roman" w:hAnsi="Times New Roman"/>
                                <w:sz w:val="20"/>
                                <w:szCs w:val="20"/>
                                <w:vertAlign w:val="superscript"/>
                              </w:rPr>
                              <w:t>th</w:t>
                            </w:r>
                            <w:r w:rsidRPr="001B4FEF">
                              <w:rPr>
                                <w:rFonts w:ascii="Times New Roman" w:hAnsi="Times New Roman"/>
                                <w:sz w:val="20"/>
                                <w:szCs w:val="20"/>
                              </w:rPr>
                              <w:t xml:space="preserve"> December 2012, the Second Committee of the 67th session of the General Assembly adopted the resolution on the Quadrennial Comprehensive Policy Review of operational activities for development </w:t>
                            </w:r>
                            <w:r w:rsidRPr="001B4FEF">
                              <w:rPr>
                                <w:rFonts w:ascii="Times New Roman" w:hAnsi="Times New Roman"/>
                                <w:sz w:val="20"/>
                                <w:szCs w:val="20"/>
                                <w:lang w:eastAsia="ko-KR"/>
                              </w:rPr>
                              <w:t xml:space="preserve">(A/RES/67/226). </w:t>
                            </w:r>
                            <w:r w:rsidRPr="001B4FEF">
                              <w:rPr>
                                <w:rFonts w:ascii="Times New Roman" w:hAnsi="Times New Roman"/>
                                <w:sz w:val="20"/>
                                <w:szCs w:val="20"/>
                              </w:rPr>
                              <w:t>The cost recovery methodology proposed by the agencies, while initiated in parallel with the QCPR negotiations, is in line with the guidance in the QCPR, specifically regarding the full recovery principle, the importance of increased core resources</w:t>
                            </w:r>
                            <w:r w:rsidR="00CB75DD" w:rsidRPr="001B4FEF">
                              <w:rPr>
                                <w:rFonts w:ascii="Times New Roman" w:hAnsi="Times New Roman"/>
                                <w:sz w:val="20"/>
                                <w:szCs w:val="20"/>
                              </w:rPr>
                              <w:t>,</w:t>
                            </w:r>
                            <w:r w:rsidRPr="001B4FEF">
                              <w:rPr>
                                <w:rFonts w:ascii="Times New Roman" w:hAnsi="Times New Roman"/>
                                <w:sz w:val="20"/>
                                <w:szCs w:val="20"/>
                              </w:rPr>
                              <w:t xml:space="preserve"> and incentives for improved complementarity between core and non-core resources. </w:t>
                            </w:r>
                          </w:p>
                          <w:p w:rsidR="00D21F06" w:rsidRPr="001B4FEF" w:rsidRDefault="00D21F06" w:rsidP="0095240F">
                            <w:pPr>
                              <w:jc w:val="both"/>
                              <w:rPr>
                                <w:i/>
                                <w:sz w:val="20"/>
                                <w:szCs w:val="20"/>
                              </w:rPr>
                            </w:pPr>
                            <w:r w:rsidRPr="001B4FEF">
                              <w:rPr>
                                <w:rFonts w:ascii="Times New Roman" w:hAnsi="Times New Roman"/>
                                <w:sz w:val="20"/>
                                <w:szCs w:val="20"/>
                              </w:rPr>
                              <w:t>Based on the additional analysis provided in the present report, the Agencies recommend the adoption of a harmonized cost recovery rate of 8% beginning in 2014.  Additional differentiated rates are also proposed.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6" type="#_x0000_t202" style="position:absolute;margin-left:2.9pt;margin-top:1.6pt;width:483.75pt;height:26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">
                <v:textbox>
                  <w:txbxContent>
                    <w:p w:rsidR="00D21F06" w:rsidRPr="0088641B" w:rsidRDefault="00D21F06" w:rsidP="001B4FEF">
                      <w:pPr>
                        <w:pStyle w:val="ListParagraph"/>
                        <w:ind w:left="0"/>
                        <w:contextualSpacing w:val="0"/>
                        <w:jc w:val="both"/>
                        <w:rPr>
                          <w:rFonts w:ascii="Times New Roman" w:hAnsi="Times New Roman"/>
                        </w:rPr>
                      </w:pPr>
                      <w:r w:rsidRPr="0088641B">
                        <w:rPr>
                          <w:rFonts w:ascii="Times New Roman" w:hAnsi="Times New Roman"/>
                          <w:i/>
                        </w:rPr>
                        <w:t>Summary</w:t>
                      </w:r>
                      <w:r w:rsidRPr="0088641B">
                        <w:rPr>
                          <w:rFonts w:ascii="Times New Roman" w:hAnsi="Times New Roman"/>
                        </w:rPr>
                        <w:t xml:space="preserve"> </w:t>
                      </w:r>
                    </w:p>
                    <w:p w:rsidR="00D21F06" w:rsidRPr="001B4FEF" w:rsidRDefault="00D21F06" w:rsidP="002173F8">
                      <w:pPr>
                        <w:jc w:val="both"/>
                        <w:rPr>
                          <w:rFonts w:ascii="Times New Roman" w:hAnsi="Times New Roman"/>
                          <w:sz w:val="20"/>
                          <w:szCs w:val="20"/>
                        </w:rPr>
                      </w:pPr>
                      <w:r w:rsidRPr="001B4FEF">
                        <w:rPr>
                          <w:rFonts w:ascii="Times New Roman" w:hAnsi="Times New Roman"/>
                          <w:sz w:val="20"/>
                          <w:szCs w:val="20"/>
                        </w:rPr>
                        <w:t xml:space="preserve">As part of the joint Roadmap to the Integrated Budget, UNDP, UNFPA and UNICEF were requested to review their harmonized cost recovery rate and propose a transparent methodology for its calculation, aligned with the new harmonized cost classifications. The agencies submitted the requested report in September 2012 (reference </w:t>
                      </w:r>
                      <w:r w:rsidR="001B4FEF">
                        <w:rPr>
                          <w:rFonts w:ascii="Times New Roman" w:hAnsi="Times New Roman"/>
                          <w:sz w:val="20"/>
                          <w:szCs w:val="20"/>
                        </w:rPr>
                        <w:t xml:space="preserve">           </w:t>
                      </w:r>
                      <w:r w:rsidRPr="001B4FEF">
                        <w:rPr>
                          <w:rFonts w:ascii="Times New Roman" w:hAnsi="Times New Roman"/>
                          <w:sz w:val="20"/>
                          <w:szCs w:val="20"/>
                        </w:rPr>
                        <w:t>DP-FPA/2012/1 and E/ICEF/2012/AB/L.6).  The Executive Boards requested the agencies in decision 2012/27 (UNDP/UNFPA) and 2012/20 (UNICEF) to provide additional information so that the Executive Boards could decide on a final cost recovery rate(s) to apply within the context of the Agencies’ respective integrated budgets beginning in 2014. At its November 2012 session, the Executive Board of UN Women requested the agency in decision 2012/7 to join in the harmonized work of UNDP, UNFPA and UNICEF. As a result, the present paper is submitted as a joint work of the four agencies.</w:t>
                      </w:r>
                    </w:p>
                    <w:p w:rsidR="00D21F06" w:rsidRPr="001B4FEF" w:rsidRDefault="00D21F06" w:rsidP="002A1594">
                      <w:pPr>
                        <w:jc w:val="both"/>
                        <w:rPr>
                          <w:rFonts w:ascii="Times New Roman" w:hAnsi="Times New Roman"/>
                          <w:sz w:val="20"/>
                          <w:szCs w:val="20"/>
                        </w:rPr>
                      </w:pPr>
                      <w:r w:rsidRPr="001B4FEF">
                        <w:rPr>
                          <w:rFonts w:ascii="Times New Roman" w:hAnsi="Times New Roman"/>
                          <w:sz w:val="20"/>
                          <w:szCs w:val="20"/>
                        </w:rPr>
                        <w:t>On 14</w:t>
                      </w:r>
                      <w:r w:rsidRPr="001B4FEF">
                        <w:rPr>
                          <w:rFonts w:ascii="Times New Roman" w:hAnsi="Times New Roman"/>
                          <w:sz w:val="20"/>
                          <w:szCs w:val="20"/>
                          <w:vertAlign w:val="superscript"/>
                        </w:rPr>
                        <w:t>th</w:t>
                      </w:r>
                      <w:r w:rsidRPr="001B4FEF">
                        <w:rPr>
                          <w:rFonts w:ascii="Times New Roman" w:hAnsi="Times New Roman"/>
                          <w:sz w:val="20"/>
                          <w:szCs w:val="20"/>
                        </w:rPr>
                        <w:t xml:space="preserve"> December 2012, the Second Committee of the 67th session of the General Assembly adopted the resolution on the Quadrennial Comprehensive Policy Review of operational activities for development </w:t>
                      </w:r>
                      <w:r w:rsidRPr="001B4FEF">
                        <w:rPr>
                          <w:rFonts w:ascii="Times New Roman" w:hAnsi="Times New Roman"/>
                          <w:sz w:val="20"/>
                          <w:szCs w:val="20"/>
                          <w:lang w:eastAsia="ko-KR"/>
                        </w:rPr>
                        <w:t xml:space="preserve">(A/RES/67/226). </w:t>
                      </w:r>
                      <w:r w:rsidRPr="001B4FEF">
                        <w:rPr>
                          <w:rFonts w:ascii="Times New Roman" w:hAnsi="Times New Roman"/>
                          <w:sz w:val="20"/>
                          <w:szCs w:val="20"/>
                        </w:rPr>
                        <w:t>The cost recovery methodology proposed by the agencies, while initiated in parallel with the QCPR negotiations, is in line with the guidance in the QCPR, specifically regarding the full recovery principle, the importance of increased core resources</w:t>
                      </w:r>
                      <w:r w:rsidR="00CB75DD" w:rsidRPr="001B4FEF">
                        <w:rPr>
                          <w:rFonts w:ascii="Times New Roman" w:hAnsi="Times New Roman"/>
                          <w:sz w:val="20"/>
                          <w:szCs w:val="20"/>
                        </w:rPr>
                        <w:t>,</w:t>
                      </w:r>
                      <w:r w:rsidRPr="001B4FEF">
                        <w:rPr>
                          <w:rFonts w:ascii="Times New Roman" w:hAnsi="Times New Roman"/>
                          <w:sz w:val="20"/>
                          <w:szCs w:val="20"/>
                        </w:rPr>
                        <w:t xml:space="preserve"> and incentives for improved complementarity between core and non-core resources. </w:t>
                      </w:r>
                    </w:p>
                    <w:p w:rsidR="00D21F06" w:rsidRPr="001B4FEF" w:rsidRDefault="00D21F06" w:rsidP="0095240F">
                      <w:pPr>
                        <w:jc w:val="both"/>
                        <w:rPr>
                          <w:i/>
                          <w:sz w:val="20"/>
                          <w:szCs w:val="20"/>
                        </w:rPr>
                      </w:pPr>
                      <w:r w:rsidRPr="001B4FEF">
                        <w:rPr>
                          <w:rFonts w:ascii="Times New Roman" w:hAnsi="Times New Roman"/>
                          <w:sz w:val="20"/>
                          <w:szCs w:val="20"/>
                        </w:rPr>
                        <w:t>Based on the additional analysis provided in the present report, the Agencies recommend the adoption of a harmonized cost recovery rate of 8% beginning in 2014.  Additional differentiated rates are also proposed.</w:t>
                      </w:r>
                    </w:p>
                  </w:txbxContent>
                </v:textbox>
              </v:shape>
            </w:pict>
          </mc:Fallback>
        </mc:AlternateContent>
      </w:r>
      <w:r w:rsidR="00425855">
        <w:rPr>
          <w:lang w:val="en-GB"/>
        </w:rPr>
        <w:br w:type="page"/>
      </w:r>
      <w:r w:rsidR="002F59D6" w:rsidRPr="00A53EFA">
        <w:rPr>
          <w:rFonts w:ascii="Times New Roman" w:hAnsi="Times New Roman"/>
          <w:u w:val="single"/>
        </w:rPr>
        <w:lastRenderedPageBreak/>
        <w:t>Background</w:t>
      </w:r>
    </w:p>
    <w:p w:rsidR="00AF3050" w:rsidRPr="008D7F80" w:rsidRDefault="005C3786" w:rsidP="00C45B7B">
      <w:pPr>
        <w:pStyle w:val="a3"/>
        <w:numPr>
          <w:ilvl w:val="0"/>
          <w:numId w:val="4"/>
        </w:numPr>
        <w:contextualSpacing w:val="0"/>
        <w:jc w:val="both"/>
        <w:rPr>
          <w:rFonts w:ascii="Times New Roman" w:hAnsi="Times New Roman"/>
        </w:rPr>
      </w:pPr>
      <w:r w:rsidRPr="008D7F80">
        <w:rPr>
          <w:rFonts w:ascii="Times New Roman" w:hAnsi="Times New Roman"/>
        </w:rPr>
        <w:t xml:space="preserve">As part of the joint Roadmap to the Integrated Budget, </w:t>
      </w:r>
      <w:r w:rsidR="00551CDD">
        <w:rPr>
          <w:rFonts w:ascii="Times New Roman" w:hAnsi="Times New Roman"/>
        </w:rPr>
        <w:t xml:space="preserve">UNDP, UNFPA and UNICEF </w:t>
      </w:r>
      <w:r w:rsidRPr="008D7F80">
        <w:rPr>
          <w:rFonts w:ascii="Times New Roman" w:hAnsi="Times New Roman"/>
        </w:rPr>
        <w:t>were requested to review</w:t>
      </w:r>
      <w:r w:rsidR="00AF3050" w:rsidRPr="008D7F80">
        <w:rPr>
          <w:rFonts w:ascii="Times New Roman" w:hAnsi="Times New Roman"/>
        </w:rPr>
        <w:t xml:space="preserve"> their cost recovery rates and determine a transparent methodology for </w:t>
      </w:r>
      <w:r w:rsidR="00551CDD">
        <w:rPr>
          <w:rFonts w:ascii="Times New Roman" w:hAnsi="Times New Roman"/>
        </w:rPr>
        <w:t xml:space="preserve">its </w:t>
      </w:r>
      <w:r w:rsidR="00AF3050" w:rsidRPr="008D7F80">
        <w:rPr>
          <w:rFonts w:ascii="Times New Roman" w:hAnsi="Times New Roman"/>
        </w:rPr>
        <w:t>calculation</w:t>
      </w:r>
      <w:r w:rsidR="009A6ED6">
        <w:rPr>
          <w:rFonts w:ascii="Times New Roman" w:hAnsi="Times New Roman"/>
        </w:rPr>
        <w:t>,</w:t>
      </w:r>
      <w:r w:rsidR="00CC3797">
        <w:rPr>
          <w:rFonts w:ascii="Times New Roman" w:hAnsi="Times New Roman"/>
        </w:rPr>
        <w:t xml:space="preserve"> </w:t>
      </w:r>
      <w:r w:rsidR="009A6ED6">
        <w:rPr>
          <w:rFonts w:ascii="Times New Roman" w:hAnsi="Times New Roman"/>
        </w:rPr>
        <w:t xml:space="preserve">aligned with the new </w:t>
      </w:r>
      <w:r w:rsidR="00980323">
        <w:rPr>
          <w:rFonts w:ascii="Times New Roman" w:hAnsi="Times New Roman"/>
        </w:rPr>
        <w:t xml:space="preserve">harmonized </w:t>
      </w:r>
      <w:r w:rsidR="009A6ED6">
        <w:rPr>
          <w:rFonts w:ascii="Times New Roman" w:hAnsi="Times New Roman"/>
        </w:rPr>
        <w:t>cost classification</w:t>
      </w:r>
      <w:r w:rsidR="00DA0458">
        <w:rPr>
          <w:rFonts w:ascii="Times New Roman" w:hAnsi="Times New Roman"/>
        </w:rPr>
        <w:t>s</w:t>
      </w:r>
      <w:r w:rsidR="00AF3050" w:rsidRPr="008D7F80">
        <w:rPr>
          <w:rFonts w:ascii="Times New Roman" w:hAnsi="Times New Roman"/>
        </w:rPr>
        <w:t xml:space="preserve">. </w:t>
      </w:r>
      <w:r w:rsidR="00CC3797">
        <w:rPr>
          <w:rFonts w:ascii="Times New Roman" w:hAnsi="Times New Roman"/>
        </w:rPr>
        <w:t>P</w:t>
      </w:r>
      <w:r w:rsidR="00AF3050" w:rsidRPr="008D7F80">
        <w:rPr>
          <w:rFonts w:ascii="Times New Roman" w:hAnsi="Times New Roman"/>
        </w:rPr>
        <w:t>er the Roadmap, such review and methodology was to be tabled at the 2012 Second Regular Session Executive Boards</w:t>
      </w:r>
      <w:r w:rsidR="00F31FF1">
        <w:rPr>
          <w:rFonts w:ascii="Times New Roman" w:hAnsi="Times New Roman"/>
        </w:rPr>
        <w:t xml:space="preserve"> together with </w:t>
      </w:r>
      <w:r w:rsidR="00C951CA">
        <w:rPr>
          <w:rFonts w:ascii="Times New Roman" w:hAnsi="Times New Roman"/>
        </w:rPr>
        <w:t>steps taken towards the integrated budget and integrated</w:t>
      </w:r>
      <w:r w:rsidR="00F31FF1">
        <w:rPr>
          <w:rFonts w:ascii="Times New Roman" w:hAnsi="Times New Roman"/>
        </w:rPr>
        <w:t xml:space="preserve"> budget mock-up.</w:t>
      </w:r>
    </w:p>
    <w:p w:rsidR="00AF3050" w:rsidRPr="008D7F80" w:rsidRDefault="00AF3050" w:rsidP="00C45B7B">
      <w:pPr>
        <w:pStyle w:val="a3"/>
        <w:numPr>
          <w:ilvl w:val="0"/>
          <w:numId w:val="4"/>
        </w:numPr>
        <w:contextualSpacing w:val="0"/>
        <w:jc w:val="both"/>
        <w:rPr>
          <w:rFonts w:ascii="Times New Roman" w:hAnsi="Times New Roman"/>
          <w:i/>
        </w:rPr>
      </w:pPr>
      <w:r w:rsidRPr="008D7F80">
        <w:rPr>
          <w:rFonts w:ascii="Times New Roman" w:hAnsi="Times New Roman"/>
        </w:rPr>
        <w:t xml:space="preserve">The </w:t>
      </w:r>
      <w:r w:rsidR="00551CDD">
        <w:rPr>
          <w:rFonts w:ascii="Times New Roman" w:hAnsi="Times New Roman"/>
        </w:rPr>
        <w:t xml:space="preserve">agencies </w:t>
      </w:r>
      <w:r w:rsidRPr="008D7F80">
        <w:rPr>
          <w:rFonts w:ascii="Times New Roman" w:hAnsi="Times New Roman"/>
        </w:rPr>
        <w:t xml:space="preserve">submitted the requested report in September 2012.  The report included a proposed methodology for the calculation of cost recovery rates, </w:t>
      </w:r>
      <w:r w:rsidR="00CA7D03">
        <w:rPr>
          <w:rFonts w:ascii="Times New Roman" w:hAnsi="Times New Roman"/>
        </w:rPr>
        <w:t>based on the harmonized cost classification</w:t>
      </w:r>
      <w:r w:rsidR="00337E7C">
        <w:rPr>
          <w:rFonts w:ascii="Times New Roman" w:hAnsi="Times New Roman"/>
        </w:rPr>
        <w:t xml:space="preserve">, but </w:t>
      </w:r>
      <w:r w:rsidR="00980323">
        <w:rPr>
          <w:rFonts w:ascii="Times New Roman" w:hAnsi="Times New Roman"/>
        </w:rPr>
        <w:t xml:space="preserve">stopped short of </w:t>
      </w:r>
      <w:r w:rsidRPr="008D7F80">
        <w:rPr>
          <w:rFonts w:ascii="Times New Roman" w:hAnsi="Times New Roman"/>
        </w:rPr>
        <w:t>propos</w:t>
      </w:r>
      <w:r w:rsidR="00980323">
        <w:rPr>
          <w:rFonts w:ascii="Times New Roman" w:hAnsi="Times New Roman"/>
        </w:rPr>
        <w:t>ing</w:t>
      </w:r>
      <w:r w:rsidRPr="008D7F80">
        <w:rPr>
          <w:rFonts w:ascii="Times New Roman" w:hAnsi="Times New Roman"/>
        </w:rPr>
        <w:t xml:space="preserve"> </w:t>
      </w:r>
      <w:r w:rsidR="00980323">
        <w:rPr>
          <w:rFonts w:ascii="Times New Roman" w:hAnsi="Times New Roman"/>
        </w:rPr>
        <w:t xml:space="preserve">a </w:t>
      </w:r>
      <w:r w:rsidRPr="008D7F80">
        <w:rPr>
          <w:rFonts w:ascii="Times New Roman" w:hAnsi="Times New Roman"/>
        </w:rPr>
        <w:t xml:space="preserve">new rate. </w:t>
      </w:r>
      <w:r w:rsidR="00980323">
        <w:rPr>
          <w:rFonts w:ascii="Times New Roman" w:hAnsi="Times New Roman"/>
        </w:rPr>
        <w:t>T</w:t>
      </w:r>
      <w:r w:rsidRPr="008D7F80">
        <w:rPr>
          <w:rFonts w:ascii="Times New Roman" w:hAnsi="Times New Roman"/>
        </w:rPr>
        <w:t xml:space="preserve">he Executive Boards requested the agencies </w:t>
      </w:r>
      <w:r w:rsidR="00EC1AD2" w:rsidRPr="008D7F80">
        <w:rPr>
          <w:rFonts w:ascii="Times New Roman" w:hAnsi="Times New Roman"/>
        </w:rPr>
        <w:t xml:space="preserve">in decision 2012/27 </w:t>
      </w:r>
      <w:r w:rsidR="00F31FF1">
        <w:rPr>
          <w:rFonts w:ascii="Times New Roman" w:hAnsi="Times New Roman"/>
        </w:rPr>
        <w:t xml:space="preserve">(UNDP/UNFPA) and 2012/20 (UNICEF) </w:t>
      </w:r>
      <w:r w:rsidR="005D3373" w:rsidRPr="008D7F80">
        <w:rPr>
          <w:rFonts w:ascii="Times New Roman" w:hAnsi="Times New Roman"/>
        </w:rPr>
        <w:t>to prov</w:t>
      </w:r>
      <w:r w:rsidR="00EC1AD2">
        <w:rPr>
          <w:rFonts w:ascii="Times New Roman" w:hAnsi="Times New Roman"/>
        </w:rPr>
        <w:t>ide details on the proposed methodology. T</w:t>
      </w:r>
      <w:r w:rsidR="005D3373" w:rsidRPr="008D7F80">
        <w:rPr>
          <w:rFonts w:ascii="Times New Roman" w:hAnsi="Times New Roman"/>
        </w:rPr>
        <w:t xml:space="preserve">he present paper </w:t>
      </w:r>
      <w:r w:rsidR="006A3193">
        <w:rPr>
          <w:rFonts w:ascii="Times New Roman" w:hAnsi="Times New Roman"/>
        </w:rPr>
        <w:t xml:space="preserve">responds to </w:t>
      </w:r>
      <w:r w:rsidR="005D3373" w:rsidRPr="008D7F80">
        <w:rPr>
          <w:rFonts w:ascii="Times New Roman" w:hAnsi="Times New Roman"/>
        </w:rPr>
        <w:t>decision 2012/27</w:t>
      </w:r>
      <w:r w:rsidR="00F31FF1" w:rsidRPr="00F31FF1">
        <w:rPr>
          <w:rFonts w:ascii="Times New Roman" w:hAnsi="Times New Roman"/>
        </w:rPr>
        <w:t xml:space="preserve"> </w:t>
      </w:r>
      <w:r w:rsidR="00F31FF1">
        <w:rPr>
          <w:rFonts w:ascii="Times New Roman" w:hAnsi="Times New Roman"/>
        </w:rPr>
        <w:t>(UNDP/UNFPA) and 2012/20 (UNICEF).</w:t>
      </w:r>
      <w:r w:rsidR="005D3373" w:rsidRPr="008D7F80">
        <w:rPr>
          <w:rFonts w:ascii="Times New Roman" w:hAnsi="Times New Roman"/>
        </w:rPr>
        <w:t xml:space="preserve"> </w:t>
      </w:r>
      <w:r w:rsidR="0023605E">
        <w:rPr>
          <w:rFonts w:ascii="Times New Roman" w:hAnsi="Times New Roman"/>
        </w:rPr>
        <w:t>In particular, it focuses on the proposed methodology and the new rate</w:t>
      </w:r>
      <w:r w:rsidR="006A3193">
        <w:rPr>
          <w:rFonts w:ascii="Times New Roman" w:hAnsi="Times New Roman"/>
        </w:rPr>
        <w:t xml:space="preserve"> (Section I), as well as in addressing specific areas on which elaboration was requested by the Executive Board (Section II). </w:t>
      </w:r>
    </w:p>
    <w:p w:rsidR="002B4764" w:rsidRPr="00935121" w:rsidRDefault="001B2BA2" w:rsidP="00C45B7B">
      <w:pPr>
        <w:pStyle w:val="a3"/>
        <w:numPr>
          <w:ilvl w:val="0"/>
          <w:numId w:val="4"/>
        </w:numPr>
        <w:contextualSpacing w:val="0"/>
        <w:jc w:val="both"/>
        <w:rPr>
          <w:rFonts w:ascii="Times New Roman" w:hAnsi="Times New Roman"/>
        </w:rPr>
      </w:pPr>
      <w:r w:rsidRPr="00935121">
        <w:rPr>
          <w:rFonts w:ascii="Times New Roman" w:hAnsi="Times New Roman"/>
        </w:rPr>
        <w:t xml:space="preserve">At its </w:t>
      </w:r>
      <w:r w:rsidR="0056092C" w:rsidRPr="00935121">
        <w:rPr>
          <w:rFonts w:ascii="Times New Roman" w:hAnsi="Times New Roman"/>
        </w:rPr>
        <w:t>November</w:t>
      </w:r>
      <w:r w:rsidRPr="00935121">
        <w:rPr>
          <w:rFonts w:ascii="Times New Roman" w:hAnsi="Times New Roman"/>
        </w:rPr>
        <w:t xml:space="preserve"> 2012 session</w:t>
      </w:r>
      <w:r w:rsidR="00AF3050" w:rsidRPr="00935121">
        <w:rPr>
          <w:rFonts w:ascii="Times New Roman" w:hAnsi="Times New Roman"/>
        </w:rPr>
        <w:t xml:space="preserve">, the Executive Board of UN Women requested the agency </w:t>
      </w:r>
      <w:r w:rsidR="00D9012D" w:rsidRPr="00935121">
        <w:rPr>
          <w:rFonts w:ascii="Times New Roman" w:hAnsi="Times New Roman"/>
        </w:rPr>
        <w:t xml:space="preserve">in decision 2012/7 </w:t>
      </w:r>
      <w:r w:rsidR="00AF3050" w:rsidRPr="00935121">
        <w:rPr>
          <w:rFonts w:ascii="Times New Roman" w:hAnsi="Times New Roman"/>
        </w:rPr>
        <w:t xml:space="preserve">to join in the harmonized work of UNDP, UNFPA and UNICEF. As a result, the present paper is submitted as a joint </w:t>
      </w:r>
      <w:r w:rsidR="00A85CCA" w:rsidRPr="00935121">
        <w:rPr>
          <w:rFonts w:ascii="Times New Roman" w:hAnsi="Times New Roman"/>
        </w:rPr>
        <w:t xml:space="preserve">work </w:t>
      </w:r>
      <w:r w:rsidR="00AF3050" w:rsidRPr="00935121">
        <w:rPr>
          <w:rFonts w:ascii="Times New Roman" w:hAnsi="Times New Roman"/>
        </w:rPr>
        <w:t>of the four agencies.</w:t>
      </w:r>
    </w:p>
    <w:p w:rsidR="00CC6B72" w:rsidRPr="00CC6B72" w:rsidRDefault="00935121" w:rsidP="00935121">
      <w:pPr>
        <w:pStyle w:val="a3"/>
        <w:numPr>
          <w:ilvl w:val="0"/>
          <w:numId w:val="4"/>
        </w:numPr>
        <w:contextualSpacing w:val="0"/>
        <w:jc w:val="both"/>
        <w:rPr>
          <w:rFonts w:ascii="Times New Roman" w:hAnsi="Times New Roman"/>
        </w:rPr>
      </w:pPr>
      <w:r w:rsidRPr="00CC6B72">
        <w:rPr>
          <w:rFonts w:ascii="Times New Roman" w:hAnsi="Times New Roman"/>
        </w:rPr>
        <w:t>On 14</w:t>
      </w:r>
      <w:r w:rsidRPr="00CC6B72">
        <w:rPr>
          <w:rFonts w:ascii="Times New Roman" w:hAnsi="Times New Roman"/>
          <w:vertAlign w:val="superscript"/>
        </w:rPr>
        <w:t>th</w:t>
      </w:r>
      <w:r w:rsidRPr="00CC6B72">
        <w:rPr>
          <w:rFonts w:ascii="Times New Roman" w:hAnsi="Times New Roman"/>
        </w:rPr>
        <w:t xml:space="preserve"> December 2012, the Second Committee of the 67th session of the General Assembly adopted the resolution on the Q</w:t>
      </w:r>
      <w:r w:rsidR="00CC6B72" w:rsidRPr="00CC6B72">
        <w:rPr>
          <w:rFonts w:ascii="Times New Roman" w:hAnsi="Times New Roman"/>
        </w:rPr>
        <w:t>uadrennial Co</w:t>
      </w:r>
      <w:r w:rsidR="004A5929">
        <w:rPr>
          <w:rFonts w:ascii="Times New Roman" w:hAnsi="Times New Roman"/>
        </w:rPr>
        <w:t>m</w:t>
      </w:r>
      <w:r w:rsidR="00CC6B72" w:rsidRPr="00CC6B72">
        <w:rPr>
          <w:rFonts w:ascii="Times New Roman" w:hAnsi="Times New Roman"/>
        </w:rPr>
        <w:t xml:space="preserve">prehensive Policy Review </w:t>
      </w:r>
      <w:r w:rsidRPr="00CC6B72">
        <w:rPr>
          <w:rFonts w:ascii="Times New Roman" w:hAnsi="Times New Roman"/>
        </w:rPr>
        <w:t xml:space="preserve">of operational activities for development of the United Nations systems </w:t>
      </w:r>
      <w:r w:rsidRPr="00CC6B72">
        <w:rPr>
          <w:rFonts w:ascii="Times New Roman" w:hAnsi="Times New Roman"/>
          <w:lang w:eastAsia="ko-KR"/>
        </w:rPr>
        <w:t>(A/</w:t>
      </w:r>
      <w:r w:rsidR="003B301F">
        <w:rPr>
          <w:rFonts w:ascii="Times New Roman" w:hAnsi="Times New Roman"/>
          <w:lang w:eastAsia="ko-KR"/>
        </w:rPr>
        <w:t>RES</w:t>
      </w:r>
      <w:r w:rsidRPr="00CC6B72">
        <w:rPr>
          <w:rFonts w:ascii="Times New Roman" w:hAnsi="Times New Roman"/>
          <w:lang w:eastAsia="ko-KR"/>
        </w:rPr>
        <w:t>/67/</w:t>
      </w:r>
      <w:r w:rsidR="003B301F">
        <w:rPr>
          <w:rFonts w:ascii="Times New Roman" w:hAnsi="Times New Roman"/>
          <w:lang w:eastAsia="ko-KR"/>
        </w:rPr>
        <w:t>226</w:t>
      </w:r>
      <w:r w:rsidRPr="00CC6B72">
        <w:rPr>
          <w:rFonts w:ascii="Times New Roman" w:hAnsi="Times New Roman"/>
          <w:lang w:eastAsia="ko-KR"/>
        </w:rPr>
        <w:t>)</w:t>
      </w:r>
      <w:r w:rsidR="00CC6B72" w:rsidRPr="00CC6B72">
        <w:rPr>
          <w:rFonts w:ascii="Times New Roman" w:hAnsi="Times New Roman"/>
          <w:lang w:eastAsia="ko-KR"/>
        </w:rPr>
        <w:t xml:space="preserve">. </w:t>
      </w:r>
      <w:r w:rsidR="00CC6B72" w:rsidRPr="00CC6B72">
        <w:rPr>
          <w:rFonts w:ascii="Times New Roman" w:hAnsi="Times New Roman"/>
        </w:rPr>
        <w:t xml:space="preserve">The cost recovery methodology proposed by the agencies, while prepared in parallel with the QCPR negotiations, is nevertheless, in line with the </w:t>
      </w:r>
      <w:r w:rsidR="00215D2F">
        <w:rPr>
          <w:rFonts w:ascii="Times New Roman" w:hAnsi="Times New Roman"/>
        </w:rPr>
        <w:t xml:space="preserve">guidance </w:t>
      </w:r>
      <w:r w:rsidR="00CC6B72" w:rsidRPr="00CC6B72">
        <w:rPr>
          <w:rFonts w:ascii="Times New Roman" w:hAnsi="Times New Roman"/>
        </w:rPr>
        <w:t>in the QCPR</w:t>
      </w:r>
      <w:r w:rsidR="00215D2F">
        <w:rPr>
          <w:rFonts w:ascii="Times New Roman" w:hAnsi="Times New Roman"/>
        </w:rPr>
        <w:t xml:space="preserve"> resolution</w:t>
      </w:r>
      <w:r w:rsidR="00CC6B72" w:rsidRPr="00CC6B72">
        <w:rPr>
          <w:rFonts w:ascii="Times New Roman" w:hAnsi="Times New Roman"/>
        </w:rPr>
        <w:t xml:space="preserve"> that relate to the funding of operational activities of the UN development in terms of</w:t>
      </w:r>
      <w:r w:rsidR="00215D2F">
        <w:rPr>
          <w:rFonts w:ascii="Times New Roman" w:hAnsi="Times New Roman"/>
        </w:rPr>
        <w:t xml:space="preserve"> promoting </w:t>
      </w:r>
      <w:r w:rsidR="00CC6B72" w:rsidRPr="00CC6B72">
        <w:rPr>
          <w:rFonts w:ascii="Times New Roman" w:hAnsi="Times New Roman"/>
        </w:rPr>
        <w:t>core and non-core resource complementarity and other principles of cost recovery.</w:t>
      </w:r>
    </w:p>
    <w:p w:rsidR="00935121" w:rsidRDefault="00935121" w:rsidP="00935121">
      <w:pPr>
        <w:pStyle w:val="a3"/>
        <w:ind w:left="360"/>
        <w:contextualSpacing w:val="0"/>
        <w:jc w:val="both"/>
        <w:rPr>
          <w:rFonts w:ascii="Times New Roman" w:hAnsi="Times New Roman"/>
        </w:rPr>
      </w:pPr>
    </w:p>
    <w:p w:rsidR="00F04717" w:rsidRPr="00A53EFA" w:rsidRDefault="005D3373" w:rsidP="00AF3050">
      <w:pPr>
        <w:jc w:val="both"/>
        <w:rPr>
          <w:rFonts w:ascii="Times New Roman" w:hAnsi="Times New Roman"/>
          <w:u w:val="single"/>
        </w:rPr>
      </w:pPr>
      <w:r w:rsidRPr="00A53EFA">
        <w:rPr>
          <w:rFonts w:ascii="Times New Roman" w:hAnsi="Times New Roman"/>
          <w:u w:val="single"/>
        </w:rPr>
        <w:t xml:space="preserve">Section I: </w:t>
      </w:r>
      <w:r w:rsidR="008B4700" w:rsidRPr="00A53EFA">
        <w:rPr>
          <w:rFonts w:ascii="Times New Roman" w:hAnsi="Times New Roman"/>
          <w:u w:val="single"/>
        </w:rPr>
        <w:t>Overview of proposed methodology and proposed new rate</w:t>
      </w:r>
    </w:p>
    <w:p w:rsidR="004C58D7" w:rsidRDefault="002B4764" w:rsidP="00C45B7B">
      <w:pPr>
        <w:pStyle w:val="a3"/>
        <w:numPr>
          <w:ilvl w:val="0"/>
          <w:numId w:val="4"/>
        </w:numPr>
        <w:contextualSpacing w:val="0"/>
        <w:jc w:val="both"/>
        <w:rPr>
          <w:rFonts w:ascii="Times New Roman" w:hAnsi="Times New Roman"/>
        </w:rPr>
      </w:pPr>
      <w:r w:rsidRPr="008D7F80">
        <w:rPr>
          <w:rFonts w:ascii="Times New Roman" w:hAnsi="Times New Roman"/>
        </w:rPr>
        <w:t xml:space="preserve">The methodology presented in September 2012 </w:t>
      </w:r>
      <w:r w:rsidR="00CC3797">
        <w:rPr>
          <w:rFonts w:ascii="Times New Roman" w:hAnsi="Times New Roman"/>
        </w:rPr>
        <w:t xml:space="preserve">moves in the direction of more equitable </w:t>
      </w:r>
      <w:r w:rsidR="003B301F">
        <w:rPr>
          <w:rFonts w:ascii="Times New Roman" w:hAnsi="Times New Roman"/>
        </w:rPr>
        <w:t xml:space="preserve">funding of organizational costs </w:t>
      </w:r>
      <w:r w:rsidR="00CC3797">
        <w:rPr>
          <w:rFonts w:ascii="Times New Roman" w:hAnsi="Times New Roman"/>
        </w:rPr>
        <w:t xml:space="preserve">and </w:t>
      </w:r>
      <w:r w:rsidRPr="008D7F80">
        <w:rPr>
          <w:rFonts w:ascii="Times New Roman" w:hAnsi="Times New Roman"/>
        </w:rPr>
        <w:t xml:space="preserve">is based on the </w:t>
      </w:r>
      <w:r w:rsidR="004C58D7" w:rsidRPr="008D7F80">
        <w:rPr>
          <w:rFonts w:ascii="Times New Roman" w:hAnsi="Times New Roman"/>
        </w:rPr>
        <w:t xml:space="preserve">fundamental principle that </w:t>
      </w:r>
      <w:r w:rsidR="00DA0458">
        <w:rPr>
          <w:rFonts w:ascii="Times New Roman" w:hAnsi="Times New Roman"/>
        </w:rPr>
        <w:t xml:space="preserve">organizational </w:t>
      </w:r>
      <w:r w:rsidR="004C58D7" w:rsidRPr="008D7F80">
        <w:rPr>
          <w:rFonts w:ascii="Times New Roman" w:hAnsi="Times New Roman"/>
        </w:rPr>
        <w:t xml:space="preserve">costs </w:t>
      </w:r>
      <w:r w:rsidR="00621DAD">
        <w:rPr>
          <w:rFonts w:ascii="Times New Roman" w:hAnsi="Times New Roman"/>
        </w:rPr>
        <w:t xml:space="preserve">that are eligible for cost recovery </w:t>
      </w:r>
      <w:r w:rsidR="004C58D7" w:rsidRPr="008D7F80">
        <w:rPr>
          <w:rFonts w:ascii="Times New Roman" w:hAnsi="Times New Roman"/>
        </w:rPr>
        <w:t xml:space="preserve">should be proportionally </w:t>
      </w:r>
      <w:r w:rsidR="00980323">
        <w:rPr>
          <w:rFonts w:ascii="Times New Roman" w:hAnsi="Times New Roman"/>
        </w:rPr>
        <w:t xml:space="preserve">funded from </w:t>
      </w:r>
      <w:r w:rsidR="004C58D7" w:rsidRPr="008D7F80">
        <w:rPr>
          <w:rFonts w:ascii="Times New Roman" w:hAnsi="Times New Roman"/>
        </w:rPr>
        <w:t xml:space="preserve">Regular Resources </w:t>
      </w:r>
      <w:r w:rsidR="007220ED">
        <w:rPr>
          <w:rFonts w:ascii="Times New Roman" w:hAnsi="Times New Roman"/>
        </w:rPr>
        <w:t xml:space="preserve">(RR) </w:t>
      </w:r>
      <w:r w:rsidR="004C58D7" w:rsidRPr="008D7F80">
        <w:rPr>
          <w:rFonts w:ascii="Times New Roman" w:hAnsi="Times New Roman"/>
        </w:rPr>
        <w:t>and Other Resources</w:t>
      </w:r>
      <w:r w:rsidR="007220ED">
        <w:rPr>
          <w:rFonts w:ascii="Times New Roman" w:hAnsi="Times New Roman"/>
        </w:rPr>
        <w:t xml:space="preserve"> (OR)</w:t>
      </w:r>
      <w:r w:rsidR="00CC3797">
        <w:rPr>
          <w:rFonts w:ascii="Times New Roman" w:hAnsi="Times New Roman"/>
        </w:rPr>
        <w:t xml:space="preserve">. </w:t>
      </w:r>
    </w:p>
    <w:p w:rsidR="00CB75DD" w:rsidRPr="001142F3" w:rsidRDefault="00CB75DD" w:rsidP="00CB75DD">
      <w:pPr>
        <w:pStyle w:val="a3"/>
        <w:numPr>
          <w:ilvl w:val="0"/>
          <w:numId w:val="4"/>
        </w:numPr>
        <w:contextualSpacing w:val="0"/>
        <w:jc w:val="both"/>
        <w:rPr>
          <w:rFonts w:ascii="Times New Roman" w:hAnsi="Times New Roman"/>
        </w:rPr>
      </w:pPr>
      <w:r w:rsidRPr="001142F3">
        <w:rPr>
          <w:rFonts w:ascii="Times New Roman , serif ;" w:eastAsia="Times New Roman" w:hAnsi="Times New Roman , serif ;"/>
        </w:rPr>
        <w:t>Costs are considered eligible for cost recovery only if they are indirectly linked to the delivery of development results. Costs directly linked to the delivery of development results will be directly funded from Regular Resources or Other Resources, depending on where the cost originates.</w:t>
      </w:r>
    </w:p>
    <w:p w:rsidR="004C58D7" w:rsidRPr="00CB75DD" w:rsidRDefault="005F08EB" w:rsidP="00CB75DD">
      <w:pPr>
        <w:pStyle w:val="a3"/>
        <w:numPr>
          <w:ilvl w:val="0"/>
          <w:numId w:val="4"/>
        </w:numPr>
        <w:contextualSpacing w:val="0"/>
        <w:jc w:val="both"/>
        <w:rPr>
          <w:rFonts w:ascii="Times New Roman" w:hAnsi="Times New Roman"/>
        </w:rPr>
      </w:pPr>
      <w:r w:rsidRPr="00CB75DD">
        <w:rPr>
          <w:rFonts w:ascii="Times New Roman" w:hAnsi="Times New Roman"/>
        </w:rPr>
        <w:t>Due to</w:t>
      </w:r>
      <w:r w:rsidR="004C58D7" w:rsidRPr="00CB75DD">
        <w:rPr>
          <w:rFonts w:ascii="Times New Roman" w:hAnsi="Times New Roman"/>
        </w:rPr>
        <w:t xml:space="preserve"> differences in funding streams, </w:t>
      </w:r>
      <w:r w:rsidR="00CC3797" w:rsidRPr="00CB75DD">
        <w:rPr>
          <w:rFonts w:ascii="Times New Roman" w:hAnsi="Times New Roman"/>
        </w:rPr>
        <w:t xml:space="preserve">each of the four </w:t>
      </w:r>
      <w:r w:rsidR="004C58D7" w:rsidRPr="00CB75DD">
        <w:rPr>
          <w:rFonts w:ascii="Times New Roman" w:hAnsi="Times New Roman"/>
        </w:rPr>
        <w:t>agenc</w:t>
      </w:r>
      <w:r w:rsidR="00CC3797" w:rsidRPr="00CB75DD">
        <w:rPr>
          <w:rFonts w:ascii="Times New Roman" w:hAnsi="Times New Roman"/>
        </w:rPr>
        <w:t xml:space="preserve">ies </w:t>
      </w:r>
      <w:r w:rsidR="004C58D7" w:rsidRPr="00CB75DD">
        <w:rPr>
          <w:rFonts w:ascii="Times New Roman" w:hAnsi="Times New Roman"/>
        </w:rPr>
        <w:t>ha</w:t>
      </w:r>
      <w:r w:rsidR="00CC3797" w:rsidRPr="001142F3">
        <w:rPr>
          <w:rFonts w:ascii="Times New Roman" w:hAnsi="Times New Roman"/>
        </w:rPr>
        <w:t xml:space="preserve">ve </w:t>
      </w:r>
      <w:r w:rsidR="004C58D7" w:rsidRPr="001142F3">
        <w:rPr>
          <w:rFonts w:ascii="Times New Roman" w:hAnsi="Times New Roman"/>
        </w:rPr>
        <w:t xml:space="preserve">a different relative proportion of </w:t>
      </w:r>
      <w:r w:rsidR="007220ED">
        <w:rPr>
          <w:rFonts w:ascii="Times New Roman" w:hAnsi="Times New Roman"/>
        </w:rPr>
        <w:t>RR</w:t>
      </w:r>
      <w:r w:rsidR="004C58D7" w:rsidRPr="001142F3">
        <w:rPr>
          <w:rFonts w:ascii="Times New Roman" w:hAnsi="Times New Roman"/>
        </w:rPr>
        <w:t xml:space="preserve"> and </w:t>
      </w:r>
      <w:r w:rsidR="007220ED">
        <w:rPr>
          <w:rFonts w:ascii="Times New Roman" w:hAnsi="Times New Roman"/>
        </w:rPr>
        <w:t>OR</w:t>
      </w:r>
      <w:r w:rsidR="004C58D7" w:rsidRPr="001142F3">
        <w:rPr>
          <w:rFonts w:ascii="Times New Roman" w:hAnsi="Times New Roman"/>
        </w:rPr>
        <w:t xml:space="preserve"> expenditure, as </w:t>
      </w:r>
      <w:r w:rsidR="00CC3797" w:rsidRPr="00CB75DD">
        <w:rPr>
          <w:rFonts w:ascii="Times New Roman" w:hAnsi="Times New Roman"/>
        </w:rPr>
        <w:t xml:space="preserve">reflected in Table 1 </w:t>
      </w:r>
      <w:r w:rsidR="004C58D7" w:rsidRPr="00CB75DD">
        <w:rPr>
          <w:rFonts w:ascii="Times New Roman" w:hAnsi="Times New Roman"/>
        </w:rPr>
        <w:t>below</w:t>
      </w:r>
      <w:r w:rsidR="002227E2" w:rsidRPr="00CB75DD">
        <w:rPr>
          <w:rFonts w:ascii="Times New Roman" w:hAnsi="Times New Roman"/>
        </w:rPr>
        <w:t xml:space="preserve">. As per the proposed methodology, the ratios shown in Table 1 are used by each agency to split </w:t>
      </w:r>
      <w:r w:rsidR="007220ED">
        <w:rPr>
          <w:rFonts w:ascii="Times New Roman" w:hAnsi="Times New Roman"/>
        </w:rPr>
        <w:t xml:space="preserve">costs </w:t>
      </w:r>
      <w:r w:rsidR="00980323" w:rsidRPr="00CB75DD">
        <w:rPr>
          <w:rFonts w:ascii="Times New Roman" w:hAnsi="Times New Roman"/>
        </w:rPr>
        <w:t xml:space="preserve">eligible </w:t>
      </w:r>
      <w:r w:rsidR="007220ED">
        <w:rPr>
          <w:rFonts w:ascii="Times New Roman" w:hAnsi="Times New Roman"/>
        </w:rPr>
        <w:t xml:space="preserve">for cost recovery </w:t>
      </w:r>
      <w:r w:rsidR="002227E2" w:rsidRPr="00CB75DD">
        <w:rPr>
          <w:rFonts w:ascii="Times New Roman" w:hAnsi="Times New Roman"/>
        </w:rPr>
        <w:t xml:space="preserve"> between </w:t>
      </w:r>
      <w:r w:rsidR="007220ED">
        <w:rPr>
          <w:rFonts w:ascii="Times New Roman" w:hAnsi="Times New Roman"/>
        </w:rPr>
        <w:t>RR</w:t>
      </w:r>
      <w:r w:rsidR="002227E2" w:rsidRPr="00CB75DD">
        <w:rPr>
          <w:rFonts w:ascii="Times New Roman" w:hAnsi="Times New Roman"/>
        </w:rPr>
        <w:t xml:space="preserve"> and </w:t>
      </w:r>
      <w:r w:rsidR="007220ED">
        <w:rPr>
          <w:rFonts w:ascii="Times New Roman" w:hAnsi="Times New Roman"/>
        </w:rPr>
        <w:t>OR</w:t>
      </w:r>
      <w:r w:rsidR="002227E2" w:rsidRPr="00CB75DD">
        <w:rPr>
          <w:rFonts w:ascii="Times New Roman" w:hAnsi="Times New Roman"/>
        </w:rPr>
        <w:t xml:space="preserve"> in order to apply the “proportionality” principle for cost recovery</w:t>
      </w:r>
      <w:r w:rsidR="004C58D7" w:rsidRPr="00CB75DD">
        <w:rPr>
          <w:rFonts w:ascii="Times New Roman" w:hAnsi="Times New Roman"/>
        </w:rPr>
        <w:t>:</w:t>
      </w:r>
    </w:p>
    <w:p w:rsidR="00C124F4" w:rsidRDefault="00C124F4" w:rsidP="00E512C9">
      <w:pPr>
        <w:contextualSpacing/>
        <w:jc w:val="both"/>
        <w:rPr>
          <w:rFonts w:ascii="Times New Roman" w:hAnsi="Times New Roman"/>
          <w:i/>
          <w:sz w:val="20"/>
          <w:szCs w:val="20"/>
        </w:rPr>
      </w:pPr>
    </w:p>
    <w:p w:rsidR="00725C98" w:rsidRPr="00A53EFA" w:rsidRDefault="004C58D7" w:rsidP="00E512C9">
      <w:pPr>
        <w:contextualSpacing/>
        <w:jc w:val="both"/>
        <w:rPr>
          <w:rFonts w:ascii="Times New Roman" w:hAnsi="Times New Roman"/>
          <w:i/>
          <w:sz w:val="20"/>
          <w:szCs w:val="20"/>
        </w:rPr>
      </w:pPr>
      <w:r w:rsidRPr="00A53EFA">
        <w:rPr>
          <w:rFonts w:ascii="Times New Roman" w:hAnsi="Times New Roman"/>
          <w:i/>
          <w:sz w:val="20"/>
          <w:szCs w:val="20"/>
        </w:rPr>
        <w:t>Table 1</w:t>
      </w:r>
      <w:r w:rsidR="00B86AD7" w:rsidRPr="00A53EFA">
        <w:rPr>
          <w:rFonts w:ascii="Times New Roman" w:hAnsi="Times New Roman"/>
          <w:i/>
          <w:sz w:val="20"/>
          <w:szCs w:val="20"/>
        </w:rPr>
        <w:t xml:space="preserve">: </w:t>
      </w:r>
    </w:p>
    <w:p w:rsidR="00C85FAE" w:rsidRDefault="002C4552" w:rsidP="00C124F4">
      <w:pPr>
        <w:pStyle w:val="a3"/>
        <w:ind w:left="360"/>
        <w:contextualSpacing w:val="0"/>
        <w:jc w:val="both"/>
        <w:rPr>
          <w:rFonts w:ascii="Times New Roman" w:hAnsi="Times New Roman"/>
        </w:rPr>
      </w:pPr>
      <w:r w:rsidRPr="008326CF">
        <w:rPr>
          <w:noProof/>
          <w:lang w:val="ru-RU" w:eastAsia="ru-RU"/>
        </w:rPr>
        <w:drawing>
          <wp:inline distT="0" distB="0" distL="0" distR="0">
            <wp:extent cx="5562600" cy="140017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1400175"/>
                    </a:xfrm>
                    <a:prstGeom prst="rect">
                      <a:avLst/>
                    </a:prstGeom>
                    <a:noFill/>
                    <a:ln>
                      <a:noFill/>
                    </a:ln>
                  </pic:spPr>
                </pic:pic>
              </a:graphicData>
            </a:graphic>
          </wp:inline>
        </w:drawing>
      </w:r>
    </w:p>
    <w:p w:rsidR="004C58D7" w:rsidRPr="00A53EFA" w:rsidRDefault="004801E8" w:rsidP="00822B3E">
      <w:pPr>
        <w:pStyle w:val="a3"/>
        <w:numPr>
          <w:ilvl w:val="0"/>
          <w:numId w:val="4"/>
        </w:numPr>
        <w:contextualSpacing w:val="0"/>
        <w:jc w:val="both"/>
        <w:rPr>
          <w:rFonts w:ascii="Times New Roman" w:hAnsi="Times New Roman"/>
        </w:rPr>
      </w:pPr>
      <w:r w:rsidRPr="00A53EFA">
        <w:rPr>
          <w:rFonts w:ascii="Times New Roman" w:hAnsi="Times New Roman"/>
        </w:rPr>
        <w:t xml:space="preserve">While all </w:t>
      </w:r>
      <w:r w:rsidR="00E15AA9">
        <w:rPr>
          <w:rFonts w:ascii="Times New Roman" w:hAnsi="Times New Roman"/>
        </w:rPr>
        <w:t xml:space="preserve">costs </w:t>
      </w:r>
      <w:r w:rsidRPr="00A53EFA">
        <w:rPr>
          <w:rFonts w:ascii="Times New Roman" w:hAnsi="Times New Roman"/>
        </w:rPr>
        <w:t xml:space="preserve">eligible </w:t>
      </w:r>
      <w:r w:rsidR="00E15AA9">
        <w:rPr>
          <w:rFonts w:ascii="Times New Roman" w:hAnsi="Times New Roman"/>
        </w:rPr>
        <w:t xml:space="preserve">for cost recovery </w:t>
      </w:r>
      <w:r w:rsidRPr="00A53EFA">
        <w:rPr>
          <w:rFonts w:ascii="Times New Roman" w:hAnsi="Times New Roman"/>
        </w:rPr>
        <w:t xml:space="preserve"> are to be</w:t>
      </w:r>
      <w:r w:rsidR="005F08EB" w:rsidRPr="00A53EFA">
        <w:rPr>
          <w:rFonts w:ascii="Times New Roman" w:hAnsi="Times New Roman"/>
        </w:rPr>
        <w:t xml:space="preserve"> </w:t>
      </w:r>
      <w:r w:rsidR="00980323">
        <w:rPr>
          <w:rFonts w:ascii="Times New Roman" w:hAnsi="Times New Roman"/>
        </w:rPr>
        <w:t xml:space="preserve"> proportionally funded by </w:t>
      </w:r>
      <w:r w:rsidR="00E512C9" w:rsidRPr="00A53EFA">
        <w:rPr>
          <w:rFonts w:ascii="Times New Roman" w:hAnsi="Times New Roman"/>
        </w:rPr>
        <w:t xml:space="preserve">Regular Resources and Other Resources based on each agency’s relative proportions of </w:t>
      </w:r>
      <w:r w:rsidR="00C951CA">
        <w:rPr>
          <w:rFonts w:ascii="Times New Roman" w:hAnsi="Times New Roman"/>
        </w:rPr>
        <w:t>RR</w:t>
      </w:r>
      <w:r w:rsidR="00E512C9" w:rsidRPr="00A53EFA">
        <w:rPr>
          <w:rFonts w:ascii="Times New Roman" w:hAnsi="Times New Roman"/>
        </w:rPr>
        <w:t xml:space="preserve"> and </w:t>
      </w:r>
      <w:r w:rsidR="00C951CA">
        <w:rPr>
          <w:rFonts w:ascii="Times New Roman" w:hAnsi="Times New Roman"/>
        </w:rPr>
        <w:t>OR</w:t>
      </w:r>
      <w:r w:rsidRPr="00A53EFA">
        <w:rPr>
          <w:rFonts w:ascii="Times New Roman" w:hAnsi="Times New Roman"/>
        </w:rPr>
        <w:t>,</w:t>
      </w:r>
      <w:r w:rsidR="00E512C9" w:rsidRPr="00A53EFA">
        <w:rPr>
          <w:rFonts w:ascii="Times New Roman" w:hAnsi="Times New Roman"/>
        </w:rPr>
        <w:t xml:space="preserve"> </w:t>
      </w:r>
      <w:r w:rsidR="00980323">
        <w:rPr>
          <w:rFonts w:ascii="Times New Roman" w:hAnsi="Times New Roman"/>
        </w:rPr>
        <w:t xml:space="preserve">other organizational </w:t>
      </w:r>
      <w:r w:rsidR="00E512C9" w:rsidRPr="00A53EFA">
        <w:rPr>
          <w:rFonts w:ascii="Times New Roman" w:hAnsi="Times New Roman"/>
        </w:rPr>
        <w:t>costs</w:t>
      </w:r>
      <w:r w:rsidRPr="00A53EFA">
        <w:rPr>
          <w:rFonts w:ascii="Times New Roman" w:hAnsi="Times New Roman"/>
        </w:rPr>
        <w:t xml:space="preserve"> </w:t>
      </w:r>
      <w:r w:rsidR="00B92DDE" w:rsidRPr="00A53EFA">
        <w:rPr>
          <w:rFonts w:ascii="Times New Roman" w:hAnsi="Times New Roman"/>
        </w:rPr>
        <w:t xml:space="preserve">are </w:t>
      </w:r>
      <w:r w:rsidR="002227E2">
        <w:rPr>
          <w:rFonts w:ascii="Times New Roman" w:hAnsi="Times New Roman"/>
        </w:rPr>
        <w:t xml:space="preserve">excluded </w:t>
      </w:r>
      <w:r w:rsidR="00C16520">
        <w:rPr>
          <w:rFonts w:ascii="Times New Roman" w:hAnsi="Times New Roman"/>
        </w:rPr>
        <w:t xml:space="preserve">(not eligible) </w:t>
      </w:r>
      <w:r w:rsidR="002227E2">
        <w:rPr>
          <w:rFonts w:ascii="Times New Roman" w:hAnsi="Times New Roman"/>
        </w:rPr>
        <w:t xml:space="preserve">from </w:t>
      </w:r>
      <w:r w:rsidR="00B92DDE" w:rsidRPr="00A53EFA">
        <w:rPr>
          <w:rFonts w:ascii="Times New Roman" w:hAnsi="Times New Roman"/>
        </w:rPr>
        <w:t xml:space="preserve">the </w:t>
      </w:r>
      <w:r w:rsidR="002227E2">
        <w:rPr>
          <w:rFonts w:ascii="Times New Roman" w:hAnsi="Times New Roman"/>
        </w:rPr>
        <w:t>cost recovery calculation, as follows:</w:t>
      </w:r>
    </w:p>
    <w:p w:rsidR="002B4764" w:rsidRPr="00CB75DD" w:rsidRDefault="004801E8" w:rsidP="00CB75DD">
      <w:pPr>
        <w:pStyle w:val="a3"/>
        <w:numPr>
          <w:ilvl w:val="0"/>
          <w:numId w:val="6"/>
        </w:numPr>
        <w:contextualSpacing w:val="0"/>
        <w:jc w:val="both"/>
        <w:rPr>
          <w:rFonts w:ascii="Times New Roman" w:hAnsi="Times New Roman"/>
        </w:rPr>
      </w:pPr>
      <w:r w:rsidRPr="00CB75DD">
        <w:rPr>
          <w:rFonts w:ascii="Times New Roman" w:hAnsi="Times New Roman"/>
        </w:rPr>
        <w:t>According to the new cost classification, c</w:t>
      </w:r>
      <w:r w:rsidR="002B4764" w:rsidRPr="00CB75DD">
        <w:rPr>
          <w:rFonts w:ascii="Times New Roman" w:hAnsi="Times New Roman"/>
        </w:rPr>
        <w:t>osts classified as Development Effectiveness</w:t>
      </w:r>
      <w:r w:rsidRPr="00CB75DD">
        <w:rPr>
          <w:rFonts w:ascii="Times New Roman" w:hAnsi="Times New Roman"/>
        </w:rPr>
        <w:t xml:space="preserve"> are</w:t>
      </w:r>
      <w:r w:rsidR="00980323" w:rsidRPr="00CB75DD">
        <w:rPr>
          <w:rFonts w:ascii="Times New Roman" w:hAnsi="Times New Roman"/>
        </w:rPr>
        <w:t xml:space="preserve"> an integral</w:t>
      </w:r>
      <w:r w:rsidRPr="00CB75DD">
        <w:rPr>
          <w:rFonts w:ascii="Times New Roman" w:hAnsi="Times New Roman"/>
        </w:rPr>
        <w:t xml:space="preserve"> part of Development activities</w:t>
      </w:r>
      <w:r w:rsidR="00DD4A92" w:rsidRPr="00CB75DD">
        <w:rPr>
          <w:rFonts w:ascii="Times New Roman" w:hAnsi="Times New Roman"/>
        </w:rPr>
        <w:t xml:space="preserve"> and therefore directly contribute to the achievement of Development Results.  </w:t>
      </w:r>
      <w:r w:rsidRPr="00CB75DD">
        <w:rPr>
          <w:rFonts w:ascii="Times New Roman" w:hAnsi="Times New Roman"/>
        </w:rPr>
        <w:t xml:space="preserve"> As such, they </w:t>
      </w:r>
      <w:r w:rsidR="00421D26" w:rsidRPr="0027252E">
        <w:rPr>
          <w:rFonts w:ascii="Times New Roman" w:hAnsi="Times New Roman"/>
        </w:rPr>
        <w:t xml:space="preserve">are </w:t>
      </w:r>
      <w:r w:rsidR="002B4764" w:rsidRPr="0027252E">
        <w:rPr>
          <w:rFonts w:ascii="Times New Roman" w:hAnsi="Times New Roman"/>
        </w:rPr>
        <w:t xml:space="preserve">directly </w:t>
      </w:r>
      <w:r w:rsidR="00CB75DD">
        <w:rPr>
          <w:rFonts w:ascii="Times New Roman" w:hAnsi="Times New Roman"/>
        </w:rPr>
        <w:t>funded</w:t>
      </w:r>
      <w:r w:rsidR="00CB75DD" w:rsidRPr="00CB75DD">
        <w:rPr>
          <w:rFonts w:ascii="Times New Roman" w:hAnsi="Times New Roman"/>
        </w:rPr>
        <w:t xml:space="preserve"> </w:t>
      </w:r>
      <w:r w:rsidR="00421D26" w:rsidRPr="00CB75DD">
        <w:rPr>
          <w:rFonts w:ascii="Times New Roman" w:hAnsi="Times New Roman"/>
        </w:rPr>
        <w:t>from RR and OR</w:t>
      </w:r>
      <w:r w:rsidR="00CB75DD">
        <w:rPr>
          <w:rFonts w:ascii="Times New Roman" w:hAnsi="Times New Roman"/>
        </w:rPr>
        <w:t xml:space="preserve">.  </w:t>
      </w:r>
      <w:r w:rsidR="002B4764" w:rsidRPr="00CB75DD">
        <w:rPr>
          <w:rFonts w:ascii="Times New Roman" w:hAnsi="Times New Roman"/>
        </w:rPr>
        <w:t xml:space="preserve">A limited level of costs relate to critical, cross-cutting functions that </w:t>
      </w:r>
      <w:r w:rsidR="007925A6" w:rsidRPr="00CB75DD">
        <w:rPr>
          <w:rFonts w:ascii="Times New Roman" w:hAnsi="Times New Roman"/>
        </w:rPr>
        <w:t xml:space="preserve">are </w:t>
      </w:r>
      <w:r w:rsidR="002B4764" w:rsidRPr="00CB75DD">
        <w:rPr>
          <w:rFonts w:ascii="Times New Roman" w:hAnsi="Times New Roman"/>
        </w:rPr>
        <w:t xml:space="preserve">funded from  </w:t>
      </w:r>
      <w:r w:rsidR="00E15AA9">
        <w:rPr>
          <w:rFonts w:ascii="Times New Roman" w:hAnsi="Times New Roman"/>
        </w:rPr>
        <w:t xml:space="preserve">regular </w:t>
      </w:r>
      <w:r w:rsidR="002B4764" w:rsidRPr="00CB75DD">
        <w:rPr>
          <w:rFonts w:ascii="Times New Roman" w:hAnsi="Times New Roman"/>
        </w:rPr>
        <w:t xml:space="preserve">resources, and therefore not </w:t>
      </w:r>
      <w:r w:rsidRPr="00CB75DD">
        <w:rPr>
          <w:rFonts w:ascii="Times New Roman" w:hAnsi="Times New Roman"/>
        </w:rPr>
        <w:t>subject to the proportionality principle;</w:t>
      </w:r>
    </w:p>
    <w:p w:rsidR="002B4764" w:rsidRPr="008D7F80" w:rsidRDefault="002B4764" w:rsidP="008D7F80">
      <w:pPr>
        <w:pStyle w:val="a3"/>
        <w:numPr>
          <w:ilvl w:val="0"/>
          <w:numId w:val="6"/>
        </w:numPr>
        <w:contextualSpacing w:val="0"/>
        <w:jc w:val="both"/>
        <w:rPr>
          <w:rFonts w:ascii="Times New Roman" w:hAnsi="Times New Roman"/>
        </w:rPr>
      </w:pPr>
      <w:r w:rsidRPr="008D7F80">
        <w:rPr>
          <w:rFonts w:ascii="Times New Roman" w:hAnsi="Times New Roman"/>
        </w:rPr>
        <w:t>Costs classified as UN Development Coordination and non-comparable Special Purpose costs (e.g. UNV</w:t>
      </w:r>
      <w:r w:rsidR="00980323">
        <w:rPr>
          <w:rFonts w:ascii="Times New Roman" w:hAnsi="Times New Roman"/>
        </w:rPr>
        <w:t xml:space="preserve"> and </w:t>
      </w:r>
      <w:r w:rsidRPr="008D7F80">
        <w:rPr>
          <w:rFonts w:ascii="Times New Roman" w:hAnsi="Times New Roman"/>
        </w:rPr>
        <w:t>UNCDF</w:t>
      </w:r>
      <w:r w:rsidR="00980323">
        <w:rPr>
          <w:rFonts w:ascii="Times New Roman" w:hAnsi="Times New Roman"/>
        </w:rPr>
        <w:t xml:space="preserve"> support from UNDP</w:t>
      </w:r>
      <w:r w:rsidRPr="008D7F80">
        <w:rPr>
          <w:rFonts w:ascii="Times New Roman" w:hAnsi="Times New Roman"/>
        </w:rPr>
        <w:t xml:space="preserve">) are largely agency-specific, </w:t>
      </w:r>
      <w:r w:rsidR="00980323">
        <w:rPr>
          <w:rFonts w:ascii="Times New Roman" w:hAnsi="Times New Roman"/>
        </w:rPr>
        <w:t xml:space="preserve">not-harmonized amongst the </w:t>
      </w:r>
      <w:r w:rsidR="00DD4A92">
        <w:rPr>
          <w:rFonts w:ascii="Times New Roman" w:hAnsi="Times New Roman"/>
        </w:rPr>
        <w:t>four a</w:t>
      </w:r>
      <w:r w:rsidR="00980323">
        <w:rPr>
          <w:rFonts w:ascii="Times New Roman" w:hAnsi="Times New Roman"/>
        </w:rPr>
        <w:t xml:space="preserve">gencies, </w:t>
      </w:r>
      <w:r w:rsidRPr="008D7F80">
        <w:rPr>
          <w:rFonts w:ascii="Times New Roman" w:hAnsi="Times New Roman"/>
        </w:rPr>
        <w:t xml:space="preserve">and therefore </w:t>
      </w:r>
      <w:r w:rsidR="00CC3797">
        <w:rPr>
          <w:rFonts w:ascii="Times New Roman" w:hAnsi="Times New Roman"/>
        </w:rPr>
        <w:t>excluded</w:t>
      </w:r>
      <w:r w:rsidR="00DD4A92">
        <w:rPr>
          <w:rFonts w:ascii="Times New Roman" w:hAnsi="Times New Roman"/>
        </w:rPr>
        <w:t xml:space="preserve"> from the cost recovery calculation</w:t>
      </w:r>
      <w:r w:rsidR="00980323">
        <w:rPr>
          <w:rFonts w:ascii="Times New Roman" w:hAnsi="Times New Roman"/>
        </w:rPr>
        <w:t>.</w:t>
      </w:r>
      <w:r w:rsidR="00CC3797">
        <w:rPr>
          <w:rFonts w:ascii="Times New Roman" w:hAnsi="Times New Roman"/>
        </w:rPr>
        <w:t xml:space="preserve"> </w:t>
      </w:r>
      <w:r w:rsidR="00737520" w:rsidRPr="00622825">
        <w:rPr>
          <w:rFonts w:ascii="Times New Roman" w:hAnsi="Times New Roman"/>
        </w:rPr>
        <w:t xml:space="preserve">However, should future budget proposals contain elements of the UN Development Coordination costs that are comparable, i.e. common to all four agencies, then it  </w:t>
      </w:r>
      <w:r w:rsidR="00E15AA9">
        <w:rPr>
          <w:rFonts w:ascii="Times New Roman" w:hAnsi="Times New Roman"/>
        </w:rPr>
        <w:t xml:space="preserve">may </w:t>
      </w:r>
      <w:r w:rsidR="00737520" w:rsidRPr="00622825">
        <w:rPr>
          <w:rFonts w:ascii="Times New Roman" w:hAnsi="Times New Roman"/>
        </w:rPr>
        <w:t xml:space="preserve">be warranted to include such comparable costs in the cost recovery calculation.  </w:t>
      </w:r>
    </w:p>
    <w:p w:rsidR="002B4764" w:rsidRDefault="002B4764" w:rsidP="002227E2">
      <w:pPr>
        <w:pStyle w:val="a3"/>
        <w:numPr>
          <w:ilvl w:val="0"/>
          <w:numId w:val="4"/>
        </w:numPr>
        <w:contextualSpacing w:val="0"/>
        <w:jc w:val="both"/>
        <w:rPr>
          <w:rFonts w:ascii="Times New Roman" w:hAnsi="Times New Roman"/>
        </w:rPr>
      </w:pPr>
      <w:r w:rsidRPr="008D7F80">
        <w:rPr>
          <w:rFonts w:ascii="Times New Roman" w:hAnsi="Times New Roman"/>
        </w:rPr>
        <w:t xml:space="preserve">Table </w:t>
      </w:r>
      <w:r w:rsidR="004801E8" w:rsidRPr="008D7F80">
        <w:rPr>
          <w:rFonts w:ascii="Times New Roman" w:hAnsi="Times New Roman"/>
        </w:rPr>
        <w:t>2</w:t>
      </w:r>
      <w:r w:rsidRPr="008D7F80">
        <w:rPr>
          <w:rFonts w:ascii="Times New Roman" w:hAnsi="Times New Roman"/>
        </w:rPr>
        <w:t xml:space="preserve"> </w:t>
      </w:r>
      <w:r w:rsidR="00745261" w:rsidRPr="008D7F80">
        <w:rPr>
          <w:rFonts w:ascii="Times New Roman" w:hAnsi="Times New Roman"/>
        </w:rPr>
        <w:t xml:space="preserve">shows </w:t>
      </w:r>
      <w:r w:rsidR="002227E2">
        <w:rPr>
          <w:rFonts w:ascii="Times New Roman" w:hAnsi="Times New Roman"/>
        </w:rPr>
        <w:t xml:space="preserve">the harmonized cost </w:t>
      </w:r>
      <w:r w:rsidR="00425855">
        <w:rPr>
          <w:rFonts w:ascii="Times New Roman" w:hAnsi="Times New Roman"/>
        </w:rPr>
        <w:t xml:space="preserve">classification </w:t>
      </w:r>
      <w:r w:rsidR="002227E2">
        <w:rPr>
          <w:rFonts w:ascii="Times New Roman" w:hAnsi="Times New Roman"/>
        </w:rPr>
        <w:t xml:space="preserve">categories, and shows </w:t>
      </w:r>
      <w:r w:rsidR="00745261" w:rsidRPr="008D7F80">
        <w:rPr>
          <w:rFonts w:ascii="Times New Roman" w:hAnsi="Times New Roman"/>
        </w:rPr>
        <w:t xml:space="preserve">which </w:t>
      </w:r>
      <w:r w:rsidR="002227E2">
        <w:rPr>
          <w:rFonts w:ascii="Times New Roman" w:hAnsi="Times New Roman"/>
        </w:rPr>
        <w:t xml:space="preserve">categories </w:t>
      </w:r>
      <w:r w:rsidR="00745261" w:rsidRPr="008D7F80">
        <w:rPr>
          <w:rFonts w:ascii="Times New Roman" w:hAnsi="Times New Roman"/>
        </w:rPr>
        <w:t xml:space="preserve">are </w:t>
      </w:r>
      <w:r w:rsidR="002A1594">
        <w:rPr>
          <w:rFonts w:ascii="Times New Roman" w:hAnsi="Times New Roman"/>
        </w:rPr>
        <w:t>funded from cost recovery and which ones are not in the</w:t>
      </w:r>
      <w:r w:rsidR="003B301F">
        <w:rPr>
          <w:rFonts w:ascii="Times New Roman" w:hAnsi="Times New Roman"/>
        </w:rPr>
        <w:t xml:space="preserve"> newly proposed </w:t>
      </w:r>
      <w:r w:rsidR="002A1594">
        <w:rPr>
          <w:rFonts w:ascii="Times New Roman" w:hAnsi="Times New Roman"/>
        </w:rPr>
        <w:t>cost recovery</w:t>
      </w:r>
      <w:r w:rsidR="003B301F">
        <w:rPr>
          <w:rFonts w:ascii="Times New Roman" w:hAnsi="Times New Roman"/>
        </w:rPr>
        <w:t xml:space="preserve"> </w:t>
      </w:r>
      <w:r w:rsidR="002A1594">
        <w:rPr>
          <w:rFonts w:ascii="Times New Roman" w:hAnsi="Times New Roman"/>
        </w:rPr>
        <w:t>methodology</w:t>
      </w:r>
      <w:r w:rsidR="003B301F">
        <w:rPr>
          <w:rFonts w:ascii="Times New Roman" w:hAnsi="Times New Roman"/>
        </w:rPr>
        <w:t xml:space="preserve">, </w:t>
      </w:r>
      <w:r w:rsidR="002A1594">
        <w:rPr>
          <w:rFonts w:ascii="Times New Roman" w:hAnsi="Times New Roman"/>
        </w:rPr>
        <w:t>and</w:t>
      </w:r>
      <w:r w:rsidR="003B301F">
        <w:rPr>
          <w:rFonts w:ascii="Times New Roman" w:hAnsi="Times New Roman"/>
        </w:rPr>
        <w:t xml:space="preserve"> a comparison with the current cost recovery</w:t>
      </w:r>
      <w:r w:rsidR="002A1594">
        <w:rPr>
          <w:rFonts w:ascii="Times New Roman" w:hAnsi="Times New Roman"/>
        </w:rPr>
        <w:t xml:space="preserve"> methodology. </w:t>
      </w:r>
      <w:r w:rsidR="00745261" w:rsidRPr="002227E2">
        <w:rPr>
          <w:rFonts w:ascii="Times New Roman" w:hAnsi="Times New Roman"/>
        </w:rPr>
        <w:t xml:space="preserve">Costs related to </w:t>
      </w:r>
      <w:r w:rsidR="002227E2">
        <w:rPr>
          <w:rFonts w:ascii="Times New Roman" w:hAnsi="Times New Roman"/>
        </w:rPr>
        <w:t xml:space="preserve">cross-cutting, </w:t>
      </w:r>
      <w:r w:rsidR="004801E8" w:rsidRPr="002227E2">
        <w:rPr>
          <w:rFonts w:ascii="Times New Roman" w:hAnsi="Times New Roman"/>
        </w:rPr>
        <w:t xml:space="preserve">critical functions will </w:t>
      </w:r>
      <w:r w:rsidR="002227E2" w:rsidRPr="002227E2">
        <w:rPr>
          <w:rFonts w:ascii="Times New Roman" w:hAnsi="Times New Roman"/>
        </w:rPr>
        <w:t>be discussed in more detail in S</w:t>
      </w:r>
      <w:r w:rsidR="004801E8" w:rsidRPr="002227E2">
        <w:rPr>
          <w:rFonts w:ascii="Times New Roman" w:hAnsi="Times New Roman"/>
        </w:rPr>
        <w:t xml:space="preserve">ection </w:t>
      </w:r>
      <w:r w:rsidR="002227E2" w:rsidRPr="002227E2">
        <w:rPr>
          <w:rFonts w:ascii="Times New Roman" w:hAnsi="Times New Roman"/>
        </w:rPr>
        <w:t>II of the present paper</w:t>
      </w:r>
      <w:r w:rsidR="004801E8" w:rsidRPr="002227E2">
        <w:rPr>
          <w:rFonts w:ascii="Times New Roman" w:hAnsi="Times New Roman"/>
        </w:rPr>
        <w:t>.</w:t>
      </w:r>
    </w:p>
    <w:p w:rsidR="00C124F4" w:rsidRDefault="00C124F4" w:rsidP="00C124F4">
      <w:pPr>
        <w:jc w:val="both"/>
        <w:rPr>
          <w:rFonts w:ascii="Times New Roman" w:hAnsi="Times New Roman"/>
        </w:rPr>
      </w:pPr>
    </w:p>
    <w:p w:rsidR="00C124F4" w:rsidRDefault="00C124F4" w:rsidP="00C124F4">
      <w:pPr>
        <w:jc w:val="both"/>
        <w:rPr>
          <w:rFonts w:ascii="Times New Roman" w:hAnsi="Times New Roman"/>
        </w:rPr>
      </w:pPr>
    </w:p>
    <w:p w:rsidR="00C124F4" w:rsidRDefault="00C124F4" w:rsidP="00C124F4">
      <w:pPr>
        <w:jc w:val="both"/>
        <w:rPr>
          <w:rFonts w:ascii="Times New Roman" w:hAnsi="Times New Roman"/>
        </w:rPr>
      </w:pPr>
    </w:p>
    <w:p w:rsidR="00C124F4" w:rsidRDefault="00C124F4" w:rsidP="00C124F4">
      <w:pPr>
        <w:jc w:val="both"/>
        <w:rPr>
          <w:rFonts w:ascii="Times New Roman" w:hAnsi="Times New Roman"/>
        </w:rPr>
      </w:pPr>
    </w:p>
    <w:p w:rsidR="00C124F4" w:rsidRDefault="00C124F4" w:rsidP="00C124F4">
      <w:pPr>
        <w:jc w:val="both"/>
        <w:rPr>
          <w:rFonts w:ascii="Times New Roman" w:hAnsi="Times New Roman"/>
        </w:rPr>
      </w:pPr>
    </w:p>
    <w:p w:rsidR="00C124F4" w:rsidRDefault="00C124F4" w:rsidP="00C124F4">
      <w:pPr>
        <w:jc w:val="both"/>
        <w:rPr>
          <w:rFonts w:ascii="Times New Roman" w:hAnsi="Times New Roman"/>
        </w:rPr>
      </w:pPr>
    </w:p>
    <w:p w:rsidR="00C124F4" w:rsidRDefault="00C124F4" w:rsidP="00C124F4">
      <w:pPr>
        <w:jc w:val="both"/>
        <w:rPr>
          <w:rFonts w:ascii="Times New Roman" w:hAnsi="Times New Roman"/>
        </w:rPr>
      </w:pPr>
    </w:p>
    <w:p w:rsidR="00C124F4" w:rsidRPr="00C124F4" w:rsidRDefault="00ED4E51" w:rsidP="00C124F4">
      <w:pPr>
        <w:jc w:val="both"/>
        <w:rPr>
          <w:rFonts w:ascii="Times New Roman" w:eastAsia="Times New Roman" w:hAnsi="Times New Roman"/>
          <w:bCs/>
          <w:color w:val="000000"/>
        </w:rPr>
      </w:pPr>
      <w:r>
        <w:rPr>
          <w:rFonts w:ascii="Times New Roman" w:hAnsi="Times New Roman"/>
        </w:rPr>
        <w:lastRenderedPageBreak/>
        <w:t>Table 2</w:t>
      </w:r>
      <w:r w:rsidR="00C124F4" w:rsidRPr="00C124F4">
        <w:rPr>
          <w:rFonts w:ascii="Times New Roman" w:hAnsi="Times New Roman"/>
        </w:rPr>
        <w:t xml:space="preserve">: </w:t>
      </w:r>
      <w:r w:rsidR="00C124F4" w:rsidRPr="00C124F4">
        <w:rPr>
          <w:rFonts w:ascii="Times New Roman" w:eastAsia="Times New Roman" w:hAnsi="Times New Roman"/>
          <w:bCs/>
          <w:color w:val="000000"/>
        </w:rPr>
        <w:t xml:space="preserve">Impact of New Cost Classification Categories on </w:t>
      </w:r>
      <w:r w:rsidR="00C124F4">
        <w:rPr>
          <w:rFonts w:ascii="Times New Roman" w:eastAsia="Times New Roman" w:hAnsi="Times New Roman"/>
          <w:bCs/>
          <w:color w:val="000000"/>
        </w:rPr>
        <w:t>Cost Recovery Methodology and Rate.</w:t>
      </w:r>
    </w:p>
    <w:p w:rsidR="00C124F4" w:rsidRDefault="002C4552" w:rsidP="00C124F4">
      <w:pPr>
        <w:pStyle w:val="a3"/>
        <w:ind w:left="360"/>
        <w:contextualSpacing w:val="0"/>
        <w:jc w:val="both"/>
        <w:rPr>
          <w:rFonts w:ascii="Times New Roman" w:hAnsi="Times New Roman"/>
        </w:rPr>
      </w:pPr>
      <w:r w:rsidRPr="008326CF">
        <w:rPr>
          <w:noProof/>
          <w:lang w:val="ru-RU" w:eastAsia="ru-RU"/>
        </w:rPr>
        <w:drawing>
          <wp:inline distT="0" distB="0" distL="0" distR="0">
            <wp:extent cx="5943600" cy="3286125"/>
            <wp:effectExtent l="0" t="0" r="0"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p w:rsidR="00D21F06" w:rsidRPr="008F5005" w:rsidRDefault="00CB75DD" w:rsidP="00745261">
      <w:pPr>
        <w:contextualSpacing/>
        <w:jc w:val="both"/>
        <w:rPr>
          <w:rFonts w:ascii="Times New Roman" w:hAnsi="Times New Roman"/>
          <w:sz w:val="20"/>
          <w:szCs w:val="20"/>
        </w:rPr>
      </w:pPr>
      <w:r w:rsidRPr="00A53EFA" w:rsidDel="00CB75DD">
        <w:rPr>
          <w:rFonts w:ascii="Times New Roman" w:hAnsi="Times New Roman"/>
          <w:i/>
          <w:sz w:val="20"/>
          <w:szCs w:val="20"/>
        </w:rPr>
        <w:t xml:space="preserve"> </w:t>
      </w:r>
    </w:p>
    <w:p w:rsidR="00FB4180" w:rsidRPr="008D7F80" w:rsidRDefault="00FB4180" w:rsidP="008D7F80">
      <w:pPr>
        <w:pStyle w:val="a3"/>
        <w:numPr>
          <w:ilvl w:val="0"/>
          <w:numId w:val="4"/>
        </w:numPr>
        <w:jc w:val="both"/>
        <w:rPr>
          <w:rFonts w:ascii="Times New Roman" w:hAnsi="Times New Roman"/>
        </w:rPr>
      </w:pPr>
      <w:r w:rsidRPr="008D7F80">
        <w:rPr>
          <w:rFonts w:ascii="Times New Roman" w:hAnsi="Times New Roman"/>
        </w:rPr>
        <w:t>As per the methodology submitted by the agencies to the Executive Board in September 2012, the calculation of the cost recovery rate is as follows:</w:t>
      </w:r>
    </w:p>
    <w:p w:rsidR="00FB4180" w:rsidRPr="00A53EFA" w:rsidRDefault="00FB4180" w:rsidP="008D7F80">
      <w:pPr>
        <w:ind w:left="360"/>
        <w:contextualSpacing/>
        <w:jc w:val="both"/>
        <w:rPr>
          <w:rFonts w:ascii="Times New Roman" w:hAnsi="Times New Roman"/>
        </w:rPr>
      </w:pPr>
      <w:r w:rsidRPr="00A53EFA">
        <w:rPr>
          <w:rFonts w:ascii="Times New Roman" w:hAnsi="Times New Roman"/>
        </w:rPr>
        <w:t xml:space="preserve">(i) </w:t>
      </w:r>
      <w:r w:rsidR="00C53980">
        <w:rPr>
          <w:rFonts w:ascii="Times New Roman" w:hAnsi="Times New Roman"/>
        </w:rPr>
        <w:t xml:space="preserve">Calculate the sum of management and </w:t>
      </w:r>
      <w:r w:rsidRPr="00A53EFA">
        <w:rPr>
          <w:rFonts w:ascii="Times New Roman" w:hAnsi="Times New Roman"/>
        </w:rPr>
        <w:t>comparable Special Purpose costs [and remove costs related to critical, cross-cutting functions</w:t>
      </w:r>
      <w:r w:rsidRPr="00A53EFA">
        <w:rPr>
          <w:rStyle w:val="a9"/>
          <w:rFonts w:ascii="Times New Roman" w:hAnsi="Times New Roman"/>
        </w:rPr>
        <w:footnoteReference w:id="1"/>
      </w:r>
      <w:r w:rsidRPr="00A53EFA">
        <w:rPr>
          <w:rFonts w:ascii="Times New Roman" w:hAnsi="Times New Roman"/>
        </w:rPr>
        <w:t>]</w:t>
      </w:r>
    </w:p>
    <w:p w:rsidR="00FB4180" w:rsidRPr="00A53EFA" w:rsidRDefault="00FB4180" w:rsidP="008D7F80">
      <w:pPr>
        <w:ind w:left="360"/>
        <w:contextualSpacing/>
        <w:jc w:val="both"/>
        <w:rPr>
          <w:rFonts w:ascii="Times New Roman" w:hAnsi="Times New Roman"/>
        </w:rPr>
      </w:pPr>
      <w:r w:rsidRPr="00A53EFA">
        <w:rPr>
          <w:rFonts w:ascii="Times New Roman" w:hAnsi="Times New Roman"/>
        </w:rPr>
        <w:t>(ii) Take the amount calculated in step (i) and split it proportionally according to the levels of total planned core and non-core expenditures;</w:t>
      </w:r>
    </w:p>
    <w:p w:rsidR="00FB4180" w:rsidRPr="00A53EFA" w:rsidRDefault="00FB4180" w:rsidP="008D7F80">
      <w:pPr>
        <w:ind w:left="360"/>
        <w:contextualSpacing/>
        <w:jc w:val="both"/>
        <w:rPr>
          <w:rFonts w:ascii="Times New Roman" w:hAnsi="Times New Roman"/>
        </w:rPr>
      </w:pPr>
      <w:r w:rsidRPr="00A53EFA">
        <w:rPr>
          <w:rFonts w:ascii="Times New Roman" w:hAnsi="Times New Roman"/>
        </w:rPr>
        <w:t>(iii) Take the amount calculated in step (ii) to be recovered from non-core resources and calculate it as a percent of total planned non-core development expenditures</w:t>
      </w:r>
    </w:p>
    <w:p w:rsidR="00FB4180" w:rsidRPr="00A53EFA" w:rsidRDefault="00FB1AF4" w:rsidP="008D7F80">
      <w:pPr>
        <w:ind w:left="360"/>
        <w:jc w:val="both"/>
        <w:rPr>
          <w:rFonts w:ascii="Times New Roman" w:hAnsi="Times New Roman"/>
        </w:rPr>
      </w:pPr>
      <w:r w:rsidRPr="00A53EFA">
        <w:rPr>
          <w:rFonts w:ascii="Times New Roman" w:hAnsi="Times New Roman"/>
        </w:rPr>
        <w:t xml:space="preserve">(iv) </w:t>
      </w:r>
      <w:r w:rsidR="00007847" w:rsidRPr="00A53EFA">
        <w:rPr>
          <w:rFonts w:ascii="Times New Roman" w:hAnsi="Times New Roman"/>
        </w:rPr>
        <w:t>The amount in step (iii) equals the notional cost-recovery rate on non-core resources.</w:t>
      </w:r>
    </w:p>
    <w:p w:rsidR="005D79D0" w:rsidRDefault="00E14E27" w:rsidP="008D7F80">
      <w:pPr>
        <w:pStyle w:val="a3"/>
        <w:numPr>
          <w:ilvl w:val="0"/>
          <w:numId w:val="4"/>
        </w:numPr>
        <w:jc w:val="both"/>
        <w:rPr>
          <w:rFonts w:ascii="Times New Roman" w:hAnsi="Times New Roman"/>
        </w:rPr>
      </w:pPr>
      <w:r>
        <w:rPr>
          <w:rFonts w:ascii="Times New Roman" w:hAnsi="Times New Roman"/>
        </w:rPr>
        <w:t xml:space="preserve">Table 3 below </w:t>
      </w:r>
      <w:r w:rsidR="00BD3C59" w:rsidRPr="008D7F80">
        <w:rPr>
          <w:rFonts w:ascii="Times New Roman" w:hAnsi="Times New Roman"/>
        </w:rPr>
        <w:t xml:space="preserve">shows the step-by-step calculations for each agency, based on the </w:t>
      </w:r>
      <w:r>
        <w:rPr>
          <w:rFonts w:ascii="Times New Roman" w:hAnsi="Times New Roman"/>
        </w:rPr>
        <w:t>201</w:t>
      </w:r>
      <w:r w:rsidR="00743900">
        <w:rPr>
          <w:rFonts w:ascii="Times New Roman" w:hAnsi="Times New Roman"/>
        </w:rPr>
        <w:t>2</w:t>
      </w:r>
      <w:r>
        <w:rPr>
          <w:rFonts w:ascii="Times New Roman" w:hAnsi="Times New Roman"/>
        </w:rPr>
        <w:t xml:space="preserve">-2013 financial estimates already </w:t>
      </w:r>
      <w:r w:rsidR="00BD3C59" w:rsidRPr="008D7F80">
        <w:rPr>
          <w:rFonts w:ascii="Times New Roman" w:hAnsi="Times New Roman"/>
        </w:rPr>
        <w:t>provided in Table</w:t>
      </w:r>
      <w:r w:rsidR="008650FE">
        <w:rPr>
          <w:rFonts w:ascii="Times New Roman" w:hAnsi="Times New Roman"/>
        </w:rPr>
        <w:t xml:space="preserve"> 1. </w:t>
      </w:r>
    </w:p>
    <w:p w:rsidR="008650FE" w:rsidRPr="008650FE" w:rsidRDefault="008650FE" w:rsidP="008650FE">
      <w:pPr>
        <w:jc w:val="both"/>
        <w:rPr>
          <w:rFonts w:ascii="Times New Roman" w:hAnsi="Times New Roman"/>
        </w:rPr>
      </w:pPr>
    </w:p>
    <w:p w:rsidR="008650FE" w:rsidRDefault="008650FE" w:rsidP="005F3750">
      <w:pPr>
        <w:contextualSpacing/>
        <w:jc w:val="both"/>
        <w:rPr>
          <w:rFonts w:ascii="Times New Roman" w:hAnsi="Times New Roman"/>
          <w:b/>
          <w:i/>
          <w:sz w:val="20"/>
          <w:szCs w:val="20"/>
        </w:rPr>
      </w:pPr>
    </w:p>
    <w:p w:rsidR="0027252E" w:rsidRDefault="0027252E" w:rsidP="005F3750">
      <w:pPr>
        <w:contextualSpacing/>
        <w:jc w:val="both"/>
        <w:rPr>
          <w:rFonts w:ascii="Times New Roman" w:hAnsi="Times New Roman"/>
          <w:b/>
          <w:i/>
          <w:sz w:val="20"/>
          <w:szCs w:val="20"/>
        </w:rPr>
      </w:pPr>
    </w:p>
    <w:p w:rsidR="0027252E" w:rsidRDefault="0027252E" w:rsidP="005F3750">
      <w:pPr>
        <w:contextualSpacing/>
        <w:jc w:val="both"/>
        <w:rPr>
          <w:rFonts w:ascii="Times New Roman" w:hAnsi="Times New Roman"/>
          <w:b/>
          <w:i/>
          <w:sz w:val="20"/>
          <w:szCs w:val="20"/>
        </w:rPr>
      </w:pPr>
    </w:p>
    <w:p w:rsidR="0027252E" w:rsidRDefault="0027252E" w:rsidP="005F3750">
      <w:pPr>
        <w:contextualSpacing/>
        <w:jc w:val="both"/>
        <w:rPr>
          <w:rFonts w:ascii="Times New Roman" w:hAnsi="Times New Roman"/>
          <w:b/>
          <w:i/>
          <w:sz w:val="20"/>
          <w:szCs w:val="20"/>
        </w:rPr>
      </w:pPr>
    </w:p>
    <w:p w:rsidR="00D1421F" w:rsidRDefault="00AE7445" w:rsidP="005F3750">
      <w:pPr>
        <w:contextualSpacing/>
        <w:jc w:val="both"/>
        <w:rPr>
          <w:rFonts w:ascii="Times New Roman" w:hAnsi="Times New Roman"/>
          <w:b/>
          <w:i/>
          <w:sz w:val="20"/>
          <w:szCs w:val="20"/>
        </w:rPr>
      </w:pPr>
      <w:r w:rsidRPr="00AE7445">
        <w:rPr>
          <w:rFonts w:ascii="Times New Roman" w:hAnsi="Times New Roman"/>
          <w:b/>
          <w:i/>
          <w:sz w:val="20"/>
          <w:szCs w:val="20"/>
        </w:rPr>
        <w:t>Table 3:</w:t>
      </w:r>
    </w:p>
    <w:p w:rsidR="0027252E" w:rsidRDefault="0027252E" w:rsidP="005F3750">
      <w:pPr>
        <w:contextualSpacing/>
        <w:jc w:val="both"/>
        <w:rPr>
          <w:rFonts w:ascii="Times New Roman" w:hAnsi="Times New Roman"/>
          <w:b/>
          <w:i/>
          <w:sz w:val="20"/>
          <w:szCs w:val="20"/>
        </w:rPr>
      </w:pPr>
    </w:p>
    <w:p w:rsidR="0027252E" w:rsidRDefault="002C4552" w:rsidP="005F3750">
      <w:pPr>
        <w:contextualSpacing/>
        <w:jc w:val="both"/>
        <w:rPr>
          <w:rFonts w:ascii="Times New Roman" w:hAnsi="Times New Roman"/>
          <w:b/>
          <w:i/>
          <w:sz w:val="20"/>
          <w:szCs w:val="20"/>
        </w:rPr>
      </w:pPr>
      <w:r w:rsidRPr="008326CF">
        <w:rPr>
          <w:noProof/>
          <w:lang w:val="ru-RU" w:eastAsia="ru-RU"/>
        </w:rPr>
        <w:drawing>
          <wp:inline distT="0" distB="0" distL="0" distR="0">
            <wp:extent cx="5943600" cy="2886075"/>
            <wp:effectExtent l="0" t="0" r="0"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86075"/>
                    </a:xfrm>
                    <a:prstGeom prst="rect">
                      <a:avLst/>
                    </a:prstGeom>
                    <a:noFill/>
                    <a:ln>
                      <a:noFill/>
                    </a:ln>
                  </pic:spPr>
                </pic:pic>
              </a:graphicData>
            </a:graphic>
          </wp:inline>
        </w:drawing>
      </w:r>
    </w:p>
    <w:p w:rsidR="00C85FAE" w:rsidRDefault="00C85FAE" w:rsidP="00C85FAE">
      <w:pPr>
        <w:pStyle w:val="af0"/>
      </w:pPr>
      <w:r>
        <w:t xml:space="preserve">Note: Attribution of centrally managed costs are those costs which can be directly identified to the programs and projects and hence, funded directly instead of through cost recovery. Accordingly, cost recovery rate should not be looked at in isolation; it should be recognized that there are elements of costs </w:t>
      </w:r>
      <w:r w:rsidR="00965BFF">
        <w:t xml:space="preserve">previously funded centrally, that will in the future be embedded </w:t>
      </w:r>
      <w:r>
        <w:t>in programmes and projects.</w:t>
      </w:r>
    </w:p>
    <w:p w:rsidR="007A355C" w:rsidRPr="00AE7445" w:rsidRDefault="0011192D" w:rsidP="007A355C">
      <w:pPr>
        <w:pStyle w:val="a3"/>
        <w:numPr>
          <w:ilvl w:val="0"/>
          <w:numId w:val="4"/>
        </w:numPr>
        <w:contextualSpacing w:val="0"/>
        <w:jc w:val="both"/>
        <w:rPr>
          <w:rFonts w:ascii="Times New Roman" w:hAnsi="Times New Roman"/>
        </w:rPr>
      </w:pPr>
      <w:r w:rsidRPr="00AE7445">
        <w:rPr>
          <w:rFonts w:ascii="Times New Roman" w:hAnsi="Times New Roman"/>
        </w:rPr>
        <w:t>The above analysis shows that</w:t>
      </w:r>
      <w:r w:rsidR="006E234B" w:rsidRPr="00AE7445">
        <w:rPr>
          <w:rFonts w:ascii="Times New Roman" w:hAnsi="Times New Roman"/>
        </w:rPr>
        <w:t xml:space="preserve"> agency-specific rates range from </w:t>
      </w:r>
      <w:r w:rsidR="008D3310">
        <w:rPr>
          <w:rFonts w:ascii="Times New Roman" w:hAnsi="Times New Roman"/>
        </w:rPr>
        <w:t>about</w:t>
      </w:r>
      <w:r w:rsidR="00CF2ED4" w:rsidRPr="00AE7445">
        <w:rPr>
          <w:rFonts w:ascii="Times New Roman" w:hAnsi="Times New Roman"/>
        </w:rPr>
        <w:t xml:space="preserve"> </w:t>
      </w:r>
      <w:r w:rsidR="008D3310">
        <w:rPr>
          <w:rFonts w:ascii="Times New Roman" w:hAnsi="Times New Roman"/>
        </w:rPr>
        <w:t xml:space="preserve">8% </w:t>
      </w:r>
      <w:r w:rsidR="006E234B" w:rsidRPr="00AE7445">
        <w:rPr>
          <w:rFonts w:ascii="Times New Roman" w:hAnsi="Times New Roman"/>
        </w:rPr>
        <w:t xml:space="preserve">to </w:t>
      </w:r>
      <w:r w:rsidR="008D3310">
        <w:rPr>
          <w:rFonts w:ascii="Times New Roman" w:hAnsi="Times New Roman"/>
        </w:rPr>
        <w:t>about 9</w:t>
      </w:r>
      <w:r w:rsidR="008650FE">
        <w:rPr>
          <w:rFonts w:ascii="Times New Roman" w:hAnsi="Times New Roman"/>
        </w:rPr>
        <w:t>%</w:t>
      </w:r>
      <w:r w:rsidR="006E234B" w:rsidRPr="00AE7445">
        <w:rPr>
          <w:rFonts w:ascii="Times New Roman" w:hAnsi="Times New Roman"/>
        </w:rPr>
        <w:t xml:space="preserve">. </w:t>
      </w:r>
      <w:r w:rsidR="007A355C" w:rsidRPr="00AE7445">
        <w:rPr>
          <w:rFonts w:ascii="Times New Roman" w:hAnsi="Times New Roman"/>
        </w:rPr>
        <w:t xml:space="preserve">Several factors impact the differences in rates, including business models, economies of scale and overall funding streams. For example, UN Women classifies a </w:t>
      </w:r>
      <w:r w:rsidR="00D9012D" w:rsidRPr="00AE7445">
        <w:rPr>
          <w:rFonts w:ascii="Times New Roman" w:hAnsi="Times New Roman"/>
        </w:rPr>
        <w:t>higher</w:t>
      </w:r>
      <w:r w:rsidR="007A355C" w:rsidRPr="00AE7445">
        <w:rPr>
          <w:rFonts w:ascii="Times New Roman" w:hAnsi="Times New Roman"/>
        </w:rPr>
        <w:t xml:space="preserve"> portion of its costs as UN Development Coordination</w:t>
      </w:r>
      <w:r w:rsidR="00553EEB">
        <w:rPr>
          <w:rFonts w:ascii="Times New Roman" w:hAnsi="Times New Roman"/>
        </w:rPr>
        <w:t xml:space="preserve"> in order to fulfill its specific mandate,</w:t>
      </w:r>
      <w:r w:rsidR="007A355C" w:rsidRPr="00AE7445">
        <w:rPr>
          <w:rFonts w:ascii="Times New Roman" w:hAnsi="Times New Roman"/>
        </w:rPr>
        <w:t xml:space="preserve"> which are excluded from the cost recovery calculation, </w:t>
      </w:r>
      <w:r w:rsidR="008F65AD" w:rsidRPr="00AE7445">
        <w:rPr>
          <w:rFonts w:ascii="Times New Roman" w:hAnsi="Times New Roman"/>
        </w:rPr>
        <w:t xml:space="preserve">driving </w:t>
      </w:r>
      <w:r w:rsidR="007A355C" w:rsidRPr="00AE7445">
        <w:rPr>
          <w:rFonts w:ascii="Times New Roman" w:hAnsi="Times New Roman"/>
        </w:rPr>
        <w:t>the agency-specific rate down. On the other hand, UNFPA has a similar worldwide presence as UNDP or UNICEF, but a much smaller funding base, driv</w:t>
      </w:r>
      <w:r w:rsidR="00D1421F" w:rsidRPr="00AE7445">
        <w:rPr>
          <w:rFonts w:ascii="Times New Roman" w:hAnsi="Times New Roman"/>
        </w:rPr>
        <w:t>ing the agency-specific rate up.</w:t>
      </w:r>
    </w:p>
    <w:p w:rsidR="008F5005" w:rsidRDefault="008F5005" w:rsidP="008F5005">
      <w:pPr>
        <w:pStyle w:val="a3"/>
        <w:numPr>
          <w:ilvl w:val="0"/>
          <w:numId w:val="4"/>
        </w:numPr>
        <w:jc w:val="both"/>
        <w:rPr>
          <w:rFonts w:ascii="Times New Roman" w:hAnsi="Times New Roman"/>
        </w:rPr>
      </w:pPr>
      <w:r>
        <w:rPr>
          <w:rFonts w:ascii="Times New Roman" w:hAnsi="Times New Roman"/>
        </w:rPr>
        <w:t xml:space="preserve">Differing stages of development can also have a direct impact on the funding requirements of the agencies.  UN Women for example is still in the process of finalizing its base </w:t>
      </w:r>
      <w:r w:rsidR="00D9012D">
        <w:rPr>
          <w:rFonts w:ascii="Times New Roman" w:hAnsi="Times New Roman"/>
        </w:rPr>
        <w:t>capacity</w:t>
      </w:r>
      <w:r>
        <w:rPr>
          <w:rFonts w:ascii="Times New Roman" w:hAnsi="Times New Roman"/>
        </w:rPr>
        <w:t xml:space="preserve"> and absorbing the implications of the recently approved Regional Architecture implementation.  As such, it is likely to require a higher proportion of critical functions to be directly funded from Regular Resources whilst it develops its funding base.  </w:t>
      </w:r>
      <w:r w:rsidR="00553EEB">
        <w:rPr>
          <w:rFonts w:ascii="Times New Roman" w:hAnsi="Times New Roman"/>
        </w:rPr>
        <w:t xml:space="preserve">As noted in the QCPR A/RES/67/226 it is important to determine a minimum critical mass of core resources and as a new Organisation, UN Women needs to ensure that this is achieved and maintained.  </w:t>
      </w:r>
      <w:r>
        <w:rPr>
          <w:rFonts w:ascii="Times New Roman" w:hAnsi="Times New Roman"/>
        </w:rPr>
        <w:t>Similarly the use of the 2012 – 2013 budgets to estimate cost recovery percentages is likely to differ quite significantly from the actual percentages within the 2014-15 budgets as cost classifications are refined, and the split of income develops between Regular and Other resources.</w:t>
      </w:r>
    </w:p>
    <w:p w:rsidR="008F5005" w:rsidRDefault="008F5005" w:rsidP="008F5005">
      <w:pPr>
        <w:pStyle w:val="a3"/>
        <w:ind w:left="360"/>
        <w:jc w:val="both"/>
        <w:rPr>
          <w:rFonts w:ascii="Times New Roman" w:hAnsi="Times New Roman"/>
        </w:rPr>
      </w:pPr>
    </w:p>
    <w:p w:rsidR="00490732" w:rsidRPr="008D7F80" w:rsidRDefault="007A355C" w:rsidP="007A355C">
      <w:pPr>
        <w:pStyle w:val="a3"/>
        <w:numPr>
          <w:ilvl w:val="0"/>
          <w:numId w:val="4"/>
        </w:numPr>
        <w:contextualSpacing w:val="0"/>
        <w:jc w:val="both"/>
        <w:rPr>
          <w:rFonts w:ascii="Times New Roman" w:hAnsi="Times New Roman"/>
        </w:rPr>
      </w:pPr>
      <w:r>
        <w:rPr>
          <w:rFonts w:ascii="Times New Roman" w:hAnsi="Times New Roman"/>
        </w:rPr>
        <w:lastRenderedPageBreak/>
        <w:t>Overall, there seems to be reasonable scope for harmonization among the agencies, as the benefits from contin</w:t>
      </w:r>
      <w:r w:rsidR="008A1BD2">
        <w:rPr>
          <w:rFonts w:ascii="Times New Roman" w:hAnsi="Times New Roman"/>
        </w:rPr>
        <w:t>ued</w:t>
      </w:r>
      <w:r>
        <w:rPr>
          <w:rFonts w:ascii="Times New Roman" w:hAnsi="Times New Roman"/>
        </w:rPr>
        <w:t xml:space="preserve"> harmonization </w:t>
      </w:r>
      <w:r w:rsidR="00215D2F">
        <w:rPr>
          <w:rFonts w:ascii="Times New Roman" w:hAnsi="Times New Roman"/>
        </w:rPr>
        <w:t xml:space="preserve">far </w:t>
      </w:r>
      <w:r>
        <w:rPr>
          <w:rFonts w:ascii="Times New Roman" w:hAnsi="Times New Roman"/>
        </w:rPr>
        <w:t xml:space="preserve">outweigh the differences in rates (more on harmonization in the Section II of the present paper). </w:t>
      </w:r>
      <w:r w:rsidR="0047574C">
        <w:rPr>
          <w:rFonts w:ascii="Times New Roman" w:hAnsi="Times New Roman"/>
        </w:rPr>
        <w:t>A harmonized rate is an integral dimension to UN coherence, particularly at the country level, and to providing the right incentives for Deliver</w:t>
      </w:r>
      <w:r w:rsidR="008A1BD2">
        <w:rPr>
          <w:rFonts w:ascii="Times New Roman" w:hAnsi="Times New Roman"/>
        </w:rPr>
        <w:t>ing</w:t>
      </w:r>
      <w:r w:rsidR="0047574C">
        <w:rPr>
          <w:rFonts w:ascii="Times New Roman" w:hAnsi="Times New Roman"/>
        </w:rPr>
        <w:t xml:space="preserve"> as One and joint programming. </w:t>
      </w:r>
      <w:r>
        <w:rPr>
          <w:rFonts w:ascii="Times New Roman" w:hAnsi="Times New Roman"/>
        </w:rPr>
        <w:t xml:space="preserve">As a result, based on the above analysis and the </w:t>
      </w:r>
      <w:r w:rsidR="008C6EAB">
        <w:rPr>
          <w:rFonts w:ascii="Times New Roman" w:hAnsi="Times New Roman"/>
        </w:rPr>
        <w:t xml:space="preserve">responses to the Board decision </w:t>
      </w:r>
      <w:r>
        <w:rPr>
          <w:rFonts w:ascii="Times New Roman" w:hAnsi="Times New Roman"/>
        </w:rPr>
        <w:t>provided in Section II, the agencies are proposing a harmonized cost recovery rate of 8% for Other Resources.</w:t>
      </w:r>
      <w:r w:rsidR="004158B9">
        <w:rPr>
          <w:rFonts w:ascii="Times New Roman" w:hAnsi="Times New Roman"/>
        </w:rPr>
        <w:t xml:space="preserve"> As is customary, agencies will update the Executive Board on the implementation of the new rate on a regular basis.</w:t>
      </w:r>
    </w:p>
    <w:p w:rsidR="00D15E1B" w:rsidRPr="00A53EFA" w:rsidRDefault="005D3373" w:rsidP="00AF3050">
      <w:pPr>
        <w:jc w:val="both"/>
        <w:rPr>
          <w:rFonts w:ascii="Times New Roman" w:hAnsi="Times New Roman"/>
          <w:u w:val="single"/>
        </w:rPr>
      </w:pPr>
      <w:r w:rsidRPr="00A53EFA">
        <w:rPr>
          <w:rFonts w:ascii="Times New Roman" w:hAnsi="Times New Roman"/>
          <w:u w:val="single"/>
        </w:rPr>
        <w:t xml:space="preserve">Section II: </w:t>
      </w:r>
      <w:r w:rsidR="008E72F0" w:rsidRPr="00A53EFA">
        <w:rPr>
          <w:rFonts w:ascii="Times New Roman" w:hAnsi="Times New Roman"/>
          <w:u w:val="single"/>
        </w:rPr>
        <w:t>Response to Executive Board Decision 2012/27:</w:t>
      </w:r>
    </w:p>
    <w:p w:rsidR="002E0834" w:rsidRPr="00A53EFA" w:rsidRDefault="008E72F0" w:rsidP="002E0834">
      <w:pPr>
        <w:jc w:val="both"/>
        <w:rPr>
          <w:rFonts w:ascii="Times New Roman" w:hAnsi="Times New Roman"/>
          <w:i/>
        </w:rPr>
      </w:pPr>
      <w:r w:rsidRPr="00A53EFA">
        <w:rPr>
          <w:rFonts w:ascii="Times New Roman" w:hAnsi="Times New Roman"/>
        </w:rPr>
        <w:t xml:space="preserve">Executive Board decision 2012/27 requested </w:t>
      </w:r>
      <w:r w:rsidR="005D3373" w:rsidRPr="00A53EFA">
        <w:rPr>
          <w:rFonts w:ascii="Times New Roman" w:hAnsi="Times New Roman"/>
        </w:rPr>
        <w:t xml:space="preserve">agencies to provide </w:t>
      </w:r>
      <w:r w:rsidR="005D3373" w:rsidRPr="00A53EFA">
        <w:rPr>
          <w:rFonts w:ascii="Times New Roman" w:hAnsi="Times New Roman"/>
          <w:i/>
        </w:rPr>
        <w:t>“[…]</w:t>
      </w:r>
      <w:r w:rsidR="002E0834" w:rsidRPr="00A53EFA">
        <w:rPr>
          <w:rFonts w:ascii="Times New Roman" w:hAnsi="Times New Roman"/>
          <w:i/>
        </w:rPr>
        <w:t xml:space="preserve"> further information, including organization-specific information, on the following: </w:t>
      </w:r>
    </w:p>
    <w:p w:rsidR="00681B21" w:rsidRPr="00681B21" w:rsidRDefault="002E0834" w:rsidP="00681B21">
      <w:pPr>
        <w:pStyle w:val="a3"/>
        <w:numPr>
          <w:ilvl w:val="0"/>
          <w:numId w:val="8"/>
        </w:numPr>
        <w:jc w:val="both"/>
        <w:rPr>
          <w:rFonts w:ascii="Times New Roman" w:hAnsi="Times New Roman"/>
        </w:rPr>
      </w:pPr>
      <w:r w:rsidRPr="00681B21">
        <w:rPr>
          <w:rFonts w:ascii="Times New Roman" w:hAnsi="Times New Roman"/>
          <w:i/>
        </w:rPr>
        <w:t>Critical cross-cutting functions, their funding, and the implications for cost-recovery rates;</w:t>
      </w:r>
    </w:p>
    <w:p w:rsidR="00681B21" w:rsidRPr="00681B21" w:rsidRDefault="00681B21" w:rsidP="00681B21">
      <w:pPr>
        <w:pStyle w:val="a3"/>
        <w:ind w:left="1080"/>
        <w:jc w:val="both"/>
        <w:rPr>
          <w:rFonts w:ascii="Times New Roman" w:hAnsi="Times New Roman"/>
        </w:rPr>
      </w:pPr>
    </w:p>
    <w:p w:rsidR="00681B21" w:rsidRDefault="00681B21" w:rsidP="00AE6626">
      <w:pPr>
        <w:pStyle w:val="a3"/>
        <w:numPr>
          <w:ilvl w:val="0"/>
          <w:numId w:val="4"/>
        </w:numPr>
        <w:contextualSpacing w:val="0"/>
        <w:jc w:val="both"/>
        <w:rPr>
          <w:rFonts w:ascii="Times New Roman" w:hAnsi="Times New Roman"/>
        </w:rPr>
      </w:pPr>
      <w:r>
        <w:rPr>
          <w:rFonts w:ascii="Times New Roman" w:hAnsi="Times New Roman"/>
        </w:rPr>
        <w:t xml:space="preserve">The </w:t>
      </w:r>
      <w:r w:rsidR="00FB4930">
        <w:rPr>
          <w:rFonts w:ascii="Times New Roman" w:hAnsi="Times New Roman"/>
        </w:rPr>
        <w:t>concept</w:t>
      </w:r>
      <w:r>
        <w:rPr>
          <w:rFonts w:ascii="Times New Roman" w:hAnsi="Times New Roman"/>
        </w:rPr>
        <w:t xml:space="preserve"> of critical cross-cutting functions is </w:t>
      </w:r>
      <w:r w:rsidR="00DA3EB3">
        <w:rPr>
          <w:rFonts w:ascii="Times New Roman" w:hAnsi="Times New Roman"/>
        </w:rPr>
        <w:t xml:space="preserve">akin to </w:t>
      </w:r>
      <w:r w:rsidR="00B011C1">
        <w:rPr>
          <w:rFonts w:ascii="Times New Roman" w:hAnsi="Times New Roman"/>
        </w:rPr>
        <w:t xml:space="preserve">the </w:t>
      </w:r>
      <w:r>
        <w:rPr>
          <w:rFonts w:ascii="Times New Roman" w:hAnsi="Times New Roman"/>
        </w:rPr>
        <w:t xml:space="preserve">concepts </w:t>
      </w:r>
      <w:r w:rsidR="00B011C1">
        <w:rPr>
          <w:rFonts w:ascii="Times New Roman" w:hAnsi="Times New Roman"/>
        </w:rPr>
        <w:t xml:space="preserve">of “fixed </w:t>
      </w:r>
      <w:r w:rsidR="008A1BD2">
        <w:rPr>
          <w:rFonts w:ascii="Times New Roman" w:hAnsi="Times New Roman"/>
        </w:rPr>
        <w:t xml:space="preserve">indirect </w:t>
      </w:r>
      <w:r w:rsidR="00B011C1">
        <w:rPr>
          <w:rFonts w:ascii="Times New Roman" w:hAnsi="Times New Roman"/>
        </w:rPr>
        <w:t>costs” and “base structure”</w:t>
      </w:r>
      <w:r w:rsidR="00FB4930">
        <w:rPr>
          <w:rFonts w:ascii="Times New Roman" w:hAnsi="Times New Roman"/>
        </w:rPr>
        <w:t xml:space="preserve"> used in previous models of cost recovery</w:t>
      </w:r>
      <w:r w:rsidR="00B011C1">
        <w:rPr>
          <w:rFonts w:ascii="Times New Roman" w:hAnsi="Times New Roman"/>
        </w:rPr>
        <w:t>.</w:t>
      </w:r>
      <w:r w:rsidR="00FB4930">
        <w:rPr>
          <w:rFonts w:ascii="Times New Roman" w:hAnsi="Times New Roman"/>
        </w:rPr>
        <w:t xml:space="preserve"> </w:t>
      </w:r>
      <w:r w:rsidR="008A1BD2">
        <w:rPr>
          <w:rFonts w:ascii="Times New Roman" w:hAnsi="Times New Roman"/>
        </w:rPr>
        <w:t xml:space="preserve">Specifically, </w:t>
      </w:r>
      <w:r w:rsidR="00FB4930">
        <w:rPr>
          <w:rFonts w:ascii="Times New Roman" w:hAnsi="Times New Roman"/>
        </w:rPr>
        <w:t xml:space="preserve">a level of core resources would be available to ensure </w:t>
      </w:r>
      <w:r w:rsidR="0047574C">
        <w:rPr>
          <w:rFonts w:ascii="Times New Roman" w:hAnsi="Times New Roman"/>
        </w:rPr>
        <w:t xml:space="preserve">a provision of resources to support the mandate, integrity and resource mobilization platform. </w:t>
      </w:r>
      <w:r w:rsidR="00F66592">
        <w:rPr>
          <w:rFonts w:ascii="Times New Roman" w:hAnsi="Times New Roman"/>
        </w:rPr>
        <w:t xml:space="preserve"> </w:t>
      </w:r>
      <w:r w:rsidR="0047574C">
        <w:rPr>
          <w:rFonts w:ascii="Times New Roman" w:hAnsi="Times New Roman"/>
        </w:rPr>
        <w:t xml:space="preserve">In </w:t>
      </w:r>
      <w:r w:rsidR="00F66592">
        <w:rPr>
          <w:rFonts w:ascii="Times New Roman" w:hAnsi="Times New Roman"/>
        </w:rPr>
        <w:t>other words</w:t>
      </w:r>
      <w:r w:rsidR="00FB4930">
        <w:rPr>
          <w:rFonts w:ascii="Times New Roman" w:hAnsi="Times New Roman"/>
        </w:rPr>
        <w:t>, the cost recovery methodology</w:t>
      </w:r>
      <w:r w:rsidR="00F66592">
        <w:rPr>
          <w:rFonts w:ascii="Times New Roman" w:hAnsi="Times New Roman"/>
        </w:rPr>
        <w:t xml:space="preserve"> takes into account that certain functions </w:t>
      </w:r>
      <w:r w:rsidR="00732AC0">
        <w:rPr>
          <w:rFonts w:ascii="Times New Roman" w:hAnsi="Times New Roman"/>
        </w:rPr>
        <w:t>that are integral to the existence and the advancement of the mandate of the organization</w:t>
      </w:r>
      <w:r w:rsidR="00FB7B44">
        <w:rPr>
          <w:rFonts w:ascii="Times New Roman" w:hAnsi="Times New Roman"/>
        </w:rPr>
        <w:t>s</w:t>
      </w:r>
      <w:r w:rsidR="00732AC0">
        <w:rPr>
          <w:rFonts w:ascii="Times New Roman" w:hAnsi="Times New Roman"/>
        </w:rPr>
        <w:t xml:space="preserve"> </w:t>
      </w:r>
      <w:r w:rsidR="00221935">
        <w:rPr>
          <w:rFonts w:ascii="Times New Roman" w:hAnsi="Times New Roman"/>
        </w:rPr>
        <w:t>must be carried out</w:t>
      </w:r>
      <w:r w:rsidR="00F66592">
        <w:rPr>
          <w:rFonts w:ascii="Times New Roman" w:hAnsi="Times New Roman"/>
        </w:rPr>
        <w:t xml:space="preserve">, irrespective of </w:t>
      </w:r>
      <w:r w:rsidR="00AE6626">
        <w:rPr>
          <w:rFonts w:ascii="Times New Roman" w:hAnsi="Times New Roman"/>
        </w:rPr>
        <w:t xml:space="preserve">the </w:t>
      </w:r>
      <w:r w:rsidR="00F66592">
        <w:rPr>
          <w:rFonts w:ascii="Times New Roman" w:hAnsi="Times New Roman"/>
        </w:rPr>
        <w:t>volume of Programme implementation</w:t>
      </w:r>
      <w:r w:rsidR="00951806" w:rsidRPr="00951806">
        <w:rPr>
          <w:rFonts w:ascii="Times New Roman" w:hAnsi="Times New Roman"/>
        </w:rPr>
        <w:t xml:space="preserve"> </w:t>
      </w:r>
      <w:r w:rsidR="00951806">
        <w:rPr>
          <w:rFonts w:ascii="Times New Roman" w:hAnsi="Times New Roman"/>
        </w:rPr>
        <w:t xml:space="preserve">and therefore, their funding must be assured from the </w:t>
      </w:r>
      <w:r w:rsidR="008F2589">
        <w:rPr>
          <w:rFonts w:ascii="Times New Roman" w:hAnsi="Times New Roman"/>
        </w:rPr>
        <w:t>regular resources</w:t>
      </w:r>
      <w:r w:rsidR="00F66592">
        <w:rPr>
          <w:rFonts w:ascii="Times New Roman" w:hAnsi="Times New Roman"/>
        </w:rPr>
        <w:t>.</w:t>
      </w:r>
    </w:p>
    <w:p w:rsidR="00FB0939" w:rsidRDefault="00AE6626" w:rsidP="00AE6626">
      <w:pPr>
        <w:pStyle w:val="a3"/>
        <w:numPr>
          <w:ilvl w:val="0"/>
          <w:numId w:val="4"/>
        </w:numPr>
        <w:contextualSpacing w:val="0"/>
        <w:jc w:val="both"/>
        <w:rPr>
          <w:rFonts w:ascii="Times New Roman" w:hAnsi="Times New Roman"/>
        </w:rPr>
      </w:pPr>
      <w:r>
        <w:rPr>
          <w:rFonts w:ascii="Times New Roman" w:hAnsi="Times New Roman"/>
        </w:rPr>
        <w:t xml:space="preserve">The main difference between cross-cutting critical functions in the present model, as opposed to fixed </w:t>
      </w:r>
      <w:r w:rsidR="007E205D">
        <w:rPr>
          <w:rFonts w:ascii="Times New Roman" w:hAnsi="Times New Roman"/>
        </w:rPr>
        <w:t xml:space="preserve">indirect </w:t>
      </w:r>
      <w:r>
        <w:rPr>
          <w:rFonts w:ascii="Times New Roman" w:hAnsi="Times New Roman"/>
        </w:rPr>
        <w:t xml:space="preserve">costs or base structure in previous ones, is </w:t>
      </w:r>
      <w:r w:rsidR="00166EFB">
        <w:rPr>
          <w:rFonts w:ascii="Times New Roman" w:hAnsi="Times New Roman"/>
        </w:rPr>
        <w:t>in their scope</w:t>
      </w:r>
      <w:r w:rsidR="00011514">
        <w:rPr>
          <w:rFonts w:ascii="Times New Roman" w:hAnsi="Times New Roman"/>
        </w:rPr>
        <w:t>,</w:t>
      </w:r>
      <w:r w:rsidR="00FB0939">
        <w:rPr>
          <w:rFonts w:ascii="Times New Roman" w:hAnsi="Times New Roman"/>
        </w:rPr>
        <w:t xml:space="preserve"> as the notion of critical cross cutting functions is </w:t>
      </w:r>
      <w:r w:rsidR="003928FB">
        <w:rPr>
          <w:rFonts w:ascii="Times New Roman" w:hAnsi="Times New Roman"/>
        </w:rPr>
        <w:t xml:space="preserve">much </w:t>
      </w:r>
      <w:r w:rsidR="00FB0939">
        <w:rPr>
          <w:rFonts w:ascii="Times New Roman" w:hAnsi="Times New Roman"/>
        </w:rPr>
        <w:t>more limited than similar notions in previous models</w:t>
      </w:r>
      <w:r w:rsidR="00166EFB">
        <w:rPr>
          <w:rFonts w:ascii="Times New Roman" w:hAnsi="Times New Roman"/>
        </w:rPr>
        <w:t xml:space="preserve">. </w:t>
      </w:r>
      <w:r w:rsidR="00B61BBC">
        <w:rPr>
          <w:rFonts w:ascii="Times New Roman" w:hAnsi="Times New Roman"/>
        </w:rPr>
        <w:t xml:space="preserve">In addition, while the previous model included in its fixed </w:t>
      </w:r>
      <w:r w:rsidR="007E205D">
        <w:rPr>
          <w:rFonts w:ascii="Times New Roman" w:hAnsi="Times New Roman"/>
        </w:rPr>
        <w:t xml:space="preserve">indirect </w:t>
      </w:r>
      <w:r w:rsidR="00B61BBC">
        <w:rPr>
          <w:rFonts w:ascii="Times New Roman" w:hAnsi="Times New Roman"/>
        </w:rPr>
        <w:t>cost a portion of costs now classified as development effectiveness, the newly proposed model excludes development effectiveness from the calculation of the cost recovery rate</w:t>
      </w:r>
      <w:r w:rsidR="008D3310">
        <w:rPr>
          <w:rFonts w:ascii="Times New Roman" w:hAnsi="Times New Roman"/>
        </w:rPr>
        <w:t>.</w:t>
      </w:r>
    </w:p>
    <w:p w:rsidR="00B24004" w:rsidRPr="007E205D" w:rsidRDefault="00FB0939" w:rsidP="00AE6626">
      <w:pPr>
        <w:pStyle w:val="a3"/>
        <w:numPr>
          <w:ilvl w:val="0"/>
          <w:numId w:val="4"/>
        </w:numPr>
        <w:contextualSpacing w:val="0"/>
        <w:jc w:val="both"/>
        <w:rPr>
          <w:rFonts w:ascii="Times New Roman" w:hAnsi="Times New Roman"/>
        </w:rPr>
      </w:pPr>
      <w:r>
        <w:rPr>
          <w:rFonts w:ascii="Times New Roman" w:hAnsi="Times New Roman"/>
        </w:rPr>
        <w:t xml:space="preserve">Cross cutting critical functions, have been conceived as part of a harmonized model, and estimated </w:t>
      </w:r>
      <w:r w:rsidR="00ED5C22">
        <w:rPr>
          <w:rFonts w:ascii="Times New Roman" w:hAnsi="Times New Roman"/>
        </w:rPr>
        <w:t>in the range of $</w:t>
      </w:r>
      <w:r w:rsidR="0049750F">
        <w:rPr>
          <w:rFonts w:ascii="Times New Roman" w:hAnsi="Times New Roman"/>
        </w:rPr>
        <w:t>40m</w:t>
      </w:r>
      <w:r w:rsidR="007413F3">
        <w:rPr>
          <w:rFonts w:ascii="Times New Roman" w:hAnsi="Times New Roman"/>
        </w:rPr>
        <w:t>m</w:t>
      </w:r>
      <w:r w:rsidR="00CC6B72">
        <w:rPr>
          <w:rFonts w:ascii="Times New Roman" w:hAnsi="Times New Roman"/>
        </w:rPr>
        <w:t xml:space="preserve"> to $</w:t>
      </w:r>
      <w:r w:rsidR="003945F9">
        <w:rPr>
          <w:rFonts w:ascii="Times New Roman" w:hAnsi="Times New Roman"/>
        </w:rPr>
        <w:t>90</w:t>
      </w:r>
      <w:r w:rsidR="008650FE">
        <w:rPr>
          <w:rFonts w:ascii="Times New Roman" w:hAnsi="Times New Roman"/>
        </w:rPr>
        <w:t>m</w:t>
      </w:r>
      <w:r w:rsidR="00ED5C22">
        <w:rPr>
          <w:rFonts w:ascii="Times New Roman" w:hAnsi="Times New Roman"/>
        </w:rPr>
        <w:t xml:space="preserve"> for each of the agencies.</w:t>
      </w:r>
      <w:r w:rsidR="00B24004">
        <w:rPr>
          <w:rFonts w:ascii="Times New Roman" w:hAnsi="Times New Roman"/>
        </w:rPr>
        <w:t xml:space="preserve"> </w:t>
      </w:r>
    </w:p>
    <w:p w:rsidR="00B61BBC" w:rsidRPr="0056092C" w:rsidRDefault="00B61BBC" w:rsidP="00B61BBC">
      <w:pPr>
        <w:pStyle w:val="a3"/>
        <w:numPr>
          <w:ilvl w:val="0"/>
          <w:numId w:val="4"/>
        </w:numPr>
        <w:jc w:val="both"/>
        <w:rPr>
          <w:rFonts w:ascii="Times New Roman" w:hAnsi="Times New Roman"/>
        </w:rPr>
      </w:pPr>
      <w:r w:rsidRPr="0056092C">
        <w:rPr>
          <w:rFonts w:ascii="Times New Roman" w:hAnsi="Times New Roman"/>
        </w:rPr>
        <w:t xml:space="preserve">The implication of the critical function concept on the cost recovery rate should be looked from two perspectives: </w:t>
      </w:r>
    </w:p>
    <w:p w:rsidR="00B61BBC" w:rsidRPr="00635581" w:rsidRDefault="00B61BBC" w:rsidP="001C0DED">
      <w:pPr>
        <w:ind w:left="360"/>
        <w:jc w:val="both"/>
        <w:rPr>
          <w:rFonts w:ascii="Times New Roman" w:hAnsi="Times New Roman"/>
        </w:rPr>
      </w:pPr>
      <w:r w:rsidRPr="009C1F1A">
        <w:rPr>
          <w:rFonts w:ascii="Times New Roman" w:hAnsi="Times New Roman"/>
        </w:rPr>
        <w:t xml:space="preserve">a) Compared to the previously determined fixed </w:t>
      </w:r>
      <w:r w:rsidR="008F2589">
        <w:rPr>
          <w:rFonts w:ascii="Times New Roman" w:hAnsi="Times New Roman"/>
        </w:rPr>
        <w:t xml:space="preserve">indirect </w:t>
      </w:r>
      <w:r w:rsidRPr="009C1F1A">
        <w:rPr>
          <w:rFonts w:ascii="Times New Roman" w:hAnsi="Times New Roman"/>
        </w:rPr>
        <w:t>costs / base structure, the critical functions are significantly smaller in absolute terms. That means that overall a higher amount of costs is subject to co</w:t>
      </w:r>
      <w:r w:rsidRPr="00635581">
        <w:rPr>
          <w:rFonts w:ascii="Times New Roman" w:hAnsi="Times New Roman"/>
        </w:rPr>
        <w:t>st recovery, resulting in a higher cost recovery rate than in the previous model</w:t>
      </w:r>
    </w:p>
    <w:p w:rsidR="00B61BBC" w:rsidRPr="008314C9" w:rsidRDefault="00B61BBC" w:rsidP="001C0DED">
      <w:pPr>
        <w:ind w:left="360"/>
        <w:jc w:val="both"/>
        <w:rPr>
          <w:rFonts w:ascii="Times New Roman" w:hAnsi="Times New Roman"/>
        </w:rPr>
      </w:pPr>
      <w:r w:rsidRPr="00635581">
        <w:rPr>
          <w:rFonts w:ascii="Times New Roman" w:hAnsi="Times New Roman"/>
        </w:rPr>
        <w:t xml:space="preserve">b) Compared to the full proportionality principle, given that the limited amount of cross-cutting critical functions costs would be funded from core resources, the resulting rate is slightly lower than would otherwise be </w:t>
      </w:r>
      <w:r w:rsidR="00965BFF">
        <w:rPr>
          <w:rFonts w:ascii="Times New Roman" w:hAnsi="Times New Roman"/>
        </w:rPr>
        <w:t>the case</w:t>
      </w:r>
      <w:r w:rsidRPr="00635581">
        <w:rPr>
          <w:rFonts w:ascii="Times New Roman" w:hAnsi="Times New Roman"/>
        </w:rPr>
        <w:t xml:space="preserve">   </w:t>
      </w:r>
    </w:p>
    <w:p w:rsidR="003928FB" w:rsidRDefault="003928FB" w:rsidP="003928FB">
      <w:pPr>
        <w:pStyle w:val="a3"/>
        <w:numPr>
          <w:ilvl w:val="0"/>
          <w:numId w:val="4"/>
        </w:numPr>
        <w:contextualSpacing w:val="0"/>
        <w:jc w:val="both"/>
        <w:rPr>
          <w:rFonts w:ascii="Times New Roman" w:hAnsi="Times New Roman"/>
        </w:rPr>
      </w:pPr>
      <w:r>
        <w:rPr>
          <w:rFonts w:ascii="Times New Roman" w:hAnsi="Times New Roman"/>
        </w:rPr>
        <w:t xml:space="preserve">In assessing financial estimates for cross-cutting critical functions it is important to bear in mind that, because these functions are not volume-driven, no </w:t>
      </w:r>
      <w:r w:rsidR="00173169">
        <w:rPr>
          <w:rFonts w:ascii="Times New Roman" w:hAnsi="Times New Roman"/>
        </w:rPr>
        <w:t xml:space="preserve">direct </w:t>
      </w:r>
      <w:r>
        <w:rPr>
          <w:rFonts w:ascii="Times New Roman" w:hAnsi="Times New Roman"/>
        </w:rPr>
        <w:t xml:space="preserve">correlation should be expected between the size of a given agency and the nominal value of its cross-cutting functions. </w:t>
      </w:r>
      <w:r w:rsidR="00173169">
        <w:rPr>
          <w:rFonts w:ascii="Times New Roman" w:hAnsi="Times New Roman"/>
        </w:rPr>
        <w:t>Thus</w:t>
      </w:r>
      <w:r>
        <w:rPr>
          <w:rFonts w:ascii="Times New Roman" w:hAnsi="Times New Roman"/>
        </w:rPr>
        <w:t>, cross-cutting functions are expressed as a nominal amount, and not as a percentage of the budget of an agency.</w:t>
      </w:r>
    </w:p>
    <w:p w:rsidR="002A1594" w:rsidRPr="00732B61" w:rsidRDefault="009E5B3D" w:rsidP="00F61726">
      <w:pPr>
        <w:pStyle w:val="a3"/>
        <w:numPr>
          <w:ilvl w:val="0"/>
          <w:numId w:val="4"/>
        </w:numPr>
        <w:contextualSpacing w:val="0"/>
        <w:jc w:val="both"/>
        <w:rPr>
          <w:rFonts w:ascii="Times New Roman" w:hAnsi="Times New Roman"/>
        </w:rPr>
      </w:pPr>
      <w:r w:rsidRPr="00F61726">
        <w:rPr>
          <w:rFonts w:ascii="Times New Roman" w:hAnsi="Times New Roman"/>
        </w:rPr>
        <w:t>While</w:t>
      </w:r>
      <w:r w:rsidR="008000D9" w:rsidRPr="00F61726">
        <w:rPr>
          <w:rFonts w:ascii="Times New Roman" w:hAnsi="Times New Roman"/>
        </w:rPr>
        <w:t xml:space="preserve"> costing these </w:t>
      </w:r>
      <w:r w:rsidR="005F5EE6" w:rsidRPr="00F61726">
        <w:rPr>
          <w:rFonts w:ascii="Times New Roman" w:hAnsi="Times New Roman"/>
        </w:rPr>
        <w:t xml:space="preserve">functions </w:t>
      </w:r>
      <w:r w:rsidR="00B07AE8" w:rsidRPr="00F61726">
        <w:rPr>
          <w:rFonts w:ascii="Times New Roman" w:hAnsi="Times New Roman"/>
        </w:rPr>
        <w:t xml:space="preserve">to a degree of certainty </w:t>
      </w:r>
      <w:r w:rsidR="007527E3" w:rsidRPr="00F61726">
        <w:rPr>
          <w:rFonts w:ascii="Times New Roman" w:hAnsi="Times New Roman"/>
        </w:rPr>
        <w:t xml:space="preserve">would be </w:t>
      </w:r>
      <w:r w:rsidR="00B07AE8" w:rsidRPr="00F61726">
        <w:rPr>
          <w:rFonts w:ascii="Times New Roman" w:hAnsi="Times New Roman"/>
        </w:rPr>
        <w:t>a complex undertaking</w:t>
      </w:r>
      <w:r w:rsidR="008000D9" w:rsidRPr="00F61726">
        <w:rPr>
          <w:rFonts w:ascii="Times New Roman" w:hAnsi="Times New Roman"/>
        </w:rPr>
        <w:t>,</w:t>
      </w:r>
      <w:r w:rsidRPr="00F61726">
        <w:rPr>
          <w:rFonts w:ascii="Times New Roman" w:hAnsi="Times New Roman"/>
        </w:rPr>
        <w:t xml:space="preserve"> it</w:t>
      </w:r>
      <w:r w:rsidR="00B07AE8" w:rsidRPr="00F61726">
        <w:rPr>
          <w:rFonts w:ascii="Times New Roman" w:hAnsi="Times New Roman"/>
        </w:rPr>
        <w:t xml:space="preserve"> </w:t>
      </w:r>
      <w:r w:rsidR="008B42C3" w:rsidRPr="00F61726">
        <w:rPr>
          <w:rFonts w:ascii="Times New Roman" w:hAnsi="Times New Roman"/>
        </w:rPr>
        <w:t xml:space="preserve">has </w:t>
      </w:r>
      <w:r w:rsidR="00B07AE8" w:rsidRPr="00F61726">
        <w:rPr>
          <w:rFonts w:ascii="Times New Roman" w:hAnsi="Times New Roman"/>
        </w:rPr>
        <w:t>not preclude</w:t>
      </w:r>
      <w:r w:rsidR="008B42C3" w:rsidRPr="00F61726">
        <w:rPr>
          <w:rFonts w:ascii="Times New Roman" w:hAnsi="Times New Roman"/>
        </w:rPr>
        <w:t>d</w:t>
      </w:r>
      <w:r w:rsidR="00B07AE8" w:rsidRPr="00F61726">
        <w:rPr>
          <w:rFonts w:ascii="Times New Roman" w:hAnsi="Times New Roman"/>
        </w:rPr>
        <w:t xml:space="preserve"> agencies from arriv</w:t>
      </w:r>
      <w:r w:rsidRPr="00F61726">
        <w:rPr>
          <w:rFonts w:ascii="Times New Roman" w:hAnsi="Times New Roman"/>
        </w:rPr>
        <w:t>ing</w:t>
      </w:r>
      <w:r w:rsidR="00B07AE8" w:rsidRPr="00F61726">
        <w:rPr>
          <w:rFonts w:ascii="Times New Roman" w:hAnsi="Times New Roman"/>
        </w:rPr>
        <w:t xml:space="preserve"> at high level estimate</w:t>
      </w:r>
      <w:r w:rsidR="00453ED9" w:rsidRPr="00F61726">
        <w:rPr>
          <w:rFonts w:ascii="Times New Roman" w:hAnsi="Times New Roman"/>
        </w:rPr>
        <w:t>s</w:t>
      </w:r>
      <w:r w:rsidR="008000D9" w:rsidRPr="00F61726">
        <w:rPr>
          <w:rFonts w:ascii="Times New Roman" w:hAnsi="Times New Roman"/>
        </w:rPr>
        <w:t xml:space="preserve">.  </w:t>
      </w:r>
      <w:r w:rsidR="004D1B2E" w:rsidRPr="00F61726">
        <w:rPr>
          <w:rFonts w:ascii="Times New Roman" w:hAnsi="Times New Roman"/>
        </w:rPr>
        <w:t xml:space="preserve">As an illustration of the scope of these functions, </w:t>
      </w:r>
      <w:r w:rsidR="003D337B" w:rsidRPr="00F61726">
        <w:rPr>
          <w:rFonts w:ascii="Times New Roman" w:hAnsi="Times New Roman"/>
        </w:rPr>
        <w:t xml:space="preserve">for UNDP, UNICEF and UNFPA the estimates of critical cross cutting functions provided represent key leadership functions and include the cost of all heads of office in Headquarters and the Field.  </w:t>
      </w:r>
      <w:r w:rsidR="00477562" w:rsidRPr="00F61726">
        <w:rPr>
          <w:rFonts w:ascii="Times New Roman" w:hAnsi="Times New Roman"/>
        </w:rPr>
        <w:t xml:space="preserve">As such, the notion is limited </w:t>
      </w:r>
      <w:r w:rsidR="00627551" w:rsidRPr="00F61726">
        <w:rPr>
          <w:rFonts w:ascii="Times New Roman" w:hAnsi="Times New Roman"/>
        </w:rPr>
        <w:t xml:space="preserve">only </w:t>
      </w:r>
      <w:r w:rsidR="00477562" w:rsidRPr="00F61726">
        <w:rPr>
          <w:rFonts w:ascii="Times New Roman" w:hAnsi="Times New Roman"/>
        </w:rPr>
        <w:t>to key</w:t>
      </w:r>
      <w:r w:rsidR="00627551" w:rsidRPr="00F61726">
        <w:rPr>
          <w:rFonts w:ascii="Times New Roman" w:hAnsi="Times New Roman"/>
        </w:rPr>
        <w:t xml:space="preserve">, leadership functions, and not extended to </w:t>
      </w:r>
      <w:r w:rsidR="00627551" w:rsidRPr="003E686E">
        <w:rPr>
          <w:rFonts w:ascii="Times New Roman" w:hAnsi="Times New Roman"/>
        </w:rPr>
        <w:t xml:space="preserve">wider areas of work which are </w:t>
      </w:r>
      <w:r w:rsidR="00CD0CBF" w:rsidRPr="003E686E">
        <w:rPr>
          <w:rFonts w:ascii="Times New Roman" w:hAnsi="Times New Roman"/>
        </w:rPr>
        <w:t xml:space="preserve">essentially </w:t>
      </w:r>
      <w:r w:rsidR="00627551" w:rsidRPr="003E686E">
        <w:rPr>
          <w:rFonts w:ascii="Times New Roman" w:hAnsi="Times New Roman"/>
        </w:rPr>
        <w:t>volume-driven</w:t>
      </w:r>
      <w:r w:rsidR="00627551" w:rsidRPr="00732B61">
        <w:rPr>
          <w:rFonts w:ascii="Times New Roman" w:hAnsi="Times New Roman"/>
        </w:rPr>
        <w:t>.</w:t>
      </w:r>
      <w:r w:rsidR="002A1594" w:rsidRPr="00732B61">
        <w:rPr>
          <w:rFonts w:ascii="Times New Roman" w:hAnsi="Times New Roman"/>
        </w:rPr>
        <w:t xml:space="preserve"> Whilst UN Women has currently followed a similar approach its ongoing review of cost classifications for 2014-2015 could result in some refining of those elements included.  </w:t>
      </w:r>
    </w:p>
    <w:p w:rsidR="002E0834" w:rsidRDefault="002E0834" w:rsidP="002E0834">
      <w:pPr>
        <w:jc w:val="both"/>
        <w:rPr>
          <w:rFonts w:ascii="Times New Roman" w:hAnsi="Times New Roman"/>
          <w:i/>
        </w:rPr>
      </w:pPr>
      <w:r w:rsidRPr="00A53EFA">
        <w:rPr>
          <w:rFonts w:ascii="Times New Roman" w:hAnsi="Times New Roman"/>
          <w:i/>
        </w:rPr>
        <w:t>(b)</w:t>
      </w:r>
      <w:r w:rsidRPr="00A53EFA">
        <w:rPr>
          <w:rFonts w:ascii="Times New Roman" w:hAnsi="Times New Roman"/>
          <w:i/>
        </w:rPr>
        <w:tab/>
        <w:t>The way development effectiveness will be directly funded from core and non-core resources and the consequences for cost-recovery rates;</w:t>
      </w:r>
    </w:p>
    <w:p w:rsidR="000C0CE0" w:rsidRDefault="000C0CE0" w:rsidP="000C0CE0">
      <w:pPr>
        <w:pStyle w:val="a3"/>
        <w:numPr>
          <w:ilvl w:val="0"/>
          <w:numId w:val="4"/>
        </w:numPr>
        <w:contextualSpacing w:val="0"/>
        <w:jc w:val="both"/>
        <w:rPr>
          <w:rFonts w:ascii="Times New Roman" w:hAnsi="Times New Roman"/>
        </w:rPr>
      </w:pPr>
      <w:r w:rsidRPr="00BA6402">
        <w:rPr>
          <w:rFonts w:ascii="Times New Roman" w:hAnsi="Times New Roman"/>
        </w:rPr>
        <w:t xml:space="preserve">The current cost recovery model </w:t>
      </w:r>
      <w:r w:rsidR="004A763C">
        <w:rPr>
          <w:rFonts w:ascii="Times New Roman" w:hAnsi="Times New Roman"/>
        </w:rPr>
        <w:t xml:space="preserve">with the 7% rate </w:t>
      </w:r>
      <w:r w:rsidRPr="00BA6402">
        <w:rPr>
          <w:rFonts w:ascii="Times New Roman" w:hAnsi="Times New Roman"/>
        </w:rPr>
        <w:t xml:space="preserve">was developed based on the </w:t>
      </w:r>
      <w:r w:rsidR="00C17884">
        <w:rPr>
          <w:rFonts w:ascii="Times New Roman" w:hAnsi="Times New Roman"/>
        </w:rPr>
        <w:t xml:space="preserve">former </w:t>
      </w:r>
      <w:r w:rsidRPr="00BA6402">
        <w:rPr>
          <w:rFonts w:ascii="Times New Roman" w:hAnsi="Times New Roman"/>
        </w:rPr>
        <w:t>cost categories in the B</w:t>
      </w:r>
      <w:r w:rsidR="008F2589">
        <w:rPr>
          <w:rFonts w:ascii="Times New Roman" w:hAnsi="Times New Roman"/>
        </w:rPr>
        <w:t>iennial Support Budget (BSB)</w:t>
      </w:r>
      <w:r w:rsidRPr="00BA6402">
        <w:rPr>
          <w:rFonts w:ascii="Times New Roman" w:hAnsi="Times New Roman"/>
        </w:rPr>
        <w:t xml:space="preserve">. </w:t>
      </w:r>
      <w:r w:rsidR="00FE58C7">
        <w:rPr>
          <w:rFonts w:ascii="Times New Roman" w:hAnsi="Times New Roman"/>
        </w:rPr>
        <w:t xml:space="preserve">Since </w:t>
      </w:r>
      <w:r w:rsidR="00DD090C">
        <w:rPr>
          <w:rFonts w:ascii="Times New Roman" w:hAnsi="Times New Roman"/>
        </w:rPr>
        <w:t xml:space="preserve">budgets are now based on the harmonized cost classification, </w:t>
      </w:r>
      <w:r w:rsidR="0090308D">
        <w:rPr>
          <w:rFonts w:ascii="Times New Roman" w:hAnsi="Times New Roman"/>
        </w:rPr>
        <w:t xml:space="preserve">the Executive Board requested a revision of </w:t>
      </w:r>
      <w:r w:rsidR="00DD090C">
        <w:rPr>
          <w:rFonts w:ascii="Times New Roman" w:hAnsi="Times New Roman"/>
        </w:rPr>
        <w:t>the methodology for calculating the cost recovery rate, and not only the rate itself.</w:t>
      </w:r>
      <w:r w:rsidR="00FE58C7">
        <w:rPr>
          <w:rFonts w:ascii="Times New Roman" w:hAnsi="Times New Roman"/>
        </w:rPr>
        <w:t xml:space="preserve"> </w:t>
      </w:r>
      <w:r w:rsidR="004A763C">
        <w:rPr>
          <w:rFonts w:ascii="Times New Roman" w:hAnsi="Times New Roman"/>
        </w:rPr>
        <w:t xml:space="preserve">According to the new cost classification framework, Development Effectiveness </w:t>
      </w:r>
      <w:r w:rsidR="00C4195D">
        <w:rPr>
          <w:rFonts w:ascii="Times New Roman" w:hAnsi="Times New Roman"/>
        </w:rPr>
        <w:t>costs a</w:t>
      </w:r>
      <w:r w:rsidR="00741C18">
        <w:rPr>
          <w:rFonts w:ascii="Times New Roman" w:hAnsi="Times New Roman"/>
        </w:rPr>
        <w:t>re</w:t>
      </w:r>
      <w:r w:rsidR="00C4195D">
        <w:rPr>
          <w:rFonts w:ascii="Times New Roman" w:hAnsi="Times New Roman"/>
        </w:rPr>
        <w:t xml:space="preserve"> part of</w:t>
      </w:r>
      <w:r w:rsidRPr="00BA6402">
        <w:rPr>
          <w:rFonts w:ascii="Times New Roman" w:hAnsi="Times New Roman"/>
        </w:rPr>
        <w:t xml:space="preserve"> Development activities, relate to Development results</w:t>
      </w:r>
      <w:r w:rsidR="00BA6402" w:rsidRPr="00BA6402">
        <w:rPr>
          <w:rFonts w:ascii="Times New Roman" w:hAnsi="Times New Roman"/>
        </w:rPr>
        <w:t xml:space="preserve">, </w:t>
      </w:r>
      <w:r w:rsidR="00C4195D">
        <w:rPr>
          <w:rFonts w:ascii="Times New Roman" w:hAnsi="Times New Roman"/>
        </w:rPr>
        <w:t>similar to Programme activities</w:t>
      </w:r>
      <w:r w:rsidRPr="00BA6402">
        <w:rPr>
          <w:rFonts w:ascii="Times New Roman" w:hAnsi="Times New Roman"/>
        </w:rPr>
        <w:t>.</w:t>
      </w:r>
      <w:r w:rsidR="00BA6402">
        <w:rPr>
          <w:rFonts w:ascii="Times New Roman" w:hAnsi="Times New Roman"/>
        </w:rPr>
        <w:t xml:space="preserve"> </w:t>
      </w:r>
      <w:r w:rsidR="00BA6402" w:rsidRPr="00BA6402">
        <w:rPr>
          <w:rFonts w:ascii="Times New Roman" w:hAnsi="Times New Roman"/>
        </w:rPr>
        <w:t>As a result</w:t>
      </w:r>
      <w:r w:rsidRPr="00BA6402">
        <w:rPr>
          <w:rFonts w:ascii="Times New Roman" w:hAnsi="Times New Roman"/>
        </w:rPr>
        <w:t>,</w:t>
      </w:r>
      <w:r w:rsidR="00BA6402" w:rsidRPr="00BA6402">
        <w:rPr>
          <w:rFonts w:ascii="Times New Roman" w:hAnsi="Times New Roman"/>
        </w:rPr>
        <w:t xml:space="preserve"> Development Effectiveness </w:t>
      </w:r>
      <w:r w:rsidR="00604D9C">
        <w:rPr>
          <w:rFonts w:ascii="Times New Roman" w:hAnsi="Times New Roman"/>
        </w:rPr>
        <w:t xml:space="preserve">activities </w:t>
      </w:r>
      <w:r w:rsidR="00F4142F">
        <w:rPr>
          <w:rFonts w:ascii="Times New Roman" w:hAnsi="Times New Roman"/>
        </w:rPr>
        <w:t>should be</w:t>
      </w:r>
      <w:r w:rsidR="00BA6402" w:rsidRPr="00BA6402">
        <w:rPr>
          <w:rFonts w:ascii="Times New Roman" w:hAnsi="Times New Roman"/>
        </w:rPr>
        <w:t xml:space="preserve"> directly </w:t>
      </w:r>
      <w:r w:rsidR="0049750F">
        <w:rPr>
          <w:rFonts w:ascii="Times New Roman" w:hAnsi="Times New Roman"/>
        </w:rPr>
        <w:t xml:space="preserve">funded </w:t>
      </w:r>
      <w:r w:rsidR="007E205D">
        <w:rPr>
          <w:rFonts w:ascii="Times New Roman" w:hAnsi="Times New Roman"/>
        </w:rPr>
        <w:t>from RR and OR</w:t>
      </w:r>
      <w:r w:rsidR="00BA6402" w:rsidRPr="00BA6402">
        <w:rPr>
          <w:rFonts w:ascii="Times New Roman" w:hAnsi="Times New Roman"/>
        </w:rPr>
        <w:t xml:space="preserve">, </w:t>
      </w:r>
      <w:r w:rsidR="006E7946">
        <w:rPr>
          <w:rFonts w:ascii="Times New Roman" w:hAnsi="Times New Roman"/>
        </w:rPr>
        <w:t xml:space="preserve">in the same way that Programme activities are </w:t>
      </w:r>
      <w:r w:rsidR="008F2589">
        <w:rPr>
          <w:rFonts w:ascii="Times New Roman" w:hAnsi="Times New Roman"/>
        </w:rPr>
        <w:t xml:space="preserve">funded from </w:t>
      </w:r>
      <w:r w:rsidR="006E7946">
        <w:rPr>
          <w:rFonts w:ascii="Times New Roman" w:hAnsi="Times New Roman"/>
        </w:rPr>
        <w:t xml:space="preserve"> </w:t>
      </w:r>
      <w:r w:rsidR="00DA43E4">
        <w:rPr>
          <w:rFonts w:ascii="Times New Roman" w:hAnsi="Times New Roman"/>
        </w:rPr>
        <w:t>RR and OR.</w:t>
      </w:r>
      <w:r w:rsidR="008D3310">
        <w:rPr>
          <w:rFonts w:ascii="Times New Roman" w:hAnsi="Times New Roman"/>
        </w:rPr>
        <w:t xml:space="preserve">  Compared to the previous methodology, this results in a lower cost recovery rate.</w:t>
      </w:r>
    </w:p>
    <w:p w:rsidR="00BA6402" w:rsidRPr="00BA6402" w:rsidRDefault="00C17884" w:rsidP="000C0CE0">
      <w:pPr>
        <w:pStyle w:val="a3"/>
        <w:numPr>
          <w:ilvl w:val="0"/>
          <w:numId w:val="4"/>
        </w:numPr>
        <w:contextualSpacing w:val="0"/>
        <w:jc w:val="both"/>
        <w:rPr>
          <w:rFonts w:ascii="Times New Roman" w:hAnsi="Times New Roman"/>
        </w:rPr>
      </w:pPr>
      <w:r>
        <w:rPr>
          <w:rFonts w:ascii="Times New Roman" w:hAnsi="Times New Roman"/>
        </w:rPr>
        <w:t xml:space="preserve">To enable for appropriate adjustments </w:t>
      </w:r>
      <w:r w:rsidR="00C2541B">
        <w:rPr>
          <w:rFonts w:ascii="Times New Roman" w:hAnsi="Times New Roman"/>
        </w:rPr>
        <w:t xml:space="preserve">transitional measures </w:t>
      </w:r>
      <w:r w:rsidR="00D90CDE">
        <w:rPr>
          <w:rFonts w:ascii="Times New Roman" w:hAnsi="Times New Roman"/>
        </w:rPr>
        <w:t xml:space="preserve">for its application </w:t>
      </w:r>
      <w:r w:rsidR="00C2541B">
        <w:rPr>
          <w:rFonts w:ascii="Times New Roman" w:hAnsi="Times New Roman"/>
        </w:rPr>
        <w:t>will be necessary, as discussed below.</w:t>
      </w:r>
    </w:p>
    <w:p w:rsidR="002E0834" w:rsidRDefault="002E0834" w:rsidP="002E0834">
      <w:pPr>
        <w:jc w:val="both"/>
        <w:rPr>
          <w:rFonts w:ascii="Times New Roman" w:hAnsi="Times New Roman"/>
          <w:i/>
        </w:rPr>
      </w:pPr>
      <w:r w:rsidRPr="00A53EFA">
        <w:rPr>
          <w:rFonts w:ascii="Times New Roman" w:hAnsi="Times New Roman"/>
          <w:i/>
        </w:rPr>
        <w:t>(c)</w:t>
      </w:r>
      <w:r w:rsidRPr="00A53EFA">
        <w:rPr>
          <w:rFonts w:ascii="Times New Roman" w:hAnsi="Times New Roman"/>
          <w:i/>
        </w:rPr>
        <w:tab/>
        <w:t>The comparable and non-comparable special-purpose activities and associated costs, their funding, and the consequences for cost-recovery rates;</w:t>
      </w:r>
    </w:p>
    <w:p w:rsidR="00CE1750" w:rsidRDefault="00CE1750" w:rsidP="00CE1750">
      <w:pPr>
        <w:pStyle w:val="a3"/>
        <w:numPr>
          <w:ilvl w:val="0"/>
          <w:numId w:val="4"/>
        </w:numPr>
        <w:contextualSpacing w:val="0"/>
        <w:jc w:val="both"/>
        <w:rPr>
          <w:rFonts w:ascii="Times New Roman" w:hAnsi="Times New Roman"/>
        </w:rPr>
      </w:pPr>
      <w:r>
        <w:rPr>
          <w:rFonts w:ascii="Times New Roman" w:hAnsi="Times New Roman"/>
        </w:rPr>
        <w:t xml:space="preserve">The distinction between “comparable” and “non-comparable” special purpose activities </w:t>
      </w:r>
      <w:r w:rsidR="004A26AE">
        <w:rPr>
          <w:rFonts w:ascii="Times New Roman" w:hAnsi="Times New Roman"/>
        </w:rPr>
        <w:t xml:space="preserve">refers </w:t>
      </w:r>
      <w:r>
        <w:rPr>
          <w:rFonts w:ascii="Times New Roman" w:hAnsi="Times New Roman"/>
        </w:rPr>
        <w:t xml:space="preserve">to the </w:t>
      </w:r>
      <w:r w:rsidR="001907AC">
        <w:rPr>
          <w:rFonts w:ascii="Times New Roman" w:hAnsi="Times New Roman"/>
        </w:rPr>
        <w:t xml:space="preserve">fact that </w:t>
      </w:r>
      <w:r w:rsidR="005A7E78">
        <w:rPr>
          <w:rFonts w:ascii="Times New Roman" w:hAnsi="Times New Roman"/>
        </w:rPr>
        <w:t xml:space="preserve">some </w:t>
      </w:r>
      <w:r w:rsidR="001907AC">
        <w:rPr>
          <w:rFonts w:ascii="Times New Roman" w:hAnsi="Times New Roman"/>
        </w:rPr>
        <w:t xml:space="preserve">Special Purpose costs are common to all four agencies, </w:t>
      </w:r>
      <w:r w:rsidR="009F703E">
        <w:rPr>
          <w:rFonts w:ascii="Times New Roman" w:hAnsi="Times New Roman"/>
        </w:rPr>
        <w:t xml:space="preserve">while </w:t>
      </w:r>
      <w:r w:rsidR="001907AC">
        <w:rPr>
          <w:rFonts w:ascii="Times New Roman" w:hAnsi="Times New Roman"/>
        </w:rPr>
        <w:t xml:space="preserve">other Special Purpose costs are agency-specific. </w:t>
      </w:r>
      <w:r w:rsidR="00637CAA">
        <w:rPr>
          <w:rFonts w:ascii="Times New Roman" w:hAnsi="Times New Roman"/>
        </w:rPr>
        <w:t>Specifically</w:t>
      </w:r>
      <w:r w:rsidR="001907AC">
        <w:rPr>
          <w:rFonts w:ascii="Times New Roman" w:hAnsi="Times New Roman"/>
        </w:rPr>
        <w:t xml:space="preserve">, </w:t>
      </w:r>
      <w:r w:rsidR="005A7E78">
        <w:rPr>
          <w:rFonts w:ascii="Times New Roman" w:hAnsi="Times New Roman"/>
        </w:rPr>
        <w:t xml:space="preserve">while </w:t>
      </w:r>
      <w:r w:rsidR="001907AC">
        <w:rPr>
          <w:rFonts w:ascii="Times New Roman" w:hAnsi="Times New Roman"/>
        </w:rPr>
        <w:t xml:space="preserve">all agencies </w:t>
      </w:r>
      <w:r w:rsidR="00A27A42">
        <w:rPr>
          <w:rFonts w:ascii="Times New Roman" w:hAnsi="Times New Roman"/>
        </w:rPr>
        <w:t xml:space="preserve">may </w:t>
      </w:r>
      <w:r w:rsidR="005A7E78">
        <w:rPr>
          <w:rFonts w:ascii="Times New Roman" w:hAnsi="Times New Roman"/>
        </w:rPr>
        <w:t xml:space="preserve">at some point </w:t>
      </w:r>
      <w:r w:rsidR="00A27A42">
        <w:rPr>
          <w:rFonts w:ascii="Times New Roman" w:hAnsi="Times New Roman"/>
        </w:rPr>
        <w:t xml:space="preserve">have </w:t>
      </w:r>
      <w:r w:rsidR="001907AC">
        <w:rPr>
          <w:rFonts w:ascii="Times New Roman" w:hAnsi="Times New Roman"/>
        </w:rPr>
        <w:t xml:space="preserve">costs related to capital investments </w:t>
      </w:r>
      <w:r w:rsidR="005A7E78">
        <w:rPr>
          <w:rFonts w:ascii="Times New Roman" w:hAnsi="Times New Roman"/>
        </w:rPr>
        <w:t>(i.e. comparable Special Purpose)</w:t>
      </w:r>
      <w:r w:rsidR="00F34298">
        <w:rPr>
          <w:rFonts w:ascii="Times New Roman" w:hAnsi="Times New Roman"/>
        </w:rPr>
        <w:t>,</w:t>
      </w:r>
      <w:r w:rsidR="005A7E78">
        <w:rPr>
          <w:rFonts w:ascii="Times New Roman" w:hAnsi="Times New Roman"/>
        </w:rPr>
        <w:t xml:space="preserve"> only UNDP has costs related to UNV and UNCDF (i.e. non-comparable Special Purpose).</w:t>
      </w:r>
    </w:p>
    <w:p w:rsidR="00B514F4" w:rsidRDefault="005A7E78" w:rsidP="00CE1750">
      <w:pPr>
        <w:pStyle w:val="a3"/>
        <w:numPr>
          <w:ilvl w:val="0"/>
          <w:numId w:val="4"/>
        </w:numPr>
        <w:contextualSpacing w:val="0"/>
        <w:jc w:val="both"/>
        <w:rPr>
          <w:rFonts w:ascii="Times New Roman" w:hAnsi="Times New Roman"/>
        </w:rPr>
      </w:pPr>
      <w:r>
        <w:rPr>
          <w:rFonts w:ascii="Times New Roman" w:hAnsi="Times New Roman"/>
        </w:rPr>
        <w:t>The former (capital investments) is part of the cost recovery calculation</w:t>
      </w:r>
      <w:r w:rsidR="005567C4">
        <w:rPr>
          <w:rFonts w:ascii="Times New Roman" w:hAnsi="Times New Roman"/>
        </w:rPr>
        <w:t xml:space="preserve">, as shown on Table 2. </w:t>
      </w:r>
      <w:r w:rsidR="00B514F4">
        <w:rPr>
          <w:rFonts w:ascii="Times New Roman" w:hAnsi="Times New Roman"/>
        </w:rPr>
        <w:t xml:space="preserve">By </w:t>
      </w:r>
      <w:r w:rsidR="007C2CB5">
        <w:rPr>
          <w:rFonts w:ascii="Times New Roman" w:hAnsi="Times New Roman"/>
        </w:rPr>
        <w:t>including</w:t>
      </w:r>
      <w:r w:rsidR="00B514F4">
        <w:rPr>
          <w:rFonts w:ascii="Times New Roman" w:hAnsi="Times New Roman"/>
        </w:rPr>
        <w:t xml:space="preserve"> these costs </w:t>
      </w:r>
      <w:r w:rsidR="007C2CB5">
        <w:rPr>
          <w:rFonts w:ascii="Times New Roman" w:hAnsi="Times New Roman"/>
        </w:rPr>
        <w:t xml:space="preserve">in the cost </w:t>
      </w:r>
      <w:r w:rsidR="00B514F4">
        <w:rPr>
          <w:rFonts w:ascii="Times New Roman" w:hAnsi="Times New Roman"/>
        </w:rPr>
        <w:t>recovery</w:t>
      </w:r>
      <w:r w:rsidR="007C2CB5">
        <w:rPr>
          <w:rFonts w:ascii="Times New Roman" w:hAnsi="Times New Roman"/>
        </w:rPr>
        <w:t xml:space="preserve"> calculation</w:t>
      </w:r>
      <w:r w:rsidR="00B514F4">
        <w:rPr>
          <w:rFonts w:ascii="Times New Roman" w:hAnsi="Times New Roman"/>
        </w:rPr>
        <w:t>, the recovery rate increases.</w:t>
      </w:r>
    </w:p>
    <w:p w:rsidR="005A7E78" w:rsidRDefault="005567C4" w:rsidP="00CE1750">
      <w:pPr>
        <w:pStyle w:val="a3"/>
        <w:numPr>
          <w:ilvl w:val="0"/>
          <w:numId w:val="4"/>
        </w:numPr>
        <w:contextualSpacing w:val="0"/>
        <w:jc w:val="both"/>
        <w:rPr>
          <w:rFonts w:ascii="Times New Roman" w:hAnsi="Times New Roman"/>
        </w:rPr>
      </w:pPr>
      <w:r>
        <w:rPr>
          <w:rFonts w:ascii="Times New Roman" w:hAnsi="Times New Roman"/>
        </w:rPr>
        <w:t xml:space="preserve">The latter </w:t>
      </w:r>
      <w:r w:rsidR="00B514F4">
        <w:rPr>
          <w:rFonts w:ascii="Times New Roman" w:hAnsi="Times New Roman"/>
        </w:rPr>
        <w:t>(</w:t>
      </w:r>
      <w:r>
        <w:rPr>
          <w:rFonts w:ascii="Times New Roman" w:hAnsi="Times New Roman"/>
        </w:rPr>
        <w:t>UNV and UNCDF</w:t>
      </w:r>
      <w:r w:rsidR="00B514F4">
        <w:rPr>
          <w:rFonts w:ascii="Times New Roman" w:hAnsi="Times New Roman"/>
        </w:rPr>
        <w:t>) are UNDP specific costs, and not subject to cost recovery. These costs will be addressed separately by UNDP in the context of the preparations of the 2014-2017 Integrated Budget.</w:t>
      </w:r>
    </w:p>
    <w:p w:rsidR="002E0834" w:rsidRPr="00A53EFA" w:rsidRDefault="002E0834" w:rsidP="002E0834">
      <w:pPr>
        <w:jc w:val="both"/>
        <w:rPr>
          <w:rFonts w:ascii="Times New Roman" w:hAnsi="Times New Roman"/>
          <w:i/>
        </w:rPr>
      </w:pPr>
      <w:r w:rsidRPr="00A53EFA">
        <w:rPr>
          <w:rFonts w:ascii="Times New Roman" w:hAnsi="Times New Roman"/>
          <w:i/>
        </w:rPr>
        <w:t>(d)</w:t>
      </w:r>
      <w:r w:rsidRPr="00A53EFA">
        <w:rPr>
          <w:rFonts w:ascii="Times New Roman" w:hAnsi="Times New Roman"/>
          <w:i/>
        </w:rPr>
        <w:tab/>
        <w:t>The advantages and disadvantages of including or excluding United Nations development coordination activities in the cost-recovery calculation methodology and the consequences for cost-recovery rates;</w:t>
      </w:r>
    </w:p>
    <w:p w:rsidR="00C907BD" w:rsidRDefault="00C907BD" w:rsidP="002E0834">
      <w:pPr>
        <w:pStyle w:val="a3"/>
        <w:numPr>
          <w:ilvl w:val="0"/>
          <w:numId w:val="4"/>
        </w:numPr>
        <w:contextualSpacing w:val="0"/>
        <w:jc w:val="both"/>
        <w:rPr>
          <w:rFonts w:ascii="Times New Roman" w:hAnsi="Times New Roman"/>
        </w:rPr>
      </w:pPr>
      <w:r>
        <w:rPr>
          <w:rFonts w:ascii="Times New Roman" w:hAnsi="Times New Roman"/>
        </w:rPr>
        <w:t>Since costs classified as UN Development Coordination are primarily unique to UNDP for the Resident Coordinator system and to UN Women for gender advocacy and mainstreaming, these costs are not part of the harmonized cost recovery methodology. These will be addressed separately in the context of the agencies’ Integrated Budgets 2014-2017.</w:t>
      </w:r>
    </w:p>
    <w:p w:rsidR="00622825" w:rsidRDefault="005470F2" w:rsidP="002E0834">
      <w:pPr>
        <w:pStyle w:val="a3"/>
        <w:numPr>
          <w:ilvl w:val="0"/>
          <w:numId w:val="4"/>
        </w:numPr>
        <w:contextualSpacing w:val="0"/>
        <w:jc w:val="both"/>
        <w:rPr>
          <w:rFonts w:ascii="Times New Roman" w:hAnsi="Times New Roman"/>
        </w:rPr>
      </w:pPr>
      <w:r>
        <w:rPr>
          <w:rFonts w:ascii="Times New Roman" w:hAnsi="Times New Roman"/>
        </w:rPr>
        <w:t xml:space="preserve">The main advantage of excluding these costs from cost recovery is that it </w:t>
      </w:r>
      <w:r w:rsidR="00A45ACE">
        <w:rPr>
          <w:rFonts w:ascii="Times New Roman" w:hAnsi="Times New Roman"/>
        </w:rPr>
        <w:t>allows agencies to better address areas that are specific to them, without attempting to build a one-size-fits-all model that may not be reflective of the realities of each.</w:t>
      </w:r>
      <w:r w:rsidR="00932AB3">
        <w:rPr>
          <w:rFonts w:ascii="Times New Roman" w:hAnsi="Times New Roman"/>
        </w:rPr>
        <w:t xml:space="preserve"> The disadvantage is that it leaves certain elements separate from the model</w:t>
      </w:r>
      <w:r w:rsidR="008D3310">
        <w:rPr>
          <w:rFonts w:ascii="Times New Roman" w:hAnsi="Times New Roman"/>
        </w:rPr>
        <w:t>, thus reducing the cost recovery rate</w:t>
      </w:r>
      <w:r w:rsidR="00932AB3">
        <w:rPr>
          <w:rFonts w:ascii="Times New Roman" w:hAnsi="Times New Roman"/>
        </w:rPr>
        <w:t xml:space="preserve">. All in all, however, it is reasonable to argue that, given the </w:t>
      </w:r>
      <w:r w:rsidR="00F34298">
        <w:rPr>
          <w:rFonts w:ascii="Times New Roman" w:hAnsi="Times New Roman"/>
        </w:rPr>
        <w:t xml:space="preserve">specific </w:t>
      </w:r>
      <w:r w:rsidR="00932AB3">
        <w:rPr>
          <w:rFonts w:ascii="Times New Roman" w:hAnsi="Times New Roman"/>
        </w:rPr>
        <w:t xml:space="preserve">nature of these costs, they should not be part of </w:t>
      </w:r>
      <w:r w:rsidR="00F34298">
        <w:rPr>
          <w:rFonts w:ascii="Times New Roman" w:hAnsi="Times New Roman"/>
        </w:rPr>
        <w:t xml:space="preserve">the </w:t>
      </w:r>
      <w:r w:rsidR="00932AB3">
        <w:rPr>
          <w:rFonts w:ascii="Times New Roman" w:hAnsi="Times New Roman"/>
        </w:rPr>
        <w:t>proportionality argument that is central to cost recovery.</w:t>
      </w:r>
    </w:p>
    <w:p w:rsidR="00622825" w:rsidRDefault="00504C23" w:rsidP="002E0834">
      <w:pPr>
        <w:pStyle w:val="a3"/>
        <w:numPr>
          <w:ilvl w:val="0"/>
          <w:numId w:val="4"/>
        </w:numPr>
        <w:contextualSpacing w:val="0"/>
        <w:jc w:val="both"/>
        <w:rPr>
          <w:rFonts w:ascii="Times New Roman" w:hAnsi="Times New Roman"/>
        </w:rPr>
      </w:pPr>
      <w:r w:rsidRPr="00622825">
        <w:rPr>
          <w:rFonts w:ascii="Times New Roman" w:hAnsi="Times New Roman"/>
        </w:rPr>
        <w:t xml:space="preserve">However, should future budget proposals contain elements of the UN Development Coordination costs that are comparable, i.e. common to all four agencies, then it </w:t>
      </w:r>
      <w:r w:rsidR="00BB2B81">
        <w:rPr>
          <w:rFonts w:ascii="Times New Roman" w:hAnsi="Times New Roman"/>
        </w:rPr>
        <w:t>may</w:t>
      </w:r>
      <w:r w:rsidRPr="00622825">
        <w:rPr>
          <w:rFonts w:ascii="Times New Roman" w:hAnsi="Times New Roman"/>
        </w:rPr>
        <w:t xml:space="preserve"> be warranted to include such comparable costs in the cost recovery calculation.  This would be in line with the treatment of Special Purpose costs, and would increase the cost recovery rate.</w:t>
      </w:r>
    </w:p>
    <w:p w:rsidR="002E0834" w:rsidRPr="00622825" w:rsidRDefault="002E0834" w:rsidP="00622825">
      <w:pPr>
        <w:pStyle w:val="a3"/>
        <w:ind w:left="360"/>
        <w:contextualSpacing w:val="0"/>
        <w:jc w:val="both"/>
        <w:rPr>
          <w:rFonts w:ascii="Times New Roman" w:hAnsi="Times New Roman"/>
        </w:rPr>
      </w:pPr>
      <w:r w:rsidRPr="00622825">
        <w:rPr>
          <w:rFonts w:ascii="Times New Roman" w:hAnsi="Times New Roman"/>
          <w:i/>
        </w:rPr>
        <w:t>(e)</w:t>
      </w:r>
      <w:r w:rsidRPr="00622825">
        <w:rPr>
          <w:rFonts w:ascii="Times New Roman" w:hAnsi="Times New Roman"/>
          <w:i/>
        </w:rPr>
        <w:tab/>
        <w:t>The transitional arrangements after the new cost-recovery rates are adopted;</w:t>
      </w:r>
    </w:p>
    <w:p w:rsidR="00265377" w:rsidRDefault="00265377" w:rsidP="00265377">
      <w:pPr>
        <w:pStyle w:val="a3"/>
        <w:numPr>
          <w:ilvl w:val="0"/>
          <w:numId w:val="4"/>
        </w:numPr>
        <w:contextualSpacing w:val="0"/>
        <w:jc w:val="both"/>
        <w:rPr>
          <w:rFonts w:ascii="Times New Roman" w:hAnsi="Times New Roman"/>
        </w:rPr>
      </w:pPr>
      <w:r>
        <w:rPr>
          <w:rFonts w:ascii="Times New Roman" w:hAnsi="Times New Roman"/>
        </w:rPr>
        <w:t xml:space="preserve">The new methodology requires that some transitional measures be developed, in particular regarding the funding of Development Effectiveness costs and the implementation of a new rate. </w:t>
      </w:r>
    </w:p>
    <w:p w:rsidR="00265377" w:rsidRDefault="00265377" w:rsidP="00265377">
      <w:pPr>
        <w:pStyle w:val="a3"/>
        <w:numPr>
          <w:ilvl w:val="0"/>
          <w:numId w:val="4"/>
        </w:numPr>
        <w:contextualSpacing w:val="0"/>
        <w:jc w:val="both"/>
        <w:rPr>
          <w:rFonts w:ascii="Times New Roman" w:hAnsi="Times New Roman"/>
        </w:rPr>
      </w:pPr>
      <w:r>
        <w:rPr>
          <w:rFonts w:ascii="Times New Roman" w:hAnsi="Times New Roman"/>
        </w:rPr>
        <w:t>In terms of the funding for Development Effectiveness, policies</w:t>
      </w:r>
      <w:r w:rsidR="00A8351E">
        <w:rPr>
          <w:rFonts w:ascii="Times New Roman" w:hAnsi="Times New Roman"/>
        </w:rPr>
        <w:t xml:space="preserve">, </w:t>
      </w:r>
      <w:r>
        <w:rPr>
          <w:rFonts w:ascii="Times New Roman" w:hAnsi="Times New Roman"/>
        </w:rPr>
        <w:t xml:space="preserve">guidance and </w:t>
      </w:r>
      <w:r w:rsidR="00A8351E">
        <w:rPr>
          <w:rFonts w:ascii="Times New Roman" w:hAnsi="Times New Roman"/>
        </w:rPr>
        <w:t xml:space="preserve">resource mobilization strategies will need to be developed to include in </w:t>
      </w:r>
      <w:r w:rsidR="00BB2B81">
        <w:rPr>
          <w:rFonts w:ascii="Times New Roman" w:hAnsi="Times New Roman"/>
        </w:rPr>
        <w:t xml:space="preserve">funding proposals </w:t>
      </w:r>
      <w:r w:rsidR="00A8351E">
        <w:rPr>
          <w:rFonts w:ascii="Times New Roman" w:hAnsi="Times New Roman"/>
        </w:rPr>
        <w:t xml:space="preserve"> costs that were originally funded from cost recovery. </w:t>
      </w:r>
      <w:r w:rsidR="006243AF">
        <w:rPr>
          <w:rFonts w:ascii="Times New Roman" w:hAnsi="Times New Roman"/>
        </w:rPr>
        <w:t>Donors will also need to understand the significance of including such direct charges to projects whenever warranted.</w:t>
      </w:r>
    </w:p>
    <w:p w:rsidR="007C5D4A" w:rsidRPr="00622825" w:rsidRDefault="007C5D4A" w:rsidP="007C5D4A">
      <w:pPr>
        <w:pStyle w:val="af0"/>
        <w:numPr>
          <w:ilvl w:val="0"/>
          <w:numId w:val="4"/>
        </w:numPr>
        <w:rPr>
          <w:rFonts w:ascii="Times New Roman" w:hAnsi="Times New Roman"/>
          <w:sz w:val="22"/>
          <w:szCs w:val="22"/>
        </w:rPr>
      </w:pPr>
      <w:r w:rsidRPr="00622825">
        <w:rPr>
          <w:rFonts w:ascii="Times New Roman" w:hAnsi="Times New Roman"/>
          <w:sz w:val="22"/>
          <w:szCs w:val="22"/>
        </w:rPr>
        <w:t xml:space="preserve">The new methodology is a major change in business and therefore may need time to implement fully.  Specifically, cost recovery income may still be needed to fund some Development Effectiveness </w:t>
      </w:r>
      <w:r w:rsidR="00BB2B81">
        <w:rPr>
          <w:rFonts w:ascii="Times New Roman" w:hAnsi="Times New Roman"/>
          <w:sz w:val="22"/>
          <w:szCs w:val="22"/>
        </w:rPr>
        <w:t xml:space="preserve">costs </w:t>
      </w:r>
      <w:r w:rsidRPr="00622825">
        <w:rPr>
          <w:rFonts w:ascii="Times New Roman" w:hAnsi="Times New Roman"/>
          <w:sz w:val="22"/>
          <w:szCs w:val="22"/>
        </w:rPr>
        <w:t xml:space="preserve"> until such time as the Development Effectiveness </w:t>
      </w:r>
      <w:r w:rsidR="00BB2B81">
        <w:rPr>
          <w:rFonts w:ascii="Times New Roman" w:hAnsi="Times New Roman"/>
          <w:sz w:val="22"/>
          <w:szCs w:val="22"/>
        </w:rPr>
        <w:t>costs</w:t>
      </w:r>
      <w:r w:rsidRPr="00622825">
        <w:rPr>
          <w:rFonts w:ascii="Times New Roman" w:hAnsi="Times New Roman"/>
          <w:sz w:val="22"/>
          <w:szCs w:val="22"/>
        </w:rPr>
        <w:t xml:space="preserve"> can be effectively charged as direct costs to the portfoli</w:t>
      </w:r>
      <w:r w:rsidR="008650FE">
        <w:rPr>
          <w:rFonts w:ascii="Times New Roman" w:hAnsi="Times New Roman"/>
          <w:sz w:val="22"/>
          <w:szCs w:val="22"/>
        </w:rPr>
        <w:t xml:space="preserve">o of </w:t>
      </w:r>
      <w:r w:rsidR="00BB2B81">
        <w:rPr>
          <w:rFonts w:ascii="Times New Roman" w:hAnsi="Times New Roman"/>
          <w:sz w:val="22"/>
          <w:szCs w:val="22"/>
        </w:rPr>
        <w:t xml:space="preserve">regular resources </w:t>
      </w:r>
      <w:r w:rsidR="008650FE">
        <w:rPr>
          <w:rFonts w:ascii="Times New Roman" w:hAnsi="Times New Roman"/>
          <w:sz w:val="22"/>
          <w:szCs w:val="22"/>
        </w:rPr>
        <w:t xml:space="preserve"> and </w:t>
      </w:r>
      <w:r w:rsidR="00BB2B81">
        <w:rPr>
          <w:rFonts w:ascii="Times New Roman" w:hAnsi="Times New Roman"/>
          <w:sz w:val="22"/>
          <w:szCs w:val="22"/>
        </w:rPr>
        <w:t xml:space="preserve">other resources. </w:t>
      </w:r>
      <w:r w:rsidR="008650FE">
        <w:rPr>
          <w:rFonts w:ascii="Times New Roman" w:hAnsi="Times New Roman"/>
          <w:sz w:val="22"/>
          <w:szCs w:val="22"/>
        </w:rPr>
        <w:t>.</w:t>
      </w:r>
    </w:p>
    <w:p w:rsidR="00753C11" w:rsidRPr="00395244" w:rsidRDefault="00753C11" w:rsidP="00265377">
      <w:pPr>
        <w:pStyle w:val="a3"/>
        <w:numPr>
          <w:ilvl w:val="0"/>
          <w:numId w:val="4"/>
        </w:numPr>
        <w:contextualSpacing w:val="0"/>
        <w:jc w:val="both"/>
        <w:rPr>
          <w:rFonts w:ascii="Times New Roman" w:hAnsi="Times New Roman"/>
        </w:rPr>
      </w:pPr>
      <w:r>
        <w:rPr>
          <w:rFonts w:ascii="Times New Roman" w:hAnsi="Times New Roman"/>
        </w:rPr>
        <w:t xml:space="preserve">In terms of the implementation of the new rate, it is understood that legacy rates will need to coexist with the newly revised rates for those projects that have already been signed. </w:t>
      </w:r>
      <w:r w:rsidR="00D01E47">
        <w:rPr>
          <w:rFonts w:ascii="Times New Roman" w:hAnsi="Times New Roman"/>
        </w:rPr>
        <w:t>This will have an impact on certain administrative and management processes, as well as on the overall estimates for the planning period, which will need to take into account the distinction between current projects and new ones.</w:t>
      </w:r>
    </w:p>
    <w:p w:rsidR="002E0834" w:rsidRPr="00A53EFA" w:rsidRDefault="002E0834" w:rsidP="002E0834">
      <w:pPr>
        <w:jc w:val="both"/>
        <w:rPr>
          <w:rFonts w:ascii="Times New Roman" w:hAnsi="Times New Roman"/>
          <w:i/>
        </w:rPr>
      </w:pPr>
      <w:r w:rsidRPr="00A53EFA">
        <w:rPr>
          <w:rFonts w:ascii="Times New Roman" w:hAnsi="Times New Roman"/>
          <w:i/>
        </w:rPr>
        <w:t>(f)</w:t>
      </w:r>
      <w:r w:rsidRPr="00A53EFA">
        <w:rPr>
          <w:rFonts w:ascii="Times New Roman" w:hAnsi="Times New Roman"/>
          <w:i/>
        </w:rPr>
        <w:tab/>
        <w:t>The way the new cost-recovery policy will help to achieve improved cost efficiency”</w:t>
      </w:r>
    </w:p>
    <w:p w:rsidR="00A609C2" w:rsidRPr="00395244" w:rsidRDefault="00BB48AA" w:rsidP="00A609C2">
      <w:pPr>
        <w:pStyle w:val="a3"/>
        <w:numPr>
          <w:ilvl w:val="0"/>
          <w:numId w:val="4"/>
        </w:numPr>
        <w:contextualSpacing w:val="0"/>
        <w:jc w:val="both"/>
        <w:rPr>
          <w:rFonts w:ascii="Times New Roman" w:hAnsi="Times New Roman"/>
        </w:rPr>
      </w:pPr>
      <w:r>
        <w:rPr>
          <w:rFonts w:ascii="Times New Roman" w:hAnsi="Times New Roman"/>
        </w:rPr>
        <w:t>The c</w:t>
      </w:r>
      <w:r w:rsidRPr="0039561E">
        <w:rPr>
          <w:rFonts w:ascii="Times New Roman" w:hAnsi="Times New Roman"/>
        </w:rPr>
        <w:t xml:space="preserve">ost recovery </w:t>
      </w:r>
      <w:r>
        <w:rPr>
          <w:rFonts w:ascii="Times New Roman" w:hAnsi="Times New Roman"/>
        </w:rPr>
        <w:t xml:space="preserve">methodology </w:t>
      </w:r>
      <w:r w:rsidRPr="0039561E">
        <w:rPr>
          <w:rFonts w:ascii="Times New Roman" w:hAnsi="Times New Roman"/>
        </w:rPr>
        <w:t>propo</w:t>
      </w:r>
      <w:r>
        <w:rPr>
          <w:rFonts w:ascii="Times New Roman" w:hAnsi="Times New Roman"/>
        </w:rPr>
        <w:t>sed is just one element of the a</w:t>
      </w:r>
      <w:r w:rsidRPr="0039561E">
        <w:rPr>
          <w:rFonts w:ascii="Times New Roman" w:hAnsi="Times New Roman"/>
        </w:rPr>
        <w:t xml:space="preserve">gencies’ collective efforts to improve the complementary roles of core and non-core resources. </w:t>
      </w:r>
      <w:r>
        <w:rPr>
          <w:rFonts w:ascii="Times New Roman" w:hAnsi="Times New Roman"/>
        </w:rPr>
        <w:t xml:space="preserve">By better aligning costs and funding sources, the revised cost recovery policy will enable a more robust allocation of resources across different activities. </w:t>
      </w:r>
      <w:r w:rsidR="00A609C2">
        <w:rPr>
          <w:rFonts w:ascii="Times New Roman" w:hAnsi="Times New Roman"/>
        </w:rPr>
        <w:t xml:space="preserve">In particular, the direct attribution of centrally managed costs (ref: Table </w:t>
      </w:r>
      <w:r w:rsidR="0049750F">
        <w:rPr>
          <w:rFonts w:ascii="Times New Roman" w:hAnsi="Times New Roman"/>
        </w:rPr>
        <w:t>3</w:t>
      </w:r>
      <w:r w:rsidR="00A609C2">
        <w:rPr>
          <w:rFonts w:ascii="Times New Roman" w:hAnsi="Times New Roman"/>
        </w:rPr>
        <w:t xml:space="preserve"> in the present paper) will enable budget owners and donors to be better informed regarding the costs of projects, thus facilitating decision-making that is more conducive to generating efficiencies. </w:t>
      </w:r>
    </w:p>
    <w:p w:rsidR="006209E4" w:rsidRDefault="0049750F" w:rsidP="006209E4">
      <w:pPr>
        <w:pStyle w:val="a3"/>
        <w:numPr>
          <w:ilvl w:val="0"/>
          <w:numId w:val="4"/>
        </w:numPr>
        <w:contextualSpacing w:val="0"/>
        <w:jc w:val="both"/>
        <w:rPr>
          <w:rFonts w:ascii="Times New Roman" w:hAnsi="Times New Roman"/>
        </w:rPr>
      </w:pPr>
      <w:r>
        <w:rPr>
          <w:rFonts w:ascii="Times New Roman" w:hAnsi="Times New Roman"/>
        </w:rPr>
        <w:t>C</w:t>
      </w:r>
      <w:r w:rsidR="005D0090">
        <w:rPr>
          <w:rFonts w:ascii="Times New Roman" w:hAnsi="Times New Roman"/>
        </w:rPr>
        <w:t xml:space="preserve">ost recovery </w:t>
      </w:r>
      <w:r w:rsidR="00504C23">
        <w:rPr>
          <w:rFonts w:ascii="Times New Roman" w:hAnsi="Times New Roman"/>
        </w:rPr>
        <w:t xml:space="preserve">policy is not a means in itself to achieve cost efficiencies and </w:t>
      </w:r>
      <w:r w:rsidR="005D0090">
        <w:rPr>
          <w:rFonts w:ascii="Times New Roman" w:hAnsi="Times New Roman"/>
        </w:rPr>
        <w:t>should not be seen in isolation from all other initiatives that have strengthened transparency, harmonization and cost efficiencies</w:t>
      </w:r>
      <w:r w:rsidR="00D77300">
        <w:rPr>
          <w:rFonts w:ascii="Times New Roman" w:hAnsi="Times New Roman"/>
        </w:rPr>
        <w:t xml:space="preserve"> in the Organizations</w:t>
      </w:r>
      <w:r w:rsidR="005D0090">
        <w:rPr>
          <w:rFonts w:ascii="Times New Roman" w:hAnsi="Times New Roman"/>
        </w:rPr>
        <w:t xml:space="preserve">. </w:t>
      </w:r>
      <w:r w:rsidR="00BB48AA">
        <w:rPr>
          <w:rFonts w:ascii="Times New Roman" w:hAnsi="Times New Roman"/>
        </w:rPr>
        <w:t xml:space="preserve">These initiatives are highlighted </w:t>
      </w:r>
      <w:r w:rsidR="00E416E5">
        <w:rPr>
          <w:rFonts w:ascii="Times New Roman" w:hAnsi="Times New Roman"/>
        </w:rPr>
        <w:t xml:space="preserve">in the budget submissions of each Organization </w:t>
      </w:r>
      <w:r w:rsidR="00BB48AA">
        <w:rPr>
          <w:rFonts w:ascii="Times New Roman" w:hAnsi="Times New Roman"/>
        </w:rPr>
        <w:t xml:space="preserve">and will continue to be included in </w:t>
      </w:r>
      <w:r w:rsidR="00E416E5">
        <w:rPr>
          <w:rFonts w:ascii="Times New Roman" w:hAnsi="Times New Roman"/>
        </w:rPr>
        <w:t>future Integrated Budget documents</w:t>
      </w:r>
      <w:r w:rsidR="0023605E">
        <w:rPr>
          <w:rFonts w:ascii="Times New Roman" w:hAnsi="Times New Roman"/>
        </w:rPr>
        <w:t xml:space="preserve"> to complement the cost-recovery policy and to improve efficiency</w:t>
      </w:r>
      <w:r w:rsidR="00BB48AA">
        <w:rPr>
          <w:rFonts w:ascii="Times New Roman" w:hAnsi="Times New Roman"/>
        </w:rPr>
        <w:t>.</w:t>
      </w:r>
      <w:r w:rsidR="00951806" w:rsidRPr="00951806">
        <w:rPr>
          <w:rFonts w:ascii="Times New Roman" w:hAnsi="Times New Roman"/>
        </w:rPr>
        <w:t xml:space="preserve"> </w:t>
      </w:r>
      <w:r w:rsidR="00951806">
        <w:rPr>
          <w:rFonts w:ascii="Times New Roman" w:hAnsi="Times New Roman"/>
        </w:rPr>
        <w:t>Independent of the cost recover</w:t>
      </w:r>
      <w:r w:rsidR="00935B78">
        <w:rPr>
          <w:rFonts w:ascii="Times New Roman" w:hAnsi="Times New Roman"/>
        </w:rPr>
        <w:t>y</w:t>
      </w:r>
      <w:r w:rsidR="00951806">
        <w:rPr>
          <w:rFonts w:ascii="Times New Roman" w:hAnsi="Times New Roman"/>
        </w:rPr>
        <w:t xml:space="preserve"> rate, such initiatives contribute in lowering the overall costs charged either directly or indirectly.</w:t>
      </w:r>
    </w:p>
    <w:p w:rsidR="002E0834" w:rsidRPr="00A53EFA" w:rsidRDefault="006D4763" w:rsidP="002E0834">
      <w:pPr>
        <w:jc w:val="both"/>
        <w:rPr>
          <w:rFonts w:ascii="Times New Roman" w:hAnsi="Times New Roman"/>
        </w:rPr>
      </w:pPr>
      <w:r w:rsidRPr="00A53EFA">
        <w:rPr>
          <w:rFonts w:ascii="Times New Roman" w:hAnsi="Times New Roman"/>
        </w:rPr>
        <w:t xml:space="preserve">Executive Board decision 2012/27 </w:t>
      </w:r>
      <w:r w:rsidR="002E0834" w:rsidRPr="00A53EFA">
        <w:rPr>
          <w:rFonts w:ascii="Times New Roman" w:hAnsi="Times New Roman"/>
        </w:rPr>
        <w:t xml:space="preserve">further requested agencies to provide: </w:t>
      </w:r>
    </w:p>
    <w:p w:rsidR="002E0834" w:rsidRDefault="002E0834" w:rsidP="002E0834">
      <w:pPr>
        <w:jc w:val="both"/>
        <w:rPr>
          <w:rFonts w:ascii="Times New Roman" w:hAnsi="Times New Roman"/>
          <w:i/>
        </w:rPr>
      </w:pPr>
      <w:r w:rsidRPr="00A53EFA">
        <w:rPr>
          <w:rFonts w:ascii="Times New Roman" w:hAnsi="Times New Roman"/>
          <w:i/>
        </w:rPr>
        <w:t>(a)</w:t>
      </w:r>
      <w:r w:rsidRPr="00A53EFA">
        <w:rPr>
          <w:rFonts w:ascii="Times New Roman" w:hAnsi="Times New Roman"/>
          <w:i/>
        </w:rPr>
        <w:tab/>
        <w:t>Different scenarios of harmonized versus organization-specific cost-recovery rates and their possible consequences and risks;</w:t>
      </w:r>
    </w:p>
    <w:p w:rsidR="00066A86" w:rsidRDefault="00066A86" w:rsidP="00066A86">
      <w:pPr>
        <w:pStyle w:val="a3"/>
        <w:numPr>
          <w:ilvl w:val="0"/>
          <w:numId w:val="4"/>
        </w:numPr>
        <w:contextualSpacing w:val="0"/>
        <w:jc w:val="both"/>
        <w:rPr>
          <w:rFonts w:ascii="Times New Roman" w:hAnsi="Times New Roman"/>
        </w:rPr>
      </w:pPr>
      <w:r>
        <w:rPr>
          <w:rFonts w:ascii="Times New Roman" w:hAnsi="Times New Roman"/>
        </w:rPr>
        <w:t xml:space="preserve">Table </w:t>
      </w:r>
      <w:r w:rsidR="009A7B47">
        <w:rPr>
          <w:rFonts w:ascii="Times New Roman" w:hAnsi="Times New Roman"/>
        </w:rPr>
        <w:t>4</w:t>
      </w:r>
      <w:r>
        <w:rPr>
          <w:rFonts w:ascii="Times New Roman" w:hAnsi="Times New Roman"/>
        </w:rPr>
        <w:t xml:space="preserve"> below shows a comparative analysis of harmonized versus organization-specific cost recovery rates, including opportunities, challenges and risks:</w:t>
      </w:r>
    </w:p>
    <w:p w:rsidR="00066A86" w:rsidRPr="00066A86" w:rsidRDefault="009A7B47" w:rsidP="00066A86">
      <w:pPr>
        <w:contextualSpacing/>
        <w:jc w:val="both"/>
        <w:rPr>
          <w:rFonts w:ascii="Times New Roman" w:hAnsi="Times New Roman"/>
          <w:i/>
          <w:sz w:val="20"/>
          <w:szCs w:val="20"/>
        </w:rPr>
      </w:pPr>
      <w:r>
        <w:rPr>
          <w:rFonts w:ascii="Times New Roman" w:hAnsi="Times New Roman"/>
          <w:i/>
          <w:sz w:val="20"/>
          <w:szCs w:val="20"/>
        </w:rPr>
        <w:t>Table 4</w:t>
      </w:r>
      <w:r w:rsidR="00066A86" w:rsidRPr="00066A86">
        <w:rPr>
          <w:rFonts w:ascii="Times New Roman" w:hAnsi="Times New Roman"/>
          <w:i/>
          <w:sz w:val="20"/>
          <w:szCs w:val="20"/>
        </w:rPr>
        <w:t xml:space="preserve">: </w:t>
      </w:r>
      <w:r w:rsidR="00066A86">
        <w:rPr>
          <w:rFonts w:ascii="Times New Roman" w:hAnsi="Times New Roman"/>
          <w:i/>
          <w:sz w:val="20"/>
          <w:szCs w:val="20"/>
        </w:rPr>
        <w:t>Harmonized versus organization-specific rates</w:t>
      </w:r>
    </w:p>
    <w:p w:rsidR="00066A86" w:rsidRPr="00066A86" w:rsidRDefault="002C4552" w:rsidP="00066A86">
      <w:pPr>
        <w:jc w:val="both"/>
        <w:rPr>
          <w:rFonts w:ascii="Times New Roman" w:hAnsi="Times New Roman"/>
        </w:rPr>
      </w:pPr>
      <w:r w:rsidRPr="008326CF">
        <w:rPr>
          <w:noProof/>
          <w:lang w:val="ru-RU" w:eastAsia="ru-RU"/>
        </w:rPr>
        <w:drawing>
          <wp:inline distT="0" distB="0" distL="0" distR="0">
            <wp:extent cx="5362575" cy="2362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2362200"/>
                    </a:xfrm>
                    <a:prstGeom prst="rect">
                      <a:avLst/>
                    </a:prstGeom>
                    <a:noFill/>
                    <a:ln>
                      <a:noFill/>
                    </a:ln>
                  </pic:spPr>
                </pic:pic>
              </a:graphicData>
            </a:graphic>
          </wp:inline>
        </w:drawing>
      </w:r>
    </w:p>
    <w:p w:rsidR="003C62C4" w:rsidRPr="00066A86" w:rsidRDefault="00215D2F" w:rsidP="00066A86">
      <w:pPr>
        <w:pStyle w:val="a3"/>
        <w:numPr>
          <w:ilvl w:val="0"/>
          <w:numId w:val="4"/>
        </w:numPr>
        <w:contextualSpacing w:val="0"/>
        <w:jc w:val="both"/>
        <w:rPr>
          <w:rFonts w:ascii="Times New Roman" w:hAnsi="Times New Roman"/>
        </w:rPr>
      </w:pPr>
      <w:r>
        <w:rPr>
          <w:rFonts w:ascii="Times New Roman" w:hAnsi="Times New Roman"/>
        </w:rPr>
        <w:t>W</w:t>
      </w:r>
      <w:r w:rsidR="00CC6B72">
        <w:rPr>
          <w:rFonts w:ascii="Times New Roman" w:hAnsi="Times New Roman"/>
        </w:rPr>
        <w:t>hile acknowledging the opportunities, challenges and risks noted above for both organization-specific rates and harmonized rates, the agencies are strongly recommending the continuation of the harmonized rate</w:t>
      </w:r>
      <w:r>
        <w:rPr>
          <w:rFonts w:ascii="Times New Roman" w:hAnsi="Times New Roman"/>
        </w:rPr>
        <w:t xml:space="preserve"> option</w:t>
      </w:r>
      <w:r w:rsidR="00CC6B72">
        <w:rPr>
          <w:rFonts w:ascii="Times New Roman" w:hAnsi="Times New Roman"/>
        </w:rPr>
        <w:t xml:space="preserve"> for</w:t>
      </w:r>
      <w:r>
        <w:rPr>
          <w:rFonts w:ascii="Times New Roman" w:hAnsi="Times New Roman"/>
        </w:rPr>
        <w:t xml:space="preserve"> </w:t>
      </w:r>
      <w:r w:rsidR="00BB2B81">
        <w:rPr>
          <w:rFonts w:ascii="Times New Roman" w:hAnsi="Times New Roman"/>
        </w:rPr>
        <w:t xml:space="preserve">other resources </w:t>
      </w:r>
      <w:r w:rsidR="00CC6B72">
        <w:rPr>
          <w:rFonts w:ascii="Times New Roman" w:hAnsi="Times New Roman"/>
        </w:rPr>
        <w:t xml:space="preserve"> cost recovery, which has </w:t>
      </w:r>
      <w:r w:rsidR="00066A86">
        <w:rPr>
          <w:rFonts w:ascii="Times New Roman" w:hAnsi="Times New Roman"/>
        </w:rPr>
        <w:t>been</w:t>
      </w:r>
      <w:r w:rsidR="00CC6B72">
        <w:rPr>
          <w:rFonts w:ascii="Times New Roman" w:hAnsi="Times New Roman"/>
        </w:rPr>
        <w:t xml:space="preserve"> in effect</w:t>
      </w:r>
      <w:r w:rsidR="00066A86">
        <w:rPr>
          <w:rFonts w:ascii="Times New Roman" w:hAnsi="Times New Roman"/>
        </w:rPr>
        <w:t xml:space="preserve"> for the past several biennia. </w:t>
      </w:r>
      <w:r w:rsidR="00FE02C2">
        <w:rPr>
          <w:rFonts w:ascii="Times New Roman" w:hAnsi="Times New Roman"/>
        </w:rPr>
        <w:t>H</w:t>
      </w:r>
      <w:r w:rsidR="00407AC1" w:rsidRPr="00066A86">
        <w:rPr>
          <w:rFonts w:ascii="Times New Roman" w:hAnsi="Times New Roman"/>
        </w:rPr>
        <w:t>armonized rate</w:t>
      </w:r>
      <w:r w:rsidR="00066A86">
        <w:rPr>
          <w:rFonts w:ascii="Times New Roman" w:hAnsi="Times New Roman"/>
        </w:rPr>
        <w:t>s</w:t>
      </w:r>
      <w:r w:rsidR="00407AC1" w:rsidRPr="00066A86">
        <w:rPr>
          <w:rFonts w:ascii="Times New Roman" w:hAnsi="Times New Roman"/>
        </w:rPr>
        <w:t xml:space="preserve"> </w:t>
      </w:r>
      <w:r w:rsidR="00066A86">
        <w:rPr>
          <w:rFonts w:ascii="Times New Roman" w:hAnsi="Times New Roman"/>
        </w:rPr>
        <w:t xml:space="preserve">are </w:t>
      </w:r>
      <w:r w:rsidR="00407AC1" w:rsidRPr="00066A86">
        <w:rPr>
          <w:rFonts w:ascii="Times New Roman" w:hAnsi="Times New Roman"/>
        </w:rPr>
        <w:t>an integral dimension of UN coherence, particularly at the country level, and to providing the right incentives for Delivering as One and joint programming.</w:t>
      </w:r>
    </w:p>
    <w:p w:rsidR="008B4700" w:rsidRPr="00312C8E" w:rsidRDefault="002E0834" w:rsidP="00DE6F72">
      <w:pPr>
        <w:pStyle w:val="a3"/>
        <w:numPr>
          <w:ilvl w:val="0"/>
          <w:numId w:val="8"/>
        </w:numPr>
        <w:ind w:left="0" w:firstLine="360"/>
        <w:jc w:val="both"/>
        <w:rPr>
          <w:rFonts w:ascii="Times New Roman" w:hAnsi="Times New Roman"/>
          <w:i/>
        </w:rPr>
      </w:pPr>
      <w:r w:rsidRPr="00312C8E">
        <w:rPr>
          <w:rFonts w:ascii="Times New Roman" w:hAnsi="Times New Roman"/>
          <w:i/>
        </w:rPr>
        <w:t xml:space="preserve">The effects of differentiated rates – those taking into account different volumes of funds and the different nature of funds, including, inter alia, complex development situations with attendant increased risks, programme-country contributions and the degree of earmarking – on mobilizing core as well as non-core contributions and the </w:t>
      </w:r>
      <w:r w:rsidR="00EC4791" w:rsidRPr="00312C8E">
        <w:rPr>
          <w:rFonts w:ascii="Times New Roman" w:hAnsi="Times New Roman"/>
          <w:i/>
        </w:rPr>
        <w:t>kinds of non-core contributions</w:t>
      </w:r>
    </w:p>
    <w:p w:rsidR="00EE5E41" w:rsidRDefault="00EE5E41" w:rsidP="00EE5E41">
      <w:pPr>
        <w:pStyle w:val="a3"/>
        <w:numPr>
          <w:ilvl w:val="0"/>
          <w:numId w:val="4"/>
        </w:numPr>
        <w:contextualSpacing w:val="0"/>
        <w:jc w:val="both"/>
        <w:rPr>
          <w:rFonts w:ascii="Times New Roman" w:hAnsi="Times New Roman"/>
        </w:rPr>
      </w:pPr>
      <w:r>
        <w:rPr>
          <w:rFonts w:ascii="Times New Roman" w:hAnsi="Times New Roman"/>
        </w:rPr>
        <w:t xml:space="preserve">While the present model is harmonized with a 7% rate, limited differentiated </w:t>
      </w:r>
      <w:r w:rsidR="002244F1">
        <w:rPr>
          <w:rFonts w:ascii="Times New Roman" w:hAnsi="Times New Roman"/>
        </w:rPr>
        <w:t xml:space="preserve">rates </w:t>
      </w:r>
      <w:r>
        <w:rPr>
          <w:rFonts w:ascii="Times New Roman" w:hAnsi="Times New Roman"/>
        </w:rPr>
        <w:t>currently exist, as sho</w:t>
      </w:r>
      <w:r w:rsidR="009A7B47">
        <w:rPr>
          <w:rFonts w:ascii="Times New Roman" w:hAnsi="Times New Roman"/>
        </w:rPr>
        <w:t>wn in Table 5</w:t>
      </w:r>
      <w:r>
        <w:rPr>
          <w:rFonts w:ascii="Times New Roman" w:hAnsi="Times New Roman"/>
        </w:rPr>
        <w:t xml:space="preserve"> below:</w:t>
      </w:r>
    </w:p>
    <w:p w:rsidR="00EE5E41" w:rsidRDefault="00EE5E41" w:rsidP="002244F1">
      <w:pPr>
        <w:contextualSpacing/>
        <w:jc w:val="both"/>
        <w:rPr>
          <w:rFonts w:ascii="Times New Roman" w:hAnsi="Times New Roman"/>
          <w:i/>
          <w:sz w:val="20"/>
          <w:szCs w:val="20"/>
        </w:rPr>
      </w:pPr>
      <w:r w:rsidRPr="00EE5E41">
        <w:rPr>
          <w:rFonts w:ascii="Times New Roman" w:hAnsi="Times New Roman"/>
          <w:i/>
          <w:sz w:val="20"/>
          <w:szCs w:val="20"/>
        </w:rPr>
        <w:t xml:space="preserve">Table </w:t>
      </w:r>
      <w:r w:rsidR="009A7B47">
        <w:rPr>
          <w:rFonts w:ascii="Times New Roman" w:hAnsi="Times New Roman"/>
          <w:i/>
          <w:sz w:val="20"/>
          <w:szCs w:val="20"/>
        </w:rPr>
        <w:t>5</w:t>
      </w:r>
      <w:r w:rsidRPr="00EE5E41">
        <w:rPr>
          <w:rFonts w:ascii="Times New Roman" w:hAnsi="Times New Roman"/>
          <w:i/>
          <w:sz w:val="20"/>
          <w:szCs w:val="20"/>
        </w:rPr>
        <w:t xml:space="preserve">: </w:t>
      </w:r>
      <w:r>
        <w:rPr>
          <w:rFonts w:ascii="Times New Roman" w:hAnsi="Times New Roman"/>
          <w:i/>
          <w:sz w:val="20"/>
          <w:szCs w:val="20"/>
        </w:rPr>
        <w:t>Current differentiated rates, within the harmonized 7% model</w:t>
      </w:r>
    </w:p>
    <w:p w:rsidR="00D6716B" w:rsidRDefault="00D6716B" w:rsidP="002244F1">
      <w:pPr>
        <w:contextualSpacing/>
        <w:jc w:val="both"/>
        <w:rPr>
          <w:rFonts w:ascii="Times New Roman" w:hAnsi="Times New Roman"/>
          <w:i/>
          <w:sz w:val="20"/>
          <w:szCs w:val="20"/>
        </w:rPr>
      </w:pPr>
    </w:p>
    <w:p w:rsidR="00D6716B" w:rsidRDefault="002C4552" w:rsidP="002244F1">
      <w:pPr>
        <w:contextualSpacing/>
        <w:jc w:val="both"/>
        <w:rPr>
          <w:rFonts w:ascii="Times New Roman" w:hAnsi="Times New Roman"/>
          <w:i/>
          <w:sz w:val="20"/>
          <w:szCs w:val="20"/>
        </w:rPr>
      </w:pPr>
      <w:r w:rsidRPr="00D6716B">
        <w:rPr>
          <w:noProof/>
          <w:lang w:val="ru-RU" w:eastAsia="ru-RU"/>
        </w:rPr>
        <w:drawing>
          <wp:inline distT="0" distB="0" distL="0" distR="0">
            <wp:extent cx="5943600" cy="19145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14525"/>
                    </a:xfrm>
                    <a:prstGeom prst="rect">
                      <a:avLst/>
                    </a:prstGeom>
                    <a:noFill/>
                    <a:ln>
                      <a:noFill/>
                    </a:ln>
                  </pic:spPr>
                </pic:pic>
              </a:graphicData>
            </a:graphic>
          </wp:inline>
        </w:drawing>
      </w:r>
    </w:p>
    <w:p w:rsidR="00622825" w:rsidRPr="00CC6B72" w:rsidRDefault="00622825" w:rsidP="00622825">
      <w:pPr>
        <w:pStyle w:val="a3"/>
        <w:numPr>
          <w:ilvl w:val="0"/>
          <w:numId w:val="4"/>
        </w:numPr>
        <w:contextualSpacing w:val="0"/>
        <w:jc w:val="both"/>
        <w:rPr>
          <w:rFonts w:ascii="Times New Roman" w:hAnsi="Times New Roman"/>
        </w:rPr>
      </w:pPr>
      <w:r w:rsidRPr="00CC6B72">
        <w:rPr>
          <w:rFonts w:ascii="Times New Roman" w:hAnsi="Times New Roman"/>
        </w:rPr>
        <w:t xml:space="preserve">As detailed in previous paragraphs, the Agencies strongly recommend the continuation of a harmonized cost recovery rate for </w:t>
      </w:r>
      <w:r w:rsidR="00BB2B81">
        <w:rPr>
          <w:rFonts w:ascii="Times New Roman" w:hAnsi="Times New Roman"/>
        </w:rPr>
        <w:t>other resource</w:t>
      </w:r>
      <w:r w:rsidR="00A01427">
        <w:rPr>
          <w:rFonts w:ascii="Times New Roman" w:hAnsi="Times New Roman"/>
        </w:rPr>
        <w:t xml:space="preserve"> c</w:t>
      </w:r>
      <w:r w:rsidRPr="00CC6B72">
        <w:rPr>
          <w:rFonts w:ascii="Times New Roman" w:hAnsi="Times New Roman"/>
        </w:rPr>
        <w:t>ontributions at the newly proposed level of 8%.  In addition, the agencies are proposing that the following differentiated cost recovery rate structure apply:</w:t>
      </w:r>
    </w:p>
    <w:p w:rsidR="00622825" w:rsidRPr="00CC6B72" w:rsidRDefault="00312C8E" w:rsidP="00622825">
      <w:pPr>
        <w:pStyle w:val="a3"/>
        <w:numPr>
          <w:ilvl w:val="0"/>
          <w:numId w:val="17"/>
        </w:numPr>
        <w:spacing w:after="0" w:line="240" w:lineRule="auto"/>
        <w:contextualSpacing w:val="0"/>
        <w:rPr>
          <w:rFonts w:ascii="Times New Roman" w:hAnsi="Times New Roman"/>
        </w:rPr>
      </w:pPr>
      <w:r>
        <w:rPr>
          <w:rFonts w:ascii="Times New Roman" w:hAnsi="Times New Roman"/>
        </w:rPr>
        <w:t xml:space="preserve">a </w:t>
      </w:r>
      <w:r w:rsidR="00881FE7">
        <w:rPr>
          <w:rFonts w:ascii="Times New Roman" w:hAnsi="Times New Roman"/>
        </w:rPr>
        <w:t xml:space="preserve">harmonized </w:t>
      </w:r>
      <w:r>
        <w:rPr>
          <w:rFonts w:ascii="Times New Roman" w:hAnsi="Times New Roman"/>
        </w:rPr>
        <w:t>1% reduction</w:t>
      </w:r>
      <w:r w:rsidR="00622825" w:rsidRPr="00CC6B72">
        <w:rPr>
          <w:rFonts w:ascii="Times New Roman" w:hAnsi="Times New Roman"/>
        </w:rPr>
        <w:t xml:space="preserve"> for non-core </w:t>
      </w:r>
      <w:r w:rsidR="002F4C49">
        <w:rPr>
          <w:rFonts w:ascii="Times New Roman" w:hAnsi="Times New Roman"/>
        </w:rPr>
        <w:t xml:space="preserve">agreements </w:t>
      </w:r>
      <w:r w:rsidR="00622825" w:rsidRPr="00CC6B72">
        <w:rPr>
          <w:rFonts w:ascii="Times New Roman" w:hAnsi="Times New Roman"/>
        </w:rPr>
        <w:t xml:space="preserve"> greater than $40 million (8%-1% = 7%)</w:t>
      </w:r>
    </w:p>
    <w:p w:rsidR="00622825" w:rsidRPr="00E2051F" w:rsidRDefault="00DC1526" w:rsidP="00D6716B">
      <w:pPr>
        <w:pStyle w:val="a3"/>
        <w:numPr>
          <w:ilvl w:val="0"/>
          <w:numId w:val="17"/>
        </w:numPr>
        <w:spacing w:after="0" w:line="240" w:lineRule="auto"/>
        <w:ind w:left="720" w:hanging="360"/>
        <w:contextualSpacing w:val="0"/>
        <w:rPr>
          <w:rFonts w:ascii="Times New Roman" w:hAnsi="Times New Roman"/>
        </w:rPr>
      </w:pPr>
      <w:r w:rsidRPr="00E2051F">
        <w:rPr>
          <w:rFonts w:ascii="Times New Roman" w:hAnsi="Times New Roman"/>
        </w:rPr>
        <w:t xml:space="preserve">a harmonized 2% </w:t>
      </w:r>
      <w:r w:rsidR="00312C8E" w:rsidRPr="00E2051F">
        <w:rPr>
          <w:rFonts w:ascii="Times New Roman" w:hAnsi="Times New Roman"/>
        </w:rPr>
        <w:t>reduction for thematic funds</w:t>
      </w:r>
      <w:r w:rsidRPr="00E2051F">
        <w:rPr>
          <w:rFonts w:ascii="Times New Roman" w:hAnsi="Times New Roman"/>
        </w:rPr>
        <w:t xml:space="preserve"> for UNDP, UNICEF and UNFPA</w:t>
      </w:r>
      <w:r w:rsidR="00312C8E" w:rsidRPr="00E2051F">
        <w:rPr>
          <w:rFonts w:ascii="Times New Roman" w:hAnsi="Times New Roman"/>
        </w:rPr>
        <w:t xml:space="preserve"> </w:t>
      </w:r>
      <w:r w:rsidR="00940278" w:rsidRPr="00E2051F">
        <w:rPr>
          <w:rFonts w:ascii="Times New Roman" w:hAnsi="Times New Roman"/>
        </w:rPr>
        <w:t>(8% - 2% = 6</w:t>
      </w:r>
      <w:r w:rsidR="00E2051F" w:rsidRPr="00E2051F">
        <w:rPr>
          <w:rFonts w:ascii="Times New Roman" w:hAnsi="Times New Roman"/>
        </w:rPr>
        <w:t>%) (UNWOMEN will maintain the 8% subject to its discretion)</w:t>
      </w:r>
      <w:r w:rsidR="00E2051F">
        <w:rPr>
          <w:rFonts w:ascii="Times New Roman" w:hAnsi="Times New Roman"/>
        </w:rPr>
        <w:t xml:space="preserve"> [subject to UNWOMEN finalization]</w:t>
      </w:r>
    </w:p>
    <w:p w:rsidR="002F4C49" w:rsidRDefault="00940278" w:rsidP="00D6716B">
      <w:pPr>
        <w:pStyle w:val="a3"/>
        <w:numPr>
          <w:ilvl w:val="0"/>
          <w:numId w:val="17"/>
        </w:numPr>
        <w:spacing w:after="0" w:line="240" w:lineRule="auto"/>
        <w:ind w:left="720" w:hanging="360"/>
        <w:contextualSpacing w:val="0"/>
        <w:rPr>
          <w:rFonts w:ascii="Times New Roman" w:hAnsi="Times New Roman"/>
        </w:rPr>
      </w:pPr>
      <w:r w:rsidRPr="00DC1526">
        <w:rPr>
          <w:rFonts w:ascii="Times New Roman" w:hAnsi="Times New Roman"/>
        </w:rPr>
        <w:t xml:space="preserve">maintain the existing </w:t>
      </w:r>
      <w:r>
        <w:rPr>
          <w:rFonts w:ascii="Times New Roman" w:hAnsi="Times New Roman"/>
        </w:rPr>
        <w:t>preferential rate</w:t>
      </w:r>
      <w:r w:rsidR="00D6716B">
        <w:rPr>
          <w:rFonts w:ascii="Times New Roman" w:hAnsi="Times New Roman"/>
        </w:rPr>
        <w:t>s</w:t>
      </w:r>
      <w:r>
        <w:rPr>
          <w:rFonts w:ascii="Times New Roman" w:hAnsi="Times New Roman"/>
        </w:rPr>
        <w:t xml:space="preserve"> for </w:t>
      </w:r>
      <w:r w:rsidR="00312C8E">
        <w:rPr>
          <w:rFonts w:ascii="Times New Roman" w:hAnsi="Times New Roman"/>
        </w:rPr>
        <w:t>Government cost-sharing contributions</w:t>
      </w:r>
      <w:r w:rsidR="00D6716B">
        <w:rPr>
          <w:rFonts w:ascii="Times New Roman" w:hAnsi="Times New Roman"/>
        </w:rPr>
        <w:t>.</w:t>
      </w:r>
      <w:r w:rsidR="002F4C49">
        <w:rPr>
          <w:rFonts w:ascii="Times New Roman" w:hAnsi="Times New Roman"/>
        </w:rPr>
        <w:t xml:space="preserve">  Additionally, the same preferential rate</w:t>
      </w:r>
      <w:r w:rsidR="00D6716B">
        <w:rPr>
          <w:rFonts w:ascii="Times New Roman" w:hAnsi="Times New Roman"/>
        </w:rPr>
        <w:t>s</w:t>
      </w:r>
      <w:r w:rsidR="002F4C49">
        <w:rPr>
          <w:rFonts w:ascii="Times New Roman" w:hAnsi="Times New Roman"/>
        </w:rPr>
        <w:t xml:space="preserve"> will apply for south-south contributions.</w:t>
      </w:r>
    </w:p>
    <w:p w:rsidR="002F4C49" w:rsidRPr="002F4C49" w:rsidRDefault="00312C8E" w:rsidP="00D6716B">
      <w:pPr>
        <w:pStyle w:val="a3"/>
        <w:numPr>
          <w:ilvl w:val="0"/>
          <w:numId w:val="17"/>
        </w:numPr>
        <w:spacing w:after="0" w:line="240" w:lineRule="auto"/>
        <w:ind w:left="720" w:hanging="360"/>
        <w:contextualSpacing w:val="0"/>
        <w:rPr>
          <w:rFonts w:ascii="Times New Roman" w:hAnsi="Times New Roman"/>
        </w:rPr>
      </w:pPr>
      <w:r w:rsidRPr="002F4C49">
        <w:rPr>
          <w:rFonts w:ascii="Times New Roman" w:hAnsi="Times New Roman"/>
        </w:rPr>
        <w:t xml:space="preserve"> </w:t>
      </w:r>
      <w:r w:rsidR="0077003C" w:rsidRPr="002F4C49">
        <w:rPr>
          <w:rFonts w:ascii="Times New Roman" w:hAnsi="Times New Roman"/>
        </w:rPr>
        <w:t>m</w:t>
      </w:r>
      <w:r w:rsidR="0049750F" w:rsidRPr="002F4C49">
        <w:rPr>
          <w:rFonts w:ascii="Times New Roman" w:hAnsi="Times New Roman"/>
        </w:rPr>
        <w:t xml:space="preserve">aintain </w:t>
      </w:r>
      <w:r w:rsidR="0077003C" w:rsidRPr="002F4C49">
        <w:rPr>
          <w:rFonts w:ascii="Times New Roman" w:hAnsi="Times New Roman"/>
        </w:rPr>
        <w:t>cost recovery rates contained in e</w:t>
      </w:r>
      <w:r w:rsidR="0049750F" w:rsidRPr="002F4C49">
        <w:rPr>
          <w:rFonts w:ascii="Times New Roman" w:hAnsi="Times New Roman"/>
        </w:rPr>
        <w:t xml:space="preserve">xisting inter-institutional formal agreements which apply UN system-wide with funding partners (ie: the cost recovery rate would be maintained at the rate previously established in </w:t>
      </w:r>
      <w:r w:rsidR="0077003C" w:rsidRPr="002F4C49">
        <w:rPr>
          <w:rFonts w:ascii="Times New Roman" w:hAnsi="Times New Roman"/>
        </w:rPr>
        <w:t xml:space="preserve">any </w:t>
      </w:r>
      <w:r w:rsidR="0049750F" w:rsidRPr="002F4C49">
        <w:rPr>
          <w:rFonts w:ascii="Times New Roman" w:hAnsi="Times New Roman"/>
        </w:rPr>
        <w:t>formal existing inter-institutional agreement</w:t>
      </w:r>
      <w:r w:rsidR="0077003C" w:rsidRPr="002F4C49">
        <w:rPr>
          <w:rFonts w:ascii="Times New Roman" w:hAnsi="Times New Roman"/>
        </w:rPr>
        <w:t>s)</w:t>
      </w:r>
      <w:r w:rsidR="002F4C49" w:rsidRPr="002F4C49">
        <w:t xml:space="preserve"> </w:t>
      </w:r>
    </w:p>
    <w:p w:rsidR="009459A1" w:rsidRPr="002F4C49" w:rsidRDefault="00622825" w:rsidP="002F4C49">
      <w:pPr>
        <w:pStyle w:val="a3"/>
        <w:numPr>
          <w:ilvl w:val="0"/>
          <w:numId w:val="17"/>
        </w:numPr>
        <w:spacing w:after="0" w:line="240" w:lineRule="auto"/>
        <w:ind w:left="720" w:hanging="360"/>
        <w:contextualSpacing w:val="0"/>
        <w:rPr>
          <w:rFonts w:ascii="Times New Roman" w:hAnsi="Times New Roman"/>
          <w:i/>
        </w:rPr>
      </w:pPr>
      <w:r w:rsidRPr="002F4C49">
        <w:rPr>
          <w:rFonts w:ascii="Times New Roman" w:hAnsi="Times New Roman"/>
        </w:rPr>
        <w:t xml:space="preserve">a 0.5% surcharge </w:t>
      </w:r>
      <w:r w:rsidR="00F25AD9" w:rsidRPr="002F4C49">
        <w:rPr>
          <w:rFonts w:ascii="Times New Roman" w:hAnsi="Times New Roman"/>
        </w:rPr>
        <w:t xml:space="preserve">is proposed </w:t>
      </w:r>
      <w:r w:rsidRPr="002F4C49">
        <w:rPr>
          <w:rFonts w:ascii="Times New Roman" w:hAnsi="Times New Roman"/>
        </w:rPr>
        <w:t xml:space="preserve">to </w:t>
      </w:r>
      <w:r w:rsidR="0077003C" w:rsidRPr="002F4C49">
        <w:rPr>
          <w:rFonts w:ascii="Times New Roman" w:hAnsi="Times New Roman"/>
        </w:rPr>
        <w:t>manage and address the higher risks associated with  activities</w:t>
      </w:r>
      <w:r w:rsidRPr="002F4C49">
        <w:rPr>
          <w:rFonts w:ascii="Times New Roman" w:hAnsi="Times New Roman"/>
        </w:rPr>
        <w:t xml:space="preserve"> in crisis and complex development situations  (8% + 0.5% = 8.5%)</w:t>
      </w:r>
      <w:r w:rsidR="00312C8E" w:rsidRPr="002F4C49">
        <w:rPr>
          <w:rFonts w:ascii="Times New Roman" w:hAnsi="Times New Roman"/>
        </w:rPr>
        <w:t>.</w:t>
      </w:r>
      <w:r w:rsidR="004F5CED" w:rsidRPr="002F4C49">
        <w:rPr>
          <w:rFonts w:ascii="Times New Roman" w:hAnsi="Times New Roman"/>
        </w:rPr>
        <w:t xml:space="preserve"> </w:t>
      </w:r>
      <w:r w:rsidR="00144D85" w:rsidRPr="002F4C49">
        <w:rPr>
          <w:rFonts w:ascii="Times New Roman" w:hAnsi="Times New Roman"/>
        </w:rPr>
        <w:t xml:space="preserve">This will </w:t>
      </w:r>
      <w:r w:rsidR="002F4C49">
        <w:rPr>
          <w:rFonts w:ascii="Times New Roman" w:hAnsi="Times New Roman"/>
        </w:rPr>
        <w:t xml:space="preserve">be </w:t>
      </w:r>
      <w:r w:rsidR="00144D85" w:rsidRPr="002F4C49">
        <w:rPr>
          <w:rFonts w:ascii="Times New Roman" w:hAnsi="Times New Roman"/>
        </w:rPr>
        <w:t>managed as a reserve and used when exceptional risk situations arise.</w:t>
      </w:r>
    </w:p>
    <w:p w:rsidR="0077003C" w:rsidRPr="0077003C" w:rsidRDefault="0077003C" w:rsidP="00DC1526">
      <w:pPr>
        <w:pStyle w:val="a3"/>
        <w:autoSpaceDE w:val="0"/>
        <w:autoSpaceDN w:val="0"/>
        <w:adjustRightInd w:val="0"/>
        <w:spacing w:after="0" w:line="240" w:lineRule="auto"/>
        <w:ind w:left="360"/>
        <w:contextualSpacing w:val="0"/>
        <w:jc w:val="both"/>
        <w:rPr>
          <w:rFonts w:ascii="Times New Roman" w:hAnsi="Times New Roman"/>
          <w:i/>
        </w:rPr>
      </w:pPr>
    </w:p>
    <w:p w:rsidR="009459A1" w:rsidRPr="009459A1" w:rsidRDefault="009459A1" w:rsidP="009459A1">
      <w:pPr>
        <w:pStyle w:val="a3"/>
        <w:numPr>
          <w:ilvl w:val="0"/>
          <w:numId w:val="4"/>
        </w:numPr>
        <w:autoSpaceDE w:val="0"/>
        <w:autoSpaceDN w:val="0"/>
        <w:adjustRightInd w:val="0"/>
        <w:spacing w:after="0" w:line="240" w:lineRule="auto"/>
        <w:rPr>
          <w:rFonts w:ascii="Times New Roman" w:hAnsi="Times New Roman"/>
          <w:i/>
        </w:rPr>
      </w:pPr>
      <w:r w:rsidRPr="00CC6B72">
        <w:rPr>
          <w:rFonts w:ascii="Times New Roman" w:hAnsi="Times New Roman"/>
        </w:rPr>
        <w:t xml:space="preserve">With respect to the mock Integrated Budget proposal,  Executive Board in decision 2012/27 </w:t>
      </w:r>
      <w:r w:rsidRPr="009459A1">
        <w:rPr>
          <w:rFonts w:ascii="Times New Roman" w:hAnsi="Times New Roman"/>
        </w:rPr>
        <w:t xml:space="preserve">(UNDP/UNFPA) and 2012/20 (UNICEF) </w:t>
      </w:r>
      <w:r w:rsidR="00120752">
        <w:rPr>
          <w:rFonts w:ascii="Times New Roman" w:hAnsi="Times New Roman"/>
        </w:rPr>
        <w:t>“</w:t>
      </w:r>
      <w:r w:rsidRPr="009459A1">
        <w:rPr>
          <w:rFonts w:ascii="Times New Roman" w:hAnsi="Times New Roman"/>
        </w:rPr>
        <w:t xml:space="preserve"> </w:t>
      </w:r>
      <w:r w:rsidRPr="009459A1">
        <w:rPr>
          <w:rFonts w:ascii="Times New Roman" w:hAnsi="Times New Roman"/>
          <w:i/>
        </w:rPr>
        <w:t>requested to receive, at the first regular session 2013, the mock-up of the integrated resource plan with a harmonized presentation of the cost-recovery amount and information on its use;</w:t>
      </w:r>
      <w:r w:rsidR="00120752">
        <w:rPr>
          <w:rFonts w:ascii="Times New Roman" w:hAnsi="Times New Roman"/>
          <w:i/>
        </w:rPr>
        <w:t>”</w:t>
      </w:r>
    </w:p>
    <w:p w:rsidR="009459A1" w:rsidRDefault="009459A1" w:rsidP="009459A1">
      <w:pPr>
        <w:autoSpaceDE w:val="0"/>
        <w:autoSpaceDN w:val="0"/>
        <w:adjustRightInd w:val="0"/>
        <w:spacing w:after="0" w:line="240" w:lineRule="auto"/>
        <w:rPr>
          <w:rFonts w:ascii="Times New Roman" w:hAnsi="Times New Roman"/>
          <w:i/>
        </w:rPr>
      </w:pPr>
    </w:p>
    <w:p w:rsidR="009459A1" w:rsidRPr="008314C9" w:rsidRDefault="009459A1" w:rsidP="009459A1">
      <w:pPr>
        <w:pStyle w:val="a3"/>
        <w:numPr>
          <w:ilvl w:val="0"/>
          <w:numId w:val="4"/>
        </w:numPr>
        <w:autoSpaceDE w:val="0"/>
        <w:autoSpaceDN w:val="0"/>
        <w:adjustRightInd w:val="0"/>
        <w:spacing w:after="0" w:line="240" w:lineRule="auto"/>
        <w:rPr>
          <w:rFonts w:ascii="Times New Roman" w:hAnsi="Times New Roman"/>
        </w:rPr>
      </w:pPr>
      <w:r>
        <w:rPr>
          <w:rFonts w:ascii="Times New Roman" w:hAnsi="Times New Roman"/>
        </w:rPr>
        <w:t xml:space="preserve">In response </w:t>
      </w:r>
      <w:r w:rsidR="00BA2EB5">
        <w:rPr>
          <w:rFonts w:ascii="Times New Roman" w:hAnsi="Times New Roman"/>
        </w:rPr>
        <w:t>to the above, the I</w:t>
      </w:r>
      <w:r>
        <w:rPr>
          <w:rFonts w:ascii="Times New Roman" w:hAnsi="Times New Roman"/>
        </w:rPr>
        <w:t xml:space="preserve">ntegrated </w:t>
      </w:r>
      <w:r w:rsidR="00BA2EB5">
        <w:rPr>
          <w:rFonts w:ascii="Times New Roman" w:hAnsi="Times New Roman"/>
        </w:rPr>
        <w:t>Resource P</w:t>
      </w:r>
      <w:r>
        <w:rPr>
          <w:rFonts w:ascii="Times New Roman" w:hAnsi="Times New Roman"/>
        </w:rPr>
        <w:t xml:space="preserve">lan table has been modified to clearly identify how funds from cost recovery will be allocated </w:t>
      </w:r>
      <w:r w:rsidR="00BA2EB5">
        <w:rPr>
          <w:rFonts w:ascii="Times New Roman" w:hAnsi="Times New Roman"/>
        </w:rPr>
        <w:t xml:space="preserve">in respect </w:t>
      </w:r>
      <w:r>
        <w:rPr>
          <w:rFonts w:ascii="Times New Roman" w:hAnsi="Times New Roman"/>
        </w:rPr>
        <w:t>to the approved cost classification categories</w:t>
      </w:r>
      <w:r w:rsidR="004F62A0">
        <w:rPr>
          <w:rFonts w:ascii="Times New Roman" w:hAnsi="Times New Roman"/>
        </w:rPr>
        <w:t>,</w:t>
      </w:r>
      <w:r>
        <w:rPr>
          <w:rFonts w:ascii="Times New Roman" w:hAnsi="Times New Roman"/>
        </w:rPr>
        <w:t xml:space="preserve"> applying the approved cost recovery methodology.</w:t>
      </w:r>
    </w:p>
    <w:p w:rsidR="002E0834" w:rsidRDefault="002E0834" w:rsidP="00AF3050">
      <w:pPr>
        <w:jc w:val="both"/>
        <w:rPr>
          <w:rFonts w:ascii="Times New Roman" w:hAnsi="Times New Roman"/>
        </w:rPr>
      </w:pPr>
    </w:p>
    <w:p w:rsidR="00A01427" w:rsidRDefault="00A01427" w:rsidP="00AF3050">
      <w:pPr>
        <w:jc w:val="both"/>
        <w:rPr>
          <w:rFonts w:ascii="Times New Roman" w:hAnsi="Times New Roman"/>
        </w:rPr>
      </w:pPr>
    </w:p>
    <w:p w:rsidR="0077003C" w:rsidRDefault="00ED4E51" w:rsidP="00AF3050">
      <w:pPr>
        <w:jc w:val="both"/>
        <w:rPr>
          <w:rFonts w:ascii="Times New Roman" w:hAnsi="Times New Roman"/>
        </w:rPr>
      </w:pPr>
      <w:r>
        <w:rPr>
          <w:rFonts w:ascii="Times New Roman" w:hAnsi="Times New Roman"/>
        </w:rPr>
        <w:br w:type="page"/>
      </w:r>
      <w:r w:rsidR="0077003C">
        <w:rPr>
          <w:rFonts w:ascii="Times New Roman" w:hAnsi="Times New Roman"/>
        </w:rPr>
        <w:t xml:space="preserve">Table </w:t>
      </w:r>
      <w:r w:rsidR="000E6F4A">
        <w:rPr>
          <w:rFonts w:ascii="Times New Roman" w:hAnsi="Times New Roman"/>
        </w:rPr>
        <w:t>6</w:t>
      </w:r>
      <w:r w:rsidR="0077003C">
        <w:rPr>
          <w:rFonts w:ascii="Times New Roman" w:hAnsi="Times New Roman"/>
        </w:rPr>
        <w:t>: Mock-up of Integrated Resource Plan</w:t>
      </w:r>
    </w:p>
    <w:p w:rsidR="00425855" w:rsidRDefault="002C4552" w:rsidP="00AF3050">
      <w:pPr>
        <w:jc w:val="both"/>
        <w:rPr>
          <w:rFonts w:ascii="Times New Roman" w:hAnsi="Times New Roman"/>
        </w:rPr>
      </w:pPr>
      <w:r w:rsidRPr="008326CF">
        <w:rPr>
          <w:noProof/>
          <w:lang w:val="ru-RU" w:eastAsia="ru-RU"/>
        </w:rPr>
        <w:drawing>
          <wp:inline distT="0" distB="0" distL="0" distR="0">
            <wp:extent cx="5943600" cy="3019425"/>
            <wp:effectExtent l="0" t="0" r="0" b="9525"/>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rsidR="002A1594" w:rsidRDefault="002A1594" w:rsidP="002A1594">
      <w:pPr>
        <w:jc w:val="both"/>
        <w:rPr>
          <w:rFonts w:ascii="Times New Roman" w:hAnsi="Times New Roman"/>
        </w:rPr>
      </w:pPr>
      <w:r>
        <w:rPr>
          <w:rFonts w:ascii="Times New Roman" w:hAnsi="Times New Roman"/>
        </w:rPr>
        <w:t>III.</w:t>
      </w:r>
      <w:r>
        <w:rPr>
          <w:rFonts w:ascii="Times New Roman" w:hAnsi="Times New Roman"/>
        </w:rPr>
        <w:tab/>
      </w:r>
      <w:r w:rsidR="00F73B36">
        <w:rPr>
          <w:rFonts w:ascii="Times New Roman" w:hAnsi="Times New Roman"/>
        </w:rPr>
        <w:t>Draft decision:</w:t>
      </w:r>
    </w:p>
    <w:p w:rsidR="002A1594" w:rsidRPr="003E686E" w:rsidRDefault="002A1594" w:rsidP="002A1594">
      <w:pPr>
        <w:rPr>
          <w:rFonts w:ascii="Times New Roman" w:hAnsi="Times New Roman"/>
        </w:rPr>
      </w:pPr>
      <w:r w:rsidRPr="003E686E">
        <w:rPr>
          <w:rFonts w:ascii="Times New Roman" w:hAnsi="Times New Roman"/>
        </w:rPr>
        <w:t>The Executive Board may wish to:</w:t>
      </w:r>
    </w:p>
    <w:p w:rsidR="00BD49BC" w:rsidRDefault="002A1594" w:rsidP="00BD49BC">
      <w:pPr>
        <w:pStyle w:val="a3"/>
        <w:numPr>
          <w:ilvl w:val="0"/>
          <w:numId w:val="27"/>
        </w:numPr>
        <w:contextualSpacing w:val="0"/>
        <w:rPr>
          <w:rFonts w:ascii="Times New Roman" w:hAnsi="Times New Roman"/>
        </w:rPr>
      </w:pPr>
      <w:r w:rsidRPr="00BD49BC">
        <w:rPr>
          <w:rFonts w:ascii="Times New Roman" w:hAnsi="Times New Roman"/>
        </w:rPr>
        <w:t>Recall decision 2012/27 (UNDP/UNFPA) and 2012/20 (UNICEF) requesting further development of the harmonized conceptual framework and calculation methodology for cost-recovery rates.</w:t>
      </w:r>
    </w:p>
    <w:p w:rsidR="00BD49BC" w:rsidRDefault="002A1594" w:rsidP="00BD49BC">
      <w:pPr>
        <w:pStyle w:val="a3"/>
        <w:numPr>
          <w:ilvl w:val="0"/>
          <w:numId w:val="27"/>
        </w:numPr>
        <w:contextualSpacing w:val="0"/>
        <w:rPr>
          <w:rFonts w:ascii="Times New Roman" w:hAnsi="Times New Roman"/>
        </w:rPr>
      </w:pPr>
      <w:r w:rsidRPr="00BD49BC">
        <w:rPr>
          <w:rFonts w:ascii="Times New Roman" w:hAnsi="Times New Roman"/>
        </w:rPr>
        <w:t>Approve the harmonized methodology for</w:t>
      </w:r>
      <w:r w:rsidR="003B301F" w:rsidRPr="00BD49BC">
        <w:rPr>
          <w:rFonts w:ascii="Times New Roman" w:hAnsi="Times New Roman"/>
        </w:rPr>
        <w:t xml:space="preserve"> the</w:t>
      </w:r>
      <w:r w:rsidRPr="00BD49BC">
        <w:rPr>
          <w:rFonts w:ascii="Times New Roman" w:hAnsi="Times New Roman"/>
        </w:rPr>
        <w:t xml:space="preserve"> calculation of cost-recovery rates presented in document DP-FPA/2012/1 - E/ICEF/2012/AB/L.6</w:t>
      </w:r>
      <w:r w:rsidR="003B301F" w:rsidRPr="00BD49BC">
        <w:rPr>
          <w:rFonts w:ascii="Times New Roman" w:hAnsi="Times New Roman"/>
        </w:rPr>
        <w:t xml:space="preserve"> and further developed in the present paper.</w:t>
      </w:r>
    </w:p>
    <w:p w:rsidR="00BD49BC" w:rsidRDefault="002A1594" w:rsidP="00BD49BC">
      <w:pPr>
        <w:pStyle w:val="a3"/>
        <w:numPr>
          <w:ilvl w:val="0"/>
          <w:numId w:val="27"/>
        </w:numPr>
        <w:contextualSpacing w:val="0"/>
        <w:rPr>
          <w:rFonts w:ascii="Times New Roman" w:hAnsi="Times New Roman"/>
        </w:rPr>
      </w:pPr>
      <w:r w:rsidRPr="00BD49BC">
        <w:rPr>
          <w:rFonts w:ascii="Times New Roman" w:hAnsi="Times New Roman"/>
        </w:rPr>
        <w:t>Endorse the harmonized cost recovery rate of 8% for non-core contribution</w:t>
      </w:r>
      <w:r w:rsidR="003B301F" w:rsidRPr="00BD49BC">
        <w:rPr>
          <w:rFonts w:ascii="Times New Roman" w:hAnsi="Times New Roman"/>
        </w:rPr>
        <w:t>s.</w:t>
      </w:r>
    </w:p>
    <w:p w:rsidR="00BD49BC" w:rsidRDefault="002A1594" w:rsidP="00BD49BC">
      <w:pPr>
        <w:pStyle w:val="a3"/>
        <w:numPr>
          <w:ilvl w:val="0"/>
          <w:numId w:val="27"/>
        </w:numPr>
        <w:contextualSpacing w:val="0"/>
        <w:rPr>
          <w:rFonts w:ascii="Times New Roman" w:hAnsi="Times New Roman"/>
        </w:rPr>
      </w:pPr>
      <w:r w:rsidRPr="00BD49BC">
        <w:rPr>
          <w:rFonts w:ascii="Times New Roman" w:hAnsi="Times New Roman"/>
        </w:rPr>
        <w:t>Endorse the following differentiated cost recovery rate</w:t>
      </w:r>
      <w:r w:rsidR="00354DA7" w:rsidRPr="00BD49BC">
        <w:rPr>
          <w:rFonts w:ascii="Times New Roman" w:hAnsi="Times New Roman"/>
        </w:rPr>
        <w:t xml:space="preserve"> structure</w:t>
      </w:r>
      <w:r w:rsidRPr="00BD49BC">
        <w:rPr>
          <w:rFonts w:ascii="Times New Roman" w:hAnsi="Times New Roman"/>
        </w:rPr>
        <w:t>:</w:t>
      </w:r>
    </w:p>
    <w:p w:rsidR="00D6716B" w:rsidRDefault="00D6716B" w:rsidP="00D6716B">
      <w:pPr>
        <w:pStyle w:val="a3"/>
        <w:numPr>
          <w:ilvl w:val="0"/>
          <w:numId w:val="31"/>
        </w:numPr>
        <w:spacing w:after="0" w:line="240" w:lineRule="auto"/>
        <w:ind w:left="720" w:hanging="360"/>
        <w:contextualSpacing w:val="0"/>
        <w:rPr>
          <w:rFonts w:ascii="Times New Roman" w:hAnsi="Times New Roman"/>
        </w:rPr>
      </w:pPr>
      <w:r>
        <w:rPr>
          <w:rFonts w:ascii="Times New Roman" w:hAnsi="Times New Roman"/>
        </w:rPr>
        <w:t>a harmonized 1% reduction</w:t>
      </w:r>
      <w:r w:rsidRPr="00CC6B72">
        <w:rPr>
          <w:rFonts w:ascii="Times New Roman" w:hAnsi="Times New Roman"/>
        </w:rPr>
        <w:t xml:space="preserve"> for non-core </w:t>
      </w:r>
      <w:r>
        <w:rPr>
          <w:rFonts w:ascii="Times New Roman" w:hAnsi="Times New Roman"/>
        </w:rPr>
        <w:t xml:space="preserve">agreements </w:t>
      </w:r>
      <w:r w:rsidRPr="00CC6B72">
        <w:rPr>
          <w:rFonts w:ascii="Times New Roman" w:hAnsi="Times New Roman"/>
        </w:rPr>
        <w:t xml:space="preserve"> greater than $40 million (8%-1% = 7%)</w:t>
      </w:r>
    </w:p>
    <w:p w:rsidR="00D6716B" w:rsidRDefault="00D6716B" w:rsidP="00D6716B">
      <w:pPr>
        <w:pStyle w:val="a3"/>
        <w:numPr>
          <w:ilvl w:val="0"/>
          <w:numId w:val="31"/>
        </w:numPr>
        <w:spacing w:after="0" w:line="240" w:lineRule="auto"/>
        <w:ind w:left="720" w:hanging="360"/>
        <w:contextualSpacing w:val="0"/>
        <w:rPr>
          <w:rFonts w:ascii="Times New Roman" w:hAnsi="Times New Roman"/>
        </w:rPr>
      </w:pPr>
      <w:r w:rsidRPr="00D6716B">
        <w:rPr>
          <w:rFonts w:ascii="Times New Roman" w:hAnsi="Times New Roman"/>
        </w:rPr>
        <w:t>a harmonized 2% reduction for thematic funds for UNDP, UNICEF and UNFPA (8% - 2% = 6%) (UNWOMEN will maintain the 8% subject to its discretion) [subject to UNWOMEN finalization]</w:t>
      </w:r>
    </w:p>
    <w:p w:rsidR="00D6716B" w:rsidRDefault="00D6716B" w:rsidP="00D6716B">
      <w:pPr>
        <w:pStyle w:val="a3"/>
        <w:numPr>
          <w:ilvl w:val="0"/>
          <w:numId w:val="31"/>
        </w:numPr>
        <w:spacing w:after="0" w:line="240" w:lineRule="auto"/>
        <w:ind w:left="720" w:hanging="360"/>
        <w:contextualSpacing w:val="0"/>
        <w:rPr>
          <w:rFonts w:ascii="Times New Roman" w:hAnsi="Times New Roman"/>
        </w:rPr>
      </w:pPr>
      <w:r w:rsidRPr="00D6716B">
        <w:rPr>
          <w:rFonts w:ascii="Times New Roman" w:hAnsi="Times New Roman"/>
        </w:rPr>
        <w:t>maintain the existing preferential rates for Government cost-sharing contributions.  Additionally, the same preferential rates will apply for south-south contributions.</w:t>
      </w:r>
    </w:p>
    <w:p w:rsidR="00D6716B" w:rsidRDefault="00D6716B" w:rsidP="00D6716B">
      <w:pPr>
        <w:pStyle w:val="a3"/>
        <w:numPr>
          <w:ilvl w:val="0"/>
          <w:numId w:val="31"/>
        </w:numPr>
        <w:spacing w:after="0" w:line="240" w:lineRule="auto"/>
        <w:ind w:left="720" w:hanging="360"/>
        <w:contextualSpacing w:val="0"/>
        <w:rPr>
          <w:rFonts w:ascii="Times New Roman" w:hAnsi="Times New Roman"/>
        </w:rPr>
      </w:pPr>
      <w:r w:rsidRPr="00D6716B">
        <w:rPr>
          <w:rFonts w:ascii="Times New Roman" w:hAnsi="Times New Roman"/>
        </w:rPr>
        <w:t xml:space="preserve"> maintain cost recovery rates contained in existing inter-institutional formal agreements which apply UN system-wide with funding partners (ie: the cost recovery rate would be maintained at the rate previously established in any formal existing inter-institutional agreements)</w:t>
      </w:r>
    </w:p>
    <w:p w:rsidR="00D6716B" w:rsidRPr="00D6716B" w:rsidRDefault="00D6716B" w:rsidP="00D6716B">
      <w:pPr>
        <w:pStyle w:val="a3"/>
        <w:numPr>
          <w:ilvl w:val="0"/>
          <w:numId w:val="31"/>
        </w:numPr>
        <w:spacing w:after="0" w:line="240" w:lineRule="auto"/>
        <w:ind w:left="720" w:hanging="360"/>
        <w:contextualSpacing w:val="0"/>
        <w:rPr>
          <w:rFonts w:ascii="Times New Roman" w:hAnsi="Times New Roman"/>
        </w:rPr>
      </w:pPr>
      <w:r w:rsidRPr="002F4C49">
        <w:t xml:space="preserve"> </w:t>
      </w:r>
      <w:r w:rsidRPr="00D6716B">
        <w:rPr>
          <w:rFonts w:ascii="Times New Roman" w:hAnsi="Times New Roman"/>
        </w:rPr>
        <w:t>a 0.5% surcharge is proposed to manage and address the higher risks associated with  activities in crisis and complex development situations  (8% + 0.5% = 8.5%). This will be managed as a reserve and used when exceptional risk situations arise.</w:t>
      </w:r>
    </w:p>
    <w:p w:rsidR="0077003C" w:rsidRDefault="0077003C" w:rsidP="00DC1526">
      <w:pPr>
        <w:pStyle w:val="a3"/>
        <w:spacing w:after="0" w:line="240" w:lineRule="auto"/>
        <w:ind w:left="1080"/>
        <w:contextualSpacing w:val="0"/>
        <w:rPr>
          <w:rFonts w:ascii="Times New Roman" w:hAnsi="Times New Roman"/>
        </w:rPr>
      </w:pPr>
    </w:p>
    <w:p w:rsidR="00BD49BC" w:rsidRDefault="002A1594" w:rsidP="001142F3">
      <w:pPr>
        <w:pStyle w:val="a3"/>
        <w:numPr>
          <w:ilvl w:val="0"/>
          <w:numId w:val="27"/>
        </w:numPr>
        <w:contextualSpacing w:val="0"/>
        <w:rPr>
          <w:rFonts w:ascii="Times New Roman" w:hAnsi="Times New Roman"/>
        </w:rPr>
      </w:pPr>
      <w:r w:rsidRPr="001142F3">
        <w:rPr>
          <w:rFonts w:ascii="Times New Roman" w:hAnsi="Times New Roman"/>
        </w:rPr>
        <w:t>Decide that the new cost recovery rates will be applicable as of 1 January 2014;</w:t>
      </w:r>
    </w:p>
    <w:p w:rsidR="00BD49BC" w:rsidRPr="001142F3" w:rsidRDefault="002A1594" w:rsidP="001142F3">
      <w:pPr>
        <w:pStyle w:val="a3"/>
        <w:numPr>
          <w:ilvl w:val="0"/>
          <w:numId w:val="27"/>
        </w:numPr>
        <w:contextualSpacing w:val="0"/>
        <w:rPr>
          <w:rFonts w:ascii="Times New Roman" w:hAnsi="Times New Roman"/>
        </w:rPr>
      </w:pPr>
      <w:r w:rsidRPr="001142F3">
        <w:rPr>
          <w:rFonts w:ascii="Times New Roman" w:hAnsi="Times New Roman"/>
        </w:rPr>
        <w:t>Note the guiding principles of the integrated budget contained in the joint note of UNDP, UNFPA and UNICEF on steps taken towards the integrated budget and integrated budget mock-up submitted at the second regular session 2012</w:t>
      </w:r>
      <w:r w:rsidR="00F61726" w:rsidRPr="001142F3">
        <w:rPr>
          <w:rFonts w:ascii="Times New Roman" w:hAnsi="Times New Roman"/>
        </w:rPr>
        <w:t xml:space="preserve">, </w:t>
      </w:r>
      <w:r w:rsidRPr="001142F3">
        <w:rPr>
          <w:rFonts w:ascii="Times New Roman" w:hAnsi="Times New Roman"/>
        </w:rPr>
        <w:t xml:space="preserve"> and the mock-up of the integrated resource plan with a harmonized presentation of the cost recovery amount </w:t>
      </w:r>
      <w:r w:rsidR="00F61726" w:rsidRPr="001142F3">
        <w:rPr>
          <w:rFonts w:ascii="Times New Roman" w:hAnsi="Times New Roman"/>
        </w:rPr>
        <w:t xml:space="preserve">contained in </w:t>
      </w:r>
      <w:r w:rsidR="0077003C" w:rsidRPr="001142F3">
        <w:rPr>
          <w:rFonts w:ascii="Times New Roman" w:hAnsi="Times New Roman"/>
        </w:rPr>
        <w:t xml:space="preserve">Table </w:t>
      </w:r>
      <w:r w:rsidR="000E6F4A">
        <w:rPr>
          <w:rFonts w:ascii="Times New Roman" w:hAnsi="Times New Roman"/>
        </w:rPr>
        <w:t>6</w:t>
      </w:r>
      <w:r w:rsidR="0077003C" w:rsidRPr="001142F3">
        <w:rPr>
          <w:rFonts w:ascii="Times New Roman" w:hAnsi="Times New Roman"/>
        </w:rPr>
        <w:t xml:space="preserve"> of </w:t>
      </w:r>
      <w:r w:rsidR="00F61726" w:rsidRPr="001142F3">
        <w:rPr>
          <w:rFonts w:ascii="Times New Roman" w:hAnsi="Times New Roman"/>
        </w:rPr>
        <w:t>the present paper;</w:t>
      </w:r>
    </w:p>
    <w:p w:rsidR="002A1594" w:rsidRDefault="002A1594" w:rsidP="00BD49BC">
      <w:pPr>
        <w:pStyle w:val="a3"/>
        <w:numPr>
          <w:ilvl w:val="0"/>
          <w:numId w:val="27"/>
        </w:numPr>
        <w:contextualSpacing w:val="0"/>
        <w:rPr>
          <w:rFonts w:ascii="Times New Roman" w:hAnsi="Times New Roman"/>
        </w:rPr>
      </w:pPr>
      <w:r w:rsidRPr="00BD49BC">
        <w:rPr>
          <w:rFonts w:ascii="Times New Roman" w:hAnsi="Times New Roman"/>
        </w:rPr>
        <w:t xml:space="preserve">Request UNDP, UNFPA, UNICEF and UN Women to prepare the integrated budget proposal for each organization respectively, </w:t>
      </w:r>
      <w:r w:rsidR="0077003C">
        <w:rPr>
          <w:rFonts w:ascii="Times New Roman" w:hAnsi="Times New Roman"/>
        </w:rPr>
        <w:t xml:space="preserve">based on the </w:t>
      </w:r>
      <w:r w:rsidRPr="00BD49BC">
        <w:rPr>
          <w:rFonts w:ascii="Times New Roman" w:hAnsi="Times New Roman"/>
        </w:rPr>
        <w:t>above approved cost recovery rates and the integrated budget conceptual framework.</w:t>
      </w:r>
    </w:p>
    <w:p w:rsidR="0088641B" w:rsidRDefault="0088641B" w:rsidP="0088641B">
      <w:pPr>
        <w:pStyle w:val="a3"/>
        <w:ind w:left="360"/>
        <w:contextualSpacing w:val="0"/>
        <w:rPr>
          <w:rFonts w:ascii="Times New Roman" w:hAnsi="Times New Roman"/>
        </w:rPr>
      </w:pPr>
    </w:p>
    <w:p w:rsidR="0088641B" w:rsidRPr="00BD49BC" w:rsidRDefault="002C4552" w:rsidP="0088641B">
      <w:pPr>
        <w:pStyle w:val="a3"/>
        <w:ind w:left="360"/>
        <w:contextualSpacing w:val="0"/>
        <w:rPr>
          <w:rFonts w:ascii="Times New Roman" w:hAnsi="Times New Roman"/>
        </w:rPr>
      </w:pPr>
      <w:r>
        <w:rPr>
          <w:rFonts w:ascii="Times New Roman" w:hAnsi="Times New Roman"/>
          <w:noProof/>
          <w:lang w:val="ru-RU" w:eastAsia="ru-RU"/>
        </w:rPr>
        <mc:AlternateContent>
          <mc:Choice Requires="wps">
            <w:drawing>
              <wp:anchor distT="4294967294" distB="4294967294" distL="114300" distR="114300" simplePos="0" relativeHeight="251658240" behindDoc="0" locked="0" layoutInCell="1" allowOverlap="1">
                <wp:simplePos x="0" y="0"/>
                <wp:positionH relativeFrom="column">
                  <wp:posOffset>2405380</wp:posOffset>
                </wp:positionH>
                <wp:positionV relativeFrom="paragraph">
                  <wp:posOffset>10794</wp:posOffset>
                </wp:positionV>
                <wp:extent cx="1000125" cy="0"/>
                <wp:effectExtent l="0" t="0" r="28575"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625AC3"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4pt,.85pt" to="26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7wEQIAACg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" strokeweight=".25pt"/>
            </w:pict>
          </mc:Fallback>
        </mc:AlternateContent>
      </w:r>
    </w:p>
    <w:sectPr w:rsidR="0088641B" w:rsidRPr="00BD49BC" w:rsidSect="005F2C4C">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D4C" w:rsidRDefault="00090D4C" w:rsidP="00FB4180">
      <w:pPr>
        <w:spacing w:after="0" w:line="240" w:lineRule="auto"/>
      </w:pPr>
      <w:r>
        <w:separator/>
      </w:r>
    </w:p>
  </w:endnote>
  <w:endnote w:type="continuationSeparator" w:id="0">
    <w:p w:rsidR="00090D4C" w:rsidRDefault="00090D4C" w:rsidP="00FB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 serif ;">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949" w:rsidRPr="00A00949" w:rsidRDefault="00A00949">
    <w:pPr>
      <w:pStyle w:val="ac"/>
      <w:rPr>
        <w:rFonts w:ascii="Times New Roman" w:hAnsi="Times New Roman"/>
        <w:b/>
        <w:sz w:val="17"/>
        <w:szCs w:val="17"/>
      </w:rPr>
    </w:pPr>
    <w:r w:rsidRPr="00A00949">
      <w:rPr>
        <w:rFonts w:ascii="Times New Roman" w:hAnsi="Times New Roman"/>
        <w:b/>
        <w:sz w:val="17"/>
        <w:szCs w:val="17"/>
      </w:rPr>
      <w:fldChar w:fldCharType="begin"/>
    </w:r>
    <w:r w:rsidRPr="00A00949">
      <w:rPr>
        <w:rFonts w:ascii="Times New Roman" w:hAnsi="Times New Roman"/>
        <w:b/>
        <w:sz w:val="17"/>
        <w:szCs w:val="17"/>
      </w:rPr>
      <w:instrText xml:space="preserve"> PAGE   \* MERGEFORMAT </w:instrText>
    </w:r>
    <w:r w:rsidRPr="00A00949">
      <w:rPr>
        <w:rFonts w:ascii="Times New Roman" w:hAnsi="Times New Roman"/>
        <w:b/>
        <w:sz w:val="17"/>
        <w:szCs w:val="17"/>
      </w:rPr>
      <w:fldChar w:fldCharType="separate"/>
    </w:r>
    <w:r w:rsidR="00993D0B">
      <w:rPr>
        <w:rFonts w:ascii="Times New Roman" w:hAnsi="Times New Roman"/>
        <w:b/>
        <w:noProof/>
        <w:sz w:val="17"/>
        <w:szCs w:val="17"/>
      </w:rPr>
      <w:t>4</w:t>
    </w:r>
    <w:r w:rsidRPr="00A00949">
      <w:rPr>
        <w:rFonts w:ascii="Times New Roman" w:hAnsi="Times New Roman"/>
        <w:b/>
        <w:noProof/>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41B" w:rsidRPr="0088641B" w:rsidRDefault="0088641B">
    <w:pPr>
      <w:pStyle w:val="ac"/>
      <w:jc w:val="right"/>
      <w:rPr>
        <w:rFonts w:ascii="Times New Roman" w:hAnsi="Times New Roman"/>
        <w:b/>
        <w:sz w:val="17"/>
        <w:szCs w:val="17"/>
      </w:rPr>
    </w:pPr>
    <w:r w:rsidRPr="0088641B">
      <w:rPr>
        <w:rFonts w:ascii="Times New Roman" w:hAnsi="Times New Roman"/>
        <w:b/>
        <w:sz w:val="17"/>
        <w:szCs w:val="17"/>
      </w:rPr>
      <w:fldChar w:fldCharType="begin"/>
    </w:r>
    <w:r w:rsidRPr="0088641B">
      <w:rPr>
        <w:rFonts w:ascii="Times New Roman" w:hAnsi="Times New Roman"/>
        <w:b/>
        <w:sz w:val="17"/>
        <w:szCs w:val="17"/>
      </w:rPr>
      <w:instrText xml:space="preserve"> PAGE   \* MERGEFORMAT </w:instrText>
    </w:r>
    <w:r w:rsidRPr="0088641B">
      <w:rPr>
        <w:rFonts w:ascii="Times New Roman" w:hAnsi="Times New Roman"/>
        <w:b/>
        <w:sz w:val="17"/>
        <w:szCs w:val="17"/>
      </w:rPr>
      <w:fldChar w:fldCharType="separate"/>
    </w:r>
    <w:r w:rsidR="00993D0B">
      <w:rPr>
        <w:rFonts w:ascii="Times New Roman" w:hAnsi="Times New Roman"/>
        <w:b/>
        <w:noProof/>
        <w:sz w:val="17"/>
        <w:szCs w:val="17"/>
      </w:rPr>
      <w:t>5</w:t>
    </w:r>
    <w:r w:rsidRPr="0088641B">
      <w:rPr>
        <w:rFonts w:ascii="Times New Roman" w:hAnsi="Times New Roman"/>
        <w:b/>
        <w:noProof/>
        <w:sz w:val="17"/>
        <w:szCs w:val="17"/>
      </w:rPr>
      <w:fldChar w:fldCharType="end"/>
    </w:r>
  </w:p>
  <w:p w:rsidR="00D21F06" w:rsidRDefault="00D21F0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D4C" w:rsidRDefault="00090D4C" w:rsidP="00FB4180">
      <w:pPr>
        <w:spacing w:after="0" w:line="240" w:lineRule="auto"/>
      </w:pPr>
      <w:r>
        <w:separator/>
      </w:r>
    </w:p>
  </w:footnote>
  <w:footnote w:type="continuationSeparator" w:id="0">
    <w:p w:rsidR="00090D4C" w:rsidRDefault="00090D4C" w:rsidP="00FB4180">
      <w:pPr>
        <w:spacing w:after="0" w:line="240" w:lineRule="auto"/>
      </w:pPr>
      <w:r>
        <w:continuationSeparator/>
      </w:r>
    </w:p>
  </w:footnote>
  <w:footnote w:id="1">
    <w:p w:rsidR="00D21F06" w:rsidRPr="00553AA9" w:rsidRDefault="00D21F06" w:rsidP="00FB4180">
      <w:pPr>
        <w:pStyle w:val="a7"/>
        <w:jc w:val="both"/>
        <w:rPr>
          <w:rFonts w:ascii="Times New Roman" w:hAnsi="Times New Roman"/>
        </w:rPr>
      </w:pPr>
      <w:r w:rsidRPr="00553AA9">
        <w:rPr>
          <w:rStyle w:val="a9"/>
          <w:rFonts w:ascii="Times New Roman" w:hAnsi="Times New Roman"/>
        </w:rPr>
        <w:footnoteRef/>
      </w:r>
      <w:r w:rsidRPr="00553AA9">
        <w:rPr>
          <w:rFonts w:ascii="Times New Roman" w:hAnsi="Times New Roman"/>
        </w:rPr>
        <w:t xml:space="preserve"> The September 2012 paper states “[…] factor in an assured level of core resources that would be available to each agency to ensure the funding of those critical, cross-cutting functions […]”. The present paper paraphrases this notion as “remove costs related to critical, cross-cutting functions” for simplicity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1"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5033"/>
    </w:tblGrid>
    <w:tr w:rsidR="00A00949" w:rsidRPr="00A00949" w:rsidTr="00471D69">
      <w:trPr>
        <w:trHeight w:hRule="exact" w:val="864"/>
      </w:trPr>
      <w:tc>
        <w:tcPr>
          <w:tcW w:w="4838" w:type="dxa"/>
          <w:shd w:val="clear" w:color="auto" w:fill="auto"/>
          <w:vAlign w:val="bottom"/>
        </w:tcPr>
        <w:p w:rsidR="00A00949" w:rsidRPr="00A00949" w:rsidRDefault="00A00949" w:rsidP="00A00949">
          <w:pPr>
            <w:tabs>
              <w:tab w:val="center" w:pos="4320"/>
              <w:tab w:val="right" w:pos="8640"/>
            </w:tabs>
            <w:spacing w:after="80" w:line="240" w:lineRule="auto"/>
            <w:rPr>
              <w:rFonts w:ascii="Times New Roman" w:eastAsia="Times New Roman" w:hAnsi="Times New Roman"/>
              <w:b/>
              <w:noProof/>
              <w:sz w:val="17"/>
              <w:szCs w:val="20"/>
            </w:rPr>
          </w:pPr>
          <w:r w:rsidRPr="00A00949">
            <w:rPr>
              <w:rFonts w:ascii="Times New Roman" w:eastAsia="Times New Roman" w:hAnsi="Times New Roman"/>
              <w:b/>
              <w:noProof/>
              <w:sz w:val="17"/>
              <w:szCs w:val="20"/>
            </w:rPr>
            <w:t>DP-FPA/201</w:t>
          </w:r>
          <w:r>
            <w:rPr>
              <w:rFonts w:ascii="Times New Roman" w:eastAsia="Times New Roman" w:hAnsi="Times New Roman"/>
              <w:b/>
              <w:noProof/>
              <w:sz w:val="17"/>
              <w:szCs w:val="20"/>
            </w:rPr>
            <w:t>3</w:t>
          </w:r>
          <w:r w:rsidRPr="00A00949">
            <w:rPr>
              <w:rFonts w:ascii="Times New Roman" w:eastAsia="Times New Roman" w:hAnsi="Times New Roman"/>
              <w:b/>
              <w:noProof/>
              <w:sz w:val="17"/>
              <w:szCs w:val="20"/>
            </w:rPr>
            <w:t>/1</w:t>
          </w:r>
          <w:r w:rsidRPr="00A00949">
            <w:rPr>
              <w:rFonts w:ascii="Times New Roman" w:eastAsia="Times New Roman" w:hAnsi="Times New Roman"/>
              <w:b/>
              <w:noProof/>
              <w:sz w:val="17"/>
              <w:szCs w:val="20"/>
            </w:rPr>
            <w:fldChar w:fldCharType="begin"/>
          </w:r>
          <w:r w:rsidRPr="00A00949">
            <w:rPr>
              <w:rFonts w:ascii="Times New Roman" w:eastAsia="Times New Roman" w:hAnsi="Times New Roman"/>
              <w:b/>
              <w:noProof/>
              <w:sz w:val="17"/>
              <w:szCs w:val="20"/>
            </w:rPr>
            <w:instrText xml:space="preserve"> DOCVARIABLE "sss1" \* MERGEFORMAT </w:instrText>
          </w:r>
          <w:r w:rsidRPr="00A00949">
            <w:rPr>
              <w:rFonts w:ascii="Times New Roman" w:eastAsia="Times New Roman" w:hAnsi="Times New Roman"/>
              <w:b/>
              <w:noProof/>
              <w:sz w:val="17"/>
              <w:szCs w:val="20"/>
            </w:rPr>
            <w:fldChar w:fldCharType="end"/>
          </w:r>
          <w:r w:rsidRPr="00A00949">
            <w:rPr>
              <w:rFonts w:ascii="Times New Roman" w:eastAsia="Times New Roman" w:hAnsi="Times New Roman"/>
              <w:b/>
              <w:noProof/>
              <w:sz w:val="17"/>
              <w:szCs w:val="20"/>
            </w:rPr>
            <w:br/>
            <w:t>E/ICEF/201</w:t>
          </w:r>
          <w:r>
            <w:rPr>
              <w:rFonts w:ascii="Times New Roman" w:eastAsia="Times New Roman" w:hAnsi="Times New Roman"/>
              <w:b/>
              <w:noProof/>
              <w:sz w:val="17"/>
              <w:szCs w:val="20"/>
            </w:rPr>
            <w:t>3</w:t>
          </w:r>
          <w:r w:rsidRPr="00A00949">
            <w:rPr>
              <w:rFonts w:ascii="Times New Roman" w:eastAsia="Times New Roman" w:hAnsi="Times New Roman"/>
              <w:b/>
              <w:noProof/>
              <w:sz w:val="17"/>
              <w:szCs w:val="20"/>
            </w:rPr>
            <w:t>/</w:t>
          </w:r>
          <w:r>
            <w:rPr>
              <w:rFonts w:ascii="Times New Roman" w:eastAsia="Times New Roman" w:hAnsi="Times New Roman"/>
              <w:b/>
              <w:noProof/>
              <w:sz w:val="17"/>
              <w:szCs w:val="20"/>
            </w:rPr>
            <w:t>8</w:t>
          </w:r>
          <w:r w:rsidRPr="00A00949">
            <w:rPr>
              <w:rFonts w:ascii="Times New Roman" w:eastAsia="Times New Roman" w:hAnsi="Times New Roman"/>
              <w:b/>
              <w:noProof/>
              <w:sz w:val="17"/>
              <w:szCs w:val="20"/>
            </w:rPr>
            <w:fldChar w:fldCharType="begin"/>
          </w:r>
          <w:r w:rsidRPr="00A00949">
            <w:rPr>
              <w:rFonts w:ascii="Times New Roman" w:eastAsia="Times New Roman" w:hAnsi="Times New Roman"/>
              <w:b/>
              <w:noProof/>
              <w:sz w:val="17"/>
              <w:szCs w:val="20"/>
            </w:rPr>
            <w:instrText xml:space="preserve"> DOCVARIABLE "sss2" \* MERGEFORMAT </w:instrText>
          </w:r>
          <w:r w:rsidRPr="00A00949">
            <w:rPr>
              <w:rFonts w:ascii="Times New Roman" w:eastAsia="Times New Roman" w:hAnsi="Times New Roman"/>
              <w:b/>
              <w:noProof/>
              <w:sz w:val="17"/>
              <w:szCs w:val="20"/>
            </w:rPr>
            <w:fldChar w:fldCharType="end"/>
          </w:r>
        </w:p>
      </w:tc>
      <w:tc>
        <w:tcPr>
          <w:tcW w:w="5033" w:type="dxa"/>
          <w:shd w:val="clear" w:color="auto" w:fill="auto"/>
          <w:vAlign w:val="bottom"/>
        </w:tcPr>
        <w:p w:rsidR="00A00949" w:rsidRPr="00A00949" w:rsidRDefault="00A00949" w:rsidP="00A00949">
          <w:pPr>
            <w:tabs>
              <w:tab w:val="center" w:pos="4320"/>
              <w:tab w:val="right" w:pos="8640"/>
            </w:tabs>
            <w:spacing w:after="0" w:line="240" w:lineRule="auto"/>
            <w:rPr>
              <w:rFonts w:ascii="Times New Roman" w:eastAsia="Times New Roman" w:hAnsi="Times New Roman"/>
              <w:noProof/>
              <w:sz w:val="17"/>
              <w:szCs w:val="20"/>
            </w:rPr>
          </w:pPr>
        </w:p>
      </w:tc>
    </w:tr>
  </w:tbl>
  <w:p w:rsidR="00A00949" w:rsidRDefault="00A0094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1"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5033"/>
    </w:tblGrid>
    <w:tr w:rsidR="0088641B" w:rsidRPr="0088641B" w:rsidTr="00471D69">
      <w:trPr>
        <w:trHeight w:hRule="exact" w:val="864"/>
      </w:trPr>
      <w:tc>
        <w:tcPr>
          <w:tcW w:w="4838" w:type="dxa"/>
          <w:shd w:val="clear" w:color="auto" w:fill="auto"/>
          <w:vAlign w:val="bottom"/>
        </w:tcPr>
        <w:p w:rsidR="0088641B" w:rsidRPr="0088641B" w:rsidRDefault="0088641B" w:rsidP="0088641B">
          <w:pPr>
            <w:tabs>
              <w:tab w:val="center" w:pos="4320"/>
              <w:tab w:val="right" w:pos="8640"/>
            </w:tabs>
            <w:spacing w:after="0" w:line="240" w:lineRule="auto"/>
            <w:jc w:val="right"/>
            <w:rPr>
              <w:rFonts w:ascii="Times New Roman" w:eastAsia="Times New Roman" w:hAnsi="Times New Roman"/>
              <w:noProof/>
              <w:sz w:val="17"/>
              <w:szCs w:val="20"/>
            </w:rPr>
          </w:pPr>
        </w:p>
      </w:tc>
      <w:tc>
        <w:tcPr>
          <w:tcW w:w="5033" w:type="dxa"/>
          <w:shd w:val="clear" w:color="auto" w:fill="auto"/>
          <w:vAlign w:val="bottom"/>
        </w:tcPr>
        <w:p w:rsidR="0088641B" w:rsidRPr="0088641B" w:rsidRDefault="0088641B" w:rsidP="0088641B">
          <w:pPr>
            <w:tabs>
              <w:tab w:val="center" w:pos="4320"/>
              <w:tab w:val="right" w:pos="8640"/>
            </w:tabs>
            <w:spacing w:after="80" w:line="240" w:lineRule="auto"/>
            <w:jc w:val="right"/>
            <w:rPr>
              <w:rFonts w:ascii="Times New Roman" w:eastAsia="Times New Roman" w:hAnsi="Times New Roman"/>
              <w:b/>
              <w:noProof/>
              <w:sz w:val="17"/>
              <w:szCs w:val="20"/>
            </w:rPr>
          </w:pPr>
          <w:r w:rsidRPr="0088641B">
            <w:rPr>
              <w:rFonts w:ascii="Times New Roman" w:eastAsia="Times New Roman" w:hAnsi="Times New Roman"/>
              <w:b/>
              <w:noProof/>
              <w:sz w:val="17"/>
              <w:szCs w:val="20"/>
            </w:rPr>
            <w:t>DP-FPA/201</w:t>
          </w:r>
          <w:r>
            <w:rPr>
              <w:rFonts w:ascii="Times New Roman" w:eastAsia="Times New Roman" w:hAnsi="Times New Roman"/>
              <w:b/>
              <w:noProof/>
              <w:sz w:val="17"/>
              <w:szCs w:val="20"/>
            </w:rPr>
            <w:t>3</w:t>
          </w:r>
          <w:r w:rsidRPr="0088641B">
            <w:rPr>
              <w:rFonts w:ascii="Times New Roman" w:eastAsia="Times New Roman" w:hAnsi="Times New Roman"/>
              <w:b/>
              <w:noProof/>
              <w:sz w:val="17"/>
              <w:szCs w:val="20"/>
            </w:rPr>
            <w:t>/1</w:t>
          </w:r>
          <w:r w:rsidRPr="0088641B">
            <w:rPr>
              <w:rFonts w:ascii="Times New Roman" w:eastAsia="Times New Roman" w:hAnsi="Times New Roman"/>
              <w:b/>
              <w:noProof/>
              <w:sz w:val="17"/>
              <w:szCs w:val="20"/>
            </w:rPr>
            <w:fldChar w:fldCharType="begin"/>
          </w:r>
          <w:r w:rsidRPr="0088641B">
            <w:rPr>
              <w:rFonts w:ascii="Times New Roman" w:eastAsia="Times New Roman" w:hAnsi="Times New Roman"/>
              <w:b/>
              <w:noProof/>
              <w:sz w:val="17"/>
              <w:szCs w:val="20"/>
            </w:rPr>
            <w:instrText xml:space="preserve"> DOCVARIABLE "sss1" \* MERGEFORMAT </w:instrText>
          </w:r>
          <w:r w:rsidRPr="0088641B">
            <w:rPr>
              <w:rFonts w:ascii="Times New Roman" w:eastAsia="Times New Roman" w:hAnsi="Times New Roman"/>
              <w:b/>
              <w:noProof/>
              <w:sz w:val="17"/>
              <w:szCs w:val="20"/>
            </w:rPr>
            <w:fldChar w:fldCharType="end"/>
          </w:r>
          <w:r w:rsidRPr="0088641B">
            <w:rPr>
              <w:rFonts w:ascii="Times New Roman" w:eastAsia="Times New Roman" w:hAnsi="Times New Roman"/>
              <w:b/>
              <w:noProof/>
              <w:sz w:val="17"/>
              <w:szCs w:val="20"/>
            </w:rPr>
            <w:br/>
            <w:t>E/ICEF/201</w:t>
          </w:r>
          <w:r>
            <w:rPr>
              <w:rFonts w:ascii="Times New Roman" w:eastAsia="Times New Roman" w:hAnsi="Times New Roman"/>
              <w:b/>
              <w:noProof/>
              <w:sz w:val="17"/>
              <w:szCs w:val="20"/>
            </w:rPr>
            <w:t>3</w:t>
          </w:r>
          <w:r w:rsidRPr="0088641B">
            <w:rPr>
              <w:rFonts w:ascii="Times New Roman" w:eastAsia="Times New Roman" w:hAnsi="Times New Roman"/>
              <w:b/>
              <w:noProof/>
              <w:sz w:val="17"/>
              <w:szCs w:val="20"/>
            </w:rPr>
            <w:t>/</w:t>
          </w:r>
          <w:r>
            <w:rPr>
              <w:rFonts w:ascii="Times New Roman" w:eastAsia="Times New Roman" w:hAnsi="Times New Roman"/>
              <w:b/>
              <w:noProof/>
              <w:sz w:val="17"/>
              <w:szCs w:val="20"/>
            </w:rPr>
            <w:t>8</w:t>
          </w:r>
          <w:r w:rsidRPr="0088641B">
            <w:rPr>
              <w:rFonts w:ascii="Times New Roman" w:eastAsia="Times New Roman" w:hAnsi="Times New Roman"/>
              <w:b/>
              <w:noProof/>
              <w:sz w:val="17"/>
              <w:szCs w:val="20"/>
            </w:rPr>
            <w:fldChar w:fldCharType="begin"/>
          </w:r>
          <w:r w:rsidRPr="0088641B">
            <w:rPr>
              <w:rFonts w:ascii="Times New Roman" w:eastAsia="Times New Roman" w:hAnsi="Times New Roman"/>
              <w:b/>
              <w:noProof/>
              <w:sz w:val="17"/>
              <w:szCs w:val="20"/>
            </w:rPr>
            <w:instrText xml:space="preserve"> DOCVARIABLE "sss2" \* MERGEFORMAT </w:instrText>
          </w:r>
          <w:r w:rsidRPr="0088641B">
            <w:rPr>
              <w:rFonts w:ascii="Times New Roman" w:eastAsia="Times New Roman" w:hAnsi="Times New Roman"/>
              <w:b/>
              <w:noProof/>
              <w:sz w:val="17"/>
              <w:szCs w:val="20"/>
            </w:rPr>
            <w:fldChar w:fldCharType="end"/>
          </w:r>
        </w:p>
      </w:tc>
    </w:tr>
  </w:tbl>
  <w:p w:rsidR="00A00949" w:rsidRDefault="00A0094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5F2C4C" w:rsidRPr="005F2C4C" w:rsidTr="00471D69">
      <w:trPr>
        <w:trHeight w:hRule="exact" w:val="864"/>
      </w:trPr>
      <w:tc>
        <w:tcPr>
          <w:tcW w:w="1267" w:type="dxa"/>
          <w:tcBorders>
            <w:bottom w:val="single" w:sz="4" w:space="0" w:color="auto"/>
          </w:tcBorders>
          <w:shd w:val="clear" w:color="auto" w:fill="auto"/>
          <w:vAlign w:val="bottom"/>
        </w:tcPr>
        <w:p w:rsidR="005F2C4C" w:rsidRPr="005F2C4C" w:rsidRDefault="005F2C4C" w:rsidP="005F2C4C">
          <w:pPr>
            <w:tabs>
              <w:tab w:val="center" w:pos="4320"/>
              <w:tab w:val="right" w:pos="8640"/>
            </w:tabs>
            <w:spacing w:after="120" w:line="240" w:lineRule="auto"/>
            <w:rPr>
              <w:rFonts w:ascii="Times New Roman" w:eastAsia="Times New Roman" w:hAnsi="Times New Roman"/>
              <w:noProof/>
              <w:sz w:val="17"/>
              <w:szCs w:val="20"/>
            </w:rPr>
          </w:pPr>
        </w:p>
      </w:tc>
      <w:tc>
        <w:tcPr>
          <w:tcW w:w="1872" w:type="dxa"/>
          <w:tcBorders>
            <w:bottom w:val="single" w:sz="4" w:space="0" w:color="auto"/>
          </w:tcBorders>
          <w:shd w:val="clear" w:color="auto" w:fill="auto"/>
          <w:vAlign w:val="bottom"/>
        </w:tcPr>
        <w:p w:rsidR="005F2C4C" w:rsidRPr="005F2C4C" w:rsidRDefault="005F2C4C" w:rsidP="005F2C4C">
          <w:pPr>
            <w:keepNext/>
            <w:keepLines/>
            <w:suppressAutoHyphens/>
            <w:spacing w:after="80" w:line="300" w:lineRule="exact"/>
            <w:outlineLvl w:val="0"/>
            <w:rPr>
              <w:rFonts w:ascii="Times New Roman" w:eastAsia="Times New Roman" w:hAnsi="Times New Roman"/>
              <w:spacing w:val="2"/>
              <w:w w:val="96"/>
              <w:kern w:val="14"/>
              <w:sz w:val="28"/>
              <w:szCs w:val="20"/>
              <w:lang w:val="en-GB"/>
            </w:rPr>
          </w:pPr>
          <w:r w:rsidRPr="005F2C4C">
            <w:rPr>
              <w:rFonts w:ascii="Times New Roman" w:eastAsia="Times New Roman" w:hAnsi="Times New Roman"/>
              <w:spacing w:val="2"/>
              <w:w w:val="96"/>
              <w:kern w:val="14"/>
              <w:sz w:val="28"/>
              <w:szCs w:val="20"/>
              <w:lang w:val="en-GB"/>
            </w:rPr>
            <w:t>United Nations</w:t>
          </w:r>
        </w:p>
      </w:tc>
      <w:tc>
        <w:tcPr>
          <w:tcW w:w="245" w:type="dxa"/>
          <w:tcBorders>
            <w:bottom w:val="single" w:sz="4" w:space="0" w:color="auto"/>
          </w:tcBorders>
          <w:shd w:val="clear" w:color="auto" w:fill="auto"/>
          <w:vAlign w:val="bottom"/>
        </w:tcPr>
        <w:p w:rsidR="005F2C4C" w:rsidRPr="005F2C4C" w:rsidRDefault="005F2C4C" w:rsidP="005F2C4C">
          <w:pPr>
            <w:tabs>
              <w:tab w:val="center" w:pos="4320"/>
              <w:tab w:val="right" w:pos="8640"/>
            </w:tabs>
            <w:spacing w:after="120" w:line="240" w:lineRule="auto"/>
            <w:rPr>
              <w:rFonts w:ascii="Times New Roman" w:eastAsia="Times New Roman" w:hAnsi="Times New Roman"/>
              <w:noProof/>
              <w:sz w:val="17"/>
              <w:szCs w:val="20"/>
            </w:rPr>
          </w:pPr>
        </w:p>
      </w:tc>
      <w:tc>
        <w:tcPr>
          <w:tcW w:w="6523" w:type="dxa"/>
          <w:gridSpan w:val="4"/>
          <w:tcBorders>
            <w:bottom w:val="single" w:sz="4" w:space="0" w:color="auto"/>
          </w:tcBorders>
          <w:shd w:val="clear" w:color="auto" w:fill="auto"/>
          <w:vAlign w:val="bottom"/>
        </w:tcPr>
        <w:p w:rsidR="005F2C4C" w:rsidRPr="005F2C4C" w:rsidRDefault="005F2C4C" w:rsidP="005F2C4C">
          <w:pPr>
            <w:spacing w:after="80" w:line="240" w:lineRule="auto"/>
            <w:jc w:val="right"/>
            <w:rPr>
              <w:rFonts w:ascii="Times New Roman" w:eastAsia="Times New Roman" w:hAnsi="Times New Roman"/>
              <w:position w:val="-4"/>
              <w:sz w:val="24"/>
              <w:szCs w:val="24"/>
            </w:rPr>
          </w:pPr>
          <w:r w:rsidRPr="005F2C4C">
            <w:rPr>
              <w:rFonts w:ascii="Times New Roman" w:eastAsia="Times New Roman" w:hAnsi="Times New Roman"/>
              <w:position w:val="-4"/>
              <w:sz w:val="40"/>
              <w:szCs w:val="24"/>
            </w:rPr>
            <w:t>DP-FPA</w:t>
          </w:r>
          <w:r w:rsidRPr="005F2C4C">
            <w:rPr>
              <w:rFonts w:ascii="Times New Roman" w:eastAsia="Times New Roman" w:hAnsi="Times New Roman"/>
              <w:position w:val="-4"/>
              <w:sz w:val="20"/>
              <w:szCs w:val="20"/>
            </w:rPr>
            <w:t>/201</w:t>
          </w:r>
          <w:r>
            <w:rPr>
              <w:rFonts w:ascii="Times New Roman" w:eastAsia="Times New Roman" w:hAnsi="Times New Roman"/>
              <w:position w:val="-4"/>
              <w:sz w:val="20"/>
              <w:szCs w:val="20"/>
            </w:rPr>
            <w:t>3</w:t>
          </w:r>
          <w:r w:rsidRPr="005F2C4C">
            <w:rPr>
              <w:rFonts w:ascii="Times New Roman" w:eastAsia="Times New Roman" w:hAnsi="Times New Roman"/>
              <w:position w:val="-4"/>
              <w:sz w:val="20"/>
              <w:szCs w:val="20"/>
            </w:rPr>
            <w:t>/1–</w:t>
          </w:r>
          <w:r w:rsidRPr="005F2C4C">
            <w:rPr>
              <w:rFonts w:ascii="Times New Roman" w:eastAsia="Times New Roman" w:hAnsi="Times New Roman"/>
              <w:position w:val="-4"/>
              <w:sz w:val="40"/>
              <w:szCs w:val="24"/>
            </w:rPr>
            <w:t>E</w:t>
          </w:r>
          <w:r w:rsidRPr="005F2C4C">
            <w:rPr>
              <w:rFonts w:ascii="Times New Roman" w:eastAsia="Times New Roman" w:hAnsi="Times New Roman"/>
              <w:position w:val="-4"/>
              <w:sz w:val="20"/>
              <w:szCs w:val="20"/>
            </w:rPr>
            <w:t>/ICEF/2013/8</w:t>
          </w:r>
        </w:p>
      </w:tc>
    </w:tr>
    <w:tr w:rsidR="005F2C4C" w:rsidRPr="005F2C4C" w:rsidTr="00471D69">
      <w:trPr>
        <w:gridAfter w:val="1"/>
        <w:wAfter w:w="28" w:type="dxa"/>
        <w:trHeight w:hRule="exact" w:val="2880"/>
      </w:trPr>
      <w:tc>
        <w:tcPr>
          <w:tcW w:w="1267" w:type="dxa"/>
          <w:tcBorders>
            <w:top w:val="single" w:sz="4" w:space="0" w:color="auto"/>
            <w:bottom w:val="single" w:sz="12" w:space="0" w:color="auto"/>
          </w:tcBorders>
          <w:shd w:val="clear" w:color="auto" w:fill="auto"/>
        </w:tcPr>
        <w:p w:rsidR="005F2C4C" w:rsidRPr="005F2C4C" w:rsidRDefault="005F2C4C" w:rsidP="005F2C4C">
          <w:pPr>
            <w:tabs>
              <w:tab w:val="center" w:pos="4320"/>
              <w:tab w:val="right" w:pos="8640"/>
            </w:tabs>
            <w:spacing w:before="109" w:after="0" w:line="240" w:lineRule="auto"/>
            <w:rPr>
              <w:rFonts w:ascii="Times New Roman" w:eastAsia="Times New Roman" w:hAnsi="Times New Roman"/>
              <w:noProof/>
              <w:sz w:val="17"/>
              <w:szCs w:val="20"/>
            </w:rPr>
          </w:pPr>
          <w:r w:rsidRPr="005F2C4C">
            <w:rPr>
              <w:rFonts w:ascii="Times New Roman" w:eastAsia="Times New Roman" w:hAnsi="Times New Roman"/>
              <w:noProof/>
              <w:sz w:val="17"/>
              <w:szCs w:val="20"/>
            </w:rPr>
            <w:t xml:space="preserve"> </w:t>
          </w:r>
          <w:r w:rsidR="002C4552" w:rsidRPr="005F2C4C">
            <w:rPr>
              <w:rFonts w:ascii="Times New Roman" w:eastAsia="Times New Roman" w:hAnsi="Times New Roman"/>
              <w:noProof/>
              <w:sz w:val="17"/>
              <w:szCs w:val="20"/>
              <w:lang w:val="ru-RU" w:eastAsia="ru-RU"/>
            </w:rPr>
            <w:drawing>
              <wp:inline distT="0" distB="0" distL="0" distR="0">
                <wp:extent cx="714375" cy="590550"/>
                <wp:effectExtent l="0" t="0" r="9525" b="0"/>
                <wp:docPr id="7" name="Picture 7"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p w:rsidR="005F2C4C" w:rsidRPr="005F2C4C" w:rsidRDefault="005F2C4C" w:rsidP="005F2C4C">
          <w:pPr>
            <w:tabs>
              <w:tab w:val="center" w:pos="4320"/>
              <w:tab w:val="right" w:pos="8640"/>
            </w:tabs>
            <w:spacing w:before="109" w:after="0" w:line="240" w:lineRule="auto"/>
            <w:rPr>
              <w:rFonts w:ascii="Times New Roman" w:eastAsia="Times New Roman" w:hAnsi="Times New Roman"/>
              <w:noProof/>
              <w:sz w:val="17"/>
              <w:szCs w:val="20"/>
            </w:rPr>
          </w:pPr>
        </w:p>
      </w:tc>
      <w:tc>
        <w:tcPr>
          <w:tcW w:w="5227" w:type="dxa"/>
          <w:gridSpan w:val="3"/>
          <w:tcBorders>
            <w:top w:val="single" w:sz="4" w:space="0" w:color="auto"/>
            <w:bottom w:val="single" w:sz="12" w:space="0" w:color="auto"/>
          </w:tcBorders>
          <w:shd w:val="clear" w:color="auto" w:fill="auto"/>
        </w:tcPr>
        <w:p w:rsidR="005F2C4C" w:rsidRPr="005F2C4C" w:rsidRDefault="005F2C4C" w:rsidP="005F2C4C">
          <w:pPr>
            <w:keepNext/>
            <w:keepLines/>
            <w:tabs>
              <w:tab w:val="right" w:leader="dot" w:pos="360"/>
            </w:tabs>
            <w:suppressAutoHyphens/>
            <w:spacing w:before="109" w:after="0" w:line="330" w:lineRule="exact"/>
            <w:outlineLvl w:val="0"/>
            <w:rPr>
              <w:rFonts w:ascii="Times New Roman" w:eastAsia="Times New Roman" w:hAnsi="Times New Roman"/>
              <w:b/>
              <w:spacing w:val="-4"/>
              <w:w w:val="98"/>
              <w:kern w:val="14"/>
              <w:sz w:val="34"/>
              <w:szCs w:val="20"/>
              <w:lang w:val="en-GB"/>
            </w:rPr>
          </w:pPr>
        </w:p>
        <w:p w:rsidR="005F2C4C" w:rsidRPr="005F2C4C" w:rsidRDefault="005F2C4C" w:rsidP="005F2C4C">
          <w:pPr>
            <w:keepNext/>
            <w:keepLines/>
            <w:tabs>
              <w:tab w:val="right" w:leader="dot" w:pos="360"/>
            </w:tabs>
            <w:suppressAutoHyphens/>
            <w:spacing w:after="0" w:line="330" w:lineRule="exact"/>
            <w:outlineLvl w:val="0"/>
            <w:rPr>
              <w:rFonts w:ascii="Times New Roman" w:eastAsia="Times New Roman" w:hAnsi="Times New Roman"/>
              <w:b/>
              <w:spacing w:val="-4"/>
              <w:w w:val="98"/>
              <w:kern w:val="14"/>
              <w:sz w:val="34"/>
              <w:szCs w:val="20"/>
              <w:lang w:val="en-GB"/>
            </w:rPr>
          </w:pPr>
        </w:p>
      </w:tc>
      <w:tc>
        <w:tcPr>
          <w:tcW w:w="245" w:type="dxa"/>
          <w:tcBorders>
            <w:top w:val="single" w:sz="4" w:space="0" w:color="auto"/>
            <w:bottom w:val="single" w:sz="12" w:space="0" w:color="auto"/>
          </w:tcBorders>
          <w:shd w:val="clear" w:color="auto" w:fill="auto"/>
        </w:tcPr>
        <w:p w:rsidR="005F2C4C" w:rsidRPr="005F2C4C" w:rsidRDefault="005F2C4C" w:rsidP="005F2C4C">
          <w:pPr>
            <w:tabs>
              <w:tab w:val="center" w:pos="4320"/>
              <w:tab w:val="right" w:pos="8640"/>
            </w:tabs>
            <w:spacing w:before="109" w:after="0" w:line="240" w:lineRule="auto"/>
            <w:rPr>
              <w:rFonts w:ascii="Times New Roman" w:eastAsia="Times New Roman" w:hAnsi="Times New Roman"/>
              <w:noProof/>
              <w:sz w:val="17"/>
              <w:szCs w:val="20"/>
            </w:rPr>
          </w:pPr>
        </w:p>
      </w:tc>
      <w:tc>
        <w:tcPr>
          <w:tcW w:w="3140" w:type="dxa"/>
          <w:tcBorders>
            <w:top w:val="single" w:sz="4" w:space="0" w:color="auto"/>
            <w:bottom w:val="single" w:sz="12" w:space="0" w:color="auto"/>
          </w:tcBorders>
          <w:shd w:val="clear" w:color="auto" w:fill="auto"/>
        </w:tcPr>
        <w:p w:rsidR="005F2C4C" w:rsidRPr="005F2C4C" w:rsidRDefault="005F2C4C" w:rsidP="005F2C4C">
          <w:pPr>
            <w:spacing w:before="240" w:after="0" w:line="240" w:lineRule="auto"/>
            <w:rPr>
              <w:rFonts w:ascii="Times New Roman" w:eastAsia="Times New Roman" w:hAnsi="Times New Roman"/>
              <w:sz w:val="20"/>
              <w:szCs w:val="20"/>
            </w:rPr>
          </w:pPr>
          <w:r w:rsidRPr="005F2C4C">
            <w:rPr>
              <w:rFonts w:ascii="Times New Roman" w:eastAsia="Times New Roman" w:hAnsi="Times New Roman"/>
              <w:sz w:val="20"/>
              <w:szCs w:val="20"/>
            </w:rPr>
            <w:t>Distr.: General</w:t>
          </w:r>
        </w:p>
        <w:p w:rsidR="005F2C4C" w:rsidRPr="005F2C4C" w:rsidRDefault="005F2C4C" w:rsidP="005F2C4C">
          <w:pPr>
            <w:spacing w:after="0" w:line="240" w:lineRule="auto"/>
            <w:rPr>
              <w:rFonts w:ascii="Times New Roman" w:eastAsia="Times New Roman" w:hAnsi="Times New Roman"/>
              <w:sz w:val="20"/>
              <w:szCs w:val="20"/>
            </w:rPr>
          </w:pPr>
          <w:r>
            <w:rPr>
              <w:rFonts w:ascii="Times New Roman" w:eastAsia="Times New Roman" w:hAnsi="Times New Roman"/>
              <w:sz w:val="20"/>
              <w:szCs w:val="20"/>
            </w:rPr>
            <w:t>16</w:t>
          </w:r>
          <w:r w:rsidRPr="005F2C4C">
            <w:rPr>
              <w:rFonts w:ascii="Times New Roman" w:eastAsia="Times New Roman" w:hAnsi="Times New Roman"/>
              <w:sz w:val="20"/>
              <w:szCs w:val="20"/>
            </w:rPr>
            <w:t xml:space="preserve"> J</w:t>
          </w:r>
          <w:r>
            <w:rPr>
              <w:rFonts w:ascii="Times New Roman" w:eastAsia="Times New Roman" w:hAnsi="Times New Roman"/>
              <w:sz w:val="20"/>
              <w:szCs w:val="20"/>
            </w:rPr>
            <w:t>anuary 2013</w:t>
          </w:r>
        </w:p>
        <w:p w:rsidR="005F2C4C" w:rsidRPr="005F2C4C" w:rsidRDefault="005F2C4C" w:rsidP="005F2C4C">
          <w:pPr>
            <w:spacing w:after="0" w:line="240" w:lineRule="auto"/>
            <w:rPr>
              <w:rFonts w:ascii="Times New Roman" w:eastAsia="Times New Roman" w:hAnsi="Times New Roman"/>
              <w:sz w:val="20"/>
              <w:szCs w:val="20"/>
            </w:rPr>
          </w:pPr>
        </w:p>
        <w:p w:rsidR="005F2C4C" w:rsidRPr="005F2C4C" w:rsidRDefault="005F2C4C" w:rsidP="005F2C4C">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Original: </w:t>
          </w:r>
          <w:r w:rsidRPr="005F2C4C">
            <w:rPr>
              <w:rFonts w:ascii="Times New Roman" w:eastAsia="Times New Roman" w:hAnsi="Times New Roman"/>
              <w:sz w:val="20"/>
              <w:szCs w:val="20"/>
            </w:rPr>
            <w:t>English</w:t>
          </w:r>
        </w:p>
      </w:tc>
    </w:tr>
  </w:tbl>
  <w:p w:rsidR="00D21F06" w:rsidRDefault="00D21F0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0584"/>
    <w:multiLevelType w:val="hybridMultilevel"/>
    <w:tmpl w:val="2CE81626"/>
    <w:lvl w:ilvl="0" w:tplc="AC362F2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811ECD"/>
    <w:multiLevelType w:val="hybridMultilevel"/>
    <w:tmpl w:val="BD200B9C"/>
    <w:lvl w:ilvl="0" w:tplc="04090001">
      <w:start w:val="1"/>
      <w:numFmt w:val="bullet"/>
      <w:lvlText w:val=""/>
      <w:lvlJc w:val="left"/>
      <w:pPr>
        <w:ind w:left="360" w:hanging="360"/>
      </w:pPr>
      <w:rPr>
        <w:rFonts w:ascii="Symbol" w:hAnsi="Symbol" w:hint="default"/>
      </w:rPr>
    </w:lvl>
    <w:lvl w:ilvl="1" w:tplc="42A2C40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A64750"/>
    <w:multiLevelType w:val="hybridMultilevel"/>
    <w:tmpl w:val="05780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643FD6"/>
    <w:multiLevelType w:val="hybridMultilevel"/>
    <w:tmpl w:val="7F06703A"/>
    <w:lvl w:ilvl="0" w:tplc="DA86C880">
      <w:start w:val="1"/>
      <w:numFmt w:val="bullet"/>
      <w:lvlText w:val="•"/>
      <w:lvlJc w:val="left"/>
      <w:pPr>
        <w:tabs>
          <w:tab w:val="num" w:pos="720"/>
        </w:tabs>
        <w:ind w:left="720" w:hanging="360"/>
      </w:pPr>
      <w:rPr>
        <w:rFonts w:ascii="Arial" w:hAnsi="Arial" w:hint="default"/>
      </w:rPr>
    </w:lvl>
    <w:lvl w:ilvl="1" w:tplc="57B2AA0C" w:tentative="1">
      <w:start w:val="1"/>
      <w:numFmt w:val="bullet"/>
      <w:lvlText w:val="•"/>
      <w:lvlJc w:val="left"/>
      <w:pPr>
        <w:tabs>
          <w:tab w:val="num" w:pos="1440"/>
        </w:tabs>
        <w:ind w:left="1440" w:hanging="360"/>
      </w:pPr>
      <w:rPr>
        <w:rFonts w:ascii="Arial" w:hAnsi="Arial" w:hint="default"/>
      </w:rPr>
    </w:lvl>
    <w:lvl w:ilvl="2" w:tplc="05A600B8" w:tentative="1">
      <w:start w:val="1"/>
      <w:numFmt w:val="bullet"/>
      <w:lvlText w:val="•"/>
      <w:lvlJc w:val="left"/>
      <w:pPr>
        <w:tabs>
          <w:tab w:val="num" w:pos="2160"/>
        </w:tabs>
        <w:ind w:left="2160" w:hanging="360"/>
      </w:pPr>
      <w:rPr>
        <w:rFonts w:ascii="Arial" w:hAnsi="Arial" w:hint="default"/>
      </w:rPr>
    </w:lvl>
    <w:lvl w:ilvl="3" w:tplc="F6163FCC" w:tentative="1">
      <w:start w:val="1"/>
      <w:numFmt w:val="bullet"/>
      <w:lvlText w:val="•"/>
      <w:lvlJc w:val="left"/>
      <w:pPr>
        <w:tabs>
          <w:tab w:val="num" w:pos="2880"/>
        </w:tabs>
        <w:ind w:left="2880" w:hanging="360"/>
      </w:pPr>
      <w:rPr>
        <w:rFonts w:ascii="Arial" w:hAnsi="Arial" w:hint="default"/>
      </w:rPr>
    </w:lvl>
    <w:lvl w:ilvl="4" w:tplc="E4A87D56" w:tentative="1">
      <w:start w:val="1"/>
      <w:numFmt w:val="bullet"/>
      <w:lvlText w:val="•"/>
      <w:lvlJc w:val="left"/>
      <w:pPr>
        <w:tabs>
          <w:tab w:val="num" w:pos="3600"/>
        </w:tabs>
        <w:ind w:left="3600" w:hanging="360"/>
      </w:pPr>
      <w:rPr>
        <w:rFonts w:ascii="Arial" w:hAnsi="Arial" w:hint="default"/>
      </w:rPr>
    </w:lvl>
    <w:lvl w:ilvl="5" w:tplc="ABC41520" w:tentative="1">
      <w:start w:val="1"/>
      <w:numFmt w:val="bullet"/>
      <w:lvlText w:val="•"/>
      <w:lvlJc w:val="left"/>
      <w:pPr>
        <w:tabs>
          <w:tab w:val="num" w:pos="4320"/>
        </w:tabs>
        <w:ind w:left="4320" w:hanging="360"/>
      </w:pPr>
      <w:rPr>
        <w:rFonts w:ascii="Arial" w:hAnsi="Arial" w:hint="default"/>
      </w:rPr>
    </w:lvl>
    <w:lvl w:ilvl="6" w:tplc="D902B83C" w:tentative="1">
      <w:start w:val="1"/>
      <w:numFmt w:val="bullet"/>
      <w:lvlText w:val="•"/>
      <w:lvlJc w:val="left"/>
      <w:pPr>
        <w:tabs>
          <w:tab w:val="num" w:pos="5040"/>
        </w:tabs>
        <w:ind w:left="5040" w:hanging="360"/>
      </w:pPr>
      <w:rPr>
        <w:rFonts w:ascii="Arial" w:hAnsi="Arial" w:hint="default"/>
      </w:rPr>
    </w:lvl>
    <w:lvl w:ilvl="7" w:tplc="7D548E24" w:tentative="1">
      <w:start w:val="1"/>
      <w:numFmt w:val="bullet"/>
      <w:lvlText w:val="•"/>
      <w:lvlJc w:val="left"/>
      <w:pPr>
        <w:tabs>
          <w:tab w:val="num" w:pos="5760"/>
        </w:tabs>
        <w:ind w:left="5760" w:hanging="360"/>
      </w:pPr>
      <w:rPr>
        <w:rFonts w:ascii="Arial" w:hAnsi="Arial" w:hint="default"/>
      </w:rPr>
    </w:lvl>
    <w:lvl w:ilvl="8" w:tplc="75DE6A32" w:tentative="1">
      <w:start w:val="1"/>
      <w:numFmt w:val="bullet"/>
      <w:lvlText w:val="•"/>
      <w:lvlJc w:val="left"/>
      <w:pPr>
        <w:tabs>
          <w:tab w:val="num" w:pos="6480"/>
        </w:tabs>
        <w:ind w:left="6480" w:hanging="360"/>
      </w:pPr>
      <w:rPr>
        <w:rFonts w:ascii="Arial" w:hAnsi="Arial" w:hint="default"/>
      </w:rPr>
    </w:lvl>
  </w:abstractNum>
  <w:abstractNum w:abstractNumId="4">
    <w:nsid w:val="0F1C6700"/>
    <w:multiLevelType w:val="hybridMultilevel"/>
    <w:tmpl w:val="59B4E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75C93"/>
    <w:multiLevelType w:val="hybridMultilevel"/>
    <w:tmpl w:val="89145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10EF1"/>
    <w:multiLevelType w:val="hybridMultilevel"/>
    <w:tmpl w:val="EE46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71049"/>
    <w:multiLevelType w:val="hybridMultilevel"/>
    <w:tmpl w:val="053401A0"/>
    <w:lvl w:ilvl="0" w:tplc="FC4EC54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5210CF0"/>
    <w:multiLevelType w:val="hybridMultilevel"/>
    <w:tmpl w:val="24C29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4C507E"/>
    <w:multiLevelType w:val="hybridMultilevel"/>
    <w:tmpl w:val="7D3618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5499E"/>
    <w:multiLevelType w:val="hybridMultilevel"/>
    <w:tmpl w:val="E26863B6"/>
    <w:lvl w:ilvl="0" w:tplc="CEB69634">
      <w:start w:val="4"/>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020AEF"/>
    <w:multiLevelType w:val="hybridMultilevel"/>
    <w:tmpl w:val="3A2AD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871082"/>
    <w:multiLevelType w:val="hybridMultilevel"/>
    <w:tmpl w:val="DD4C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196C5B"/>
    <w:multiLevelType w:val="hybridMultilevel"/>
    <w:tmpl w:val="F432A31A"/>
    <w:lvl w:ilvl="0" w:tplc="820C6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350D9"/>
    <w:multiLevelType w:val="hybridMultilevel"/>
    <w:tmpl w:val="1AB0265E"/>
    <w:lvl w:ilvl="0" w:tplc="6D9673BC">
      <w:start w:val="1"/>
      <w:numFmt w:val="decimal"/>
      <w:lvlText w:val="%1."/>
      <w:lvlJc w:val="left"/>
      <w:pPr>
        <w:ind w:left="360" w:hanging="360"/>
      </w:pPr>
      <w:rPr>
        <w:i w:val="0"/>
      </w:rPr>
    </w:lvl>
    <w:lvl w:ilvl="1" w:tplc="42A2C40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0150A9"/>
    <w:multiLevelType w:val="hybridMultilevel"/>
    <w:tmpl w:val="52842480"/>
    <w:lvl w:ilvl="0" w:tplc="BBB0E6EE">
      <w:start w:val="1"/>
      <w:numFmt w:val="bullet"/>
      <w:lvlText w:val="•"/>
      <w:lvlJc w:val="left"/>
      <w:pPr>
        <w:tabs>
          <w:tab w:val="num" w:pos="720"/>
        </w:tabs>
        <w:ind w:left="720" w:hanging="360"/>
      </w:pPr>
      <w:rPr>
        <w:rFonts w:ascii="Arial" w:hAnsi="Arial" w:hint="default"/>
      </w:rPr>
    </w:lvl>
    <w:lvl w:ilvl="1" w:tplc="D1704EEC" w:tentative="1">
      <w:start w:val="1"/>
      <w:numFmt w:val="bullet"/>
      <w:lvlText w:val="•"/>
      <w:lvlJc w:val="left"/>
      <w:pPr>
        <w:tabs>
          <w:tab w:val="num" w:pos="1440"/>
        </w:tabs>
        <w:ind w:left="1440" w:hanging="360"/>
      </w:pPr>
      <w:rPr>
        <w:rFonts w:ascii="Arial" w:hAnsi="Arial" w:hint="default"/>
      </w:rPr>
    </w:lvl>
    <w:lvl w:ilvl="2" w:tplc="31AAD0A8" w:tentative="1">
      <w:start w:val="1"/>
      <w:numFmt w:val="bullet"/>
      <w:lvlText w:val="•"/>
      <w:lvlJc w:val="left"/>
      <w:pPr>
        <w:tabs>
          <w:tab w:val="num" w:pos="2160"/>
        </w:tabs>
        <w:ind w:left="2160" w:hanging="360"/>
      </w:pPr>
      <w:rPr>
        <w:rFonts w:ascii="Arial" w:hAnsi="Arial" w:hint="default"/>
      </w:rPr>
    </w:lvl>
    <w:lvl w:ilvl="3" w:tplc="7D5A8D28" w:tentative="1">
      <w:start w:val="1"/>
      <w:numFmt w:val="bullet"/>
      <w:lvlText w:val="•"/>
      <w:lvlJc w:val="left"/>
      <w:pPr>
        <w:tabs>
          <w:tab w:val="num" w:pos="2880"/>
        </w:tabs>
        <w:ind w:left="2880" w:hanging="360"/>
      </w:pPr>
      <w:rPr>
        <w:rFonts w:ascii="Arial" w:hAnsi="Arial" w:hint="default"/>
      </w:rPr>
    </w:lvl>
    <w:lvl w:ilvl="4" w:tplc="D7628A2A" w:tentative="1">
      <w:start w:val="1"/>
      <w:numFmt w:val="bullet"/>
      <w:lvlText w:val="•"/>
      <w:lvlJc w:val="left"/>
      <w:pPr>
        <w:tabs>
          <w:tab w:val="num" w:pos="3600"/>
        </w:tabs>
        <w:ind w:left="3600" w:hanging="360"/>
      </w:pPr>
      <w:rPr>
        <w:rFonts w:ascii="Arial" w:hAnsi="Arial" w:hint="default"/>
      </w:rPr>
    </w:lvl>
    <w:lvl w:ilvl="5" w:tplc="E27C6FA8" w:tentative="1">
      <w:start w:val="1"/>
      <w:numFmt w:val="bullet"/>
      <w:lvlText w:val="•"/>
      <w:lvlJc w:val="left"/>
      <w:pPr>
        <w:tabs>
          <w:tab w:val="num" w:pos="4320"/>
        </w:tabs>
        <w:ind w:left="4320" w:hanging="360"/>
      </w:pPr>
      <w:rPr>
        <w:rFonts w:ascii="Arial" w:hAnsi="Arial" w:hint="default"/>
      </w:rPr>
    </w:lvl>
    <w:lvl w:ilvl="6" w:tplc="D90653AC" w:tentative="1">
      <w:start w:val="1"/>
      <w:numFmt w:val="bullet"/>
      <w:lvlText w:val="•"/>
      <w:lvlJc w:val="left"/>
      <w:pPr>
        <w:tabs>
          <w:tab w:val="num" w:pos="5040"/>
        </w:tabs>
        <w:ind w:left="5040" w:hanging="360"/>
      </w:pPr>
      <w:rPr>
        <w:rFonts w:ascii="Arial" w:hAnsi="Arial" w:hint="default"/>
      </w:rPr>
    </w:lvl>
    <w:lvl w:ilvl="7" w:tplc="51F45AE4" w:tentative="1">
      <w:start w:val="1"/>
      <w:numFmt w:val="bullet"/>
      <w:lvlText w:val="•"/>
      <w:lvlJc w:val="left"/>
      <w:pPr>
        <w:tabs>
          <w:tab w:val="num" w:pos="5760"/>
        </w:tabs>
        <w:ind w:left="5760" w:hanging="360"/>
      </w:pPr>
      <w:rPr>
        <w:rFonts w:ascii="Arial" w:hAnsi="Arial" w:hint="default"/>
      </w:rPr>
    </w:lvl>
    <w:lvl w:ilvl="8" w:tplc="5BCE54B8" w:tentative="1">
      <w:start w:val="1"/>
      <w:numFmt w:val="bullet"/>
      <w:lvlText w:val="•"/>
      <w:lvlJc w:val="left"/>
      <w:pPr>
        <w:tabs>
          <w:tab w:val="num" w:pos="6480"/>
        </w:tabs>
        <w:ind w:left="6480" w:hanging="360"/>
      </w:pPr>
      <w:rPr>
        <w:rFonts w:ascii="Arial" w:hAnsi="Arial" w:hint="default"/>
      </w:rPr>
    </w:lvl>
  </w:abstractNum>
  <w:abstractNum w:abstractNumId="16">
    <w:nsid w:val="48BF0E04"/>
    <w:multiLevelType w:val="hybridMultilevel"/>
    <w:tmpl w:val="2CE81626"/>
    <w:lvl w:ilvl="0" w:tplc="AC362F2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EB4232E"/>
    <w:multiLevelType w:val="hybridMultilevel"/>
    <w:tmpl w:val="36747490"/>
    <w:lvl w:ilvl="0" w:tplc="49B03A98">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35108E"/>
    <w:multiLevelType w:val="hybridMultilevel"/>
    <w:tmpl w:val="ACA2444A"/>
    <w:lvl w:ilvl="0" w:tplc="4844E410">
      <w:start w:val="1"/>
      <w:numFmt w:val="decimal"/>
      <w:pStyle w:val="NormalWithNumber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13069B"/>
    <w:multiLevelType w:val="hybridMultilevel"/>
    <w:tmpl w:val="AA88C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12CA9"/>
    <w:multiLevelType w:val="hybridMultilevel"/>
    <w:tmpl w:val="977AA5A2"/>
    <w:lvl w:ilvl="0" w:tplc="AC362F2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AC6862"/>
    <w:multiLevelType w:val="hybridMultilevel"/>
    <w:tmpl w:val="B4C80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1E08A8"/>
    <w:multiLevelType w:val="hybridMultilevel"/>
    <w:tmpl w:val="9F423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A0CAB"/>
    <w:multiLevelType w:val="hybridMultilevel"/>
    <w:tmpl w:val="E87A20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64C2A"/>
    <w:multiLevelType w:val="hybridMultilevel"/>
    <w:tmpl w:val="604A5FE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74F27"/>
    <w:multiLevelType w:val="hybridMultilevel"/>
    <w:tmpl w:val="17BE30FA"/>
    <w:lvl w:ilvl="0" w:tplc="572CC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371C8A"/>
    <w:multiLevelType w:val="hybridMultilevel"/>
    <w:tmpl w:val="B93228A8"/>
    <w:lvl w:ilvl="0" w:tplc="0BE6DE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161E88"/>
    <w:multiLevelType w:val="hybridMultilevel"/>
    <w:tmpl w:val="E37EDF02"/>
    <w:lvl w:ilvl="0" w:tplc="D80846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F0CB5"/>
    <w:multiLevelType w:val="hybridMultilevel"/>
    <w:tmpl w:val="0854E190"/>
    <w:lvl w:ilvl="0" w:tplc="D80846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8"/>
  </w:num>
  <w:num w:numId="4">
    <w:abstractNumId w:val="14"/>
  </w:num>
  <w:num w:numId="5">
    <w:abstractNumId w:val="6"/>
  </w:num>
  <w:num w:numId="6">
    <w:abstractNumId w:val="5"/>
  </w:num>
  <w:num w:numId="7">
    <w:abstractNumId w:val="22"/>
  </w:num>
  <w:num w:numId="8">
    <w:abstractNumId w:val="28"/>
  </w:num>
  <w:num w:numId="9">
    <w:abstractNumId w:val="24"/>
  </w:num>
  <w:num w:numId="10">
    <w:abstractNumId w:val="11"/>
  </w:num>
  <w:num w:numId="11">
    <w:abstractNumId w:val="12"/>
  </w:num>
  <w:num w:numId="12">
    <w:abstractNumId w:val="27"/>
  </w:num>
  <w:num w:numId="13">
    <w:abstractNumId w:val="15"/>
  </w:num>
  <w:num w:numId="14">
    <w:abstractNumId w:val="3"/>
  </w:num>
  <w:num w:numId="15">
    <w:abstractNumId w:val="1"/>
  </w:num>
  <w:num w:numId="16">
    <w:abstractNumId w:val="19"/>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0"/>
  </w:num>
  <w:num w:numId="22">
    <w:abstractNumId w:val="17"/>
  </w:num>
  <w:num w:numId="23">
    <w:abstractNumId w:val="10"/>
  </w:num>
  <w:num w:numId="24">
    <w:abstractNumId w:val="16"/>
  </w:num>
  <w:num w:numId="25">
    <w:abstractNumId w:val="9"/>
  </w:num>
  <w:num w:numId="26">
    <w:abstractNumId w:val="23"/>
  </w:num>
  <w:num w:numId="27">
    <w:abstractNumId w:val="21"/>
  </w:num>
  <w:num w:numId="28">
    <w:abstractNumId w:val="4"/>
  </w:num>
  <w:num w:numId="29">
    <w:abstractNumId w:val="25"/>
  </w:num>
  <w:num w:numId="30">
    <w:abstractNumId w:val="1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9D6"/>
    <w:rsid w:val="0000179D"/>
    <w:rsid w:val="00007847"/>
    <w:rsid w:val="00011514"/>
    <w:rsid w:val="00043995"/>
    <w:rsid w:val="00066A86"/>
    <w:rsid w:val="00084D1D"/>
    <w:rsid w:val="00090460"/>
    <w:rsid w:val="00090D4C"/>
    <w:rsid w:val="000B6011"/>
    <w:rsid w:val="000B716B"/>
    <w:rsid w:val="000C0CE0"/>
    <w:rsid w:val="000D5891"/>
    <w:rsid w:val="000E6F4A"/>
    <w:rsid w:val="001025D7"/>
    <w:rsid w:val="00107954"/>
    <w:rsid w:val="0011192D"/>
    <w:rsid w:val="00113C12"/>
    <w:rsid w:val="001142F3"/>
    <w:rsid w:val="00120752"/>
    <w:rsid w:val="00144D85"/>
    <w:rsid w:val="001453B1"/>
    <w:rsid w:val="001564B6"/>
    <w:rsid w:val="00157715"/>
    <w:rsid w:val="00165033"/>
    <w:rsid w:val="00166EFB"/>
    <w:rsid w:val="00173169"/>
    <w:rsid w:val="00187A2B"/>
    <w:rsid w:val="001907AC"/>
    <w:rsid w:val="001B2BA2"/>
    <w:rsid w:val="001B3740"/>
    <w:rsid w:val="001B4FEF"/>
    <w:rsid w:val="001C0DED"/>
    <w:rsid w:val="001C593D"/>
    <w:rsid w:val="001D53BB"/>
    <w:rsid w:val="001D54BB"/>
    <w:rsid w:val="001E4DF1"/>
    <w:rsid w:val="001E7BE2"/>
    <w:rsid w:val="001F7D88"/>
    <w:rsid w:val="00212A97"/>
    <w:rsid w:val="00215638"/>
    <w:rsid w:val="00215D2F"/>
    <w:rsid w:val="002173F8"/>
    <w:rsid w:val="00221935"/>
    <w:rsid w:val="002227E2"/>
    <w:rsid w:val="002244F1"/>
    <w:rsid w:val="0023605E"/>
    <w:rsid w:val="00244EFC"/>
    <w:rsid w:val="00256210"/>
    <w:rsid w:val="00265377"/>
    <w:rsid w:val="00265DA2"/>
    <w:rsid w:val="0027252E"/>
    <w:rsid w:val="00284539"/>
    <w:rsid w:val="002912F3"/>
    <w:rsid w:val="002A1594"/>
    <w:rsid w:val="002A3AE0"/>
    <w:rsid w:val="002B4764"/>
    <w:rsid w:val="002C1DCB"/>
    <w:rsid w:val="002C4552"/>
    <w:rsid w:val="002C6CF4"/>
    <w:rsid w:val="002D69C8"/>
    <w:rsid w:val="002E0834"/>
    <w:rsid w:val="002F178D"/>
    <w:rsid w:val="002F4C49"/>
    <w:rsid w:val="002F59D6"/>
    <w:rsid w:val="0031088A"/>
    <w:rsid w:val="00312C8E"/>
    <w:rsid w:val="00312D76"/>
    <w:rsid w:val="003239C7"/>
    <w:rsid w:val="00326DE6"/>
    <w:rsid w:val="00337E7C"/>
    <w:rsid w:val="00342226"/>
    <w:rsid w:val="00343112"/>
    <w:rsid w:val="00354DA7"/>
    <w:rsid w:val="003750F1"/>
    <w:rsid w:val="003869A6"/>
    <w:rsid w:val="003928FB"/>
    <w:rsid w:val="003945F9"/>
    <w:rsid w:val="00395244"/>
    <w:rsid w:val="0039561E"/>
    <w:rsid w:val="00396F50"/>
    <w:rsid w:val="003B301F"/>
    <w:rsid w:val="003C55D8"/>
    <w:rsid w:val="003C62C4"/>
    <w:rsid w:val="003D1D3E"/>
    <w:rsid w:val="003D3089"/>
    <w:rsid w:val="003D337B"/>
    <w:rsid w:val="003E2CA1"/>
    <w:rsid w:val="003E686E"/>
    <w:rsid w:val="003F44C9"/>
    <w:rsid w:val="00404680"/>
    <w:rsid w:val="00407AC1"/>
    <w:rsid w:val="004158B9"/>
    <w:rsid w:val="00421D26"/>
    <w:rsid w:val="004226AB"/>
    <w:rsid w:val="0042413A"/>
    <w:rsid w:val="00425855"/>
    <w:rsid w:val="00425D91"/>
    <w:rsid w:val="00432CDA"/>
    <w:rsid w:val="00434299"/>
    <w:rsid w:val="00445043"/>
    <w:rsid w:val="00450D10"/>
    <w:rsid w:val="00453A33"/>
    <w:rsid w:val="00453ED9"/>
    <w:rsid w:val="00471254"/>
    <w:rsid w:val="00471D69"/>
    <w:rsid w:val="00473561"/>
    <w:rsid w:val="00474474"/>
    <w:rsid w:val="0047574C"/>
    <w:rsid w:val="00477562"/>
    <w:rsid w:val="00477DB6"/>
    <w:rsid w:val="004801E8"/>
    <w:rsid w:val="00490732"/>
    <w:rsid w:val="00496B0B"/>
    <w:rsid w:val="0049750F"/>
    <w:rsid w:val="004A26AE"/>
    <w:rsid w:val="004A5929"/>
    <w:rsid w:val="004A6BAF"/>
    <w:rsid w:val="004A763C"/>
    <w:rsid w:val="004B4802"/>
    <w:rsid w:val="004C4369"/>
    <w:rsid w:val="004C58D7"/>
    <w:rsid w:val="004D1B2E"/>
    <w:rsid w:val="004D1E81"/>
    <w:rsid w:val="004E2DBC"/>
    <w:rsid w:val="004E7282"/>
    <w:rsid w:val="004F5CED"/>
    <w:rsid w:val="004F62A0"/>
    <w:rsid w:val="004F6CBA"/>
    <w:rsid w:val="004F7C32"/>
    <w:rsid w:val="00504C23"/>
    <w:rsid w:val="00512745"/>
    <w:rsid w:val="0054101B"/>
    <w:rsid w:val="00544FEC"/>
    <w:rsid w:val="00545F36"/>
    <w:rsid w:val="00547023"/>
    <w:rsid w:val="005470F2"/>
    <w:rsid w:val="005517C6"/>
    <w:rsid w:val="00551CDD"/>
    <w:rsid w:val="00553AA9"/>
    <w:rsid w:val="00553EEB"/>
    <w:rsid w:val="00555E19"/>
    <w:rsid w:val="005567C4"/>
    <w:rsid w:val="0056092C"/>
    <w:rsid w:val="005823DC"/>
    <w:rsid w:val="005830D3"/>
    <w:rsid w:val="00584E65"/>
    <w:rsid w:val="0058650C"/>
    <w:rsid w:val="00592F26"/>
    <w:rsid w:val="005A7E78"/>
    <w:rsid w:val="005C3786"/>
    <w:rsid w:val="005C4A51"/>
    <w:rsid w:val="005C61C9"/>
    <w:rsid w:val="005D0090"/>
    <w:rsid w:val="005D3373"/>
    <w:rsid w:val="005D79D0"/>
    <w:rsid w:val="005E268A"/>
    <w:rsid w:val="005F08EB"/>
    <w:rsid w:val="005F2C4C"/>
    <w:rsid w:val="005F3750"/>
    <w:rsid w:val="005F5EE6"/>
    <w:rsid w:val="006026FF"/>
    <w:rsid w:val="00604D9C"/>
    <w:rsid w:val="006209E4"/>
    <w:rsid w:val="00621DAD"/>
    <w:rsid w:val="00622825"/>
    <w:rsid w:val="006243AF"/>
    <w:rsid w:val="00624677"/>
    <w:rsid w:val="00627551"/>
    <w:rsid w:val="006278D4"/>
    <w:rsid w:val="00627937"/>
    <w:rsid w:val="00635581"/>
    <w:rsid w:val="00637CAA"/>
    <w:rsid w:val="006551DC"/>
    <w:rsid w:val="0066222E"/>
    <w:rsid w:val="006754A3"/>
    <w:rsid w:val="0068138F"/>
    <w:rsid w:val="00681B21"/>
    <w:rsid w:val="00691E3D"/>
    <w:rsid w:val="0069207A"/>
    <w:rsid w:val="006A2F59"/>
    <w:rsid w:val="006A3193"/>
    <w:rsid w:val="006B04D2"/>
    <w:rsid w:val="006C5CB8"/>
    <w:rsid w:val="006C710D"/>
    <w:rsid w:val="006D4763"/>
    <w:rsid w:val="006E234B"/>
    <w:rsid w:val="006E7946"/>
    <w:rsid w:val="006F53C2"/>
    <w:rsid w:val="00703BFB"/>
    <w:rsid w:val="00705D07"/>
    <w:rsid w:val="0070700F"/>
    <w:rsid w:val="007220ED"/>
    <w:rsid w:val="00725C98"/>
    <w:rsid w:val="00732AC0"/>
    <w:rsid w:val="00732B61"/>
    <w:rsid w:val="00735186"/>
    <w:rsid w:val="00737520"/>
    <w:rsid w:val="007413F3"/>
    <w:rsid w:val="00741C18"/>
    <w:rsid w:val="00743900"/>
    <w:rsid w:val="00745261"/>
    <w:rsid w:val="0074567A"/>
    <w:rsid w:val="007467A8"/>
    <w:rsid w:val="007527E3"/>
    <w:rsid w:val="00752C46"/>
    <w:rsid w:val="00753C11"/>
    <w:rsid w:val="007566B3"/>
    <w:rsid w:val="0075795E"/>
    <w:rsid w:val="0077003C"/>
    <w:rsid w:val="00787367"/>
    <w:rsid w:val="007925A6"/>
    <w:rsid w:val="00795ADB"/>
    <w:rsid w:val="007A355C"/>
    <w:rsid w:val="007C2CB5"/>
    <w:rsid w:val="007C3DE3"/>
    <w:rsid w:val="007C5D4A"/>
    <w:rsid w:val="007E03C9"/>
    <w:rsid w:val="007E205D"/>
    <w:rsid w:val="007E29BC"/>
    <w:rsid w:val="007F01A5"/>
    <w:rsid w:val="008000D9"/>
    <w:rsid w:val="00800E8D"/>
    <w:rsid w:val="00804DED"/>
    <w:rsid w:val="00804FB8"/>
    <w:rsid w:val="00813055"/>
    <w:rsid w:val="00822979"/>
    <w:rsid w:val="00822B3E"/>
    <w:rsid w:val="00835E63"/>
    <w:rsid w:val="00836DD7"/>
    <w:rsid w:val="00855A05"/>
    <w:rsid w:val="00862269"/>
    <w:rsid w:val="00862DBF"/>
    <w:rsid w:val="008650FE"/>
    <w:rsid w:val="00865E91"/>
    <w:rsid w:val="00874B5E"/>
    <w:rsid w:val="008806D1"/>
    <w:rsid w:val="00881FE7"/>
    <w:rsid w:val="0088641B"/>
    <w:rsid w:val="00893AE8"/>
    <w:rsid w:val="00894C94"/>
    <w:rsid w:val="00895A8E"/>
    <w:rsid w:val="008A1BD2"/>
    <w:rsid w:val="008B42C3"/>
    <w:rsid w:val="008B4700"/>
    <w:rsid w:val="008C24E9"/>
    <w:rsid w:val="008C6EAB"/>
    <w:rsid w:val="008D08E7"/>
    <w:rsid w:val="008D3310"/>
    <w:rsid w:val="008D7F80"/>
    <w:rsid w:val="008E6512"/>
    <w:rsid w:val="008E72F0"/>
    <w:rsid w:val="008F2589"/>
    <w:rsid w:val="008F5005"/>
    <w:rsid w:val="008F65AD"/>
    <w:rsid w:val="0090308D"/>
    <w:rsid w:val="009218C7"/>
    <w:rsid w:val="00932AB3"/>
    <w:rsid w:val="00935121"/>
    <w:rsid w:val="00935B78"/>
    <w:rsid w:val="00940278"/>
    <w:rsid w:val="009459A1"/>
    <w:rsid w:val="00945E2E"/>
    <w:rsid w:val="00951806"/>
    <w:rsid w:val="0095240F"/>
    <w:rsid w:val="00953A87"/>
    <w:rsid w:val="00955D9F"/>
    <w:rsid w:val="00965BFF"/>
    <w:rsid w:val="00976C56"/>
    <w:rsid w:val="00980323"/>
    <w:rsid w:val="00986FFC"/>
    <w:rsid w:val="00993029"/>
    <w:rsid w:val="00993D0B"/>
    <w:rsid w:val="009A3358"/>
    <w:rsid w:val="009A6ED6"/>
    <w:rsid w:val="009A7B47"/>
    <w:rsid w:val="009B77B8"/>
    <w:rsid w:val="009C1F1A"/>
    <w:rsid w:val="009D0E4C"/>
    <w:rsid w:val="009E0CCD"/>
    <w:rsid w:val="009E0D48"/>
    <w:rsid w:val="009E5B3D"/>
    <w:rsid w:val="009F703E"/>
    <w:rsid w:val="00A00949"/>
    <w:rsid w:val="00A01427"/>
    <w:rsid w:val="00A27A42"/>
    <w:rsid w:val="00A322CB"/>
    <w:rsid w:val="00A4017B"/>
    <w:rsid w:val="00A45ACE"/>
    <w:rsid w:val="00A53EFA"/>
    <w:rsid w:val="00A609C2"/>
    <w:rsid w:val="00A617D4"/>
    <w:rsid w:val="00A65983"/>
    <w:rsid w:val="00A7074F"/>
    <w:rsid w:val="00A8233C"/>
    <w:rsid w:val="00A8351E"/>
    <w:rsid w:val="00A85CCA"/>
    <w:rsid w:val="00AB4961"/>
    <w:rsid w:val="00AE2F1E"/>
    <w:rsid w:val="00AE6626"/>
    <w:rsid w:val="00AE7445"/>
    <w:rsid w:val="00AE7D30"/>
    <w:rsid w:val="00AF1FF7"/>
    <w:rsid w:val="00AF28F9"/>
    <w:rsid w:val="00AF3050"/>
    <w:rsid w:val="00AF483D"/>
    <w:rsid w:val="00B011C1"/>
    <w:rsid w:val="00B07AE8"/>
    <w:rsid w:val="00B12D13"/>
    <w:rsid w:val="00B16EE5"/>
    <w:rsid w:val="00B24004"/>
    <w:rsid w:val="00B514F4"/>
    <w:rsid w:val="00B61BBC"/>
    <w:rsid w:val="00B64375"/>
    <w:rsid w:val="00B86AD7"/>
    <w:rsid w:val="00B92DDE"/>
    <w:rsid w:val="00B9797F"/>
    <w:rsid w:val="00BA2EB5"/>
    <w:rsid w:val="00BA6402"/>
    <w:rsid w:val="00BB2B81"/>
    <w:rsid w:val="00BB48AA"/>
    <w:rsid w:val="00BC29F8"/>
    <w:rsid w:val="00BC562D"/>
    <w:rsid w:val="00BC5D76"/>
    <w:rsid w:val="00BC6D1A"/>
    <w:rsid w:val="00BD3C59"/>
    <w:rsid w:val="00BD49BC"/>
    <w:rsid w:val="00BE0A35"/>
    <w:rsid w:val="00BE1351"/>
    <w:rsid w:val="00BE500F"/>
    <w:rsid w:val="00BE6B75"/>
    <w:rsid w:val="00C03B24"/>
    <w:rsid w:val="00C0702E"/>
    <w:rsid w:val="00C11770"/>
    <w:rsid w:val="00C124F4"/>
    <w:rsid w:val="00C12EF2"/>
    <w:rsid w:val="00C1635B"/>
    <w:rsid w:val="00C16520"/>
    <w:rsid w:val="00C17884"/>
    <w:rsid w:val="00C2181D"/>
    <w:rsid w:val="00C2276C"/>
    <w:rsid w:val="00C2541B"/>
    <w:rsid w:val="00C257C9"/>
    <w:rsid w:val="00C26734"/>
    <w:rsid w:val="00C30267"/>
    <w:rsid w:val="00C30775"/>
    <w:rsid w:val="00C3122C"/>
    <w:rsid w:val="00C37778"/>
    <w:rsid w:val="00C4195D"/>
    <w:rsid w:val="00C45B7B"/>
    <w:rsid w:val="00C53980"/>
    <w:rsid w:val="00C55A78"/>
    <w:rsid w:val="00C74CAB"/>
    <w:rsid w:val="00C84D1C"/>
    <w:rsid w:val="00C85FAE"/>
    <w:rsid w:val="00C907BD"/>
    <w:rsid w:val="00C92AF8"/>
    <w:rsid w:val="00C9396B"/>
    <w:rsid w:val="00C950B0"/>
    <w:rsid w:val="00C951CA"/>
    <w:rsid w:val="00CA0110"/>
    <w:rsid w:val="00CA5360"/>
    <w:rsid w:val="00CA7D03"/>
    <w:rsid w:val="00CB75DD"/>
    <w:rsid w:val="00CC1731"/>
    <w:rsid w:val="00CC3797"/>
    <w:rsid w:val="00CC6B72"/>
    <w:rsid w:val="00CD0CBF"/>
    <w:rsid w:val="00CD7A4C"/>
    <w:rsid w:val="00CE1750"/>
    <w:rsid w:val="00CF17F3"/>
    <w:rsid w:val="00CF2ED4"/>
    <w:rsid w:val="00D01030"/>
    <w:rsid w:val="00D01E47"/>
    <w:rsid w:val="00D03529"/>
    <w:rsid w:val="00D114CD"/>
    <w:rsid w:val="00D13810"/>
    <w:rsid w:val="00D1421F"/>
    <w:rsid w:val="00D15E1B"/>
    <w:rsid w:val="00D17E36"/>
    <w:rsid w:val="00D21F06"/>
    <w:rsid w:val="00D30641"/>
    <w:rsid w:val="00D434F0"/>
    <w:rsid w:val="00D6273D"/>
    <w:rsid w:val="00D631CB"/>
    <w:rsid w:val="00D63970"/>
    <w:rsid w:val="00D66CCF"/>
    <w:rsid w:val="00D6716B"/>
    <w:rsid w:val="00D73F6B"/>
    <w:rsid w:val="00D77300"/>
    <w:rsid w:val="00D8302F"/>
    <w:rsid w:val="00D9012D"/>
    <w:rsid w:val="00D903CC"/>
    <w:rsid w:val="00D90CDE"/>
    <w:rsid w:val="00DA0458"/>
    <w:rsid w:val="00DA3EB3"/>
    <w:rsid w:val="00DA43E4"/>
    <w:rsid w:val="00DA70CD"/>
    <w:rsid w:val="00DA7711"/>
    <w:rsid w:val="00DB0499"/>
    <w:rsid w:val="00DB5FA1"/>
    <w:rsid w:val="00DC1526"/>
    <w:rsid w:val="00DC1B84"/>
    <w:rsid w:val="00DC2CB8"/>
    <w:rsid w:val="00DC414A"/>
    <w:rsid w:val="00DC71AB"/>
    <w:rsid w:val="00DD0527"/>
    <w:rsid w:val="00DD090C"/>
    <w:rsid w:val="00DD2293"/>
    <w:rsid w:val="00DD2573"/>
    <w:rsid w:val="00DD4A92"/>
    <w:rsid w:val="00DD5F7F"/>
    <w:rsid w:val="00DE386D"/>
    <w:rsid w:val="00DE5EE4"/>
    <w:rsid w:val="00DE6F72"/>
    <w:rsid w:val="00E06142"/>
    <w:rsid w:val="00E14E27"/>
    <w:rsid w:val="00E15AA9"/>
    <w:rsid w:val="00E2051F"/>
    <w:rsid w:val="00E35391"/>
    <w:rsid w:val="00E416E5"/>
    <w:rsid w:val="00E44349"/>
    <w:rsid w:val="00E512C9"/>
    <w:rsid w:val="00E7405F"/>
    <w:rsid w:val="00EA066E"/>
    <w:rsid w:val="00EA41AF"/>
    <w:rsid w:val="00EC1AD2"/>
    <w:rsid w:val="00EC4791"/>
    <w:rsid w:val="00ED4B8D"/>
    <w:rsid w:val="00ED4E51"/>
    <w:rsid w:val="00ED582E"/>
    <w:rsid w:val="00ED5C22"/>
    <w:rsid w:val="00ED5EBC"/>
    <w:rsid w:val="00EE4F4A"/>
    <w:rsid w:val="00EE5E41"/>
    <w:rsid w:val="00EF3BCF"/>
    <w:rsid w:val="00F04717"/>
    <w:rsid w:val="00F11476"/>
    <w:rsid w:val="00F210D3"/>
    <w:rsid w:val="00F25AD9"/>
    <w:rsid w:val="00F31FF1"/>
    <w:rsid w:val="00F32005"/>
    <w:rsid w:val="00F34298"/>
    <w:rsid w:val="00F4142F"/>
    <w:rsid w:val="00F61726"/>
    <w:rsid w:val="00F630A8"/>
    <w:rsid w:val="00F66592"/>
    <w:rsid w:val="00F7052F"/>
    <w:rsid w:val="00F73B36"/>
    <w:rsid w:val="00F91981"/>
    <w:rsid w:val="00F96745"/>
    <w:rsid w:val="00FA17D2"/>
    <w:rsid w:val="00FB0939"/>
    <w:rsid w:val="00FB14DC"/>
    <w:rsid w:val="00FB1AF4"/>
    <w:rsid w:val="00FB4180"/>
    <w:rsid w:val="00FB4930"/>
    <w:rsid w:val="00FB60E1"/>
    <w:rsid w:val="00FB7B44"/>
    <w:rsid w:val="00FC792F"/>
    <w:rsid w:val="00FD0277"/>
    <w:rsid w:val="00FE02C2"/>
    <w:rsid w:val="00FE58C7"/>
    <w:rsid w:val="00FF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4">
    <w:name w:val="heading 4"/>
    <w:basedOn w:val="a"/>
    <w:next w:val="a"/>
    <w:link w:val="40"/>
    <w:uiPriority w:val="99"/>
    <w:semiHidden/>
    <w:unhideWhenUsed/>
    <w:qFormat/>
    <w:rsid w:val="00425855"/>
    <w:pPr>
      <w:keepNext/>
      <w:spacing w:after="0" w:line="240" w:lineRule="auto"/>
      <w:outlineLvl w:val="3"/>
    </w:pPr>
    <w:rPr>
      <w:rFonts w:ascii="Times New Roman" w:eastAsia="Times New Roman" w:hAnsi="Times New Roman"/>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F59D6"/>
    <w:pPr>
      <w:ind w:left="720"/>
      <w:contextualSpacing/>
    </w:pPr>
  </w:style>
  <w:style w:type="paragraph" w:styleId="a5">
    <w:name w:val="Balloon Text"/>
    <w:basedOn w:val="a"/>
    <w:link w:val="a6"/>
    <w:uiPriority w:val="99"/>
    <w:semiHidden/>
    <w:unhideWhenUsed/>
    <w:rsid w:val="00B86AD7"/>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B86AD7"/>
    <w:rPr>
      <w:rFonts w:ascii="Tahoma" w:hAnsi="Tahoma" w:cs="Tahoma"/>
      <w:sz w:val="16"/>
      <w:szCs w:val="16"/>
    </w:rPr>
  </w:style>
  <w:style w:type="paragraph" w:styleId="a7">
    <w:name w:val="footnote text"/>
    <w:basedOn w:val="a"/>
    <w:link w:val="a8"/>
    <w:uiPriority w:val="99"/>
    <w:semiHidden/>
    <w:unhideWhenUsed/>
    <w:rsid w:val="00FB4180"/>
    <w:pPr>
      <w:spacing w:after="0" w:line="240" w:lineRule="auto"/>
    </w:pPr>
    <w:rPr>
      <w:sz w:val="20"/>
      <w:szCs w:val="20"/>
      <w:lang w:val="x-none" w:eastAsia="x-none"/>
    </w:rPr>
  </w:style>
  <w:style w:type="character" w:customStyle="1" w:styleId="a8">
    <w:name w:val="Текст сноски Знак"/>
    <w:link w:val="a7"/>
    <w:uiPriority w:val="99"/>
    <w:semiHidden/>
    <w:rsid w:val="00FB4180"/>
    <w:rPr>
      <w:sz w:val="20"/>
      <w:szCs w:val="20"/>
    </w:rPr>
  </w:style>
  <w:style w:type="character" w:styleId="a9">
    <w:name w:val="footnote reference"/>
    <w:uiPriority w:val="99"/>
    <w:semiHidden/>
    <w:unhideWhenUsed/>
    <w:rsid w:val="00FB4180"/>
    <w:rPr>
      <w:vertAlign w:val="superscript"/>
    </w:rPr>
  </w:style>
  <w:style w:type="paragraph" w:styleId="aa">
    <w:name w:val="header"/>
    <w:basedOn w:val="a"/>
    <w:link w:val="ab"/>
    <w:uiPriority w:val="99"/>
    <w:unhideWhenUsed/>
    <w:rsid w:val="00FB1AF4"/>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FB1AF4"/>
  </w:style>
  <w:style w:type="paragraph" w:styleId="ac">
    <w:name w:val="footer"/>
    <w:basedOn w:val="a"/>
    <w:link w:val="ad"/>
    <w:uiPriority w:val="99"/>
    <w:unhideWhenUsed/>
    <w:rsid w:val="00FB1AF4"/>
    <w:pPr>
      <w:tabs>
        <w:tab w:val="center" w:pos="4680"/>
        <w:tab w:val="right" w:pos="9360"/>
      </w:tabs>
      <w:spacing w:after="0" w:line="240" w:lineRule="auto"/>
    </w:pPr>
  </w:style>
  <w:style w:type="character" w:customStyle="1" w:styleId="ad">
    <w:name w:val="Нижний колонтитул Знак"/>
    <w:basedOn w:val="a0"/>
    <w:link w:val="ac"/>
    <w:uiPriority w:val="99"/>
    <w:rsid w:val="00FB1AF4"/>
  </w:style>
  <w:style w:type="table" w:styleId="ae">
    <w:name w:val="Table Grid"/>
    <w:basedOn w:val="a1"/>
    <w:uiPriority w:val="59"/>
    <w:rsid w:val="007E03C9"/>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sz w:val="24"/>
      </w:rPr>
      <w:tblPr/>
      <w:tcPr>
        <w:vAlign w:val="center"/>
      </w:tcPr>
    </w:tblStylePr>
  </w:style>
  <w:style w:type="paragraph" w:customStyle="1" w:styleId="NormalWithNumbering2">
    <w:name w:val="Normal With Numbering 2"/>
    <w:basedOn w:val="a"/>
    <w:link w:val="NormalWithNumbering2Char"/>
    <w:qFormat/>
    <w:rsid w:val="007E03C9"/>
    <w:pPr>
      <w:numPr>
        <w:numId w:val="3"/>
      </w:numPr>
      <w:spacing w:after="240" w:line="240" w:lineRule="auto"/>
      <w:mirrorIndents/>
    </w:pPr>
    <w:rPr>
      <w:rFonts w:ascii="Times New Roman" w:hAnsi="Times New Roman"/>
      <w:sz w:val="24"/>
      <w:szCs w:val="20"/>
      <w:lang w:val="x-none" w:eastAsia="x-none"/>
    </w:rPr>
  </w:style>
  <w:style w:type="character" w:customStyle="1" w:styleId="NormalWithNumbering2Char">
    <w:name w:val="Normal With Numbering 2 Char"/>
    <w:link w:val="NormalWithNumbering2"/>
    <w:rsid w:val="007E03C9"/>
    <w:rPr>
      <w:rFonts w:ascii="Times New Roman" w:hAnsi="Times New Roman"/>
      <w:sz w:val="24"/>
    </w:rPr>
  </w:style>
  <w:style w:type="character" w:styleId="af">
    <w:name w:val="annotation reference"/>
    <w:uiPriority w:val="99"/>
    <w:semiHidden/>
    <w:unhideWhenUsed/>
    <w:rsid w:val="00CC3797"/>
    <w:rPr>
      <w:sz w:val="16"/>
      <w:szCs w:val="16"/>
    </w:rPr>
  </w:style>
  <w:style w:type="paragraph" w:styleId="af0">
    <w:name w:val="annotation text"/>
    <w:basedOn w:val="a"/>
    <w:link w:val="af1"/>
    <w:uiPriority w:val="99"/>
    <w:semiHidden/>
    <w:unhideWhenUsed/>
    <w:rsid w:val="00CC3797"/>
    <w:pPr>
      <w:spacing w:line="240" w:lineRule="auto"/>
    </w:pPr>
    <w:rPr>
      <w:sz w:val="20"/>
      <w:szCs w:val="20"/>
      <w:lang w:val="x-none" w:eastAsia="x-none"/>
    </w:rPr>
  </w:style>
  <w:style w:type="character" w:customStyle="1" w:styleId="af1">
    <w:name w:val="Текст примечания Знак"/>
    <w:link w:val="af0"/>
    <w:uiPriority w:val="99"/>
    <w:semiHidden/>
    <w:rsid w:val="00CC3797"/>
    <w:rPr>
      <w:sz w:val="20"/>
      <w:szCs w:val="20"/>
    </w:rPr>
  </w:style>
  <w:style w:type="paragraph" w:styleId="af2">
    <w:name w:val="annotation subject"/>
    <w:basedOn w:val="af0"/>
    <w:next w:val="af0"/>
    <w:link w:val="af3"/>
    <w:uiPriority w:val="99"/>
    <w:semiHidden/>
    <w:unhideWhenUsed/>
    <w:rsid w:val="00CC3797"/>
    <w:rPr>
      <w:b/>
      <w:bCs/>
    </w:rPr>
  </w:style>
  <w:style w:type="character" w:customStyle="1" w:styleId="af3">
    <w:name w:val="Тема примечания Знак"/>
    <w:link w:val="af2"/>
    <w:uiPriority w:val="99"/>
    <w:semiHidden/>
    <w:rsid w:val="00CC3797"/>
    <w:rPr>
      <w:b/>
      <w:bCs/>
      <w:sz w:val="20"/>
      <w:szCs w:val="20"/>
    </w:rPr>
  </w:style>
  <w:style w:type="character" w:customStyle="1" w:styleId="40">
    <w:name w:val="Заголовок 4 Знак"/>
    <w:link w:val="4"/>
    <w:uiPriority w:val="99"/>
    <w:semiHidden/>
    <w:rsid w:val="00425855"/>
    <w:rPr>
      <w:rFonts w:ascii="Times New Roman" w:eastAsia="Times New Roman" w:hAnsi="Times New Roman" w:cs="Times New Roman"/>
      <w:b/>
      <w:sz w:val="20"/>
      <w:szCs w:val="20"/>
    </w:rPr>
  </w:style>
  <w:style w:type="paragraph" w:styleId="af4">
    <w:name w:val="Body Text"/>
    <w:basedOn w:val="a"/>
    <w:link w:val="af5"/>
    <w:semiHidden/>
    <w:unhideWhenUsed/>
    <w:qFormat/>
    <w:rsid w:val="00425855"/>
    <w:pPr>
      <w:spacing w:after="0" w:line="240" w:lineRule="auto"/>
    </w:pPr>
    <w:rPr>
      <w:rFonts w:ascii="Times New Roman" w:eastAsia="Times New Roman" w:hAnsi="Times New Roman"/>
      <w:sz w:val="20"/>
      <w:szCs w:val="20"/>
      <w:lang w:val="en-GB" w:eastAsia="x-none"/>
    </w:rPr>
  </w:style>
  <w:style w:type="character" w:customStyle="1" w:styleId="af5">
    <w:name w:val="Основной текст Знак"/>
    <w:link w:val="af4"/>
    <w:semiHidden/>
    <w:rsid w:val="00425855"/>
    <w:rPr>
      <w:rFonts w:ascii="Times New Roman" w:eastAsia="Times New Roman" w:hAnsi="Times New Roman" w:cs="Times New Roman"/>
      <w:sz w:val="20"/>
      <w:szCs w:val="20"/>
      <w:lang w:val="en-GB"/>
    </w:rPr>
  </w:style>
  <w:style w:type="character" w:customStyle="1" w:styleId="a4">
    <w:name w:val="Абзац списка Знак"/>
    <w:link w:val="a3"/>
    <w:uiPriority w:val="34"/>
    <w:locked/>
    <w:rsid w:val="00425855"/>
  </w:style>
  <w:style w:type="paragraph" w:customStyle="1" w:styleId="H56">
    <w:name w:val="_ H_5/6"/>
    <w:basedOn w:val="a"/>
    <w:next w:val="a"/>
    <w:rsid w:val="00425855"/>
    <w:pPr>
      <w:keepNext/>
      <w:keepLines/>
      <w:tabs>
        <w:tab w:val="right" w:pos="360"/>
      </w:tabs>
      <w:suppressAutoHyphens/>
      <w:spacing w:after="0" w:line="240" w:lineRule="exact"/>
      <w:outlineLvl w:val="4"/>
    </w:pPr>
    <w:rPr>
      <w:rFonts w:ascii="Times New Roman" w:eastAsia="Times New Roman" w:hAnsi="Times New Roman"/>
      <w:spacing w:val="4"/>
      <w:w w:val="103"/>
      <w:kern w:val="14"/>
      <w:sz w:val="20"/>
      <w:szCs w:val="20"/>
      <w:lang w:val="en-GB"/>
    </w:rPr>
  </w:style>
  <w:style w:type="paragraph" w:styleId="af6">
    <w:name w:val="Plain Text"/>
    <w:basedOn w:val="a"/>
    <w:link w:val="af7"/>
    <w:uiPriority w:val="99"/>
    <w:semiHidden/>
    <w:unhideWhenUsed/>
    <w:rsid w:val="002F4C49"/>
    <w:pPr>
      <w:spacing w:after="0" w:line="240" w:lineRule="auto"/>
    </w:pPr>
    <w:rPr>
      <w:rFonts w:cs="Consolas"/>
      <w:szCs w:val="21"/>
    </w:rPr>
  </w:style>
  <w:style w:type="character" w:customStyle="1" w:styleId="af7">
    <w:name w:val="Текст Знак"/>
    <w:link w:val="af6"/>
    <w:uiPriority w:val="99"/>
    <w:semiHidden/>
    <w:rsid w:val="002F4C49"/>
    <w:rPr>
      <w:rFonts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4">
    <w:name w:val="heading 4"/>
    <w:basedOn w:val="a"/>
    <w:next w:val="a"/>
    <w:link w:val="40"/>
    <w:uiPriority w:val="99"/>
    <w:semiHidden/>
    <w:unhideWhenUsed/>
    <w:qFormat/>
    <w:rsid w:val="00425855"/>
    <w:pPr>
      <w:keepNext/>
      <w:spacing w:after="0" w:line="240" w:lineRule="auto"/>
      <w:outlineLvl w:val="3"/>
    </w:pPr>
    <w:rPr>
      <w:rFonts w:ascii="Times New Roman" w:eastAsia="Times New Roman" w:hAnsi="Times New Roman"/>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F59D6"/>
    <w:pPr>
      <w:ind w:left="720"/>
      <w:contextualSpacing/>
    </w:pPr>
  </w:style>
  <w:style w:type="paragraph" w:styleId="a5">
    <w:name w:val="Balloon Text"/>
    <w:basedOn w:val="a"/>
    <w:link w:val="a6"/>
    <w:uiPriority w:val="99"/>
    <w:semiHidden/>
    <w:unhideWhenUsed/>
    <w:rsid w:val="00B86AD7"/>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B86AD7"/>
    <w:rPr>
      <w:rFonts w:ascii="Tahoma" w:hAnsi="Tahoma" w:cs="Tahoma"/>
      <w:sz w:val="16"/>
      <w:szCs w:val="16"/>
    </w:rPr>
  </w:style>
  <w:style w:type="paragraph" w:styleId="a7">
    <w:name w:val="footnote text"/>
    <w:basedOn w:val="a"/>
    <w:link w:val="a8"/>
    <w:uiPriority w:val="99"/>
    <w:semiHidden/>
    <w:unhideWhenUsed/>
    <w:rsid w:val="00FB4180"/>
    <w:pPr>
      <w:spacing w:after="0" w:line="240" w:lineRule="auto"/>
    </w:pPr>
    <w:rPr>
      <w:sz w:val="20"/>
      <w:szCs w:val="20"/>
      <w:lang w:val="x-none" w:eastAsia="x-none"/>
    </w:rPr>
  </w:style>
  <w:style w:type="character" w:customStyle="1" w:styleId="a8">
    <w:name w:val="Текст сноски Знак"/>
    <w:link w:val="a7"/>
    <w:uiPriority w:val="99"/>
    <w:semiHidden/>
    <w:rsid w:val="00FB4180"/>
    <w:rPr>
      <w:sz w:val="20"/>
      <w:szCs w:val="20"/>
    </w:rPr>
  </w:style>
  <w:style w:type="character" w:styleId="a9">
    <w:name w:val="footnote reference"/>
    <w:uiPriority w:val="99"/>
    <w:semiHidden/>
    <w:unhideWhenUsed/>
    <w:rsid w:val="00FB4180"/>
    <w:rPr>
      <w:vertAlign w:val="superscript"/>
    </w:rPr>
  </w:style>
  <w:style w:type="paragraph" w:styleId="aa">
    <w:name w:val="header"/>
    <w:basedOn w:val="a"/>
    <w:link w:val="ab"/>
    <w:uiPriority w:val="99"/>
    <w:unhideWhenUsed/>
    <w:rsid w:val="00FB1AF4"/>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FB1AF4"/>
  </w:style>
  <w:style w:type="paragraph" w:styleId="ac">
    <w:name w:val="footer"/>
    <w:basedOn w:val="a"/>
    <w:link w:val="ad"/>
    <w:uiPriority w:val="99"/>
    <w:unhideWhenUsed/>
    <w:rsid w:val="00FB1AF4"/>
    <w:pPr>
      <w:tabs>
        <w:tab w:val="center" w:pos="4680"/>
        <w:tab w:val="right" w:pos="9360"/>
      </w:tabs>
      <w:spacing w:after="0" w:line="240" w:lineRule="auto"/>
    </w:pPr>
  </w:style>
  <w:style w:type="character" w:customStyle="1" w:styleId="ad">
    <w:name w:val="Нижний колонтитул Знак"/>
    <w:basedOn w:val="a0"/>
    <w:link w:val="ac"/>
    <w:uiPriority w:val="99"/>
    <w:rsid w:val="00FB1AF4"/>
  </w:style>
  <w:style w:type="table" w:styleId="ae">
    <w:name w:val="Table Grid"/>
    <w:basedOn w:val="a1"/>
    <w:uiPriority w:val="59"/>
    <w:rsid w:val="007E03C9"/>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sz w:val="24"/>
      </w:rPr>
      <w:tblPr/>
      <w:tcPr>
        <w:vAlign w:val="center"/>
      </w:tcPr>
    </w:tblStylePr>
  </w:style>
  <w:style w:type="paragraph" w:customStyle="1" w:styleId="NormalWithNumbering2">
    <w:name w:val="Normal With Numbering 2"/>
    <w:basedOn w:val="a"/>
    <w:link w:val="NormalWithNumbering2Char"/>
    <w:qFormat/>
    <w:rsid w:val="007E03C9"/>
    <w:pPr>
      <w:numPr>
        <w:numId w:val="3"/>
      </w:numPr>
      <w:spacing w:after="240" w:line="240" w:lineRule="auto"/>
      <w:mirrorIndents/>
    </w:pPr>
    <w:rPr>
      <w:rFonts w:ascii="Times New Roman" w:hAnsi="Times New Roman"/>
      <w:sz w:val="24"/>
      <w:szCs w:val="20"/>
      <w:lang w:val="x-none" w:eastAsia="x-none"/>
    </w:rPr>
  </w:style>
  <w:style w:type="character" w:customStyle="1" w:styleId="NormalWithNumbering2Char">
    <w:name w:val="Normal With Numbering 2 Char"/>
    <w:link w:val="NormalWithNumbering2"/>
    <w:rsid w:val="007E03C9"/>
    <w:rPr>
      <w:rFonts w:ascii="Times New Roman" w:hAnsi="Times New Roman"/>
      <w:sz w:val="24"/>
    </w:rPr>
  </w:style>
  <w:style w:type="character" w:styleId="af">
    <w:name w:val="annotation reference"/>
    <w:uiPriority w:val="99"/>
    <w:semiHidden/>
    <w:unhideWhenUsed/>
    <w:rsid w:val="00CC3797"/>
    <w:rPr>
      <w:sz w:val="16"/>
      <w:szCs w:val="16"/>
    </w:rPr>
  </w:style>
  <w:style w:type="paragraph" w:styleId="af0">
    <w:name w:val="annotation text"/>
    <w:basedOn w:val="a"/>
    <w:link w:val="af1"/>
    <w:uiPriority w:val="99"/>
    <w:semiHidden/>
    <w:unhideWhenUsed/>
    <w:rsid w:val="00CC3797"/>
    <w:pPr>
      <w:spacing w:line="240" w:lineRule="auto"/>
    </w:pPr>
    <w:rPr>
      <w:sz w:val="20"/>
      <w:szCs w:val="20"/>
      <w:lang w:val="x-none" w:eastAsia="x-none"/>
    </w:rPr>
  </w:style>
  <w:style w:type="character" w:customStyle="1" w:styleId="af1">
    <w:name w:val="Текст примечания Знак"/>
    <w:link w:val="af0"/>
    <w:uiPriority w:val="99"/>
    <w:semiHidden/>
    <w:rsid w:val="00CC3797"/>
    <w:rPr>
      <w:sz w:val="20"/>
      <w:szCs w:val="20"/>
    </w:rPr>
  </w:style>
  <w:style w:type="paragraph" w:styleId="af2">
    <w:name w:val="annotation subject"/>
    <w:basedOn w:val="af0"/>
    <w:next w:val="af0"/>
    <w:link w:val="af3"/>
    <w:uiPriority w:val="99"/>
    <w:semiHidden/>
    <w:unhideWhenUsed/>
    <w:rsid w:val="00CC3797"/>
    <w:rPr>
      <w:b/>
      <w:bCs/>
    </w:rPr>
  </w:style>
  <w:style w:type="character" w:customStyle="1" w:styleId="af3">
    <w:name w:val="Тема примечания Знак"/>
    <w:link w:val="af2"/>
    <w:uiPriority w:val="99"/>
    <w:semiHidden/>
    <w:rsid w:val="00CC3797"/>
    <w:rPr>
      <w:b/>
      <w:bCs/>
      <w:sz w:val="20"/>
      <w:szCs w:val="20"/>
    </w:rPr>
  </w:style>
  <w:style w:type="character" w:customStyle="1" w:styleId="40">
    <w:name w:val="Заголовок 4 Знак"/>
    <w:link w:val="4"/>
    <w:uiPriority w:val="99"/>
    <w:semiHidden/>
    <w:rsid w:val="00425855"/>
    <w:rPr>
      <w:rFonts w:ascii="Times New Roman" w:eastAsia="Times New Roman" w:hAnsi="Times New Roman" w:cs="Times New Roman"/>
      <w:b/>
      <w:sz w:val="20"/>
      <w:szCs w:val="20"/>
    </w:rPr>
  </w:style>
  <w:style w:type="paragraph" w:styleId="af4">
    <w:name w:val="Body Text"/>
    <w:basedOn w:val="a"/>
    <w:link w:val="af5"/>
    <w:semiHidden/>
    <w:unhideWhenUsed/>
    <w:qFormat/>
    <w:rsid w:val="00425855"/>
    <w:pPr>
      <w:spacing w:after="0" w:line="240" w:lineRule="auto"/>
    </w:pPr>
    <w:rPr>
      <w:rFonts w:ascii="Times New Roman" w:eastAsia="Times New Roman" w:hAnsi="Times New Roman"/>
      <w:sz w:val="20"/>
      <w:szCs w:val="20"/>
      <w:lang w:val="en-GB" w:eastAsia="x-none"/>
    </w:rPr>
  </w:style>
  <w:style w:type="character" w:customStyle="1" w:styleId="af5">
    <w:name w:val="Основной текст Знак"/>
    <w:link w:val="af4"/>
    <w:semiHidden/>
    <w:rsid w:val="00425855"/>
    <w:rPr>
      <w:rFonts w:ascii="Times New Roman" w:eastAsia="Times New Roman" w:hAnsi="Times New Roman" w:cs="Times New Roman"/>
      <w:sz w:val="20"/>
      <w:szCs w:val="20"/>
      <w:lang w:val="en-GB"/>
    </w:rPr>
  </w:style>
  <w:style w:type="character" w:customStyle="1" w:styleId="a4">
    <w:name w:val="Абзац списка Знак"/>
    <w:link w:val="a3"/>
    <w:uiPriority w:val="34"/>
    <w:locked/>
    <w:rsid w:val="00425855"/>
  </w:style>
  <w:style w:type="paragraph" w:customStyle="1" w:styleId="H56">
    <w:name w:val="_ H_5/6"/>
    <w:basedOn w:val="a"/>
    <w:next w:val="a"/>
    <w:rsid w:val="00425855"/>
    <w:pPr>
      <w:keepNext/>
      <w:keepLines/>
      <w:tabs>
        <w:tab w:val="right" w:pos="360"/>
      </w:tabs>
      <w:suppressAutoHyphens/>
      <w:spacing w:after="0" w:line="240" w:lineRule="exact"/>
      <w:outlineLvl w:val="4"/>
    </w:pPr>
    <w:rPr>
      <w:rFonts w:ascii="Times New Roman" w:eastAsia="Times New Roman" w:hAnsi="Times New Roman"/>
      <w:spacing w:val="4"/>
      <w:w w:val="103"/>
      <w:kern w:val="14"/>
      <w:sz w:val="20"/>
      <w:szCs w:val="20"/>
      <w:lang w:val="en-GB"/>
    </w:rPr>
  </w:style>
  <w:style w:type="paragraph" w:styleId="af6">
    <w:name w:val="Plain Text"/>
    <w:basedOn w:val="a"/>
    <w:link w:val="af7"/>
    <w:uiPriority w:val="99"/>
    <w:semiHidden/>
    <w:unhideWhenUsed/>
    <w:rsid w:val="002F4C49"/>
    <w:pPr>
      <w:spacing w:after="0" w:line="240" w:lineRule="auto"/>
    </w:pPr>
    <w:rPr>
      <w:rFonts w:cs="Consolas"/>
      <w:szCs w:val="21"/>
    </w:rPr>
  </w:style>
  <w:style w:type="character" w:customStyle="1" w:styleId="af7">
    <w:name w:val="Текст Знак"/>
    <w:link w:val="af6"/>
    <w:uiPriority w:val="99"/>
    <w:semiHidden/>
    <w:rsid w:val="002F4C49"/>
    <w:rPr>
      <w:rFonts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115">
      <w:bodyDiv w:val="1"/>
      <w:marLeft w:val="0"/>
      <w:marRight w:val="0"/>
      <w:marTop w:val="0"/>
      <w:marBottom w:val="0"/>
      <w:divBdr>
        <w:top w:val="none" w:sz="0" w:space="0" w:color="auto"/>
        <w:left w:val="none" w:sz="0" w:space="0" w:color="auto"/>
        <w:bottom w:val="none" w:sz="0" w:space="0" w:color="auto"/>
        <w:right w:val="none" w:sz="0" w:space="0" w:color="auto"/>
      </w:divBdr>
    </w:div>
    <w:div w:id="28116846">
      <w:bodyDiv w:val="1"/>
      <w:marLeft w:val="0"/>
      <w:marRight w:val="0"/>
      <w:marTop w:val="0"/>
      <w:marBottom w:val="0"/>
      <w:divBdr>
        <w:top w:val="none" w:sz="0" w:space="0" w:color="auto"/>
        <w:left w:val="none" w:sz="0" w:space="0" w:color="auto"/>
        <w:bottom w:val="none" w:sz="0" w:space="0" w:color="auto"/>
        <w:right w:val="none" w:sz="0" w:space="0" w:color="auto"/>
      </w:divBdr>
    </w:div>
    <w:div w:id="84350359">
      <w:bodyDiv w:val="1"/>
      <w:marLeft w:val="0"/>
      <w:marRight w:val="0"/>
      <w:marTop w:val="0"/>
      <w:marBottom w:val="0"/>
      <w:divBdr>
        <w:top w:val="none" w:sz="0" w:space="0" w:color="auto"/>
        <w:left w:val="none" w:sz="0" w:space="0" w:color="auto"/>
        <w:bottom w:val="none" w:sz="0" w:space="0" w:color="auto"/>
        <w:right w:val="none" w:sz="0" w:space="0" w:color="auto"/>
      </w:divBdr>
      <w:divsChild>
        <w:div w:id="1405563998">
          <w:marLeft w:val="547"/>
          <w:marRight w:val="0"/>
          <w:marTop w:val="86"/>
          <w:marBottom w:val="0"/>
          <w:divBdr>
            <w:top w:val="none" w:sz="0" w:space="0" w:color="auto"/>
            <w:left w:val="none" w:sz="0" w:space="0" w:color="auto"/>
            <w:bottom w:val="none" w:sz="0" w:space="0" w:color="auto"/>
            <w:right w:val="none" w:sz="0" w:space="0" w:color="auto"/>
          </w:divBdr>
        </w:div>
      </w:divsChild>
    </w:div>
    <w:div w:id="333190746">
      <w:bodyDiv w:val="1"/>
      <w:marLeft w:val="0"/>
      <w:marRight w:val="0"/>
      <w:marTop w:val="0"/>
      <w:marBottom w:val="0"/>
      <w:divBdr>
        <w:top w:val="none" w:sz="0" w:space="0" w:color="auto"/>
        <w:left w:val="none" w:sz="0" w:space="0" w:color="auto"/>
        <w:bottom w:val="none" w:sz="0" w:space="0" w:color="auto"/>
        <w:right w:val="none" w:sz="0" w:space="0" w:color="auto"/>
      </w:divBdr>
    </w:div>
    <w:div w:id="350179908">
      <w:bodyDiv w:val="1"/>
      <w:marLeft w:val="0"/>
      <w:marRight w:val="0"/>
      <w:marTop w:val="0"/>
      <w:marBottom w:val="0"/>
      <w:divBdr>
        <w:top w:val="none" w:sz="0" w:space="0" w:color="auto"/>
        <w:left w:val="none" w:sz="0" w:space="0" w:color="auto"/>
        <w:bottom w:val="none" w:sz="0" w:space="0" w:color="auto"/>
        <w:right w:val="none" w:sz="0" w:space="0" w:color="auto"/>
      </w:divBdr>
    </w:div>
    <w:div w:id="492454958">
      <w:bodyDiv w:val="1"/>
      <w:marLeft w:val="0"/>
      <w:marRight w:val="0"/>
      <w:marTop w:val="0"/>
      <w:marBottom w:val="0"/>
      <w:divBdr>
        <w:top w:val="none" w:sz="0" w:space="0" w:color="auto"/>
        <w:left w:val="none" w:sz="0" w:space="0" w:color="auto"/>
        <w:bottom w:val="none" w:sz="0" w:space="0" w:color="auto"/>
        <w:right w:val="none" w:sz="0" w:space="0" w:color="auto"/>
      </w:divBdr>
    </w:div>
    <w:div w:id="565380426">
      <w:bodyDiv w:val="1"/>
      <w:marLeft w:val="0"/>
      <w:marRight w:val="0"/>
      <w:marTop w:val="0"/>
      <w:marBottom w:val="0"/>
      <w:divBdr>
        <w:top w:val="none" w:sz="0" w:space="0" w:color="auto"/>
        <w:left w:val="none" w:sz="0" w:space="0" w:color="auto"/>
        <w:bottom w:val="none" w:sz="0" w:space="0" w:color="auto"/>
        <w:right w:val="none" w:sz="0" w:space="0" w:color="auto"/>
      </w:divBdr>
    </w:div>
    <w:div w:id="692146109">
      <w:bodyDiv w:val="1"/>
      <w:marLeft w:val="0"/>
      <w:marRight w:val="0"/>
      <w:marTop w:val="0"/>
      <w:marBottom w:val="0"/>
      <w:divBdr>
        <w:top w:val="none" w:sz="0" w:space="0" w:color="auto"/>
        <w:left w:val="none" w:sz="0" w:space="0" w:color="auto"/>
        <w:bottom w:val="none" w:sz="0" w:space="0" w:color="auto"/>
        <w:right w:val="none" w:sz="0" w:space="0" w:color="auto"/>
      </w:divBdr>
    </w:div>
    <w:div w:id="795872241">
      <w:bodyDiv w:val="1"/>
      <w:marLeft w:val="0"/>
      <w:marRight w:val="0"/>
      <w:marTop w:val="0"/>
      <w:marBottom w:val="0"/>
      <w:divBdr>
        <w:top w:val="none" w:sz="0" w:space="0" w:color="auto"/>
        <w:left w:val="none" w:sz="0" w:space="0" w:color="auto"/>
        <w:bottom w:val="none" w:sz="0" w:space="0" w:color="auto"/>
        <w:right w:val="none" w:sz="0" w:space="0" w:color="auto"/>
      </w:divBdr>
    </w:div>
    <w:div w:id="853762240">
      <w:bodyDiv w:val="1"/>
      <w:marLeft w:val="0"/>
      <w:marRight w:val="0"/>
      <w:marTop w:val="0"/>
      <w:marBottom w:val="0"/>
      <w:divBdr>
        <w:top w:val="none" w:sz="0" w:space="0" w:color="auto"/>
        <w:left w:val="none" w:sz="0" w:space="0" w:color="auto"/>
        <w:bottom w:val="none" w:sz="0" w:space="0" w:color="auto"/>
        <w:right w:val="none" w:sz="0" w:space="0" w:color="auto"/>
      </w:divBdr>
    </w:div>
    <w:div w:id="887691784">
      <w:bodyDiv w:val="1"/>
      <w:marLeft w:val="0"/>
      <w:marRight w:val="0"/>
      <w:marTop w:val="0"/>
      <w:marBottom w:val="0"/>
      <w:divBdr>
        <w:top w:val="none" w:sz="0" w:space="0" w:color="auto"/>
        <w:left w:val="none" w:sz="0" w:space="0" w:color="auto"/>
        <w:bottom w:val="none" w:sz="0" w:space="0" w:color="auto"/>
        <w:right w:val="none" w:sz="0" w:space="0" w:color="auto"/>
      </w:divBdr>
    </w:div>
    <w:div w:id="953445520">
      <w:bodyDiv w:val="1"/>
      <w:marLeft w:val="0"/>
      <w:marRight w:val="0"/>
      <w:marTop w:val="0"/>
      <w:marBottom w:val="0"/>
      <w:divBdr>
        <w:top w:val="none" w:sz="0" w:space="0" w:color="auto"/>
        <w:left w:val="none" w:sz="0" w:space="0" w:color="auto"/>
        <w:bottom w:val="none" w:sz="0" w:space="0" w:color="auto"/>
        <w:right w:val="none" w:sz="0" w:space="0" w:color="auto"/>
      </w:divBdr>
    </w:div>
    <w:div w:id="1023559157">
      <w:bodyDiv w:val="1"/>
      <w:marLeft w:val="0"/>
      <w:marRight w:val="0"/>
      <w:marTop w:val="0"/>
      <w:marBottom w:val="0"/>
      <w:divBdr>
        <w:top w:val="none" w:sz="0" w:space="0" w:color="auto"/>
        <w:left w:val="none" w:sz="0" w:space="0" w:color="auto"/>
        <w:bottom w:val="none" w:sz="0" w:space="0" w:color="auto"/>
        <w:right w:val="none" w:sz="0" w:space="0" w:color="auto"/>
      </w:divBdr>
    </w:div>
    <w:div w:id="1167676198">
      <w:bodyDiv w:val="1"/>
      <w:marLeft w:val="0"/>
      <w:marRight w:val="0"/>
      <w:marTop w:val="0"/>
      <w:marBottom w:val="0"/>
      <w:divBdr>
        <w:top w:val="none" w:sz="0" w:space="0" w:color="auto"/>
        <w:left w:val="none" w:sz="0" w:space="0" w:color="auto"/>
        <w:bottom w:val="none" w:sz="0" w:space="0" w:color="auto"/>
        <w:right w:val="none" w:sz="0" w:space="0" w:color="auto"/>
      </w:divBdr>
    </w:div>
    <w:div w:id="1375151741">
      <w:bodyDiv w:val="1"/>
      <w:marLeft w:val="0"/>
      <w:marRight w:val="0"/>
      <w:marTop w:val="0"/>
      <w:marBottom w:val="0"/>
      <w:divBdr>
        <w:top w:val="none" w:sz="0" w:space="0" w:color="auto"/>
        <w:left w:val="none" w:sz="0" w:space="0" w:color="auto"/>
        <w:bottom w:val="none" w:sz="0" w:space="0" w:color="auto"/>
        <w:right w:val="none" w:sz="0" w:space="0" w:color="auto"/>
      </w:divBdr>
    </w:div>
    <w:div w:id="1476990908">
      <w:bodyDiv w:val="1"/>
      <w:marLeft w:val="0"/>
      <w:marRight w:val="0"/>
      <w:marTop w:val="0"/>
      <w:marBottom w:val="0"/>
      <w:divBdr>
        <w:top w:val="none" w:sz="0" w:space="0" w:color="auto"/>
        <w:left w:val="none" w:sz="0" w:space="0" w:color="auto"/>
        <w:bottom w:val="none" w:sz="0" w:space="0" w:color="auto"/>
        <w:right w:val="none" w:sz="0" w:space="0" w:color="auto"/>
      </w:divBdr>
      <w:divsChild>
        <w:div w:id="1052075734">
          <w:marLeft w:val="547"/>
          <w:marRight w:val="0"/>
          <w:marTop w:val="115"/>
          <w:marBottom w:val="0"/>
          <w:divBdr>
            <w:top w:val="none" w:sz="0" w:space="0" w:color="auto"/>
            <w:left w:val="none" w:sz="0" w:space="0" w:color="auto"/>
            <w:bottom w:val="none" w:sz="0" w:space="0" w:color="auto"/>
            <w:right w:val="none" w:sz="0" w:space="0" w:color="auto"/>
          </w:divBdr>
        </w:div>
      </w:divsChild>
    </w:div>
    <w:div w:id="1509708913">
      <w:bodyDiv w:val="1"/>
      <w:marLeft w:val="0"/>
      <w:marRight w:val="0"/>
      <w:marTop w:val="0"/>
      <w:marBottom w:val="0"/>
      <w:divBdr>
        <w:top w:val="none" w:sz="0" w:space="0" w:color="auto"/>
        <w:left w:val="none" w:sz="0" w:space="0" w:color="auto"/>
        <w:bottom w:val="none" w:sz="0" w:space="0" w:color="auto"/>
        <w:right w:val="none" w:sz="0" w:space="0" w:color="auto"/>
      </w:divBdr>
    </w:div>
    <w:div w:id="1529487840">
      <w:bodyDiv w:val="1"/>
      <w:marLeft w:val="0"/>
      <w:marRight w:val="0"/>
      <w:marTop w:val="0"/>
      <w:marBottom w:val="0"/>
      <w:divBdr>
        <w:top w:val="none" w:sz="0" w:space="0" w:color="auto"/>
        <w:left w:val="none" w:sz="0" w:space="0" w:color="auto"/>
        <w:bottom w:val="none" w:sz="0" w:space="0" w:color="auto"/>
        <w:right w:val="none" w:sz="0" w:space="0" w:color="auto"/>
      </w:divBdr>
    </w:div>
    <w:div w:id="1563832101">
      <w:bodyDiv w:val="1"/>
      <w:marLeft w:val="0"/>
      <w:marRight w:val="0"/>
      <w:marTop w:val="0"/>
      <w:marBottom w:val="0"/>
      <w:divBdr>
        <w:top w:val="none" w:sz="0" w:space="0" w:color="auto"/>
        <w:left w:val="none" w:sz="0" w:space="0" w:color="auto"/>
        <w:bottom w:val="none" w:sz="0" w:space="0" w:color="auto"/>
        <w:right w:val="none" w:sz="0" w:space="0" w:color="auto"/>
      </w:divBdr>
    </w:div>
    <w:div w:id="1595479489">
      <w:bodyDiv w:val="1"/>
      <w:marLeft w:val="0"/>
      <w:marRight w:val="0"/>
      <w:marTop w:val="0"/>
      <w:marBottom w:val="0"/>
      <w:divBdr>
        <w:top w:val="none" w:sz="0" w:space="0" w:color="auto"/>
        <w:left w:val="none" w:sz="0" w:space="0" w:color="auto"/>
        <w:bottom w:val="none" w:sz="0" w:space="0" w:color="auto"/>
        <w:right w:val="none" w:sz="0" w:space="0" w:color="auto"/>
      </w:divBdr>
    </w:div>
    <w:div w:id="1598442709">
      <w:bodyDiv w:val="1"/>
      <w:marLeft w:val="0"/>
      <w:marRight w:val="0"/>
      <w:marTop w:val="0"/>
      <w:marBottom w:val="0"/>
      <w:divBdr>
        <w:top w:val="none" w:sz="0" w:space="0" w:color="auto"/>
        <w:left w:val="none" w:sz="0" w:space="0" w:color="auto"/>
        <w:bottom w:val="none" w:sz="0" w:space="0" w:color="auto"/>
        <w:right w:val="none" w:sz="0" w:space="0" w:color="auto"/>
      </w:divBdr>
    </w:div>
    <w:div w:id="1626504444">
      <w:bodyDiv w:val="1"/>
      <w:marLeft w:val="0"/>
      <w:marRight w:val="0"/>
      <w:marTop w:val="0"/>
      <w:marBottom w:val="0"/>
      <w:divBdr>
        <w:top w:val="none" w:sz="0" w:space="0" w:color="auto"/>
        <w:left w:val="none" w:sz="0" w:space="0" w:color="auto"/>
        <w:bottom w:val="none" w:sz="0" w:space="0" w:color="auto"/>
        <w:right w:val="none" w:sz="0" w:space="0" w:color="auto"/>
      </w:divBdr>
    </w:div>
    <w:div w:id="1630823769">
      <w:bodyDiv w:val="1"/>
      <w:marLeft w:val="0"/>
      <w:marRight w:val="0"/>
      <w:marTop w:val="0"/>
      <w:marBottom w:val="0"/>
      <w:divBdr>
        <w:top w:val="none" w:sz="0" w:space="0" w:color="auto"/>
        <w:left w:val="none" w:sz="0" w:space="0" w:color="auto"/>
        <w:bottom w:val="none" w:sz="0" w:space="0" w:color="auto"/>
        <w:right w:val="none" w:sz="0" w:space="0" w:color="auto"/>
      </w:divBdr>
    </w:div>
    <w:div w:id="1675260164">
      <w:bodyDiv w:val="1"/>
      <w:marLeft w:val="0"/>
      <w:marRight w:val="0"/>
      <w:marTop w:val="0"/>
      <w:marBottom w:val="0"/>
      <w:divBdr>
        <w:top w:val="none" w:sz="0" w:space="0" w:color="auto"/>
        <w:left w:val="none" w:sz="0" w:space="0" w:color="auto"/>
        <w:bottom w:val="none" w:sz="0" w:space="0" w:color="auto"/>
        <w:right w:val="none" w:sz="0" w:space="0" w:color="auto"/>
      </w:divBdr>
    </w:div>
    <w:div w:id="1754860554">
      <w:bodyDiv w:val="1"/>
      <w:marLeft w:val="0"/>
      <w:marRight w:val="0"/>
      <w:marTop w:val="0"/>
      <w:marBottom w:val="0"/>
      <w:divBdr>
        <w:top w:val="none" w:sz="0" w:space="0" w:color="auto"/>
        <w:left w:val="none" w:sz="0" w:space="0" w:color="auto"/>
        <w:bottom w:val="none" w:sz="0" w:space="0" w:color="auto"/>
        <w:right w:val="none" w:sz="0" w:space="0" w:color="auto"/>
      </w:divBdr>
    </w:div>
    <w:div w:id="1816415873">
      <w:bodyDiv w:val="1"/>
      <w:marLeft w:val="0"/>
      <w:marRight w:val="0"/>
      <w:marTop w:val="0"/>
      <w:marBottom w:val="0"/>
      <w:divBdr>
        <w:top w:val="none" w:sz="0" w:space="0" w:color="auto"/>
        <w:left w:val="none" w:sz="0" w:space="0" w:color="auto"/>
        <w:bottom w:val="none" w:sz="0" w:space="0" w:color="auto"/>
        <w:right w:val="none" w:sz="0" w:space="0" w:color="auto"/>
      </w:divBdr>
    </w:div>
    <w:div w:id="1977180988">
      <w:bodyDiv w:val="1"/>
      <w:marLeft w:val="0"/>
      <w:marRight w:val="0"/>
      <w:marTop w:val="0"/>
      <w:marBottom w:val="0"/>
      <w:divBdr>
        <w:top w:val="none" w:sz="0" w:space="0" w:color="auto"/>
        <w:left w:val="none" w:sz="0" w:space="0" w:color="auto"/>
        <w:bottom w:val="none" w:sz="0" w:space="0" w:color="auto"/>
        <w:right w:val="none" w:sz="0" w:space="0" w:color="auto"/>
      </w:divBdr>
    </w:div>
    <w:div w:id="20646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customXml" Target="../customXml/item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Regulation</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The road map to an integrated budget: joint review of the impact of cost definitions and classifications of activities on the harmonized cost recovery rates : Executive Board_2013-1 DP-FPA</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POPP-11-1363</_dlc_DocId>
    <_dlc_DocIdUrl xmlns="8264c5cc-ec60-4b56-8111-ce635d3d139a">
      <Url>https://popp.undp.org/_layouts/15/DocIdRedir.aspx?ID=POPP-11-1363</Url>
      <Description>POPP-11-1363</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970B65C7-648B-4724-8296-C390333FB929}"/>
</file>

<file path=customXml/itemProps2.xml><?xml version="1.0" encoding="utf-8"?>
<ds:datastoreItem xmlns:ds="http://schemas.openxmlformats.org/officeDocument/2006/customXml" ds:itemID="{8F40B710-A685-4ECC-B2E6-50E38560BCA9}"/>
</file>

<file path=customXml/itemProps3.xml><?xml version="1.0" encoding="utf-8"?>
<ds:datastoreItem xmlns:ds="http://schemas.openxmlformats.org/officeDocument/2006/customXml" ds:itemID="{BAF10D67-A9F6-4ACA-B301-678E7520E4CD}"/>
</file>

<file path=customXml/itemProps4.xml><?xml version="1.0" encoding="utf-8"?>
<ds:datastoreItem xmlns:ds="http://schemas.openxmlformats.org/officeDocument/2006/customXml" ds:itemID="{9F92E265-9F03-4802-AE93-641858E54176}"/>
</file>

<file path=customXml/itemProps5.xml><?xml version="1.0" encoding="utf-8"?>
<ds:datastoreItem xmlns:ds="http://schemas.openxmlformats.org/officeDocument/2006/customXml" ds:itemID="{C5A3726D-E9A6-4BA8-8E2D-6687930915DC}"/>
</file>

<file path=customXml/itemProps6.xml><?xml version="1.0" encoding="utf-8"?>
<ds:datastoreItem xmlns:ds="http://schemas.openxmlformats.org/officeDocument/2006/customXml" ds:itemID="{7AB4DD92-505A-4D78-B7A9-F3E6C708D044}"/>
</file>

<file path=customXml/itemProps7.xml><?xml version="1.0" encoding="utf-8"?>
<ds:datastoreItem xmlns:ds="http://schemas.openxmlformats.org/officeDocument/2006/customXml" ds:itemID="{C8638E94-CFDA-40BB-A431-A1D053D4F989}"/>
</file>

<file path=docProps/app.xml><?xml version="1.0" encoding="utf-8"?>
<Properties xmlns="http://schemas.openxmlformats.org/officeDocument/2006/extended-properties" xmlns:vt="http://schemas.openxmlformats.org/officeDocument/2006/docPropsVTypes">
  <Template>Normal</Template>
  <TotalTime>0</TotalTime>
  <Pages>6</Pages>
  <Words>3587</Words>
  <Characters>20450</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UNFPA</Company>
  <LinksUpToDate>false</LinksUpToDate>
  <CharactersWithSpaces>23990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silberman</dc:creator>
  <cp:lastModifiedBy>admin</cp:lastModifiedBy>
  <cp:revision>2</cp:revision>
  <cp:lastPrinted>2013-01-21T19:50:00Z</cp:lastPrinted>
  <dcterms:created xsi:type="dcterms:W3CDTF">2016-05-04T12:30:00Z</dcterms:created>
  <dcterms:modified xsi:type="dcterms:W3CDTF">2016-05-04T12:30:00Z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4be3b798-b344-4fcf-a78d-c8ee2748098e</vt:lpwstr>
  </property>
</Properties>
</file>