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5460" w14:textId="77777777" w:rsidR="006D1EA3" w:rsidRPr="006D1EA3" w:rsidRDefault="006D1EA3" w:rsidP="006D1EA3">
      <w:pPr>
        <w:spacing w:after="191" w:line="259" w:lineRule="auto"/>
        <w:rPr>
          <w:rFonts w:ascii="Calibri" w:eastAsia="Calibri" w:hAnsi="Calibri" w:cs="Calibri"/>
          <w:color w:val="000000"/>
          <w:kern w:val="0"/>
          <w:sz w:val="20"/>
          <w:szCs w:val="22"/>
          <w:lang w:val="fr-FR"/>
          <w14:ligatures w14:val="none"/>
        </w:rPr>
      </w:pPr>
      <w:r w:rsidRPr="006D1EA3">
        <w:rPr>
          <w:rFonts w:ascii="Calibri" w:eastAsia="Calibri" w:hAnsi="Calibri" w:cs="Calibri"/>
          <w:b/>
          <w:color w:val="000000"/>
          <w:kern w:val="0"/>
          <w:sz w:val="28"/>
          <w:szCs w:val="22"/>
          <w:lang w:val="fr-FR"/>
          <w14:ligatures w14:val="none"/>
        </w:rPr>
        <w:t xml:space="preserve">Rapprochement de compte bancaire </w:t>
      </w:r>
      <w:r w:rsidRPr="006D1EA3">
        <w:rPr>
          <w:rFonts w:ascii="Calibri" w:eastAsia="Calibri" w:hAnsi="Calibri" w:cs="Calibri"/>
          <w:color w:val="000000"/>
          <w:kern w:val="0"/>
          <w:sz w:val="22"/>
          <w:szCs w:val="22"/>
          <w:lang w:val="fr-FR"/>
          <w14:ligatures w14:val="none"/>
        </w:rPr>
        <w:t xml:space="preserve"> </w:t>
      </w:r>
    </w:p>
    <w:p w14:paraId="7A66E37A" w14:textId="36EE04B0" w:rsidR="006D1EA3" w:rsidRPr="006D1EA3" w:rsidRDefault="006D1EA3" w:rsidP="006D1EA3">
      <w:pPr>
        <w:numPr>
          <w:ilvl w:val="0"/>
          <w:numId w:val="1"/>
        </w:numPr>
        <w:spacing w:after="5" w:line="253" w:lineRule="auto"/>
        <w:ind w:left="360" w:hanging="360"/>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Le processus de rapprochement bancaire permet de vérifier les écritures figurant sur l'extrait de compte en rapprochant ces informations des transactions externes ainsi que des transactions générées par le système dans les comptes fournisseurs, les comptes clients, la paie et le grand livre. Au cours du processus de rapprochement bancaire, des transactions externes peuvent être créées pour les entrées d'origine bancaire telles que les frais bancaires et les intérêts.  </w:t>
      </w:r>
    </w:p>
    <w:p w14:paraId="5831C225" w14:textId="77777777" w:rsidR="006D1EA3" w:rsidRPr="006D1EA3" w:rsidRDefault="006D1EA3" w:rsidP="006D1EA3">
      <w:pPr>
        <w:spacing w:after="82" w:line="259" w:lineRule="auto"/>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07F1E4FB" w14:textId="77777777" w:rsidR="006D1EA3" w:rsidRPr="006D1EA3" w:rsidRDefault="006D1EA3" w:rsidP="006D1EA3">
      <w:pPr>
        <w:numPr>
          <w:ilvl w:val="0"/>
          <w:numId w:val="1"/>
        </w:numPr>
        <w:spacing w:after="5" w:line="253" w:lineRule="auto"/>
        <w:ind w:left="360" w:hanging="360"/>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Le processus de rapprochement bancaire dans Quantum comporte les étapes suivantes.  </w:t>
      </w:r>
    </w:p>
    <w:p w14:paraId="65EA14FF" w14:textId="77777777" w:rsidR="006D1EA3" w:rsidRPr="006D1EA3" w:rsidRDefault="006D1EA3" w:rsidP="006D1EA3">
      <w:pPr>
        <w:spacing w:after="0" w:line="259" w:lineRule="auto"/>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60347418" w14:textId="77777777" w:rsidR="006D1EA3" w:rsidRPr="006D1EA3" w:rsidRDefault="006D1EA3" w:rsidP="006D1EA3">
      <w:pPr>
        <w:spacing w:after="0" w:line="259" w:lineRule="auto"/>
        <w:ind w:left="355" w:hanging="10"/>
        <w:rPr>
          <w:rFonts w:ascii="Calibri" w:eastAsia="Calibri" w:hAnsi="Calibri" w:cs="Calibri"/>
          <w:color w:val="000000"/>
          <w:kern w:val="0"/>
          <w:sz w:val="22"/>
          <w:szCs w:val="22"/>
          <w:lang w:val="fr-FR"/>
          <w14:ligatures w14:val="none"/>
        </w:rPr>
      </w:pPr>
      <w:r w:rsidRPr="006D1EA3">
        <w:rPr>
          <w:rFonts w:ascii="Calibri" w:eastAsia="Calibri" w:hAnsi="Calibri" w:cs="Calibri"/>
          <w:b/>
          <w:color w:val="000000"/>
          <w:kern w:val="0"/>
          <w:sz w:val="22"/>
          <w:szCs w:val="22"/>
          <w:lang w:val="fr-FR"/>
          <w14:ligatures w14:val="none"/>
        </w:rPr>
        <w:t xml:space="preserve">Première étape : Rapprochement  </w:t>
      </w:r>
    </w:p>
    <w:p w14:paraId="5756A76A" w14:textId="77777777" w:rsidR="006D1EA3" w:rsidRPr="006D1EA3" w:rsidRDefault="006D1EA3" w:rsidP="006D1EA3">
      <w:pPr>
        <w:spacing w:after="49" w:line="259" w:lineRule="auto"/>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32618086" w14:textId="77777777" w:rsidR="006D1EA3" w:rsidRDefault="006D1EA3" w:rsidP="006D1EA3">
      <w:pPr>
        <w:numPr>
          <w:ilvl w:val="0"/>
          <w:numId w:val="1"/>
        </w:numPr>
        <w:spacing w:after="5" w:line="253" w:lineRule="auto"/>
        <w:ind w:left="360" w:hanging="360"/>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La mise en concordance des transactions dans Atlas avec celles figurant sur les relevés bancaires se fait principalement en 3 endroits, à savoir :  </w:t>
      </w:r>
    </w:p>
    <w:p w14:paraId="58C48C0A" w14:textId="77777777" w:rsidR="006D1EA3" w:rsidRPr="006D1EA3" w:rsidRDefault="006D1EA3" w:rsidP="00E871B7">
      <w:pPr>
        <w:spacing w:after="5" w:line="253" w:lineRule="auto"/>
        <w:ind w:left="360"/>
        <w:jc w:val="both"/>
        <w:rPr>
          <w:rFonts w:ascii="Calibri" w:eastAsia="Calibri" w:hAnsi="Calibri" w:cs="Calibri"/>
          <w:color w:val="000000"/>
          <w:kern w:val="0"/>
          <w:sz w:val="22"/>
          <w:szCs w:val="22"/>
          <w:lang w:val="fr-FR"/>
          <w14:ligatures w14:val="none"/>
        </w:rPr>
      </w:pPr>
    </w:p>
    <w:p w14:paraId="618C678C" w14:textId="6436AC80" w:rsidR="006D1EA3" w:rsidRPr="006D1EA3" w:rsidRDefault="006D1EA3" w:rsidP="006D1EA3">
      <w:pPr>
        <w:numPr>
          <w:ilvl w:val="0"/>
          <w:numId w:val="2"/>
        </w:numPr>
        <w:spacing w:after="35" w:line="253" w:lineRule="auto"/>
        <w:ind w:left="749"/>
        <w:contextualSpacing/>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La page </w:t>
      </w:r>
      <w:r w:rsidRPr="006D1EA3">
        <w:rPr>
          <w:rFonts w:ascii="Calibri" w:eastAsia="Calibri" w:hAnsi="Calibri" w:cs="Calibri"/>
          <w:b/>
          <w:i/>
          <w:color w:val="000000"/>
          <w:kern w:val="0"/>
          <w:sz w:val="22"/>
          <w:szCs w:val="22"/>
          <w:lang w:val="fr-FR"/>
          <w14:ligatures w14:val="none"/>
        </w:rPr>
        <w:t>Rapprochement manuel</w:t>
      </w:r>
      <w:r w:rsidRPr="006D1EA3">
        <w:rPr>
          <w:rFonts w:ascii="Calibri" w:eastAsia="Calibri" w:hAnsi="Calibri" w:cs="Calibri"/>
          <w:color w:val="000000"/>
          <w:kern w:val="0"/>
          <w:sz w:val="22"/>
          <w:szCs w:val="22"/>
          <w:lang w:val="fr-FR"/>
          <w14:ligatures w14:val="none"/>
        </w:rPr>
        <w:t xml:space="preserve">, nécessite une correspondance manuelle des détails des relevés bancaires avec les transactions du livre auxiliaire ou les journaux du GL. La méthode de rapprochement manuel peut également être utilisée pour rapprocher les détails des relevés bancaires qui n'ont pas pu être rapprochés automatiquement.  </w:t>
      </w:r>
    </w:p>
    <w:p w14:paraId="626D6204" w14:textId="77777777" w:rsidR="006D1EA3" w:rsidRPr="006D1EA3" w:rsidRDefault="006D1EA3" w:rsidP="006D1EA3">
      <w:pPr>
        <w:numPr>
          <w:ilvl w:val="0"/>
          <w:numId w:val="2"/>
        </w:numPr>
        <w:spacing w:after="35" w:line="253" w:lineRule="auto"/>
        <w:ind w:left="749"/>
        <w:contextualSpacing/>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Le </w:t>
      </w:r>
      <w:r w:rsidRPr="006D1EA3">
        <w:rPr>
          <w:rFonts w:ascii="Calibri" w:eastAsia="Calibri" w:hAnsi="Calibri" w:cs="Calibri"/>
          <w:b/>
          <w:i/>
          <w:color w:val="000000"/>
          <w:kern w:val="0"/>
          <w:sz w:val="22"/>
          <w:szCs w:val="22"/>
          <w:lang w:val="fr-FR"/>
          <w14:ligatures w14:val="none"/>
        </w:rPr>
        <w:t>rapprochement automatique</w:t>
      </w:r>
      <w:r w:rsidRPr="006D1EA3">
        <w:rPr>
          <w:rFonts w:ascii="Calibri" w:eastAsia="Calibri" w:hAnsi="Calibri" w:cs="Calibri"/>
          <w:color w:val="000000"/>
          <w:kern w:val="0"/>
          <w:sz w:val="22"/>
          <w:szCs w:val="22"/>
          <w:lang w:val="fr-FR"/>
          <w14:ligatures w14:val="none"/>
        </w:rPr>
        <w:t>, un processus centralisé qui fait correspondre automatiquement les transactions Quantum avec les relevés bancaires chargés dans Quantum via le centre de paiement du système de gestion de la trésorerie (TMS).</w:t>
      </w:r>
    </w:p>
    <w:p w14:paraId="19560C78" w14:textId="20849F2A" w:rsidR="006D1EA3" w:rsidRPr="006D1EA3" w:rsidRDefault="006D1EA3" w:rsidP="00E871B7">
      <w:pPr>
        <w:spacing w:after="35" w:line="253" w:lineRule="auto"/>
        <w:ind w:left="749"/>
        <w:contextualSpacing/>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15292958" w14:textId="1ADAE0FB" w:rsidR="006D1EA3" w:rsidRPr="006D1EA3" w:rsidRDefault="006D1EA3" w:rsidP="006D1EA3">
      <w:pPr>
        <w:spacing w:after="0" w:line="259" w:lineRule="auto"/>
        <w:ind w:left="355" w:hanging="10"/>
        <w:rPr>
          <w:rFonts w:ascii="Calibri" w:eastAsia="Calibri" w:hAnsi="Calibri" w:cs="Calibri"/>
          <w:b/>
          <w:color w:val="000000"/>
          <w:kern w:val="0"/>
          <w:sz w:val="22"/>
          <w:szCs w:val="22"/>
          <w:lang w:val="fr-FR"/>
          <w14:ligatures w14:val="none"/>
        </w:rPr>
      </w:pPr>
      <w:r w:rsidRPr="006D1EA3">
        <w:rPr>
          <w:rFonts w:ascii="Calibri" w:eastAsia="Calibri" w:hAnsi="Calibri" w:cs="Calibri"/>
          <w:b/>
          <w:color w:val="000000"/>
          <w:kern w:val="0"/>
          <w:sz w:val="22"/>
          <w:szCs w:val="22"/>
          <w:lang w:val="fr-FR"/>
          <w14:ligatures w14:val="none"/>
        </w:rPr>
        <w:t xml:space="preserve">Deuxième étape : Examinassions des résultats des relevés bancaires automatiques et résolution des exceptions.   </w:t>
      </w:r>
    </w:p>
    <w:p w14:paraId="6723CEF6" w14:textId="77777777" w:rsidR="006D1EA3" w:rsidRPr="006D1EA3" w:rsidRDefault="006D1EA3" w:rsidP="006D1EA3">
      <w:pPr>
        <w:spacing w:after="54" w:line="259" w:lineRule="auto"/>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63C7A3D5"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Une fois le processus de rapprochement automatique des relevés bancaires terminé, examinez les résultats du rapprochement dans la zone de travail « Relevés bancaires et rapprochement ». La région Réconciliation des relevés bancaires affiche les lignes qui sont réconciliées, non réconciliées et toutes les exceptions.</w:t>
      </w:r>
    </w:p>
    <w:p w14:paraId="7CE514DE"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p>
    <w:p w14:paraId="7B5E7777"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CH"/>
          <w14:ligatures w14:val="none"/>
        </w:rPr>
      </w:pPr>
      <w:r w:rsidRPr="006D1EA3">
        <w:rPr>
          <w:rFonts w:ascii="Calibri" w:eastAsia="Calibri" w:hAnsi="Calibri" w:cs="Calibri"/>
          <w:b/>
          <w:color w:val="000000"/>
          <w:kern w:val="0"/>
          <w:sz w:val="22"/>
          <w:szCs w:val="22"/>
          <w:lang w:val="fr-CH"/>
          <w14:ligatures w14:val="none"/>
        </w:rPr>
        <w:t>Troisième étape</w:t>
      </w:r>
    </w:p>
    <w:p w14:paraId="721A02F1" w14:textId="77777777" w:rsidR="006D1EA3" w:rsidRPr="006D1EA3" w:rsidRDefault="006D1EA3" w:rsidP="006D1EA3">
      <w:pPr>
        <w:spacing w:after="82" w:line="259" w:lineRule="auto"/>
        <w:rPr>
          <w:rFonts w:ascii="Calibri" w:eastAsia="Calibri" w:hAnsi="Calibri" w:cs="Calibri"/>
          <w:color w:val="000000"/>
          <w:kern w:val="0"/>
          <w:sz w:val="22"/>
          <w:szCs w:val="22"/>
          <w:lang w:val="fr-CH"/>
          <w14:ligatures w14:val="none"/>
        </w:rPr>
      </w:pPr>
      <w:r w:rsidRPr="006D1EA3">
        <w:rPr>
          <w:rFonts w:ascii="Calibri" w:eastAsia="Calibri" w:hAnsi="Calibri" w:cs="Calibri"/>
          <w:color w:val="000000"/>
          <w:kern w:val="0"/>
          <w:sz w:val="22"/>
          <w:szCs w:val="22"/>
          <w:lang w:val="fr-CH"/>
          <w14:ligatures w14:val="none"/>
        </w:rPr>
        <w:t xml:space="preserve"> </w:t>
      </w:r>
    </w:p>
    <w:p w14:paraId="6AEFDB59"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Résoudre toute ligne de relevé non réconciliée en rapprochant manuellement les lignes de relevé aux transactions disponibles. Créer des transactions externes pour les frais bancaires et les intérêts.  </w:t>
      </w:r>
    </w:p>
    <w:p w14:paraId="0EBED2A8"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p>
    <w:p w14:paraId="49A42B1B" w14:textId="77777777" w:rsidR="006D1EA3" w:rsidRPr="006D1EA3" w:rsidRDefault="006D1EA3" w:rsidP="006D1EA3">
      <w:pPr>
        <w:spacing w:after="5" w:line="253" w:lineRule="auto"/>
        <w:ind w:left="345"/>
        <w:jc w:val="both"/>
        <w:rPr>
          <w:rFonts w:ascii="Calibri" w:eastAsia="Calibri" w:hAnsi="Calibri" w:cs="Calibri"/>
          <w:b/>
          <w:bCs/>
          <w:color w:val="000000"/>
          <w:kern w:val="0"/>
          <w:sz w:val="22"/>
          <w:szCs w:val="22"/>
          <w:lang w:val="fr-FR"/>
          <w14:ligatures w14:val="none"/>
        </w:rPr>
      </w:pPr>
      <w:r w:rsidRPr="006D1EA3">
        <w:rPr>
          <w:rFonts w:ascii="Calibri" w:eastAsia="Calibri" w:hAnsi="Calibri" w:cs="Calibri"/>
          <w:b/>
          <w:bCs/>
          <w:color w:val="000000"/>
          <w:kern w:val="0"/>
          <w:sz w:val="22"/>
          <w:szCs w:val="22"/>
          <w:lang w:val="fr-FR"/>
          <w14:ligatures w14:val="none"/>
        </w:rPr>
        <w:t>Quatrième étape : Créer la comptabilité et transférer au grand livre</w:t>
      </w:r>
    </w:p>
    <w:p w14:paraId="3A168DDD" w14:textId="77777777" w:rsidR="006D1EA3" w:rsidRPr="006D1EA3" w:rsidRDefault="006D1EA3" w:rsidP="006D1EA3">
      <w:pPr>
        <w:spacing w:after="5" w:line="253" w:lineRule="auto"/>
        <w:ind w:left="345"/>
        <w:jc w:val="both"/>
        <w:rPr>
          <w:rFonts w:ascii="Calibri" w:eastAsia="Calibri" w:hAnsi="Calibri" w:cs="Calibri"/>
          <w:b/>
          <w:bCs/>
          <w:color w:val="000000"/>
          <w:kern w:val="0"/>
          <w:sz w:val="22"/>
          <w:szCs w:val="22"/>
          <w:lang w:val="fr-FR"/>
          <w14:ligatures w14:val="none"/>
        </w:rPr>
      </w:pPr>
    </w:p>
    <w:p w14:paraId="0E4D3613"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Créez des écritures de journal pour les transactions externes en soumettant le processus Créer une comptabilité. Le processus crée et, facultativement, transfère et comptabilise les écritures de journal dans le grand livre. Si vous ne transférez pas immédiatement les écritures au grand livre, vous pouvez soumettre ultérieurement le processus Enregistrer les écritures au grand livre auxiliaire.</w:t>
      </w:r>
    </w:p>
    <w:p w14:paraId="432021C3"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p>
    <w:p w14:paraId="42BC0BC8" w14:textId="77777777" w:rsidR="006D1EA3" w:rsidRPr="006D1EA3" w:rsidRDefault="006D1EA3" w:rsidP="006D1EA3">
      <w:pPr>
        <w:spacing w:after="5" w:line="253" w:lineRule="auto"/>
        <w:ind w:left="345"/>
        <w:jc w:val="both"/>
        <w:rPr>
          <w:rFonts w:ascii="Calibri" w:eastAsia="Calibri" w:hAnsi="Calibri" w:cs="Calibri"/>
          <w:b/>
          <w:bCs/>
          <w:color w:val="000000"/>
          <w:kern w:val="0"/>
          <w:sz w:val="22"/>
          <w:szCs w:val="22"/>
          <w:lang w:val="fr-FR"/>
          <w14:ligatures w14:val="none"/>
        </w:rPr>
      </w:pPr>
      <w:r w:rsidRPr="006D1EA3">
        <w:rPr>
          <w:rFonts w:ascii="Calibri" w:eastAsia="Calibri" w:hAnsi="Calibri" w:cs="Calibri"/>
          <w:b/>
          <w:bCs/>
          <w:color w:val="000000"/>
          <w:kern w:val="0"/>
          <w:sz w:val="22"/>
          <w:szCs w:val="22"/>
          <w:lang w:val="fr-FR"/>
          <w14:ligatures w14:val="none"/>
        </w:rPr>
        <w:t xml:space="preserve">Cinquième étape 5 : Rapport de rapprochement entre la trésorerie et le grand livre.   </w:t>
      </w:r>
    </w:p>
    <w:p w14:paraId="431CDE9C" w14:textId="59F5C50A"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Si les étapes de rapprochement sont suivies correctement, il ne devrait pas y avoir de problème pour passer à l'étape 5, qui est le rapport de rapprochement de la trésorerie et du grand livre. Le rapport </w:t>
      </w:r>
      <w:r w:rsidRPr="006D1EA3">
        <w:rPr>
          <w:rFonts w:ascii="Calibri" w:eastAsia="Calibri" w:hAnsi="Calibri" w:cs="Calibri"/>
          <w:color w:val="000000"/>
          <w:kern w:val="0"/>
          <w:sz w:val="22"/>
          <w:szCs w:val="22"/>
          <w:lang w:val="fr-FR"/>
          <w14:ligatures w14:val="none"/>
        </w:rPr>
        <w:lastRenderedPageBreak/>
        <w:t>de rapprochement de la caisse au grand livre compare le solde du compte de caisse du GL au solde du compte bancaire. Il affiche les écritures de journal du compte de caisse du GL non rapprochées et les lignes de relevé bancaire non rapprochées qui permettent d'identifier les divergences entre les soldes. Cette opération est effectuée sur la base d’une série de périodes spécifiée.</w:t>
      </w:r>
    </w:p>
    <w:p w14:paraId="4594D02D"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p>
    <w:p w14:paraId="79032F74"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Le rapport de rapprochement entre la trésorerie et le grand livre général liste les transactions du grand livre auxiliaire qui sont comptabilisées dans le grand livre général mais qui ne sont pas rapprochées dans la gestion de trésorerie. </w:t>
      </w:r>
    </w:p>
    <w:p w14:paraId="0A405E91"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6278AA07"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Un compte de trésorerie GL unique est attribué à chaque compte bancaire et utilisé pour enregistrer toutes les transactions de trésorerie afin de faciliter ce rapprochement livre-banque. </w:t>
      </w:r>
    </w:p>
    <w:p w14:paraId="4A1FC814"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p>
    <w:p w14:paraId="404B7292" w14:textId="4494F1E4" w:rsidR="006D1EA3" w:rsidRPr="006D1EA3" w:rsidRDefault="006D1EA3" w:rsidP="006D1EA3">
      <w:pPr>
        <w:spacing w:after="5" w:line="253" w:lineRule="auto"/>
        <w:ind w:left="345"/>
        <w:jc w:val="both"/>
        <w:rPr>
          <w:rFonts w:ascii="Calibri" w:eastAsia="Calibri" w:hAnsi="Calibri" w:cs="Calibri"/>
          <w:b/>
          <w:bCs/>
          <w:color w:val="000000"/>
          <w:kern w:val="0"/>
          <w:sz w:val="22"/>
          <w:szCs w:val="22"/>
          <w:lang w:val="fr-FR"/>
          <w14:ligatures w14:val="none"/>
        </w:rPr>
      </w:pPr>
      <w:r w:rsidRPr="006D1EA3">
        <w:rPr>
          <w:rFonts w:ascii="Calibri" w:eastAsia="Calibri" w:hAnsi="Calibri" w:cs="Calibri"/>
          <w:b/>
          <w:bCs/>
          <w:color w:val="000000"/>
          <w:kern w:val="0"/>
          <w:sz w:val="22"/>
          <w:szCs w:val="22"/>
          <w:lang w:val="fr-FR"/>
          <w14:ligatures w14:val="none"/>
        </w:rPr>
        <w:t>Sixième Étape : Rapport sur les espèces en transit</w:t>
      </w:r>
    </w:p>
    <w:p w14:paraId="29771392" w14:textId="77777777" w:rsidR="006D1EA3" w:rsidRPr="006D1EA3" w:rsidRDefault="006D1EA3" w:rsidP="006D1EA3">
      <w:pPr>
        <w:spacing w:after="5" w:line="253" w:lineRule="auto"/>
        <w:ind w:left="345"/>
        <w:jc w:val="both"/>
        <w:rPr>
          <w:rFonts w:ascii="Calibri" w:eastAsia="Calibri" w:hAnsi="Calibri" w:cs="Calibri"/>
          <w:b/>
          <w:bCs/>
          <w:color w:val="000000"/>
          <w:kern w:val="0"/>
          <w:sz w:val="22"/>
          <w:szCs w:val="22"/>
          <w:lang w:val="fr-FR"/>
          <w14:ligatures w14:val="none"/>
        </w:rPr>
      </w:pPr>
    </w:p>
    <w:p w14:paraId="58369B49" w14:textId="77777777" w:rsidR="006D1EA3" w:rsidRPr="006D1EA3" w:rsidRDefault="006D1EA3" w:rsidP="006D1EA3">
      <w:pPr>
        <w:spacing w:after="5" w:line="253" w:lineRule="auto"/>
        <w:ind w:left="345"/>
        <w:jc w:val="both"/>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Tous les éléments non rapprochés du côté du système, tels que les chèques, les transferts électroniques, la paie et les dépôts, apparaissent dans le rapport Cash in Transit. Un compte de compensation de trésorerie GL unique est attribué à chaque compte bancaire. Tous les éléments non réconciliés apparaissant dans ce compte de compensation de trésorerie sont temporaires, car ils seront compensés une fois que les transactions auront été reflétées dans les relevés bancaires et réconciliées.</w:t>
      </w:r>
    </w:p>
    <w:p w14:paraId="41F011CA" w14:textId="77777777" w:rsidR="006D1EA3" w:rsidRDefault="006D1EA3" w:rsidP="006D1EA3">
      <w:pPr>
        <w:spacing w:after="85" w:line="259" w:lineRule="auto"/>
        <w:rPr>
          <w:rFonts w:ascii="Calibri" w:eastAsia="Calibri" w:hAnsi="Calibri" w:cs="Calibri"/>
          <w:color w:val="000000"/>
          <w:kern w:val="0"/>
          <w:sz w:val="22"/>
          <w:szCs w:val="22"/>
          <w:lang w:val="fr-FR"/>
          <w14:ligatures w14:val="none"/>
        </w:rPr>
      </w:pPr>
      <w:r w:rsidRPr="006D1EA3">
        <w:rPr>
          <w:rFonts w:ascii="Calibri" w:eastAsia="Calibri" w:hAnsi="Calibri" w:cs="Calibri"/>
          <w:color w:val="000000"/>
          <w:kern w:val="0"/>
          <w:sz w:val="22"/>
          <w:szCs w:val="22"/>
          <w:lang w:val="fr-FR"/>
          <w14:ligatures w14:val="none"/>
        </w:rPr>
        <w:t xml:space="preserve"> </w:t>
      </w:r>
    </w:p>
    <w:p w14:paraId="1F253481" w14:textId="77777777" w:rsidR="006D1EA3" w:rsidRDefault="006D1EA3" w:rsidP="006D1EA3">
      <w:pPr>
        <w:spacing w:after="85" w:line="259" w:lineRule="auto"/>
        <w:rPr>
          <w:rFonts w:ascii="Calibri" w:eastAsia="Calibri" w:hAnsi="Calibri" w:cs="Calibri"/>
          <w:color w:val="000000"/>
          <w:kern w:val="0"/>
          <w:sz w:val="22"/>
          <w:szCs w:val="22"/>
          <w:lang w:val="fr-FR"/>
          <w14:ligatures w14:val="none"/>
        </w:rPr>
      </w:pPr>
    </w:p>
    <w:p w14:paraId="470996CE" w14:textId="77777777" w:rsidR="006D1EA3" w:rsidRDefault="006D1EA3" w:rsidP="006D1EA3">
      <w:pPr>
        <w:spacing w:after="85" w:line="259" w:lineRule="auto"/>
        <w:rPr>
          <w:rFonts w:ascii="Calibri" w:eastAsia="Calibri" w:hAnsi="Calibri" w:cs="Calibri"/>
          <w:color w:val="000000"/>
          <w:kern w:val="0"/>
          <w:sz w:val="22"/>
          <w:szCs w:val="22"/>
          <w:lang w:val="fr-FR"/>
          <w14:ligatures w14:val="none"/>
        </w:rPr>
      </w:pPr>
    </w:p>
    <w:p w14:paraId="425B4D97" w14:textId="77777777" w:rsidR="006D1EA3" w:rsidRDefault="006D1EA3" w:rsidP="006D1EA3">
      <w:pPr>
        <w:spacing w:after="85" w:line="259" w:lineRule="auto"/>
        <w:rPr>
          <w:rFonts w:ascii="Calibri" w:eastAsia="Calibri" w:hAnsi="Calibri" w:cs="Calibri"/>
          <w:color w:val="000000"/>
          <w:kern w:val="0"/>
          <w:sz w:val="22"/>
          <w:szCs w:val="22"/>
          <w:lang w:val="fr-FR"/>
          <w14:ligatures w14:val="none"/>
        </w:rPr>
      </w:pPr>
    </w:p>
    <w:p w14:paraId="164CF441" w14:textId="77777777" w:rsidR="006D1EA3" w:rsidRPr="006D1EA3" w:rsidRDefault="006D1EA3" w:rsidP="006D1EA3">
      <w:pPr>
        <w:spacing w:after="85" w:line="259" w:lineRule="auto"/>
        <w:rPr>
          <w:rFonts w:ascii="Calibri" w:eastAsia="Calibri" w:hAnsi="Calibri" w:cs="Calibri"/>
          <w:color w:val="000000"/>
          <w:kern w:val="0"/>
          <w:sz w:val="22"/>
          <w:szCs w:val="22"/>
          <w:lang w:val="fr-FR"/>
          <w14:ligatures w14:val="none"/>
        </w:rPr>
      </w:pPr>
    </w:p>
    <w:p w14:paraId="4453BE8B" w14:textId="77777777" w:rsidR="006D1EA3" w:rsidRPr="00880B43" w:rsidRDefault="006D1EA3" w:rsidP="006D1EA3">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5BC1BA54" w14:textId="77777777" w:rsidR="006D1EA3" w:rsidRPr="00880B43" w:rsidRDefault="006D1EA3" w:rsidP="006D1EA3">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1D9788E7" w14:textId="30A4B27D" w:rsidR="00DA504D" w:rsidRDefault="006D1EA3" w:rsidP="00E871B7">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sectPr w:rsidR="00DA504D" w:rsidSect="006D1EA3">
      <w:headerReference w:type="default" r:id="rId7"/>
      <w:footerReference w:type="default" r:id="rId8"/>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3F8B" w14:textId="77777777" w:rsidR="00C34569" w:rsidRDefault="00C34569" w:rsidP="006D1EA3">
      <w:pPr>
        <w:spacing w:after="0" w:line="240" w:lineRule="auto"/>
      </w:pPr>
      <w:r>
        <w:separator/>
      </w:r>
    </w:p>
  </w:endnote>
  <w:endnote w:type="continuationSeparator" w:id="0">
    <w:p w14:paraId="24673B86" w14:textId="77777777" w:rsidR="00C34569" w:rsidRDefault="00C34569" w:rsidP="006D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BF52" w14:textId="17F79728" w:rsidR="006D1EA3" w:rsidRPr="006D1EA3" w:rsidRDefault="006D1EA3" w:rsidP="00166F7F">
    <w:pPr>
      <w:pStyle w:val="Footer"/>
      <w:ind w:left="0" w:firstLine="0"/>
      <w:rPr>
        <w:sz w:val="22"/>
      </w:rPr>
    </w:pPr>
    <w:r w:rsidRPr="00E871B7">
      <w:rPr>
        <w:sz w:val="22"/>
      </w:rPr>
      <w:t xml:space="preserve">Page </w:t>
    </w:r>
    <w:r w:rsidRPr="006D1EA3">
      <w:rPr>
        <w:b/>
        <w:sz w:val="22"/>
      </w:rPr>
      <w:fldChar w:fldCharType="begin"/>
    </w:r>
    <w:r w:rsidRPr="006D1EA3">
      <w:rPr>
        <w:b/>
        <w:sz w:val="22"/>
      </w:rPr>
      <w:instrText xml:space="preserve"> PAGE  \* Arabic  \* MERGEFORMAT </w:instrText>
    </w:r>
    <w:r w:rsidRPr="006D1EA3">
      <w:rPr>
        <w:b/>
        <w:sz w:val="22"/>
      </w:rPr>
      <w:fldChar w:fldCharType="separate"/>
    </w:r>
    <w:r w:rsidRPr="006D1EA3">
      <w:rPr>
        <w:b/>
        <w:noProof/>
        <w:sz w:val="22"/>
      </w:rPr>
      <w:t>1</w:t>
    </w:r>
    <w:r w:rsidRPr="006D1EA3">
      <w:rPr>
        <w:b/>
        <w:sz w:val="22"/>
      </w:rPr>
      <w:fldChar w:fldCharType="end"/>
    </w:r>
    <w:r w:rsidRPr="00E871B7">
      <w:rPr>
        <w:sz w:val="22"/>
      </w:rPr>
      <w:t xml:space="preserve"> sur </w:t>
    </w:r>
    <w:r w:rsidRPr="006D1EA3">
      <w:rPr>
        <w:b/>
        <w:sz w:val="22"/>
      </w:rPr>
      <w:fldChar w:fldCharType="begin"/>
    </w:r>
    <w:r w:rsidRPr="006D1EA3">
      <w:rPr>
        <w:b/>
        <w:sz w:val="22"/>
      </w:rPr>
      <w:instrText xml:space="preserve"> NUMPAGES  \* Arabic  \* MERGEFORMAT </w:instrText>
    </w:r>
    <w:r w:rsidRPr="006D1EA3">
      <w:rPr>
        <w:b/>
        <w:sz w:val="22"/>
      </w:rPr>
      <w:fldChar w:fldCharType="separate"/>
    </w:r>
    <w:r w:rsidRPr="006D1EA3">
      <w:rPr>
        <w:b/>
        <w:noProof/>
        <w:sz w:val="22"/>
      </w:rPr>
      <w:t>2</w:t>
    </w:r>
    <w:r w:rsidRPr="006D1EA3">
      <w:rPr>
        <w:b/>
        <w:sz w:val="22"/>
      </w:rPr>
      <w:fldChar w:fldCharType="end"/>
    </w:r>
    <w:r w:rsidRPr="00E871B7">
      <w:rPr>
        <w:sz w:val="22"/>
      </w:rPr>
      <w:ptab w:relativeTo="margin" w:alignment="center" w:leader="none"/>
    </w:r>
    <w:r w:rsidRPr="00E871B7">
      <w:rPr>
        <w:sz w:val="22"/>
      </w:rPr>
      <w:t>Date d’entrée en vigueur :</w:t>
    </w:r>
    <w:r w:rsidRPr="006D1EA3">
      <w:rPr>
        <w:sz w:val="22"/>
      </w:rPr>
      <w:t xml:space="preserve"> 01/01/2012 </w:t>
    </w:r>
    <w:r w:rsidRPr="00E871B7">
      <w:rPr>
        <w:sz w:val="22"/>
      </w:rPr>
      <w:ptab w:relativeTo="margin" w:alignment="right" w:leader="none"/>
    </w:r>
    <w:r>
      <w:rPr>
        <w:sz w:val="22"/>
      </w:rPr>
      <w:t>V</w:t>
    </w:r>
    <w:r w:rsidRPr="006D1EA3">
      <w:rPr>
        <w:sz w:val="22"/>
      </w:rPr>
      <w:t>ersion</w:t>
    </w:r>
    <w:r>
      <w:rPr>
        <w:sz w:val="22"/>
      </w:rPr>
      <w:t xml:space="preserve"> #</w:t>
    </w:r>
    <w:r w:rsidRPr="006D1EA3">
      <w:rPr>
        <w:sz w:val="22"/>
      </w:rPr>
      <w:t xml:space="preserve"> : </w:t>
    </w:r>
    <w:sdt>
      <w:sdtPr>
        <w:rPr>
          <w:sz w:val="22"/>
        </w:rPr>
        <w:alias w:val="POPPRefItemVersion"/>
        <w:tag w:val="UNDP_POPP_REFITEM_VERSION"/>
        <w:id w:val="49530418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sidRPr="006D1EA3">
          <w:rPr>
            <w:sz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DBC9" w14:textId="77777777" w:rsidR="00C34569" w:rsidRDefault="00C34569" w:rsidP="006D1EA3">
      <w:pPr>
        <w:spacing w:after="0" w:line="240" w:lineRule="auto"/>
      </w:pPr>
      <w:r>
        <w:separator/>
      </w:r>
    </w:p>
  </w:footnote>
  <w:footnote w:type="continuationSeparator" w:id="0">
    <w:p w14:paraId="382453F7" w14:textId="77777777" w:rsidR="00C34569" w:rsidRDefault="00C34569" w:rsidP="006D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F5EC" w14:textId="3E9C9471" w:rsidR="006D1EA3" w:rsidRDefault="006D1EA3" w:rsidP="00E871B7">
    <w:pPr>
      <w:pStyle w:val="Header"/>
      <w:ind w:left="0" w:firstLine="0"/>
    </w:pPr>
    <w:r>
      <w:rPr>
        <w:noProof/>
      </w:rPr>
      <w:drawing>
        <wp:anchor distT="0" distB="0" distL="114300" distR="114300" simplePos="0" relativeHeight="251659264" behindDoc="0" locked="0" layoutInCell="1" allowOverlap="1" wp14:anchorId="3722F40F" wp14:editId="16DEE46A">
          <wp:simplePos x="0" y="0"/>
          <wp:positionH relativeFrom="margin">
            <wp:align>right</wp:align>
          </wp:positionH>
          <wp:positionV relativeFrom="paragraph">
            <wp:posOffset>-205740</wp:posOffset>
          </wp:positionV>
          <wp:extent cx="283210" cy="553085"/>
          <wp:effectExtent l="0" t="0" r="2540" b="0"/>
          <wp:wrapTopAndBottom/>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B980E89" w14:textId="77777777" w:rsidR="006D1EA3" w:rsidRDefault="006D1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56943"/>
    <w:multiLevelType w:val="hybridMultilevel"/>
    <w:tmpl w:val="00785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7996129">
    <w:abstractNumId w:val="0"/>
  </w:num>
  <w:num w:numId="2" w16cid:durableId="1005329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A3"/>
    <w:rsid w:val="000B1216"/>
    <w:rsid w:val="006D1EA3"/>
    <w:rsid w:val="009032B1"/>
    <w:rsid w:val="00C34569"/>
    <w:rsid w:val="00C61B9D"/>
    <w:rsid w:val="00DA504D"/>
    <w:rsid w:val="00E21341"/>
    <w:rsid w:val="00E8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BC28"/>
  <w15:chartTrackingRefBased/>
  <w15:docId w15:val="{4B86F497-3BB8-474B-BD57-FD802C2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A3"/>
    <w:rPr>
      <w:rFonts w:eastAsiaTheme="majorEastAsia" w:cstheme="majorBidi"/>
      <w:color w:val="272727" w:themeColor="text1" w:themeTint="D8"/>
    </w:rPr>
  </w:style>
  <w:style w:type="paragraph" w:styleId="Title">
    <w:name w:val="Title"/>
    <w:basedOn w:val="Normal"/>
    <w:next w:val="Normal"/>
    <w:link w:val="TitleChar"/>
    <w:uiPriority w:val="10"/>
    <w:qFormat/>
    <w:rsid w:val="006D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A3"/>
    <w:pPr>
      <w:spacing w:before="160"/>
      <w:jc w:val="center"/>
    </w:pPr>
    <w:rPr>
      <w:i/>
      <w:iCs/>
      <w:color w:val="404040" w:themeColor="text1" w:themeTint="BF"/>
    </w:rPr>
  </w:style>
  <w:style w:type="character" w:customStyle="1" w:styleId="QuoteChar">
    <w:name w:val="Quote Char"/>
    <w:basedOn w:val="DefaultParagraphFont"/>
    <w:link w:val="Quote"/>
    <w:uiPriority w:val="29"/>
    <w:rsid w:val="006D1EA3"/>
    <w:rPr>
      <w:i/>
      <w:iCs/>
      <w:color w:val="404040" w:themeColor="text1" w:themeTint="BF"/>
    </w:rPr>
  </w:style>
  <w:style w:type="paragraph" w:styleId="ListParagraph">
    <w:name w:val="List Paragraph"/>
    <w:basedOn w:val="Normal"/>
    <w:uiPriority w:val="34"/>
    <w:qFormat/>
    <w:rsid w:val="006D1EA3"/>
    <w:pPr>
      <w:ind w:left="720"/>
      <w:contextualSpacing/>
    </w:pPr>
  </w:style>
  <w:style w:type="character" w:styleId="IntenseEmphasis">
    <w:name w:val="Intense Emphasis"/>
    <w:basedOn w:val="DefaultParagraphFont"/>
    <w:uiPriority w:val="21"/>
    <w:qFormat/>
    <w:rsid w:val="006D1EA3"/>
    <w:rPr>
      <w:i/>
      <w:iCs/>
      <w:color w:val="0F4761" w:themeColor="accent1" w:themeShade="BF"/>
    </w:rPr>
  </w:style>
  <w:style w:type="paragraph" w:styleId="IntenseQuote">
    <w:name w:val="Intense Quote"/>
    <w:basedOn w:val="Normal"/>
    <w:next w:val="Normal"/>
    <w:link w:val="IntenseQuoteChar"/>
    <w:uiPriority w:val="30"/>
    <w:qFormat/>
    <w:rsid w:val="006D1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A3"/>
    <w:rPr>
      <w:i/>
      <w:iCs/>
      <w:color w:val="0F4761" w:themeColor="accent1" w:themeShade="BF"/>
    </w:rPr>
  </w:style>
  <w:style w:type="character" w:styleId="IntenseReference">
    <w:name w:val="Intense Reference"/>
    <w:basedOn w:val="DefaultParagraphFont"/>
    <w:uiPriority w:val="32"/>
    <w:qFormat/>
    <w:rsid w:val="006D1EA3"/>
    <w:rPr>
      <w:b/>
      <w:bCs/>
      <w:smallCaps/>
      <w:color w:val="0F4761" w:themeColor="accent1" w:themeShade="BF"/>
      <w:spacing w:val="5"/>
    </w:rPr>
  </w:style>
  <w:style w:type="paragraph" w:styleId="Header">
    <w:name w:val="header"/>
    <w:basedOn w:val="Normal"/>
    <w:link w:val="HeaderChar"/>
    <w:uiPriority w:val="99"/>
    <w:unhideWhenUsed/>
    <w:rsid w:val="006D1EA3"/>
    <w:pPr>
      <w:tabs>
        <w:tab w:val="center" w:pos="4680"/>
        <w:tab w:val="right" w:pos="9360"/>
      </w:tabs>
      <w:spacing w:after="0" w:line="240" w:lineRule="auto"/>
      <w:ind w:left="716" w:hanging="370"/>
      <w:jc w:val="both"/>
    </w:pPr>
    <w:rPr>
      <w:rFonts w:ascii="Calibri" w:eastAsia="Calibri" w:hAnsi="Calibri" w:cs="Calibri"/>
      <w:color w:val="000000"/>
      <w:kern w:val="0"/>
      <w:sz w:val="20"/>
      <w:szCs w:val="22"/>
      <w:lang w:val="fr-FR"/>
      <w14:ligatures w14:val="none"/>
    </w:rPr>
  </w:style>
  <w:style w:type="character" w:customStyle="1" w:styleId="HeaderChar">
    <w:name w:val="Header Char"/>
    <w:basedOn w:val="DefaultParagraphFont"/>
    <w:link w:val="Header"/>
    <w:uiPriority w:val="99"/>
    <w:rsid w:val="006D1EA3"/>
    <w:rPr>
      <w:rFonts w:ascii="Calibri" w:eastAsia="Calibri" w:hAnsi="Calibri" w:cs="Calibri"/>
      <w:color w:val="000000"/>
      <w:kern w:val="0"/>
      <w:sz w:val="20"/>
      <w:szCs w:val="22"/>
      <w:lang w:val="fr-FR"/>
      <w14:ligatures w14:val="none"/>
    </w:rPr>
  </w:style>
  <w:style w:type="paragraph" w:styleId="Footer">
    <w:name w:val="footer"/>
    <w:basedOn w:val="Normal"/>
    <w:link w:val="FooterChar"/>
    <w:uiPriority w:val="99"/>
    <w:unhideWhenUsed/>
    <w:rsid w:val="006D1EA3"/>
    <w:pPr>
      <w:tabs>
        <w:tab w:val="center" w:pos="4680"/>
        <w:tab w:val="right" w:pos="9360"/>
      </w:tabs>
      <w:spacing w:after="0" w:line="240" w:lineRule="auto"/>
      <w:ind w:left="716" w:hanging="370"/>
      <w:jc w:val="both"/>
    </w:pPr>
    <w:rPr>
      <w:rFonts w:ascii="Calibri" w:eastAsia="Calibri" w:hAnsi="Calibri" w:cs="Calibri"/>
      <w:color w:val="000000"/>
      <w:kern w:val="0"/>
      <w:sz w:val="20"/>
      <w:szCs w:val="22"/>
      <w:lang w:val="fr-FR"/>
      <w14:ligatures w14:val="none"/>
    </w:rPr>
  </w:style>
  <w:style w:type="character" w:customStyle="1" w:styleId="FooterChar">
    <w:name w:val="Footer Char"/>
    <w:basedOn w:val="DefaultParagraphFont"/>
    <w:link w:val="Footer"/>
    <w:uiPriority w:val="99"/>
    <w:rsid w:val="006D1EA3"/>
    <w:rPr>
      <w:rFonts w:ascii="Calibri" w:eastAsia="Calibri" w:hAnsi="Calibri" w:cs="Calibri"/>
      <w:color w:val="000000"/>
      <w:kern w:val="0"/>
      <w:sz w:val="20"/>
      <w:szCs w:val="22"/>
      <w:lang w:val="fr-FR"/>
      <w14:ligatures w14:val="none"/>
    </w:rPr>
  </w:style>
  <w:style w:type="paragraph" w:styleId="Revision">
    <w:name w:val="Revision"/>
    <w:hidden/>
    <w:uiPriority w:val="99"/>
    <w:semiHidden/>
    <w:rsid w:val="006D1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2026-06-11T13:47:00Z</dcterms:created>
  <dcterms:modified xsi:type="dcterms:W3CDTF">2026-06-11T13:54:00Z</dcterms:modified>
</cp:coreProperties>
</file>