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9DCF7" w14:textId="77777777" w:rsidR="00A52B6F" w:rsidRPr="00A52B6F" w:rsidRDefault="00A52B6F" w:rsidP="00A52B6F">
      <w:pPr>
        <w:spacing w:after="191" w:line="259" w:lineRule="auto"/>
        <w:rPr>
          <w:rFonts w:ascii="Calibri" w:eastAsia="Calibri" w:hAnsi="Calibri" w:cs="Calibri"/>
          <w:color w:val="000000"/>
          <w:kern w:val="0"/>
          <w:sz w:val="20"/>
          <w:szCs w:val="22"/>
          <w:lang w:val="es-ES"/>
          <w14:ligatures w14:val="none"/>
        </w:rPr>
      </w:pPr>
      <w:r w:rsidRPr="00A52B6F">
        <w:rPr>
          <w:rFonts w:ascii="Calibri" w:eastAsia="Calibri" w:hAnsi="Calibri" w:cs="Calibri"/>
          <w:b/>
          <w:color w:val="000000"/>
          <w:kern w:val="0"/>
          <w:sz w:val="28"/>
          <w:szCs w:val="22"/>
          <w:lang w:val="es-ES"/>
          <w14:ligatures w14:val="none"/>
        </w:rPr>
        <w:t xml:space="preserve">Conciliación de cuenta bancaria </w:t>
      </w:r>
      <w:r w:rsidRPr="00A52B6F">
        <w:rPr>
          <w:rFonts w:ascii="Calibri" w:eastAsia="Calibri" w:hAnsi="Calibri" w:cs="Calibri"/>
          <w:color w:val="000000"/>
          <w:kern w:val="0"/>
          <w:sz w:val="22"/>
          <w:szCs w:val="22"/>
          <w:lang w:val="es-ES"/>
          <w14:ligatures w14:val="none"/>
        </w:rPr>
        <w:t xml:space="preserve"> </w:t>
      </w:r>
    </w:p>
    <w:p w14:paraId="7FEEDDCC" w14:textId="77777777" w:rsidR="00A52B6F" w:rsidRPr="00A52B6F" w:rsidRDefault="00A52B6F" w:rsidP="00A52B6F">
      <w:pPr>
        <w:numPr>
          <w:ilvl w:val="0"/>
          <w:numId w:val="1"/>
        </w:numPr>
        <w:spacing w:after="5" w:line="253" w:lineRule="auto"/>
        <w:ind w:left="360" w:hanging="360"/>
        <w:jc w:val="both"/>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 xml:space="preserve">El objetivo de la conciliación de cuenta bancaria es demostrar que las entradas en Atlas son correctas y que están conciliadas con las transacciones registradas por el banco. Cualquier diferencia debe ser analizada e informada.  </w:t>
      </w:r>
    </w:p>
    <w:p w14:paraId="09BFD4DF" w14:textId="77777777" w:rsidR="00A52B6F" w:rsidRPr="00A52B6F" w:rsidRDefault="00A52B6F" w:rsidP="00A52B6F">
      <w:pPr>
        <w:spacing w:after="82" w:line="259" w:lineRule="auto"/>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 xml:space="preserve">  </w:t>
      </w:r>
    </w:p>
    <w:p w14:paraId="1F5628EF" w14:textId="1A2C6970" w:rsidR="00A52B6F" w:rsidRPr="00A52B6F" w:rsidRDefault="00A52B6F" w:rsidP="00A52B6F">
      <w:pPr>
        <w:numPr>
          <w:ilvl w:val="0"/>
          <w:numId w:val="1"/>
        </w:numPr>
        <w:spacing w:after="5" w:line="253" w:lineRule="auto"/>
        <w:ind w:left="360" w:hanging="360"/>
        <w:jc w:val="both"/>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La comparación de las transacciones en Quantum comprende los siguientes pasos</w:t>
      </w:r>
      <w:r>
        <w:rPr>
          <w:rFonts w:ascii="Calibri" w:eastAsia="Calibri" w:hAnsi="Calibri" w:cs="Calibri"/>
          <w:color w:val="000000"/>
          <w:kern w:val="0"/>
          <w:sz w:val="22"/>
          <w:szCs w:val="22"/>
          <w:lang w:val="es-ES"/>
          <w14:ligatures w14:val="none"/>
        </w:rPr>
        <w:t>:</w:t>
      </w:r>
      <w:r w:rsidRPr="00A52B6F">
        <w:rPr>
          <w:rFonts w:ascii="Calibri" w:eastAsia="Calibri" w:hAnsi="Calibri" w:cs="Calibri"/>
          <w:color w:val="000000"/>
          <w:kern w:val="0"/>
          <w:sz w:val="22"/>
          <w:szCs w:val="22"/>
          <w:lang w:val="es-ES"/>
          <w14:ligatures w14:val="none"/>
        </w:rPr>
        <w:t xml:space="preserve">  </w:t>
      </w:r>
    </w:p>
    <w:p w14:paraId="476D1BF6" w14:textId="77777777" w:rsidR="00A52B6F" w:rsidRPr="00A52B6F" w:rsidRDefault="00A52B6F" w:rsidP="00A52B6F">
      <w:pPr>
        <w:spacing w:after="0" w:line="259" w:lineRule="auto"/>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 xml:space="preserve"> </w:t>
      </w:r>
    </w:p>
    <w:p w14:paraId="3FD67C9E" w14:textId="77777777" w:rsidR="00A52B6F" w:rsidRPr="00A52B6F" w:rsidRDefault="00A52B6F" w:rsidP="00A52B6F">
      <w:pPr>
        <w:spacing w:after="0" w:line="259" w:lineRule="auto"/>
        <w:ind w:left="355" w:hanging="10"/>
        <w:rPr>
          <w:rFonts w:ascii="Calibri" w:eastAsia="Calibri" w:hAnsi="Calibri" w:cs="Calibri"/>
          <w:color w:val="000000"/>
          <w:kern w:val="0"/>
          <w:sz w:val="22"/>
          <w:szCs w:val="22"/>
          <w:lang w:val="es-ES"/>
          <w14:ligatures w14:val="none"/>
        </w:rPr>
      </w:pPr>
      <w:r w:rsidRPr="00A52B6F">
        <w:rPr>
          <w:rFonts w:ascii="Calibri" w:eastAsia="Calibri" w:hAnsi="Calibri" w:cs="Calibri"/>
          <w:b/>
          <w:color w:val="000000"/>
          <w:kern w:val="0"/>
          <w:sz w:val="22"/>
          <w:szCs w:val="22"/>
          <w:lang w:val="es-ES"/>
          <w14:ligatures w14:val="none"/>
        </w:rPr>
        <w:t xml:space="preserve">Primer paso: Conciliación  </w:t>
      </w:r>
    </w:p>
    <w:p w14:paraId="2277817B" w14:textId="77777777" w:rsidR="00A52B6F" w:rsidRPr="00A52B6F" w:rsidRDefault="00A52B6F" w:rsidP="00A52B6F">
      <w:pPr>
        <w:spacing w:after="49" w:line="259" w:lineRule="auto"/>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 xml:space="preserve"> </w:t>
      </w:r>
    </w:p>
    <w:p w14:paraId="5DAF1B7B" w14:textId="77777777" w:rsidR="00A52B6F" w:rsidRDefault="00A52B6F" w:rsidP="00A52B6F">
      <w:pPr>
        <w:numPr>
          <w:ilvl w:val="0"/>
          <w:numId w:val="1"/>
        </w:numPr>
        <w:spacing w:after="5" w:line="253" w:lineRule="auto"/>
        <w:ind w:left="360" w:hanging="360"/>
        <w:jc w:val="both"/>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 xml:space="preserve">La comparación de las transacciones en Atlas con las de los estados de cuenta bancarios se realiza principalmente en 3 espacios:  </w:t>
      </w:r>
    </w:p>
    <w:p w14:paraId="0B0A70EE" w14:textId="77777777" w:rsidR="00A52B6F" w:rsidRPr="00A52B6F" w:rsidRDefault="00A52B6F" w:rsidP="002F1739">
      <w:pPr>
        <w:spacing w:after="5" w:line="253" w:lineRule="auto"/>
        <w:ind w:left="360"/>
        <w:jc w:val="both"/>
        <w:rPr>
          <w:rFonts w:ascii="Calibri" w:eastAsia="Calibri" w:hAnsi="Calibri" w:cs="Calibri"/>
          <w:color w:val="000000"/>
          <w:kern w:val="0"/>
          <w:sz w:val="22"/>
          <w:szCs w:val="22"/>
          <w:lang w:val="es-ES"/>
          <w14:ligatures w14:val="none"/>
        </w:rPr>
      </w:pPr>
    </w:p>
    <w:p w14:paraId="21BE28AF" w14:textId="77777777" w:rsidR="00A52B6F" w:rsidRPr="00A52B6F" w:rsidRDefault="00A52B6F" w:rsidP="00A52B6F">
      <w:pPr>
        <w:numPr>
          <w:ilvl w:val="0"/>
          <w:numId w:val="2"/>
        </w:numPr>
        <w:spacing w:after="35" w:line="253" w:lineRule="auto"/>
        <w:ind w:left="749"/>
        <w:contextualSpacing/>
        <w:jc w:val="both"/>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 xml:space="preserve">La página de </w:t>
      </w:r>
      <w:r w:rsidRPr="00A52B6F">
        <w:rPr>
          <w:rFonts w:ascii="Calibri" w:eastAsia="Calibri" w:hAnsi="Calibri" w:cs="Calibri"/>
          <w:b/>
          <w:bCs/>
          <w:i/>
          <w:iCs/>
          <w:color w:val="000000"/>
          <w:kern w:val="0"/>
          <w:sz w:val="22"/>
          <w:szCs w:val="22"/>
          <w:lang w:val="es-ES"/>
          <w14:ligatures w14:val="none"/>
        </w:rPr>
        <w:t>conciliación manual</w:t>
      </w:r>
      <w:r w:rsidRPr="00A52B6F">
        <w:rPr>
          <w:rFonts w:ascii="Calibri" w:eastAsia="Calibri" w:hAnsi="Calibri" w:cs="Calibri"/>
          <w:color w:val="000000"/>
          <w:kern w:val="0"/>
          <w:sz w:val="22"/>
          <w:szCs w:val="22"/>
          <w:lang w:val="es-ES"/>
          <w14:ligatures w14:val="none"/>
        </w:rPr>
        <w:t xml:space="preserve">, que registra las transacciones de todos los subsistemas (cuentas por pagar [AP, </w:t>
      </w:r>
      <w:r w:rsidRPr="00A52B6F">
        <w:rPr>
          <w:rFonts w:ascii="Calibri" w:eastAsia="Calibri" w:hAnsi="Calibri" w:cs="Calibri"/>
          <w:i/>
          <w:iCs/>
          <w:color w:val="000000"/>
          <w:kern w:val="0"/>
          <w:sz w:val="22"/>
          <w:szCs w:val="22"/>
          <w:lang w:val="es-ES"/>
          <w14:ligatures w14:val="none"/>
        </w:rPr>
        <w:t>Accounts Payable</w:t>
      </w:r>
      <w:r w:rsidRPr="00A52B6F">
        <w:rPr>
          <w:rFonts w:ascii="Calibri" w:eastAsia="Calibri" w:hAnsi="Calibri" w:cs="Calibri"/>
          <w:color w:val="000000"/>
          <w:kern w:val="0"/>
          <w:sz w:val="22"/>
          <w:szCs w:val="22"/>
          <w:lang w:val="es-ES"/>
          <w14:ligatures w14:val="none"/>
        </w:rPr>
        <w:t xml:space="preserve">, por sus siglas en inglés], cuentas por cobrar [AR, </w:t>
      </w:r>
      <w:r w:rsidRPr="00A52B6F">
        <w:rPr>
          <w:rFonts w:ascii="Calibri" w:eastAsia="Calibri" w:hAnsi="Calibri" w:cs="Calibri"/>
          <w:i/>
          <w:iCs/>
          <w:color w:val="000000"/>
          <w:kern w:val="0"/>
          <w:sz w:val="22"/>
          <w:szCs w:val="22"/>
          <w:lang w:val="es-ES"/>
          <w14:ligatures w14:val="none"/>
        </w:rPr>
        <w:t>Accounts Receivable</w:t>
      </w:r>
      <w:r w:rsidRPr="00A52B6F">
        <w:rPr>
          <w:rFonts w:ascii="Calibri" w:eastAsia="Calibri" w:hAnsi="Calibri" w:cs="Calibri"/>
          <w:color w:val="000000"/>
          <w:kern w:val="0"/>
          <w:sz w:val="22"/>
          <w:szCs w:val="22"/>
          <w:lang w:val="es-ES"/>
          <w14:ligatures w14:val="none"/>
        </w:rPr>
        <w:t xml:space="preserve">, por sus siglas en inglés], transferencias bancarias [TR, </w:t>
      </w:r>
      <w:r w:rsidRPr="00A52B6F">
        <w:rPr>
          <w:rFonts w:ascii="Calibri" w:eastAsia="Calibri" w:hAnsi="Calibri" w:cs="Calibri"/>
          <w:i/>
          <w:iCs/>
          <w:color w:val="000000"/>
          <w:kern w:val="0"/>
          <w:sz w:val="22"/>
          <w:szCs w:val="22"/>
          <w:lang w:val="es-ES"/>
          <w14:ligatures w14:val="none"/>
        </w:rPr>
        <w:t>Transfers/Deals</w:t>
      </w:r>
      <w:r w:rsidRPr="00A52B6F">
        <w:rPr>
          <w:rFonts w:ascii="Calibri" w:eastAsia="Calibri" w:hAnsi="Calibri" w:cs="Calibri"/>
          <w:color w:val="000000"/>
          <w:kern w:val="0"/>
          <w:sz w:val="22"/>
          <w:szCs w:val="22"/>
          <w:lang w:val="es-ES"/>
          <w14:ligatures w14:val="none"/>
        </w:rPr>
        <w:t xml:space="preserve">, por sus siglas en inglés], operaciones y transacciones externas), lo que permite comparar todo en una sola pantalla.  </w:t>
      </w:r>
    </w:p>
    <w:p w14:paraId="172B83BD" w14:textId="77777777" w:rsidR="00A52B6F" w:rsidRPr="00A52B6F" w:rsidRDefault="00A52B6F" w:rsidP="00A52B6F">
      <w:pPr>
        <w:numPr>
          <w:ilvl w:val="0"/>
          <w:numId w:val="2"/>
        </w:numPr>
        <w:spacing w:after="35" w:line="253" w:lineRule="auto"/>
        <w:ind w:left="749"/>
        <w:contextualSpacing/>
        <w:jc w:val="both"/>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 xml:space="preserve">La </w:t>
      </w:r>
      <w:r w:rsidRPr="00A52B6F">
        <w:rPr>
          <w:rFonts w:ascii="Calibri" w:eastAsia="Calibri" w:hAnsi="Calibri" w:cs="Calibri"/>
          <w:b/>
          <w:i/>
          <w:color w:val="000000"/>
          <w:kern w:val="0"/>
          <w:sz w:val="22"/>
          <w:szCs w:val="22"/>
          <w:lang w:val="es-ES"/>
          <w14:ligatures w14:val="none"/>
        </w:rPr>
        <w:t>conciliación automática</w:t>
      </w:r>
      <w:r w:rsidRPr="00A52B6F">
        <w:rPr>
          <w:rFonts w:ascii="Calibri" w:eastAsia="Calibri" w:hAnsi="Calibri" w:cs="Calibri"/>
          <w:color w:val="000000"/>
          <w:kern w:val="0"/>
          <w:sz w:val="22"/>
          <w:szCs w:val="22"/>
          <w:lang w:val="es-ES"/>
          <w14:ligatures w14:val="none"/>
        </w:rPr>
        <w:t>, que es un proceso centralizado que coteja automáticamente las transacciones de Quantum con los extractos bancarios cargados en Quantum a través del centro de pagos del Sistema de Gestión de Tesorería (TMS).</w:t>
      </w:r>
    </w:p>
    <w:p w14:paraId="7B69AC0B" w14:textId="77777777" w:rsidR="00A52B6F" w:rsidRPr="00A52B6F" w:rsidRDefault="00A52B6F" w:rsidP="00A52B6F">
      <w:pPr>
        <w:spacing w:after="0" w:line="259" w:lineRule="auto"/>
        <w:ind w:left="355" w:hanging="10"/>
        <w:rPr>
          <w:rFonts w:ascii="Calibri" w:eastAsia="Calibri" w:hAnsi="Calibri" w:cs="Calibri"/>
          <w:b/>
          <w:color w:val="000000"/>
          <w:kern w:val="0"/>
          <w:sz w:val="22"/>
          <w:szCs w:val="22"/>
          <w:lang w:val="es-ES"/>
          <w14:ligatures w14:val="none"/>
        </w:rPr>
      </w:pPr>
    </w:p>
    <w:p w14:paraId="599D14AC" w14:textId="30D970AB" w:rsidR="00A52B6F" w:rsidRPr="00A52B6F" w:rsidRDefault="00A52B6F" w:rsidP="002F1739">
      <w:pPr>
        <w:spacing w:after="0" w:line="259" w:lineRule="auto"/>
        <w:ind w:left="355" w:hanging="10"/>
        <w:rPr>
          <w:rFonts w:ascii="Calibri" w:eastAsia="Calibri" w:hAnsi="Calibri" w:cs="Calibri"/>
          <w:color w:val="000000"/>
          <w:kern w:val="0"/>
          <w:sz w:val="22"/>
          <w:szCs w:val="22"/>
          <w:lang w:val="es-ES"/>
          <w14:ligatures w14:val="none"/>
        </w:rPr>
      </w:pPr>
      <w:r w:rsidRPr="00A52B6F">
        <w:rPr>
          <w:rFonts w:ascii="Calibri" w:eastAsia="Calibri" w:hAnsi="Calibri" w:cs="Calibri"/>
          <w:b/>
          <w:color w:val="000000"/>
          <w:kern w:val="0"/>
          <w:sz w:val="22"/>
          <w:szCs w:val="22"/>
          <w:lang w:val="es-ES"/>
          <w14:ligatures w14:val="none"/>
        </w:rPr>
        <w:t xml:space="preserve">Paso 2: Revisar los Resultados de la Conciliación Automática de Extractos Bancarios y Resolver las Excepciones   </w:t>
      </w:r>
    </w:p>
    <w:p w14:paraId="68DEF377" w14:textId="77777777" w:rsidR="00A52B6F" w:rsidRDefault="00A52B6F" w:rsidP="00A52B6F">
      <w:pPr>
        <w:spacing w:after="5" w:line="253" w:lineRule="auto"/>
        <w:ind w:left="346"/>
        <w:jc w:val="both"/>
        <w:rPr>
          <w:rFonts w:ascii="Calibri" w:eastAsia="Calibri" w:hAnsi="Calibri" w:cs="Calibri"/>
          <w:color w:val="000000"/>
          <w:kern w:val="0"/>
          <w:sz w:val="22"/>
          <w:szCs w:val="22"/>
          <w:lang w:val="es-ES"/>
          <w14:ligatures w14:val="none"/>
        </w:rPr>
      </w:pPr>
    </w:p>
    <w:p w14:paraId="7A2EDD80" w14:textId="20C425EB" w:rsidR="00A52B6F" w:rsidRPr="002F1739" w:rsidRDefault="00A52B6F" w:rsidP="00A52B6F">
      <w:pPr>
        <w:spacing w:after="5" w:line="253" w:lineRule="auto"/>
        <w:ind w:left="346"/>
        <w:jc w:val="both"/>
        <w:rPr>
          <w:rFonts w:ascii="Calibri" w:eastAsia="Calibri" w:hAnsi="Calibri" w:cs="Calibri"/>
          <w:color w:val="000000"/>
          <w:kern w:val="0"/>
          <w:sz w:val="22"/>
          <w:szCs w:val="22"/>
          <w:lang w:val="es-ES"/>
          <w14:ligatures w14:val="none"/>
        </w:rPr>
      </w:pPr>
      <w:r w:rsidRPr="002F1739">
        <w:rPr>
          <w:rFonts w:ascii="Calibri" w:eastAsia="Calibri" w:hAnsi="Calibri" w:cs="Calibri"/>
          <w:color w:val="000000"/>
          <w:kern w:val="0"/>
          <w:sz w:val="22"/>
          <w:szCs w:val="22"/>
          <w:lang w:val="es-ES"/>
          <w14:ligatures w14:val="none"/>
        </w:rPr>
        <w:t>Una vez finalizado el proceso de conciliación automática de extractos bancarios, revise los resultados de la conciliación en el área de trabajo Extractos bancarios y conciliación. La región Conciliación de extractos bancarios muestra las líneas conciliadas, no conciliadas y cualquier excepción.</w:t>
      </w:r>
    </w:p>
    <w:p w14:paraId="72F48197" w14:textId="77777777" w:rsidR="00A52B6F" w:rsidRPr="00A52B6F" w:rsidRDefault="00A52B6F" w:rsidP="00A52B6F">
      <w:pPr>
        <w:spacing w:after="5" w:line="253" w:lineRule="auto"/>
        <w:ind w:left="346"/>
        <w:jc w:val="both"/>
        <w:rPr>
          <w:rFonts w:ascii="Calibri" w:eastAsia="Calibri" w:hAnsi="Calibri" w:cs="Calibri"/>
          <w:color w:val="000000"/>
          <w:kern w:val="0"/>
          <w:sz w:val="22"/>
          <w:szCs w:val="22"/>
          <w:lang w:val="es-ES"/>
          <w14:ligatures w14:val="none"/>
        </w:rPr>
      </w:pPr>
    </w:p>
    <w:p w14:paraId="291C7511" w14:textId="77777777" w:rsidR="00A52B6F" w:rsidRPr="002F1739" w:rsidRDefault="00A52B6F" w:rsidP="00A52B6F">
      <w:pPr>
        <w:spacing w:after="5" w:line="253" w:lineRule="auto"/>
        <w:ind w:left="346"/>
        <w:jc w:val="both"/>
        <w:rPr>
          <w:rFonts w:ascii="Calibri" w:eastAsia="Calibri" w:hAnsi="Calibri" w:cs="Calibri"/>
          <w:color w:val="000000"/>
          <w:kern w:val="0"/>
          <w:sz w:val="22"/>
          <w:szCs w:val="22"/>
          <w:lang w:val="es-ES"/>
          <w14:ligatures w14:val="none"/>
        </w:rPr>
      </w:pPr>
      <w:r w:rsidRPr="002F1739">
        <w:rPr>
          <w:rFonts w:ascii="Calibri" w:eastAsia="Calibri" w:hAnsi="Calibri" w:cs="Calibri"/>
          <w:color w:val="000000"/>
          <w:kern w:val="0"/>
          <w:sz w:val="22"/>
          <w:szCs w:val="22"/>
          <w:lang w:val="es-ES"/>
          <w14:ligatures w14:val="none"/>
        </w:rPr>
        <w:t>Resuelva las excepciones del proceso de conciliación automática de extractos bancarios conciliándolas manualmente.</w:t>
      </w:r>
    </w:p>
    <w:p w14:paraId="347572FA" w14:textId="77777777" w:rsidR="00A52B6F" w:rsidRPr="00A52B6F" w:rsidRDefault="00A52B6F" w:rsidP="00A52B6F">
      <w:pPr>
        <w:spacing w:after="5" w:line="253" w:lineRule="auto"/>
        <w:ind w:left="346"/>
        <w:jc w:val="both"/>
        <w:rPr>
          <w:rFonts w:ascii="Calibri" w:eastAsia="Calibri" w:hAnsi="Calibri" w:cs="Calibri"/>
          <w:color w:val="000000"/>
          <w:kern w:val="0"/>
          <w:sz w:val="22"/>
          <w:szCs w:val="22"/>
          <w:lang w:val="es-ES"/>
          <w14:ligatures w14:val="none"/>
        </w:rPr>
      </w:pPr>
    </w:p>
    <w:p w14:paraId="43C3E6B7" w14:textId="1FEF5B06" w:rsidR="00A52B6F" w:rsidRPr="00A52B6F" w:rsidRDefault="00A52B6F" w:rsidP="00A52B6F">
      <w:pPr>
        <w:spacing w:after="82" w:line="259" w:lineRule="auto"/>
        <w:ind w:left="346"/>
        <w:rPr>
          <w:rFonts w:ascii="Calibri" w:eastAsia="Calibri" w:hAnsi="Calibri" w:cs="Calibri"/>
          <w:b/>
          <w:bCs/>
          <w:color w:val="000000"/>
          <w:kern w:val="0"/>
          <w:sz w:val="22"/>
          <w:szCs w:val="22"/>
          <w:lang w:val="es-ES"/>
          <w14:ligatures w14:val="none"/>
        </w:rPr>
      </w:pPr>
      <w:r w:rsidRPr="00A52B6F">
        <w:rPr>
          <w:rFonts w:ascii="Calibri" w:eastAsia="Calibri" w:hAnsi="Calibri" w:cs="Calibri"/>
          <w:b/>
          <w:bCs/>
          <w:color w:val="000000"/>
          <w:kern w:val="0"/>
          <w:sz w:val="22"/>
          <w:szCs w:val="22"/>
          <w:lang w:val="es-ES"/>
          <w14:ligatures w14:val="none"/>
        </w:rPr>
        <w:t>Paso 3: Resolver las líneas de extracto no conciliadas</w:t>
      </w:r>
    </w:p>
    <w:p w14:paraId="4D76D6A4" w14:textId="26735275"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Resuelva cualquier línea de extracto no conciliada conciliando manualmente las líneas de extracto con las transacciones disponibles. Cree transacciones externas para comisiones bancarias e intereses.</w:t>
      </w:r>
    </w:p>
    <w:p w14:paraId="63153B73" w14:textId="77777777"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p>
    <w:p w14:paraId="40969DDE" w14:textId="77777777" w:rsidR="00A52B6F" w:rsidRPr="00A52B6F" w:rsidRDefault="00A52B6F" w:rsidP="00A52B6F">
      <w:pPr>
        <w:spacing w:after="0" w:line="259" w:lineRule="auto"/>
        <w:ind w:left="346"/>
        <w:rPr>
          <w:rFonts w:ascii="Calibri" w:eastAsia="Calibri" w:hAnsi="Calibri" w:cs="Calibri"/>
          <w:b/>
          <w:bCs/>
          <w:color w:val="000000"/>
          <w:kern w:val="0"/>
          <w:sz w:val="22"/>
          <w:szCs w:val="22"/>
          <w:lang w:val="es-ES"/>
          <w14:ligatures w14:val="none"/>
        </w:rPr>
      </w:pPr>
      <w:r w:rsidRPr="00A52B6F">
        <w:rPr>
          <w:rFonts w:ascii="Calibri" w:eastAsia="Calibri" w:hAnsi="Calibri" w:cs="Calibri"/>
          <w:b/>
          <w:bCs/>
          <w:color w:val="000000"/>
          <w:kern w:val="0"/>
          <w:sz w:val="22"/>
          <w:szCs w:val="22"/>
          <w:lang w:val="es-ES"/>
          <w14:ligatures w14:val="none"/>
        </w:rPr>
        <w:t>Paso 4: Crear Contabilidad y Transferir al Libro Mayor</w:t>
      </w:r>
    </w:p>
    <w:p w14:paraId="146458A8" w14:textId="77777777" w:rsidR="00A52B6F" w:rsidRDefault="00A52B6F" w:rsidP="00A52B6F">
      <w:pPr>
        <w:spacing w:after="0" w:line="259" w:lineRule="auto"/>
        <w:ind w:left="346"/>
        <w:rPr>
          <w:rFonts w:ascii="Calibri" w:eastAsia="Calibri" w:hAnsi="Calibri" w:cs="Calibri"/>
          <w:color w:val="000000"/>
          <w:kern w:val="0"/>
          <w:sz w:val="22"/>
          <w:szCs w:val="22"/>
          <w:lang w:val="es-ES"/>
          <w14:ligatures w14:val="none"/>
        </w:rPr>
      </w:pPr>
    </w:p>
    <w:p w14:paraId="6D33277C" w14:textId="5117AD68"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Cree asientos para las transacciones externas enviando el proceso Crear Contabilidad. El proceso crea y opcionalmente transfiere y contabiliza los asientos al Libro Mayor. Si no transfiere los asientos al Libro Mayor inmediatamente, puede enviar más tarde el proceso Contabilizar asientos del libro auxiliar.</w:t>
      </w:r>
    </w:p>
    <w:p w14:paraId="5E7EB815" w14:textId="77777777" w:rsidR="00A52B6F" w:rsidRDefault="00A52B6F" w:rsidP="00A52B6F">
      <w:pPr>
        <w:spacing w:after="0" w:line="259" w:lineRule="auto"/>
        <w:ind w:left="346"/>
        <w:rPr>
          <w:rFonts w:ascii="Calibri" w:eastAsia="Calibri" w:hAnsi="Calibri" w:cs="Calibri"/>
          <w:color w:val="000000"/>
          <w:kern w:val="0"/>
          <w:sz w:val="22"/>
          <w:szCs w:val="22"/>
          <w:lang w:val="es-ES"/>
          <w14:ligatures w14:val="none"/>
        </w:rPr>
      </w:pPr>
    </w:p>
    <w:p w14:paraId="033307DB" w14:textId="77777777" w:rsidR="00A52B6F" w:rsidRDefault="00A52B6F" w:rsidP="00A52B6F">
      <w:pPr>
        <w:spacing w:after="0" w:line="259" w:lineRule="auto"/>
        <w:ind w:left="346"/>
        <w:rPr>
          <w:rFonts w:ascii="Calibri" w:eastAsia="Calibri" w:hAnsi="Calibri" w:cs="Calibri"/>
          <w:color w:val="000000"/>
          <w:kern w:val="0"/>
          <w:sz w:val="22"/>
          <w:szCs w:val="22"/>
          <w:lang w:val="es-ES"/>
          <w14:ligatures w14:val="none"/>
        </w:rPr>
      </w:pPr>
    </w:p>
    <w:p w14:paraId="324D2531" w14:textId="77777777"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p>
    <w:p w14:paraId="3E68D72B" w14:textId="77777777" w:rsidR="00A52B6F" w:rsidRPr="00A52B6F" w:rsidRDefault="00A52B6F" w:rsidP="00A52B6F">
      <w:pPr>
        <w:spacing w:after="0" w:line="259" w:lineRule="auto"/>
        <w:ind w:left="346"/>
        <w:rPr>
          <w:rFonts w:ascii="Calibri" w:eastAsia="Calibri" w:hAnsi="Calibri" w:cs="Calibri"/>
          <w:b/>
          <w:bCs/>
          <w:color w:val="000000"/>
          <w:kern w:val="0"/>
          <w:sz w:val="22"/>
          <w:szCs w:val="22"/>
          <w:lang w:val="es-ES"/>
          <w14:ligatures w14:val="none"/>
        </w:rPr>
      </w:pPr>
      <w:r w:rsidRPr="00A52B6F">
        <w:rPr>
          <w:rFonts w:ascii="Calibri" w:eastAsia="Calibri" w:hAnsi="Calibri" w:cs="Calibri"/>
          <w:b/>
          <w:bCs/>
          <w:color w:val="000000"/>
          <w:kern w:val="0"/>
          <w:sz w:val="22"/>
          <w:szCs w:val="22"/>
          <w:lang w:val="es-ES"/>
          <w14:ligatures w14:val="none"/>
        </w:rPr>
        <w:lastRenderedPageBreak/>
        <w:t xml:space="preserve">Paso 5: Informe de Reconciliación de Caja al Libro Mayor.   </w:t>
      </w:r>
    </w:p>
    <w:p w14:paraId="6E8038A6" w14:textId="77777777" w:rsidR="00A52B6F" w:rsidRDefault="00A52B6F" w:rsidP="00A52B6F">
      <w:pPr>
        <w:spacing w:after="0" w:line="259" w:lineRule="auto"/>
        <w:ind w:left="346"/>
        <w:rPr>
          <w:rFonts w:ascii="Calibri" w:eastAsia="Calibri" w:hAnsi="Calibri" w:cs="Calibri"/>
          <w:color w:val="000000"/>
          <w:kern w:val="0"/>
          <w:sz w:val="20"/>
          <w:szCs w:val="22"/>
          <w:lang w:val="es-ES"/>
          <w14:ligatures w14:val="none"/>
        </w:rPr>
      </w:pPr>
    </w:p>
    <w:p w14:paraId="571368C8" w14:textId="776958CC"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Si los pasos de la reconciliación se siguen correctamente, no debería haber ningún problema para ir al Paso 5, que es el Informe de Reconciliación de Caja a Libro Mayor. El Informe de Conciliación de Caja con el Libro Mayor compara el saldo de la cuenta de caja del Libro Mayor con el saldo de la cuenta bancaria. Muestra los asientos no reconciliados de la cuenta de efectivo del Libro Mayor y las líneas no reconciliadas del extracto bancario que ayudan a identificar las discrepancias entre los saldos. Esto se hace basándose en el rango de periodos especificado.</w:t>
      </w:r>
    </w:p>
    <w:p w14:paraId="1EA7AA88" w14:textId="77777777"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p>
    <w:p w14:paraId="2145F023" w14:textId="77777777"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 xml:space="preserve">El Informe de Conciliación de Caja con el Libro Mayor enumera las transacciones del libro auxiliar que se contabilizan en el Libro Mayor pero que no se concilian en la Gestión de Caja. </w:t>
      </w:r>
    </w:p>
    <w:p w14:paraId="131A2232" w14:textId="77777777"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 xml:space="preserve"> </w:t>
      </w:r>
    </w:p>
    <w:p w14:paraId="6C9E8378" w14:textId="1F8078EE"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Se asigna una única cuenta de efectivo de mayor para cada cuenta bancaria y se utiliza para registrar todas las transacciones de efectivo para facilitar esta conciliación de libro a banco.</w:t>
      </w:r>
    </w:p>
    <w:p w14:paraId="18269259" w14:textId="77777777"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p>
    <w:p w14:paraId="1AC92EA2" w14:textId="1EAC0ED1" w:rsidR="00A52B6F" w:rsidRPr="00A52B6F" w:rsidRDefault="00A52B6F" w:rsidP="00A52B6F">
      <w:pPr>
        <w:spacing w:after="0" w:line="259" w:lineRule="auto"/>
        <w:ind w:left="346"/>
        <w:rPr>
          <w:rFonts w:ascii="Calibri" w:eastAsia="Calibri" w:hAnsi="Calibri" w:cs="Calibri"/>
          <w:b/>
          <w:bCs/>
          <w:color w:val="000000"/>
          <w:kern w:val="0"/>
          <w:sz w:val="22"/>
          <w:szCs w:val="22"/>
          <w:lang w:val="es-ES"/>
          <w14:ligatures w14:val="none"/>
        </w:rPr>
      </w:pPr>
      <w:r w:rsidRPr="00A52B6F">
        <w:rPr>
          <w:rFonts w:ascii="Calibri" w:eastAsia="Calibri" w:hAnsi="Calibri" w:cs="Calibri"/>
          <w:b/>
          <w:bCs/>
          <w:color w:val="000000"/>
          <w:kern w:val="0"/>
          <w:sz w:val="22"/>
          <w:szCs w:val="22"/>
          <w:lang w:val="es-ES"/>
          <w14:ligatures w14:val="none"/>
        </w:rPr>
        <w:t>Paso 6:  Informe de Efectivo en Tránsito</w:t>
      </w:r>
    </w:p>
    <w:p w14:paraId="05C8B2AB" w14:textId="77777777" w:rsidR="00A52B6F" w:rsidRDefault="00A52B6F" w:rsidP="00A52B6F">
      <w:pPr>
        <w:spacing w:after="0" w:line="259" w:lineRule="auto"/>
        <w:ind w:left="346"/>
        <w:rPr>
          <w:rFonts w:ascii="Calibri" w:eastAsia="Calibri" w:hAnsi="Calibri" w:cs="Calibri"/>
          <w:color w:val="000000"/>
          <w:kern w:val="0"/>
          <w:sz w:val="22"/>
          <w:szCs w:val="22"/>
          <w:lang w:val="es-ES"/>
          <w14:ligatures w14:val="none"/>
        </w:rPr>
      </w:pPr>
    </w:p>
    <w:p w14:paraId="330ECF93" w14:textId="7F8E00FC" w:rsidR="00A52B6F" w:rsidRPr="00A52B6F" w:rsidRDefault="00A52B6F" w:rsidP="00A52B6F">
      <w:pPr>
        <w:spacing w:after="0" w:line="259" w:lineRule="auto"/>
        <w:ind w:left="346"/>
        <w:rPr>
          <w:rFonts w:ascii="Calibri" w:eastAsia="Calibri" w:hAnsi="Calibri" w:cs="Calibri"/>
          <w:color w:val="000000"/>
          <w:kern w:val="0"/>
          <w:sz w:val="22"/>
          <w:szCs w:val="22"/>
          <w:lang w:val="es-ES"/>
          <w14:ligatures w14:val="none"/>
        </w:rPr>
      </w:pPr>
      <w:r w:rsidRPr="00A52B6F">
        <w:rPr>
          <w:rFonts w:ascii="Calibri" w:eastAsia="Calibri" w:hAnsi="Calibri" w:cs="Calibri"/>
          <w:color w:val="000000"/>
          <w:kern w:val="0"/>
          <w:sz w:val="22"/>
          <w:szCs w:val="22"/>
          <w:lang w:val="es-ES"/>
          <w14:ligatures w14:val="none"/>
        </w:rPr>
        <w:t>Todas las partidas no conciliadas del sistema, como cheques, transferencias electrónicas, nóminas y depósitos, aparecerán en el informe de Efectivo en tránsito. A cada cuenta bancaria se le asigna una única cuenta de compensación de tesorería. Todas las partidas no conciliadas que aparecen en esta cuenta de compensación de efectivo son temporales, ya que dichas partidas se compensarán una vez que las transacciones se hayan reflejado en los extractos bancarios y se hayan conciliado.</w:t>
      </w:r>
    </w:p>
    <w:p w14:paraId="5A3E0242" w14:textId="77777777" w:rsidR="00A52B6F" w:rsidRPr="00A52B6F" w:rsidRDefault="00A52B6F" w:rsidP="00A52B6F">
      <w:pPr>
        <w:spacing w:after="0" w:line="259" w:lineRule="auto"/>
        <w:rPr>
          <w:rFonts w:ascii="Calibri" w:eastAsia="Calibri" w:hAnsi="Calibri" w:cs="Calibri"/>
          <w:color w:val="000000"/>
          <w:kern w:val="0"/>
          <w:sz w:val="22"/>
          <w:szCs w:val="22"/>
          <w:lang w:val="es-ES"/>
          <w14:ligatures w14:val="none"/>
        </w:rPr>
      </w:pPr>
    </w:p>
    <w:p w14:paraId="17E97F3C" w14:textId="77777777" w:rsidR="00A52B6F" w:rsidRPr="00A52B6F" w:rsidRDefault="00A52B6F" w:rsidP="00A52B6F">
      <w:pPr>
        <w:spacing w:after="0" w:line="259" w:lineRule="auto"/>
        <w:rPr>
          <w:rFonts w:ascii="Calibri" w:eastAsia="Calibri" w:hAnsi="Calibri" w:cs="Calibri"/>
          <w:color w:val="000000"/>
          <w:kern w:val="0"/>
          <w:sz w:val="22"/>
          <w:szCs w:val="22"/>
          <w:lang w:val="es-ES"/>
          <w14:ligatures w14:val="none"/>
        </w:rPr>
      </w:pPr>
    </w:p>
    <w:p w14:paraId="73C2F1CB" w14:textId="77777777" w:rsidR="00A52B6F" w:rsidRPr="00A52B6F" w:rsidRDefault="00A52B6F" w:rsidP="00A52B6F">
      <w:pPr>
        <w:spacing w:after="0" w:line="259" w:lineRule="auto"/>
        <w:rPr>
          <w:rFonts w:ascii="Calibri" w:eastAsia="Calibri" w:hAnsi="Calibri" w:cs="Calibri"/>
          <w:color w:val="000000"/>
          <w:kern w:val="0"/>
          <w:sz w:val="22"/>
          <w:szCs w:val="22"/>
          <w:lang w:val="es-ES"/>
          <w14:ligatures w14:val="none"/>
        </w:rPr>
      </w:pPr>
    </w:p>
    <w:p w14:paraId="5643D9DA" w14:textId="77777777" w:rsidR="00A52B6F" w:rsidRPr="009E3A22" w:rsidRDefault="00A52B6F" w:rsidP="00A52B6F">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b/>
          <w:bCs/>
          <w:i/>
          <w:iCs/>
          <w:color w:val="212121"/>
          <w:kern w:val="0"/>
          <w:sz w:val="22"/>
          <w:szCs w:val="22"/>
          <w14:ligatures w14:val="none"/>
        </w:rPr>
        <w:t>Disclaimer:</w:t>
      </w:r>
      <w:r w:rsidRPr="009E3A22">
        <w:rPr>
          <w:rFonts w:ascii="Calibri" w:eastAsia="Times New Roman" w:hAnsi="Calibri" w:cs="Times New Roman"/>
          <w:i/>
          <w:iCs/>
          <w:color w:val="212121"/>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040954A5" w14:textId="77777777" w:rsidR="00A52B6F" w:rsidRPr="009E3A22" w:rsidRDefault="00A52B6F" w:rsidP="00A52B6F">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i/>
          <w:iCs/>
          <w:color w:val="212121"/>
          <w:kern w:val="0"/>
          <w:sz w:val="22"/>
          <w:szCs w:val="22"/>
          <w14:ligatures w14:val="none"/>
        </w:rPr>
        <w:t> </w:t>
      </w:r>
    </w:p>
    <w:p w14:paraId="75173D3A" w14:textId="2F44AC91" w:rsidR="00A52B6F" w:rsidRPr="00A52B6F" w:rsidRDefault="00A52B6F" w:rsidP="00A52B6F">
      <w:pPr>
        <w:spacing w:after="0" w:line="259" w:lineRule="auto"/>
        <w:rPr>
          <w:rFonts w:ascii="Calibri" w:eastAsia="Calibri" w:hAnsi="Calibri" w:cs="Calibri"/>
          <w:color w:val="000000"/>
          <w:kern w:val="0"/>
          <w:sz w:val="22"/>
          <w:szCs w:val="22"/>
          <w:lang w:val="es-ES_tradnl"/>
          <w14:ligatures w14:val="none"/>
        </w:rPr>
      </w:pPr>
      <w:r w:rsidRPr="009E3A22">
        <w:rPr>
          <w:rFonts w:ascii="Calibri" w:eastAsia="Times New Roman" w:hAnsi="Calibri" w:cs="Times New Roman"/>
          <w:b/>
          <w:bCs/>
          <w:i/>
          <w:iCs/>
          <w:color w:val="212121"/>
          <w:kern w:val="0"/>
          <w:sz w:val="22"/>
          <w:szCs w:val="22"/>
          <w:shd w:val="clear" w:color="auto" w:fill="FFFFFF"/>
          <w:lang w:val="es-ES_tradnl"/>
          <w14:ligatures w14:val="none"/>
        </w:rPr>
        <w:t>Descargo de responsabilidad:</w:t>
      </w:r>
      <w:r w:rsidRPr="009E3A22">
        <w:rPr>
          <w:rFonts w:ascii="Calibri" w:eastAsia="Times New Roman" w:hAnsi="Calibri" w:cs="Times New Roman"/>
          <w:i/>
          <w:iCs/>
          <w:color w:val="212121"/>
          <w:kern w:val="0"/>
          <w:sz w:val="22"/>
          <w:szCs w:val="22"/>
          <w:shd w:val="clear" w:color="auto" w:fill="FFFFFF"/>
          <w:lang w:val="es-ES_tradnl"/>
          <w14:ligatures w14:val="none"/>
        </w:rPr>
        <w:t xml:space="preserve"> esta es una traducción de un documento original en inglés. </w:t>
      </w:r>
      <w:r w:rsidRPr="009E3A22">
        <w:rPr>
          <w:rFonts w:ascii="Calibri" w:eastAsia="Times New Roman" w:hAnsi="Calibri" w:cs="Times New Roman"/>
          <w:i/>
          <w:iCs/>
          <w:color w:val="212121"/>
          <w:kern w:val="0"/>
          <w:sz w:val="22"/>
          <w:szCs w:val="22"/>
          <w:shd w:val="clear" w:color="auto" w:fill="FFFFFF"/>
          <w:lang w:val="es-UY"/>
          <w14:ligatures w14:val="none"/>
        </w:rPr>
        <w:t>En caso de discrepancias entre esta traducción y el documento original en inglés, prevalecerá el documento original en inglés.</w:t>
      </w:r>
    </w:p>
    <w:p w14:paraId="0DE1FB47" w14:textId="77777777" w:rsidR="00DA504D" w:rsidRDefault="00DA504D"/>
    <w:sectPr w:rsidR="00DA504D" w:rsidSect="00A52B6F">
      <w:headerReference w:type="default" r:id="rId7"/>
      <w:footerReference w:type="default" r:id="rId8"/>
      <w:pgSz w:w="11906" w:h="16838"/>
      <w:pgMar w:top="1440" w:right="841"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718EE" w14:textId="77777777" w:rsidR="0081678B" w:rsidRDefault="0081678B" w:rsidP="00A52B6F">
      <w:pPr>
        <w:spacing w:after="0" w:line="240" w:lineRule="auto"/>
      </w:pPr>
      <w:r>
        <w:separator/>
      </w:r>
    </w:p>
  </w:endnote>
  <w:endnote w:type="continuationSeparator" w:id="0">
    <w:p w14:paraId="390A594E" w14:textId="77777777" w:rsidR="0081678B" w:rsidRDefault="0081678B" w:rsidP="00A52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B915" w14:textId="77777777" w:rsidR="00A52B6F" w:rsidRPr="003D1724" w:rsidRDefault="00A52B6F" w:rsidP="00166F7F">
    <w:pPr>
      <w:pStyle w:val="Footer"/>
      <w:ind w:left="0" w:firstLine="0"/>
      <w:rPr>
        <w:sz w:val="22"/>
      </w:rPr>
    </w:pPr>
    <w:r>
      <w:rPr>
        <w:sz w:val="22"/>
      </w:rPr>
      <w:t>Página</w:t>
    </w:r>
    <w:r>
      <w:t xml:space="preserve"> </w:t>
    </w:r>
    <w:r w:rsidRPr="003D1724">
      <w:rPr>
        <w:b/>
        <w:sz w:val="22"/>
      </w:rPr>
      <w:fldChar w:fldCharType="begin"/>
    </w:r>
    <w:r w:rsidRPr="003D1724">
      <w:rPr>
        <w:b/>
        <w:sz w:val="22"/>
      </w:rPr>
      <w:instrText xml:space="preserve"> PAGE  \* Arabic  \* MERGEFORMAT </w:instrText>
    </w:r>
    <w:r w:rsidRPr="003D1724">
      <w:rPr>
        <w:b/>
        <w:sz w:val="22"/>
      </w:rPr>
      <w:fldChar w:fldCharType="separate"/>
    </w:r>
    <w:r>
      <w:rPr>
        <w:b/>
        <w:noProof/>
        <w:sz w:val="22"/>
      </w:rPr>
      <w:t>1</w:t>
    </w:r>
    <w:r w:rsidRPr="003D1724">
      <w:rPr>
        <w:b/>
        <w:sz w:val="22"/>
      </w:rPr>
      <w:fldChar w:fldCharType="end"/>
    </w:r>
    <w:r>
      <w:t xml:space="preserve"> </w:t>
    </w:r>
    <w:r>
      <w:rPr>
        <w:sz w:val="22"/>
      </w:rPr>
      <w:t>de</w:t>
    </w:r>
    <w:r>
      <w:t xml:space="preserve"> </w:t>
    </w:r>
    <w:r w:rsidRPr="003D1724">
      <w:rPr>
        <w:b/>
        <w:sz w:val="22"/>
      </w:rPr>
      <w:fldChar w:fldCharType="begin"/>
    </w:r>
    <w:r w:rsidRPr="003D1724">
      <w:rPr>
        <w:b/>
        <w:sz w:val="22"/>
      </w:rPr>
      <w:instrText xml:space="preserve"> NUMPAGES  \* Arabic  \* MERGEFORMAT </w:instrText>
    </w:r>
    <w:r w:rsidRPr="003D1724">
      <w:rPr>
        <w:b/>
        <w:sz w:val="22"/>
      </w:rPr>
      <w:fldChar w:fldCharType="separate"/>
    </w:r>
    <w:r>
      <w:rPr>
        <w:b/>
        <w:noProof/>
        <w:sz w:val="22"/>
      </w:rPr>
      <w:t>2</w:t>
    </w:r>
    <w:r w:rsidRPr="003D1724">
      <w:rPr>
        <w:b/>
        <w:sz w:val="22"/>
      </w:rPr>
      <w:fldChar w:fldCharType="end"/>
    </w:r>
    <w:r>
      <w:ptab w:relativeTo="margin" w:alignment="center" w:leader="none"/>
    </w:r>
    <w:r>
      <w:rPr>
        <w:sz w:val="22"/>
      </w:rPr>
      <w:t xml:space="preserve">Fecha de entrada en vigor: </w:t>
    </w:r>
    <w:r w:rsidRPr="00E82982">
      <w:rPr>
        <w:sz w:val="22"/>
      </w:rPr>
      <w:t xml:space="preserve">01/01/2012 </w:t>
    </w:r>
    <w:r>
      <w:ptab w:relativeTo="margin" w:alignment="right" w:leader="none"/>
    </w:r>
    <w:r>
      <w:rPr>
        <w:sz w:val="22"/>
      </w:rPr>
      <w:t xml:space="preserve">Versión #: </w:t>
    </w:r>
    <w:sdt>
      <w:sdtPr>
        <w:rPr>
          <w:sz w:val="22"/>
        </w:rPr>
        <w:alias w:val="POPPRefItemVersion"/>
        <w:tag w:val="UNDP_POPP_REFITEM_VERSION"/>
        <w:id w:val="49530418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022B437-F050-40B3-A661-6D79A949CE8E}"/>
        <w:text/>
      </w:sdtPr>
      <w:sdtContent>
        <w:r>
          <w:rPr>
            <w:sz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1963D" w14:textId="77777777" w:rsidR="0081678B" w:rsidRDefault="0081678B" w:rsidP="00A52B6F">
      <w:pPr>
        <w:spacing w:after="0" w:line="240" w:lineRule="auto"/>
      </w:pPr>
      <w:r>
        <w:separator/>
      </w:r>
    </w:p>
  </w:footnote>
  <w:footnote w:type="continuationSeparator" w:id="0">
    <w:p w14:paraId="2D1F8FDA" w14:textId="77777777" w:rsidR="0081678B" w:rsidRDefault="0081678B" w:rsidP="00A52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D54DA" w14:textId="62B2E073" w:rsidR="00A52B6F" w:rsidRDefault="00A52B6F" w:rsidP="00166F7F">
    <w:pPr>
      <w:pStyle w:val="Header"/>
      <w:jc w:val="right"/>
    </w:pPr>
    <w:r>
      <w:rPr>
        <w:noProof/>
      </w:rPr>
      <w:drawing>
        <wp:anchor distT="0" distB="0" distL="114300" distR="114300" simplePos="0" relativeHeight="251659264" behindDoc="0" locked="0" layoutInCell="1" allowOverlap="1" wp14:anchorId="2739BCCE" wp14:editId="514B615E">
          <wp:simplePos x="0" y="0"/>
          <wp:positionH relativeFrom="margin">
            <wp:align>right</wp:align>
          </wp:positionH>
          <wp:positionV relativeFrom="paragraph">
            <wp:posOffset>-99060</wp:posOffset>
          </wp:positionV>
          <wp:extent cx="283210" cy="553085"/>
          <wp:effectExtent l="0" t="0" r="2540" b="0"/>
          <wp:wrapTopAndBottom/>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63FD00CA" w14:textId="77777777" w:rsidR="00A52B6F" w:rsidRDefault="00A52B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43013"/>
    <w:multiLevelType w:val="hybridMultilevel"/>
    <w:tmpl w:val="0F14B468"/>
    <w:lvl w:ilvl="0" w:tplc="8814CCEE">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4CDB26">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5C2F1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AA141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B8D3F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D0557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622C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EAD5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C652D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3E56943"/>
    <w:multiLevelType w:val="hybridMultilevel"/>
    <w:tmpl w:val="00785E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6CE0766"/>
    <w:multiLevelType w:val="hybridMultilevel"/>
    <w:tmpl w:val="FCB6734E"/>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num w:numId="1" w16cid:durableId="1142045149">
    <w:abstractNumId w:val="0"/>
  </w:num>
  <w:num w:numId="2" w16cid:durableId="1436245582">
    <w:abstractNumId w:val="1"/>
  </w:num>
  <w:num w:numId="3" w16cid:durableId="189337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B6F"/>
    <w:rsid w:val="000510E6"/>
    <w:rsid w:val="002F1739"/>
    <w:rsid w:val="0081678B"/>
    <w:rsid w:val="00886D30"/>
    <w:rsid w:val="00A52B6F"/>
    <w:rsid w:val="00BB0ABB"/>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9135F"/>
  <w15:chartTrackingRefBased/>
  <w15:docId w15:val="{6E763E30-68F1-4282-91BD-E97011E0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B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B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B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B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B6F"/>
    <w:rPr>
      <w:rFonts w:eastAsiaTheme="majorEastAsia" w:cstheme="majorBidi"/>
      <w:color w:val="272727" w:themeColor="text1" w:themeTint="D8"/>
    </w:rPr>
  </w:style>
  <w:style w:type="paragraph" w:styleId="Title">
    <w:name w:val="Title"/>
    <w:basedOn w:val="Normal"/>
    <w:next w:val="Normal"/>
    <w:link w:val="TitleChar"/>
    <w:uiPriority w:val="10"/>
    <w:qFormat/>
    <w:rsid w:val="00A52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B6F"/>
    <w:pPr>
      <w:spacing w:before="160"/>
      <w:jc w:val="center"/>
    </w:pPr>
    <w:rPr>
      <w:i/>
      <w:iCs/>
      <w:color w:val="404040" w:themeColor="text1" w:themeTint="BF"/>
    </w:rPr>
  </w:style>
  <w:style w:type="character" w:customStyle="1" w:styleId="QuoteChar">
    <w:name w:val="Quote Char"/>
    <w:basedOn w:val="DefaultParagraphFont"/>
    <w:link w:val="Quote"/>
    <w:uiPriority w:val="29"/>
    <w:rsid w:val="00A52B6F"/>
    <w:rPr>
      <w:i/>
      <w:iCs/>
      <w:color w:val="404040" w:themeColor="text1" w:themeTint="BF"/>
    </w:rPr>
  </w:style>
  <w:style w:type="paragraph" w:styleId="ListParagraph">
    <w:name w:val="List Paragraph"/>
    <w:basedOn w:val="Normal"/>
    <w:uiPriority w:val="34"/>
    <w:qFormat/>
    <w:rsid w:val="00A52B6F"/>
    <w:pPr>
      <w:ind w:left="720"/>
      <w:contextualSpacing/>
    </w:pPr>
  </w:style>
  <w:style w:type="character" w:styleId="IntenseEmphasis">
    <w:name w:val="Intense Emphasis"/>
    <w:basedOn w:val="DefaultParagraphFont"/>
    <w:uiPriority w:val="21"/>
    <w:qFormat/>
    <w:rsid w:val="00A52B6F"/>
    <w:rPr>
      <w:i/>
      <w:iCs/>
      <w:color w:val="0F4761" w:themeColor="accent1" w:themeShade="BF"/>
    </w:rPr>
  </w:style>
  <w:style w:type="paragraph" w:styleId="IntenseQuote">
    <w:name w:val="Intense Quote"/>
    <w:basedOn w:val="Normal"/>
    <w:next w:val="Normal"/>
    <w:link w:val="IntenseQuoteChar"/>
    <w:uiPriority w:val="30"/>
    <w:qFormat/>
    <w:rsid w:val="00A52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B6F"/>
    <w:rPr>
      <w:i/>
      <w:iCs/>
      <w:color w:val="0F4761" w:themeColor="accent1" w:themeShade="BF"/>
    </w:rPr>
  </w:style>
  <w:style w:type="character" w:styleId="IntenseReference">
    <w:name w:val="Intense Reference"/>
    <w:basedOn w:val="DefaultParagraphFont"/>
    <w:uiPriority w:val="32"/>
    <w:qFormat/>
    <w:rsid w:val="00A52B6F"/>
    <w:rPr>
      <w:b/>
      <w:bCs/>
      <w:smallCaps/>
      <w:color w:val="0F4761" w:themeColor="accent1" w:themeShade="BF"/>
      <w:spacing w:val="5"/>
    </w:rPr>
  </w:style>
  <w:style w:type="paragraph" w:styleId="Header">
    <w:name w:val="header"/>
    <w:basedOn w:val="Normal"/>
    <w:link w:val="HeaderChar"/>
    <w:uiPriority w:val="99"/>
    <w:unhideWhenUsed/>
    <w:rsid w:val="00A52B6F"/>
    <w:pPr>
      <w:tabs>
        <w:tab w:val="center" w:pos="4680"/>
        <w:tab w:val="right" w:pos="9360"/>
      </w:tabs>
      <w:spacing w:after="0" w:line="240" w:lineRule="auto"/>
      <w:ind w:left="716" w:hanging="370"/>
      <w:jc w:val="both"/>
    </w:pPr>
    <w:rPr>
      <w:rFonts w:ascii="Calibri" w:eastAsia="Calibri" w:hAnsi="Calibri" w:cs="Calibri"/>
      <w:color w:val="000000"/>
      <w:kern w:val="0"/>
      <w:sz w:val="20"/>
      <w:szCs w:val="22"/>
      <w:lang w:val="es-ES"/>
      <w14:ligatures w14:val="none"/>
    </w:rPr>
  </w:style>
  <w:style w:type="character" w:customStyle="1" w:styleId="HeaderChar">
    <w:name w:val="Header Char"/>
    <w:basedOn w:val="DefaultParagraphFont"/>
    <w:link w:val="Header"/>
    <w:uiPriority w:val="99"/>
    <w:rsid w:val="00A52B6F"/>
    <w:rPr>
      <w:rFonts w:ascii="Calibri" w:eastAsia="Calibri" w:hAnsi="Calibri" w:cs="Calibri"/>
      <w:color w:val="000000"/>
      <w:kern w:val="0"/>
      <w:sz w:val="20"/>
      <w:szCs w:val="22"/>
      <w:lang w:val="es-ES"/>
      <w14:ligatures w14:val="none"/>
    </w:rPr>
  </w:style>
  <w:style w:type="paragraph" w:styleId="Footer">
    <w:name w:val="footer"/>
    <w:basedOn w:val="Normal"/>
    <w:link w:val="FooterChar"/>
    <w:uiPriority w:val="99"/>
    <w:unhideWhenUsed/>
    <w:rsid w:val="00A52B6F"/>
    <w:pPr>
      <w:tabs>
        <w:tab w:val="center" w:pos="4680"/>
        <w:tab w:val="right" w:pos="9360"/>
      </w:tabs>
      <w:spacing w:after="0" w:line="240" w:lineRule="auto"/>
      <w:ind w:left="716" w:hanging="370"/>
      <w:jc w:val="both"/>
    </w:pPr>
    <w:rPr>
      <w:rFonts w:ascii="Calibri" w:eastAsia="Calibri" w:hAnsi="Calibri" w:cs="Calibri"/>
      <w:color w:val="000000"/>
      <w:kern w:val="0"/>
      <w:sz w:val="20"/>
      <w:szCs w:val="22"/>
      <w:lang w:val="es-ES"/>
      <w14:ligatures w14:val="none"/>
    </w:rPr>
  </w:style>
  <w:style w:type="character" w:customStyle="1" w:styleId="FooterChar">
    <w:name w:val="Footer Char"/>
    <w:basedOn w:val="DefaultParagraphFont"/>
    <w:link w:val="Footer"/>
    <w:uiPriority w:val="99"/>
    <w:rsid w:val="00A52B6F"/>
    <w:rPr>
      <w:rFonts w:ascii="Calibri" w:eastAsia="Calibri" w:hAnsi="Calibri" w:cs="Calibri"/>
      <w:color w:val="000000"/>
      <w:kern w:val="0"/>
      <w:sz w:val="20"/>
      <w:szCs w:val="22"/>
      <w:lang w:val="es-ES"/>
      <w14:ligatures w14:val="none"/>
    </w:rPr>
  </w:style>
  <w:style w:type="paragraph" w:styleId="Revision">
    <w:name w:val="Revision"/>
    <w:hidden/>
    <w:uiPriority w:val="99"/>
    <w:semiHidden/>
    <w:rsid w:val="00A52B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2026-06-11T13:51:00Z</dcterms:created>
  <dcterms:modified xsi:type="dcterms:W3CDTF">2026-06-11T13:54:00Z</dcterms:modified>
</cp:coreProperties>
</file>