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697A8" w14:textId="243B4515" w:rsidR="00362A2C" w:rsidRPr="003D1724" w:rsidRDefault="00CE1689" w:rsidP="00D37CEA">
      <w:pPr>
        <w:spacing w:after="191" w:line="259" w:lineRule="auto"/>
        <w:ind w:left="0" w:firstLine="0"/>
        <w:jc w:val="left"/>
        <w:rPr>
          <w:lang w:val="en-GB"/>
        </w:rPr>
      </w:pPr>
      <w:r w:rsidRPr="003D1724">
        <w:rPr>
          <w:b/>
          <w:sz w:val="28"/>
          <w:lang w:val="en-GB"/>
        </w:rPr>
        <w:t xml:space="preserve">Bank Account Reconciliation </w:t>
      </w:r>
      <w:r w:rsidRPr="003D1724">
        <w:rPr>
          <w:sz w:val="22"/>
          <w:lang w:val="en-GB"/>
        </w:rPr>
        <w:t xml:space="preserve"> </w:t>
      </w:r>
    </w:p>
    <w:p w14:paraId="64CC8BF9" w14:textId="1BCBA816" w:rsidR="004F37C2" w:rsidRPr="003F7AE4" w:rsidRDefault="004D6083" w:rsidP="00383DD0">
      <w:pPr>
        <w:numPr>
          <w:ilvl w:val="0"/>
          <w:numId w:val="1"/>
        </w:numPr>
        <w:ind w:left="360" w:hanging="360"/>
        <w:rPr>
          <w:rFonts w:asciiTheme="minorHAnsi" w:hAnsiTheme="minorHAnsi" w:cstheme="minorHAnsi"/>
          <w:sz w:val="22"/>
          <w:lang w:val="en-GB"/>
        </w:rPr>
      </w:pPr>
      <w:r w:rsidRPr="003F7AE4">
        <w:rPr>
          <w:rFonts w:asciiTheme="minorHAnsi" w:hAnsiTheme="minorHAnsi" w:cstheme="minorHAnsi"/>
          <w:sz w:val="22"/>
          <w:lang w:val="en-GB"/>
        </w:rPr>
        <w:t xml:space="preserve">The Bank Reconciliation process enables the verification of entries on the bank statement by reconciling that information with external transactions and also system generated transactions in Payables, Receivables, Payroll and General Ledger. During </w:t>
      </w:r>
      <w:r w:rsidR="00383DD0" w:rsidRPr="003F7AE4">
        <w:rPr>
          <w:rFonts w:asciiTheme="minorHAnsi" w:hAnsiTheme="minorHAnsi" w:cstheme="minorHAnsi"/>
          <w:sz w:val="22"/>
          <w:lang w:val="en-GB"/>
        </w:rPr>
        <w:t xml:space="preserve">the </w:t>
      </w:r>
      <w:r w:rsidRPr="003F7AE4">
        <w:rPr>
          <w:rFonts w:asciiTheme="minorHAnsi" w:hAnsiTheme="minorHAnsi" w:cstheme="minorHAnsi"/>
          <w:sz w:val="22"/>
          <w:lang w:val="en-GB"/>
        </w:rPr>
        <w:t>bank reconciliation process external transactions can be created for bank originated entries such as bank charges and interest.</w:t>
      </w:r>
    </w:p>
    <w:p w14:paraId="4EA82D89" w14:textId="77777777" w:rsidR="004F37C2" w:rsidRPr="003F7AE4" w:rsidRDefault="004F37C2">
      <w:pPr>
        <w:ind w:left="360" w:firstLine="0"/>
        <w:rPr>
          <w:rFonts w:asciiTheme="minorHAnsi" w:hAnsiTheme="minorHAnsi" w:cstheme="minorHAnsi"/>
          <w:sz w:val="22"/>
          <w:lang w:val="en-GB"/>
        </w:rPr>
      </w:pPr>
    </w:p>
    <w:p w14:paraId="7E3697AC" w14:textId="306B2312" w:rsidR="00362A2C" w:rsidRPr="003F7AE4" w:rsidRDefault="00CE1689">
      <w:pPr>
        <w:numPr>
          <w:ilvl w:val="0"/>
          <w:numId w:val="1"/>
        </w:numPr>
        <w:ind w:left="360" w:hanging="360"/>
        <w:rPr>
          <w:rFonts w:asciiTheme="minorHAnsi" w:hAnsiTheme="minorHAnsi" w:cstheme="minorHAnsi"/>
          <w:sz w:val="22"/>
          <w:lang w:val="en-GB"/>
        </w:rPr>
      </w:pPr>
      <w:r w:rsidRPr="003F7AE4">
        <w:rPr>
          <w:rFonts w:asciiTheme="minorHAnsi" w:hAnsiTheme="minorHAnsi" w:cstheme="minorHAnsi"/>
          <w:sz w:val="22"/>
          <w:lang w:val="en-GB"/>
        </w:rPr>
        <w:t xml:space="preserve">The Bank reconciliation process in </w:t>
      </w:r>
      <w:r w:rsidR="002264CC" w:rsidRPr="003F7AE4">
        <w:rPr>
          <w:rFonts w:asciiTheme="minorHAnsi" w:hAnsiTheme="minorHAnsi" w:cstheme="minorHAnsi"/>
          <w:sz w:val="22"/>
          <w:lang w:val="en-GB"/>
        </w:rPr>
        <w:t>Quantum</w:t>
      </w:r>
      <w:r w:rsidRPr="003F7AE4">
        <w:rPr>
          <w:rFonts w:asciiTheme="minorHAnsi" w:hAnsiTheme="minorHAnsi" w:cstheme="minorHAnsi"/>
          <w:sz w:val="22"/>
          <w:lang w:val="en-GB"/>
        </w:rPr>
        <w:t xml:space="preserve"> </w:t>
      </w:r>
      <w:r w:rsidR="00153DA4" w:rsidRPr="003F7AE4">
        <w:rPr>
          <w:rFonts w:asciiTheme="minorHAnsi" w:hAnsiTheme="minorHAnsi" w:cstheme="minorHAnsi"/>
          <w:sz w:val="22"/>
          <w:lang w:val="en-GB"/>
        </w:rPr>
        <w:t>involves the following steps:-</w:t>
      </w:r>
      <w:r w:rsidRPr="003F7AE4">
        <w:rPr>
          <w:rFonts w:asciiTheme="minorHAnsi" w:hAnsiTheme="minorHAnsi" w:cstheme="minorHAnsi"/>
          <w:sz w:val="22"/>
          <w:lang w:val="en-GB"/>
        </w:rPr>
        <w:t xml:space="preserve"> </w:t>
      </w:r>
    </w:p>
    <w:p w14:paraId="7E3697AE" w14:textId="178DEE51" w:rsidR="00362A2C" w:rsidRPr="003F7AE4" w:rsidRDefault="00CE1689" w:rsidP="003F7AE4">
      <w:pPr>
        <w:spacing w:after="0" w:line="259" w:lineRule="auto"/>
        <w:ind w:left="355" w:hanging="10"/>
        <w:rPr>
          <w:rFonts w:asciiTheme="minorHAnsi" w:hAnsiTheme="minorHAnsi" w:cstheme="minorHAnsi"/>
          <w:sz w:val="22"/>
          <w:lang w:val="en-GB"/>
        </w:rPr>
      </w:pPr>
      <w:r w:rsidRPr="003F7AE4">
        <w:rPr>
          <w:rFonts w:asciiTheme="minorHAnsi" w:hAnsiTheme="minorHAnsi" w:cstheme="minorHAnsi"/>
          <w:b/>
          <w:sz w:val="22"/>
          <w:lang w:val="en-GB"/>
        </w:rPr>
        <w:t xml:space="preserve">Step </w:t>
      </w:r>
      <w:r w:rsidR="00CE68DE" w:rsidRPr="003F7AE4">
        <w:rPr>
          <w:rFonts w:asciiTheme="minorHAnsi" w:hAnsiTheme="minorHAnsi" w:cstheme="minorHAnsi"/>
          <w:b/>
          <w:sz w:val="22"/>
          <w:lang w:val="en-GB"/>
        </w:rPr>
        <w:t>1</w:t>
      </w:r>
      <w:r w:rsidRPr="003F7AE4">
        <w:rPr>
          <w:rFonts w:asciiTheme="minorHAnsi" w:hAnsiTheme="minorHAnsi" w:cstheme="minorHAnsi"/>
          <w:b/>
          <w:sz w:val="22"/>
          <w:lang w:val="en-GB"/>
        </w:rPr>
        <w:t xml:space="preserve">: Reconciliation  </w:t>
      </w:r>
    </w:p>
    <w:p w14:paraId="7E3697AF" w14:textId="408213AD" w:rsidR="00362A2C" w:rsidRPr="003F7AE4" w:rsidRDefault="00CE1689" w:rsidP="00383DD0">
      <w:pPr>
        <w:ind w:left="346" w:firstLine="0"/>
        <w:rPr>
          <w:rFonts w:asciiTheme="minorHAnsi" w:hAnsiTheme="minorHAnsi" w:cstheme="minorHAnsi"/>
          <w:sz w:val="22"/>
          <w:lang w:val="en-GB"/>
        </w:rPr>
      </w:pPr>
      <w:r w:rsidRPr="003F7AE4">
        <w:rPr>
          <w:rFonts w:asciiTheme="minorHAnsi" w:hAnsiTheme="minorHAnsi" w:cstheme="minorHAnsi"/>
          <w:sz w:val="22"/>
          <w:lang w:val="en-GB"/>
        </w:rPr>
        <w:t xml:space="preserve">Matching of transactions in </w:t>
      </w:r>
      <w:r w:rsidR="002264CC" w:rsidRPr="003F7AE4">
        <w:rPr>
          <w:rFonts w:asciiTheme="minorHAnsi" w:hAnsiTheme="minorHAnsi" w:cstheme="minorHAnsi"/>
          <w:sz w:val="22"/>
          <w:lang w:val="en-GB"/>
        </w:rPr>
        <w:t>Quantum</w:t>
      </w:r>
      <w:r w:rsidRPr="003F7AE4">
        <w:rPr>
          <w:rFonts w:asciiTheme="minorHAnsi" w:hAnsiTheme="minorHAnsi" w:cstheme="minorHAnsi"/>
          <w:sz w:val="22"/>
          <w:lang w:val="en-GB"/>
        </w:rPr>
        <w:t xml:space="preserve"> against those in the bank statements is primarily done in </w:t>
      </w:r>
      <w:r w:rsidR="002264CC" w:rsidRPr="003F7AE4">
        <w:rPr>
          <w:rFonts w:asciiTheme="minorHAnsi" w:hAnsiTheme="minorHAnsi" w:cstheme="minorHAnsi"/>
          <w:sz w:val="22"/>
          <w:lang w:val="en-GB"/>
        </w:rPr>
        <w:t>2</w:t>
      </w:r>
      <w:r w:rsidRPr="003F7AE4">
        <w:rPr>
          <w:rFonts w:asciiTheme="minorHAnsi" w:hAnsiTheme="minorHAnsi" w:cstheme="minorHAnsi"/>
          <w:sz w:val="22"/>
          <w:lang w:val="en-GB"/>
        </w:rPr>
        <w:t xml:space="preserve"> places:  </w:t>
      </w:r>
    </w:p>
    <w:p w14:paraId="2E87DA61" w14:textId="149D215C" w:rsidR="004C1795" w:rsidRPr="003F7AE4" w:rsidRDefault="00CE1689" w:rsidP="003F7AE4">
      <w:pPr>
        <w:pStyle w:val="ListParagraph"/>
        <w:numPr>
          <w:ilvl w:val="0"/>
          <w:numId w:val="6"/>
        </w:numPr>
        <w:spacing w:after="35"/>
        <w:rPr>
          <w:rFonts w:asciiTheme="minorHAnsi" w:hAnsiTheme="minorHAnsi" w:cstheme="minorHAnsi"/>
          <w:sz w:val="22"/>
          <w:lang w:val="en-GB"/>
        </w:rPr>
      </w:pPr>
      <w:r w:rsidRPr="003F7AE4">
        <w:rPr>
          <w:rFonts w:asciiTheme="minorHAnsi" w:hAnsiTheme="minorHAnsi" w:cstheme="minorHAnsi"/>
          <w:b/>
          <w:i/>
          <w:sz w:val="22"/>
          <w:lang w:val="en-GB"/>
        </w:rPr>
        <w:t>Manual reconciliation</w:t>
      </w:r>
      <w:r w:rsidRPr="003F7AE4">
        <w:rPr>
          <w:rFonts w:asciiTheme="minorHAnsi" w:hAnsiTheme="minorHAnsi" w:cstheme="minorHAnsi"/>
          <w:sz w:val="22"/>
          <w:lang w:val="en-GB"/>
        </w:rPr>
        <w:t xml:space="preserve"> page, </w:t>
      </w:r>
      <w:r w:rsidR="004C1795" w:rsidRPr="003F7AE4">
        <w:rPr>
          <w:rFonts w:asciiTheme="minorHAnsi" w:hAnsiTheme="minorHAnsi" w:cstheme="minorHAnsi"/>
          <w:sz w:val="22"/>
          <w:lang w:val="en-GB"/>
        </w:rPr>
        <w:t>requires a manual match of bank statement details with subledger transactions or GL journals. The manual reconciliation method can also be used to reconcile any bank statement details which could not be reconciled automatically.</w:t>
      </w:r>
    </w:p>
    <w:p w14:paraId="7E3697B1" w14:textId="7910F1C5" w:rsidR="00362A2C" w:rsidRPr="003F7AE4" w:rsidRDefault="1258755A" w:rsidP="003F7AE4">
      <w:pPr>
        <w:pStyle w:val="ListParagraph"/>
        <w:numPr>
          <w:ilvl w:val="0"/>
          <w:numId w:val="6"/>
        </w:numPr>
        <w:spacing w:after="35"/>
        <w:rPr>
          <w:rFonts w:asciiTheme="minorHAnsi" w:hAnsiTheme="minorHAnsi" w:cstheme="minorBidi"/>
          <w:sz w:val="22"/>
          <w:lang w:val="en-GB"/>
        </w:rPr>
      </w:pPr>
      <w:r w:rsidRPr="003F7AE4">
        <w:rPr>
          <w:rFonts w:asciiTheme="minorHAnsi" w:hAnsiTheme="minorHAnsi" w:cstheme="minorBidi"/>
          <w:b/>
          <w:bCs/>
          <w:i/>
          <w:iCs/>
          <w:sz w:val="22"/>
          <w:lang w:val="en-GB"/>
        </w:rPr>
        <w:t>Automatic reconciliation</w:t>
      </w:r>
      <w:r w:rsidRPr="003F7AE4">
        <w:rPr>
          <w:rFonts w:asciiTheme="minorHAnsi" w:hAnsiTheme="minorHAnsi" w:cstheme="minorBidi"/>
          <w:sz w:val="22"/>
          <w:lang w:val="en-GB"/>
        </w:rPr>
        <w:t xml:space="preserve">, a centralized process that auto-matches Quantum transactions against the bank statements loaded into Quantum via </w:t>
      </w:r>
      <w:r w:rsidR="007A5EE2">
        <w:rPr>
          <w:rFonts w:asciiTheme="minorHAnsi" w:hAnsiTheme="minorHAnsi" w:cstheme="minorBidi"/>
          <w:sz w:val="22"/>
          <w:lang w:val="en-GB"/>
        </w:rPr>
        <w:t>Treasury Management System (TMS) payment hub</w:t>
      </w:r>
      <w:r w:rsidRPr="1258755A">
        <w:rPr>
          <w:rFonts w:asciiTheme="minorHAnsi" w:hAnsiTheme="minorHAnsi" w:cstheme="minorBidi"/>
          <w:sz w:val="22"/>
          <w:lang w:val="en-GB"/>
        </w:rPr>
        <w:t>.</w:t>
      </w:r>
    </w:p>
    <w:p w14:paraId="4474D1B8" w14:textId="77777777" w:rsidR="00E624F3" w:rsidRPr="003F7AE4" w:rsidRDefault="00E624F3" w:rsidP="003F7AE4">
      <w:pPr>
        <w:pStyle w:val="ListParagraph"/>
        <w:spacing w:after="35"/>
        <w:ind w:left="749" w:firstLine="0"/>
        <w:rPr>
          <w:rFonts w:asciiTheme="minorHAnsi" w:hAnsiTheme="minorHAnsi" w:cstheme="minorHAnsi"/>
          <w:sz w:val="22"/>
          <w:lang w:val="en-GB"/>
        </w:rPr>
      </w:pPr>
    </w:p>
    <w:p w14:paraId="43F7C577" w14:textId="509E6B11" w:rsidR="002264CC" w:rsidRPr="003F7AE4" w:rsidRDefault="00E624F3" w:rsidP="003F7AE4">
      <w:pPr>
        <w:spacing w:after="0" w:line="259" w:lineRule="auto"/>
        <w:ind w:left="355" w:hanging="10"/>
        <w:rPr>
          <w:rFonts w:asciiTheme="minorHAnsi" w:eastAsiaTheme="minorEastAsia" w:hAnsiTheme="minorHAnsi" w:cstheme="minorHAnsi"/>
          <w:b/>
          <w:bCs/>
          <w:color w:val="312D2A"/>
          <w:sz w:val="22"/>
          <w:lang w:val="en-MY"/>
        </w:rPr>
      </w:pPr>
      <w:r w:rsidRPr="003F7AE4">
        <w:rPr>
          <w:rFonts w:asciiTheme="minorHAnsi" w:hAnsiTheme="minorHAnsi" w:cstheme="minorHAnsi"/>
          <w:b/>
          <w:sz w:val="22"/>
          <w:lang w:val="en-GB"/>
        </w:rPr>
        <w:t xml:space="preserve">Step 2: </w:t>
      </w:r>
      <w:r w:rsidRPr="003F7AE4">
        <w:rPr>
          <w:rFonts w:asciiTheme="minorHAnsi" w:eastAsiaTheme="minorEastAsia" w:hAnsiTheme="minorHAnsi" w:cstheme="minorHAnsi"/>
          <w:b/>
          <w:bCs/>
          <w:color w:val="312D2A"/>
          <w:sz w:val="22"/>
          <w:lang w:val="en-MY"/>
        </w:rPr>
        <w:t xml:space="preserve">Review </w:t>
      </w:r>
      <w:proofErr w:type="spellStart"/>
      <w:r w:rsidRPr="003F7AE4">
        <w:rPr>
          <w:rFonts w:asciiTheme="minorHAnsi" w:eastAsiaTheme="minorEastAsia" w:hAnsiTheme="minorHAnsi" w:cstheme="minorHAnsi"/>
          <w:b/>
          <w:bCs/>
          <w:color w:val="312D2A"/>
          <w:sz w:val="22"/>
          <w:lang w:val="en-MY"/>
        </w:rPr>
        <w:t>Autoreconcile</w:t>
      </w:r>
      <w:proofErr w:type="spellEnd"/>
      <w:r w:rsidRPr="003F7AE4">
        <w:rPr>
          <w:rFonts w:asciiTheme="minorHAnsi" w:eastAsiaTheme="minorEastAsia" w:hAnsiTheme="minorHAnsi" w:cstheme="minorHAnsi"/>
          <w:b/>
          <w:bCs/>
          <w:color w:val="312D2A"/>
          <w:sz w:val="22"/>
          <w:lang w:val="en-MY"/>
        </w:rPr>
        <w:t xml:space="preserve"> Bank Statements Results and Resolve Exceptions</w:t>
      </w:r>
    </w:p>
    <w:p w14:paraId="30541495" w14:textId="1A1806C8" w:rsidR="00E624F3" w:rsidRPr="003F7AE4" w:rsidRDefault="1258755A" w:rsidP="003F7AE4">
      <w:pPr>
        <w:autoSpaceDE w:val="0"/>
        <w:autoSpaceDN w:val="0"/>
        <w:adjustRightInd w:val="0"/>
        <w:spacing w:after="0" w:line="240" w:lineRule="auto"/>
        <w:ind w:left="345" w:firstLine="0"/>
        <w:rPr>
          <w:rFonts w:asciiTheme="minorHAnsi" w:hAnsiTheme="minorHAnsi" w:cstheme="minorBidi"/>
          <w:sz w:val="22"/>
          <w:lang w:val="en-GB"/>
        </w:rPr>
      </w:pPr>
      <w:r w:rsidRPr="003F7AE4">
        <w:rPr>
          <w:rFonts w:asciiTheme="minorHAnsi" w:hAnsiTheme="minorHAnsi" w:cstheme="minorBidi"/>
          <w:sz w:val="22"/>
          <w:lang w:val="en-GB"/>
        </w:rPr>
        <w:t xml:space="preserve">Once the  Bank Statement </w:t>
      </w:r>
      <w:r w:rsidRPr="1258755A">
        <w:rPr>
          <w:rFonts w:asciiTheme="minorHAnsi" w:hAnsiTheme="minorHAnsi" w:cstheme="minorBidi"/>
          <w:sz w:val="22"/>
          <w:lang w:val="en-GB"/>
        </w:rPr>
        <w:t xml:space="preserve">Auto reconciliation </w:t>
      </w:r>
      <w:r w:rsidRPr="003F7AE4">
        <w:rPr>
          <w:rFonts w:asciiTheme="minorHAnsi" w:hAnsiTheme="minorHAnsi" w:cstheme="minorBidi"/>
          <w:sz w:val="22"/>
          <w:lang w:val="en-GB"/>
        </w:rPr>
        <w:t xml:space="preserve">process has been completed, review the reconciliation results in the Bank Statements and Reconciliation work area. The Bank Statement Reconciliation region displays the lines that are </w:t>
      </w:r>
      <w:proofErr w:type="spellStart"/>
      <w:r w:rsidRPr="003F7AE4">
        <w:rPr>
          <w:rFonts w:asciiTheme="minorHAnsi" w:hAnsiTheme="minorHAnsi" w:cstheme="minorBidi"/>
          <w:sz w:val="22"/>
          <w:lang w:val="en-GB"/>
        </w:rPr>
        <w:t>reconciled,un</w:t>
      </w:r>
      <w:proofErr w:type="spellEnd"/>
      <w:r w:rsidRPr="003F7AE4">
        <w:rPr>
          <w:rFonts w:asciiTheme="minorHAnsi" w:hAnsiTheme="minorHAnsi" w:cstheme="minorBidi"/>
          <w:sz w:val="22"/>
          <w:lang w:val="en-GB"/>
        </w:rPr>
        <w:t>-reconciled, and any exceptions.</w:t>
      </w:r>
    </w:p>
    <w:p w14:paraId="2097E9A4" w14:textId="77777777" w:rsidR="00E624F3" w:rsidRPr="003F7AE4" w:rsidRDefault="00E624F3" w:rsidP="003F7AE4">
      <w:pPr>
        <w:spacing w:after="0" w:line="259" w:lineRule="auto"/>
        <w:ind w:left="355" w:hanging="10"/>
        <w:rPr>
          <w:rFonts w:asciiTheme="minorHAnsi" w:hAnsiTheme="minorHAnsi" w:cstheme="minorHAnsi"/>
          <w:sz w:val="22"/>
          <w:lang w:val="en-GB"/>
        </w:rPr>
      </w:pPr>
    </w:p>
    <w:p w14:paraId="687E423E" w14:textId="6B17487B" w:rsidR="00E624F3" w:rsidRPr="003F7AE4" w:rsidRDefault="00E624F3" w:rsidP="003F7AE4">
      <w:pPr>
        <w:spacing w:after="0" w:line="259" w:lineRule="auto"/>
        <w:ind w:left="355" w:hanging="10"/>
        <w:rPr>
          <w:rFonts w:asciiTheme="minorHAnsi" w:hAnsiTheme="minorHAnsi" w:cstheme="minorHAnsi"/>
          <w:sz w:val="22"/>
          <w:lang w:val="en-GB"/>
        </w:rPr>
      </w:pPr>
      <w:r w:rsidRPr="003F7AE4">
        <w:rPr>
          <w:rFonts w:asciiTheme="minorHAnsi" w:hAnsiTheme="minorHAnsi" w:cstheme="minorHAnsi"/>
          <w:sz w:val="22"/>
          <w:lang w:val="en-GB"/>
        </w:rPr>
        <w:t xml:space="preserve">Resolve exceptions from the </w:t>
      </w:r>
      <w:proofErr w:type="spellStart"/>
      <w:r w:rsidRPr="003F7AE4">
        <w:rPr>
          <w:rFonts w:asciiTheme="minorHAnsi" w:hAnsiTheme="minorHAnsi" w:cstheme="minorHAnsi"/>
          <w:sz w:val="22"/>
          <w:lang w:val="en-GB"/>
        </w:rPr>
        <w:t>Autoreconcile</w:t>
      </w:r>
      <w:proofErr w:type="spellEnd"/>
      <w:r w:rsidRPr="003F7AE4">
        <w:rPr>
          <w:rFonts w:asciiTheme="minorHAnsi" w:hAnsiTheme="minorHAnsi" w:cstheme="minorHAnsi"/>
          <w:sz w:val="22"/>
          <w:lang w:val="en-GB"/>
        </w:rPr>
        <w:t xml:space="preserve"> Bank Statements process by manually reconciling the exceptions.</w:t>
      </w:r>
    </w:p>
    <w:p w14:paraId="774493BC" w14:textId="1CE499A5" w:rsidR="00470D7F" w:rsidRPr="003F7AE4" w:rsidRDefault="00470D7F" w:rsidP="003F7AE4">
      <w:pPr>
        <w:spacing w:after="0" w:line="259" w:lineRule="auto"/>
        <w:ind w:left="355" w:hanging="10"/>
        <w:rPr>
          <w:rFonts w:asciiTheme="minorHAnsi" w:hAnsiTheme="minorHAnsi" w:cstheme="minorHAnsi"/>
          <w:sz w:val="22"/>
          <w:lang w:val="en-GB"/>
        </w:rPr>
      </w:pPr>
    </w:p>
    <w:p w14:paraId="08E71CA5" w14:textId="1323F1A6" w:rsidR="00470D7F" w:rsidRPr="003F7AE4" w:rsidRDefault="00470D7F" w:rsidP="003F7AE4">
      <w:pPr>
        <w:spacing w:after="0" w:line="259" w:lineRule="auto"/>
        <w:ind w:left="355" w:hanging="10"/>
        <w:rPr>
          <w:rFonts w:asciiTheme="minorHAnsi" w:hAnsiTheme="minorHAnsi" w:cstheme="minorHAnsi"/>
          <w:b/>
          <w:bCs/>
          <w:sz w:val="22"/>
          <w:lang w:val="en-GB"/>
        </w:rPr>
      </w:pPr>
      <w:r w:rsidRPr="003F7AE4">
        <w:rPr>
          <w:rFonts w:asciiTheme="minorHAnsi" w:hAnsiTheme="minorHAnsi" w:cstheme="minorHAnsi"/>
          <w:b/>
          <w:bCs/>
          <w:sz w:val="22"/>
          <w:lang w:val="en-GB"/>
        </w:rPr>
        <w:t>Step 3: Resolve unreconciled statement lines</w:t>
      </w:r>
    </w:p>
    <w:p w14:paraId="64FA1CBB" w14:textId="3E55B336" w:rsidR="00470D7F" w:rsidRPr="003F7AE4" w:rsidRDefault="00470D7F" w:rsidP="003F7AE4">
      <w:pPr>
        <w:spacing w:after="0" w:line="259" w:lineRule="auto"/>
        <w:ind w:left="355" w:hanging="10"/>
        <w:rPr>
          <w:rFonts w:asciiTheme="minorHAnsi" w:hAnsiTheme="minorHAnsi" w:cstheme="minorHAnsi"/>
          <w:sz w:val="22"/>
          <w:lang w:val="en-GB"/>
        </w:rPr>
      </w:pPr>
      <w:r w:rsidRPr="003F7AE4">
        <w:rPr>
          <w:rFonts w:asciiTheme="minorHAnsi" w:hAnsiTheme="minorHAnsi" w:cstheme="minorHAnsi"/>
          <w:sz w:val="22"/>
          <w:lang w:val="en-GB"/>
        </w:rPr>
        <w:t>Resolve any un-reconciled statement lines by manually reconciling the statement lines to the available transactions.</w:t>
      </w:r>
      <w:r w:rsidR="00C239B5" w:rsidRPr="003F7AE4">
        <w:rPr>
          <w:rFonts w:asciiTheme="minorHAnsi" w:hAnsiTheme="minorHAnsi" w:cstheme="minorHAnsi"/>
          <w:sz w:val="22"/>
          <w:lang w:val="en-GB"/>
        </w:rPr>
        <w:t xml:space="preserve"> Create external transactions for bank fees and interest.</w:t>
      </w:r>
    </w:p>
    <w:p w14:paraId="783DF953" w14:textId="7C92CC07" w:rsidR="00470D7F" w:rsidRPr="003F7AE4" w:rsidRDefault="00470D7F" w:rsidP="003F7AE4">
      <w:pPr>
        <w:spacing w:after="0" w:line="259" w:lineRule="auto"/>
        <w:ind w:left="355" w:hanging="10"/>
        <w:rPr>
          <w:rFonts w:asciiTheme="minorHAnsi" w:hAnsiTheme="minorHAnsi" w:cstheme="minorHAnsi"/>
          <w:sz w:val="22"/>
          <w:lang w:val="en-GB"/>
        </w:rPr>
      </w:pPr>
    </w:p>
    <w:p w14:paraId="26AA1185" w14:textId="298E0AE5" w:rsidR="00470D7F" w:rsidRPr="003F7AE4" w:rsidRDefault="00470D7F" w:rsidP="003F7AE4">
      <w:pPr>
        <w:spacing w:after="0" w:line="259" w:lineRule="auto"/>
        <w:ind w:left="355" w:hanging="10"/>
        <w:rPr>
          <w:rFonts w:asciiTheme="minorHAnsi" w:hAnsiTheme="minorHAnsi" w:cstheme="minorHAnsi"/>
          <w:b/>
          <w:bCs/>
          <w:sz w:val="22"/>
          <w:lang w:val="en-GB"/>
        </w:rPr>
      </w:pPr>
      <w:r w:rsidRPr="003F7AE4">
        <w:rPr>
          <w:rFonts w:asciiTheme="minorHAnsi" w:hAnsiTheme="minorHAnsi" w:cstheme="minorHAnsi"/>
          <w:b/>
          <w:bCs/>
          <w:sz w:val="22"/>
          <w:lang w:val="en-GB"/>
        </w:rPr>
        <w:t>Step 4: Create Accounting and Transfer to General Ledger</w:t>
      </w:r>
    </w:p>
    <w:p w14:paraId="4944CBAE" w14:textId="4A65101B" w:rsidR="00470D7F" w:rsidRPr="003F7AE4" w:rsidRDefault="00470D7F" w:rsidP="003F7AE4">
      <w:pPr>
        <w:autoSpaceDE w:val="0"/>
        <w:autoSpaceDN w:val="0"/>
        <w:adjustRightInd w:val="0"/>
        <w:spacing w:after="0" w:line="240" w:lineRule="auto"/>
        <w:ind w:left="345" w:firstLine="0"/>
        <w:rPr>
          <w:rFonts w:asciiTheme="minorHAnsi" w:hAnsiTheme="minorHAnsi" w:cstheme="minorHAnsi"/>
          <w:sz w:val="22"/>
          <w:lang w:val="en-GB"/>
        </w:rPr>
      </w:pPr>
      <w:r w:rsidRPr="003F7AE4">
        <w:rPr>
          <w:rFonts w:asciiTheme="minorHAnsi" w:hAnsiTheme="minorHAnsi" w:cstheme="minorHAnsi"/>
          <w:sz w:val="22"/>
          <w:lang w:val="en-GB"/>
        </w:rPr>
        <w:t>Create journal entries for external transactions by submitting Create Accounting process. The process creates and optionally transfers and posts journal entries to General Ledger. If you do not transfer the journals to General Ledger immediately, you can later submit the Post Subledger Journal Entries process.</w:t>
      </w:r>
    </w:p>
    <w:p w14:paraId="2227B679" w14:textId="77777777" w:rsidR="00470D7F" w:rsidRPr="003F7AE4" w:rsidRDefault="00470D7F" w:rsidP="003F7AE4">
      <w:pPr>
        <w:autoSpaceDE w:val="0"/>
        <w:autoSpaceDN w:val="0"/>
        <w:adjustRightInd w:val="0"/>
        <w:spacing w:after="0" w:line="240" w:lineRule="auto"/>
        <w:ind w:left="345" w:firstLine="0"/>
        <w:rPr>
          <w:rFonts w:asciiTheme="minorHAnsi" w:hAnsiTheme="minorHAnsi" w:cstheme="minorHAnsi"/>
          <w:sz w:val="22"/>
          <w:lang w:val="en-GB"/>
        </w:rPr>
      </w:pPr>
    </w:p>
    <w:p w14:paraId="7E3697B4" w14:textId="79FE4701" w:rsidR="00362A2C" w:rsidRPr="003F7AE4" w:rsidRDefault="00CE1689" w:rsidP="003F7AE4">
      <w:pPr>
        <w:spacing w:after="0" w:line="259" w:lineRule="auto"/>
        <w:ind w:left="355" w:hanging="10"/>
        <w:rPr>
          <w:rFonts w:asciiTheme="minorHAnsi" w:hAnsiTheme="minorHAnsi" w:cstheme="minorHAnsi"/>
          <w:b/>
          <w:sz w:val="22"/>
          <w:lang w:val="en-GB"/>
        </w:rPr>
      </w:pPr>
      <w:r w:rsidRPr="003F7AE4">
        <w:rPr>
          <w:rFonts w:asciiTheme="minorHAnsi" w:hAnsiTheme="minorHAnsi" w:cstheme="minorHAnsi"/>
          <w:b/>
          <w:sz w:val="22"/>
          <w:lang w:val="en-GB"/>
        </w:rPr>
        <w:t xml:space="preserve">Step </w:t>
      </w:r>
      <w:r w:rsidR="00470D7F" w:rsidRPr="003F7AE4">
        <w:rPr>
          <w:rFonts w:asciiTheme="minorHAnsi" w:hAnsiTheme="minorHAnsi" w:cstheme="minorHAnsi"/>
          <w:b/>
          <w:sz w:val="22"/>
          <w:lang w:val="en-GB"/>
        </w:rPr>
        <w:t>5</w:t>
      </w:r>
      <w:r w:rsidR="00CE68DE" w:rsidRPr="003F7AE4">
        <w:rPr>
          <w:rFonts w:asciiTheme="minorHAnsi" w:hAnsiTheme="minorHAnsi" w:cstheme="minorHAnsi"/>
          <w:b/>
          <w:sz w:val="22"/>
          <w:lang w:val="en-GB"/>
        </w:rPr>
        <w:t>:</w:t>
      </w:r>
      <w:r w:rsidRPr="003F7AE4">
        <w:rPr>
          <w:rFonts w:asciiTheme="minorHAnsi" w:hAnsiTheme="minorHAnsi" w:cstheme="minorHAnsi"/>
          <w:b/>
          <w:sz w:val="22"/>
          <w:lang w:val="en-GB"/>
        </w:rPr>
        <w:t xml:space="preserve"> </w:t>
      </w:r>
      <w:r w:rsidR="002264CC" w:rsidRPr="003F7AE4">
        <w:rPr>
          <w:rFonts w:asciiTheme="minorHAnsi" w:hAnsiTheme="minorHAnsi" w:cstheme="minorHAnsi"/>
          <w:b/>
          <w:sz w:val="22"/>
          <w:lang w:val="en-GB"/>
        </w:rPr>
        <w:t>Cash to General Ledger Reconciliation Report</w:t>
      </w:r>
      <w:r w:rsidRPr="003F7AE4">
        <w:rPr>
          <w:rFonts w:asciiTheme="minorHAnsi" w:hAnsiTheme="minorHAnsi" w:cstheme="minorHAnsi"/>
          <w:b/>
          <w:sz w:val="22"/>
          <w:lang w:val="en-GB"/>
        </w:rPr>
        <w:t xml:space="preserve">.   </w:t>
      </w:r>
    </w:p>
    <w:p w14:paraId="7E3697B6" w14:textId="5D7EA65B" w:rsidR="00362A2C" w:rsidRPr="003F7AE4" w:rsidRDefault="00CE1689" w:rsidP="1258755A">
      <w:pPr>
        <w:ind w:left="346" w:firstLine="0"/>
        <w:rPr>
          <w:rFonts w:asciiTheme="minorHAnsi" w:hAnsiTheme="minorHAnsi" w:cstheme="minorBidi"/>
          <w:sz w:val="22"/>
          <w:lang w:val="en-GB"/>
        </w:rPr>
      </w:pPr>
      <w:r w:rsidRPr="003F7AE4">
        <w:rPr>
          <w:rFonts w:asciiTheme="minorHAnsi" w:hAnsiTheme="minorHAnsi" w:cstheme="minorBidi"/>
          <w:sz w:val="22"/>
          <w:lang w:val="en-GB"/>
        </w:rPr>
        <w:t xml:space="preserve">If the reconciliation steps are followed properly, there should not be any issues in going to Step </w:t>
      </w:r>
      <w:r w:rsidR="00470D7F" w:rsidRPr="003F7AE4">
        <w:rPr>
          <w:rFonts w:asciiTheme="minorHAnsi" w:hAnsiTheme="minorHAnsi" w:cstheme="minorBidi"/>
          <w:sz w:val="22"/>
          <w:lang w:val="en-GB"/>
        </w:rPr>
        <w:t>5</w:t>
      </w:r>
      <w:r w:rsidRPr="003F7AE4">
        <w:rPr>
          <w:rFonts w:asciiTheme="minorHAnsi" w:hAnsiTheme="minorHAnsi" w:cstheme="minorBidi"/>
          <w:sz w:val="22"/>
          <w:lang w:val="en-GB"/>
        </w:rPr>
        <w:t xml:space="preserve">, which is the </w:t>
      </w:r>
      <w:r w:rsidR="002264CC" w:rsidRPr="003F7AE4">
        <w:rPr>
          <w:rFonts w:asciiTheme="minorHAnsi" w:hAnsiTheme="minorHAnsi" w:cstheme="minorBidi"/>
          <w:sz w:val="22"/>
          <w:lang w:val="en-GB"/>
        </w:rPr>
        <w:t>Cash to General Ledger Reconciliation Report</w:t>
      </w:r>
      <w:r w:rsidRPr="003F7AE4">
        <w:rPr>
          <w:rFonts w:asciiTheme="minorHAnsi" w:hAnsiTheme="minorHAnsi" w:cstheme="minorBidi"/>
          <w:sz w:val="22"/>
          <w:lang w:val="en-GB"/>
        </w:rPr>
        <w:t xml:space="preserve">. </w:t>
      </w:r>
      <w:r w:rsidR="002264CC" w:rsidRPr="1258755A">
        <w:rPr>
          <w:rFonts w:ascii="Segoe UI" w:hAnsi="Segoe UI" w:cs="Segoe UI"/>
          <w:color w:val="1A1816"/>
          <w:shd w:val="clear" w:color="auto" w:fill="FCFBFA"/>
        </w:rPr>
        <w:t>The Cash to General Ledger Reconciliation Report compares the GL cash account balance against the bank account balance. It displays the unreconciled GL cash account journal entries and unreconciled bank statement lines that help identify the discrepancies between the balances. This is done based on the specified range of periods.</w:t>
      </w:r>
    </w:p>
    <w:p w14:paraId="63B8023B" w14:textId="682712AE" w:rsidR="00CE68DE" w:rsidRPr="003F7AE4" w:rsidRDefault="00CE68DE">
      <w:pPr>
        <w:ind w:left="0" w:firstLine="0"/>
        <w:rPr>
          <w:rFonts w:asciiTheme="minorHAnsi" w:hAnsiTheme="minorHAnsi" w:cstheme="minorHAnsi"/>
          <w:sz w:val="22"/>
          <w:lang w:val="en-GB"/>
        </w:rPr>
      </w:pPr>
    </w:p>
    <w:p w14:paraId="7E3697B7" w14:textId="44B2BAC9" w:rsidR="00362A2C" w:rsidRPr="003F7AE4" w:rsidRDefault="00086236">
      <w:pPr>
        <w:ind w:left="346" w:firstLine="0"/>
        <w:rPr>
          <w:rFonts w:asciiTheme="minorHAnsi" w:hAnsiTheme="minorHAnsi" w:cstheme="minorHAnsi"/>
          <w:sz w:val="22"/>
          <w:lang w:val="en-GB"/>
        </w:rPr>
      </w:pPr>
      <w:r w:rsidRPr="003F7AE4">
        <w:rPr>
          <w:rFonts w:asciiTheme="minorHAnsi" w:hAnsiTheme="minorHAnsi" w:cstheme="minorHAnsi"/>
          <w:color w:val="1A1816"/>
          <w:sz w:val="22"/>
          <w:shd w:val="clear" w:color="auto" w:fill="FCFBFA"/>
        </w:rPr>
        <w:t>The Cash to General Ledger Reconciliation Report lists the subledger transactions that are accounted in GL but they are not reconciled in Cash Management.</w:t>
      </w:r>
      <w:r w:rsidR="00CE1689" w:rsidRPr="003F7AE4">
        <w:rPr>
          <w:rFonts w:asciiTheme="minorHAnsi" w:hAnsiTheme="minorHAnsi" w:cstheme="minorHAnsi"/>
          <w:sz w:val="22"/>
          <w:lang w:val="en-GB"/>
        </w:rPr>
        <w:t xml:space="preserve"> </w:t>
      </w:r>
    </w:p>
    <w:p w14:paraId="7E3697B8" w14:textId="77777777" w:rsidR="00362A2C" w:rsidRPr="003F7AE4" w:rsidRDefault="00CE1689" w:rsidP="003F7AE4">
      <w:pPr>
        <w:spacing w:after="85" w:line="259" w:lineRule="auto"/>
        <w:ind w:left="0" w:firstLine="0"/>
        <w:rPr>
          <w:rFonts w:asciiTheme="minorHAnsi" w:hAnsiTheme="minorHAnsi" w:cstheme="minorHAnsi"/>
          <w:sz w:val="22"/>
          <w:lang w:val="en-GB"/>
        </w:rPr>
      </w:pPr>
      <w:r w:rsidRPr="003F7AE4">
        <w:rPr>
          <w:rFonts w:asciiTheme="minorHAnsi" w:hAnsiTheme="minorHAnsi" w:cstheme="minorHAnsi"/>
          <w:sz w:val="22"/>
          <w:lang w:val="en-GB"/>
        </w:rPr>
        <w:t xml:space="preserve"> </w:t>
      </w:r>
    </w:p>
    <w:p w14:paraId="7E3697B9" w14:textId="1D06C674" w:rsidR="00362A2C" w:rsidRPr="00383DD0" w:rsidRDefault="003D6324" w:rsidP="1258755A">
      <w:pPr>
        <w:ind w:left="346" w:firstLine="0"/>
        <w:rPr>
          <w:sz w:val="22"/>
          <w:lang w:val="en-GB"/>
        </w:rPr>
      </w:pPr>
      <w:r w:rsidRPr="003F7AE4">
        <w:rPr>
          <w:rFonts w:asciiTheme="minorHAnsi" w:hAnsiTheme="minorHAnsi" w:cstheme="minorBidi"/>
          <w:color w:val="1A1816"/>
          <w:sz w:val="22"/>
          <w:shd w:val="clear" w:color="auto" w:fill="FCFBFA"/>
        </w:rPr>
        <w:t>A unique GL cash account for each bank account is assigned and using it to record all cash transactions to facilitate this book to bank reconciliation.</w:t>
      </w:r>
      <w:r w:rsidR="00CE1689" w:rsidRPr="1258755A">
        <w:rPr>
          <w:sz w:val="22"/>
          <w:lang w:val="en-GB"/>
        </w:rPr>
        <w:t xml:space="preserve"> </w:t>
      </w:r>
    </w:p>
    <w:p w14:paraId="73A953CC" w14:textId="3E04874F" w:rsidR="003D6324" w:rsidRPr="00383DD0" w:rsidRDefault="003D6324" w:rsidP="1258755A">
      <w:pPr>
        <w:pStyle w:val="ListParagraph"/>
        <w:rPr>
          <w:sz w:val="22"/>
          <w:lang w:val="en-GB"/>
        </w:rPr>
      </w:pPr>
    </w:p>
    <w:p w14:paraId="0F51879B" w14:textId="67E6503D" w:rsidR="00CE68DE" w:rsidRPr="003F7AE4" w:rsidRDefault="00CE68DE">
      <w:pPr>
        <w:pStyle w:val="ListParagraph"/>
        <w:rPr>
          <w:rFonts w:asciiTheme="minorHAnsi" w:hAnsiTheme="minorHAnsi" w:cstheme="minorHAnsi"/>
          <w:b/>
          <w:bCs/>
          <w:sz w:val="22"/>
          <w:lang w:val="en-GB"/>
        </w:rPr>
      </w:pPr>
      <w:r w:rsidRPr="003F7AE4">
        <w:rPr>
          <w:rFonts w:asciiTheme="minorHAnsi" w:hAnsiTheme="minorHAnsi" w:cstheme="minorHAnsi"/>
          <w:b/>
          <w:bCs/>
          <w:sz w:val="22"/>
          <w:lang w:val="en-GB"/>
        </w:rPr>
        <w:t xml:space="preserve">Step </w:t>
      </w:r>
      <w:r w:rsidR="00F02E54" w:rsidRPr="003F7AE4">
        <w:rPr>
          <w:rFonts w:asciiTheme="minorHAnsi" w:hAnsiTheme="minorHAnsi" w:cstheme="minorHAnsi"/>
          <w:b/>
          <w:bCs/>
          <w:sz w:val="22"/>
          <w:lang w:val="en-GB"/>
        </w:rPr>
        <w:t>6</w:t>
      </w:r>
      <w:r w:rsidRPr="003F7AE4">
        <w:rPr>
          <w:rFonts w:asciiTheme="minorHAnsi" w:hAnsiTheme="minorHAnsi" w:cstheme="minorHAnsi"/>
          <w:b/>
          <w:bCs/>
          <w:sz w:val="22"/>
          <w:lang w:val="en-GB"/>
        </w:rPr>
        <w:t xml:space="preserve">: – </w:t>
      </w:r>
      <w:r w:rsidR="004F37C2" w:rsidRPr="003F7AE4">
        <w:rPr>
          <w:rFonts w:asciiTheme="minorHAnsi" w:hAnsiTheme="minorHAnsi" w:cstheme="minorHAnsi"/>
          <w:b/>
          <w:bCs/>
          <w:sz w:val="22"/>
          <w:lang w:val="en-GB"/>
        </w:rPr>
        <w:t>C</w:t>
      </w:r>
      <w:r w:rsidRPr="003F7AE4">
        <w:rPr>
          <w:rFonts w:asciiTheme="minorHAnsi" w:hAnsiTheme="minorHAnsi" w:cstheme="minorHAnsi"/>
          <w:b/>
          <w:bCs/>
          <w:sz w:val="22"/>
          <w:lang w:val="en-GB"/>
        </w:rPr>
        <w:t>ash in Transit Report</w:t>
      </w:r>
    </w:p>
    <w:p w14:paraId="27F81779" w14:textId="34E05F11" w:rsidR="003D6324" w:rsidRPr="003F7AE4" w:rsidRDefault="003D6324">
      <w:pPr>
        <w:ind w:left="346" w:firstLine="0"/>
        <w:rPr>
          <w:rFonts w:asciiTheme="minorHAnsi" w:hAnsiTheme="minorHAnsi" w:cstheme="minorHAnsi"/>
          <w:sz w:val="22"/>
          <w:lang w:val="en-GB"/>
        </w:rPr>
      </w:pPr>
      <w:r w:rsidRPr="003F7AE4">
        <w:rPr>
          <w:rFonts w:asciiTheme="minorHAnsi" w:hAnsiTheme="minorHAnsi" w:cstheme="minorHAnsi"/>
          <w:sz w:val="22"/>
          <w:lang w:val="en-GB"/>
        </w:rPr>
        <w:t>All unreconciled item</w:t>
      </w:r>
      <w:r w:rsidR="00225B0B">
        <w:rPr>
          <w:rFonts w:asciiTheme="minorHAnsi" w:hAnsiTheme="minorHAnsi" w:cstheme="minorHAnsi"/>
          <w:sz w:val="22"/>
          <w:lang w:val="en-GB"/>
        </w:rPr>
        <w:t>s</w:t>
      </w:r>
      <w:r w:rsidRPr="003F7AE4">
        <w:rPr>
          <w:rFonts w:asciiTheme="minorHAnsi" w:hAnsiTheme="minorHAnsi" w:cstheme="minorHAnsi"/>
          <w:sz w:val="22"/>
          <w:lang w:val="en-GB"/>
        </w:rPr>
        <w:t xml:space="preserve"> from</w:t>
      </w:r>
      <w:r w:rsidR="00225B0B">
        <w:rPr>
          <w:rFonts w:asciiTheme="minorHAnsi" w:hAnsiTheme="minorHAnsi" w:cstheme="minorHAnsi"/>
          <w:sz w:val="22"/>
          <w:lang w:val="en-GB"/>
        </w:rPr>
        <w:t xml:space="preserve"> the</w:t>
      </w:r>
      <w:r w:rsidRPr="003F7AE4">
        <w:rPr>
          <w:rFonts w:asciiTheme="minorHAnsi" w:hAnsiTheme="minorHAnsi" w:cstheme="minorHAnsi"/>
          <w:sz w:val="22"/>
          <w:lang w:val="en-GB"/>
        </w:rPr>
        <w:t xml:space="preserve"> system side </w:t>
      </w:r>
      <w:r w:rsidR="00225B0B">
        <w:rPr>
          <w:rFonts w:asciiTheme="minorHAnsi" w:hAnsiTheme="minorHAnsi" w:cstheme="minorHAnsi"/>
          <w:sz w:val="22"/>
          <w:lang w:val="en-GB"/>
        </w:rPr>
        <w:t>s</w:t>
      </w:r>
      <w:r w:rsidR="00225B0B" w:rsidRPr="00365C9F">
        <w:rPr>
          <w:rFonts w:asciiTheme="minorHAnsi" w:hAnsiTheme="minorHAnsi" w:cstheme="minorHAnsi"/>
          <w:sz w:val="22"/>
          <w:lang w:val="en-GB"/>
        </w:rPr>
        <w:t>uch as checks, electronic transfer</w:t>
      </w:r>
      <w:r w:rsidR="00225B0B">
        <w:rPr>
          <w:rFonts w:asciiTheme="minorHAnsi" w:hAnsiTheme="minorHAnsi" w:cstheme="minorHAnsi"/>
          <w:sz w:val="22"/>
          <w:lang w:val="en-GB"/>
        </w:rPr>
        <w:t>s</w:t>
      </w:r>
      <w:r w:rsidR="00225B0B" w:rsidRPr="00365C9F">
        <w:rPr>
          <w:rFonts w:asciiTheme="minorHAnsi" w:hAnsiTheme="minorHAnsi" w:cstheme="minorHAnsi"/>
          <w:sz w:val="22"/>
          <w:lang w:val="en-GB"/>
        </w:rPr>
        <w:t>, payroll and deposit</w:t>
      </w:r>
      <w:r w:rsidR="00225B0B">
        <w:rPr>
          <w:rFonts w:asciiTheme="minorHAnsi" w:hAnsiTheme="minorHAnsi" w:cstheme="minorHAnsi"/>
          <w:sz w:val="22"/>
          <w:lang w:val="en-GB"/>
        </w:rPr>
        <w:t>s</w:t>
      </w:r>
      <w:r w:rsidR="00225B0B" w:rsidRPr="00225B0B">
        <w:rPr>
          <w:rFonts w:asciiTheme="minorHAnsi" w:hAnsiTheme="minorHAnsi" w:cstheme="minorHAnsi"/>
          <w:sz w:val="22"/>
          <w:lang w:val="en-GB"/>
        </w:rPr>
        <w:t xml:space="preserve"> </w:t>
      </w:r>
      <w:r w:rsidRPr="003F7AE4">
        <w:rPr>
          <w:rFonts w:asciiTheme="minorHAnsi" w:hAnsiTheme="minorHAnsi" w:cstheme="minorHAnsi"/>
          <w:sz w:val="22"/>
          <w:lang w:val="en-GB"/>
        </w:rPr>
        <w:t xml:space="preserve">will appear in the </w:t>
      </w:r>
      <w:r w:rsidR="00CE68DE" w:rsidRPr="003F7AE4">
        <w:rPr>
          <w:rFonts w:asciiTheme="minorHAnsi" w:hAnsiTheme="minorHAnsi" w:cstheme="minorHAnsi"/>
          <w:sz w:val="22"/>
          <w:lang w:val="en-GB"/>
        </w:rPr>
        <w:t>C</w:t>
      </w:r>
      <w:r w:rsidRPr="003F7AE4">
        <w:rPr>
          <w:rFonts w:asciiTheme="minorHAnsi" w:hAnsiTheme="minorHAnsi" w:cstheme="minorHAnsi"/>
          <w:sz w:val="22"/>
          <w:lang w:val="en-GB"/>
        </w:rPr>
        <w:t xml:space="preserve">ash in </w:t>
      </w:r>
      <w:r w:rsidR="00CE68DE" w:rsidRPr="003F7AE4">
        <w:rPr>
          <w:rFonts w:asciiTheme="minorHAnsi" w:hAnsiTheme="minorHAnsi" w:cstheme="minorHAnsi"/>
          <w:sz w:val="22"/>
          <w:lang w:val="en-GB"/>
        </w:rPr>
        <w:t>T</w:t>
      </w:r>
      <w:r w:rsidRPr="003F7AE4">
        <w:rPr>
          <w:rFonts w:asciiTheme="minorHAnsi" w:hAnsiTheme="minorHAnsi" w:cstheme="minorHAnsi"/>
          <w:sz w:val="22"/>
          <w:lang w:val="en-GB"/>
        </w:rPr>
        <w:t>ransit report. A unique</w:t>
      </w:r>
      <w:r w:rsidR="00CE68DE" w:rsidRPr="003F7AE4">
        <w:rPr>
          <w:rFonts w:asciiTheme="minorHAnsi" w:hAnsiTheme="minorHAnsi" w:cstheme="minorHAnsi"/>
          <w:sz w:val="22"/>
          <w:lang w:val="en-MY"/>
        </w:rPr>
        <w:t xml:space="preserve"> GL cash clearing account is assigned </w:t>
      </w:r>
      <w:r w:rsidR="00225B0B">
        <w:rPr>
          <w:rFonts w:asciiTheme="minorHAnsi" w:hAnsiTheme="minorHAnsi" w:cstheme="minorHAnsi"/>
          <w:sz w:val="22"/>
          <w:lang w:val="en-MY"/>
        </w:rPr>
        <w:t>to</w:t>
      </w:r>
      <w:r w:rsidR="00CE68DE" w:rsidRPr="003F7AE4">
        <w:rPr>
          <w:rFonts w:asciiTheme="minorHAnsi" w:hAnsiTheme="minorHAnsi" w:cstheme="minorHAnsi"/>
          <w:sz w:val="22"/>
          <w:lang w:val="en-MY"/>
        </w:rPr>
        <w:t xml:space="preserve"> each bank account. All unreconciled item</w:t>
      </w:r>
      <w:r w:rsidR="00225B0B">
        <w:rPr>
          <w:rFonts w:asciiTheme="minorHAnsi" w:hAnsiTheme="minorHAnsi" w:cstheme="minorHAnsi"/>
          <w:sz w:val="22"/>
          <w:lang w:val="en-MY"/>
        </w:rPr>
        <w:t>s</w:t>
      </w:r>
      <w:r w:rsidR="00CE68DE" w:rsidRPr="003F7AE4">
        <w:rPr>
          <w:rFonts w:asciiTheme="minorHAnsi" w:hAnsiTheme="minorHAnsi" w:cstheme="minorHAnsi"/>
          <w:sz w:val="22"/>
          <w:lang w:val="en-MY"/>
        </w:rPr>
        <w:t xml:space="preserve"> </w:t>
      </w:r>
      <w:r w:rsidR="00225B0B">
        <w:rPr>
          <w:rFonts w:asciiTheme="minorHAnsi" w:hAnsiTheme="minorHAnsi" w:cstheme="minorHAnsi"/>
          <w:sz w:val="22"/>
          <w:lang w:val="en-MY"/>
        </w:rPr>
        <w:t xml:space="preserve">appearing in this </w:t>
      </w:r>
      <w:r w:rsidR="00CE68DE" w:rsidRPr="003F7AE4">
        <w:rPr>
          <w:rFonts w:asciiTheme="minorHAnsi" w:hAnsiTheme="minorHAnsi" w:cstheme="minorHAnsi"/>
          <w:sz w:val="22"/>
          <w:lang w:val="en-MY"/>
        </w:rPr>
        <w:t>cash clearing account</w:t>
      </w:r>
      <w:r w:rsidR="00225B0B">
        <w:rPr>
          <w:rFonts w:asciiTheme="minorHAnsi" w:hAnsiTheme="minorHAnsi" w:cstheme="minorHAnsi"/>
          <w:sz w:val="22"/>
          <w:lang w:val="en-MY"/>
        </w:rPr>
        <w:t xml:space="preserve"> are temporary as </w:t>
      </w:r>
      <w:r w:rsidR="0081245B">
        <w:rPr>
          <w:rFonts w:asciiTheme="minorHAnsi" w:hAnsiTheme="minorHAnsi" w:cstheme="minorHAnsi"/>
          <w:sz w:val="22"/>
          <w:lang w:val="en-MY"/>
        </w:rPr>
        <w:t>such items will be cleared once transactions have been reflected in the bank statements and reconciled</w:t>
      </w:r>
      <w:r w:rsidR="00CE68DE" w:rsidRPr="003F7AE4">
        <w:rPr>
          <w:rFonts w:asciiTheme="minorHAnsi" w:hAnsiTheme="minorHAnsi" w:cstheme="minorHAnsi"/>
          <w:sz w:val="22"/>
          <w:lang w:val="en-MY"/>
        </w:rPr>
        <w:t>.</w:t>
      </w:r>
    </w:p>
    <w:p w14:paraId="7E3697BA" w14:textId="77777777" w:rsidR="00362A2C" w:rsidRPr="003D1724" w:rsidRDefault="00CE1689" w:rsidP="00D37CEA">
      <w:pPr>
        <w:spacing w:after="0" w:line="259" w:lineRule="auto"/>
        <w:ind w:left="0" w:firstLine="0"/>
        <w:jc w:val="left"/>
        <w:rPr>
          <w:sz w:val="22"/>
          <w:lang w:val="en-GB"/>
        </w:rPr>
      </w:pPr>
      <w:r w:rsidRPr="003D1724">
        <w:rPr>
          <w:sz w:val="22"/>
          <w:lang w:val="en-GB"/>
        </w:rPr>
        <w:t xml:space="preserve">  </w:t>
      </w:r>
    </w:p>
    <w:sectPr w:rsidR="00362A2C" w:rsidRPr="003D1724">
      <w:headerReference w:type="default" r:id="rId12"/>
      <w:footerReference w:type="default" r:id="rId13"/>
      <w:pgSz w:w="11906" w:h="16838"/>
      <w:pgMar w:top="1440" w:right="841"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7D848" w14:textId="77777777" w:rsidR="00FA5DED" w:rsidRDefault="00FA5DED" w:rsidP="00506A4B">
      <w:pPr>
        <w:spacing w:after="0" w:line="240" w:lineRule="auto"/>
      </w:pPr>
      <w:r>
        <w:separator/>
      </w:r>
    </w:p>
  </w:endnote>
  <w:endnote w:type="continuationSeparator" w:id="0">
    <w:p w14:paraId="609E9612" w14:textId="77777777" w:rsidR="00FA5DED" w:rsidRDefault="00FA5DED" w:rsidP="00506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AF9F2" w14:textId="6E9D9B29" w:rsidR="00506A4B" w:rsidRPr="003D1724" w:rsidRDefault="003D1724" w:rsidP="00166F7F">
    <w:pPr>
      <w:pStyle w:val="Footer"/>
      <w:ind w:left="0" w:firstLine="0"/>
      <w:rPr>
        <w:sz w:val="22"/>
      </w:rPr>
    </w:pPr>
    <w:r w:rsidRPr="003D1724">
      <w:rPr>
        <w:sz w:val="22"/>
      </w:rPr>
      <w:t xml:space="preserve">Page </w:t>
    </w:r>
    <w:r w:rsidRPr="003D1724">
      <w:rPr>
        <w:b/>
        <w:sz w:val="22"/>
      </w:rPr>
      <w:fldChar w:fldCharType="begin"/>
    </w:r>
    <w:r w:rsidRPr="003D1724">
      <w:rPr>
        <w:b/>
        <w:sz w:val="22"/>
      </w:rPr>
      <w:instrText xml:space="preserve"> PAGE  \* Arabic  \* MERGEFORMAT </w:instrText>
    </w:r>
    <w:r w:rsidRPr="003D1724">
      <w:rPr>
        <w:b/>
        <w:sz w:val="22"/>
      </w:rPr>
      <w:fldChar w:fldCharType="separate"/>
    </w:r>
    <w:r>
      <w:rPr>
        <w:b/>
        <w:noProof/>
        <w:sz w:val="22"/>
      </w:rPr>
      <w:t>1</w:t>
    </w:r>
    <w:r w:rsidRPr="003D1724">
      <w:rPr>
        <w:b/>
        <w:sz w:val="22"/>
      </w:rPr>
      <w:fldChar w:fldCharType="end"/>
    </w:r>
    <w:r w:rsidRPr="003D1724">
      <w:rPr>
        <w:sz w:val="22"/>
      </w:rPr>
      <w:t xml:space="preserve"> of </w:t>
    </w:r>
    <w:r w:rsidRPr="003D1724">
      <w:rPr>
        <w:b/>
        <w:sz w:val="22"/>
      </w:rPr>
      <w:fldChar w:fldCharType="begin"/>
    </w:r>
    <w:r w:rsidRPr="003D1724">
      <w:rPr>
        <w:b/>
        <w:sz w:val="22"/>
      </w:rPr>
      <w:instrText xml:space="preserve"> NUMPAGES  \* Arabic  \* MERGEFORMAT </w:instrText>
    </w:r>
    <w:r w:rsidRPr="003D1724">
      <w:rPr>
        <w:b/>
        <w:sz w:val="22"/>
      </w:rPr>
      <w:fldChar w:fldCharType="separate"/>
    </w:r>
    <w:r>
      <w:rPr>
        <w:b/>
        <w:noProof/>
        <w:sz w:val="22"/>
      </w:rPr>
      <w:t>2</w:t>
    </w:r>
    <w:r w:rsidRPr="003D1724">
      <w:rPr>
        <w:b/>
        <w:sz w:val="22"/>
      </w:rPr>
      <w:fldChar w:fldCharType="end"/>
    </w:r>
    <w:r w:rsidRPr="003D1724">
      <w:rPr>
        <w:sz w:val="22"/>
      </w:rPr>
      <w:ptab w:relativeTo="margin" w:alignment="center" w:leader="none"/>
    </w:r>
    <w:r w:rsidRPr="003D1724">
      <w:rPr>
        <w:sz w:val="22"/>
      </w:rPr>
      <w:t>Effective Date:</w:t>
    </w:r>
    <w:r>
      <w:rPr>
        <w:sz w:val="22"/>
      </w:rPr>
      <w:t xml:space="preserve"> </w:t>
    </w:r>
    <w:r w:rsidR="001319C2" w:rsidRPr="001319C2">
      <w:rPr>
        <w:sz w:val="22"/>
      </w:rPr>
      <w:t>01/01/2012</w:t>
    </w:r>
    <w:r w:rsidR="001319C2" w:rsidRPr="001319C2">
      <w:rPr>
        <w:sz w:val="22"/>
      </w:rPr>
      <w:t xml:space="preserve"> </w:t>
    </w:r>
    <w:r w:rsidRPr="003D1724">
      <w:rPr>
        <w:sz w:val="22"/>
      </w:rPr>
      <w:ptab w:relativeTo="margin" w:alignment="right" w:leader="none"/>
    </w:r>
    <w:r w:rsidRPr="003D1724">
      <w:rPr>
        <w:sz w:val="22"/>
      </w:rPr>
      <w:t>Version #:</w:t>
    </w:r>
    <w:r>
      <w:rPr>
        <w:sz w:val="22"/>
      </w:rPr>
      <w:t xml:space="preserve"> </w:t>
    </w:r>
    <w:sdt>
      <w:sdtPr>
        <w:rPr>
          <w:sz w:val="22"/>
        </w:rPr>
        <w:alias w:val="POPPRefItemVersion"/>
        <w:tag w:val="UNDP_POPP_REFITEM_VERSION"/>
        <w:id w:val="495304188"/>
        <w:placeholder>
          <w:docPart w:val="DC27E39762C34DE7879BF8675182FBF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D022B437-F050-40B3-A661-6D79A949CE8E}"/>
        <w:text/>
      </w:sdtPr>
      <w:sdtContent>
        <w:r>
          <w:rPr>
            <w:sz w:val="22"/>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4579D" w14:textId="77777777" w:rsidR="00FA5DED" w:rsidRDefault="00FA5DED" w:rsidP="00506A4B">
      <w:pPr>
        <w:spacing w:after="0" w:line="240" w:lineRule="auto"/>
      </w:pPr>
      <w:r>
        <w:separator/>
      </w:r>
    </w:p>
  </w:footnote>
  <w:footnote w:type="continuationSeparator" w:id="0">
    <w:p w14:paraId="12AA2E72" w14:textId="77777777" w:rsidR="00FA5DED" w:rsidRDefault="00FA5DED" w:rsidP="00506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11E1A" w14:textId="602E6077" w:rsidR="00506A4B" w:rsidRDefault="00506A4B" w:rsidP="00166F7F">
    <w:pPr>
      <w:pStyle w:val="Header"/>
      <w:jc w:val="right"/>
    </w:pPr>
    <w:r>
      <w:rPr>
        <w:noProof/>
        <w:lang w:val="en-GB" w:eastAsia="en-GB"/>
      </w:rPr>
      <w:drawing>
        <wp:inline distT="0" distB="0" distL="0" distR="0" wp14:anchorId="413AD86A" wp14:editId="5141056A">
          <wp:extent cx="304745" cy="606711"/>
          <wp:effectExtent l="0" t="0" r="63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3690"/>
                  <a:stretch/>
                </pic:blipFill>
                <pic:spPr bwMode="auto">
                  <a:xfrm>
                    <a:off x="0" y="0"/>
                    <a:ext cx="308534" cy="614254"/>
                  </a:xfrm>
                  <a:prstGeom prst="rect">
                    <a:avLst/>
                  </a:prstGeom>
                  <a:ln>
                    <a:noFill/>
                  </a:ln>
                  <a:extLst>
                    <a:ext uri="{53640926-AAD7-44D8-BBD7-CCE9431645EC}">
                      <a14:shadowObscured xmlns:a14="http://schemas.microsoft.com/office/drawing/2010/main"/>
                    </a:ext>
                  </a:extLst>
                </pic:spPr>
              </pic:pic>
            </a:graphicData>
          </a:graphic>
        </wp:inline>
      </w:drawing>
    </w:r>
  </w:p>
  <w:p w14:paraId="37B1825A" w14:textId="77777777" w:rsidR="00506A4B" w:rsidRDefault="00506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43013"/>
    <w:multiLevelType w:val="hybridMultilevel"/>
    <w:tmpl w:val="0F14B468"/>
    <w:lvl w:ilvl="0" w:tplc="8814CCEE">
      <w:start w:val="1"/>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4CDB26">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A5C2F1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AA141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B8D3F6">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D0557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622C4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0EAD56">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C652D4">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B955574"/>
    <w:multiLevelType w:val="hybridMultilevel"/>
    <w:tmpl w:val="1310D1C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43E56943"/>
    <w:multiLevelType w:val="hybridMultilevel"/>
    <w:tmpl w:val="00785E08"/>
    <w:lvl w:ilvl="0" w:tplc="04090001">
      <w:start w:val="1"/>
      <w:numFmt w:val="bullet"/>
      <w:lvlText w:val=""/>
      <w:lvlJc w:val="left"/>
      <w:pPr>
        <w:ind w:left="1714" w:hanging="360"/>
      </w:pPr>
      <w:rPr>
        <w:rFonts w:ascii="Symbol" w:hAnsi="Symbol" w:hint="default"/>
      </w:rPr>
    </w:lvl>
    <w:lvl w:ilvl="1" w:tplc="04090003">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3" w15:restartNumberingAfterBreak="0">
    <w:nsid w:val="482A2FD6"/>
    <w:multiLevelType w:val="hybridMultilevel"/>
    <w:tmpl w:val="AB52F7F6"/>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 w15:restartNumberingAfterBreak="0">
    <w:nsid w:val="621A41A5"/>
    <w:multiLevelType w:val="hybridMultilevel"/>
    <w:tmpl w:val="13BA0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7A836BD"/>
    <w:multiLevelType w:val="hybridMultilevel"/>
    <w:tmpl w:val="6FA464E2"/>
    <w:lvl w:ilvl="0" w:tplc="44090001">
      <w:start w:val="1"/>
      <w:numFmt w:val="bullet"/>
      <w:lvlText w:val=""/>
      <w:lvlJc w:val="left"/>
      <w:pPr>
        <w:ind w:left="1066" w:hanging="360"/>
      </w:pPr>
      <w:rPr>
        <w:rFonts w:ascii="Symbol" w:hAnsi="Symbol" w:hint="default"/>
      </w:rPr>
    </w:lvl>
    <w:lvl w:ilvl="1" w:tplc="44090003" w:tentative="1">
      <w:start w:val="1"/>
      <w:numFmt w:val="bullet"/>
      <w:lvlText w:val="o"/>
      <w:lvlJc w:val="left"/>
      <w:pPr>
        <w:ind w:left="1786" w:hanging="360"/>
      </w:pPr>
      <w:rPr>
        <w:rFonts w:ascii="Courier New" w:hAnsi="Courier New" w:cs="Courier New" w:hint="default"/>
      </w:rPr>
    </w:lvl>
    <w:lvl w:ilvl="2" w:tplc="44090005" w:tentative="1">
      <w:start w:val="1"/>
      <w:numFmt w:val="bullet"/>
      <w:lvlText w:val=""/>
      <w:lvlJc w:val="left"/>
      <w:pPr>
        <w:ind w:left="2506" w:hanging="360"/>
      </w:pPr>
      <w:rPr>
        <w:rFonts w:ascii="Wingdings" w:hAnsi="Wingdings" w:hint="default"/>
      </w:rPr>
    </w:lvl>
    <w:lvl w:ilvl="3" w:tplc="44090001" w:tentative="1">
      <w:start w:val="1"/>
      <w:numFmt w:val="bullet"/>
      <w:lvlText w:val=""/>
      <w:lvlJc w:val="left"/>
      <w:pPr>
        <w:ind w:left="3226" w:hanging="360"/>
      </w:pPr>
      <w:rPr>
        <w:rFonts w:ascii="Symbol" w:hAnsi="Symbol" w:hint="default"/>
      </w:rPr>
    </w:lvl>
    <w:lvl w:ilvl="4" w:tplc="44090003" w:tentative="1">
      <w:start w:val="1"/>
      <w:numFmt w:val="bullet"/>
      <w:lvlText w:val="o"/>
      <w:lvlJc w:val="left"/>
      <w:pPr>
        <w:ind w:left="3946" w:hanging="360"/>
      </w:pPr>
      <w:rPr>
        <w:rFonts w:ascii="Courier New" w:hAnsi="Courier New" w:cs="Courier New" w:hint="default"/>
      </w:rPr>
    </w:lvl>
    <w:lvl w:ilvl="5" w:tplc="44090005" w:tentative="1">
      <w:start w:val="1"/>
      <w:numFmt w:val="bullet"/>
      <w:lvlText w:val=""/>
      <w:lvlJc w:val="left"/>
      <w:pPr>
        <w:ind w:left="4666" w:hanging="360"/>
      </w:pPr>
      <w:rPr>
        <w:rFonts w:ascii="Wingdings" w:hAnsi="Wingdings" w:hint="default"/>
      </w:rPr>
    </w:lvl>
    <w:lvl w:ilvl="6" w:tplc="44090001" w:tentative="1">
      <w:start w:val="1"/>
      <w:numFmt w:val="bullet"/>
      <w:lvlText w:val=""/>
      <w:lvlJc w:val="left"/>
      <w:pPr>
        <w:ind w:left="5386" w:hanging="360"/>
      </w:pPr>
      <w:rPr>
        <w:rFonts w:ascii="Symbol" w:hAnsi="Symbol" w:hint="default"/>
      </w:rPr>
    </w:lvl>
    <w:lvl w:ilvl="7" w:tplc="44090003" w:tentative="1">
      <w:start w:val="1"/>
      <w:numFmt w:val="bullet"/>
      <w:lvlText w:val="o"/>
      <w:lvlJc w:val="left"/>
      <w:pPr>
        <w:ind w:left="6106" w:hanging="360"/>
      </w:pPr>
      <w:rPr>
        <w:rFonts w:ascii="Courier New" w:hAnsi="Courier New" w:cs="Courier New" w:hint="default"/>
      </w:rPr>
    </w:lvl>
    <w:lvl w:ilvl="8" w:tplc="44090005" w:tentative="1">
      <w:start w:val="1"/>
      <w:numFmt w:val="bullet"/>
      <w:lvlText w:val=""/>
      <w:lvlJc w:val="left"/>
      <w:pPr>
        <w:ind w:left="6826" w:hanging="360"/>
      </w:pPr>
      <w:rPr>
        <w:rFonts w:ascii="Wingdings" w:hAnsi="Wingdings" w:hint="default"/>
      </w:rPr>
    </w:lvl>
  </w:abstractNum>
  <w:num w:numId="1" w16cid:durableId="201947066">
    <w:abstractNumId w:val="0"/>
  </w:num>
  <w:num w:numId="2" w16cid:durableId="1847476092">
    <w:abstractNumId w:val="4"/>
  </w:num>
  <w:num w:numId="3" w16cid:durableId="1589342313">
    <w:abstractNumId w:val="2"/>
  </w:num>
  <w:num w:numId="4" w16cid:durableId="788935796">
    <w:abstractNumId w:val="3"/>
  </w:num>
  <w:num w:numId="5" w16cid:durableId="260450778">
    <w:abstractNumId w:val="5"/>
  </w:num>
  <w:num w:numId="6" w16cid:durableId="1362316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2C"/>
    <w:rsid w:val="00086236"/>
    <w:rsid w:val="001319C2"/>
    <w:rsid w:val="00153DA4"/>
    <w:rsid w:val="00166F7F"/>
    <w:rsid w:val="00225B0B"/>
    <w:rsid w:val="002264CC"/>
    <w:rsid w:val="00356BFF"/>
    <w:rsid w:val="00361E5D"/>
    <w:rsid w:val="00362A2C"/>
    <w:rsid w:val="00383DD0"/>
    <w:rsid w:val="003D1724"/>
    <w:rsid w:val="003D6324"/>
    <w:rsid w:val="003F7AE4"/>
    <w:rsid w:val="004049D0"/>
    <w:rsid w:val="00470D7F"/>
    <w:rsid w:val="004C1795"/>
    <w:rsid w:val="004D6083"/>
    <w:rsid w:val="004F37C2"/>
    <w:rsid w:val="00506A4B"/>
    <w:rsid w:val="00600DD1"/>
    <w:rsid w:val="007A5EE2"/>
    <w:rsid w:val="007A65C2"/>
    <w:rsid w:val="0081245B"/>
    <w:rsid w:val="0083208B"/>
    <w:rsid w:val="00880750"/>
    <w:rsid w:val="008F13F5"/>
    <w:rsid w:val="00A21D36"/>
    <w:rsid w:val="00C239B5"/>
    <w:rsid w:val="00C6533F"/>
    <w:rsid w:val="00CE1689"/>
    <w:rsid w:val="00CE68DE"/>
    <w:rsid w:val="00D37CEA"/>
    <w:rsid w:val="00D806B6"/>
    <w:rsid w:val="00E31B7B"/>
    <w:rsid w:val="00E624F3"/>
    <w:rsid w:val="00F02E54"/>
    <w:rsid w:val="00FA5DED"/>
    <w:rsid w:val="00FE493A"/>
    <w:rsid w:val="1258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697A8"/>
  <w15:docId w15:val="{7C79EA97-A29B-4E72-96D6-A80E4E6D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3" w:lineRule="auto"/>
      <w:ind w:left="716" w:hanging="370"/>
      <w:jc w:val="both"/>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A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A4B"/>
    <w:rPr>
      <w:rFonts w:ascii="Calibri" w:eastAsia="Calibri" w:hAnsi="Calibri" w:cs="Calibri"/>
      <w:color w:val="000000"/>
      <w:sz w:val="20"/>
    </w:rPr>
  </w:style>
  <w:style w:type="paragraph" w:styleId="Footer">
    <w:name w:val="footer"/>
    <w:basedOn w:val="Normal"/>
    <w:link w:val="FooterChar"/>
    <w:uiPriority w:val="99"/>
    <w:unhideWhenUsed/>
    <w:rsid w:val="00506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A4B"/>
    <w:rPr>
      <w:rFonts w:ascii="Calibri" w:eastAsia="Calibri" w:hAnsi="Calibri" w:cs="Calibri"/>
      <w:color w:val="000000"/>
      <w:sz w:val="20"/>
    </w:rPr>
  </w:style>
  <w:style w:type="character" w:styleId="PlaceholderText">
    <w:name w:val="Placeholder Text"/>
    <w:basedOn w:val="DefaultParagraphFont"/>
    <w:uiPriority w:val="99"/>
    <w:semiHidden/>
    <w:rsid w:val="00506A4B"/>
    <w:rPr>
      <w:color w:val="808080"/>
    </w:rPr>
  </w:style>
  <w:style w:type="paragraph" w:styleId="ListParagraph">
    <w:name w:val="List Paragraph"/>
    <w:basedOn w:val="Normal"/>
    <w:uiPriority w:val="34"/>
    <w:qFormat/>
    <w:rsid w:val="00166F7F"/>
    <w:pPr>
      <w:ind w:left="720"/>
      <w:contextualSpacing/>
    </w:pPr>
  </w:style>
  <w:style w:type="paragraph" w:styleId="BalloonText">
    <w:name w:val="Balloon Text"/>
    <w:basedOn w:val="Normal"/>
    <w:link w:val="BalloonTextChar"/>
    <w:uiPriority w:val="99"/>
    <w:semiHidden/>
    <w:unhideWhenUsed/>
    <w:rsid w:val="003D1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724"/>
    <w:rPr>
      <w:rFonts w:ascii="Tahoma" w:eastAsia="Calibri" w:hAnsi="Tahoma" w:cs="Tahoma"/>
      <w:color w:val="000000"/>
      <w:sz w:val="16"/>
      <w:szCs w:val="16"/>
    </w:rPr>
  </w:style>
  <w:style w:type="paragraph" w:styleId="Revision">
    <w:name w:val="Revision"/>
    <w:hidden/>
    <w:uiPriority w:val="99"/>
    <w:semiHidden/>
    <w:rsid w:val="007A65C2"/>
    <w:pPr>
      <w:spacing w:after="0" w:line="240" w:lineRule="auto"/>
    </w:pPr>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C27E39762C34DE7879BF8675182FBF3"/>
        <w:category>
          <w:name w:val="General"/>
          <w:gallery w:val="placeholder"/>
        </w:category>
        <w:types>
          <w:type w:val="bbPlcHdr"/>
        </w:types>
        <w:behaviors>
          <w:behavior w:val="content"/>
        </w:behaviors>
        <w:guid w:val="{06E7BCE9-2215-4D27-A2C9-5F6B8A5F47D7}"/>
      </w:docPartPr>
      <w:docPartBody>
        <w:p w:rsidR="00752A56" w:rsidRDefault="007B0151">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71E6"/>
    <w:rsid w:val="003F71E6"/>
    <w:rsid w:val="00752A56"/>
    <w:rsid w:val="007B0151"/>
    <w:rsid w:val="00857F75"/>
    <w:rsid w:val="00D806B6"/>
    <w:rsid w:val="00DA5BB6"/>
    <w:rsid w:val="00E869BB"/>
    <w:rsid w:val="00FB1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082E3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015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2025-12-30T23:00:00+00:00</UNDP_POPP_PLANNED_REVIEWDATE>
    <UNDP_POPP_LASTMODIFIED xmlns="8264c5cc-ec60-4b56-8111-ce635d3d139a" xsi:nil="true"/>
    <UNDP_POPP_REJECT_COMMENTS xmlns="8264c5cc-ec60-4b56-8111-ce635d3d139a" xsi:nil="true"/>
    <DLCPolicyLabelValue xmlns="e560140e-7b2f-4392-90df-e7567e3021a3">Effective Date: 01/01/2012                                                Version #: 1</DLCPolicyLabelValue>
    <UNDP_POPP_EFFECTIVEDATE xmlns="8264c5cc-ec60-4b56-8111-ce635d3d139a">2011-12-31T23:00:00+00:00</UNDP_POPP_EFFECTIVEDATE>
    <UNDP_POPP_REFITEM_VERSION xmlns="8264c5cc-ec60-4b56-8111-ce635d3d139a">1</UNDP_POPP_REFITEM_VERSION>
    <UNDP_POPP_FILEVERSION xmlns="8264c5cc-ec60-4b56-8111-ce635d3d139a" xsi:nil="true"/>
    <UNDP_POPP_ISACTIVE xmlns="8264c5cc-ec60-4b56-8111-ce635d3d139a">true</UNDP_POPP_ISACTIVE>
    <UNDP_POPP_TITLE_EN xmlns="8264c5cc-ec60-4b56-8111-ce635d3d139a">Bank Account Reconciliation</UNDP_POPP_TITLE_EN>
    <DLCPolicyLabelLock xmlns="e560140e-7b2f-4392-90df-e7567e3021a3" xsi:nil="true"/>
    <DLCPolicyLabelClientValue xmlns="e560140e-7b2f-4392-90df-e7567e3021a3" xsi:nil="true"/>
    <UNDP_POPP_BUSINESSUNITID_HIDDEN xmlns="8264c5cc-ec60-4b56-8111-ce635d3d139a" xsi:nil="true"/>
    <_dlc_DocId xmlns="8264c5cc-ec60-4b56-8111-ce635d3d139a">POPP-11-2130</_dlc_DocId>
    <_dlc_DocIdUrl xmlns="8264c5cc-ec60-4b56-8111-ce635d3d139a">
      <Url>https://popp.undp.org/_layouts/15/DocIdRedir.aspx?ID=POPP-11-2130</Url>
      <Description>POPP-11-2130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E56A97-A04C-42AD-BDF0-529528461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9DC111-412B-4FF7-A2F5-000D01F4DFB7}">
  <ds:schemaRefs>
    <ds:schemaRef ds:uri="office.server.policy"/>
  </ds:schemaRefs>
</ds:datastoreItem>
</file>

<file path=customXml/itemProps3.xml><?xml version="1.0" encoding="utf-8"?>
<ds:datastoreItem xmlns:ds="http://schemas.openxmlformats.org/officeDocument/2006/customXml" ds:itemID="{D022B437-F050-40B3-A661-6D79A949CE8E}">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379AEE39-6BF5-4B3A-ADA0-BA6E15293F14}">
  <ds:schemaRefs>
    <ds:schemaRef ds:uri="http://schemas.microsoft.com/sharepoint/events"/>
  </ds:schemaRefs>
</ds:datastoreItem>
</file>

<file path=customXml/itemProps5.xml><?xml version="1.0" encoding="utf-8"?>
<ds:datastoreItem xmlns:ds="http://schemas.openxmlformats.org/officeDocument/2006/customXml" ds:itemID="{5CE0ACCF-717C-4007-8670-8AE8F7BE9A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4</cp:revision>
  <dcterms:created xsi:type="dcterms:W3CDTF">2023-01-07T22:15:00Z</dcterms:created>
  <dcterms:modified xsi:type="dcterms:W3CDTF">2024-05-28T11:18:00Z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bb57dd94-4177-4b01-b458-9460cfe8e200</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MediaServiceImageTags">
    <vt:lpwstr/>
  </property>
  <property fmtid="{D5CDD505-2E9C-101B-9397-08002B2CF9AE}" pid="7" name="UNDP_POPP_BUSINESSPROCESS_HIDDEN">
    <vt:lpwstr/>
  </property>
  <property fmtid="{D5CDD505-2E9C-101B-9397-08002B2CF9AE}" pid="8" name="TaxCatchAll">
    <vt:lpwstr>350;#Financial Resources Management|682d4c54-a288-412d-bfec-ce5587bbd25c</vt:lpwstr>
  </property>
  <property fmtid="{D5CDD505-2E9C-101B-9397-08002B2CF9AE}" pid="9" name="l0e6ef0c43e74560bd7f3acd1f5e8571">
    <vt:lpwstr>Financial Resources Management|682d4c54-a288-412d-bfec-ce5587bbd25c</vt:lpwstr>
  </property>
  <property fmtid="{D5CDD505-2E9C-101B-9397-08002B2CF9AE}" pid="10" name="DLCPolicyLabelValue">
    <vt:lpwstr>Effective Date: {Effective Date}                                                Version #: {POPPRefItemVersion}</vt:lpwstr>
  </property>
</Properties>
</file>